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Article</w:t>
      </w:r>
    </w:p>
    <w:p>
      <w:pPr>
        <w:pStyle w:val="MDPI12title"/>
      </w:pPr>
      <w:r>
        <w:t>Early-Career Choices in the Era of Generative AI: Human Capital Depreciation, Career Anxiety, and Occupational Adaptation Among Fresh Graduates</w:t>
      </w:r>
    </w:p>
    <w:p>
      <w:pPr>
        <w:pStyle w:val="MDPI13authornames"/>
      </w:pPr>
      <w:r>
        <w:rPr/>
        <w:t xml:space="preserve">Xinyu Cai </w:t>
      </w:r>
      <w:r>
        <w:rPr>
          <w:vertAlign w:val="superscript"/>
        </w:rPr>
        <w:t>1</w:t>
      </w:r>
      <w:r>
        <w:rPr/>
        <w:t xml:space="preserve"> and Tiantian Mo </w:t>
      </w:r>
      <w:r>
        <w:rPr>
          <w:vertAlign w:val="superscript"/>
        </w:rPr>
        <w:t>1,*</w:t>
      </w:r>
    </w:p>
    <w:p>
      <w:pPr>
        <w:pStyle w:val="MDPI15academiceditor"/>
      </w:pPr>
      <w:r>
        <w:t>Academic Editor: Firstname Lastname</w:t>
      </w:r>
    </w:p>
    <w:p>
      <w:pPr>
        <w:pStyle w:val="MDPI14history"/>
      </w:pPr>
      <w:r>
        <w:t>Received: date</w:t>
      </w:r>
    </w:p>
    <w:p>
      <w:pPr>
        <w:pStyle w:val="MDPI14history"/>
      </w:pPr>
      <w:r>
        <w:t>Revised: date</w:t>
      </w:r>
    </w:p>
    <w:p>
      <w:pPr>
        <w:pStyle w:val="MDPI14history"/>
      </w:pPr>
      <w:r>
        <w:t>Accepted: date</w:t>
      </w:r>
    </w:p>
    <w:p>
      <w:pPr>
        <w:pStyle w:val="MDPI14history"/>
      </w:pPr>
      <w:r>
        <w:t>Published: date</w:t>
      </w:r>
    </w:p>
    <w:p>
      <w:pPr>
        <w:pStyle w:val="MDPI61citation"/>
      </w:pPr>
      <w:r>
        <w:t>Citation: To be added by editorial staff during production.</w:t>
      </w:r>
    </w:p>
    <w:p>
      <w:pPr>
        <w:pStyle w:val="MDPI72copyright"/>
      </w:pPr>
      <w:r>
        <w:t>Copyright: © 2025 by the authors. Submitted for possible open access publication under the terms and conditions of the Creative Commons Attribution (CC BY) license (https://creativecommons.org/licenses/by/4.0/).</w:t>
      </w:r>
    </w:p>
    <w:p>
      <w:pPr>
        <w:pStyle w:val="MDPI16affiliation"/>
      </w:pPr>
      <w:r>
        <w:rPr>
          <w:b w:val="0"/>
          <w:vertAlign w:val="superscript"/>
        </w:rPr>
        <w:t>1</w:t>
      </w:r>
      <w:r>
        <w:tab/>
        <w:t>College of Business, Jiaxing University, Jiaxing 314001, China; caixinyu@zjxu.edu.cn</w:t>
      </w:r>
    </w:p>
    <w:p>
      <w:pPr>
        <w:pStyle w:val="MDPI16affiliation"/>
      </w:pPr>
      <w:r>
        <w:rPr>
          <w:b/>
        </w:rPr>
        <w:t>*</w:t>
      </w:r>
      <w:r>
        <w:tab/>
        <w:t>Correspondence: 00008227@zjxu.edu.cn</w:t>
      </w:r>
    </w:p>
    <w:p>
      <w:pPr>
        <w:pStyle w:val="MDPI17abstract"/>
      </w:pPr>
      <w:r>
        <w:rPr>
          <w:b/>
        </w:rPr>
        <w:t>Abstract</w:t>
      </w:r>
    </w:p>
    <w:p>
      <w:pPr>
        <w:pStyle w:val="MDPI17abstract"/>
      </w:pPr>
      <w:r>
        <w:rPr>
          <w:b w:val="0"/>
          <w:i w:val="0"/>
        </w:rPr>
        <w:t>As generative artificial intelligence (GenAI) becomes most capable at precisely the entry-level tasks from which early careers have traditionally been built, fresh graduates must make their first occupational choices under conditions no previous cohort has faced. Drawing on socio-technical systems theory and a cybernetic control perspective, this study investigates how graduates’ perceived human capital depreciation translates into AI-related career anxiety and, in turn, into occupational adaptation or career avoidance, and which combinations of conditions govern this process. Using a two-wave survey of 1,247 Chinese fresh graduates within three years of graduation (914 matched across waves, with behavioral outcomes measured six months after their antecedents), we employ confirmatory factor analysis, bootstrapped conditional-process models, and fuzzy-set qualitative comparative analysis (fsQCA). The study finds that (1) perceived human capital depreciation significantly raises AI-related career anxiety (β = 0.487), and perceived employability support buffers this first stage, reducing the pass-through from 0.64 to 0.33; (2) career anxiety exhibits an inverted U-shaped relationship with occupational adaptation, with a turning point 0.37 standard deviations above the mean anxiety level, beyond which 38.5 percent of graduates already fall, whereas career avoidance rises monotonically; (3) GenAI literacy displaces the turning point outward from 0.07 to 0.66 standard deviations, extending the range over which anxiety remains productive; and (4) the fsQCA identifies a single sufficient configuration for high adaptation, the conjunction of anxiety, literacy, and support (consistency 0.892), with no necessary condition and no consistent configuration for its negation, so anxiety alone never suffices. This study deepens the systems understanding of GenAI-era workforce development by modeling career anxiety as the error signal of an adaptive feedback loop, and offers practical guidance for universities, employers, and policymakers seeking to convert a record cohort’s anxiety into adaptation rather than avoidance.</w:t>
      </w:r>
    </w:p>
    <w:p>
      <w:pPr>
        <w:pStyle w:val="MDPI18keywords"/>
      </w:pPr>
      <w:r>
        <w:rPr>
          <w:b/>
        </w:rPr>
        <w:t xml:space="preserve">Keywords: </w:t>
      </w:r>
      <w:r>
        <w:t>generative artificial intelligence; fresh graduates; career anxiety; human capital depreciation; occupational adaptation; socio-technical systems; complex adaptive systems; moderated mediation; fuzzy-set qualitative comparative analysis; workforce development</w:t>
      </w:r>
    </w:p>
    <w:p>
      <w:pPr>
        <w:pStyle w:val="MDPI19line"/>
      </w:pPr>
    </w:p>
    <w:p>
      <w:pPr>
        <w:pStyle w:val="MDPI21heading1"/>
      </w:pPr>
      <w:r>
        <w:t>1. Introduction</w:t>
      </w:r>
    </w:p>
    <w:p>
      <w:pPr>
        <w:pStyle w:val="MDPI32textnoindent"/>
      </w:pPr>
      <w:r>
        <w:rPr>
          <w:b w:val="0"/>
          <w:i w:val="0"/>
        </w:rPr>
        <w:t xml:space="preserve">Every technological transition redistributes opportunity across the age distribution, but the present one is unusual in where it strikes first. Generative artificial intelligence performs best on the codifiable, language-intensive, well-specified tasks that have traditionally been assigned to the newest members of the professions </w:t>
      </w:r>
      <w:r>
        <w:t>[</w:t>
      </w:r>
      <w:r>
        <w:fldChar w:fldCharType="begin"/>
      </w:r>
      <w:r>
        <w:instrText xml:space="preserve"> REF _Ref_1 \h </w:instrText>
      </w:r>
      <w:r>
        <w:fldChar w:fldCharType="separate"/>
      </w:r>
      <w:r>
        <w:t>1</w:t>
      </w:r>
      <w:r>
        <w:fldChar w:fldCharType="end"/>
      </w:r>
      <w:r>
        <w:t>–</w:t>
      </w:r>
      <w:r>
        <w:fldChar w:fldCharType="begin"/>
      </w:r>
      <w:r>
        <w:instrText xml:space="preserve"> REF _Ref_3 \h </w:instrText>
      </w:r>
      <w:r>
        <w:fldChar w:fldCharType="separate"/>
      </w:r>
      <w:r>
        <w:t>3</w:t>
      </w:r>
      <w:r>
        <w:fldChar w:fldCharType="end"/>
      </w:r>
      <w:r>
        <w:t>]</w:t>
      </w:r>
      <w:r>
        <w:rPr>
          <w:b w:val="0"/>
          <w:i w:val="0"/>
        </w:rPr>
        <w:t xml:space="preserve">. Field and quasi-experimental evidence now shows entry positions contracting where the technology is adopted: junior-heavy hiring falls in exposed occupations </w:t>
      </w:r>
      <w:r>
        <w:t>[</w:t>
      </w:r>
      <w:r>
        <w:fldChar w:fldCharType="begin"/>
      </w:r>
      <w:r>
        <w:instrText xml:space="preserve"> REF _Ref_4 \h </w:instrText>
      </w:r>
      <w:r>
        <w:fldChar w:fldCharType="separate"/>
      </w:r>
      <w:r>
        <w:t>4</w:t>
      </w:r>
      <w:r>
        <w:fldChar w:fldCharType="end"/>
      </w:r>
      <w:r>
        <w:t>,</w:t>
      </w:r>
      <w:r>
        <w:fldChar w:fldCharType="begin"/>
      </w:r>
      <w:r>
        <w:instrText xml:space="preserve"> REF _Ref_5 \h </w:instrText>
      </w:r>
      <w:r>
        <w:fldChar w:fldCharType="separate"/>
      </w:r>
      <w:r>
        <w:t>5</w:t>
      </w:r>
      <w:r>
        <w:fldChar w:fldCharType="end"/>
      </w:r>
      <w:r>
        <w:t>]</w:t>
      </w:r>
      <w:r>
        <w:rPr>
          <w:b w:val="0"/>
          <w:i w:val="0"/>
        </w:rPr>
        <w:t xml:space="preserve">, the productivity gains of the technology accrue disproportionately to novices while the demand for novices weakens </w:t>
      </w:r>
      <w:r>
        <w:t>[</w:t>
      </w:r>
      <w:r>
        <w:fldChar w:fldCharType="begin"/>
      </w:r>
      <w:r>
        <w:instrText xml:space="preserve"> REF _Ref_6 \h </w:instrText>
      </w:r>
      <w:r>
        <w:fldChar w:fldCharType="separate"/>
      </w:r>
      <w:r>
        <w:t>6</w:t>
      </w:r>
      <w:r>
        <w:fldChar w:fldCharType="end"/>
      </w:r>
      <w:r>
        <w:t>,</w:t>
      </w:r>
      <w:r>
        <w:fldChar w:fldCharType="begin"/>
      </w:r>
      <w:r>
        <w:instrText xml:space="preserve"> REF _Ref_7 \h </w:instrText>
      </w:r>
      <w:r>
        <w:fldChar w:fldCharType="separate"/>
      </w:r>
      <w:r>
        <w:t>7</w:t>
      </w:r>
      <w:r>
        <w:fldChar w:fldCharType="end"/>
      </w:r>
      <w:r>
        <w:t>]</w:t>
      </w:r>
      <w:r>
        <w:rPr>
          <w:b w:val="0"/>
          <w:i w:val="0"/>
        </w:rPr>
        <w:t xml:space="preserve">, and employers increasingly describe entry roles in terms of supervising machine output rather than producing it </w:t>
      </w:r>
      <w:r>
        <w:t>[</w:t>
      </w:r>
      <w:r>
        <w:fldChar w:fldCharType="begin"/>
      </w:r>
      <w:r>
        <w:instrText xml:space="preserve"> REF _Ref_8 \h </w:instrText>
      </w:r>
      <w:r>
        <w:fldChar w:fldCharType="separate"/>
      </w:r>
      <w:r>
        <w:t>8</w:t>
      </w:r>
      <w:r>
        <w:fldChar w:fldCharType="end"/>
      </w:r>
      <w:r>
        <w:t>,</w:t>
      </w:r>
      <w:r>
        <w:fldChar w:fldCharType="begin"/>
      </w:r>
      <w:r>
        <w:instrText xml:space="preserve"> REF _Ref_9 \h </w:instrText>
      </w:r>
      <w:r>
        <w:fldChar w:fldCharType="separate"/>
      </w:r>
      <w:r>
        <w:t>9</w:t>
      </w:r>
      <w:r>
        <w:fldChar w:fldCharType="end"/>
      </w:r>
      <w:r>
        <w:t>]</w:t>
      </w:r>
      <w:r>
        <w:rPr>
          <w:b w:val="0"/>
          <w:i w:val="0"/>
        </w:rPr>
        <w:t xml:space="preserve">. For the roughly twelve million students who now graduate from Chinese higher education each year </w:t>
      </w:r>
      <w:r>
        <w:t>[</w:t>
      </w:r>
      <w:r>
        <w:fldChar w:fldCharType="begin"/>
      </w:r>
      <w:r>
        <w:instrText xml:space="preserve"> REF _Ref_10 \h </w:instrText>
      </w:r>
      <w:r>
        <w:fldChar w:fldCharType="separate"/>
      </w:r>
      <w:r>
        <w:t>10</w:t>
      </w:r>
      <w:r>
        <w:fldChar w:fldCharType="end"/>
      </w:r>
      <w:r>
        <w:t>,</w:t>
      </w:r>
      <w:r>
        <w:fldChar w:fldCharType="begin"/>
      </w:r>
      <w:r>
        <w:instrText xml:space="preserve"> REF _Ref_11 \h </w:instrText>
      </w:r>
      <w:r>
        <w:fldChar w:fldCharType="separate"/>
      </w:r>
      <w:r>
        <w:t>11</w:t>
      </w:r>
      <w:r>
        <w:fldChar w:fldCharType="end"/>
      </w:r>
      <w:r>
        <w:t>]</w:t>
      </w:r>
      <w:r>
        <w:rPr>
          <w:b w:val="0"/>
          <w:i w:val="0"/>
        </w:rPr>
        <w:t>, these are not abstractions. They are the conditions under which the first occupation, the first investments in skill, and the first revisions of both must be chosen.</w:t>
      </w:r>
    </w:p>
    <w:p>
      <w:pPr>
        <w:pStyle w:val="MDPI31text"/>
      </w:pPr>
      <w:r>
        <w:rPr>
          <w:b w:val="0"/>
          <w:i w:val="0"/>
        </w:rPr>
        <w:t xml:space="preserve">Economics has begun to measure what the technology does to the demand side of this market </w:t>
      </w:r>
      <w:r>
        <w:t>[</w:t>
      </w:r>
      <w:r>
        <w:fldChar w:fldCharType="begin"/>
      </w:r>
      <w:r>
        <w:instrText xml:space="preserve"> REF _Ref_12 \h </w:instrText>
      </w:r>
      <w:r>
        <w:fldChar w:fldCharType="separate"/>
      </w:r>
      <w:r>
        <w:t>12</w:t>
      </w:r>
      <w:r>
        <w:fldChar w:fldCharType="end"/>
      </w:r>
      <w:r>
        <w:t>–</w:t>
      </w:r>
      <w:r>
        <w:fldChar w:fldCharType="begin"/>
      </w:r>
      <w:r>
        <w:instrText xml:space="preserve"> REF _Ref_14 \h </w:instrText>
      </w:r>
      <w:r>
        <w:fldChar w:fldCharType="separate"/>
      </w:r>
      <w:r>
        <w:t>14</w:t>
      </w:r>
      <w:r>
        <w:fldChar w:fldCharType="end"/>
      </w:r>
      <w:r>
        <w:t>]</w:t>
      </w:r>
      <w:r>
        <w:rPr>
          <w:b w:val="0"/>
          <w:i w:val="0"/>
        </w:rPr>
        <w:t xml:space="preserve">. Much less is known about the supply side: how the entrants themselves perceive the depreciation of their just-acquired human capital, what that perception does to them emotionally, and when the emotion converts into behavior that improves their position rather than behavior that worsens it. The question matters because early-career scarring is among the most persistent phenomena in labor economics: cohorts that stumble at entry carry lower earnings and worse matches for a decade or more </w:t>
      </w:r>
      <w:r>
        <w:t>[</w:t>
      </w:r>
      <w:r>
        <w:fldChar w:fldCharType="begin"/>
      </w:r>
      <w:r>
        <w:instrText xml:space="preserve"> REF _Ref_15 \h </w:instrText>
      </w:r>
      <w:r>
        <w:fldChar w:fldCharType="separate"/>
      </w:r>
      <w:r>
        <w:t>15</w:t>
      </w:r>
      <w:r>
        <w:fldChar w:fldCharType="end"/>
      </w:r>
      <w:r>
        <w:t>–</w:t>
      </w:r>
      <w:r>
        <w:fldChar w:fldCharType="begin"/>
      </w:r>
      <w:r>
        <w:instrText xml:space="preserve"> REF _Ref_18 \h </w:instrText>
      </w:r>
      <w:r>
        <w:fldChar w:fldCharType="separate"/>
      </w:r>
      <w:r>
        <w:t>18</w:t>
      </w:r>
      <w:r>
        <w:fldChar w:fldCharType="end"/>
      </w:r>
      <w:r>
        <w:t>]</w:t>
      </w:r>
      <w:r>
        <w:rPr>
          <w:b w:val="0"/>
          <w:i w:val="0"/>
        </w:rPr>
        <w:t>. If the first cohort of the generative-AI era responds to depreciation signals with paralysis rather than adaptation, the technology’s distributional effects will be amplified by the very psychology of those it displaces.</w:t>
      </w:r>
    </w:p>
    <w:p>
      <w:pPr>
        <w:pStyle w:val="MDPI31text"/>
      </w:pPr>
      <w:r>
        <w:rPr>
          <w:b w:val="0"/>
          <w:i w:val="0"/>
        </w:rPr>
        <w:t xml:space="preserve">This study asks three questions. First, how does the perception that generative artificial intelligence is depreciating one’s human capital translate into AI-related career anxiety? Second, when does that anxiety mobilize occupational adaptation, and when does it tip into avoidance? Third, which combinations of psychological and contextual conditions are jointly sufficient for adaptation? The questions are posed from an explicitly systems-theoretic position, which is what distinguishes this paper from the emerging literature on artificial-intelligence anxiety </w:t>
      </w:r>
      <w:r>
        <w:t>[</w:t>
      </w:r>
      <w:r>
        <w:fldChar w:fldCharType="begin"/>
      </w:r>
      <w:r>
        <w:instrText xml:space="preserve"> REF _Ref_19 \h </w:instrText>
      </w:r>
      <w:r>
        <w:fldChar w:fldCharType="separate"/>
      </w:r>
      <w:r>
        <w:t>19</w:t>
      </w:r>
      <w:r>
        <w:fldChar w:fldCharType="end"/>
      </w:r>
      <w:r>
        <w:t>–</w:t>
      </w:r>
      <w:r>
        <w:fldChar w:fldCharType="begin"/>
      </w:r>
      <w:r>
        <w:instrText xml:space="preserve"> REF _Ref_21 \h </w:instrText>
      </w:r>
      <w:r>
        <w:fldChar w:fldCharType="separate"/>
      </w:r>
      <w:r>
        <w:t>21</w:t>
      </w:r>
      <w:r>
        <w:fldChar w:fldCharType="end"/>
      </w:r>
      <w:r>
        <w:t>]</w:t>
      </w:r>
      <w:r>
        <w:rPr>
          <w:b w:val="0"/>
          <w:i w:val="0"/>
        </w:rPr>
        <w:t xml:space="preserve">. The graduate is modeled as an adaptive agent inside a socio-technical labor system </w:t>
      </w:r>
      <w:r>
        <w:t>[</w:t>
      </w:r>
      <w:r>
        <w:fldChar w:fldCharType="begin"/>
      </w:r>
      <w:r>
        <w:instrText xml:space="preserve"> REF _Ref_22 \h </w:instrText>
      </w:r>
      <w:r>
        <w:fldChar w:fldCharType="separate"/>
      </w:r>
      <w:r>
        <w:t>22</w:t>
      </w:r>
      <w:r>
        <w:fldChar w:fldCharType="end"/>
      </w:r>
      <w:r>
        <w:t>,</w:t>
      </w:r>
      <w:r>
        <w:fldChar w:fldCharType="begin"/>
      </w:r>
      <w:r>
        <w:instrText xml:space="preserve"> REF _Ref_23 \h </w:instrText>
      </w:r>
      <w:r>
        <w:fldChar w:fldCharType="separate"/>
      </w:r>
      <w:r>
        <w:t>23</w:t>
      </w:r>
      <w:r>
        <w:fldChar w:fldCharType="end"/>
      </w:r>
      <w:r>
        <w:t>]</w:t>
      </w:r>
      <w:r>
        <w:rPr>
          <w:b w:val="0"/>
          <w:i w:val="0"/>
        </w:rPr>
        <w:t xml:space="preserve">: the depreciation percept is the input, anxiety is the error signal of a control loop that compares the career one has with the career one expected </w:t>
      </w:r>
      <w:r>
        <w:t>[</w:t>
      </w:r>
      <w:r>
        <w:fldChar w:fldCharType="begin"/>
      </w:r>
      <w:r>
        <w:instrText xml:space="preserve"> REF _Ref_24 \h </w:instrText>
      </w:r>
      <w:r>
        <w:fldChar w:fldCharType="separate"/>
      </w:r>
      <w:r>
        <w:t>24</w:t>
      </w:r>
      <w:r>
        <w:fldChar w:fldCharType="end"/>
      </w:r>
      <w:r>
        <w:t>,</w:t>
      </w:r>
      <w:r>
        <w:fldChar w:fldCharType="begin"/>
      </w:r>
      <w:r>
        <w:instrText xml:space="preserve"> REF _Ref_25 \h </w:instrText>
      </w:r>
      <w:r>
        <w:fldChar w:fldCharType="separate"/>
      </w:r>
      <w:r>
        <w:t>25</w:t>
      </w:r>
      <w:r>
        <w:fldChar w:fldCharType="end"/>
      </w:r>
      <w:r>
        <w:t>]</w:t>
      </w:r>
      <w:r>
        <w:rPr>
          <w:b w:val="0"/>
          <w:i w:val="0"/>
        </w:rPr>
        <w:t>, and reskilling, occupational repositioning or withdrawal are the actions through which the loop closes. Three properties follow from this framing, and each is testable. A control signal should transmit the input (mediation); an error signal that saturates should stop producing corrective action at high amplitude (nonlinearity); and the action should depend on the actuators available to the agent, namely capability and support (conjunction). The empirical design maps one to one onto these properties.</w:t>
      </w:r>
    </w:p>
    <w:p>
      <w:pPr>
        <w:pStyle w:val="MDPI31text"/>
      </w:pPr>
      <w:r>
        <w:rPr>
          <w:b w:val="0"/>
          <w:i w:val="0"/>
        </w:rPr>
        <w:t xml:space="preserve">Evidence comes from a two-wave survey of Chinese graduates within thirty-six months of graduation, with perceptions and psychological states measured at the first wave and adaptation behaviors measured six months later, so that the outcomes are separated from their hypothesized antecedents in time. The analysis combines a confirmatory measurement model, bootstrapped conditional-process estimation with an explicitly curvilinear second stage </w:t>
      </w:r>
      <w:r>
        <w:t>[</w:t>
      </w:r>
      <w:r>
        <w:fldChar w:fldCharType="begin"/>
      </w:r>
      <w:r>
        <w:instrText xml:space="preserve"> REF _Ref_26 \h </w:instrText>
      </w:r>
      <w:r>
        <w:fldChar w:fldCharType="separate"/>
      </w:r>
      <w:r>
        <w:t>26</w:t>
      </w:r>
      <w:r>
        <w:fldChar w:fldCharType="end"/>
      </w:r>
      <w:r>
        <w:t>–</w:t>
      </w:r>
      <w:r>
        <w:fldChar w:fldCharType="begin"/>
      </w:r>
      <w:r>
        <w:instrText xml:space="preserve"> REF _Ref_28 \h </w:instrText>
      </w:r>
      <w:r>
        <w:fldChar w:fldCharType="separate"/>
      </w:r>
      <w:r>
        <w:t>28</w:t>
      </w:r>
      <w:r>
        <w:fldChar w:fldCharType="end"/>
      </w:r>
      <w:r>
        <w:t>]</w:t>
      </w:r>
      <w:r>
        <w:rPr>
          <w:b w:val="0"/>
          <w:i w:val="0"/>
        </w:rPr>
        <w:t xml:space="preserve">, and fuzzy-set qualitative comparative analysis </w:t>
      </w:r>
      <w:r>
        <w:t>[</w:t>
      </w:r>
      <w:r>
        <w:fldChar w:fldCharType="begin"/>
      </w:r>
      <w:r>
        <w:instrText xml:space="preserve"> REF _Ref_29 \h </w:instrText>
      </w:r>
      <w:r>
        <w:fldChar w:fldCharType="separate"/>
      </w:r>
      <w:r>
        <w:t>29</w:t>
      </w:r>
      <w:r>
        <w:fldChar w:fldCharType="end"/>
      </w:r>
      <w:r>
        <w:t>–</w:t>
      </w:r>
      <w:r>
        <w:fldChar w:fldCharType="begin"/>
      </w:r>
      <w:r>
        <w:instrText xml:space="preserve"> REF _Ref_31 \h </w:instrText>
      </w:r>
      <w:r>
        <w:fldChar w:fldCharType="separate"/>
      </w:r>
      <w:r>
        <w:t>31</w:t>
      </w:r>
      <w:r>
        <w:fldChar w:fldCharType="end"/>
      </w:r>
      <w:r>
        <w:t>]</w:t>
      </w:r>
      <w:r>
        <w:rPr>
          <w:b w:val="0"/>
          <w:i w:val="0"/>
        </w:rPr>
        <w:t xml:space="preserve">, the latter because a systems argument about conjunction cannot be tested by adding interaction terms alone </w:t>
      </w:r>
      <w:r>
        <w:t>[</w:t>
      </w:r>
      <w:r>
        <w:fldChar w:fldCharType="begin"/>
      </w:r>
      <w:r>
        <w:instrText xml:space="preserve"> REF _Ref_32 \h </w:instrText>
      </w:r>
      <w:r>
        <w:fldChar w:fldCharType="separate"/>
      </w:r>
      <w:r>
        <w:t>32</w:t>
      </w:r>
      <w:r>
        <w:fldChar w:fldCharType="end"/>
      </w:r>
      <w:r>
        <w:t>]</w:t>
      </w:r>
      <w:r>
        <w:rPr>
          <w:b w:val="0"/>
          <w:i w:val="0"/>
        </w:rPr>
        <w:t>.</w:t>
      </w:r>
    </w:p>
    <w:p>
      <w:pPr>
        <w:pStyle w:val="MDPI31text"/>
      </w:pPr>
      <w:r>
        <w:rPr>
          <w:b w:val="0"/>
          <w:i w:val="0"/>
        </w:rPr>
        <w:t>Four results organize the paper. First, perceived human capital depreciation converts into career anxiety at β = 0.487 and the conversion is buffered by perceived employability support: the pass-through is 0.64 one standard deviation below the mean of support and 0.33 one standard deviation above it. Second, the anxiety-adaptation relationship is an inverted U, not a slope. Adaptation peaks at 0.37 standard deviations of anxiety, and 38.5 percent of the cohort already sits beyond the peak, in the region where additional anxiety predicts less adaptation; avoidance, by contrast, rises monotonically across the entire observed range. Third, generative-AI literacy does not merely raise adaptation, it moves the turning point: from 0.07 standard deviations among low-literacy graduates to 0.66 among high-literacy ones, so that literacy extends the range over which anxiety remains productive. Fourth, the configurational analysis returns exactly one sufficient recipe for high adaptation, the conjunction of anxiety with literacy and support (consistency 0.892, coverage 0.406); no single condition is necessary, no configuration lacking either literacy or support passes the sufficiency thresholds, and no consistent recipe exists for the negation. Equifinality, the default expectation of configurational research, fails here in a theoretically informative way: there is one road to adaptation, and anxiety alone is never it.</w:t>
      </w:r>
    </w:p>
    <w:p>
      <w:pPr>
        <w:pStyle w:val="MDPI31text"/>
      </w:pPr>
      <w:r>
        <w:rPr>
          <w:b w:val="0"/>
          <w:i w:val="0"/>
        </w:rPr>
        <w:t xml:space="preserve">The contribution is threefold. To the economics and management literature on generative artificial intelligence and work </w:t>
      </w:r>
      <w:r>
        <w:t>[</w:t>
      </w:r>
      <w:r>
        <w:fldChar w:fldCharType="begin"/>
      </w:r>
      <w:r>
        <w:instrText xml:space="preserve"> REF _Ref_6 \h </w:instrText>
      </w:r>
      <w:r>
        <w:fldChar w:fldCharType="separate"/>
      </w:r>
      <w:r>
        <w:t>6</w:t>
      </w:r>
      <w:r>
        <w:fldChar w:fldCharType="end"/>
      </w:r>
      <w:r>
        <w:t>,</w:t>
      </w:r>
      <w:r>
        <w:fldChar w:fldCharType="begin"/>
      </w:r>
      <w:r>
        <w:instrText xml:space="preserve"> REF _Ref_12 \h </w:instrText>
      </w:r>
      <w:r>
        <w:fldChar w:fldCharType="separate"/>
      </w:r>
      <w:r>
        <w:t>12</w:t>
      </w:r>
      <w:r>
        <w:fldChar w:fldCharType="end"/>
      </w:r>
      <w:r>
        <w:t>,</w:t>
      </w:r>
      <w:r>
        <w:fldChar w:fldCharType="begin"/>
      </w:r>
      <w:r>
        <w:instrText xml:space="preserve"> REF _Ref_33 \h </w:instrText>
      </w:r>
      <w:r>
        <w:fldChar w:fldCharType="separate"/>
      </w:r>
      <w:r>
        <w:t>33</w:t>
      </w:r>
      <w:r>
        <w:fldChar w:fldCharType="end"/>
      </w:r>
      <w:r>
        <w:t>]</w:t>
      </w:r>
      <w:r>
        <w:rPr>
          <w:b w:val="0"/>
          <w:i w:val="0"/>
        </w:rPr>
        <w:t xml:space="preserve">, the paper adds the supply-side psychology of the displaced margin: the first individual-level evidence that the entry cohort’s behavioral response to depreciation is nonmonotonic, which changes what aggregate adjustment models should assume about retraining uptake. To the artificial-intelligence anxiety literature </w:t>
      </w:r>
      <w:r>
        <w:t>[</w:t>
      </w:r>
      <w:r>
        <w:fldChar w:fldCharType="begin"/>
      </w:r>
      <w:r>
        <w:instrText xml:space="preserve"> REF _Ref_19 \h </w:instrText>
      </w:r>
      <w:r>
        <w:fldChar w:fldCharType="separate"/>
      </w:r>
      <w:r>
        <w:t>19</w:t>
      </w:r>
      <w:r>
        <w:fldChar w:fldCharType="end"/>
      </w:r>
      <w:r>
        <w:t>,</w:t>
      </w:r>
      <w:r>
        <w:fldChar w:fldCharType="begin"/>
      </w:r>
      <w:r>
        <w:instrText xml:space="preserve"> REF _Ref_20 \h </w:instrText>
      </w:r>
      <w:r>
        <w:fldChar w:fldCharType="separate"/>
      </w:r>
      <w:r>
        <w:t>20</w:t>
      </w:r>
      <w:r>
        <w:fldChar w:fldCharType="end"/>
      </w:r>
      <w:r>
        <w:t>,</w:t>
      </w:r>
      <w:r>
        <w:fldChar w:fldCharType="begin"/>
      </w:r>
      <w:r>
        <w:instrText xml:space="preserve"> REF _Ref_34 \h </w:instrText>
      </w:r>
      <w:r>
        <w:fldChar w:fldCharType="separate"/>
      </w:r>
      <w:r>
        <w:t>34</w:t>
      </w:r>
      <w:r>
        <w:fldChar w:fldCharType="end"/>
      </w:r>
      <w:r>
        <w:t>]</w:t>
      </w:r>
      <w:r>
        <w:rPr>
          <w:b w:val="0"/>
          <w:i w:val="0"/>
        </w:rPr>
        <w:t xml:space="preserve">, it contributes the systems treatment: anxiety modeled and estimated as the error signal of a feedback loop, with the saturation, the actuator-dependence and the conjunction that the control-theoretic reading predicts </w:t>
      </w:r>
      <w:r>
        <w:t>[</w:t>
      </w:r>
      <w:r>
        <w:fldChar w:fldCharType="begin"/>
      </w:r>
      <w:r>
        <w:instrText xml:space="preserve"> REF _Ref_24 \h </w:instrText>
      </w:r>
      <w:r>
        <w:fldChar w:fldCharType="separate"/>
      </w:r>
      <w:r>
        <w:t>24</w:t>
      </w:r>
      <w:r>
        <w:fldChar w:fldCharType="end"/>
      </w:r>
      <w:r>
        <w:t>,</w:t>
      </w:r>
      <w:r>
        <w:fldChar w:fldCharType="begin"/>
      </w:r>
      <w:r>
        <w:instrText xml:space="preserve"> REF _Ref_25 \h </w:instrText>
      </w:r>
      <w:r>
        <w:fldChar w:fldCharType="separate"/>
      </w:r>
      <w:r>
        <w:t>25</w:t>
      </w:r>
      <w:r>
        <w:fldChar w:fldCharType="end"/>
      </w:r>
      <w:r>
        <w:t>,</w:t>
      </w:r>
      <w:r>
        <w:fldChar w:fldCharType="begin"/>
      </w:r>
      <w:r>
        <w:instrText xml:space="preserve"> REF _Ref_35 \h </w:instrText>
      </w:r>
      <w:r>
        <w:fldChar w:fldCharType="separate"/>
      </w:r>
      <w:r>
        <w:t>35</w:t>
      </w:r>
      <w:r>
        <w:fldChar w:fldCharType="end"/>
      </w:r>
      <w:r>
        <w:t>]</w:t>
      </w:r>
      <w:r>
        <w:rPr>
          <w:b w:val="0"/>
          <w:i w:val="0"/>
        </w:rPr>
        <w:t xml:space="preserve">. To the special issue’s question of how generative artificial intelligence reshapes workforce development as a system </w:t>
      </w:r>
      <w:r>
        <w:t>[</w:t>
      </w:r>
      <w:r>
        <w:fldChar w:fldCharType="begin"/>
      </w:r>
      <w:r>
        <w:instrText xml:space="preserve"> REF _Ref_36 \h </w:instrText>
      </w:r>
      <w:r>
        <w:fldChar w:fldCharType="separate"/>
      </w:r>
      <w:r>
        <w:t>36</w:t>
      </w:r>
      <w:r>
        <w:fldChar w:fldCharType="end"/>
      </w:r>
      <w:r>
        <w:t>,</w:t>
      </w:r>
      <w:r>
        <w:fldChar w:fldCharType="begin"/>
      </w:r>
      <w:r>
        <w:instrText xml:space="preserve"> REF _Ref_37 \h </w:instrText>
      </w:r>
      <w:r>
        <w:fldChar w:fldCharType="separate"/>
      </w:r>
      <w:r>
        <w:t>37</w:t>
      </w:r>
      <w:r>
        <w:fldChar w:fldCharType="end"/>
      </w:r>
      <w:r>
        <w:t>]</w:t>
      </w:r>
      <w:r>
        <w:rPr>
          <w:b w:val="0"/>
          <w:i w:val="0"/>
        </w:rPr>
        <w:t>, it offers a concrete demonstration that the productive unit of analysis is neither the individual nor the technology but the loop that couples perception, emotion, capability and institutional support, and that policy which addresses only one element of the loop, such as reassuring messaging that damps the signal, can be worse than policy which completes it.</w:t>
      </w:r>
    </w:p>
    <w:p>
      <w:pPr>
        <w:pStyle w:val="MDPI31text"/>
      </w:pPr>
      <w:r>
        <w:rPr>
          <w:b w:val="0"/>
          <w:i w:val="0"/>
        </w:rPr>
        <w:t>The remainder of the paper is organized as follows. Section 2 develops the theory and seven hypotheses. Section 3 describes the sample, the measures and the analysis strategy. Section 4 reports the measurement model, the structural estimates, the conditional-process analysis, the heterogeneity and robustness batteries and the configurational results. Section 5 discusses theoretical and practical implications, Section 6 acknowledges limitations, and Section 7 concludes.</w:t>
      </w:r>
    </w:p>
    <w:p>
      <w:pPr>
        <w:pStyle w:val="MDPI21heading1"/>
      </w:pPr>
      <w:r>
        <w:t>2. Theory and Hypotheses</w:t>
      </w:r>
    </w:p>
    <w:p>
      <w:pPr>
        <w:pStyle w:val="MDPI22heading2"/>
      </w:pPr>
      <w:r>
        <w:t>2.1. Fresh Graduates as Adaptive Agents in a Socio-Technical Labor System</w:t>
      </w:r>
    </w:p>
    <w:p>
      <w:pPr>
        <w:pStyle w:val="MDPI32textnoindent"/>
      </w:pPr>
      <w:r>
        <w:rPr>
          <w:b w:val="0"/>
          <w:i w:val="0"/>
        </w:rPr>
        <w:t xml:space="preserve">A labor market entrant is not a passive recipient of technological change; they are an agent embedded in a system of universities, employers, technologies and institutions whose joint behavior determines early-career outcomes </w:t>
      </w:r>
      <w:r>
        <w:t>[</w:t>
      </w:r>
      <w:r>
        <w:fldChar w:fldCharType="begin"/>
      </w:r>
      <w:r>
        <w:instrText xml:space="preserve"> REF _Ref_22 \h </w:instrText>
      </w:r>
      <w:r>
        <w:fldChar w:fldCharType="separate"/>
      </w:r>
      <w:r>
        <w:t>22</w:t>
      </w:r>
      <w:r>
        <w:fldChar w:fldCharType="end"/>
      </w:r>
      <w:r>
        <w:t>,</w:t>
      </w:r>
      <w:r>
        <w:fldChar w:fldCharType="begin"/>
      </w:r>
      <w:r>
        <w:instrText xml:space="preserve"> REF _Ref_23 \h </w:instrText>
      </w:r>
      <w:r>
        <w:fldChar w:fldCharType="separate"/>
      </w:r>
      <w:r>
        <w:t>23</w:t>
      </w:r>
      <w:r>
        <w:fldChar w:fldCharType="end"/>
      </w:r>
      <w:r>
        <w:t>,</w:t>
      </w:r>
      <w:r>
        <w:fldChar w:fldCharType="begin"/>
      </w:r>
      <w:r>
        <w:instrText xml:space="preserve"> REF _Ref_38 \h </w:instrText>
      </w:r>
      <w:r>
        <w:fldChar w:fldCharType="separate"/>
      </w:r>
      <w:r>
        <w:t>38</w:t>
      </w:r>
      <w:r>
        <w:fldChar w:fldCharType="end"/>
      </w:r>
      <w:r>
        <w:t>]</w:t>
      </w:r>
      <w:r>
        <w:rPr>
          <w:b w:val="0"/>
          <w:i w:val="0"/>
        </w:rPr>
        <w:t xml:space="preserve">. Systems thinking supplies three ideas that discipline the analysis </w:t>
      </w:r>
      <w:r>
        <w:t>[</w:t>
      </w:r>
      <w:r>
        <w:fldChar w:fldCharType="begin"/>
      </w:r>
      <w:r>
        <w:instrText xml:space="preserve"> REF _Ref_39 \h </w:instrText>
      </w:r>
      <w:r>
        <w:fldChar w:fldCharType="separate"/>
      </w:r>
      <w:r>
        <w:t>39</w:t>
      </w:r>
      <w:r>
        <w:fldChar w:fldCharType="end"/>
      </w:r>
      <w:r>
        <w:t>]</w:t>
      </w:r>
      <w:r>
        <w:rPr>
          <w:b w:val="0"/>
          <w:i w:val="0"/>
        </w:rPr>
        <w:t xml:space="preserve">. The first is the feedback loop </w:t>
      </w:r>
      <w:r>
        <w:t>[</w:t>
      </w:r>
      <w:r>
        <w:fldChar w:fldCharType="begin"/>
      </w:r>
      <w:r>
        <w:instrText xml:space="preserve"> REF _Ref_40 \h </w:instrText>
      </w:r>
      <w:r>
        <w:fldChar w:fldCharType="separate"/>
      </w:r>
      <w:r>
        <w:t>40</w:t>
      </w:r>
      <w:r>
        <w:fldChar w:fldCharType="end"/>
      </w:r>
      <w:r>
        <w:t>,</w:t>
      </w:r>
      <w:r>
        <w:fldChar w:fldCharType="begin"/>
      </w:r>
      <w:r>
        <w:instrText xml:space="preserve"> REF _Ref_41 \h </w:instrText>
      </w:r>
      <w:r>
        <w:fldChar w:fldCharType="separate"/>
      </w:r>
      <w:r>
        <w:t>41</w:t>
      </w:r>
      <w:r>
        <w:fldChar w:fldCharType="end"/>
      </w:r>
      <w:r>
        <w:t>]</w:t>
      </w:r>
      <w:r>
        <w:rPr>
          <w:b w:val="0"/>
          <w:i w:val="0"/>
        </w:rPr>
        <w:t xml:space="preserve">: perceptions drive emotions, emotions drive actions, and actions feed back into the perceptions and the objective position from which the next round of choices is made. The second is the error signal of cybernetic control theory </w:t>
      </w:r>
      <w:r>
        <w:t>[</w:t>
      </w:r>
      <w:r>
        <w:fldChar w:fldCharType="begin"/>
      </w:r>
      <w:r>
        <w:instrText xml:space="preserve"> REF _Ref_24 \h </w:instrText>
      </w:r>
      <w:r>
        <w:fldChar w:fldCharType="separate"/>
      </w:r>
      <w:r>
        <w:t>24</w:t>
      </w:r>
      <w:r>
        <w:fldChar w:fldCharType="end"/>
      </w:r>
      <w:r>
        <w:t>,</w:t>
      </w:r>
      <w:r>
        <w:fldChar w:fldCharType="begin"/>
      </w:r>
      <w:r>
        <w:instrText xml:space="preserve"> REF _Ref_42 \h </w:instrText>
      </w:r>
      <w:r>
        <w:fldChar w:fldCharType="separate"/>
      </w:r>
      <w:r>
        <w:t>42</w:t>
      </w:r>
      <w:r>
        <w:fldChar w:fldCharType="end"/>
      </w:r>
      <w:r>
        <w:t>]</w:t>
      </w:r>
      <w:r>
        <w:rPr>
          <w:b w:val="0"/>
          <w:i w:val="0"/>
        </w:rPr>
        <w:t xml:space="preserve">: an adaptive system monitors the discrepancy between its present trajectory and its reference trajectory, and the affective correlate of that discrepancy is what mobilizes correction. The third is requisite capability, the behavioral cousin of Ashby’s law </w:t>
      </w:r>
      <w:r>
        <w:t>[</w:t>
      </w:r>
      <w:r>
        <w:fldChar w:fldCharType="begin"/>
      </w:r>
      <w:r>
        <w:instrText xml:space="preserve"> REF _Ref_25 \h </w:instrText>
      </w:r>
      <w:r>
        <w:fldChar w:fldCharType="separate"/>
      </w:r>
      <w:r>
        <w:t>25</w:t>
      </w:r>
      <w:r>
        <w:fldChar w:fldCharType="end"/>
      </w:r>
      <w:r>
        <w:t>]</w:t>
      </w:r>
      <w:r>
        <w:rPr>
          <w:b w:val="0"/>
          <w:i w:val="0"/>
        </w:rPr>
        <w:t>: a control signal produces regulation only if the regulator commands actions varied enough to match the disturbance. An anxious graduate who cannot use the technology and has no institutional support has a loud error signal wired to no actuator.</w:t>
      </w:r>
    </w:p>
    <w:p>
      <w:pPr>
        <w:pStyle w:val="MDPI31text"/>
      </w:pPr>
      <w:r>
        <w:rPr>
          <w:b w:val="0"/>
          <w:i w:val="0"/>
        </w:rPr>
        <w:t xml:space="preserve">The disturbance in question is well documented on the demand side. Generative models write, summarize, draft, code and analyze at a level that overlaps heavily with entry-level professional work, the modern echo of the routine-task displacement long documented for earlier automation </w:t>
      </w:r>
      <w:r>
        <w:t>[</w:t>
      </w:r>
      <w:r>
        <w:fldChar w:fldCharType="begin"/>
      </w:r>
      <w:r>
        <w:instrText xml:space="preserve"> REF _Ref_1 \h </w:instrText>
      </w:r>
      <w:r>
        <w:fldChar w:fldCharType="separate"/>
      </w:r>
      <w:r>
        <w:t>1</w:t>
      </w:r>
      <w:r>
        <w:fldChar w:fldCharType="end"/>
      </w:r>
      <w:r>
        <w:t>,</w:t>
      </w:r>
      <w:r>
        <w:fldChar w:fldCharType="begin"/>
      </w:r>
      <w:r>
        <w:instrText xml:space="preserve"> REF _Ref_3 \h </w:instrText>
      </w:r>
      <w:r>
        <w:fldChar w:fldCharType="separate"/>
      </w:r>
      <w:r>
        <w:t>3</w:t>
      </w:r>
      <w:r>
        <w:fldChar w:fldCharType="end"/>
      </w:r>
      <w:r>
        <w:t>,</w:t>
      </w:r>
      <w:r>
        <w:fldChar w:fldCharType="begin"/>
      </w:r>
      <w:r>
        <w:instrText xml:space="preserve"> REF _Ref_43 \h </w:instrText>
      </w:r>
      <w:r>
        <w:fldChar w:fldCharType="separate"/>
      </w:r>
      <w:r>
        <w:t>43</w:t>
      </w:r>
      <w:r>
        <w:fldChar w:fldCharType="end"/>
      </w:r>
      <w:r>
        <w:t>,</w:t>
      </w:r>
      <w:r>
        <w:fldChar w:fldCharType="begin"/>
      </w:r>
      <w:r>
        <w:instrText xml:space="preserve"> REF _Ref_44 \h </w:instrText>
      </w:r>
      <w:r>
        <w:fldChar w:fldCharType="separate"/>
      </w:r>
      <w:r>
        <w:t>44</w:t>
      </w:r>
      <w:r>
        <w:fldChar w:fldCharType="end"/>
      </w:r>
      <w:r>
        <w:t>]</w:t>
      </w:r>
      <w:r>
        <w:rPr>
          <w:b w:val="0"/>
          <w:i w:val="0"/>
        </w:rPr>
        <w:t xml:space="preserve">, and the overlap is largest precisely in the occupations that hire educated entrants </w:t>
      </w:r>
      <w:r>
        <w:t>[</w:t>
      </w:r>
      <w:r>
        <w:fldChar w:fldCharType="begin"/>
      </w:r>
      <w:r>
        <w:instrText xml:space="preserve"> REF _Ref_2 \h </w:instrText>
      </w:r>
      <w:r>
        <w:fldChar w:fldCharType="separate"/>
      </w:r>
      <w:r>
        <w:t>2</w:t>
      </w:r>
      <w:r>
        <w:fldChar w:fldCharType="end"/>
      </w:r>
      <w:r>
        <w:t>,</w:t>
      </w:r>
      <w:r>
        <w:fldChar w:fldCharType="begin"/>
      </w:r>
      <w:r>
        <w:instrText xml:space="preserve"> REF _Ref_45 \h </w:instrText>
      </w:r>
      <w:r>
        <w:fldChar w:fldCharType="separate"/>
      </w:r>
      <w:r>
        <w:t>45</w:t>
      </w:r>
      <w:r>
        <w:fldChar w:fldCharType="end"/>
      </w:r>
      <w:r>
        <w:t>]</w:t>
      </w:r>
      <w:r>
        <w:rPr>
          <w:b w:val="0"/>
          <w:i w:val="0"/>
        </w:rPr>
        <w:t xml:space="preserve">. Adoption evidence links the technology to falling junior hiring in exposed firms and platforms </w:t>
      </w:r>
      <w:r>
        <w:t>[</w:t>
      </w:r>
      <w:r>
        <w:fldChar w:fldCharType="begin"/>
      </w:r>
      <w:r>
        <w:instrText xml:space="preserve"> REF _Ref_4 \h </w:instrText>
      </w:r>
      <w:r>
        <w:fldChar w:fldCharType="separate"/>
      </w:r>
      <w:r>
        <w:t>4</w:t>
      </w:r>
      <w:r>
        <w:fldChar w:fldCharType="end"/>
      </w:r>
      <w:r>
        <w:t>,</w:t>
      </w:r>
      <w:r>
        <w:fldChar w:fldCharType="begin"/>
      </w:r>
      <w:r>
        <w:instrText xml:space="preserve"> REF _Ref_5 \h </w:instrText>
      </w:r>
      <w:r>
        <w:fldChar w:fldCharType="separate"/>
      </w:r>
      <w:r>
        <w:t>5</w:t>
      </w:r>
      <w:r>
        <w:fldChar w:fldCharType="end"/>
      </w:r>
      <w:r>
        <w:t>,</w:t>
      </w:r>
      <w:r>
        <w:fldChar w:fldCharType="begin"/>
      </w:r>
      <w:r>
        <w:instrText xml:space="preserve"> REF _Ref_46 \h </w:instrText>
      </w:r>
      <w:r>
        <w:fldChar w:fldCharType="separate"/>
      </w:r>
      <w:r>
        <w:t>46</w:t>
      </w:r>
      <w:r>
        <w:fldChar w:fldCharType="end"/>
      </w:r>
      <w:r>
        <w:t>]</w:t>
      </w:r>
      <w:r>
        <w:rPr>
          <w:b w:val="0"/>
          <w:i w:val="0"/>
        </w:rPr>
        <w:t xml:space="preserve">, and experimental evidence shows the technology compressing the novice-expert productivity gradient that entry-level jobs exist to climb </w:t>
      </w:r>
      <w:r>
        <w:t>[</w:t>
      </w:r>
      <w:r>
        <w:fldChar w:fldCharType="begin"/>
      </w:r>
      <w:r>
        <w:instrText xml:space="preserve"> REF _Ref_6 \h </w:instrText>
      </w:r>
      <w:r>
        <w:fldChar w:fldCharType="separate"/>
      </w:r>
      <w:r>
        <w:t>6</w:t>
      </w:r>
      <w:r>
        <w:fldChar w:fldCharType="end"/>
      </w:r>
      <w:r>
        <w:t>,</w:t>
      </w:r>
      <w:r>
        <w:fldChar w:fldCharType="begin"/>
      </w:r>
      <w:r>
        <w:instrText xml:space="preserve"> REF _Ref_7 \h </w:instrText>
      </w:r>
      <w:r>
        <w:fldChar w:fldCharType="separate"/>
      </w:r>
      <w:r>
        <w:t>7</w:t>
      </w:r>
      <w:r>
        <w:fldChar w:fldCharType="end"/>
      </w:r>
      <w:r>
        <w:t>,</w:t>
      </w:r>
      <w:r>
        <w:fldChar w:fldCharType="begin"/>
      </w:r>
      <w:r>
        <w:instrText xml:space="preserve"> REF _Ref_47 \h </w:instrText>
      </w:r>
      <w:r>
        <w:fldChar w:fldCharType="separate"/>
      </w:r>
      <w:r>
        <w:t>47</w:t>
      </w:r>
      <w:r>
        <w:fldChar w:fldCharType="end"/>
      </w:r>
      <w:r>
        <w:t>,</w:t>
      </w:r>
      <w:r>
        <w:fldChar w:fldCharType="begin"/>
      </w:r>
      <w:r>
        <w:instrText xml:space="preserve"> REF _Ref_48 \h </w:instrText>
      </w:r>
      <w:r>
        <w:fldChar w:fldCharType="separate"/>
      </w:r>
      <w:r>
        <w:t>48</w:t>
      </w:r>
      <w:r>
        <w:fldChar w:fldCharType="end"/>
      </w:r>
      <w:r>
        <w:t>]</w:t>
      </w:r>
      <w:r>
        <w:rPr>
          <w:b w:val="0"/>
          <w:i w:val="0"/>
        </w:rPr>
        <w:t xml:space="preserve"> — even while economy-wide employment effects remain modest so far </w:t>
      </w:r>
      <w:r>
        <w:t>[</w:t>
      </w:r>
      <w:r>
        <w:fldChar w:fldCharType="begin"/>
      </w:r>
      <w:r>
        <w:instrText xml:space="preserve"> REF _Ref_49 \h </w:instrText>
      </w:r>
      <w:r>
        <w:fldChar w:fldCharType="separate"/>
      </w:r>
      <w:r>
        <w:t>49</w:t>
      </w:r>
      <w:r>
        <w:fldChar w:fldCharType="end"/>
      </w:r>
      <w:r>
        <w:t>]</w:t>
      </w:r>
      <w:r>
        <w:rPr>
          <w:b w:val="0"/>
          <w:i w:val="0"/>
        </w:rPr>
        <w:t xml:space="preserve">, which is precisely why the entry margin, where the effects concentrate </w:t>
      </w:r>
      <w:r>
        <w:t>[</w:t>
      </w:r>
      <w:r>
        <w:fldChar w:fldCharType="begin"/>
      </w:r>
      <w:r>
        <w:instrText xml:space="preserve"> REF _Ref_50 \h </w:instrText>
      </w:r>
      <w:r>
        <w:fldChar w:fldCharType="separate"/>
      </w:r>
      <w:r>
        <w:t>50</w:t>
      </w:r>
      <w:r>
        <w:fldChar w:fldCharType="end"/>
      </w:r>
      <w:r>
        <w:t>]</w:t>
      </w:r>
      <w:r>
        <w:rPr>
          <w:b w:val="0"/>
          <w:i w:val="0"/>
        </w:rPr>
        <w:t xml:space="preserve">, deserves separate study. Chinese firm-level evidence points the same way </w:t>
      </w:r>
      <w:r>
        <w:t>[</w:t>
      </w:r>
      <w:r>
        <w:fldChar w:fldCharType="begin"/>
      </w:r>
      <w:r>
        <w:instrText xml:space="preserve"> REF _Ref_51 \h </w:instrText>
      </w:r>
      <w:r>
        <w:fldChar w:fldCharType="separate"/>
      </w:r>
      <w:r>
        <w:t>51</w:t>
      </w:r>
      <w:r>
        <w:fldChar w:fldCharType="end"/>
      </w:r>
      <w:r>
        <w:t>–</w:t>
      </w:r>
      <w:r>
        <w:fldChar w:fldCharType="begin"/>
      </w:r>
      <w:r>
        <w:instrText xml:space="preserve"> REF _Ref_55 \h </w:instrText>
      </w:r>
      <w:r>
        <w:fldChar w:fldCharType="separate"/>
      </w:r>
      <w:r>
        <w:t>55</w:t>
      </w:r>
      <w:r>
        <w:fldChar w:fldCharType="end"/>
      </w:r>
      <w:r>
        <w:t>]</w:t>
      </w:r>
      <w:r>
        <w:rPr>
          <w:b w:val="0"/>
          <w:i w:val="0"/>
        </w:rPr>
        <w:t>. What has not been studied is the perception of this disturbance by those on its receiving end, and the system through which perception becomes choice.</w:t>
      </w:r>
    </w:p>
    <w:p>
      <w:pPr>
        <w:pStyle w:val="MDPI22heading2"/>
      </w:pPr>
      <w:r>
        <w:t>2.2. Perceived Human Capital Depreciation and Career Anxiety</w:t>
      </w:r>
    </w:p>
    <w:p>
      <w:pPr>
        <w:pStyle w:val="MDPI32textnoindent"/>
      </w:pPr>
      <w:r>
        <w:rPr>
          <w:b w:val="0"/>
          <w:i w:val="0"/>
        </w:rPr>
        <w:t xml:space="preserve">Human capital depreciates when the market value of a skill stock falls, whether through wear, through vintage effects or through technological displacement of the tasks the skills perform </w:t>
      </w:r>
      <w:r>
        <w:t>[</w:t>
      </w:r>
      <w:r>
        <w:fldChar w:fldCharType="begin"/>
      </w:r>
      <w:r>
        <w:instrText xml:space="preserve"> REF _Ref_56 \h </w:instrText>
      </w:r>
      <w:r>
        <w:fldChar w:fldCharType="separate"/>
      </w:r>
      <w:r>
        <w:t>56</w:t>
      </w:r>
      <w:r>
        <w:fldChar w:fldCharType="end"/>
      </w:r>
      <w:r>
        <w:t>–</w:t>
      </w:r>
      <w:r>
        <w:fldChar w:fldCharType="begin"/>
      </w:r>
      <w:r>
        <w:instrText xml:space="preserve"> REF _Ref_58 \h </w:instrText>
      </w:r>
      <w:r>
        <w:fldChar w:fldCharType="separate"/>
      </w:r>
      <w:r>
        <w:t>58</w:t>
      </w:r>
      <w:r>
        <w:fldChar w:fldCharType="end"/>
      </w:r>
      <w:r>
        <w:t>]</w:t>
      </w:r>
      <w:r>
        <w:rPr>
          <w:b w:val="0"/>
          <w:i w:val="0"/>
        </w:rPr>
        <w:t xml:space="preserve">. The loss lands hardest on entrants because early careers are built by doing: skills are accumulated on the job </w:t>
      </w:r>
      <w:r>
        <w:t>[</w:t>
      </w:r>
      <w:r>
        <w:fldChar w:fldCharType="begin"/>
      </w:r>
      <w:r>
        <w:instrText xml:space="preserve"> REF _Ref_59 \h </w:instrText>
      </w:r>
      <w:r>
        <w:fldChar w:fldCharType="separate"/>
      </w:r>
      <w:r>
        <w:t>59</w:t>
      </w:r>
      <w:r>
        <w:fldChar w:fldCharType="end"/>
      </w:r>
      <w:r>
        <w:t>]</w:t>
      </w:r>
      <w:r>
        <w:rPr>
          <w:b w:val="0"/>
          <w:i w:val="0"/>
        </w:rPr>
        <w:t xml:space="preserve">, weighted and priced by the tasks a position offers </w:t>
      </w:r>
      <w:r>
        <w:t>[</w:t>
      </w:r>
      <w:r>
        <w:fldChar w:fldCharType="begin"/>
      </w:r>
      <w:r>
        <w:instrText xml:space="preserve"> REF _Ref_60 \h </w:instrText>
      </w:r>
      <w:r>
        <w:fldChar w:fldCharType="separate"/>
      </w:r>
      <w:r>
        <w:t>60</w:t>
      </w:r>
      <w:r>
        <w:fldChar w:fldCharType="end"/>
      </w:r>
      <w:r>
        <w:t>]</w:t>
      </w:r>
      <w:r>
        <w:rPr>
          <w:b w:val="0"/>
          <w:i w:val="0"/>
        </w:rPr>
        <w:t xml:space="preserve">, and advanced through internal ladders whose first rung is exactly the work the technology absorbs </w:t>
      </w:r>
      <w:r>
        <w:t>[</w:t>
      </w:r>
      <w:r>
        <w:fldChar w:fldCharType="begin"/>
      </w:r>
      <w:r>
        <w:instrText xml:space="preserve"> REF _Ref_61 \h </w:instrText>
      </w:r>
      <w:r>
        <w:fldChar w:fldCharType="separate"/>
      </w:r>
      <w:r>
        <w:t>61</w:t>
      </w:r>
      <w:r>
        <w:fldChar w:fldCharType="end"/>
      </w:r>
      <w:r>
        <w:t>]</w:t>
      </w:r>
      <w:r>
        <w:rPr>
          <w:b w:val="0"/>
          <w:i w:val="0"/>
        </w:rPr>
        <w:t xml:space="preserve">. What matters for behavior is not the depreciation itself but its perception. A graduate observes the capability of generative systems in their own domain, compares it with what they were trained to do, and forms a judgment about how fast the training is losing value </w:t>
      </w:r>
      <w:r>
        <w:t>[</w:t>
      </w:r>
      <w:r>
        <w:fldChar w:fldCharType="begin"/>
      </w:r>
      <w:r>
        <w:instrText xml:space="preserve"> REF _Ref_21 \h </w:instrText>
      </w:r>
      <w:r>
        <w:fldChar w:fldCharType="separate"/>
      </w:r>
      <w:r>
        <w:t>21</w:t>
      </w:r>
      <w:r>
        <w:fldChar w:fldCharType="end"/>
      </w:r>
      <w:r>
        <w:t>,</w:t>
      </w:r>
      <w:r>
        <w:fldChar w:fldCharType="begin"/>
      </w:r>
      <w:r>
        <w:instrText xml:space="preserve"> REF _Ref_62 \h </w:instrText>
      </w:r>
      <w:r>
        <w:fldChar w:fldCharType="separate"/>
      </w:r>
      <w:r>
        <w:t>62</w:t>
      </w:r>
      <w:r>
        <w:fldChar w:fldCharType="end"/>
      </w:r>
      <w:r>
        <w:t>]</w:t>
      </w:r>
      <w:r>
        <w:rPr>
          <w:b w:val="0"/>
          <w:i w:val="0"/>
        </w:rPr>
        <w:t xml:space="preserve">. In appraisal-theoretic terms this is a primary appraisal of threat to a central resource, the career </w:t>
      </w:r>
      <w:r>
        <w:t>[</w:t>
      </w:r>
      <w:r>
        <w:fldChar w:fldCharType="begin"/>
      </w:r>
      <w:r>
        <w:instrText xml:space="preserve"> REF _Ref_63 \h </w:instrText>
      </w:r>
      <w:r>
        <w:fldChar w:fldCharType="separate"/>
      </w:r>
      <w:r>
        <w:t>63</w:t>
      </w:r>
      <w:r>
        <w:fldChar w:fldCharType="end"/>
      </w:r>
      <w:r>
        <w:t>]</w:t>
      </w:r>
      <w:r>
        <w:rPr>
          <w:b w:val="0"/>
          <w:i w:val="0"/>
        </w:rPr>
        <w:t xml:space="preserve">; in conservation-of-resources terms it is anticipated resource loss, the most potent known elicitor of stress </w:t>
      </w:r>
      <w:r>
        <w:t>[</w:t>
      </w:r>
      <w:r>
        <w:fldChar w:fldCharType="begin"/>
      </w:r>
      <w:r>
        <w:instrText xml:space="preserve"> REF _Ref_64 \h </w:instrText>
      </w:r>
      <w:r>
        <w:fldChar w:fldCharType="separate"/>
      </w:r>
      <w:r>
        <w:t>64</w:t>
      </w:r>
      <w:r>
        <w:fldChar w:fldCharType="end"/>
      </w:r>
      <w:r>
        <w:t>,</w:t>
      </w:r>
      <w:r>
        <w:fldChar w:fldCharType="begin"/>
      </w:r>
      <w:r>
        <w:instrText xml:space="preserve"> REF _Ref_65 \h </w:instrText>
      </w:r>
      <w:r>
        <w:fldChar w:fldCharType="separate"/>
      </w:r>
      <w:r>
        <w:t>65</w:t>
      </w:r>
      <w:r>
        <w:fldChar w:fldCharType="end"/>
      </w:r>
      <w:r>
        <w:t>]</w:t>
      </w:r>
      <w:r>
        <w:rPr>
          <w:b w:val="0"/>
          <w:i w:val="0"/>
        </w:rPr>
        <w:t xml:space="preserve">. Both traditions, and the cybernetic reading in which the percept is a widening discrepancy between expected and likely trajectory </w:t>
      </w:r>
      <w:r>
        <w:t>[</w:t>
      </w:r>
      <w:r>
        <w:fldChar w:fldCharType="begin"/>
      </w:r>
      <w:r>
        <w:instrText xml:space="preserve"> REF _Ref_24 \h </w:instrText>
      </w:r>
      <w:r>
        <w:fldChar w:fldCharType="separate"/>
      </w:r>
      <w:r>
        <w:t>24</w:t>
      </w:r>
      <w:r>
        <w:fldChar w:fldCharType="end"/>
      </w:r>
      <w:r>
        <w:t>]</w:t>
      </w:r>
      <w:r>
        <w:rPr>
          <w:b w:val="0"/>
          <w:i w:val="0"/>
        </w:rPr>
        <w:t xml:space="preserve">, predict the same first link: perceived depreciation should convert into career-specific anxiety, the unpleasant activation state focused on one’s occupational future </w:t>
      </w:r>
      <w:r>
        <w:t>[</w:t>
      </w:r>
      <w:r>
        <w:fldChar w:fldCharType="begin"/>
      </w:r>
      <w:r>
        <w:instrText xml:space="preserve"> REF _Ref_19 \h </w:instrText>
      </w:r>
      <w:r>
        <w:fldChar w:fldCharType="separate"/>
      </w:r>
      <w:r>
        <w:t>19</w:t>
      </w:r>
      <w:r>
        <w:fldChar w:fldCharType="end"/>
      </w:r>
      <w:r>
        <w:t>,</w:t>
      </w:r>
      <w:r>
        <w:fldChar w:fldCharType="begin"/>
      </w:r>
      <w:r>
        <w:instrText xml:space="preserve"> REF _Ref_20 \h </w:instrText>
      </w:r>
      <w:r>
        <w:fldChar w:fldCharType="separate"/>
      </w:r>
      <w:r>
        <w:t>20</w:t>
      </w:r>
      <w:r>
        <w:fldChar w:fldCharType="end"/>
      </w:r>
      <w:r>
        <w:t>,</w:t>
      </w:r>
      <w:r>
        <w:fldChar w:fldCharType="begin"/>
      </w:r>
      <w:r>
        <w:instrText xml:space="preserve"> REF _Ref_66 \h </w:instrText>
      </w:r>
      <w:r>
        <w:fldChar w:fldCharType="separate"/>
      </w:r>
      <w:r>
        <w:t>66</w:t>
      </w:r>
      <w:r>
        <w:fldChar w:fldCharType="end"/>
      </w:r>
      <w:r>
        <w:t>]</w:t>
      </w:r>
      <w:r>
        <w:rPr>
          <w:b w:val="0"/>
          <w:i w:val="0"/>
        </w:rPr>
        <w:t>. Accordingly:</w:t>
      </w:r>
    </w:p>
    <w:p>
      <w:pPr>
        <w:pStyle w:val="MDPI32textnoindent"/>
        <w:spacing w:before="100" w:after="100"/>
        <w:ind w:left="2948" w:firstLine="0"/>
      </w:pPr>
      <w:r>
        <w:rPr>
          <w:b/>
        </w:rPr>
        <w:t xml:space="preserve">H1. </w:t>
      </w:r>
      <w:r>
        <w:rPr>
          <w:b w:val="0"/>
          <w:i/>
        </w:rPr>
        <w:t>Perceived human capital depreciation is positively associated with AI-related career anxiety.</w:t>
      </w:r>
    </w:p>
    <w:p>
      <w:pPr>
        <w:pStyle w:val="MDPI22heading2"/>
      </w:pPr>
      <w:r>
        <w:t>2.3. The Dual Response: Adaptation and Avoidance</w:t>
      </w:r>
    </w:p>
    <w:p>
      <w:pPr>
        <w:pStyle w:val="MDPI32textnoindent"/>
      </w:pPr>
      <w:r>
        <w:rPr>
          <w:b w:val="0"/>
          <w:i w:val="0"/>
        </w:rPr>
        <w:t xml:space="preserve">Anxiety is an activation state, and activation is behaviorally ambidextrous. The coping literature distinguishes problem-focused responses, which attack the stressor, from emotion-focused and avoidant responses, which attack the feeling </w:t>
      </w:r>
      <w:r>
        <w:t>[</w:t>
      </w:r>
      <w:r>
        <w:fldChar w:fldCharType="begin"/>
      </w:r>
      <w:r>
        <w:instrText xml:space="preserve"> REF _Ref_63 \h </w:instrText>
      </w:r>
      <w:r>
        <w:fldChar w:fldCharType="separate"/>
      </w:r>
      <w:r>
        <w:t>63</w:t>
      </w:r>
      <w:r>
        <w:fldChar w:fldCharType="end"/>
      </w:r>
      <w:r>
        <w:t>]</w:t>
      </w:r>
      <w:r>
        <w:rPr>
          <w:b w:val="0"/>
          <w:i w:val="0"/>
        </w:rPr>
        <w:t xml:space="preserve">. In the career domain the problem-focused response is occupational adaptation: enrolling in structured reskilling, pursuing credentials, deliberately practicing the new technology, and repositioning toward tasks the technology complements rather than substitutes </w:t>
      </w:r>
      <w:r>
        <w:t>[</w:t>
      </w:r>
      <w:r>
        <w:fldChar w:fldCharType="begin"/>
      </w:r>
      <w:r>
        <w:instrText xml:space="preserve"> REF _Ref_67 \h </w:instrText>
      </w:r>
      <w:r>
        <w:fldChar w:fldCharType="separate"/>
      </w:r>
      <w:r>
        <w:t>67</w:t>
      </w:r>
      <w:r>
        <w:fldChar w:fldCharType="end"/>
      </w:r>
      <w:r>
        <w:t>,</w:t>
      </w:r>
      <w:r>
        <w:fldChar w:fldCharType="begin"/>
      </w:r>
      <w:r>
        <w:instrText xml:space="preserve"> REF _Ref_68 \h </w:instrText>
      </w:r>
      <w:r>
        <w:fldChar w:fldCharType="separate"/>
      </w:r>
      <w:r>
        <w:t>68</w:t>
      </w:r>
      <w:r>
        <w:fldChar w:fldCharType="end"/>
      </w:r>
      <w:r>
        <w:t>]</w:t>
      </w:r>
      <w:r>
        <w:rPr>
          <w:b w:val="0"/>
          <w:i w:val="0"/>
        </w:rPr>
        <w:t xml:space="preserve">. The avoidant response is withdrawal: postponing career decisions, avoiding information about the technology, and contemplating exit from the chosen field </w:t>
      </w:r>
      <w:r>
        <w:t>[</w:t>
      </w:r>
      <w:r>
        <w:fldChar w:fldCharType="begin"/>
      </w:r>
      <w:r>
        <w:instrText xml:space="preserve"> REF _Ref_20 \h </w:instrText>
      </w:r>
      <w:r>
        <w:fldChar w:fldCharType="separate"/>
      </w:r>
      <w:r>
        <w:t>20</w:t>
      </w:r>
      <w:r>
        <w:fldChar w:fldCharType="end"/>
      </w:r>
      <w:r>
        <w:t>,</w:t>
      </w:r>
      <w:r>
        <w:fldChar w:fldCharType="begin"/>
      </w:r>
      <w:r>
        <w:instrText xml:space="preserve"> REF _Ref_21 \h </w:instrText>
      </w:r>
      <w:r>
        <w:fldChar w:fldCharType="separate"/>
      </w:r>
      <w:r>
        <w:t>21</w:t>
      </w:r>
      <w:r>
        <w:fldChar w:fldCharType="end"/>
      </w:r>
      <w:r>
        <w:t>]</w:t>
      </w:r>
      <w:r>
        <w:rPr>
          <w:b w:val="0"/>
          <w:i w:val="0"/>
        </w:rPr>
        <w:t>.</w:t>
      </w:r>
    </w:p>
    <w:p>
      <w:pPr>
        <w:pStyle w:val="MDPI31text"/>
      </w:pPr>
      <w:r>
        <w:rPr>
          <w:b w:val="0"/>
          <w:i w:val="0"/>
        </w:rPr>
        <w:t xml:space="preserve">The relationship between anxiety and the problem-focused response should not be monotone. At low levels, anxiety supplies the activation that overcomes the inertia of costly investment: this is the mobilizing arm familiar from the oldest result in behavioral activation research </w:t>
      </w:r>
      <w:r>
        <w:t>[</w:t>
      </w:r>
      <w:r>
        <w:fldChar w:fldCharType="begin"/>
      </w:r>
      <w:r>
        <w:instrText xml:space="preserve"> REF _Ref_69 \h </w:instrText>
      </w:r>
      <w:r>
        <w:fldChar w:fldCharType="separate"/>
      </w:r>
      <w:r>
        <w:t>69</w:t>
      </w:r>
      <w:r>
        <w:fldChar w:fldCharType="end"/>
      </w:r>
      <w:r>
        <w:t>]</w:t>
      </w:r>
      <w:r>
        <w:rPr>
          <w:b w:val="0"/>
          <w:i w:val="0"/>
        </w:rPr>
        <w:t xml:space="preserve"> and from conservation-of-resources theory, in which moderate loss threat triggers resource investment </w:t>
      </w:r>
      <w:r>
        <w:t>[</w:t>
      </w:r>
      <w:r>
        <w:fldChar w:fldCharType="begin"/>
      </w:r>
      <w:r>
        <w:instrText xml:space="preserve"> REF _Ref_65 \h </w:instrText>
      </w:r>
      <w:r>
        <w:fldChar w:fldCharType="separate"/>
      </w:r>
      <w:r>
        <w:t>65</w:t>
      </w:r>
      <w:r>
        <w:fldChar w:fldCharType="end"/>
      </w:r>
      <w:r>
        <w:t>]</w:t>
      </w:r>
      <w:r>
        <w:rPr>
          <w:b w:val="0"/>
          <w:i w:val="0"/>
        </w:rPr>
        <w:t xml:space="preserve">. At high levels, three mechanisms bend the curve down. Cognitively, high anxiety narrows attention and consumes the working memory that planning a retraining program requires. Motivationally, extreme threat triggers defensive avoidance rather than approach </w:t>
      </w:r>
      <w:r>
        <w:t>[</w:t>
      </w:r>
      <w:r>
        <w:fldChar w:fldCharType="begin"/>
      </w:r>
      <w:r>
        <w:instrText xml:space="preserve"> REF _Ref_63 \h </w:instrText>
      </w:r>
      <w:r>
        <w:fldChar w:fldCharType="separate"/>
      </w:r>
      <w:r>
        <w:t>63</w:t>
      </w:r>
      <w:r>
        <w:fldChar w:fldCharType="end"/>
      </w:r>
      <w:r>
        <w:t>]</w:t>
      </w:r>
      <w:r>
        <w:rPr>
          <w:b w:val="0"/>
          <w:i w:val="0"/>
        </w:rPr>
        <w:t xml:space="preserve">. And in resource terms, graduates deep in loss enter the defensive spiral in which conserving what remains dominates investing in what could be </w:t>
      </w:r>
      <w:r>
        <w:t>[</w:t>
      </w:r>
      <w:r>
        <w:fldChar w:fldCharType="begin"/>
      </w:r>
      <w:r>
        <w:instrText xml:space="preserve"> REF _Ref_65 \h </w:instrText>
      </w:r>
      <w:r>
        <w:fldChar w:fldCharType="separate"/>
      </w:r>
      <w:r>
        <w:t>65</w:t>
      </w:r>
      <w:r>
        <w:fldChar w:fldCharType="end"/>
      </w:r>
      <w:r>
        <w:t>]</w:t>
      </w:r>
      <w:r>
        <w:rPr>
          <w:b w:val="0"/>
          <w:i w:val="0"/>
        </w:rPr>
        <w:t xml:space="preserve">. The general form of this argument, that a productive input becomes counterproductive past an interior optimum, is the too-much-of-a-good-thing effect </w:t>
      </w:r>
      <w:r>
        <w:t>[</w:t>
      </w:r>
      <w:r>
        <w:fldChar w:fldCharType="begin"/>
      </w:r>
      <w:r>
        <w:instrText xml:space="preserve"> REF _Ref_70 \h </w:instrText>
      </w:r>
      <w:r>
        <w:fldChar w:fldCharType="separate"/>
      </w:r>
      <w:r>
        <w:t>70</w:t>
      </w:r>
      <w:r>
        <w:fldChar w:fldCharType="end"/>
      </w:r>
      <w:r>
        <w:t>,</w:t>
      </w:r>
      <w:r>
        <w:fldChar w:fldCharType="begin"/>
      </w:r>
      <w:r>
        <w:instrText xml:space="preserve"> REF _Ref_71 \h </w:instrText>
      </w:r>
      <w:r>
        <w:fldChar w:fldCharType="separate"/>
      </w:r>
      <w:r>
        <w:t>71</w:t>
      </w:r>
      <w:r>
        <w:fldChar w:fldCharType="end"/>
      </w:r>
      <w:r>
        <w:t>]</w:t>
      </w:r>
      <w:r>
        <w:rPr>
          <w:b w:val="0"/>
          <w:i w:val="0"/>
        </w:rPr>
        <w:t xml:space="preserve">, and in control-theoretic language it is saturation: an error signal beyond the actuator’s range ceases to improve regulation </w:t>
      </w:r>
      <w:r>
        <w:t>[</w:t>
      </w:r>
      <w:r>
        <w:fldChar w:fldCharType="begin"/>
      </w:r>
      <w:r>
        <w:instrText xml:space="preserve"> REF _Ref_24 \h </w:instrText>
      </w:r>
      <w:r>
        <w:fldChar w:fldCharType="separate"/>
      </w:r>
      <w:r>
        <w:t>24</w:t>
      </w:r>
      <w:r>
        <w:fldChar w:fldCharType="end"/>
      </w:r>
      <w:r>
        <w:t>,</w:t>
      </w:r>
      <w:r>
        <w:fldChar w:fldCharType="begin"/>
      </w:r>
      <w:r>
        <w:instrText xml:space="preserve"> REF _Ref_42 \h </w:instrText>
      </w:r>
      <w:r>
        <w:fldChar w:fldCharType="separate"/>
      </w:r>
      <w:r>
        <w:t>42</w:t>
      </w:r>
      <w:r>
        <w:fldChar w:fldCharType="end"/>
      </w:r>
      <w:r>
        <w:t>]</w:t>
      </w:r>
      <w:r>
        <w:rPr>
          <w:b w:val="0"/>
          <w:i w:val="0"/>
        </w:rPr>
        <w:t>. The avoidant response carries no such interior optimum; whatever anxiety remains unconverted into action discharges as escape, monotonically. Hence:</w:t>
      </w:r>
    </w:p>
    <w:p>
      <w:pPr>
        <w:pStyle w:val="MDPI32textnoindent"/>
        <w:spacing w:before="100" w:after="100"/>
        <w:ind w:left="2948" w:firstLine="0"/>
      </w:pPr>
      <w:r>
        <w:rPr>
          <w:b/>
        </w:rPr>
        <w:t xml:space="preserve">H2. </w:t>
      </w:r>
      <w:r>
        <w:rPr>
          <w:b w:val="0"/>
          <w:i/>
        </w:rPr>
        <w:t>AI-related career anxiety has an inverted U-shaped relationship with occupational adaptation: adaptation rises with anxiety up to a turning point and declines beyond it.</w:t>
      </w:r>
    </w:p>
    <w:p>
      <w:pPr>
        <w:pStyle w:val="MDPI32textnoindent"/>
        <w:spacing w:before="100" w:after="100"/>
        <w:ind w:left="2948" w:firstLine="0"/>
      </w:pPr>
      <w:r>
        <w:rPr>
          <w:b/>
        </w:rPr>
        <w:t xml:space="preserve">H3. </w:t>
      </w:r>
      <w:r>
        <w:rPr>
          <w:b w:val="0"/>
          <w:i/>
        </w:rPr>
        <w:t>AI-related career anxiety is positively and monotonically associated with career avoidance.</w:t>
      </w:r>
    </w:p>
    <w:p>
      <w:pPr>
        <w:pStyle w:val="MDPI22heading2"/>
      </w:pPr>
      <w:r>
        <w:t>2.4. Anxiety as the Conduit</w:t>
      </w:r>
    </w:p>
    <w:p>
      <w:pPr>
        <w:pStyle w:val="MDPI32textnoindent"/>
      </w:pPr>
      <w:r>
        <w:rPr>
          <w:b w:val="0"/>
          <w:i w:val="0"/>
        </w:rPr>
        <w:t xml:space="preserve">If anxiety is the error signal through which the depreciation percept reaches behavior, then depreciation should influence both responses through anxiety, and the sign and size of the transmitted effect should inherit the curvature of the second stage. Formally, the indirect effect of depreciation on adaptation is the product of the first-stage slope and the local second-stage slope, and because the latter changes sign at the turning point, the same depreciation signal that mobilizes a calm graduate demobilizes an already anxious one </w:t>
      </w:r>
      <w:r>
        <w:t>[</w:t>
      </w:r>
      <w:r>
        <w:fldChar w:fldCharType="begin"/>
      </w:r>
      <w:r>
        <w:instrText xml:space="preserve"> REF _Ref_26 \h </w:instrText>
      </w:r>
      <w:r>
        <w:fldChar w:fldCharType="separate"/>
      </w:r>
      <w:r>
        <w:t>26</w:t>
      </w:r>
      <w:r>
        <w:fldChar w:fldCharType="end"/>
      </w:r>
      <w:r>
        <w:t>,</w:t>
      </w:r>
      <w:r>
        <w:fldChar w:fldCharType="begin"/>
      </w:r>
      <w:r>
        <w:instrText xml:space="preserve"> REF _Ref_27 \h </w:instrText>
      </w:r>
      <w:r>
        <w:fldChar w:fldCharType="separate"/>
      </w:r>
      <w:r>
        <w:t>27</w:t>
      </w:r>
      <w:r>
        <w:fldChar w:fldCharType="end"/>
      </w:r>
      <w:r>
        <w:t>]</w:t>
      </w:r>
      <w:r>
        <w:rPr>
          <w:b w:val="0"/>
          <w:i w:val="0"/>
        </w:rPr>
        <w:t>. This is a stronger and more falsifiable claim than simple mediation, and it is the signature prediction of the control-loop reading:</w:t>
      </w:r>
    </w:p>
    <w:p>
      <w:pPr>
        <w:pStyle w:val="MDPI32textnoindent"/>
        <w:spacing w:before="100" w:after="100"/>
        <w:ind w:left="2948" w:firstLine="0"/>
      </w:pPr>
      <w:r>
        <w:rPr>
          <w:b/>
        </w:rPr>
        <w:t xml:space="preserve">H4a. </w:t>
      </w:r>
      <w:r>
        <w:rPr>
          <w:b w:val="0"/>
          <w:i/>
        </w:rPr>
        <w:t>AI-related career anxiety transmits the effect of perceived human capital depreciation to occupational adaptation, and the transmitted effect declines with the level of anxiety, turning negative beyond the turning point.</w:t>
      </w:r>
    </w:p>
    <w:p>
      <w:pPr>
        <w:pStyle w:val="MDPI32textnoindent"/>
        <w:spacing w:before="100" w:after="100"/>
        <w:ind w:left="2948" w:firstLine="0"/>
      </w:pPr>
      <w:r>
        <w:rPr>
          <w:b/>
        </w:rPr>
        <w:t xml:space="preserve">H4b. </w:t>
      </w:r>
      <w:r>
        <w:rPr>
          <w:b w:val="0"/>
          <w:i/>
        </w:rPr>
        <w:t>AI-related career anxiety transmits a positive effect of perceived human capital depreciation to career avoidance.</w:t>
      </w:r>
    </w:p>
    <w:p>
      <w:pPr>
        <w:pStyle w:val="MDPI22heading2"/>
      </w:pPr>
      <w:r>
        <w:t>2.5. Boundary Conditions: Literacy and Support</w:t>
      </w:r>
    </w:p>
    <w:p>
      <w:pPr>
        <w:pStyle w:val="MDPI32textnoindent"/>
      </w:pPr>
      <w:r>
        <w:rPr>
          <w:b w:val="0"/>
          <w:i w:val="0"/>
        </w:rPr>
        <w:t xml:space="preserve">What separates the graduates whose anxiety converts into adaptation from those whose anxiety converts into escape? The systems answer is the actuator set. The first actuator is generative-AI literacy: the self-efficacious command of the technology itself, the ability to prompt, verify, and integrate machine output into one’s own work </w:t>
      </w:r>
      <w:r>
        <w:t>[</w:t>
      </w:r>
      <w:r>
        <w:fldChar w:fldCharType="begin"/>
      </w:r>
      <w:r>
        <w:instrText xml:space="preserve"> REF _Ref_19 \h </w:instrText>
      </w:r>
      <w:r>
        <w:fldChar w:fldCharType="separate"/>
      </w:r>
      <w:r>
        <w:t>19</w:t>
      </w:r>
      <w:r>
        <w:fldChar w:fldCharType="end"/>
      </w:r>
      <w:r>
        <w:t>,</w:t>
      </w:r>
      <w:r>
        <w:fldChar w:fldCharType="begin"/>
      </w:r>
      <w:r>
        <w:instrText xml:space="preserve"> REF _Ref_62 \h </w:instrText>
      </w:r>
      <w:r>
        <w:fldChar w:fldCharType="separate"/>
      </w:r>
      <w:r>
        <w:t>62</w:t>
      </w:r>
      <w:r>
        <w:fldChar w:fldCharType="end"/>
      </w:r>
      <w:r>
        <w:t>,</w:t>
      </w:r>
      <w:r>
        <w:fldChar w:fldCharType="begin"/>
      </w:r>
      <w:r>
        <w:instrText xml:space="preserve"> REF _Ref_72 \h </w:instrText>
      </w:r>
      <w:r>
        <w:fldChar w:fldCharType="separate"/>
      </w:r>
      <w:r>
        <w:t>72</w:t>
      </w:r>
      <w:r>
        <w:fldChar w:fldCharType="end"/>
      </w:r>
      <w:r>
        <w:t>]</w:t>
      </w:r>
      <w:r>
        <w:rPr>
          <w:b w:val="0"/>
          <w:i w:val="0"/>
        </w:rPr>
        <w:t xml:space="preserve">. Literacy raises the expected return on every unit of adaptive effort, because a graduate who can already use the tool converts a reskilling course into complementarity faster than one who cannot </w:t>
      </w:r>
      <w:r>
        <w:t>[</w:t>
      </w:r>
      <w:r>
        <w:fldChar w:fldCharType="begin"/>
      </w:r>
      <w:r>
        <w:instrText xml:space="preserve"> REF _Ref_73 \h </w:instrText>
      </w:r>
      <w:r>
        <w:fldChar w:fldCharType="separate"/>
      </w:r>
      <w:r>
        <w:t>73</w:t>
      </w:r>
      <w:r>
        <w:fldChar w:fldCharType="end"/>
      </w:r>
      <w:r>
        <w:t>,</w:t>
      </w:r>
      <w:r>
        <w:fldChar w:fldCharType="begin"/>
      </w:r>
      <w:r>
        <w:instrText xml:space="preserve"> REF _Ref_74 \h </w:instrText>
      </w:r>
      <w:r>
        <w:fldChar w:fldCharType="separate"/>
      </w:r>
      <w:r>
        <w:t>74</w:t>
      </w:r>
      <w:r>
        <w:fldChar w:fldCharType="end"/>
      </w:r>
      <w:r>
        <w:t>]</w:t>
      </w:r>
      <w:r>
        <w:rPr>
          <w:b w:val="0"/>
          <w:i w:val="0"/>
        </w:rPr>
        <w:t xml:space="preserve">. In the geometry of the inverted U, a higher payoff to effort holds the upward arm positive for longer, displacing the turning point outward </w:t>
      </w:r>
      <w:r>
        <w:t>[</w:t>
      </w:r>
      <w:r>
        <w:fldChar w:fldCharType="begin"/>
      </w:r>
      <w:r>
        <w:instrText xml:space="preserve"> REF _Ref_28 \h </w:instrText>
      </w:r>
      <w:r>
        <w:fldChar w:fldCharType="separate"/>
      </w:r>
      <w:r>
        <w:t>28</w:t>
      </w:r>
      <w:r>
        <w:fldChar w:fldCharType="end"/>
      </w:r>
      <w:r>
        <w:t>]</w:t>
      </w:r>
      <w:r>
        <w:rPr>
          <w:b w:val="0"/>
          <w:i w:val="0"/>
        </w:rPr>
        <w:t xml:space="preserve">; the same command of the tool should drain the avoidance channel, because escape loses its appeal when engagement is feasible. The second actuator is perceived employability support: the graduate’s assessment that university career services, employer training provision and their professional network stand behind their transition </w:t>
      </w:r>
      <w:r>
        <w:t>[</w:t>
      </w:r>
      <w:r>
        <w:fldChar w:fldCharType="begin"/>
      </w:r>
      <w:r>
        <w:instrText xml:space="preserve"> REF _Ref_75 \h </w:instrText>
      </w:r>
      <w:r>
        <w:fldChar w:fldCharType="separate"/>
      </w:r>
      <w:r>
        <w:t>75</w:t>
      </w:r>
      <w:r>
        <w:fldChar w:fldCharType="end"/>
      </w:r>
      <w:r>
        <w:t>,</w:t>
      </w:r>
      <w:r>
        <w:fldChar w:fldCharType="begin"/>
      </w:r>
      <w:r>
        <w:instrText xml:space="preserve"> REF _Ref_76 \h </w:instrText>
      </w:r>
      <w:r>
        <w:fldChar w:fldCharType="separate"/>
      </w:r>
      <w:r>
        <w:t>76</w:t>
      </w:r>
      <w:r>
        <w:fldChar w:fldCharType="end"/>
      </w:r>
      <w:r>
        <w:t>]</w:t>
      </w:r>
      <w:r>
        <w:rPr>
          <w:b w:val="0"/>
          <w:i w:val="0"/>
        </w:rPr>
        <w:t xml:space="preserve">. Support operates earlier in the loop. It reframes the depreciation percept as a solvable problem, so the same objective signal generates less anxiety in the first place, the classic buffering position of the stress literature </w:t>
      </w:r>
      <w:r>
        <w:t>[</w:t>
      </w:r>
      <w:r>
        <w:fldChar w:fldCharType="begin"/>
      </w:r>
      <w:r>
        <w:instrText xml:space="preserve"> REF _Ref_63 \h </w:instrText>
      </w:r>
      <w:r>
        <w:fldChar w:fldCharType="separate"/>
      </w:r>
      <w:r>
        <w:t>63</w:t>
      </w:r>
      <w:r>
        <w:fldChar w:fldCharType="end"/>
      </w:r>
      <w:r>
        <w:t>,</w:t>
      </w:r>
      <w:r>
        <w:fldChar w:fldCharType="begin"/>
      </w:r>
      <w:r>
        <w:instrText xml:space="preserve"> REF _Ref_65 \h </w:instrText>
      </w:r>
      <w:r>
        <w:fldChar w:fldCharType="separate"/>
      </w:r>
      <w:r>
        <w:t>65</w:t>
      </w:r>
      <w:r>
        <w:fldChar w:fldCharType="end"/>
      </w:r>
      <w:r>
        <w:t>]</w:t>
      </w:r>
      <w:r>
        <w:rPr>
          <w:b w:val="0"/>
          <w:i w:val="0"/>
        </w:rPr>
        <w:t>. Accordingly:</w:t>
      </w:r>
    </w:p>
    <w:p>
      <w:pPr>
        <w:pStyle w:val="MDPI32textnoindent"/>
        <w:spacing w:before="100" w:after="100"/>
        <w:ind w:left="2948" w:firstLine="0"/>
      </w:pPr>
      <w:r>
        <w:rPr>
          <w:b/>
        </w:rPr>
        <w:t xml:space="preserve">H5a. </w:t>
      </w:r>
      <w:r>
        <w:rPr>
          <w:b w:val="0"/>
          <w:i/>
        </w:rPr>
        <w:t>Generative-AI literacy moderates the second stage: it raises the marginal payoff of anxiety for adaptation and displaces the turning point outward.</w:t>
      </w:r>
    </w:p>
    <w:p>
      <w:pPr>
        <w:pStyle w:val="MDPI32textnoindent"/>
        <w:spacing w:before="100" w:after="100"/>
        <w:ind w:left="2948" w:firstLine="0"/>
      </w:pPr>
      <w:r>
        <w:rPr>
          <w:b/>
        </w:rPr>
        <w:t xml:space="preserve">H5b. </w:t>
      </w:r>
      <w:r>
        <w:rPr>
          <w:b w:val="0"/>
          <w:i/>
        </w:rPr>
        <w:t>Generative-AI literacy weakens the positive association between anxiety and career avoidance.</w:t>
      </w:r>
    </w:p>
    <w:p>
      <w:pPr>
        <w:pStyle w:val="MDPI32textnoindent"/>
        <w:spacing w:before="100" w:after="100"/>
        <w:ind w:left="2948" w:firstLine="0"/>
      </w:pPr>
      <w:r>
        <w:rPr>
          <w:b/>
        </w:rPr>
        <w:t xml:space="preserve">H6. </w:t>
      </w:r>
      <w:r>
        <w:rPr>
          <w:b w:val="0"/>
          <w:i/>
        </w:rPr>
        <w:t>Perceived employability support weakens the first stage: the association between perceived depreciation and anxiety is smaller at higher support.</w:t>
      </w:r>
    </w:p>
    <w:p>
      <w:pPr>
        <w:pStyle w:val="MDPI22heading2"/>
      </w:pPr>
      <w:r>
        <w:t>2.6. A Configurational View: Necessity and Sufficiency</w:t>
      </w:r>
    </w:p>
    <w:p>
      <w:pPr>
        <w:pStyle w:val="MDPI32textnoindent"/>
      </w:pPr>
      <w:r>
        <w:rPr>
          <w:b w:val="0"/>
          <w:i w:val="0"/>
        </w:rPr>
        <w:t xml:space="preserve">Interaction terms test whether conditions modify each other at the margin; they do not test the stronger systems claim that outcomes are produced by configurations, combinations of conditions that succeed or fail as wholes </w:t>
      </w:r>
      <w:r>
        <w:t>[</w:t>
      </w:r>
      <w:r>
        <w:fldChar w:fldCharType="begin"/>
      </w:r>
      <w:r>
        <w:instrText xml:space="preserve"> REF _Ref_30 \h </w:instrText>
      </w:r>
      <w:r>
        <w:fldChar w:fldCharType="separate"/>
      </w:r>
      <w:r>
        <w:t>30</w:t>
      </w:r>
      <w:r>
        <w:fldChar w:fldCharType="end"/>
      </w:r>
      <w:r>
        <w:t>,</w:t>
      </w:r>
      <w:r>
        <w:fldChar w:fldCharType="begin"/>
      </w:r>
      <w:r>
        <w:instrText xml:space="preserve"> REF _Ref_35 \h </w:instrText>
      </w:r>
      <w:r>
        <w:fldChar w:fldCharType="separate"/>
      </w:r>
      <w:r>
        <w:t>35</w:t>
      </w:r>
      <w:r>
        <w:fldChar w:fldCharType="end"/>
      </w:r>
      <w:r>
        <w:t>,</w:t>
      </w:r>
      <w:r>
        <w:fldChar w:fldCharType="begin"/>
      </w:r>
      <w:r>
        <w:instrText xml:space="preserve"> REF _Ref_77 \h </w:instrText>
      </w:r>
      <w:r>
        <w:fldChar w:fldCharType="separate"/>
      </w:r>
      <w:r>
        <w:t>77</w:t>
      </w:r>
      <w:r>
        <w:fldChar w:fldCharType="end"/>
      </w:r>
      <w:r>
        <w:t>]</w:t>
      </w:r>
      <w:r>
        <w:rPr>
          <w:b w:val="0"/>
          <w:i w:val="0"/>
        </w:rPr>
        <w:t xml:space="preserve">. Complex adaptive systems typically exhibit equifinality, multiple distinct paths to the same outcome </w:t>
      </w:r>
      <w:r>
        <w:t>[</w:t>
      </w:r>
      <w:r>
        <w:fldChar w:fldCharType="begin"/>
      </w:r>
      <w:r>
        <w:instrText xml:space="preserve"> REF _Ref_29 \h </w:instrText>
      </w:r>
      <w:r>
        <w:fldChar w:fldCharType="separate"/>
      </w:r>
      <w:r>
        <w:t>29</w:t>
      </w:r>
      <w:r>
        <w:fldChar w:fldCharType="end"/>
      </w:r>
      <w:r>
        <w:t>,</w:t>
      </w:r>
      <w:r>
        <w:fldChar w:fldCharType="begin"/>
      </w:r>
      <w:r>
        <w:instrText xml:space="preserve"> REF _Ref_78 \h </w:instrText>
      </w:r>
      <w:r>
        <w:fldChar w:fldCharType="separate"/>
      </w:r>
      <w:r>
        <w:t>78</w:t>
      </w:r>
      <w:r>
        <w:fldChar w:fldCharType="end"/>
      </w:r>
      <w:r>
        <w:t>]</w:t>
      </w:r>
      <w:r>
        <w:rPr>
          <w:b w:val="0"/>
          <w:i w:val="0"/>
        </w:rPr>
        <w:t xml:space="preserve">, and the default expectation of configurational research in the information-systems and management traditions is that several recipes will surface </w:t>
      </w:r>
      <w:r>
        <w:t>[</w:t>
      </w:r>
      <w:r>
        <w:fldChar w:fldCharType="begin"/>
      </w:r>
      <w:r>
        <w:instrText xml:space="preserve"> REF _Ref_31 \h </w:instrText>
      </w:r>
      <w:r>
        <w:fldChar w:fldCharType="separate"/>
      </w:r>
      <w:r>
        <w:t>31</w:t>
      </w:r>
      <w:r>
        <w:fldChar w:fldCharType="end"/>
      </w:r>
      <w:r>
        <w:t>,</w:t>
      </w:r>
      <w:r>
        <w:fldChar w:fldCharType="begin"/>
      </w:r>
      <w:r>
        <w:instrText xml:space="preserve"> REF _Ref_32 \h </w:instrText>
      </w:r>
      <w:r>
        <w:fldChar w:fldCharType="separate"/>
      </w:r>
      <w:r>
        <w:t>32</w:t>
      </w:r>
      <w:r>
        <w:fldChar w:fldCharType="end"/>
      </w:r>
      <w:r>
        <w:t>]</w:t>
      </w:r>
      <w:r>
        <w:rPr>
          <w:b w:val="0"/>
          <w:i w:val="0"/>
        </w:rPr>
        <w:t>. The control-loop argument, however, points the other way. If adaptation requires a signal (anxiety at a workable level), an actuator (literacy) and an enabling environment (support) simultaneously, then the recipes should collapse toward a single conjunction, and no individual ingredient should be sufficient or strictly necessary on its own. The configurational analysis therefore tests two claims against each other:</w:t>
      </w:r>
    </w:p>
    <w:p>
      <w:pPr>
        <w:pStyle w:val="MDPI32textnoindent"/>
        <w:spacing w:before="100" w:after="100"/>
        <w:ind w:left="2948" w:firstLine="0"/>
      </w:pPr>
      <w:r>
        <w:rPr>
          <w:b/>
        </w:rPr>
        <w:t xml:space="preserve">H7a. </w:t>
      </w:r>
      <w:r>
        <w:rPr>
          <w:b w:val="0"/>
          <w:i/>
        </w:rPr>
        <w:t>No single psychological or contextual condition is necessary for high occupational adaptation.</w:t>
      </w:r>
    </w:p>
    <w:p>
      <w:pPr>
        <w:pStyle w:val="MDPI32textnoindent"/>
        <w:spacing w:before="100" w:after="100"/>
        <w:ind w:left="2948" w:firstLine="0"/>
      </w:pPr>
      <w:r>
        <w:rPr>
          <w:b/>
        </w:rPr>
        <w:t xml:space="preserve">H7b. </w:t>
      </w:r>
      <w:r>
        <w:rPr>
          <w:b w:val="0"/>
          <w:i/>
        </w:rPr>
        <w:t>Multiple distinct configurations of depreciation, anxiety, literacy, support and exposure are sufficient for high occupational adaptation (equifinality).</w:t>
      </w:r>
    </w:p>
    <w:p>
      <w:pPr>
        <w:pStyle w:val="MDPI31text"/>
      </w:pPr>
      <w:r>
        <w:rPr>
          <w:b w:val="0"/>
          <w:i w:val="0"/>
        </w:rPr>
        <w:t>The hypotheses jointly describe one mechanism: a percept converted into an error signal (H1), the signal converted into corrective action within a bounded range (H2, H4a) or discharged as escape (H3, H4b), the range extended by capability (H5a, H5b), the signal damped at source by support (H6), and the whole loop operating conjuncturally rather than additively (H7a, H7b). No path diagram is needed; the mechanism is the sequence of estimating equations in Section 3.3.</w:t>
      </w:r>
    </w:p>
    <w:p>
      <w:pPr>
        <w:pStyle w:val="MDPI21heading1"/>
      </w:pPr>
      <w:r>
        <w:t>3. Materials and Methods</w:t>
      </w:r>
    </w:p>
    <w:p>
      <w:pPr>
        <w:pStyle w:val="MDPI22heading2"/>
      </w:pPr>
      <w:r>
        <w:t>3.1. Sample and Procedure</w:t>
      </w:r>
    </w:p>
    <w:p>
      <w:pPr>
        <w:pStyle w:val="MDPI32textnoindent"/>
      </w:pPr>
      <w:r>
        <w:rPr>
          <w:b w:val="0"/>
          <w:i w:val="0"/>
        </w:rPr>
        <w:t xml:space="preserve">The population of interest is mainland Chinese university graduates within thirty-six months of graduation, the entrants whose early careers coincide with the diffusion of generative artificial intelligence. Respondents were recruited through a professional online panel supplemented by university alumni associations across provinces, with quotas on gender, degree level and city tier to approximate the national graduate profile </w:t>
      </w:r>
      <w:r>
        <w:t>[</w:t>
      </w:r>
      <w:r>
        <w:fldChar w:fldCharType="begin"/>
      </w:r>
      <w:r>
        <w:instrText xml:space="preserve"> REF _Ref_10 \h </w:instrText>
      </w:r>
      <w:r>
        <w:fldChar w:fldCharType="separate"/>
      </w:r>
      <w:r>
        <w:t>10</w:t>
      </w:r>
      <w:r>
        <w:fldChar w:fldCharType="end"/>
      </w:r>
      <w:r>
        <w:t>,</w:t>
      </w:r>
      <w:r>
        <w:fldChar w:fldCharType="begin"/>
      </w:r>
      <w:r>
        <w:instrText xml:space="preserve"> REF _Ref_79 \h </w:instrText>
      </w:r>
      <w:r>
        <w:fldChar w:fldCharType="separate"/>
      </w:r>
      <w:r>
        <w:t>79</w:t>
      </w:r>
      <w:r>
        <w:fldChar w:fldCharType="end"/>
      </w:r>
      <w:r>
        <w:t>]</w:t>
      </w:r>
      <w:r>
        <w:rPr>
          <w:b w:val="0"/>
          <w:i w:val="0"/>
        </w:rPr>
        <w:t xml:space="preserve">. The first wave, fielded in September 2025, measured perceptions, psychological states, moderators and controls. The second wave, fielded six months later in March 2026, measured the two behavioral outcomes. Attention checks, minimum-duration screens and straight-lining filters were applied, yielding 1,247 valid first-wave responses, of which 914 were matched at the second wave, a retention rate of 73.3 percent. Table 1 profiles the sample and compares retained with lost respondents: the smallest attrition p-value across observables is 0.095, and anxiety itself does not predict attrition (p = 0.479), though inverse-probability weights are used in robustness regardless. The median monthly income of employed respondents is 6,300 yuan, in line with published graduate salary distributions </w:t>
      </w:r>
      <w:r>
        <w:t>[</w:t>
      </w:r>
      <w:r>
        <w:fldChar w:fldCharType="begin"/>
      </w:r>
      <w:r>
        <w:instrText xml:space="preserve"> REF _Ref_10 \h </w:instrText>
      </w:r>
      <w:r>
        <w:fldChar w:fldCharType="separate"/>
      </w:r>
      <w:r>
        <w:t>10</w:t>
      </w:r>
      <w:r>
        <w:fldChar w:fldCharType="end"/>
      </w:r>
      <w:r>
        <w:t>]</w:t>
      </w:r>
      <w:r>
        <w:rPr>
          <w:b w:val="0"/>
          <w:i w:val="0"/>
        </w:rPr>
        <w:t>. Respondents span 20 occupation groups.</w:t>
      </w:r>
    </w:p>
    <w:p>
      <w:pPr>
        <w:pStyle w:val="MDPI41tablecaption"/>
        <w:keepNext/>
        <w:spacing w:after="60"/>
      </w:pPr>
      <w:r>
        <w:rPr>
          <w:b/>
          <w:sz w:val="18"/>
        </w:rPr>
        <w:t xml:space="preserve">Table 1. </w:t>
      </w:r>
      <w:r>
        <w:rPr>
          <w:b w:val="0"/>
          <w:i w:val="0"/>
          <w:sz w:val="18"/>
        </w:rPr>
        <w:t>Sample profile and attrition analysis.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671"/>
        <w:gridCol w:w="1571"/>
        <w:gridCol w:w="1571"/>
        <w:gridCol w:w="1257"/>
        <w:gridCol w:w="785"/>
      </w:tblGrid>
      <w:tr>
        <w:trPr>
          <w:cantSplit/>
          <w:tblHeader/>
        </w:trPr>
        <w:tc>
          <w:tcPr>
            <w:tcW w:type="dxa" w:w="2671"/>
            <w:tcBorders>
              <w:bottom w:val="single" w:sz="8" w:space="0" w:color="auto"/>
            </w:tcBorders>
          </w:tcPr>
          <w:p>
            <w:pPr>
              <w:pStyle w:val="MDPI42tablebody"/>
              <w:keepNext/>
              <w:spacing w:line="240" w:lineRule="auto" w:before="30" w:after="30"/>
              <w:jc w:val="center"/>
            </w:pPr>
            <w:r>
              <w:rPr>
                <w:b/>
                <w:i w:val="0"/>
                <w:sz w:val="18"/>
              </w:rPr>
              <w:t>Characteristic</w:t>
            </w:r>
          </w:p>
        </w:tc>
        <w:tc>
          <w:tcPr>
            <w:tcW w:type="dxa" w:w="1571"/>
            <w:tcBorders>
              <w:bottom w:val="single" w:sz="8" w:space="0" w:color="auto"/>
            </w:tcBorders>
          </w:tcPr>
          <w:p>
            <w:pPr>
              <w:pStyle w:val="MDPI42tablebody"/>
              <w:keepNext/>
              <w:spacing w:line="240" w:lineRule="auto" w:before="30" w:after="30"/>
              <w:jc w:val="center"/>
            </w:pPr>
            <w:r>
              <w:rPr>
                <w:b/>
                <w:i w:val="0"/>
                <w:sz w:val="18"/>
              </w:rPr>
              <w:t>Time 1 (N = 1247)</w:t>
            </w:r>
          </w:p>
        </w:tc>
        <w:tc>
          <w:tcPr>
            <w:tcW w:type="dxa" w:w="1571"/>
            <w:tcBorders>
              <w:bottom w:val="single" w:sz="8" w:space="0" w:color="auto"/>
            </w:tcBorders>
          </w:tcPr>
          <w:p>
            <w:pPr>
              <w:pStyle w:val="MDPI42tablebody"/>
              <w:keepNext/>
              <w:spacing w:line="240" w:lineRule="auto" w:before="30" w:after="30"/>
              <w:jc w:val="center"/>
            </w:pPr>
            <w:r>
              <w:rPr>
                <w:b/>
                <w:i w:val="0"/>
                <w:sz w:val="18"/>
              </w:rPr>
              <w:t>Retained (N = 914)</w:t>
            </w:r>
          </w:p>
        </w:tc>
        <w:tc>
          <w:tcPr>
            <w:tcW w:type="dxa" w:w="1257"/>
            <w:tcBorders>
              <w:bottom w:val="single" w:sz="8" w:space="0" w:color="auto"/>
            </w:tcBorders>
          </w:tcPr>
          <w:p>
            <w:pPr>
              <w:pStyle w:val="MDPI42tablebody"/>
              <w:keepNext/>
              <w:spacing w:line="240" w:lineRule="auto" w:before="30" w:after="30"/>
              <w:jc w:val="center"/>
            </w:pPr>
            <w:r>
              <w:rPr>
                <w:b/>
                <w:i w:val="0"/>
                <w:sz w:val="18"/>
              </w:rPr>
              <w:t>Lost (N = 333)</w:t>
            </w:r>
          </w:p>
        </w:tc>
        <w:tc>
          <w:tcPr>
            <w:tcW w:type="dxa" w:w="785"/>
            <w:tcBorders>
              <w:bottom w:val="single" w:sz="8" w:space="0" w:color="auto"/>
            </w:tcBorders>
          </w:tcPr>
          <w:p>
            <w:pPr>
              <w:pStyle w:val="MDPI42tablebody"/>
              <w:keepNext/>
              <w:spacing w:line="240" w:lineRule="auto" w:before="30" w:after="30"/>
              <w:jc w:val="center"/>
            </w:pPr>
            <w:r>
              <w:rPr>
                <w:b/>
                <w:i w:val="0"/>
                <w:sz w:val="18"/>
              </w:rPr>
              <w:t>p</w:t>
            </w:r>
          </w:p>
        </w:tc>
      </w:tr>
      <w:tr>
        <w:trPr>
          <w:cantSplit/>
        </w:trPr>
        <w:tc>
          <w:tcPr>
            <w:tcW w:type="dxa" w:w="2671"/>
          </w:tcPr>
          <w:p>
            <w:pPr>
              <w:pStyle w:val="MDPI42tablebody"/>
              <w:keepNext/>
              <w:spacing w:line="240" w:lineRule="auto" w:before="30" w:after="30"/>
              <w:jc w:val="left"/>
            </w:pPr>
            <w:r>
              <w:rPr>
                <w:b w:val="0"/>
                <w:i w:val="0"/>
                <w:sz w:val="18"/>
              </w:rPr>
              <w:t>Female (%)</w:t>
            </w:r>
          </w:p>
        </w:tc>
        <w:tc>
          <w:tcPr>
            <w:tcW w:type="dxa" w:w="1571"/>
          </w:tcPr>
          <w:p>
            <w:pPr>
              <w:pStyle w:val="MDPI42tablebody"/>
              <w:keepNext/>
              <w:spacing w:line="240" w:lineRule="auto" w:before="30" w:after="30"/>
              <w:jc w:val="center"/>
            </w:pPr>
            <w:r>
              <w:rPr>
                <w:b w:val="0"/>
                <w:i w:val="0"/>
                <w:sz w:val="18"/>
              </w:rPr>
              <w:t>52.6</w:t>
            </w:r>
          </w:p>
        </w:tc>
        <w:tc>
          <w:tcPr>
            <w:tcW w:type="dxa" w:w="1571"/>
          </w:tcPr>
          <w:p>
            <w:pPr>
              <w:pStyle w:val="MDPI42tablebody"/>
              <w:keepNext/>
              <w:spacing w:line="240" w:lineRule="auto" w:before="30" w:after="30"/>
              <w:jc w:val="center"/>
            </w:pPr>
            <w:r>
              <w:rPr>
                <w:b w:val="0"/>
                <w:i w:val="0"/>
                <w:sz w:val="18"/>
              </w:rPr>
              <w:t>52.8</w:t>
            </w:r>
          </w:p>
        </w:tc>
        <w:tc>
          <w:tcPr>
            <w:tcW w:type="dxa" w:w="1257"/>
          </w:tcPr>
          <w:p>
            <w:pPr>
              <w:pStyle w:val="MDPI42tablebody"/>
              <w:keepNext/>
              <w:spacing w:line="240" w:lineRule="auto" w:before="30" w:after="30"/>
              <w:jc w:val="center"/>
            </w:pPr>
            <w:r>
              <w:rPr>
                <w:b w:val="0"/>
                <w:i w:val="0"/>
                <w:sz w:val="18"/>
              </w:rPr>
              <w:t>52.0</w:t>
            </w:r>
          </w:p>
        </w:tc>
        <w:tc>
          <w:tcPr>
            <w:tcW w:type="dxa" w:w="785"/>
          </w:tcPr>
          <w:p>
            <w:pPr>
              <w:pStyle w:val="MDPI42tablebody"/>
              <w:keepNext/>
              <w:spacing w:line="240" w:lineRule="auto" w:before="30" w:after="30"/>
              <w:jc w:val="center"/>
            </w:pPr>
            <w:r>
              <w:rPr>
                <w:b w:val="0"/>
                <w:i w:val="0"/>
                <w:sz w:val="18"/>
              </w:rPr>
              <w:t>0.780</w:t>
            </w:r>
          </w:p>
        </w:tc>
      </w:tr>
      <w:tr>
        <w:trPr>
          <w:cantSplit/>
        </w:trPr>
        <w:tc>
          <w:tcPr>
            <w:tcW w:type="dxa" w:w="2671"/>
          </w:tcPr>
          <w:p>
            <w:pPr>
              <w:pStyle w:val="MDPI42tablebody"/>
              <w:keepNext/>
              <w:spacing w:line="240" w:lineRule="auto" w:before="30" w:after="30"/>
              <w:jc w:val="left"/>
            </w:pPr>
            <w:r>
              <w:rPr>
                <w:b w:val="0"/>
                <w:i w:val="0"/>
                <w:sz w:val="18"/>
              </w:rPr>
              <w:t>Age (years)</w:t>
            </w:r>
          </w:p>
        </w:tc>
        <w:tc>
          <w:tcPr>
            <w:tcW w:type="dxa" w:w="1571"/>
          </w:tcPr>
          <w:p>
            <w:pPr>
              <w:pStyle w:val="MDPI42tablebody"/>
              <w:keepNext/>
              <w:spacing w:line="240" w:lineRule="auto" w:before="30" w:after="30"/>
              <w:jc w:val="center"/>
            </w:pPr>
            <w:r>
              <w:rPr>
                <w:b w:val="0"/>
                <w:i w:val="0"/>
                <w:sz w:val="18"/>
              </w:rPr>
              <w:t>23.6</w:t>
            </w:r>
          </w:p>
        </w:tc>
        <w:tc>
          <w:tcPr>
            <w:tcW w:type="dxa" w:w="1571"/>
          </w:tcPr>
          <w:p>
            <w:pPr>
              <w:pStyle w:val="MDPI42tablebody"/>
              <w:keepNext/>
              <w:spacing w:line="240" w:lineRule="auto" w:before="30" w:after="30"/>
              <w:jc w:val="center"/>
            </w:pPr>
            <w:r>
              <w:rPr>
                <w:b w:val="0"/>
                <w:i w:val="0"/>
                <w:sz w:val="18"/>
              </w:rPr>
              <w:t>23.6</w:t>
            </w:r>
          </w:p>
        </w:tc>
        <w:tc>
          <w:tcPr>
            <w:tcW w:type="dxa" w:w="1257"/>
          </w:tcPr>
          <w:p>
            <w:pPr>
              <w:pStyle w:val="MDPI42tablebody"/>
              <w:keepNext/>
              <w:spacing w:line="240" w:lineRule="auto" w:before="30" w:after="30"/>
              <w:jc w:val="center"/>
            </w:pPr>
            <w:r>
              <w:rPr>
                <w:b w:val="0"/>
                <w:i w:val="0"/>
                <w:sz w:val="18"/>
              </w:rPr>
              <w:t>23.6</w:t>
            </w:r>
          </w:p>
        </w:tc>
        <w:tc>
          <w:tcPr>
            <w:tcW w:type="dxa" w:w="785"/>
          </w:tcPr>
          <w:p>
            <w:pPr>
              <w:pStyle w:val="MDPI42tablebody"/>
              <w:keepNext/>
              <w:spacing w:line="240" w:lineRule="auto" w:before="30" w:after="30"/>
              <w:jc w:val="center"/>
            </w:pPr>
            <w:r>
              <w:rPr>
                <w:b w:val="0"/>
                <w:i w:val="0"/>
                <w:sz w:val="18"/>
              </w:rPr>
              <w:t>0.461</w:t>
            </w:r>
          </w:p>
        </w:tc>
      </w:tr>
      <w:tr>
        <w:trPr>
          <w:cantSplit/>
        </w:trPr>
        <w:tc>
          <w:tcPr>
            <w:tcW w:type="dxa" w:w="2671"/>
          </w:tcPr>
          <w:p>
            <w:pPr>
              <w:pStyle w:val="MDPI42tablebody"/>
              <w:keepNext/>
              <w:spacing w:line="240" w:lineRule="auto" w:before="30" w:after="30"/>
              <w:jc w:val="left"/>
            </w:pPr>
            <w:r>
              <w:rPr>
                <w:b w:val="0"/>
                <w:i w:val="0"/>
                <w:sz w:val="18"/>
              </w:rPr>
              <w:t>Master's degree (%)</w:t>
            </w:r>
          </w:p>
        </w:tc>
        <w:tc>
          <w:tcPr>
            <w:tcW w:type="dxa" w:w="1571"/>
          </w:tcPr>
          <w:p>
            <w:pPr>
              <w:pStyle w:val="MDPI42tablebody"/>
              <w:keepNext/>
              <w:spacing w:line="240" w:lineRule="auto" w:before="30" w:after="30"/>
              <w:jc w:val="center"/>
            </w:pPr>
            <w:r>
              <w:rPr>
                <w:b w:val="0"/>
                <w:i w:val="0"/>
                <w:sz w:val="18"/>
              </w:rPr>
              <w:t>18.2</w:t>
            </w:r>
          </w:p>
        </w:tc>
        <w:tc>
          <w:tcPr>
            <w:tcW w:type="dxa" w:w="1571"/>
          </w:tcPr>
          <w:p>
            <w:pPr>
              <w:pStyle w:val="MDPI42tablebody"/>
              <w:keepNext/>
              <w:spacing w:line="240" w:lineRule="auto" w:before="30" w:after="30"/>
              <w:jc w:val="center"/>
            </w:pPr>
            <w:r>
              <w:rPr>
                <w:b w:val="0"/>
                <w:i w:val="0"/>
                <w:sz w:val="18"/>
              </w:rPr>
              <w:t>18.4</w:t>
            </w:r>
          </w:p>
        </w:tc>
        <w:tc>
          <w:tcPr>
            <w:tcW w:type="dxa" w:w="1257"/>
          </w:tcPr>
          <w:p>
            <w:pPr>
              <w:pStyle w:val="MDPI42tablebody"/>
              <w:keepNext/>
              <w:spacing w:line="240" w:lineRule="auto" w:before="30" w:after="30"/>
              <w:jc w:val="center"/>
            </w:pPr>
            <w:r>
              <w:rPr>
                <w:b w:val="0"/>
                <w:i w:val="0"/>
                <w:sz w:val="18"/>
              </w:rPr>
              <w:t>17.7</w:t>
            </w:r>
          </w:p>
        </w:tc>
        <w:tc>
          <w:tcPr>
            <w:tcW w:type="dxa" w:w="785"/>
          </w:tcPr>
          <w:p>
            <w:pPr>
              <w:pStyle w:val="MDPI42tablebody"/>
              <w:keepNext/>
              <w:spacing w:line="240" w:lineRule="auto" w:before="30" w:after="30"/>
              <w:jc w:val="center"/>
            </w:pPr>
            <w:r>
              <w:rPr>
                <w:b w:val="0"/>
                <w:i w:val="0"/>
                <w:sz w:val="18"/>
              </w:rPr>
              <w:t>0.787</w:t>
            </w:r>
          </w:p>
        </w:tc>
      </w:tr>
      <w:tr>
        <w:trPr>
          <w:cantSplit/>
        </w:trPr>
        <w:tc>
          <w:tcPr>
            <w:tcW w:type="dxa" w:w="2671"/>
          </w:tcPr>
          <w:p>
            <w:pPr>
              <w:pStyle w:val="MDPI42tablebody"/>
              <w:keepNext/>
              <w:spacing w:line="240" w:lineRule="auto" w:before="30" w:after="30"/>
              <w:jc w:val="left"/>
            </w:pPr>
            <w:r>
              <w:rPr>
                <w:b w:val="0"/>
                <w:i w:val="0"/>
                <w:sz w:val="18"/>
              </w:rPr>
              <w:t>STEM major (%)</w:t>
            </w:r>
          </w:p>
        </w:tc>
        <w:tc>
          <w:tcPr>
            <w:tcW w:type="dxa" w:w="1571"/>
          </w:tcPr>
          <w:p>
            <w:pPr>
              <w:pStyle w:val="MDPI42tablebody"/>
              <w:keepNext/>
              <w:spacing w:line="240" w:lineRule="auto" w:before="30" w:after="30"/>
              <w:jc w:val="center"/>
            </w:pPr>
            <w:r>
              <w:rPr>
                <w:b w:val="0"/>
                <w:i w:val="0"/>
                <w:sz w:val="18"/>
              </w:rPr>
              <w:t>40.4</w:t>
            </w:r>
          </w:p>
        </w:tc>
        <w:tc>
          <w:tcPr>
            <w:tcW w:type="dxa" w:w="1571"/>
          </w:tcPr>
          <w:p>
            <w:pPr>
              <w:pStyle w:val="MDPI42tablebody"/>
              <w:keepNext/>
              <w:spacing w:line="240" w:lineRule="auto" w:before="30" w:after="30"/>
              <w:jc w:val="center"/>
            </w:pPr>
            <w:r>
              <w:rPr>
                <w:b w:val="0"/>
                <w:i w:val="0"/>
                <w:sz w:val="18"/>
              </w:rPr>
              <w:t>40.3</w:t>
            </w:r>
          </w:p>
        </w:tc>
        <w:tc>
          <w:tcPr>
            <w:tcW w:type="dxa" w:w="1257"/>
          </w:tcPr>
          <w:p>
            <w:pPr>
              <w:pStyle w:val="MDPI42tablebody"/>
              <w:keepNext/>
              <w:spacing w:line="240" w:lineRule="auto" w:before="30" w:after="30"/>
              <w:jc w:val="center"/>
            </w:pPr>
            <w:r>
              <w:rPr>
                <w:b w:val="0"/>
                <w:i w:val="0"/>
                <w:sz w:val="18"/>
              </w:rPr>
              <w:t>40.8</w:t>
            </w:r>
          </w:p>
        </w:tc>
        <w:tc>
          <w:tcPr>
            <w:tcW w:type="dxa" w:w="785"/>
          </w:tcPr>
          <w:p>
            <w:pPr>
              <w:pStyle w:val="MDPI42tablebody"/>
              <w:keepNext/>
              <w:spacing w:line="240" w:lineRule="auto" w:before="30" w:after="30"/>
              <w:jc w:val="center"/>
            </w:pPr>
            <w:r>
              <w:rPr>
                <w:b w:val="0"/>
                <w:i w:val="0"/>
                <w:sz w:val="18"/>
              </w:rPr>
              <w:t>0.854</w:t>
            </w:r>
          </w:p>
        </w:tc>
      </w:tr>
      <w:tr>
        <w:trPr>
          <w:cantSplit/>
        </w:trPr>
        <w:tc>
          <w:tcPr>
            <w:tcW w:type="dxa" w:w="2671"/>
          </w:tcPr>
          <w:p>
            <w:pPr>
              <w:pStyle w:val="MDPI42tablebody"/>
              <w:keepNext/>
              <w:spacing w:line="240" w:lineRule="auto" w:before="30" w:after="30"/>
              <w:jc w:val="left"/>
            </w:pPr>
            <w:r>
              <w:rPr>
                <w:b w:val="0"/>
                <w:i w:val="0"/>
                <w:sz w:val="18"/>
              </w:rPr>
              <w:t>Tier-1 city (%)</w:t>
            </w:r>
          </w:p>
        </w:tc>
        <w:tc>
          <w:tcPr>
            <w:tcW w:type="dxa" w:w="1571"/>
          </w:tcPr>
          <w:p>
            <w:pPr>
              <w:pStyle w:val="MDPI42tablebody"/>
              <w:keepNext/>
              <w:spacing w:line="240" w:lineRule="auto" w:before="30" w:after="30"/>
              <w:jc w:val="center"/>
            </w:pPr>
            <w:r>
              <w:rPr>
                <w:b w:val="0"/>
                <w:i w:val="0"/>
                <w:sz w:val="18"/>
              </w:rPr>
              <w:t>31.9</w:t>
            </w:r>
          </w:p>
        </w:tc>
        <w:tc>
          <w:tcPr>
            <w:tcW w:type="dxa" w:w="1571"/>
          </w:tcPr>
          <w:p>
            <w:pPr>
              <w:pStyle w:val="MDPI42tablebody"/>
              <w:keepNext/>
              <w:spacing w:line="240" w:lineRule="auto" w:before="30" w:after="30"/>
              <w:jc w:val="center"/>
            </w:pPr>
            <w:r>
              <w:rPr>
                <w:b w:val="0"/>
                <w:i w:val="0"/>
                <w:sz w:val="18"/>
              </w:rPr>
              <w:t>32.6</w:t>
            </w:r>
          </w:p>
        </w:tc>
        <w:tc>
          <w:tcPr>
            <w:tcW w:type="dxa" w:w="1257"/>
          </w:tcPr>
          <w:p>
            <w:pPr>
              <w:pStyle w:val="MDPI42tablebody"/>
              <w:keepNext/>
              <w:spacing w:line="240" w:lineRule="auto" w:before="30" w:after="30"/>
              <w:jc w:val="center"/>
            </w:pPr>
            <w:r>
              <w:rPr>
                <w:b w:val="0"/>
                <w:i w:val="0"/>
                <w:sz w:val="18"/>
              </w:rPr>
              <w:t>30.0</w:t>
            </w:r>
          </w:p>
        </w:tc>
        <w:tc>
          <w:tcPr>
            <w:tcW w:type="dxa" w:w="785"/>
          </w:tcPr>
          <w:p>
            <w:pPr>
              <w:pStyle w:val="MDPI42tablebody"/>
              <w:keepNext/>
              <w:spacing w:line="240" w:lineRule="auto" w:before="30" w:after="30"/>
              <w:jc w:val="center"/>
            </w:pPr>
            <w:r>
              <w:rPr>
                <w:b w:val="0"/>
                <w:i w:val="0"/>
                <w:sz w:val="18"/>
              </w:rPr>
              <w:t>0.384</w:t>
            </w:r>
          </w:p>
        </w:tc>
      </w:tr>
      <w:tr>
        <w:trPr>
          <w:cantSplit/>
        </w:trPr>
        <w:tc>
          <w:tcPr>
            <w:tcW w:type="dxa" w:w="2671"/>
          </w:tcPr>
          <w:p>
            <w:pPr>
              <w:pStyle w:val="MDPI42tablebody"/>
              <w:keepNext/>
              <w:spacing w:line="240" w:lineRule="auto" w:before="30" w:after="30"/>
              <w:jc w:val="left"/>
            </w:pPr>
            <w:r>
              <w:rPr>
                <w:b w:val="0"/>
                <w:i w:val="0"/>
                <w:sz w:val="18"/>
              </w:rPr>
              <w:t>Months since graduation</w:t>
            </w:r>
          </w:p>
        </w:tc>
        <w:tc>
          <w:tcPr>
            <w:tcW w:type="dxa" w:w="1571"/>
          </w:tcPr>
          <w:p>
            <w:pPr>
              <w:pStyle w:val="MDPI42tablebody"/>
              <w:keepNext/>
              <w:spacing w:line="240" w:lineRule="auto" w:before="30" w:after="30"/>
              <w:jc w:val="center"/>
            </w:pPr>
            <w:r>
              <w:rPr>
                <w:b w:val="0"/>
                <w:i w:val="0"/>
                <w:sz w:val="18"/>
              </w:rPr>
              <w:t>18.7</w:t>
            </w:r>
          </w:p>
        </w:tc>
        <w:tc>
          <w:tcPr>
            <w:tcW w:type="dxa" w:w="1571"/>
          </w:tcPr>
          <w:p>
            <w:pPr>
              <w:pStyle w:val="MDPI42tablebody"/>
              <w:keepNext/>
              <w:spacing w:line="240" w:lineRule="auto" w:before="30" w:after="30"/>
              <w:jc w:val="center"/>
            </w:pPr>
            <w:r>
              <w:rPr>
                <w:b w:val="0"/>
                <w:i w:val="0"/>
                <w:sz w:val="18"/>
              </w:rPr>
              <w:t>18.7</w:t>
            </w:r>
          </w:p>
        </w:tc>
        <w:tc>
          <w:tcPr>
            <w:tcW w:type="dxa" w:w="1257"/>
          </w:tcPr>
          <w:p>
            <w:pPr>
              <w:pStyle w:val="MDPI42tablebody"/>
              <w:keepNext/>
              <w:spacing w:line="240" w:lineRule="auto" w:before="30" w:after="30"/>
              <w:jc w:val="center"/>
            </w:pPr>
            <w:r>
              <w:rPr>
                <w:b w:val="0"/>
                <w:i w:val="0"/>
                <w:sz w:val="18"/>
              </w:rPr>
              <w:t>18.6</w:t>
            </w:r>
          </w:p>
        </w:tc>
        <w:tc>
          <w:tcPr>
            <w:tcW w:type="dxa" w:w="785"/>
          </w:tcPr>
          <w:p>
            <w:pPr>
              <w:pStyle w:val="MDPI42tablebody"/>
              <w:keepNext/>
              <w:spacing w:line="240" w:lineRule="auto" w:before="30" w:after="30"/>
              <w:jc w:val="center"/>
            </w:pPr>
            <w:r>
              <w:rPr>
                <w:b w:val="0"/>
                <w:i w:val="0"/>
                <w:sz w:val="18"/>
              </w:rPr>
              <w:t>0.850</w:t>
            </w:r>
          </w:p>
        </w:tc>
      </w:tr>
      <w:tr>
        <w:trPr>
          <w:cantSplit/>
        </w:trPr>
        <w:tc>
          <w:tcPr>
            <w:tcW w:type="dxa" w:w="2671"/>
          </w:tcPr>
          <w:p>
            <w:pPr>
              <w:pStyle w:val="MDPI42tablebody"/>
              <w:keepNext/>
              <w:spacing w:line="240" w:lineRule="auto" w:before="30" w:after="30"/>
              <w:jc w:val="left"/>
            </w:pPr>
            <w:r>
              <w:rPr>
                <w:b w:val="0"/>
                <w:i w:val="0"/>
                <w:sz w:val="18"/>
              </w:rPr>
              <w:t>Employed (%)</w:t>
            </w:r>
          </w:p>
        </w:tc>
        <w:tc>
          <w:tcPr>
            <w:tcW w:type="dxa" w:w="1571"/>
          </w:tcPr>
          <w:p>
            <w:pPr>
              <w:pStyle w:val="MDPI42tablebody"/>
              <w:keepNext/>
              <w:spacing w:line="240" w:lineRule="auto" w:before="30" w:after="30"/>
              <w:jc w:val="center"/>
            </w:pPr>
            <w:r>
              <w:rPr>
                <w:b w:val="0"/>
                <w:i w:val="0"/>
                <w:sz w:val="18"/>
              </w:rPr>
              <w:t>72.7</w:t>
            </w:r>
          </w:p>
        </w:tc>
        <w:tc>
          <w:tcPr>
            <w:tcW w:type="dxa" w:w="1571"/>
          </w:tcPr>
          <w:p>
            <w:pPr>
              <w:pStyle w:val="MDPI42tablebody"/>
              <w:keepNext/>
              <w:spacing w:line="240" w:lineRule="auto" w:before="30" w:after="30"/>
              <w:jc w:val="center"/>
            </w:pPr>
            <w:r>
              <w:rPr>
                <w:b w:val="0"/>
                <w:i w:val="0"/>
                <w:sz w:val="18"/>
              </w:rPr>
              <w:t>74.0</w:t>
            </w:r>
          </w:p>
        </w:tc>
        <w:tc>
          <w:tcPr>
            <w:tcW w:type="dxa" w:w="1257"/>
          </w:tcPr>
          <w:p>
            <w:pPr>
              <w:pStyle w:val="MDPI42tablebody"/>
              <w:keepNext/>
              <w:spacing w:line="240" w:lineRule="auto" w:before="30" w:after="30"/>
              <w:jc w:val="center"/>
            </w:pPr>
            <w:r>
              <w:rPr>
                <w:b w:val="0"/>
                <w:i w:val="0"/>
                <w:sz w:val="18"/>
              </w:rPr>
              <w:t>69.1</w:t>
            </w:r>
          </w:p>
        </w:tc>
        <w:tc>
          <w:tcPr>
            <w:tcW w:type="dxa" w:w="785"/>
          </w:tcPr>
          <w:p>
            <w:pPr>
              <w:pStyle w:val="MDPI42tablebody"/>
              <w:keepNext/>
              <w:spacing w:line="240" w:lineRule="auto" w:before="30" w:after="30"/>
              <w:jc w:val="center"/>
            </w:pPr>
            <w:r>
              <w:rPr>
                <w:b w:val="0"/>
                <w:i w:val="0"/>
                <w:sz w:val="18"/>
              </w:rPr>
              <w:t>0.095</w:t>
            </w:r>
          </w:p>
        </w:tc>
      </w:tr>
      <w:tr>
        <w:trPr>
          <w:cantSplit/>
        </w:trPr>
        <w:tc>
          <w:tcPr>
            <w:tcW w:type="dxa" w:w="2671"/>
          </w:tcPr>
          <w:p>
            <w:pPr>
              <w:pStyle w:val="MDPI42tablebody"/>
              <w:keepNext/>
              <w:spacing w:line="240" w:lineRule="auto" w:before="30" w:after="30"/>
              <w:jc w:val="left"/>
            </w:pPr>
            <w:r>
              <w:rPr>
                <w:b w:val="0"/>
                <w:i w:val="0"/>
                <w:sz w:val="18"/>
              </w:rPr>
              <w:t>Parent with tertiary education (%)</w:t>
            </w:r>
          </w:p>
        </w:tc>
        <w:tc>
          <w:tcPr>
            <w:tcW w:type="dxa" w:w="1571"/>
          </w:tcPr>
          <w:p>
            <w:pPr>
              <w:pStyle w:val="MDPI42tablebody"/>
              <w:keepNext/>
              <w:spacing w:line="240" w:lineRule="auto" w:before="30" w:after="30"/>
              <w:jc w:val="center"/>
            </w:pPr>
            <w:r>
              <w:rPr>
                <w:b w:val="0"/>
                <w:i w:val="0"/>
                <w:sz w:val="18"/>
              </w:rPr>
              <w:t>28.4</w:t>
            </w:r>
          </w:p>
        </w:tc>
        <w:tc>
          <w:tcPr>
            <w:tcW w:type="dxa" w:w="1571"/>
          </w:tcPr>
          <w:p>
            <w:pPr>
              <w:pStyle w:val="MDPI42tablebody"/>
              <w:keepNext/>
              <w:spacing w:line="240" w:lineRule="auto" w:before="30" w:after="30"/>
              <w:jc w:val="center"/>
            </w:pPr>
            <w:r>
              <w:rPr>
                <w:b w:val="0"/>
                <w:i w:val="0"/>
                <w:sz w:val="18"/>
              </w:rPr>
              <w:t>28.0</w:t>
            </w:r>
          </w:p>
        </w:tc>
        <w:tc>
          <w:tcPr>
            <w:tcW w:type="dxa" w:w="1257"/>
          </w:tcPr>
          <w:p>
            <w:pPr>
              <w:pStyle w:val="MDPI42tablebody"/>
              <w:keepNext/>
              <w:spacing w:line="240" w:lineRule="auto" w:before="30" w:after="30"/>
              <w:jc w:val="center"/>
            </w:pPr>
            <w:r>
              <w:rPr>
                <w:b w:val="0"/>
                <w:i w:val="0"/>
                <w:sz w:val="18"/>
              </w:rPr>
              <w:t>29.4</w:t>
            </w:r>
          </w:p>
        </w:tc>
        <w:tc>
          <w:tcPr>
            <w:tcW w:type="dxa" w:w="785"/>
          </w:tcPr>
          <w:p>
            <w:pPr>
              <w:pStyle w:val="MDPI42tablebody"/>
              <w:keepNext/>
              <w:spacing w:line="240" w:lineRule="auto" w:before="30" w:after="30"/>
              <w:jc w:val="center"/>
            </w:pPr>
            <w:r>
              <w:rPr>
                <w:b w:val="0"/>
                <w:i w:val="0"/>
                <w:sz w:val="18"/>
              </w:rPr>
              <w:t>0.626</w:t>
            </w:r>
          </w:p>
        </w:tc>
      </w:tr>
      <w:tr>
        <w:trPr>
          <w:cantSplit/>
        </w:trPr>
        <w:tc>
          <w:tcPr>
            <w:tcW w:type="dxa" w:w="2671"/>
          </w:tcPr>
          <w:p>
            <w:pPr>
              <w:pStyle w:val="MDPI42tablebody"/>
              <w:keepNext/>
              <w:spacing w:line="240" w:lineRule="auto" w:before="30" w:after="30"/>
              <w:jc w:val="left"/>
            </w:pPr>
            <w:r>
              <w:rPr>
                <w:b w:val="0"/>
                <w:i w:val="0"/>
                <w:sz w:val="18"/>
              </w:rPr>
              <w:t>Internship experience (%)</w:t>
            </w:r>
          </w:p>
        </w:tc>
        <w:tc>
          <w:tcPr>
            <w:tcW w:type="dxa" w:w="1571"/>
          </w:tcPr>
          <w:p>
            <w:pPr>
              <w:pStyle w:val="MDPI42tablebody"/>
              <w:keepNext/>
              <w:spacing w:line="240" w:lineRule="auto" w:before="30" w:after="30"/>
              <w:jc w:val="center"/>
            </w:pPr>
            <w:r>
              <w:rPr>
                <w:b w:val="0"/>
                <w:i w:val="0"/>
                <w:sz w:val="18"/>
              </w:rPr>
              <w:t>65.0</w:t>
            </w:r>
          </w:p>
        </w:tc>
        <w:tc>
          <w:tcPr>
            <w:tcW w:type="dxa" w:w="1571"/>
          </w:tcPr>
          <w:p>
            <w:pPr>
              <w:pStyle w:val="MDPI42tablebody"/>
              <w:keepNext/>
              <w:spacing w:line="240" w:lineRule="auto" w:before="30" w:after="30"/>
              <w:jc w:val="center"/>
            </w:pPr>
            <w:r>
              <w:rPr>
                <w:b w:val="0"/>
                <w:i w:val="0"/>
                <w:sz w:val="18"/>
              </w:rPr>
              <w:t>65.3</w:t>
            </w:r>
          </w:p>
        </w:tc>
        <w:tc>
          <w:tcPr>
            <w:tcW w:type="dxa" w:w="1257"/>
          </w:tcPr>
          <w:p>
            <w:pPr>
              <w:pStyle w:val="MDPI42tablebody"/>
              <w:keepNext/>
              <w:spacing w:line="240" w:lineRule="auto" w:before="30" w:after="30"/>
              <w:jc w:val="center"/>
            </w:pPr>
            <w:r>
              <w:rPr>
                <w:b w:val="0"/>
                <w:i w:val="0"/>
                <w:sz w:val="18"/>
              </w:rPr>
              <w:t>64.3</w:t>
            </w:r>
          </w:p>
        </w:tc>
        <w:tc>
          <w:tcPr>
            <w:tcW w:type="dxa" w:w="785"/>
          </w:tcPr>
          <w:p>
            <w:pPr>
              <w:pStyle w:val="MDPI42tablebody"/>
              <w:keepNext/>
              <w:spacing w:line="240" w:lineRule="auto" w:before="30" w:after="30"/>
              <w:jc w:val="center"/>
            </w:pPr>
            <w:r>
              <w:rPr>
                <w:b w:val="0"/>
                <w:i w:val="0"/>
                <w:sz w:val="18"/>
              </w:rPr>
              <w:t>0.731</w:t>
            </w:r>
          </w:p>
        </w:tc>
      </w:tr>
      <w:tr>
        <w:trPr>
          <w:cantSplit/>
        </w:trPr>
        <w:tc>
          <w:tcPr>
            <w:tcW w:type="dxa" w:w="2671"/>
          </w:tcPr>
          <w:p>
            <w:pPr>
              <w:pStyle w:val="MDPI42tablebody"/>
              <w:keepNext/>
              <w:spacing w:line="240" w:lineRule="auto" w:before="30" w:after="30"/>
              <w:jc w:val="left"/>
            </w:pPr>
            <w:r>
              <w:rPr>
                <w:b w:val="0"/>
                <w:i w:val="0"/>
                <w:sz w:val="18"/>
              </w:rPr>
              <w:t>Depreciation items, mean</w:t>
            </w:r>
          </w:p>
        </w:tc>
        <w:tc>
          <w:tcPr>
            <w:tcW w:type="dxa" w:w="1571"/>
          </w:tcPr>
          <w:p>
            <w:pPr>
              <w:pStyle w:val="MDPI42tablebody"/>
              <w:keepNext/>
              <w:spacing w:line="240" w:lineRule="auto" w:before="30" w:after="30"/>
              <w:jc w:val="center"/>
            </w:pPr>
            <w:r>
              <w:rPr>
                <w:b w:val="0"/>
                <w:i w:val="0"/>
                <w:sz w:val="18"/>
              </w:rPr>
              <w:t>4.0</w:t>
            </w:r>
          </w:p>
        </w:tc>
        <w:tc>
          <w:tcPr>
            <w:tcW w:type="dxa" w:w="1571"/>
          </w:tcPr>
          <w:p>
            <w:pPr>
              <w:pStyle w:val="MDPI42tablebody"/>
              <w:keepNext/>
              <w:spacing w:line="240" w:lineRule="auto" w:before="30" w:after="30"/>
              <w:jc w:val="center"/>
            </w:pPr>
            <w:r>
              <w:rPr>
                <w:b w:val="0"/>
                <w:i w:val="0"/>
                <w:sz w:val="18"/>
              </w:rPr>
              <w:t>4.0</w:t>
            </w:r>
          </w:p>
        </w:tc>
        <w:tc>
          <w:tcPr>
            <w:tcW w:type="dxa" w:w="1257"/>
          </w:tcPr>
          <w:p>
            <w:pPr>
              <w:pStyle w:val="MDPI42tablebody"/>
              <w:keepNext/>
              <w:spacing w:line="240" w:lineRule="auto" w:before="30" w:after="30"/>
              <w:jc w:val="center"/>
            </w:pPr>
            <w:r>
              <w:rPr>
                <w:b w:val="0"/>
                <w:i w:val="0"/>
                <w:sz w:val="18"/>
              </w:rPr>
              <w:t>4.0</w:t>
            </w:r>
          </w:p>
        </w:tc>
        <w:tc>
          <w:tcPr>
            <w:tcW w:type="dxa" w:w="785"/>
          </w:tcPr>
          <w:p>
            <w:pPr>
              <w:pStyle w:val="MDPI42tablebody"/>
              <w:keepNext/>
              <w:spacing w:line="240" w:lineRule="auto" w:before="30" w:after="30"/>
              <w:jc w:val="center"/>
            </w:pPr>
            <w:r>
              <w:rPr>
                <w:b w:val="0"/>
                <w:i w:val="0"/>
                <w:sz w:val="18"/>
              </w:rPr>
              <w:t>0.534</w:t>
            </w:r>
          </w:p>
        </w:tc>
      </w:tr>
      <w:tr>
        <w:trPr>
          <w:cantSplit/>
        </w:trPr>
        <w:tc>
          <w:tcPr>
            <w:tcW w:type="dxa" w:w="2671"/>
          </w:tcPr>
          <w:p>
            <w:pPr>
              <w:pStyle w:val="MDPI42tablebody"/>
              <w:keepNext/>
              <w:spacing w:line="240" w:lineRule="auto" w:before="30" w:after="30"/>
              <w:jc w:val="left"/>
            </w:pPr>
            <w:r>
              <w:rPr>
                <w:b w:val="0"/>
                <w:i w:val="0"/>
                <w:sz w:val="18"/>
              </w:rPr>
              <w:t>Anxiety items, mean</w:t>
            </w:r>
          </w:p>
        </w:tc>
        <w:tc>
          <w:tcPr>
            <w:tcW w:type="dxa" w:w="1571"/>
          </w:tcPr>
          <w:p>
            <w:pPr>
              <w:pStyle w:val="MDPI42tablebody"/>
              <w:keepNext/>
              <w:spacing w:line="240" w:lineRule="auto" w:before="30" w:after="30"/>
              <w:jc w:val="center"/>
            </w:pPr>
            <w:r>
              <w:rPr>
                <w:b w:val="0"/>
                <w:i w:val="0"/>
                <w:sz w:val="18"/>
              </w:rPr>
              <w:t>4.0</w:t>
            </w:r>
          </w:p>
        </w:tc>
        <w:tc>
          <w:tcPr>
            <w:tcW w:type="dxa" w:w="1571"/>
          </w:tcPr>
          <w:p>
            <w:pPr>
              <w:pStyle w:val="MDPI42tablebody"/>
              <w:keepNext/>
              <w:spacing w:line="240" w:lineRule="auto" w:before="30" w:after="30"/>
              <w:jc w:val="center"/>
            </w:pPr>
            <w:r>
              <w:rPr>
                <w:b w:val="0"/>
                <w:i w:val="0"/>
                <w:sz w:val="18"/>
              </w:rPr>
              <w:t>3.9</w:t>
            </w:r>
          </w:p>
        </w:tc>
        <w:tc>
          <w:tcPr>
            <w:tcW w:type="dxa" w:w="1257"/>
          </w:tcPr>
          <w:p>
            <w:pPr>
              <w:pStyle w:val="MDPI42tablebody"/>
              <w:keepNext/>
              <w:spacing w:line="240" w:lineRule="auto" w:before="30" w:after="30"/>
              <w:jc w:val="center"/>
            </w:pPr>
            <w:r>
              <w:rPr>
                <w:b w:val="0"/>
                <w:i w:val="0"/>
                <w:sz w:val="18"/>
              </w:rPr>
              <w:t>4.0</w:t>
            </w:r>
          </w:p>
        </w:tc>
        <w:tc>
          <w:tcPr>
            <w:tcW w:type="dxa" w:w="785"/>
          </w:tcPr>
          <w:p>
            <w:pPr>
              <w:pStyle w:val="MDPI42tablebody"/>
              <w:keepNext/>
              <w:spacing w:line="240" w:lineRule="auto" w:before="30" w:after="30"/>
              <w:jc w:val="center"/>
            </w:pPr>
            <w:r>
              <w:rPr>
                <w:b w:val="0"/>
                <w:i w:val="0"/>
                <w:sz w:val="18"/>
              </w:rPr>
              <w:t>0.479</w:t>
            </w:r>
          </w:p>
        </w:tc>
      </w:tr>
    </w:tbl>
    <w:p>
      <w:pPr>
        <w:pStyle w:val="MDPI43tablefooter"/>
        <w:spacing w:line="240" w:lineRule="auto" w:before="40" w:after="200"/>
        <w:ind w:left="2608" w:firstLine="0"/>
      </w:pPr>
      <w:r>
        <w:rPr>
          <w:sz w:val="16"/>
        </w:rPr>
        <w:t xml:space="preserve">Note: </w:t>
      </w:r>
      <w:r>
        <w:rPr>
          <w:b w:val="0"/>
          <w:i w:val="0"/>
          <w:sz w:val="16"/>
        </w:rPr>
        <w:t>Continuous characteristics are means; binary characteristics are percentages. The final column reports the p-value of a Welch two-sample test of the difference between retained and lost respondents. Depreciation and anxiety rows are unweighted means of the raw seven-point items at the first wave. Source: authors’ own calculations.</w:t>
      </w:r>
    </w:p>
    <w:p>
      <w:pPr>
        <w:pStyle w:val="MDPI22heading2"/>
      </w:pPr>
      <w:r>
        <w:t>3.2. Measures</w:t>
      </w:r>
    </w:p>
    <w:p>
      <w:pPr>
        <w:pStyle w:val="MDPI32textnoindent"/>
      </w:pPr>
      <w:r>
        <w:rPr>
          <w:b w:val="0"/>
          <w:i w:val="0"/>
        </w:rPr>
        <w:t xml:space="preserve">All perceptual constructs use seven-point Likert items (1 = strongly disagree, 7 = strongly agree), adapted from validated instruments to the generative-AI context and translated by the standard back-translation procedure. Perceived human capital depreciation (PHCD, four items) captures the judgment that one’s degree skills are losing labor market value as generative systems improve, adapting skill-obsolescence measures </w:t>
      </w:r>
      <w:r>
        <w:t>[</w:t>
      </w:r>
      <w:r>
        <w:fldChar w:fldCharType="begin"/>
      </w:r>
      <w:r>
        <w:instrText xml:space="preserve"> REF _Ref_57 \h </w:instrText>
      </w:r>
      <w:r>
        <w:fldChar w:fldCharType="separate"/>
      </w:r>
      <w:r>
        <w:t>57</w:t>
      </w:r>
      <w:r>
        <w:fldChar w:fldCharType="end"/>
      </w:r>
      <w:r>
        <w:t>,</w:t>
      </w:r>
      <w:r>
        <w:fldChar w:fldCharType="begin"/>
      </w:r>
      <w:r>
        <w:instrText xml:space="preserve"> REF _Ref_58 \h </w:instrText>
      </w:r>
      <w:r>
        <w:fldChar w:fldCharType="separate"/>
      </w:r>
      <w:r>
        <w:t>58</w:t>
      </w:r>
      <w:r>
        <w:fldChar w:fldCharType="end"/>
      </w:r>
      <w:r>
        <w:t>]</w:t>
      </w:r>
      <w:r>
        <w:rPr>
          <w:b w:val="0"/>
          <w:i w:val="0"/>
        </w:rPr>
        <w:t xml:space="preserve"> to the technology (sample item: “The skills I acquired in my degree are losing value as generative AI systems improve”). AI-related career anxiety (ANX, four items) adapts the job-replacement dimension of the artificial-intelligence anxiety scale </w:t>
      </w:r>
      <w:r>
        <w:t>[</w:t>
      </w:r>
      <w:r>
        <w:fldChar w:fldCharType="begin"/>
      </w:r>
      <w:r>
        <w:instrText xml:space="preserve"> REF _Ref_19 \h </w:instrText>
      </w:r>
      <w:r>
        <w:fldChar w:fldCharType="separate"/>
      </w:r>
      <w:r>
        <w:t>19</w:t>
      </w:r>
      <w:r>
        <w:fldChar w:fldCharType="end"/>
      </w:r>
      <w:r>
        <w:t>]</w:t>
      </w:r>
      <w:r>
        <w:rPr>
          <w:b w:val="0"/>
          <w:i w:val="0"/>
        </w:rPr>
        <w:t xml:space="preserve"> to the career frame of reference (“Thinking about what AI means for my career path makes me tense”). Generative-AI literacy (LIT, four items) measures self-efficacious command of the technology </w:t>
      </w:r>
      <w:r>
        <w:t>[</w:t>
      </w:r>
      <w:r>
        <w:fldChar w:fldCharType="begin"/>
      </w:r>
      <w:r>
        <w:instrText xml:space="preserve"> REF _Ref_62 \h </w:instrText>
      </w:r>
      <w:r>
        <w:fldChar w:fldCharType="separate"/>
      </w:r>
      <w:r>
        <w:t>62</w:t>
      </w:r>
      <w:r>
        <w:fldChar w:fldCharType="end"/>
      </w:r>
      <w:r>
        <w:t>,</w:t>
      </w:r>
      <w:r>
        <w:fldChar w:fldCharType="begin"/>
      </w:r>
      <w:r>
        <w:instrText xml:space="preserve"> REF _Ref_72 \h </w:instrText>
      </w:r>
      <w:r>
        <w:fldChar w:fldCharType="separate"/>
      </w:r>
      <w:r>
        <w:t>72</w:t>
      </w:r>
      <w:r>
        <w:fldChar w:fldCharType="end"/>
      </w:r>
      <w:r>
        <w:t>]</w:t>
      </w:r>
      <w:r>
        <w:rPr>
          <w:b w:val="0"/>
          <w:i w:val="0"/>
        </w:rPr>
        <w:t xml:space="preserve">: prompting effectively, verifying output, integrating it into one’s own work, and keeping pace with new releases. Perceived employability support (SUP, four items) measures the graduate’s assessment of university career services, employer training provision and network support </w:t>
      </w:r>
      <w:r>
        <w:t>[</w:t>
      </w:r>
      <w:r>
        <w:fldChar w:fldCharType="begin"/>
      </w:r>
      <w:r>
        <w:instrText xml:space="preserve"> REF _Ref_75 \h </w:instrText>
      </w:r>
      <w:r>
        <w:fldChar w:fldCharType="separate"/>
      </w:r>
      <w:r>
        <w:t>75</w:t>
      </w:r>
      <w:r>
        <w:fldChar w:fldCharType="end"/>
      </w:r>
      <w:r>
        <w:t>]</w:t>
      </w:r>
      <w:r>
        <w:rPr>
          <w:b w:val="0"/>
          <w:i w:val="0"/>
        </w:rPr>
        <w:t xml:space="preserve">. Occupational adaptation (ADP, four items, second wave) records behavior over the intervening six months: enrollment in structured reskilling, credential pursuit, deliberate practice with generative tools, and movement toward tasks that complement the technology </w:t>
      </w:r>
      <w:r>
        <w:t>[</w:t>
      </w:r>
      <w:r>
        <w:fldChar w:fldCharType="begin"/>
      </w:r>
      <w:r>
        <w:instrText xml:space="preserve"> REF _Ref_67 \h </w:instrText>
      </w:r>
      <w:r>
        <w:fldChar w:fldCharType="separate"/>
      </w:r>
      <w:r>
        <w:t>67</w:t>
      </w:r>
      <w:r>
        <w:fldChar w:fldCharType="end"/>
      </w:r>
      <w:r>
        <w:t>,</w:t>
      </w:r>
      <w:r>
        <w:fldChar w:fldCharType="begin"/>
      </w:r>
      <w:r>
        <w:instrText xml:space="preserve"> REF _Ref_68 \h </w:instrText>
      </w:r>
      <w:r>
        <w:fldChar w:fldCharType="separate"/>
      </w:r>
      <w:r>
        <w:t>68</w:t>
      </w:r>
      <w:r>
        <w:fldChar w:fldCharType="end"/>
      </w:r>
      <w:r>
        <w:t>]</w:t>
      </w:r>
      <w:r>
        <w:rPr>
          <w:b w:val="0"/>
          <w:i w:val="0"/>
        </w:rPr>
        <w:t xml:space="preserve">. Career avoidance (AVD, three items, second wave) records postponed career decisions, avoidance of AI-related information, and contemplated exit from the field </w:t>
      </w:r>
      <w:r>
        <w:t>[</w:t>
      </w:r>
      <w:r>
        <w:fldChar w:fldCharType="begin"/>
      </w:r>
      <w:r>
        <w:instrText xml:space="preserve"> REF _Ref_20 \h </w:instrText>
      </w:r>
      <w:r>
        <w:fldChar w:fldCharType="separate"/>
      </w:r>
      <w:r>
        <w:t>20</w:t>
      </w:r>
      <w:r>
        <w:fldChar w:fldCharType="end"/>
      </w:r>
      <w:r>
        <w:t>]</w:t>
      </w:r>
      <w:r>
        <w:rPr>
          <w:b w:val="0"/>
          <w:i w:val="0"/>
        </w:rPr>
        <w:t xml:space="preserve">. A three-item marker construct, theoretically unrelated aesthetic preference, is carried for method-bias diagnostics </w:t>
      </w:r>
      <w:r>
        <w:t>[</w:t>
      </w:r>
      <w:r>
        <w:fldChar w:fldCharType="begin"/>
      </w:r>
      <w:r>
        <w:instrText xml:space="preserve"> REF _Ref_80 \h </w:instrText>
      </w:r>
      <w:r>
        <w:fldChar w:fldCharType="separate"/>
      </w:r>
      <w:r>
        <w:t>80</w:t>
      </w:r>
      <w:r>
        <w:fldChar w:fldCharType="end"/>
      </w:r>
      <w:r>
        <w:t>]</w:t>
      </w:r>
      <w:r>
        <w:rPr>
          <w:b w:val="0"/>
          <w:i w:val="0"/>
        </w:rPr>
        <w:t>.</w:t>
      </w:r>
    </w:p>
    <w:p>
      <w:pPr>
        <w:pStyle w:val="MDPI31text"/>
      </w:pPr>
      <w:r>
        <w:rPr>
          <w:b w:val="0"/>
          <w:i w:val="0"/>
        </w:rPr>
        <w:t xml:space="preserve">Occupational exposure (EXPO) is the one non-perceptual condition: each respondent’s current or target occupation group is scored for generative-AI exposure by aggregating task-level language-model applicability to the occupation level, following the construction logic of the exposure literature </w:t>
      </w:r>
      <w:r>
        <w:t>[</w:t>
      </w:r>
      <w:r>
        <w:fldChar w:fldCharType="begin"/>
      </w:r>
      <w:r>
        <w:instrText xml:space="preserve"> REF _Ref_1 \h </w:instrText>
      </w:r>
      <w:r>
        <w:fldChar w:fldCharType="separate"/>
      </w:r>
      <w:r>
        <w:t>1</w:t>
      </w:r>
      <w:r>
        <w:fldChar w:fldCharType="end"/>
      </w:r>
      <w:r>
        <w:t>,</w:t>
      </w:r>
      <w:r>
        <w:fldChar w:fldCharType="begin"/>
      </w:r>
      <w:r>
        <w:instrText xml:space="preserve"> REF _Ref_2 \h </w:instrText>
      </w:r>
      <w:r>
        <w:fldChar w:fldCharType="separate"/>
      </w:r>
      <w:r>
        <w:t>2</w:t>
      </w:r>
      <w:r>
        <w:fldChar w:fldCharType="end"/>
      </w:r>
      <w:r>
        <w:t>]</w:t>
      </w:r>
      <w:r>
        <w:rPr>
          <w:b w:val="0"/>
          <w:i w:val="0"/>
        </w:rPr>
        <w:t xml:space="preserve">, and standardized over the sample (sample mean of the raw score 0.58, standard deviation 0.18). As a behavioral cross-check on the adaptation index, the second wave also records hours of structured reskilling in the past six months. Controls comprise gender, age, degree level, STEM major, city tier, months since graduation, employment status, parental tertiary education and internship experience, the standard determinants of early-career outcomes </w:t>
      </w:r>
      <w:r>
        <w:t>[</w:t>
      </w:r>
      <w:r>
        <w:fldChar w:fldCharType="begin"/>
      </w:r>
      <w:r>
        <w:instrText xml:space="preserve"> REF _Ref_15 \h </w:instrText>
      </w:r>
      <w:r>
        <w:fldChar w:fldCharType="separate"/>
      </w:r>
      <w:r>
        <w:t>15</w:t>
      </w:r>
      <w:r>
        <w:fldChar w:fldCharType="end"/>
      </w:r>
      <w:r>
        <w:t>,</w:t>
      </w:r>
      <w:r>
        <w:fldChar w:fldCharType="begin"/>
      </w:r>
      <w:r>
        <w:instrText xml:space="preserve"> REF _Ref_16 \h </w:instrText>
      </w:r>
      <w:r>
        <w:fldChar w:fldCharType="separate"/>
      </w:r>
      <w:r>
        <w:t>16</w:t>
      </w:r>
      <w:r>
        <w:fldChar w:fldCharType="end"/>
      </w:r>
      <w:r>
        <w:t>]</w:t>
      </w:r>
      <w:r>
        <w:rPr>
          <w:b w:val="0"/>
          <w:i w:val="0"/>
        </w:rPr>
        <w:t>.</w:t>
      </w:r>
    </w:p>
    <w:p>
      <w:pPr>
        <w:pStyle w:val="MDPI22heading2"/>
      </w:pPr>
      <w:r>
        <w:t>3.3. Analysis Strategy</w:t>
      </w:r>
    </w:p>
    <w:p>
      <w:pPr>
        <w:pStyle w:val="MDPI32textnoindent"/>
      </w:pPr>
      <w:r>
        <w:rPr>
          <w:b w:val="0"/>
          <w:i w:val="0"/>
        </w:rPr>
        <w:t xml:space="preserve">The analysis proceeds in four blocks, each matched to a property of the hypothesized control loop. The first block is the measurement model: a maximum-likelihood confirmatory factor analysis of the six substantive constructs, with reliability, convergent and discriminant validity assessed by the conventional criteria </w:t>
      </w:r>
      <w:r>
        <w:t>[</w:t>
      </w:r>
      <w:r>
        <w:fldChar w:fldCharType="begin"/>
      </w:r>
      <w:r>
        <w:instrText xml:space="preserve"> REF _Ref_81 \h </w:instrText>
      </w:r>
      <w:r>
        <w:fldChar w:fldCharType="separate"/>
      </w:r>
      <w:r>
        <w:t>81</w:t>
      </w:r>
      <w:r>
        <w:fldChar w:fldCharType="end"/>
      </w:r>
      <w:r>
        <w:t>–</w:t>
      </w:r>
      <w:r>
        <w:fldChar w:fldCharType="begin"/>
      </w:r>
      <w:r>
        <w:instrText xml:space="preserve"> REF _Ref_83 \h </w:instrText>
      </w:r>
      <w:r>
        <w:fldChar w:fldCharType="separate"/>
      </w:r>
      <w:r>
        <w:t>83</w:t>
      </w:r>
      <w:r>
        <w:fldChar w:fldCharType="end"/>
      </w:r>
      <w:r>
        <w:t>]</w:t>
      </w:r>
      <w:r>
        <w:rPr>
          <w:b w:val="0"/>
          <w:i w:val="0"/>
        </w:rPr>
        <w:t xml:space="preserve">, measurement invariance tested across gender and major, and common-method risk assessed by design (temporal separation of the outcomes), by the Harman diagnostic, by an equal-loading unmeasured method factor and by the marker technique </w:t>
      </w:r>
      <w:r>
        <w:t>[</w:t>
      </w:r>
      <w:r>
        <w:fldChar w:fldCharType="begin"/>
      </w:r>
      <w:r>
        <w:instrText xml:space="preserve"> REF _Ref_80 \h </w:instrText>
      </w:r>
      <w:r>
        <w:fldChar w:fldCharType="separate"/>
      </w:r>
      <w:r>
        <w:t>80</w:t>
      </w:r>
      <w:r>
        <w:fldChar w:fldCharType="end"/>
      </w:r>
      <w:r>
        <w:t>,</w:t>
      </w:r>
      <w:r>
        <w:fldChar w:fldCharType="begin"/>
      </w:r>
      <w:r>
        <w:instrText xml:space="preserve"> REF _Ref_84 \h </w:instrText>
      </w:r>
      <w:r>
        <w:fldChar w:fldCharType="separate"/>
      </w:r>
      <w:r>
        <w:t>84</w:t>
      </w:r>
      <w:r>
        <w:fldChar w:fldCharType="end"/>
      </w:r>
      <w:r>
        <w:t>,</w:t>
      </w:r>
      <w:r>
        <w:fldChar w:fldCharType="begin"/>
      </w:r>
      <w:r>
        <w:instrText xml:space="preserve"> REF _Ref_85 \h </w:instrText>
      </w:r>
      <w:r>
        <w:fldChar w:fldCharType="separate"/>
      </w:r>
      <w:r>
        <w:t>85</w:t>
      </w:r>
      <w:r>
        <w:fldChar w:fldCharType="end"/>
      </w:r>
      <w:r>
        <w:t>]</w:t>
      </w:r>
      <w:r>
        <w:rPr>
          <w:b w:val="0"/>
          <w:i w:val="0"/>
        </w:rPr>
        <w:t xml:space="preserve">. Bartlett factor scores carry the constructs into the structural block; factor-score regression of this form is consistent for the structural parameters under a correctly specified measurement model </w:t>
      </w:r>
      <w:r>
        <w:t>[</w:t>
      </w:r>
      <w:r>
        <w:fldChar w:fldCharType="begin"/>
      </w:r>
      <w:r>
        <w:instrText xml:space="preserve"> REF _Ref_86 \h </w:instrText>
      </w:r>
      <w:r>
        <w:fldChar w:fldCharType="separate"/>
      </w:r>
      <w:r>
        <w:t>86</w:t>
      </w:r>
      <w:r>
        <w:fldChar w:fldCharType="end"/>
      </w:r>
      <w:r>
        <w:t>]</w:t>
      </w:r>
      <w:r>
        <w:rPr>
          <w:b w:val="0"/>
          <w:i w:val="0"/>
        </w:rPr>
        <w:t>, and unit-weighted composites replicate every result in robustness.</w:t>
      </w:r>
    </w:p>
    <w:p>
      <w:pPr>
        <w:pStyle w:val="MDPI31text"/>
      </w:pPr>
      <w:r>
        <w:rPr>
          <w:b w:val="0"/>
          <w:i w:val="0"/>
        </w:rPr>
        <w:t>The second block estimates the three structural equations</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ANX</m:t>
                  </m:r>
                </m:e>
                <m:sub>
                  <m:r>
                    <m:t xml:space="preserve">i</m:t>
                  </m:r>
                </m:sub>
              </m:sSub>
              <m:r>
                <m:rPr>
                  <m:sty m:val="p"/>
                </m:rPr>
                <m:t xml:space="preserve">=</m:t>
              </m:r>
              <m:sSub>
                <m:e>
                  <m:r>
                    <m:t xml:space="preserve">a</m:t>
                  </m:r>
                </m:e>
                <m:sub>
                  <m:r>
                    <m:rPr>
                      <m:sty m:val="p"/>
                    </m:rPr>
                    <m:t xml:space="preserve">0</m:t>
                  </m:r>
                </m:sub>
              </m:sSub>
              <m:r>
                <m:rPr>
                  <m:sty m:val="p"/>
                </m:rPr>
                <m:t xml:space="preserve">+</m:t>
              </m:r>
              <m:sSub>
                <m:e>
                  <m:r>
                    <m:t xml:space="preserve">a</m:t>
                  </m:r>
                </m:e>
                <m:sub>
                  <m:r>
                    <m:rPr>
                      <m:sty m:val="p"/>
                    </m:rPr>
                    <m:t xml:space="preserve">1</m:t>
                  </m:r>
                </m:sub>
              </m:sSub>
              <m:sSub>
                <m:e>
                  <m:r>
                    <m:t xml:space="preserve">PHCD</m:t>
                  </m:r>
                </m:e>
                <m:sub>
                  <m:r>
                    <m:t xml:space="preserve">i</m:t>
                  </m:r>
                </m:sub>
              </m:sSub>
              <m:r>
                <m:rPr>
                  <m:sty m:val="p"/>
                </m:rPr>
                <m:t xml:space="preserve">+</m:t>
              </m:r>
              <m:sSub>
                <m:e>
                  <m:r>
                    <m:t xml:space="preserve">a</m:t>
                  </m:r>
                </m:e>
                <m:sub>
                  <m:r>
                    <m:rPr>
                      <m:sty m:val="p"/>
                    </m:rPr>
                    <m:t xml:space="preserve">2</m:t>
                  </m:r>
                </m:sub>
              </m:sSub>
              <m:r>
                <m:t xml:space="preserve">S</m:t>
              </m:r>
              <m:sSub>
                <m:e>
                  <m:r>
                    <m:t xml:space="preserve">UP</m:t>
                  </m:r>
                </m:e>
                <m:sub>
                  <m:r>
                    <m:t xml:space="preserve">i</m:t>
                  </m:r>
                </m:sub>
              </m:sSub>
              <m:r>
                <m:rPr>
                  <m:sty m:val="p"/>
                </m:rPr>
                <m:t xml:space="preserve">+</m:t>
              </m:r>
              <m:sSub>
                <m:e>
                  <m:r>
                    <m:t xml:space="preserve">a</m:t>
                  </m:r>
                </m:e>
                <m:sub>
                  <m:r>
                    <m:rPr>
                      <m:sty m:val="p"/>
                    </m:rPr>
                    <m:t xml:space="preserve">3</m:t>
                  </m:r>
                </m:sub>
              </m:sSub>
              <m:d>
                <m:dPr>
                  <m:begChr m:val="("/>
                  <m:endChr m:val=")"/>
                </m:dPr>
                <m:e>
                  <m:sSub>
                    <m:e>
                      <m:r>
                        <m:t xml:space="preserve">PHCD</m:t>
                      </m:r>
                    </m:e>
                    <m:sub>
                      <m:r>
                        <m:t xml:space="preserve">i</m:t>
                      </m:r>
                    </m:sub>
                  </m:sSub>
                  <m:r>
                    <m:rPr>
                      <m:sty m:val="p"/>
                    </m:rPr>
                    <m:t xml:space="preserve">×</m:t>
                  </m:r>
                  <m:r>
                    <m:t xml:space="preserve"> </m:t>
                  </m:r>
                  <m:r>
                    <m:t xml:space="preserve">S</m:t>
                  </m:r>
                  <m:sSub>
                    <m:e>
                      <m:r>
                        <m:t xml:space="preserve">UP</m:t>
                      </m:r>
                    </m:e>
                    <m:sub>
                      <m:r>
                        <m:t xml:space="preserve">i</m:t>
                      </m:r>
                    </m:sub>
                  </m:sSub>
                </m:e>
              </m:d>
              <m:r>
                <m:rPr>
                  <m:sty m:val="p"/>
                </m:rPr>
                <m:t xml:space="preserve">+</m:t>
              </m:r>
              <m:sSubSup>
                <m:e>
                  <m:r>
                    <m:t xml:space="preserve">γ</m:t>
                  </m:r>
                </m:e>
                <m:sub>
                  <m:r>
                    <m:rPr>
                      <m:sty m:val="p"/>
                    </m:rPr>
                    <m:t xml:space="preserve">1</m:t>
                  </m:r>
                </m:sub>
                <m:sup>
                  <m:r>
                    <m:rPr>
                      <m:sty m:val="p"/>
                    </m:rPr>
                    <m:t xml:space="preserve">′</m:t>
                  </m:r>
                </m:sup>
              </m:sSubSup>
              <m:sSub>
                <m:e>
                  <m:r>
                    <m:t xml:space="preserve">X</m:t>
                  </m:r>
                </m:e>
                <m:sub>
                  <m:r>
                    <m:t xml:space="preserve">i</m:t>
                  </m:r>
                </m:sub>
              </m:sSub>
              <m:r>
                <m:rPr>
                  <m:sty m:val="p"/>
                </m:rPr>
                <m:t xml:space="preserve">+</m:t>
              </m:r>
              <m:sSub>
                <m:e>
                  <m:r>
                    <m:t xml:space="preserve">ε</m:t>
                  </m:r>
                </m:e>
                <m:sub>
                  <m:r>
                    <m:rPr>
                      <m:sty m:val="p"/>
                    </m:rPr>
                    <m:t xml:space="preserve">1</m:t>
                  </m:r>
                  <m:r>
                    <m:t xml:space="preserve">i</m:t>
                  </m:r>
                </m:sub>
              </m:sSub>
            </m:oMath>
          </w:p>
        </w:tc>
        <w:tc>
          <w:tcPr>
            <w:tcW w:type="dxa" w:w="431"/>
            <w:vAlign w:val="center"/>
          </w:tcPr>
          <w:p>
            <w:pPr>
              <w:pStyle w:val="MDPI3aequationnumber"/>
              <w:jc w:val="right"/>
            </w:pPr>
            <w:r>
              <w:t>(1)</w:t>
            </w:r>
          </w:p>
        </w:tc>
      </w:tr>
    </w:tbl>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ADP</m:t>
                  </m:r>
                </m:e>
                <m:sub>
                  <m:r>
                    <m:t xml:space="preserve">i</m:t>
                  </m:r>
                </m:sub>
              </m:sSub>
              <m:r>
                <m:rPr>
                  <m:sty m:val="p"/>
                </m:rPr>
                <m:t xml:space="preserve">=</m:t>
              </m:r>
              <m:sSub>
                <m:e>
                  <m:r>
                    <m:t xml:space="preserve">b</m:t>
                  </m:r>
                </m:e>
                <m:sub>
                  <m:r>
                    <m:rPr>
                      <m:sty m:val="p"/>
                    </m:rPr>
                    <m:t xml:space="preserve">0</m:t>
                  </m:r>
                </m:sub>
              </m:sSub>
              <m:r>
                <m:rPr>
                  <m:sty m:val="p"/>
                </m:rPr>
                <m:t xml:space="preserve">+</m:t>
              </m:r>
              <m:sSub>
                <m:e>
                  <m:r>
                    <m:t xml:space="preserve">b</m:t>
                  </m:r>
                </m:e>
                <m:sub>
                  <m:r>
                    <m:rPr>
                      <m:sty m:val="p"/>
                    </m:rPr>
                    <m:t xml:space="preserve">1</m:t>
                  </m:r>
                </m:sub>
              </m:sSub>
              <m:sSub>
                <m:e>
                  <m:r>
                    <m:t xml:space="preserve">ANX</m:t>
                  </m:r>
                </m:e>
                <m:sub>
                  <m:r>
                    <m:t xml:space="preserve">i</m:t>
                  </m:r>
                </m:sub>
              </m:sSub>
              <m:r>
                <m:rPr>
                  <m:sty m:val="p"/>
                </m:rPr>
                <m:t xml:space="preserve">+</m:t>
              </m:r>
              <m:sSub>
                <m:e>
                  <m:r>
                    <m:t xml:space="preserve">b</m:t>
                  </m:r>
                </m:e>
                <m:sub>
                  <m:r>
                    <m:rPr>
                      <m:sty m:val="p"/>
                    </m:rPr>
                    <m:t xml:space="preserve">2</m:t>
                  </m:r>
                </m:sub>
              </m:sSub>
              <m:sSubSup>
                <m:e>
                  <m:r>
                    <m:t xml:space="preserve">ANX</m:t>
                  </m:r>
                </m:e>
                <m:sub>
                  <m:r>
                    <m:t xml:space="preserve">i</m:t>
                  </m:r>
                </m:sub>
                <m:sup>
                  <m:r>
                    <m:rPr>
                      <m:sty m:val="p"/>
                    </m:rPr>
                    <m:t xml:space="preserve">2</m:t>
                  </m:r>
                </m:sup>
              </m:sSubSup>
              <m:r>
                <m:rPr>
                  <m:sty m:val="p"/>
                </m:rPr>
                <m:t xml:space="preserve">+</m:t>
              </m:r>
              <m:sSub>
                <m:e>
                  <m:r>
                    <m:t xml:space="preserve">b</m:t>
                  </m:r>
                </m:e>
                <m:sub>
                  <m:r>
                    <m:rPr>
                      <m:sty m:val="p"/>
                    </m:rPr>
                    <m:t xml:space="preserve">3</m:t>
                  </m:r>
                </m:sub>
              </m:sSub>
              <m:d>
                <m:dPr>
                  <m:begChr m:val="("/>
                  <m:endChr m:val=")"/>
                </m:dPr>
                <m:e>
                  <m:sSub>
                    <m:e>
                      <m:r>
                        <m:t xml:space="preserve">ANX</m:t>
                      </m:r>
                    </m:e>
                    <m:sub>
                      <m:r>
                        <m:t xml:space="preserve">i</m:t>
                      </m:r>
                    </m:sub>
                  </m:sSub>
                  <m:r>
                    <m:rPr>
                      <m:sty m:val="p"/>
                    </m:rPr>
                    <m:t xml:space="preserve">×</m:t>
                  </m:r>
                  <m:r>
                    <m:t xml:space="preserve"> </m:t>
                  </m:r>
                  <m:sSub>
                    <m:e>
                      <m:r>
                        <m:t xml:space="preserve">LIT</m:t>
                      </m:r>
                    </m:e>
                    <m:sub>
                      <m:r>
                        <m:t xml:space="preserve">i</m:t>
                      </m:r>
                    </m:sub>
                  </m:sSub>
                </m:e>
              </m:d>
              <m:r>
                <m:rPr>
                  <m:sty m:val="p"/>
                </m:rPr>
                <m:t xml:space="preserve">+</m:t>
              </m:r>
              <m:sSub>
                <m:e>
                  <m:r>
                    <m:t xml:space="preserve">b</m:t>
                  </m:r>
                </m:e>
                <m:sub>
                  <m:r>
                    <m:rPr>
                      <m:sty m:val="p"/>
                    </m:rPr>
                    <m:t xml:space="preserve">4</m:t>
                  </m:r>
                </m:sub>
              </m:sSub>
              <m:sSub>
                <m:e>
                  <m:r>
                    <m:t xml:space="preserve">LIT</m:t>
                  </m:r>
                </m:e>
                <m:sub>
                  <m:r>
                    <m:t xml:space="preserve">i</m:t>
                  </m:r>
                </m:sub>
              </m:sSub>
              <m:r>
                <m:rPr>
                  <m:sty m:val="p"/>
                </m:rPr>
                <m:t xml:space="preserve">+</m:t>
              </m:r>
              <m:sSub>
                <m:e>
                  <m:r>
                    <m:t xml:space="preserve">b</m:t>
                  </m:r>
                </m:e>
                <m:sub>
                  <m:r>
                    <m:rPr>
                      <m:sty m:val="p"/>
                    </m:rPr>
                    <m:t xml:space="preserve">5</m:t>
                  </m:r>
                </m:sub>
              </m:sSub>
              <m:r>
                <m:t xml:space="preserve">S</m:t>
              </m:r>
              <m:sSub>
                <m:e>
                  <m:r>
                    <m:t xml:space="preserve">UP</m:t>
                  </m:r>
                </m:e>
                <m:sub>
                  <m:r>
                    <m:t xml:space="preserve">i</m:t>
                  </m:r>
                </m:sub>
              </m:sSub>
              <m:r>
                <m:rPr>
                  <m:sty m:val="p"/>
                </m:rPr>
                <m:t xml:space="preserve">+</m:t>
              </m:r>
              <m:sSub>
                <m:e>
                  <m:r>
                    <m:t xml:space="preserve">b</m:t>
                  </m:r>
                </m:e>
                <m:sub>
                  <m:r>
                    <m:rPr>
                      <m:sty m:val="p"/>
                    </m:rPr>
                    <m:t xml:space="preserve">6</m:t>
                  </m:r>
                </m:sub>
              </m:sSub>
              <m:sSub>
                <m:e>
                  <m:r>
                    <m:t xml:space="preserve">PHCD</m:t>
                  </m:r>
                </m:e>
                <m:sub>
                  <m:r>
                    <m:t xml:space="preserve">i</m:t>
                  </m:r>
                </m:sub>
              </m:sSub>
              <m:r>
                <m:rPr>
                  <m:sty m:val="p"/>
                </m:rPr>
                <m:t xml:space="preserve">+</m:t>
              </m:r>
              <m:sSubSup>
                <m:e>
                  <m:r>
                    <m:t xml:space="preserve">γ</m:t>
                  </m:r>
                </m:e>
                <m:sub>
                  <m:r>
                    <m:rPr>
                      <m:sty m:val="p"/>
                    </m:rPr>
                    <m:t xml:space="preserve">2</m:t>
                  </m:r>
                </m:sub>
                <m:sup>
                  <m:r>
                    <m:rPr>
                      <m:sty m:val="p"/>
                    </m:rPr>
                    <m:t xml:space="preserve">′</m:t>
                  </m:r>
                </m:sup>
              </m:sSubSup>
              <m:sSub>
                <m:e>
                  <m:r>
                    <m:t xml:space="preserve">X</m:t>
                  </m:r>
                </m:e>
                <m:sub>
                  <m:r>
                    <m:t xml:space="preserve">i</m:t>
                  </m:r>
                </m:sub>
              </m:sSub>
              <m:r>
                <m:rPr>
                  <m:sty m:val="p"/>
                </m:rPr>
                <m:t xml:space="preserve">+</m:t>
              </m:r>
              <m:sSub>
                <m:e>
                  <m:r>
                    <m:t xml:space="preserve">ε</m:t>
                  </m:r>
                </m:e>
                <m:sub>
                  <m:r>
                    <m:rPr>
                      <m:sty m:val="p"/>
                    </m:rPr>
                    <m:t xml:space="preserve">2</m:t>
                  </m:r>
                  <m:r>
                    <m:t xml:space="preserve">i</m:t>
                  </m:r>
                </m:sub>
              </m:sSub>
            </m:oMath>
          </w:p>
        </w:tc>
        <w:tc>
          <w:tcPr>
            <w:tcW w:type="dxa" w:w="431"/>
            <w:vAlign w:val="center"/>
          </w:tcPr>
          <w:p>
            <w:pPr>
              <w:pStyle w:val="MDPI3aequationnumber"/>
              <w:jc w:val="right"/>
            </w:pPr>
            <w:r>
              <w:t>(2)</w:t>
            </w:r>
          </w:p>
        </w:tc>
      </w:tr>
    </w:tbl>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AVD</m:t>
                  </m:r>
                </m:e>
                <m:sub>
                  <m:r>
                    <m:t xml:space="preserve">i</m:t>
                  </m:r>
                </m:sub>
              </m:sSub>
              <m:r>
                <m:rPr>
                  <m:sty m:val="p"/>
                </m:rPr>
                <m:t xml:space="preserve">=</m:t>
              </m:r>
              <m:sSub>
                <m:e>
                  <m:r>
                    <m:t xml:space="preserve">c</m:t>
                  </m:r>
                </m:e>
                <m:sub>
                  <m:r>
                    <m:rPr>
                      <m:sty m:val="p"/>
                    </m:rPr>
                    <m:t xml:space="preserve">0</m:t>
                  </m:r>
                </m:sub>
              </m:sSub>
              <m:r>
                <m:rPr>
                  <m:sty m:val="p"/>
                </m:rPr>
                <m:t xml:space="preserve">+</m:t>
              </m:r>
              <m:sSub>
                <m:e>
                  <m:r>
                    <m:t xml:space="preserve">c</m:t>
                  </m:r>
                </m:e>
                <m:sub>
                  <m:r>
                    <m:rPr>
                      <m:sty m:val="p"/>
                    </m:rPr>
                    <m:t xml:space="preserve">1</m:t>
                  </m:r>
                </m:sub>
              </m:sSub>
              <m:sSub>
                <m:e>
                  <m:r>
                    <m:t xml:space="preserve">ANX</m:t>
                  </m:r>
                </m:e>
                <m:sub>
                  <m:r>
                    <m:t xml:space="preserve">i</m:t>
                  </m:r>
                </m:sub>
              </m:sSub>
              <m:r>
                <m:rPr>
                  <m:sty m:val="p"/>
                </m:rPr>
                <m:t xml:space="preserve">+</m:t>
              </m:r>
              <m:sSub>
                <m:e>
                  <m:r>
                    <m:t xml:space="preserve">c</m:t>
                  </m:r>
                </m:e>
                <m:sub>
                  <m:r>
                    <m:rPr>
                      <m:sty m:val="p"/>
                    </m:rPr>
                    <m:t xml:space="preserve">2</m:t>
                  </m:r>
                </m:sub>
              </m:sSub>
              <m:d>
                <m:dPr>
                  <m:begChr m:val="("/>
                  <m:endChr m:val=")"/>
                </m:dPr>
                <m:e>
                  <m:sSub>
                    <m:e>
                      <m:r>
                        <m:t xml:space="preserve">ANX</m:t>
                      </m:r>
                    </m:e>
                    <m:sub>
                      <m:r>
                        <m:t xml:space="preserve">i</m:t>
                      </m:r>
                    </m:sub>
                  </m:sSub>
                  <m:r>
                    <m:rPr>
                      <m:sty m:val="p"/>
                    </m:rPr>
                    <m:t xml:space="preserve">×</m:t>
                  </m:r>
                  <m:r>
                    <m:t xml:space="preserve"> </m:t>
                  </m:r>
                  <m:sSub>
                    <m:e>
                      <m:r>
                        <m:t xml:space="preserve">LIT</m:t>
                      </m:r>
                    </m:e>
                    <m:sub>
                      <m:r>
                        <m:t xml:space="preserve">i</m:t>
                      </m:r>
                    </m:sub>
                  </m:sSub>
                </m:e>
              </m:d>
              <m:r>
                <m:rPr>
                  <m:sty m:val="p"/>
                </m:rPr>
                <m:t xml:space="preserve">+</m:t>
              </m:r>
              <m:sSub>
                <m:e>
                  <m:r>
                    <m:t xml:space="preserve">c</m:t>
                  </m:r>
                </m:e>
                <m:sub>
                  <m:r>
                    <m:rPr>
                      <m:sty m:val="p"/>
                    </m:rPr>
                    <m:t xml:space="preserve">3</m:t>
                  </m:r>
                </m:sub>
              </m:sSub>
              <m:sSub>
                <m:e>
                  <m:r>
                    <m:t xml:space="preserve">LIT</m:t>
                  </m:r>
                </m:e>
                <m:sub>
                  <m:r>
                    <m:t xml:space="preserve">i</m:t>
                  </m:r>
                </m:sub>
              </m:sSub>
              <m:r>
                <m:rPr>
                  <m:sty m:val="p"/>
                </m:rPr>
                <m:t xml:space="preserve">+</m:t>
              </m:r>
              <m:sSub>
                <m:e>
                  <m:r>
                    <m:t xml:space="preserve">c</m:t>
                  </m:r>
                </m:e>
                <m:sub>
                  <m:r>
                    <m:rPr>
                      <m:sty m:val="p"/>
                    </m:rPr>
                    <m:t xml:space="preserve">4</m:t>
                  </m:r>
                </m:sub>
              </m:sSub>
              <m:r>
                <m:t xml:space="preserve">S</m:t>
              </m:r>
              <m:sSub>
                <m:e>
                  <m:r>
                    <m:t xml:space="preserve">UP</m:t>
                  </m:r>
                </m:e>
                <m:sub>
                  <m:r>
                    <m:t xml:space="preserve">i</m:t>
                  </m:r>
                </m:sub>
              </m:sSub>
              <m:r>
                <m:rPr>
                  <m:sty m:val="p"/>
                </m:rPr>
                <m:t xml:space="preserve">+</m:t>
              </m:r>
              <m:sSub>
                <m:e>
                  <m:r>
                    <m:t xml:space="preserve">c</m:t>
                  </m:r>
                </m:e>
                <m:sub>
                  <m:r>
                    <m:rPr>
                      <m:sty m:val="p"/>
                    </m:rPr>
                    <m:t xml:space="preserve">5</m:t>
                  </m:r>
                </m:sub>
              </m:sSub>
              <m:sSub>
                <m:e>
                  <m:r>
                    <m:t xml:space="preserve">PHCD</m:t>
                  </m:r>
                </m:e>
                <m:sub>
                  <m:r>
                    <m:t xml:space="preserve">i</m:t>
                  </m:r>
                </m:sub>
              </m:sSub>
              <m:r>
                <m:rPr>
                  <m:sty m:val="p"/>
                </m:rPr>
                <m:t xml:space="preserve">+</m:t>
              </m:r>
              <m:sSubSup>
                <m:e>
                  <m:r>
                    <m:t xml:space="preserve">γ</m:t>
                  </m:r>
                </m:e>
                <m:sub>
                  <m:r>
                    <m:rPr>
                      <m:sty m:val="p"/>
                    </m:rPr>
                    <m:t xml:space="preserve">3</m:t>
                  </m:r>
                </m:sub>
                <m:sup>
                  <m:r>
                    <m:rPr>
                      <m:sty m:val="p"/>
                    </m:rPr>
                    <m:t xml:space="preserve">′</m:t>
                  </m:r>
                </m:sup>
              </m:sSubSup>
              <m:sSub>
                <m:e>
                  <m:r>
                    <m:t xml:space="preserve">X</m:t>
                  </m:r>
                </m:e>
                <m:sub>
                  <m:r>
                    <m:t xml:space="preserve">i</m:t>
                  </m:r>
                </m:sub>
              </m:sSub>
              <m:r>
                <m:rPr>
                  <m:sty m:val="p"/>
                </m:rPr>
                <m:t xml:space="preserve">+</m:t>
              </m:r>
              <m:sSub>
                <m:e>
                  <m:r>
                    <m:t xml:space="preserve">ε</m:t>
                  </m:r>
                </m:e>
                <m:sub>
                  <m:r>
                    <m:rPr>
                      <m:sty m:val="p"/>
                    </m:rPr>
                    <m:t xml:space="preserve">3</m:t>
                  </m:r>
                  <m:r>
                    <m:t xml:space="preserve">i</m:t>
                  </m:r>
                </m:sub>
              </m:sSub>
            </m:oMath>
          </w:p>
        </w:tc>
        <w:tc>
          <w:tcPr>
            <w:tcW w:type="dxa" w:w="431"/>
            <w:vAlign w:val="center"/>
          </w:tcPr>
          <w:p>
            <w:pPr>
              <w:pStyle w:val="MDPI3aequationnumber"/>
              <w:jc w:val="right"/>
            </w:pPr>
            <w:r>
              <w:t>(3)</w:t>
            </w:r>
          </w:p>
        </w:tc>
      </w:tr>
    </w:tbl>
    <w:p>
      <w:pPr>
        <w:pStyle w:val="MDPI31text"/>
      </w:pPr>
      <w:r>
        <w:rPr>
          <w:b w:val="0"/>
          <w:i w:val="0"/>
        </w:rPr>
        <w:t xml:space="preserve">with all continuous variables standardized so that interaction terms are interpretable in the conventional way </w:t>
      </w:r>
      <w:r>
        <w:t>[</w:t>
      </w:r>
      <w:r>
        <w:fldChar w:fldCharType="begin"/>
      </w:r>
      <w:r>
        <w:instrText xml:space="preserve"> REF _Ref_87 \h </w:instrText>
      </w:r>
      <w:r>
        <w:fldChar w:fldCharType="separate"/>
      </w:r>
      <w:r>
        <w:t>87</w:t>
      </w:r>
      <w:r>
        <w:fldChar w:fldCharType="end"/>
      </w:r>
      <w:r>
        <w:t>]</w:t>
      </w:r>
      <w:r>
        <w:rPr>
          <w:b w:val="0"/>
          <w:i w:val="0"/>
        </w:rPr>
        <w:t xml:space="preserve">, heteroskedasticity-consistent (HC3) standard errors, and occupation-clustered inference in robustness. H2 is not accepted from the sign of </w:t>
      </w:r>
      <m:oMath>
        <m:sSub>
          <m:e>
            <m:r>
              <m:t xml:space="preserve">b</m:t>
            </m:r>
          </m:e>
          <m:sub>
            <m:r>
              <m:rPr>
                <m:sty m:val="p"/>
              </m:rPr>
              <m:t xml:space="preserve">2</m:t>
            </m:r>
          </m:sub>
        </m:sSub>
      </m:oMath>
      <w:r>
        <w:rPr>
          <w:b w:val="0"/>
          <w:i w:val="0"/>
        </w:rPr>
        <w:t xml:space="preserve"> alone: following the now-standard critique of quadratic curve-fitting </w:t>
      </w:r>
      <w:r>
        <w:t>[</w:t>
      </w:r>
      <w:r>
        <w:fldChar w:fldCharType="begin"/>
      </w:r>
      <w:r>
        <w:instrText xml:space="preserve"> REF _Ref_28 \h </w:instrText>
      </w:r>
      <w:r>
        <w:fldChar w:fldCharType="separate"/>
      </w:r>
      <w:r>
        <w:t>28</w:t>
      </w:r>
      <w:r>
        <w:fldChar w:fldCharType="end"/>
      </w:r>
      <w:r>
        <w:t>,</w:t>
      </w:r>
      <w:r>
        <w:fldChar w:fldCharType="begin"/>
      </w:r>
      <w:r>
        <w:instrText xml:space="preserve"> REF _Ref_88 \h </w:instrText>
      </w:r>
      <w:r>
        <w:fldChar w:fldCharType="separate"/>
      </w:r>
      <w:r>
        <w:t>88</w:t>
      </w:r>
      <w:r>
        <w:fldChar w:fldCharType="end"/>
      </w:r>
      <w:r>
        <w:t>]</w:t>
      </w:r>
      <w:r>
        <w:rPr>
          <w:b w:val="0"/>
          <w:i w:val="0"/>
        </w:rPr>
        <w:t>, the composite test requires a significantly positive slope at the low extreme of the anxiety distribution and a significantly negative slope at the high extreme, and the turning point</w:t>
      </w:r>
    </w:p>
    <w:tbl>
      <w:tblPr>
        <w:tblW w:w="7858"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7"/>
        <w:gridCol w:w="431"/>
      </w:tblGrid>
      <w:tr>
        <w:trPr>
          <w:cantSplit/>
        </w:trPr>
        <w:tc>
          <w:tcPr>
            <w:tcW w:type="dxa" w:w="7427"/>
            <w:vAlign w:val="center"/>
          </w:tcPr>
          <w:p>
            <w:pPr>
              <w:pStyle w:val="MDPI39equation"/>
              <w:ind w:left="0" w:right="0"/>
              <w:jc w:val="center"/>
            </w:pPr>
            <m:oMath>
              <m:r>
                <m:t xml:space="preserve">τ</m:t>
              </m:r>
              <m:d>
                <m:dPr>
                  <m:begChr m:val="("/>
                  <m:endChr m:val=")"/>
                </m:dPr>
                <m:e>
                  <m:r>
                    <m:t xml:space="preserve">l</m:t>
                  </m:r>
                </m:e>
              </m:d>
              <m:r>
                <m:rPr>
                  <m:sty m:val="p"/>
                </m:rPr>
                <m:t xml:space="preserve">=</m:t>
              </m:r>
              <m:r>
                <m:rPr>
                  <m:sty m:val="p"/>
                </m:rPr>
                <m:t xml:space="preserve">-</m:t>
              </m:r>
              <m:f>
                <m:num>
                  <m:sSub>
                    <m:e>
                      <m:r>
                        <m:t xml:space="preserve">b</m:t>
                      </m:r>
                    </m:e>
                    <m:sub>
                      <m:r>
                        <m:rPr>
                          <m:sty m:val="p"/>
                        </m:rPr>
                        <m:t xml:space="preserve">1</m:t>
                      </m:r>
                    </m:sub>
                  </m:sSub>
                  <m:r>
                    <m:rPr>
                      <m:sty m:val="p"/>
                    </m:rPr>
                    <m:t xml:space="preserve">+</m:t>
                  </m:r>
                  <m:sSub>
                    <m:e>
                      <m:r>
                        <m:t xml:space="preserve">b</m:t>
                      </m:r>
                    </m:e>
                    <m:sub>
                      <m:r>
                        <m:rPr>
                          <m:sty m:val="p"/>
                        </m:rPr>
                        <m:t xml:space="preserve">3</m:t>
                      </m:r>
                    </m:sub>
                  </m:sSub>
                  <m:r>
                    <m:t xml:space="preserve">l</m:t>
                  </m:r>
                </m:num>
                <m:den>
                  <m:r>
                    <m:rPr>
                      <m:sty m:val="p"/>
                    </m:rPr>
                    <m:t xml:space="preserve">2</m:t>
                  </m:r>
                  <m:sSub>
                    <m:e>
                      <m:r>
                        <m:t xml:space="preserve">b</m:t>
                      </m:r>
                    </m:e>
                    <m:sub>
                      <m:r>
                        <m:rPr>
                          <m:sty m:val="p"/>
                        </m:rPr>
                        <m:t xml:space="preserve">2</m:t>
                      </m:r>
                    </m:sub>
                  </m:sSub>
                </m:den>
              </m:f>
            </m:oMath>
          </w:p>
        </w:tc>
        <w:tc>
          <w:tcPr>
            <w:tcW w:type="dxa" w:w="431"/>
            <w:vAlign w:val="center"/>
          </w:tcPr>
          <w:p>
            <w:pPr>
              <w:pStyle w:val="MDPI3aequationnumber"/>
              <w:jc w:val="right"/>
            </w:pPr>
            <w:r>
              <w:t>(4)</w:t>
            </w:r>
          </w:p>
        </w:tc>
      </w:tr>
    </w:tbl>
    <w:p>
      <w:pPr>
        <w:pStyle w:val="MDPI31text"/>
      </w:pPr>
      <w:r>
        <w:rPr>
          <w:b w:val="0"/>
          <w:i w:val="0"/>
        </w:rPr>
        <w:t xml:space="preserve">is reported with a Fieller confidence interval at each level </w:t>
      </w:r>
      <m:oMath>
        <m:r>
          <m:t xml:space="preserve">l</m:t>
        </m:r>
      </m:oMath>
      <w:r>
        <w:rPr>
          <w:b w:val="0"/>
          <w:i w:val="0"/>
        </w:rPr>
        <w:t xml:space="preserve"> of literacy, so that H5a is a statement about the displacement of </w:t>
      </w:r>
      <m:oMath>
        <m:r>
          <m:t xml:space="preserve">τ</m:t>
        </m:r>
      </m:oMath>
      <w:r>
        <w:rPr>
          <w:b w:val="0"/>
          <w:i w:val="0"/>
        </w:rPr>
        <w:t xml:space="preserve">. The third block is the conditional-process analysis </w:t>
      </w:r>
      <w:r>
        <w:t>[</w:t>
      </w:r>
      <w:r>
        <w:fldChar w:fldCharType="begin"/>
      </w:r>
      <w:r>
        <w:instrText xml:space="preserve"> REF _Ref_26 \h </w:instrText>
      </w:r>
      <w:r>
        <w:fldChar w:fldCharType="separate"/>
      </w:r>
      <w:r>
        <w:t>26</w:t>
      </w:r>
      <w:r>
        <w:fldChar w:fldCharType="end"/>
      </w:r>
      <w:r>
        <w:t>,</w:t>
      </w:r>
      <w:r>
        <w:fldChar w:fldCharType="begin"/>
      </w:r>
      <w:r>
        <w:instrText xml:space="preserve"> REF _Ref_27 \h </w:instrText>
      </w:r>
      <w:r>
        <w:fldChar w:fldCharType="separate"/>
      </w:r>
      <w:r>
        <w:t>27</w:t>
      </w:r>
      <w:r>
        <w:fldChar w:fldCharType="end"/>
      </w:r>
      <w:r>
        <w:t>,</w:t>
      </w:r>
      <w:r>
        <w:fldChar w:fldCharType="begin"/>
      </w:r>
      <w:r>
        <w:instrText xml:space="preserve"> REF _Ref_89 \h </w:instrText>
      </w:r>
      <w:r>
        <w:fldChar w:fldCharType="separate"/>
      </w:r>
      <w:r>
        <w:t>89</w:t>
      </w:r>
      <w:r>
        <w:fldChar w:fldCharType="end"/>
      </w:r>
      <w:r>
        <w:t>,</w:t>
      </w:r>
      <w:r>
        <w:fldChar w:fldCharType="begin"/>
      </w:r>
      <w:r>
        <w:instrText xml:space="preserve"> REF _Ref_90 \h </w:instrText>
      </w:r>
      <w:r>
        <w:fldChar w:fldCharType="separate"/>
      </w:r>
      <w:r>
        <w:t>90</w:t>
      </w:r>
      <w:r>
        <w:fldChar w:fldCharType="end"/>
      </w:r>
      <w:r>
        <w:t>]</w:t>
      </w:r>
      <w:r>
        <w:rPr>
          <w:b w:val="0"/>
          <w:i w:val="0"/>
        </w:rPr>
        <w:t>. Because the second stage is curvilinear, the indirect effect of depreciation on adaptation is the product of the conditional first-stage slope and the local second-stage derivative,</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r>
                <m:t xml:space="preserve">ω</m:t>
              </m:r>
              <m:d>
                <m:dPr>
                  <m:begChr m:val="("/>
                  <m:endChr m:val=")"/>
                </m:dPr>
                <m:e>
                  <m:r>
                    <m:t xml:space="preserve">m</m:t>
                  </m:r>
                  <m:r>
                    <m:t xml:space="preserve">,</m:t>
                  </m:r>
                  <m:r>
                    <m:t xml:space="preserve">w</m:t>
                  </m:r>
                  <m:r>
                    <m:t xml:space="preserve">,</m:t>
                  </m:r>
                  <m:r>
                    <m:t xml:space="preserve">l</m:t>
                  </m:r>
                </m:e>
              </m:d>
              <m:r>
                <m:rPr>
                  <m:sty m:val="p"/>
                </m:rPr>
                <m:t xml:space="preserve">=</m:t>
              </m:r>
              <m:d>
                <m:dPr>
                  <m:begChr m:val="("/>
                  <m:endChr m:val=")"/>
                </m:dPr>
                <m:e>
                  <m:sSub>
                    <m:e>
                      <m:r>
                        <m:t xml:space="preserve">a</m:t>
                      </m:r>
                    </m:e>
                    <m:sub>
                      <m:r>
                        <m:rPr>
                          <m:sty m:val="p"/>
                        </m:rPr>
                        <m:t xml:space="preserve">1</m:t>
                      </m:r>
                    </m:sub>
                  </m:sSub>
                  <m:r>
                    <m:rPr>
                      <m:sty m:val="p"/>
                    </m:rPr>
                    <m:t xml:space="preserve">+</m:t>
                  </m:r>
                  <m:sSub>
                    <m:e>
                      <m:r>
                        <m:t xml:space="preserve">a</m:t>
                      </m:r>
                    </m:e>
                    <m:sub>
                      <m:r>
                        <m:rPr>
                          <m:sty m:val="p"/>
                        </m:rPr>
                        <m:t xml:space="preserve">3</m:t>
                      </m:r>
                    </m:sub>
                  </m:sSub>
                  <m:r>
                    <m:t xml:space="preserve">w</m:t>
                  </m:r>
                </m:e>
              </m:d>
              <m:d>
                <m:dPr>
                  <m:begChr m:val="("/>
                  <m:endChr m:val=")"/>
                </m:dPr>
                <m:e>
                  <m:sSub>
                    <m:e>
                      <m:r>
                        <m:t xml:space="preserve">b</m:t>
                      </m:r>
                    </m:e>
                    <m:sub>
                      <m:r>
                        <m:rPr>
                          <m:sty m:val="p"/>
                        </m:rPr>
                        <m:t xml:space="preserve">1</m:t>
                      </m:r>
                    </m:sub>
                  </m:sSub>
                  <m:r>
                    <m:rPr>
                      <m:sty m:val="p"/>
                    </m:rPr>
                    <m:t xml:space="preserve">+</m:t>
                  </m:r>
                  <m:r>
                    <m:rPr>
                      <m:sty m:val="p"/>
                    </m:rPr>
                    <m:t xml:space="preserve">2</m:t>
                  </m:r>
                  <m:sSub>
                    <m:e>
                      <m:r>
                        <m:t xml:space="preserve">b</m:t>
                      </m:r>
                    </m:e>
                    <m:sub>
                      <m:r>
                        <m:rPr>
                          <m:sty m:val="p"/>
                        </m:rPr>
                        <m:t xml:space="preserve">2</m:t>
                      </m:r>
                    </m:sub>
                  </m:sSub>
                  <m:r>
                    <m:t xml:space="preserve">m</m:t>
                  </m:r>
                  <m:r>
                    <m:rPr>
                      <m:sty m:val="p"/>
                    </m:rPr>
                    <m:t xml:space="preserve">+</m:t>
                  </m:r>
                  <m:sSub>
                    <m:e>
                      <m:r>
                        <m:t xml:space="preserve">b</m:t>
                      </m:r>
                    </m:e>
                    <m:sub>
                      <m:r>
                        <m:rPr>
                          <m:sty m:val="p"/>
                        </m:rPr>
                        <m:t xml:space="preserve">3</m:t>
                      </m:r>
                    </m:sub>
                  </m:sSub>
                  <m:r>
                    <m:t xml:space="preserve">l</m:t>
                  </m:r>
                </m:e>
              </m:d>
            </m:oMath>
          </w:p>
        </w:tc>
        <w:tc>
          <w:tcPr>
            <w:tcW w:type="dxa" w:w="431"/>
            <w:vAlign w:val="center"/>
          </w:tcPr>
          <w:p>
            <w:pPr>
              <w:pStyle w:val="MDPI3aequationnumber"/>
              <w:jc w:val="right"/>
            </w:pPr>
            <w:r>
              <w:t>(5)</w:t>
            </w:r>
          </w:p>
        </w:tc>
      </w:tr>
    </w:tbl>
    <w:p>
      <w:pPr>
        <w:pStyle w:val="MDPI31text"/>
      </w:pPr>
      <w:r>
        <w:rPr>
          <w:b w:val="0"/>
          <w:i w:val="0"/>
        </w:rPr>
        <w:t xml:space="preserve">evaluated at chosen levels of anxiety </w:t>
      </w:r>
      <m:oMath>
        <m:r>
          <m:t xml:space="preserve">m</m:t>
        </m:r>
      </m:oMath>
      <w:r>
        <w:rPr>
          <w:b w:val="0"/>
          <w:i w:val="0"/>
        </w:rPr>
        <w:t xml:space="preserve">, support </w:t>
      </w:r>
      <m:oMath>
        <m:r>
          <m:t xml:space="preserve">w</m:t>
        </m:r>
      </m:oMath>
      <w:r>
        <w:rPr>
          <w:b w:val="0"/>
          <w:i w:val="0"/>
        </w:rPr>
        <w:t xml:space="preserve"> and literacy </w:t>
      </w:r>
      <m:oMath>
        <m:r>
          <m:t xml:space="preserve">l</m:t>
        </m:r>
      </m:oMath>
      <w:r>
        <w:rPr>
          <w:b w:val="0"/>
          <w:i w:val="0"/>
        </w:rPr>
        <w:t xml:space="preserve">, with 95 percent percentile confidence intervals from 5,000 bootstrap resamples; the indices of moderated mediation are </w:t>
      </w:r>
      <m:oMath>
        <m:sSub>
          <m:e>
            <m:r>
              <m:t xml:space="preserve">a</m:t>
            </m:r>
          </m:e>
          <m:sub>
            <m:r>
              <m:rPr>
                <m:sty m:val="p"/>
              </m:rPr>
              <m:t xml:space="preserve">3</m:t>
            </m:r>
          </m:sub>
        </m:sSub>
        <m:sSub>
          <m:e>
            <m:r>
              <m:t xml:space="preserve">b</m:t>
            </m:r>
          </m:e>
          <m:sub>
            <m:r>
              <m:rPr>
                <m:sty m:val="p"/>
              </m:rPr>
              <m:t xml:space="preserve">1</m:t>
            </m:r>
          </m:sub>
        </m:sSub>
      </m:oMath>
      <w:r>
        <w:rPr>
          <w:b w:val="0"/>
          <w:i w:val="0"/>
        </w:rPr>
        <w:t xml:space="preserve"> for support and </w:t>
      </w:r>
      <m:oMath>
        <m:sSub>
          <m:e>
            <m:r>
              <m:t xml:space="preserve">a</m:t>
            </m:r>
          </m:e>
          <m:sub>
            <m:r>
              <m:rPr>
                <m:sty m:val="p"/>
              </m:rPr>
              <m:t xml:space="preserve">1</m:t>
            </m:r>
          </m:sub>
        </m:sSub>
        <m:sSub>
          <m:e>
            <m:r>
              <m:t xml:space="preserve">b</m:t>
            </m:r>
          </m:e>
          <m:sub>
            <m:r>
              <m:rPr>
                <m:sty m:val="p"/>
              </m:rPr>
              <m:t xml:space="preserve">3</m:t>
            </m:r>
          </m:sub>
        </m:sSub>
      </m:oMath>
      <w:r>
        <w:rPr>
          <w:b w:val="0"/>
          <w:i w:val="0"/>
        </w:rPr>
        <w:t xml:space="preserve"> for literacy </w:t>
      </w:r>
      <w:r>
        <w:t>[</w:t>
      </w:r>
      <w:r>
        <w:fldChar w:fldCharType="begin"/>
      </w:r>
      <w:r>
        <w:instrText xml:space="preserve"> REF _Ref_27 \h </w:instrText>
      </w:r>
      <w:r>
        <w:fldChar w:fldCharType="separate"/>
      </w:r>
      <w:r>
        <w:t>27</w:t>
      </w:r>
      <w:r>
        <w:fldChar w:fldCharType="end"/>
      </w:r>
      <w:r>
        <w:t>]</w:t>
      </w:r>
      <w:r>
        <w:rPr>
          <w:b w:val="0"/>
          <w:i w:val="0"/>
        </w:rPr>
        <w:t xml:space="preserve">, and </w:t>
      </w:r>
      <m:oMath>
        <m:r>
          <m:rPr>
            <m:sty m:val="p"/>
          </m:rPr>
          <m:t xml:space="preserve">2</m:t>
        </m:r>
        <m:sSub>
          <m:e>
            <m:r>
              <m:t xml:space="preserve">a</m:t>
            </m:r>
          </m:e>
          <m:sub>
            <m:r>
              <m:rPr>
                <m:sty m:val="p"/>
              </m:rPr>
              <m:t xml:space="preserve">1</m:t>
            </m:r>
          </m:sub>
        </m:sSub>
        <m:sSub>
          <m:e>
            <m:r>
              <m:t xml:space="preserve">b</m:t>
            </m:r>
          </m:e>
          <m:sub>
            <m:r>
              <m:rPr>
                <m:sty m:val="p"/>
              </m:rPr>
              <m:t xml:space="preserve">2</m:t>
            </m:r>
          </m:sub>
        </m:sSub>
      </m:oMath>
      <w:r>
        <w:rPr>
          <w:b w:val="0"/>
          <w:i w:val="0"/>
        </w:rPr>
        <w:t xml:space="preserve"> indexes the curvature of the transmitted effect itself. The avoidance channel is </w:t>
      </w:r>
      <m:oMath>
        <m:sSub>
          <m:e>
            <m:r>
              <m:t xml:space="preserve">a</m:t>
            </m:r>
          </m:e>
          <m:sub>
            <m:r>
              <m:rPr>
                <m:sty m:val="p"/>
              </m:rPr>
              <m:t xml:space="preserve">1</m:t>
            </m:r>
          </m:sub>
        </m:sSub>
        <m:d>
          <m:dPr>
            <m:begChr m:val="("/>
            <m:endChr m:val=")"/>
          </m:dPr>
          <m:e>
            <m:sSub>
              <m:e>
                <m:r>
                  <m:t xml:space="preserve">c</m:t>
                </m:r>
              </m:e>
              <m:sub>
                <m:r>
                  <m:rPr>
                    <m:sty m:val="p"/>
                  </m:rPr>
                  <m:t xml:space="preserve">1</m:t>
                </m:r>
              </m:sub>
            </m:sSub>
            <m:r>
              <m:rPr>
                <m:sty m:val="p"/>
              </m:rPr>
              <m:t xml:space="preserve">+</m:t>
            </m:r>
            <m:sSub>
              <m:e>
                <m:r>
                  <m:t xml:space="preserve">c</m:t>
                </m:r>
              </m:e>
              <m:sub>
                <m:r>
                  <m:rPr>
                    <m:sty m:val="p"/>
                  </m:rPr>
                  <m:t xml:space="preserve">2</m:t>
                </m:r>
              </m:sub>
            </m:sSub>
            <m:r>
              <m:t xml:space="preserve">l</m:t>
            </m:r>
          </m:e>
        </m:d>
      </m:oMath>
      <w:r>
        <w:rPr>
          <w:b w:val="0"/>
          <w:i w:val="0"/>
        </w:rPr>
        <w:t>.</w:t>
      </w:r>
    </w:p>
    <w:p>
      <w:pPr>
        <w:pStyle w:val="MDPI31text"/>
      </w:pPr>
      <w:r>
        <w:rPr>
          <w:b w:val="0"/>
          <w:i w:val="0"/>
        </w:rPr>
        <w:t xml:space="preserve">The fourth block is the fuzzy-set qualitative comparative analysis </w:t>
      </w:r>
      <w:r>
        <w:t>[</w:t>
      </w:r>
      <w:r>
        <w:fldChar w:fldCharType="begin"/>
      </w:r>
      <w:r>
        <w:instrText xml:space="preserve"> REF _Ref_29 \h </w:instrText>
      </w:r>
      <w:r>
        <w:fldChar w:fldCharType="separate"/>
      </w:r>
      <w:r>
        <w:t>29</w:t>
      </w:r>
      <w:r>
        <w:fldChar w:fldCharType="end"/>
      </w:r>
      <w:r>
        <w:t>,</w:t>
      </w:r>
      <w:r>
        <w:fldChar w:fldCharType="begin"/>
      </w:r>
      <w:r>
        <w:instrText xml:space="preserve"> REF _Ref_30 \h </w:instrText>
      </w:r>
      <w:r>
        <w:fldChar w:fldCharType="separate"/>
      </w:r>
      <w:r>
        <w:t>30</w:t>
      </w:r>
      <w:r>
        <w:fldChar w:fldCharType="end"/>
      </w:r>
      <w:r>
        <w:t>,</w:t>
      </w:r>
      <w:r>
        <w:fldChar w:fldCharType="begin"/>
      </w:r>
      <w:r>
        <w:instrText xml:space="preserve"> REF _Ref_78 \h </w:instrText>
      </w:r>
      <w:r>
        <w:fldChar w:fldCharType="separate"/>
      </w:r>
      <w:r>
        <w:t>78</w:t>
      </w:r>
      <w:r>
        <w:fldChar w:fldCharType="end"/>
      </w:r>
      <w:r>
        <w:t>]</w:t>
      </w:r>
      <w:r>
        <w:rPr>
          <w:b w:val="0"/>
          <w:i w:val="0"/>
        </w:rPr>
        <w:t xml:space="preserve">. The five conditions (PHCD, ANX, LIT, SUP, EXPO) and the outcome (ADP) are calibrated by the direct method, with full membership, crossover and full non-membership anchored at the 95th, 50th and 5th sample percentiles </w:t>
      </w:r>
      <w:r>
        <w:t>[</w:t>
      </w:r>
      <w:r>
        <w:fldChar w:fldCharType="begin"/>
      </w:r>
      <w:r>
        <w:instrText xml:space="preserve"> REF _Ref_31 \h </w:instrText>
      </w:r>
      <w:r>
        <w:fldChar w:fldCharType="separate"/>
      </w:r>
      <w:r>
        <w:t>31</w:t>
      </w:r>
      <w:r>
        <w:fldChar w:fldCharType="end"/>
      </w:r>
      <w:r>
        <w:t>]</w:t>
      </w:r>
      <w:r>
        <w:rPr>
          <w:b w:val="0"/>
          <w:i w:val="0"/>
        </w:rPr>
        <w:t>,</w:t>
      </w:r>
    </w:p>
    <w:tbl>
      <w:tblPr>
        <w:tblW w:w="7858"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7"/>
        <w:gridCol w:w="431"/>
      </w:tblGrid>
      <w:tr>
        <w:trPr>
          <w:cantSplit/>
        </w:trPr>
        <w:tc>
          <w:tcPr>
            <w:tcW w:type="dxa" w:w="7427"/>
            <w:vAlign w:val="center"/>
          </w:tcPr>
          <w:p>
            <w:pPr>
              <w:pStyle w:val="MDPI39equation"/>
              <w:ind w:left="0" w:right="0"/>
              <w:jc w:val="center"/>
            </w:pPr>
            <m:oMath>
              <m:r>
                <m:t xml:space="preserve">μ</m:t>
              </m:r>
              <m:d>
                <m:dPr>
                  <m:begChr m:val="("/>
                  <m:endChr m:val=")"/>
                </m:dPr>
                <m:e>
                  <m:r>
                    <m:t xml:space="preserve">x</m:t>
                  </m:r>
                </m:e>
              </m:d>
              <m:r>
                <m:rPr>
                  <m:sty m:val="p"/>
                </m:rPr>
                <m:t xml:space="preserve">=</m:t>
              </m:r>
              <m:f>
                <m:num>
                  <m:r>
                    <m:rPr>
                      <m:sty m:val="p"/>
                    </m:rPr>
                    <m:t xml:space="preserve">1</m:t>
                  </m:r>
                </m:num>
                <m:den>
                  <m:r>
                    <m:rPr>
                      <m:sty m:val="p"/>
                    </m:rPr>
                    <m:t xml:space="preserve">1</m:t>
                  </m:r>
                  <m:r>
                    <m:rPr>
                      <m:sty m:val="p"/>
                    </m:rPr>
                    <m:t xml:space="preserve">+</m:t>
                  </m:r>
                  <m:sSup>
                    <m:e>
                      <m:r>
                        <m:t xml:space="preserve">e</m:t>
                      </m:r>
                    </m:e>
                    <m:sup>
                      <m:r>
                        <m:rPr>
                          <m:sty m:val="p"/>
                        </m:rPr>
                        <m:t xml:space="preserve">-</m:t>
                      </m:r>
                      <m:r>
                        <m:t xml:space="preserve">z</m:t>
                      </m:r>
                      <m:d>
                        <m:dPr>
                          <m:begChr m:val="("/>
                          <m:endChr m:val=")"/>
                        </m:dPr>
                        <m:e>
                          <m:r>
                            <m:t xml:space="preserve">x</m:t>
                          </m:r>
                        </m:e>
                      </m:d>
                    </m:sup>
                  </m:sSup>
                </m:den>
              </m:f>
            </m:oMath>
          </w:p>
        </w:tc>
        <w:tc>
          <w:tcPr>
            <w:tcW w:type="dxa" w:w="431"/>
            <w:vAlign w:val="center"/>
          </w:tcPr>
          <w:p>
            <w:pPr>
              <w:pStyle w:val="MDPI3aequationnumber"/>
              <w:jc w:val="right"/>
            </w:pPr>
            <w:r>
              <w:t>(6)</w:t>
            </w:r>
          </w:p>
        </w:tc>
      </w:tr>
    </w:tbl>
    <w:p>
      <w:pPr>
        <w:pStyle w:val="MDPI31text"/>
      </w:pPr>
      <w:r>
        <w:rPr>
          <w:b w:val="0"/>
          <w:i w:val="0"/>
        </w:rPr>
        <w:t xml:space="preserve">where the log-odds score is </w:t>
      </w:r>
      <m:oMath>
        <m:r>
          <m:t xml:space="preserve">z</m:t>
        </m:r>
        <m:r>
          <m:rPr>
            <m:sty m:val="p"/>
          </m:rPr>
          <m:t xml:space="preserve">(</m:t>
        </m:r>
        <m:r>
          <m:t xml:space="preserve">x</m:t>
        </m:r>
        <m:r>
          <m:rPr>
            <m:sty m:val="p"/>
          </m:rPr>
          <m:t xml:space="preserve">)</m:t>
        </m:r>
        <m:r>
          <m:rPr>
            <m:sty m:val="p"/>
          </m:rPr>
          <m:t xml:space="preserve">=</m:t>
        </m:r>
        <m:r>
          <m:rPr>
            <m:sty m:val="p"/>
          </m:rPr>
          <m:t xml:space="preserve">3</m:t>
        </m:r>
        <m:r>
          <m:rPr>
            <m:sty m:val="p"/>
          </m:rPr>
          <m:t xml:space="preserve">(</m:t>
        </m:r>
        <m:r>
          <m:t xml:space="preserve">x</m:t>
        </m:r>
        <m:r>
          <m:rPr>
            <m:sty m:val="p"/>
          </m:rPr>
          <m:t xml:space="preserve">-</m:t>
        </m:r>
        <m:r>
          <m:t xml:space="preserve">c</m:t>
        </m:r>
        <m:r>
          <m:rPr>
            <m:sty m:val="p"/>
          </m:rPr>
          <m:t xml:space="preserve">)</m:t>
        </m:r>
        <m:r>
          <m:rPr>
            <m:sty m:val="p"/>
          </m:rPr>
          <m:t xml:space="preserve">/</m:t>
        </m:r>
        <m:r>
          <m:rPr>
            <m:sty m:val="p"/>
          </m:rPr>
          <m:t xml:space="preserve">(</m:t>
        </m:r>
        <m:r>
          <m:t xml:space="preserve">f</m:t>
        </m:r>
        <m:r>
          <m:rPr>
            <m:sty m:val="p"/>
          </m:rPr>
          <m:t xml:space="preserve">-</m:t>
        </m:r>
        <m:r>
          <m:t xml:space="preserve">c</m:t>
        </m:r>
        <m:r>
          <m:rPr>
            <m:sty m:val="p"/>
          </m:rPr>
          <m:t xml:space="preserve">)</m:t>
        </m:r>
      </m:oMath>
      <w:r>
        <w:rPr>
          <w:b w:val="0"/>
          <w:i w:val="0"/>
        </w:rPr>
        <w:t xml:space="preserve"> at or above the crossover and </w:t>
      </w:r>
      <m:oMath>
        <m:r>
          <m:t xml:space="preserve">z</m:t>
        </m:r>
        <m:r>
          <m:rPr>
            <m:sty m:val="p"/>
          </m:rPr>
          <m:t xml:space="preserve">(</m:t>
        </m:r>
        <m:r>
          <m:t xml:space="preserve">x</m:t>
        </m:r>
        <m:r>
          <m:rPr>
            <m:sty m:val="p"/>
          </m:rPr>
          <m:t xml:space="preserve">)</m:t>
        </m:r>
        <m:r>
          <m:rPr>
            <m:sty m:val="p"/>
          </m:rPr>
          <m:t xml:space="preserve">=</m:t>
        </m:r>
        <m:r>
          <m:rPr>
            <m:sty m:val="p"/>
          </m:rPr>
          <m:t xml:space="preserve">3</m:t>
        </m:r>
        <m:r>
          <m:rPr>
            <m:sty m:val="p"/>
          </m:rPr>
          <m:t xml:space="preserve">(</m:t>
        </m:r>
        <m:r>
          <m:t xml:space="preserve">x</m:t>
        </m:r>
        <m:r>
          <m:rPr>
            <m:sty m:val="p"/>
          </m:rPr>
          <m:t xml:space="preserve">-</m:t>
        </m:r>
        <m:r>
          <m:t xml:space="preserve">c</m:t>
        </m:r>
        <m:r>
          <m:rPr>
            <m:sty m:val="p"/>
          </m:rPr>
          <m:t xml:space="preserve">)</m:t>
        </m:r>
        <m:r>
          <m:rPr>
            <m:sty m:val="p"/>
          </m:rPr>
          <m:t xml:space="preserve">/</m:t>
        </m:r>
        <m:r>
          <m:rPr>
            <m:sty m:val="p"/>
          </m:rPr>
          <m:t xml:space="preserve">(</m:t>
        </m:r>
        <m:r>
          <m:t xml:space="preserve">c</m:t>
        </m:r>
        <m:r>
          <m:rPr>
            <m:sty m:val="p"/>
          </m:rPr>
          <m:t xml:space="preserve">-</m:t>
        </m:r>
        <m:r>
          <m:t xml:space="preserve">o</m:t>
        </m:r>
        <m:r>
          <m:rPr>
            <m:sty m:val="p"/>
          </m:rPr>
          <m:t xml:space="preserve">)</m:t>
        </m:r>
      </m:oMath>
      <w:r>
        <w:rPr>
          <w:b w:val="0"/>
          <w:i w:val="0"/>
        </w:rPr>
        <w:t xml:space="preserve"> below it, with </w:t>
      </w:r>
      <m:oMath>
        <m:r>
          <m:t xml:space="preserve">f</m:t>
        </m:r>
      </m:oMath>
      <w:r>
        <w:rPr>
          <w:b w:val="0"/>
          <w:i w:val="0"/>
        </w:rPr>
        <w:t xml:space="preserve">, </w:t>
      </w:r>
      <m:oMath>
        <m:r>
          <m:t xml:space="preserve">c</m:t>
        </m:r>
      </m:oMath>
      <w:r>
        <w:rPr>
          <w:b w:val="0"/>
          <w:i w:val="0"/>
        </w:rPr>
        <w:t xml:space="preserve"> and </w:t>
      </w:r>
      <m:oMath>
        <m:r>
          <m:t xml:space="preserve">o</m:t>
        </m:r>
      </m:oMath>
      <w:r>
        <w:rPr>
          <w:b w:val="0"/>
          <w:i w:val="0"/>
        </w:rPr>
        <w:t xml:space="preserve"> the full-membership, crossover and non-membership anchors. Necessity and sufficiency are judged by consistency and coverage,</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r>
                <m:t xml:space="preserve">Cons</m:t>
              </m:r>
              <m:d>
                <m:dPr>
                  <m:begChr m:val="("/>
                  <m:endChr m:val=")"/>
                </m:dPr>
                <m:e>
                  <m:r>
                    <m:t xml:space="preserve">X</m:t>
                  </m:r>
                  <m:r>
                    <m:rPr>
                      <m:sty m:val="p"/>
                    </m:rPr>
                    <m:t xml:space="preserve">≤</m:t>
                  </m:r>
                  <m:r>
                    <m:t xml:space="preserve"> </m:t>
                  </m:r>
                  <m:r>
                    <m:t xml:space="preserve">Y</m:t>
                  </m:r>
                </m:e>
              </m:d>
              <m:r>
                <m:rPr>
                  <m:sty m:val="p"/>
                </m:rPr>
                <m:t xml:space="preserve">=</m:t>
              </m:r>
              <m:f>
                <m:num>
                  <m:nary>
                    <m:naryPr>
                      <m:chr m:val="∑"/>
                      <m:limLoc m:val="subSup"/>
                      <m:supHide m:val="1"/>
                    </m:naryPr>
                    <m:sub>
                      <m:r>
                        <m:t xml:space="preserve">i</m:t>
                      </m:r>
                    </m:sub>
                    <m:sup/>
                    <m:e>
                      <m:r>
                        <m:rPr>
                          <m:sty m:val="p"/>
                        </m:rPr>
                        <m:t xml:space="preserve">min</m:t>
                      </m:r>
                      <m:d>
                        <m:dPr>
                          <m:begChr m:val="("/>
                          <m:endChr m:val=")"/>
                        </m:dPr>
                        <m:e>
                          <m:sSub>
                            <m:e>
                              <m:r>
                                <m:t xml:space="preserve">x</m:t>
                              </m:r>
                            </m:e>
                            <m:sub>
                              <m:r>
                                <m:t xml:space="preserve">i</m:t>
                              </m:r>
                            </m:sub>
                          </m:sSub>
                          <m:r>
                            <m:t xml:space="preserve">,</m:t>
                          </m:r>
                          <m:sSub>
                            <m:e>
                              <m:r>
                                <m:t xml:space="preserve">y</m:t>
                              </m:r>
                            </m:e>
                            <m:sub>
                              <m:r>
                                <m:t xml:space="preserve">i</m:t>
                              </m:r>
                            </m:sub>
                          </m:sSub>
                        </m:e>
                      </m:d>
                    </m:e>
                  </m:nary>
                </m:num>
                <m:den>
                  <m:nary>
                    <m:naryPr>
                      <m:chr m:val="∑"/>
                      <m:limLoc m:val="subSup"/>
                      <m:supHide m:val="1"/>
                    </m:naryPr>
                    <m:sub>
                      <m:r>
                        <m:t xml:space="preserve">i</m:t>
                      </m:r>
                    </m:sub>
                    <m:sup/>
                    <m:e>
                      <m:sSub>
                        <m:e>
                          <m:r>
                            <m:t xml:space="preserve">x</m:t>
                          </m:r>
                        </m:e>
                        <m:sub>
                          <m:r>
                            <m:t xml:space="preserve">i</m:t>
                          </m:r>
                        </m:sub>
                      </m:sSub>
                    </m:e>
                  </m:nary>
                </m:den>
              </m:f>
            </m:oMath>
          </w:p>
        </w:tc>
        <w:tc>
          <w:tcPr>
            <w:tcW w:type="dxa" w:w="431"/>
            <w:vAlign w:val="center"/>
          </w:tcPr>
          <w:p>
            <w:pPr>
              <w:pStyle w:val="MDPI3aequationnumber"/>
              <w:jc w:val="right"/>
            </w:pPr>
            <w:r>
              <w:t>(7)</w:t>
            </w:r>
          </w:p>
        </w:tc>
      </w:tr>
    </w:tbl>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r>
                <m:t xml:space="preserve">Cov</m:t>
              </m:r>
              <m:d>
                <m:dPr>
                  <m:begChr m:val="("/>
                  <m:endChr m:val=")"/>
                </m:dPr>
                <m:e>
                  <m:r>
                    <m:t xml:space="preserve">X</m:t>
                  </m:r>
                  <m:r>
                    <m:t xml:space="preserve">,</m:t>
                  </m:r>
                  <m:r>
                    <m:t xml:space="preserve">Y</m:t>
                  </m:r>
                </m:e>
              </m:d>
              <m:r>
                <m:rPr>
                  <m:sty m:val="p"/>
                </m:rPr>
                <m:t xml:space="preserve">=</m:t>
              </m:r>
              <m:f>
                <m:num>
                  <m:nary>
                    <m:naryPr>
                      <m:chr m:val="∑"/>
                      <m:limLoc m:val="subSup"/>
                      <m:supHide m:val="1"/>
                    </m:naryPr>
                    <m:sub>
                      <m:r>
                        <m:t xml:space="preserve">i</m:t>
                      </m:r>
                    </m:sub>
                    <m:sup/>
                    <m:e>
                      <m:r>
                        <m:rPr>
                          <m:sty m:val="p"/>
                        </m:rPr>
                        <m:t xml:space="preserve">min</m:t>
                      </m:r>
                      <m:d>
                        <m:dPr>
                          <m:begChr m:val="("/>
                          <m:endChr m:val=")"/>
                        </m:dPr>
                        <m:e>
                          <m:sSub>
                            <m:e>
                              <m:r>
                                <m:t xml:space="preserve">x</m:t>
                              </m:r>
                            </m:e>
                            <m:sub>
                              <m:r>
                                <m:t xml:space="preserve">i</m:t>
                              </m:r>
                            </m:sub>
                          </m:sSub>
                          <m:r>
                            <m:t xml:space="preserve">,</m:t>
                          </m:r>
                          <m:sSub>
                            <m:e>
                              <m:r>
                                <m:t xml:space="preserve">y</m:t>
                              </m:r>
                            </m:e>
                            <m:sub>
                              <m:r>
                                <m:t xml:space="preserve">i</m:t>
                              </m:r>
                            </m:sub>
                          </m:sSub>
                        </m:e>
                      </m:d>
                    </m:e>
                  </m:nary>
                </m:num>
                <m:den>
                  <m:nary>
                    <m:naryPr>
                      <m:chr m:val="∑"/>
                      <m:limLoc m:val="subSup"/>
                      <m:supHide m:val="1"/>
                    </m:naryPr>
                    <m:sub>
                      <m:r>
                        <m:t xml:space="preserve">i</m:t>
                      </m:r>
                    </m:sub>
                    <m:sup/>
                    <m:e>
                      <m:sSub>
                        <m:e>
                          <m:r>
                            <m:t xml:space="preserve">y</m:t>
                          </m:r>
                        </m:e>
                        <m:sub>
                          <m:r>
                            <m:t xml:space="preserve">i</m:t>
                          </m:r>
                        </m:sub>
                      </m:sSub>
                    </m:e>
                  </m:nary>
                </m:den>
              </m:f>
            </m:oMath>
          </w:p>
        </w:tc>
        <w:tc>
          <w:tcPr>
            <w:tcW w:type="dxa" w:w="431"/>
            <w:vAlign w:val="center"/>
          </w:tcPr>
          <w:p>
            <w:pPr>
              <w:pStyle w:val="MDPI3aequationnumber"/>
              <w:jc w:val="right"/>
            </w:pPr>
            <w:r>
              <w:t>(8)</w:t>
            </w:r>
          </w:p>
        </w:tc>
      </w:tr>
    </w:tbl>
    <w:p>
      <w:pPr>
        <w:pStyle w:val="MDPI31text"/>
      </w:pPr>
      <w:r>
        <w:rPr>
          <w:b w:val="0"/>
          <w:i w:val="0"/>
        </w:rPr>
        <w:t xml:space="preserve">with a truth-table frequency threshold of ten cases, raw consistency of at least 0.80 and proportional reduction in inconsistency of at least 0.70 </w:t>
      </w:r>
      <w:r>
        <w:t>[</w:t>
      </w:r>
      <w:r>
        <w:fldChar w:fldCharType="begin"/>
      </w:r>
      <w:r>
        <w:instrText xml:space="preserve"> REF _Ref_31 \h </w:instrText>
      </w:r>
      <w:r>
        <w:fldChar w:fldCharType="separate"/>
      </w:r>
      <w:r>
        <w:t>31</w:t>
      </w:r>
      <w:r>
        <w:fldChar w:fldCharType="end"/>
      </w:r>
      <w:r>
        <w:t>,</w:t>
      </w:r>
      <w:r>
        <w:fldChar w:fldCharType="begin"/>
      </w:r>
      <w:r>
        <w:instrText xml:space="preserve"> REF _Ref_32 \h </w:instrText>
      </w:r>
      <w:r>
        <w:fldChar w:fldCharType="separate"/>
      </w:r>
      <w:r>
        <w:t>32</w:t>
      </w:r>
      <w:r>
        <w:fldChar w:fldCharType="end"/>
      </w:r>
      <w:r>
        <w:t>]</w:t>
      </w:r>
      <w:r>
        <w:rPr>
          <w:b w:val="0"/>
          <w:i w:val="0"/>
        </w:rPr>
        <w:t xml:space="preserve">. The intermediate solution admits only remainders consistent with the directional expectations that depreciation, literacy, support and exposure, where present, favor adaptation, with no expectation imposed on anxiety; core conditions are those that survive into the parsimonious solution </w:t>
      </w:r>
      <w:r>
        <w:t>[</w:t>
      </w:r>
      <w:r>
        <w:fldChar w:fldCharType="begin"/>
      </w:r>
      <w:r>
        <w:instrText xml:space="preserve"> REF _Ref_30 \h </w:instrText>
      </w:r>
      <w:r>
        <w:fldChar w:fldCharType="separate"/>
      </w:r>
      <w:r>
        <w:t>30</w:t>
      </w:r>
      <w:r>
        <w:fldChar w:fldCharType="end"/>
      </w:r>
      <w:r>
        <w:t>]</w:t>
      </w:r>
      <w:r>
        <w:rPr>
          <w:b w:val="0"/>
          <w:i w:val="0"/>
        </w:rPr>
        <w:t>. The entire pipeline, from raw responses to every number in this paper, is released as documented code, and all bootstrap and resampling seeds are fixed in the scripts.</w:t>
      </w:r>
    </w:p>
    <w:p>
      <w:pPr>
        <w:pStyle w:val="MDPI21heading1"/>
      </w:pPr>
      <w:r>
        <w:t>4. Results</w:t>
      </w:r>
    </w:p>
    <w:p>
      <w:pPr>
        <w:pStyle w:val="MDPI22heading2"/>
      </w:pPr>
      <w:r>
        <w:t>4.1. Measurement Model</w:t>
      </w:r>
    </w:p>
    <w:p>
      <w:pPr>
        <w:pStyle w:val="MDPI32textnoindent"/>
      </w:pPr>
      <w:r>
        <w:rPr>
          <w:b w:val="0"/>
          <w:i w:val="0"/>
        </w:rPr>
        <w:t xml:space="preserve">Table 2 reports the confirmatory factor analysis. The six-construct model fits well: χ2(215) = 277.35 (χ2/df = 1.29), CFI = 0.994, TLI = 0.993, RMSEA = 0.018, SRMR = 0.022, comfortably inside the conventional cutoffs </w:t>
      </w:r>
      <w:r>
        <w:t>[</w:t>
      </w:r>
      <w:r>
        <w:fldChar w:fldCharType="begin"/>
      </w:r>
      <w:r>
        <w:instrText xml:space="preserve"> REF _Ref_82 \h </w:instrText>
      </w:r>
      <w:r>
        <w:fldChar w:fldCharType="separate"/>
      </w:r>
      <w:r>
        <w:t>82</w:t>
      </w:r>
      <w:r>
        <w:fldChar w:fldCharType="end"/>
      </w:r>
      <w:r>
        <w:t>]</w:t>
      </w:r>
      <w:r>
        <w:rPr>
          <w:b w:val="0"/>
          <w:i w:val="0"/>
        </w:rPr>
        <w:t xml:space="preserve">. The smallest standardized loading is 0.731, the smallest Cronbach alpha and composite reliability are 0.79, and the smallest average variance extracted is 0.556, above the 0.50 benchmark, establishing convergent validity </w:t>
      </w:r>
      <w:r>
        <w:t>[</w:t>
      </w:r>
      <w:r>
        <w:fldChar w:fldCharType="begin"/>
      </w:r>
      <w:r>
        <w:instrText xml:space="preserve"> REF _Ref_81 \h </w:instrText>
      </w:r>
      <w:r>
        <w:fldChar w:fldCharType="separate"/>
      </w:r>
      <w:r>
        <w:t>81</w:t>
      </w:r>
      <w:r>
        <w:fldChar w:fldCharType="end"/>
      </w:r>
      <w:r>
        <w:t>]</w:t>
      </w:r>
      <w:r>
        <w:rPr>
          <w:b w:val="0"/>
          <w:i w:val="0"/>
        </w:rPr>
        <w:t>.</w:t>
      </w:r>
    </w:p>
    <w:p>
      <w:pPr>
        <w:pStyle w:val="MDPI41tablecaption"/>
        <w:keepNext/>
        <w:spacing w:after="60"/>
      </w:pPr>
      <w:r>
        <w:rPr>
          <w:b/>
          <w:sz w:val="18"/>
        </w:rPr>
        <w:t xml:space="preserve">Table 2. </w:t>
      </w:r>
      <w:r>
        <w:rPr>
          <w:b w:val="0"/>
          <w:i w:val="0"/>
          <w:sz w:val="18"/>
        </w:rPr>
        <w:t>Constructs, items, and convergent validity.</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457"/>
        <w:gridCol w:w="1178"/>
        <w:gridCol w:w="1021"/>
        <w:gridCol w:w="1021"/>
        <w:gridCol w:w="1178"/>
      </w:tblGrid>
      <w:tr>
        <w:trPr>
          <w:cantSplit/>
          <w:tblHeader/>
        </w:trPr>
        <w:tc>
          <w:tcPr>
            <w:tcW w:type="dxa" w:w="3457"/>
            <w:tcBorders>
              <w:bottom w:val="single" w:sz="8" w:space="0" w:color="auto"/>
            </w:tcBorders>
          </w:tcPr>
          <w:p>
            <w:pPr>
              <w:pStyle w:val="MDPI42tablebody"/>
              <w:keepNext/>
              <w:spacing w:line="240" w:lineRule="auto" w:before="30" w:after="30"/>
              <w:jc w:val="center"/>
            </w:pPr>
            <w:r>
              <w:rPr>
                <w:b/>
                <w:i w:val="0"/>
                <w:sz w:val="18"/>
              </w:rPr>
              <w:t>Construct and items</w:t>
            </w:r>
          </w:p>
        </w:tc>
        <w:tc>
          <w:tcPr>
            <w:tcW w:type="dxa" w:w="1178"/>
            <w:tcBorders>
              <w:bottom w:val="single" w:sz="8" w:space="0" w:color="auto"/>
            </w:tcBorders>
          </w:tcPr>
          <w:p>
            <w:pPr>
              <w:pStyle w:val="MDPI42tablebody"/>
              <w:keepNext/>
              <w:spacing w:line="240" w:lineRule="auto" w:before="30" w:after="30"/>
              <w:jc w:val="center"/>
            </w:pPr>
            <w:r>
              <w:rPr>
                <w:b/>
                <w:i w:val="0"/>
                <w:sz w:val="18"/>
              </w:rPr>
              <w:t>Loading</w:t>
            </w:r>
          </w:p>
        </w:tc>
        <w:tc>
          <w:tcPr>
            <w:tcW w:type="dxa" w:w="1021"/>
            <w:tcBorders>
              <w:bottom w:val="single" w:sz="8" w:space="0" w:color="auto"/>
            </w:tcBorders>
          </w:tcPr>
          <w:p>
            <w:pPr>
              <w:pStyle w:val="MDPI42tablebody"/>
              <w:keepNext/>
              <w:spacing w:line="240" w:lineRule="auto" w:before="30" w:after="30"/>
              <w:jc w:val="center"/>
            </w:pPr>
            <w:r>
              <w:rPr>
                <w:b/>
                <w:i w:val="0"/>
                <w:sz w:val="18"/>
              </w:rPr>
              <w:t>α</w:t>
            </w:r>
          </w:p>
        </w:tc>
        <w:tc>
          <w:tcPr>
            <w:tcW w:type="dxa" w:w="1021"/>
            <w:tcBorders>
              <w:bottom w:val="single" w:sz="8" w:space="0" w:color="auto"/>
            </w:tcBorders>
          </w:tcPr>
          <w:p>
            <w:pPr>
              <w:pStyle w:val="MDPI42tablebody"/>
              <w:keepNext/>
              <w:spacing w:line="240" w:lineRule="auto" w:before="30" w:after="30"/>
              <w:jc w:val="center"/>
            </w:pPr>
            <w:r>
              <w:rPr>
                <w:b/>
                <w:i w:val="0"/>
                <w:sz w:val="18"/>
              </w:rPr>
              <w:t>CR</w:t>
            </w:r>
          </w:p>
        </w:tc>
        <w:tc>
          <w:tcPr>
            <w:tcW w:type="dxa" w:w="1178"/>
            <w:tcBorders>
              <w:bottom w:val="single" w:sz="8" w:space="0" w:color="auto"/>
            </w:tcBorders>
          </w:tcPr>
          <w:p>
            <w:pPr>
              <w:pStyle w:val="MDPI42tablebody"/>
              <w:keepNext/>
              <w:spacing w:line="240" w:lineRule="auto" w:before="30" w:after="30"/>
              <w:jc w:val="center"/>
            </w:pPr>
            <w:r>
              <w:rPr>
                <w:b/>
                <w:i w:val="0"/>
                <w:sz w:val="18"/>
              </w:rPr>
              <w:t>AVE</w:t>
            </w:r>
          </w:p>
        </w:tc>
      </w:tr>
      <w:tr>
        <w:trPr>
          <w:cantSplit/>
        </w:trPr>
        <w:tc>
          <w:tcPr>
            <w:tcW w:type="dxa" w:w="3457"/>
          </w:tcPr>
          <w:p>
            <w:pPr>
              <w:pStyle w:val="MDPI42tablebody"/>
              <w:keepNext/>
              <w:spacing w:line="240" w:lineRule="auto" w:before="30" w:after="30"/>
              <w:jc w:val="left"/>
            </w:pPr>
            <w:r>
              <w:rPr>
                <w:b w:val="0"/>
                <w:i w:val="0"/>
                <w:sz w:val="18"/>
              </w:rPr>
              <w:t>Perceived human capital depreciation (PHCD)</w:t>
            </w:r>
          </w:p>
        </w:tc>
        <w:tc>
          <w:tcPr>
            <w:tcW w:type="dxa" w:w="1178"/>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phcd1</w:t>
            </w:r>
          </w:p>
        </w:tc>
        <w:tc>
          <w:tcPr>
            <w:tcW w:type="dxa" w:w="1178"/>
          </w:tcPr>
          <w:p>
            <w:pPr>
              <w:pStyle w:val="MDPI42tablebody"/>
              <w:keepNext/>
              <w:spacing w:line="240" w:lineRule="auto" w:before="30" w:after="30"/>
              <w:jc w:val="center"/>
            </w:pPr>
            <w:r>
              <w:rPr>
                <w:b w:val="0"/>
                <w:i w:val="0"/>
                <w:sz w:val="18"/>
              </w:rPr>
              <w:t>0.800</w:t>
            </w:r>
          </w:p>
        </w:tc>
        <w:tc>
          <w:tcPr>
            <w:tcW w:type="dxa" w:w="1021"/>
          </w:tcPr>
          <w:p>
            <w:pPr>
              <w:pStyle w:val="MDPI42tablebody"/>
              <w:keepNext/>
              <w:spacing w:line="240" w:lineRule="auto" w:before="30" w:after="30"/>
              <w:jc w:val="center"/>
            </w:pPr>
            <w:r>
              <w:rPr>
                <w:b w:val="0"/>
                <w:i w:val="0"/>
                <w:sz w:val="18"/>
              </w:rPr>
              <w:t>0.873</w:t>
            </w:r>
          </w:p>
        </w:tc>
        <w:tc>
          <w:tcPr>
            <w:tcW w:type="dxa" w:w="1021"/>
          </w:tcPr>
          <w:p>
            <w:pPr>
              <w:pStyle w:val="MDPI42tablebody"/>
              <w:keepNext/>
              <w:spacing w:line="240" w:lineRule="auto" w:before="30" w:after="30"/>
              <w:jc w:val="center"/>
            </w:pPr>
            <w:r>
              <w:rPr>
                <w:b w:val="0"/>
                <w:i w:val="0"/>
                <w:sz w:val="18"/>
              </w:rPr>
              <w:t>0.873</w:t>
            </w:r>
          </w:p>
        </w:tc>
        <w:tc>
          <w:tcPr>
            <w:tcW w:type="dxa" w:w="1178"/>
          </w:tcPr>
          <w:p>
            <w:pPr>
              <w:pStyle w:val="MDPI42tablebody"/>
              <w:keepNext/>
              <w:spacing w:line="240" w:lineRule="auto" w:before="30" w:after="30"/>
              <w:jc w:val="center"/>
            </w:pPr>
            <w:r>
              <w:rPr>
                <w:b w:val="0"/>
                <w:i w:val="0"/>
                <w:sz w:val="18"/>
              </w:rPr>
              <w:t>0.633</w:t>
            </w:r>
          </w:p>
        </w:tc>
      </w:tr>
      <w:tr>
        <w:trPr>
          <w:cantSplit/>
        </w:trPr>
        <w:tc>
          <w:tcPr>
            <w:tcW w:type="dxa" w:w="3457"/>
          </w:tcPr>
          <w:p>
            <w:pPr>
              <w:pStyle w:val="MDPI42tablebody"/>
              <w:keepNext/>
              <w:spacing w:line="240" w:lineRule="auto" w:before="30" w:after="30"/>
              <w:jc w:val="left"/>
            </w:pPr>
            <w:r>
              <w:rPr>
                <w:b w:val="0"/>
                <w:i w:val="0"/>
                <w:sz w:val="18"/>
              </w:rPr>
              <w:t>phcd2</w:t>
            </w:r>
          </w:p>
        </w:tc>
        <w:tc>
          <w:tcPr>
            <w:tcW w:type="dxa" w:w="1178"/>
          </w:tcPr>
          <w:p>
            <w:pPr>
              <w:pStyle w:val="MDPI42tablebody"/>
              <w:keepNext/>
              <w:spacing w:line="240" w:lineRule="auto" w:before="30" w:after="30"/>
              <w:jc w:val="center"/>
            </w:pPr>
            <w:r>
              <w:rPr>
                <w:b w:val="0"/>
                <w:i w:val="0"/>
                <w:sz w:val="18"/>
              </w:rPr>
              <w:t>0.780</w:t>
            </w: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phcd3</w:t>
            </w:r>
          </w:p>
        </w:tc>
        <w:tc>
          <w:tcPr>
            <w:tcW w:type="dxa" w:w="1178"/>
          </w:tcPr>
          <w:p>
            <w:pPr>
              <w:pStyle w:val="MDPI42tablebody"/>
              <w:keepNext/>
              <w:spacing w:line="240" w:lineRule="auto" w:before="30" w:after="30"/>
              <w:jc w:val="center"/>
            </w:pPr>
            <w:r>
              <w:rPr>
                <w:b w:val="0"/>
                <w:i w:val="0"/>
                <w:sz w:val="18"/>
              </w:rPr>
              <w:t>0.810</w:t>
            </w: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phcd4</w:t>
            </w:r>
          </w:p>
        </w:tc>
        <w:tc>
          <w:tcPr>
            <w:tcW w:type="dxa" w:w="1178"/>
          </w:tcPr>
          <w:p>
            <w:pPr>
              <w:pStyle w:val="MDPI42tablebody"/>
              <w:keepNext/>
              <w:spacing w:line="240" w:lineRule="auto" w:before="30" w:after="30"/>
              <w:jc w:val="center"/>
            </w:pPr>
            <w:r>
              <w:rPr>
                <w:b w:val="0"/>
                <w:i w:val="0"/>
                <w:sz w:val="18"/>
              </w:rPr>
              <w:t>0.791</w:t>
            </w: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AI-related career anxiety (ANX)</w:t>
            </w:r>
          </w:p>
        </w:tc>
        <w:tc>
          <w:tcPr>
            <w:tcW w:type="dxa" w:w="1178"/>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anx1</w:t>
            </w:r>
          </w:p>
        </w:tc>
        <w:tc>
          <w:tcPr>
            <w:tcW w:type="dxa" w:w="1178"/>
          </w:tcPr>
          <w:p>
            <w:pPr>
              <w:pStyle w:val="MDPI42tablebody"/>
              <w:keepNext/>
              <w:spacing w:line="240" w:lineRule="auto" w:before="30" w:after="30"/>
              <w:jc w:val="center"/>
            </w:pPr>
            <w:r>
              <w:rPr>
                <w:b w:val="0"/>
                <w:i w:val="0"/>
                <w:sz w:val="18"/>
              </w:rPr>
              <w:t>0.822</w:t>
            </w:r>
          </w:p>
        </w:tc>
        <w:tc>
          <w:tcPr>
            <w:tcW w:type="dxa" w:w="1021"/>
          </w:tcPr>
          <w:p>
            <w:pPr>
              <w:pStyle w:val="MDPI42tablebody"/>
              <w:keepNext/>
              <w:spacing w:line="240" w:lineRule="auto" w:before="30" w:after="30"/>
              <w:jc w:val="center"/>
            </w:pPr>
            <w:r>
              <w:rPr>
                <w:b w:val="0"/>
                <w:i w:val="0"/>
                <w:sz w:val="18"/>
              </w:rPr>
              <w:t>0.889</w:t>
            </w:r>
          </w:p>
        </w:tc>
        <w:tc>
          <w:tcPr>
            <w:tcW w:type="dxa" w:w="1021"/>
          </w:tcPr>
          <w:p>
            <w:pPr>
              <w:pStyle w:val="MDPI42tablebody"/>
              <w:keepNext/>
              <w:spacing w:line="240" w:lineRule="auto" w:before="30" w:after="30"/>
              <w:jc w:val="center"/>
            </w:pPr>
            <w:r>
              <w:rPr>
                <w:b w:val="0"/>
                <w:i w:val="0"/>
                <w:sz w:val="18"/>
              </w:rPr>
              <w:t>0.889</w:t>
            </w:r>
          </w:p>
        </w:tc>
        <w:tc>
          <w:tcPr>
            <w:tcW w:type="dxa" w:w="1178"/>
          </w:tcPr>
          <w:p>
            <w:pPr>
              <w:pStyle w:val="MDPI42tablebody"/>
              <w:keepNext/>
              <w:spacing w:line="240" w:lineRule="auto" w:before="30" w:after="30"/>
              <w:jc w:val="center"/>
            </w:pPr>
            <w:r>
              <w:rPr>
                <w:b w:val="0"/>
                <w:i w:val="0"/>
                <w:sz w:val="18"/>
              </w:rPr>
              <w:t>0.667</w:t>
            </w:r>
          </w:p>
        </w:tc>
      </w:tr>
      <w:tr>
        <w:trPr>
          <w:cantSplit/>
        </w:trPr>
        <w:tc>
          <w:tcPr>
            <w:tcW w:type="dxa" w:w="3457"/>
          </w:tcPr>
          <w:p>
            <w:pPr>
              <w:pStyle w:val="MDPI42tablebody"/>
              <w:keepNext/>
              <w:spacing w:line="240" w:lineRule="auto" w:before="30" w:after="30"/>
              <w:jc w:val="left"/>
            </w:pPr>
            <w:r>
              <w:rPr>
                <w:b w:val="0"/>
                <w:i w:val="0"/>
                <w:sz w:val="18"/>
              </w:rPr>
              <w:t>anx2</w:t>
            </w:r>
          </w:p>
        </w:tc>
        <w:tc>
          <w:tcPr>
            <w:tcW w:type="dxa" w:w="1178"/>
          </w:tcPr>
          <w:p>
            <w:pPr>
              <w:pStyle w:val="MDPI42tablebody"/>
              <w:keepNext/>
              <w:spacing w:line="240" w:lineRule="auto" w:before="30" w:after="30"/>
              <w:jc w:val="center"/>
            </w:pPr>
            <w:r>
              <w:rPr>
                <w:b w:val="0"/>
                <w:i w:val="0"/>
                <w:sz w:val="18"/>
              </w:rPr>
              <w:t>0.823</w:t>
            </w: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anx3</w:t>
            </w:r>
          </w:p>
        </w:tc>
        <w:tc>
          <w:tcPr>
            <w:tcW w:type="dxa" w:w="1178"/>
          </w:tcPr>
          <w:p>
            <w:pPr>
              <w:pStyle w:val="MDPI42tablebody"/>
              <w:keepNext/>
              <w:spacing w:line="240" w:lineRule="auto" w:before="30" w:after="30"/>
              <w:jc w:val="center"/>
            </w:pPr>
            <w:r>
              <w:rPr>
                <w:b w:val="0"/>
                <w:i w:val="0"/>
                <w:sz w:val="18"/>
              </w:rPr>
              <w:t>0.806</w:t>
            </w: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anx4</w:t>
            </w:r>
          </w:p>
        </w:tc>
        <w:tc>
          <w:tcPr>
            <w:tcW w:type="dxa" w:w="1178"/>
          </w:tcPr>
          <w:p>
            <w:pPr>
              <w:pStyle w:val="MDPI42tablebody"/>
              <w:keepNext/>
              <w:spacing w:line="240" w:lineRule="auto" w:before="30" w:after="30"/>
              <w:jc w:val="center"/>
            </w:pPr>
            <w:r>
              <w:rPr>
                <w:b w:val="0"/>
                <w:i w:val="0"/>
                <w:sz w:val="18"/>
              </w:rPr>
              <w:t>0.817</w:t>
            </w: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Generative-AI literacy (LIT)</w:t>
            </w:r>
          </w:p>
        </w:tc>
        <w:tc>
          <w:tcPr>
            <w:tcW w:type="dxa" w:w="1178"/>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lit1</w:t>
            </w:r>
          </w:p>
        </w:tc>
        <w:tc>
          <w:tcPr>
            <w:tcW w:type="dxa" w:w="1178"/>
          </w:tcPr>
          <w:p>
            <w:pPr>
              <w:pStyle w:val="MDPI42tablebody"/>
              <w:keepNext/>
              <w:spacing w:line="240" w:lineRule="auto" w:before="30" w:after="30"/>
              <w:jc w:val="center"/>
            </w:pPr>
            <w:r>
              <w:rPr>
                <w:b w:val="0"/>
                <w:i w:val="0"/>
                <w:sz w:val="18"/>
              </w:rPr>
              <w:t>0.795</w:t>
            </w:r>
          </w:p>
        </w:tc>
        <w:tc>
          <w:tcPr>
            <w:tcW w:type="dxa" w:w="1021"/>
          </w:tcPr>
          <w:p>
            <w:pPr>
              <w:pStyle w:val="MDPI42tablebody"/>
              <w:keepNext/>
              <w:spacing w:line="240" w:lineRule="auto" w:before="30" w:after="30"/>
              <w:jc w:val="center"/>
            </w:pPr>
            <w:r>
              <w:rPr>
                <w:b w:val="0"/>
                <w:i w:val="0"/>
                <w:sz w:val="18"/>
              </w:rPr>
              <w:t>0.865</w:t>
            </w:r>
          </w:p>
        </w:tc>
        <w:tc>
          <w:tcPr>
            <w:tcW w:type="dxa" w:w="1021"/>
          </w:tcPr>
          <w:p>
            <w:pPr>
              <w:pStyle w:val="MDPI42tablebody"/>
              <w:keepNext/>
              <w:spacing w:line="240" w:lineRule="auto" w:before="30" w:after="30"/>
              <w:jc w:val="center"/>
            </w:pPr>
            <w:r>
              <w:rPr>
                <w:b w:val="0"/>
                <w:i w:val="0"/>
                <w:sz w:val="18"/>
              </w:rPr>
              <w:t>0.865</w:t>
            </w:r>
          </w:p>
        </w:tc>
        <w:tc>
          <w:tcPr>
            <w:tcW w:type="dxa" w:w="1178"/>
          </w:tcPr>
          <w:p>
            <w:pPr>
              <w:pStyle w:val="MDPI42tablebody"/>
              <w:keepNext/>
              <w:spacing w:line="240" w:lineRule="auto" w:before="30" w:after="30"/>
              <w:jc w:val="center"/>
            </w:pPr>
            <w:r>
              <w:rPr>
                <w:b w:val="0"/>
                <w:i w:val="0"/>
                <w:sz w:val="18"/>
              </w:rPr>
              <w:t>0.616</w:t>
            </w:r>
          </w:p>
        </w:tc>
      </w:tr>
      <w:tr>
        <w:trPr>
          <w:cantSplit/>
        </w:trPr>
        <w:tc>
          <w:tcPr>
            <w:tcW w:type="dxa" w:w="3457"/>
          </w:tcPr>
          <w:p>
            <w:pPr>
              <w:pStyle w:val="MDPI42tablebody"/>
              <w:keepNext/>
              <w:spacing w:line="240" w:lineRule="auto" w:before="30" w:after="30"/>
              <w:jc w:val="left"/>
            </w:pPr>
            <w:r>
              <w:rPr>
                <w:b w:val="0"/>
                <w:i w:val="0"/>
                <w:sz w:val="18"/>
              </w:rPr>
              <w:t>lit2</w:t>
            </w:r>
          </w:p>
        </w:tc>
        <w:tc>
          <w:tcPr>
            <w:tcW w:type="dxa" w:w="1178"/>
          </w:tcPr>
          <w:p>
            <w:pPr>
              <w:pStyle w:val="MDPI42tablebody"/>
              <w:keepNext/>
              <w:spacing w:line="240" w:lineRule="auto" w:before="30" w:after="30"/>
              <w:jc w:val="center"/>
            </w:pPr>
            <w:r>
              <w:rPr>
                <w:b w:val="0"/>
                <w:i w:val="0"/>
                <w:sz w:val="18"/>
              </w:rPr>
              <w:t>0.790</w:t>
            </w: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lit3</w:t>
            </w:r>
          </w:p>
        </w:tc>
        <w:tc>
          <w:tcPr>
            <w:tcW w:type="dxa" w:w="1178"/>
          </w:tcPr>
          <w:p>
            <w:pPr>
              <w:pStyle w:val="MDPI42tablebody"/>
              <w:keepNext/>
              <w:spacing w:line="240" w:lineRule="auto" w:before="30" w:after="30"/>
              <w:jc w:val="center"/>
            </w:pPr>
            <w:r>
              <w:rPr>
                <w:b w:val="0"/>
                <w:i w:val="0"/>
                <w:sz w:val="18"/>
              </w:rPr>
              <w:t>0.771</w:t>
            </w: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lit4</w:t>
            </w:r>
          </w:p>
        </w:tc>
        <w:tc>
          <w:tcPr>
            <w:tcW w:type="dxa" w:w="1178"/>
          </w:tcPr>
          <w:p>
            <w:pPr>
              <w:pStyle w:val="MDPI42tablebody"/>
              <w:keepNext/>
              <w:spacing w:line="240" w:lineRule="auto" w:before="30" w:after="30"/>
              <w:jc w:val="center"/>
            </w:pPr>
            <w:r>
              <w:rPr>
                <w:b w:val="0"/>
                <w:i w:val="0"/>
                <w:sz w:val="18"/>
              </w:rPr>
              <w:t>0.784</w:t>
            </w: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Perceived employability support (SUP)</w:t>
            </w:r>
          </w:p>
        </w:tc>
        <w:tc>
          <w:tcPr>
            <w:tcW w:type="dxa" w:w="1178"/>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sup1</w:t>
            </w:r>
          </w:p>
        </w:tc>
        <w:tc>
          <w:tcPr>
            <w:tcW w:type="dxa" w:w="1178"/>
          </w:tcPr>
          <w:p>
            <w:pPr>
              <w:pStyle w:val="MDPI42tablebody"/>
              <w:keepNext/>
              <w:spacing w:line="240" w:lineRule="auto" w:before="30" w:after="30"/>
              <w:jc w:val="center"/>
            </w:pPr>
            <w:r>
              <w:rPr>
                <w:b w:val="0"/>
                <w:i w:val="0"/>
                <w:sz w:val="18"/>
              </w:rPr>
              <w:t>0.787</w:t>
            </w:r>
          </w:p>
        </w:tc>
        <w:tc>
          <w:tcPr>
            <w:tcW w:type="dxa" w:w="1021"/>
          </w:tcPr>
          <w:p>
            <w:pPr>
              <w:pStyle w:val="MDPI42tablebody"/>
              <w:keepNext/>
              <w:spacing w:line="240" w:lineRule="auto" w:before="30" w:after="30"/>
              <w:jc w:val="center"/>
            </w:pPr>
            <w:r>
              <w:rPr>
                <w:b w:val="0"/>
                <w:i w:val="0"/>
                <w:sz w:val="18"/>
              </w:rPr>
              <w:t>0.855</w:t>
            </w:r>
          </w:p>
        </w:tc>
        <w:tc>
          <w:tcPr>
            <w:tcW w:type="dxa" w:w="1021"/>
          </w:tcPr>
          <w:p>
            <w:pPr>
              <w:pStyle w:val="MDPI42tablebody"/>
              <w:keepNext/>
              <w:spacing w:line="240" w:lineRule="auto" w:before="30" w:after="30"/>
              <w:jc w:val="center"/>
            </w:pPr>
            <w:r>
              <w:rPr>
                <w:b w:val="0"/>
                <w:i w:val="0"/>
                <w:sz w:val="18"/>
              </w:rPr>
              <w:t>0.856</w:t>
            </w:r>
          </w:p>
        </w:tc>
        <w:tc>
          <w:tcPr>
            <w:tcW w:type="dxa" w:w="1178"/>
          </w:tcPr>
          <w:p>
            <w:pPr>
              <w:pStyle w:val="MDPI42tablebody"/>
              <w:keepNext/>
              <w:spacing w:line="240" w:lineRule="auto" w:before="30" w:after="30"/>
              <w:jc w:val="center"/>
            </w:pPr>
            <w:r>
              <w:rPr>
                <w:b w:val="0"/>
                <w:i w:val="0"/>
                <w:sz w:val="18"/>
              </w:rPr>
              <w:t>0.597</w:t>
            </w:r>
          </w:p>
        </w:tc>
      </w:tr>
      <w:tr>
        <w:trPr>
          <w:cantSplit/>
        </w:trPr>
        <w:tc>
          <w:tcPr>
            <w:tcW w:type="dxa" w:w="3457"/>
          </w:tcPr>
          <w:p>
            <w:pPr>
              <w:pStyle w:val="MDPI42tablebody"/>
              <w:keepNext/>
              <w:spacing w:line="240" w:lineRule="auto" w:before="30" w:after="30"/>
              <w:jc w:val="left"/>
            </w:pPr>
            <w:r>
              <w:rPr>
                <w:b w:val="0"/>
                <w:i w:val="0"/>
                <w:sz w:val="18"/>
              </w:rPr>
              <w:t>sup2</w:t>
            </w:r>
          </w:p>
        </w:tc>
        <w:tc>
          <w:tcPr>
            <w:tcW w:type="dxa" w:w="1178"/>
          </w:tcPr>
          <w:p>
            <w:pPr>
              <w:pStyle w:val="MDPI42tablebody"/>
              <w:keepNext/>
              <w:spacing w:line="240" w:lineRule="auto" w:before="30" w:after="30"/>
              <w:jc w:val="center"/>
            </w:pPr>
            <w:r>
              <w:rPr>
                <w:b w:val="0"/>
                <w:i w:val="0"/>
                <w:sz w:val="18"/>
              </w:rPr>
              <w:t>0.767</w:t>
            </w: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sup3</w:t>
            </w:r>
          </w:p>
        </w:tc>
        <w:tc>
          <w:tcPr>
            <w:tcW w:type="dxa" w:w="1178"/>
          </w:tcPr>
          <w:p>
            <w:pPr>
              <w:pStyle w:val="MDPI42tablebody"/>
              <w:keepNext/>
              <w:spacing w:line="240" w:lineRule="auto" w:before="30" w:after="30"/>
              <w:jc w:val="center"/>
            </w:pPr>
            <w:r>
              <w:rPr>
                <w:b w:val="0"/>
                <w:i w:val="0"/>
                <w:sz w:val="18"/>
              </w:rPr>
              <w:t>0.767</w:t>
            </w: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sup4</w:t>
            </w:r>
          </w:p>
        </w:tc>
        <w:tc>
          <w:tcPr>
            <w:tcW w:type="dxa" w:w="1178"/>
          </w:tcPr>
          <w:p>
            <w:pPr>
              <w:pStyle w:val="MDPI42tablebody"/>
              <w:keepNext/>
              <w:spacing w:line="240" w:lineRule="auto" w:before="30" w:after="30"/>
              <w:jc w:val="center"/>
            </w:pPr>
            <w:r>
              <w:rPr>
                <w:b w:val="0"/>
                <w:i w:val="0"/>
                <w:sz w:val="18"/>
              </w:rPr>
              <w:t>0.770</w:t>
            </w: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Occupational adaptation (ADP)</w:t>
            </w:r>
          </w:p>
        </w:tc>
        <w:tc>
          <w:tcPr>
            <w:tcW w:type="dxa" w:w="1178"/>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adp1</w:t>
            </w:r>
          </w:p>
        </w:tc>
        <w:tc>
          <w:tcPr>
            <w:tcW w:type="dxa" w:w="1178"/>
          </w:tcPr>
          <w:p>
            <w:pPr>
              <w:pStyle w:val="MDPI42tablebody"/>
              <w:keepNext/>
              <w:spacing w:line="240" w:lineRule="auto" w:before="30" w:after="30"/>
              <w:jc w:val="center"/>
            </w:pPr>
            <w:r>
              <w:rPr>
                <w:b w:val="0"/>
                <w:i w:val="0"/>
                <w:sz w:val="18"/>
              </w:rPr>
              <w:t>0.768</w:t>
            </w:r>
          </w:p>
        </w:tc>
        <w:tc>
          <w:tcPr>
            <w:tcW w:type="dxa" w:w="1021"/>
          </w:tcPr>
          <w:p>
            <w:pPr>
              <w:pStyle w:val="MDPI42tablebody"/>
              <w:keepNext/>
              <w:spacing w:line="240" w:lineRule="auto" w:before="30" w:after="30"/>
              <w:jc w:val="center"/>
            </w:pPr>
            <w:r>
              <w:rPr>
                <w:b w:val="0"/>
                <w:i w:val="0"/>
                <w:sz w:val="18"/>
              </w:rPr>
              <w:t>0.845</w:t>
            </w:r>
          </w:p>
        </w:tc>
        <w:tc>
          <w:tcPr>
            <w:tcW w:type="dxa" w:w="1021"/>
          </w:tcPr>
          <w:p>
            <w:pPr>
              <w:pStyle w:val="MDPI42tablebody"/>
              <w:keepNext/>
              <w:spacing w:line="240" w:lineRule="auto" w:before="30" w:after="30"/>
              <w:jc w:val="center"/>
            </w:pPr>
            <w:r>
              <w:rPr>
                <w:b w:val="0"/>
                <w:i w:val="0"/>
                <w:sz w:val="18"/>
              </w:rPr>
              <w:t>0.845</w:t>
            </w:r>
          </w:p>
        </w:tc>
        <w:tc>
          <w:tcPr>
            <w:tcW w:type="dxa" w:w="1178"/>
          </w:tcPr>
          <w:p>
            <w:pPr>
              <w:pStyle w:val="MDPI42tablebody"/>
              <w:keepNext/>
              <w:spacing w:line="240" w:lineRule="auto" w:before="30" w:after="30"/>
              <w:jc w:val="center"/>
            </w:pPr>
            <w:r>
              <w:rPr>
                <w:b w:val="0"/>
                <w:i w:val="0"/>
                <w:sz w:val="18"/>
              </w:rPr>
              <w:t>0.577</w:t>
            </w:r>
          </w:p>
        </w:tc>
      </w:tr>
      <w:tr>
        <w:trPr>
          <w:cantSplit/>
        </w:trPr>
        <w:tc>
          <w:tcPr>
            <w:tcW w:type="dxa" w:w="3457"/>
          </w:tcPr>
          <w:p>
            <w:pPr>
              <w:pStyle w:val="MDPI42tablebody"/>
              <w:keepNext/>
              <w:spacing w:line="240" w:lineRule="auto" w:before="30" w:after="30"/>
              <w:jc w:val="left"/>
            </w:pPr>
            <w:r>
              <w:rPr>
                <w:b w:val="0"/>
                <w:i w:val="0"/>
                <w:sz w:val="18"/>
              </w:rPr>
              <w:t>adp2</w:t>
            </w:r>
          </w:p>
        </w:tc>
        <w:tc>
          <w:tcPr>
            <w:tcW w:type="dxa" w:w="1178"/>
          </w:tcPr>
          <w:p>
            <w:pPr>
              <w:pStyle w:val="MDPI42tablebody"/>
              <w:keepNext/>
              <w:spacing w:line="240" w:lineRule="auto" w:before="30" w:after="30"/>
              <w:jc w:val="center"/>
            </w:pPr>
            <w:r>
              <w:rPr>
                <w:b w:val="0"/>
                <w:i w:val="0"/>
                <w:sz w:val="18"/>
              </w:rPr>
              <w:t>0.762</w:t>
            </w: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adp3</w:t>
            </w:r>
          </w:p>
        </w:tc>
        <w:tc>
          <w:tcPr>
            <w:tcW w:type="dxa" w:w="1178"/>
          </w:tcPr>
          <w:p>
            <w:pPr>
              <w:pStyle w:val="MDPI42tablebody"/>
              <w:keepNext/>
              <w:spacing w:line="240" w:lineRule="auto" w:before="30" w:after="30"/>
              <w:jc w:val="center"/>
            </w:pPr>
            <w:r>
              <w:rPr>
                <w:b w:val="0"/>
                <w:i w:val="0"/>
                <w:sz w:val="18"/>
              </w:rPr>
              <w:t>0.757</w:t>
            </w: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adp4</w:t>
            </w:r>
          </w:p>
        </w:tc>
        <w:tc>
          <w:tcPr>
            <w:tcW w:type="dxa" w:w="1178"/>
          </w:tcPr>
          <w:p>
            <w:pPr>
              <w:pStyle w:val="MDPI42tablebody"/>
              <w:keepNext/>
              <w:spacing w:line="240" w:lineRule="auto" w:before="30" w:after="30"/>
              <w:jc w:val="center"/>
            </w:pPr>
            <w:r>
              <w:rPr>
                <w:b w:val="0"/>
                <w:i w:val="0"/>
                <w:sz w:val="18"/>
              </w:rPr>
              <w:t>0.750</w:t>
            </w: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Career avoidance (AVD)</w:t>
            </w:r>
          </w:p>
        </w:tc>
        <w:tc>
          <w:tcPr>
            <w:tcW w:type="dxa" w:w="1178"/>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avd1</w:t>
            </w:r>
          </w:p>
        </w:tc>
        <w:tc>
          <w:tcPr>
            <w:tcW w:type="dxa" w:w="1178"/>
          </w:tcPr>
          <w:p>
            <w:pPr>
              <w:pStyle w:val="MDPI42tablebody"/>
              <w:keepNext/>
              <w:spacing w:line="240" w:lineRule="auto" w:before="30" w:after="30"/>
              <w:jc w:val="center"/>
            </w:pPr>
            <w:r>
              <w:rPr>
                <w:b w:val="0"/>
                <w:i w:val="0"/>
                <w:sz w:val="18"/>
              </w:rPr>
              <w:t>0.758</w:t>
            </w:r>
          </w:p>
        </w:tc>
        <w:tc>
          <w:tcPr>
            <w:tcW w:type="dxa" w:w="1021"/>
          </w:tcPr>
          <w:p>
            <w:pPr>
              <w:pStyle w:val="MDPI42tablebody"/>
              <w:keepNext/>
              <w:spacing w:line="240" w:lineRule="auto" w:before="30" w:after="30"/>
              <w:jc w:val="center"/>
            </w:pPr>
            <w:r>
              <w:rPr>
                <w:b w:val="0"/>
                <w:i w:val="0"/>
                <w:sz w:val="18"/>
              </w:rPr>
              <w:t>0.790</w:t>
            </w:r>
          </w:p>
        </w:tc>
        <w:tc>
          <w:tcPr>
            <w:tcW w:type="dxa" w:w="1021"/>
          </w:tcPr>
          <w:p>
            <w:pPr>
              <w:pStyle w:val="MDPI42tablebody"/>
              <w:keepNext/>
              <w:spacing w:line="240" w:lineRule="auto" w:before="30" w:after="30"/>
              <w:jc w:val="center"/>
            </w:pPr>
            <w:r>
              <w:rPr>
                <w:b w:val="0"/>
                <w:i w:val="0"/>
                <w:sz w:val="18"/>
              </w:rPr>
              <w:t>0.790</w:t>
            </w:r>
          </w:p>
        </w:tc>
        <w:tc>
          <w:tcPr>
            <w:tcW w:type="dxa" w:w="1178"/>
          </w:tcPr>
          <w:p>
            <w:pPr>
              <w:pStyle w:val="MDPI42tablebody"/>
              <w:keepNext/>
              <w:spacing w:line="240" w:lineRule="auto" w:before="30" w:after="30"/>
              <w:jc w:val="center"/>
            </w:pPr>
            <w:r>
              <w:rPr>
                <w:b w:val="0"/>
                <w:i w:val="0"/>
                <w:sz w:val="18"/>
              </w:rPr>
              <w:t>0.556</w:t>
            </w:r>
          </w:p>
        </w:tc>
      </w:tr>
      <w:tr>
        <w:trPr>
          <w:cantSplit/>
        </w:trPr>
        <w:tc>
          <w:tcPr>
            <w:tcW w:type="dxa" w:w="3457"/>
          </w:tcPr>
          <w:p>
            <w:pPr>
              <w:pStyle w:val="MDPI42tablebody"/>
              <w:keepNext/>
              <w:spacing w:line="240" w:lineRule="auto" w:before="30" w:after="30"/>
              <w:jc w:val="left"/>
            </w:pPr>
            <w:r>
              <w:rPr>
                <w:b w:val="0"/>
                <w:i w:val="0"/>
                <w:sz w:val="18"/>
              </w:rPr>
              <w:t>avd2</w:t>
            </w:r>
          </w:p>
        </w:tc>
        <w:tc>
          <w:tcPr>
            <w:tcW w:type="dxa" w:w="1178"/>
          </w:tcPr>
          <w:p>
            <w:pPr>
              <w:pStyle w:val="MDPI42tablebody"/>
              <w:keepNext/>
              <w:spacing w:line="240" w:lineRule="auto" w:before="30" w:after="30"/>
              <w:jc w:val="center"/>
            </w:pPr>
            <w:r>
              <w:rPr>
                <w:b w:val="0"/>
                <w:i w:val="0"/>
                <w:sz w:val="18"/>
              </w:rPr>
              <w:t>0.749</w:t>
            </w: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3457"/>
          </w:tcPr>
          <w:p>
            <w:pPr>
              <w:pStyle w:val="MDPI42tablebody"/>
              <w:keepNext/>
              <w:spacing w:line="240" w:lineRule="auto" w:before="30" w:after="30"/>
              <w:jc w:val="left"/>
            </w:pPr>
            <w:r>
              <w:rPr>
                <w:b w:val="0"/>
                <w:i w:val="0"/>
                <w:sz w:val="18"/>
              </w:rPr>
              <w:t>avd3</w:t>
            </w:r>
          </w:p>
        </w:tc>
        <w:tc>
          <w:tcPr>
            <w:tcW w:type="dxa" w:w="1178"/>
          </w:tcPr>
          <w:p>
            <w:pPr>
              <w:pStyle w:val="MDPI42tablebody"/>
              <w:keepNext/>
              <w:spacing w:line="240" w:lineRule="auto" w:before="30" w:after="30"/>
              <w:jc w:val="center"/>
            </w:pPr>
            <w:r>
              <w:rPr>
                <w:b w:val="0"/>
                <w:i w:val="0"/>
                <w:sz w:val="18"/>
              </w:rPr>
              <w:t>0.731</w:t>
            </w:r>
          </w:p>
        </w:tc>
        <w:tc>
          <w:tcPr>
            <w:tcW w:type="dxa" w:w="1021"/>
          </w:tcPr>
          <w:p>
            <w:pPr>
              <w:pStyle w:val="MDPI42tablebody"/>
              <w:keepNext/>
              <w:spacing w:line="240" w:lineRule="auto" w:before="30" w:after="30"/>
              <w:jc w:val="center"/>
            </w:pPr>
          </w:p>
        </w:tc>
        <w:tc>
          <w:tcPr>
            <w:tcW w:type="dxa" w:w="1021"/>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bl>
    <w:p>
      <w:pPr>
        <w:pStyle w:val="MDPI43tablefooter"/>
        <w:spacing w:line="240" w:lineRule="auto" w:before="40" w:after="200"/>
        <w:ind w:left="2608" w:firstLine="0"/>
      </w:pPr>
      <w:r>
        <w:rPr>
          <w:sz w:val="16"/>
        </w:rPr>
        <w:t xml:space="preserve">Note: </w:t>
      </w:r>
      <w:r>
        <w:rPr>
          <w:b w:val="0"/>
          <w:i w:val="0"/>
          <w:sz w:val="16"/>
        </w:rPr>
        <w:t>Loadings are standardized; α is Cronbach’s alpha. Maximum-likelihood confirmatory factor analysis on the matched sample (N = 914). Model fit: χ2(215) = 277.35, CFI = 0.994, TLI = 0.993, RMSEA = 0.018, SRMR = 0.022. CR is composite reliability; AVE is average variance extracted. All loadings are significant at the 1% level. Source: authors’ own calculations.</w:t>
      </w:r>
    </w:p>
    <w:p>
      <w:pPr>
        <w:pStyle w:val="MDPI31text"/>
      </w:pPr>
      <w:r>
        <w:rPr>
          <w:b w:val="0"/>
          <w:i w:val="0"/>
        </w:rPr>
        <w:t xml:space="preserve">Table 3 assesses discriminant validity from both directions. The square root of each construct’s average variance extracted (the smallest is 0.746) exceeds its largest latent correlation (the largest anywhere is 0.565), satisfying the Fornell-Larcker criterion, and the largest heterotrait-monotrait ratio is 0.566, well below the conservative 0.85 bound </w:t>
      </w:r>
      <w:r>
        <w:t>[</w:t>
      </w:r>
      <w:r>
        <w:fldChar w:fldCharType="begin"/>
      </w:r>
      <w:r>
        <w:instrText xml:space="preserve"> REF _Ref_83 \h </w:instrText>
      </w:r>
      <w:r>
        <w:fldChar w:fldCharType="separate"/>
      </w:r>
      <w:r>
        <w:t>83</w:t>
      </w:r>
      <w:r>
        <w:fldChar w:fldCharType="end"/>
      </w:r>
      <w:r>
        <w:t>]</w:t>
      </w:r>
      <w:r>
        <w:rPr>
          <w:b w:val="0"/>
          <w:i w:val="0"/>
        </w:rPr>
        <w:t>.</w:t>
      </w:r>
    </w:p>
    <w:p>
      <w:pPr>
        <w:pStyle w:val="MDPI41tablecaption"/>
        <w:keepNext/>
        <w:spacing w:after="60"/>
      </w:pPr>
      <w:r>
        <w:rPr>
          <w:b/>
          <w:sz w:val="18"/>
        </w:rPr>
        <w:t xml:space="preserve">Table 3. </w:t>
      </w:r>
      <w:r>
        <w:rPr>
          <w:b w:val="0"/>
          <w:i w:val="0"/>
          <w:sz w:val="18"/>
        </w:rPr>
        <w:t>Discriminant validity.</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257"/>
        <w:gridCol w:w="1100"/>
        <w:gridCol w:w="1100"/>
        <w:gridCol w:w="1100"/>
        <w:gridCol w:w="1100"/>
        <w:gridCol w:w="1100"/>
        <w:gridCol w:w="1100"/>
      </w:tblGrid>
      <w:tr>
        <w:trPr>
          <w:cantSplit/>
          <w:tblHeader/>
        </w:trPr>
        <w:tc>
          <w:tcPr>
            <w:tcW w:type="dxa" w:w="1257"/>
            <w:tcBorders>
              <w:bottom w:val="single" w:sz="8" w:space="0" w:color="auto"/>
            </w:tcBorders>
          </w:tcPr>
          <w:p>
            <w:pPr>
              <w:pStyle w:val="MDPI42tablebody"/>
              <w:keepNext/>
              <w:spacing w:line="240" w:lineRule="auto" w:before="30" w:after="30"/>
              <w:jc w:val="center"/>
            </w:pPr>
            <w:r>
              <w:rPr>
                <w:b/>
                <w:i w:val="0"/>
                <w:sz w:val="16"/>
              </w:rPr>
              <w:t>Construct</w:t>
            </w:r>
          </w:p>
        </w:tc>
        <w:tc>
          <w:tcPr>
            <w:tcW w:type="dxa" w:w="1100"/>
            <w:tcBorders>
              <w:bottom w:val="single" w:sz="8" w:space="0" w:color="auto"/>
            </w:tcBorders>
          </w:tcPr>
          <w:p>
            <w:pPr>
              <w:pStyle w:val="MDPI42tablebody"/>
              <w:keepNext/>
              <w:spacing w:line="240" w:lineRule="auto" w:before="30" w:after="30"/>
              <w:jc w:val="center"/>
            </w:pPr>
            <w:r>
              <w:rPr>
                <w:b/>
                <w:i w:val="0"/>
                <w:sz w:val="16"/>
              </w:rPr>
              <w:t>PHCD</w:t>
            </w:r>
          </w:p>
        </w:tc>
        <w:tc>
          <w:tcPr>
            <w:tcW w:type="dxa" w:w="1100"/>
            <w:tcBorders>
              <w:bottom w:val="single" w:sz="8" w:space="0" w:color="auto"/>
            </w:tcBorders>
          </w:tcPr>
          <w:p>
            <w:pPr>
              <w:pStyle w:val="MDPI42tablebody"/>
              <w:keepNext/>
              <w:spacing w:line="240" w:lineRule="auto" w:before="30" w:after="30"/>
              <w:jc w:val="center"/>
            </w:pPr>
            <w:r>
              <w:rPr>
                <w:b/>
                <w:i w:val="0"/>
                <w:sz w:val="16"/>
              </w:rPr>
              <w:t>ANX</w:t>
            </w:r>
          </w:p>
        </w:tc>
        <w:tc>
          <w:tcPr>
            <w:tcW w:type="dxa" w:w="1100"/>
            <w:tcBorders>
              <w:bottom w:val="single" w:sz="8" w:space="0" w:color="auto"/>
            </w:tcBorders>
          </w:tcPr>
          <w:p>
            <w:pPr>
              <w:pStyle w:val="MDPI42tablebody"/>
              <w:keepNext/>
              <w:spacing w:line="240" w:lineRule="auto" w:before="30" w:after="30"/>
              <w:jc w:val="center"/>
            </w:pPr>
            <w:r>
              <w:rPr>
                <w:b/>
                <w:i w:val="0"/>
                <w:sz w:val="16"/>
              </w:rPr>
              <w:t>LIT</w:t>
            </w:r>
          </w:p>
        </w:tc>
        <w:tc>
          <w:tcPr>
            <w:tcW w:type="dxa" w:w="1100"/>
            <w:tcBorders>
              <w:bottom w:val="single" w:sz="8" w:space="0" w:color="auto"/>
            </w:tcBorders>
          </w:tcPr>
          <w:p>
            <w:pPr>
              <w:pStyle w:val="MDPI42tablebody"/>
              <w:keepNext/>
              <w:spacing w:line="240" w:lineRule="auto" w:before="30" w:after="30"/>
              <w:jc w:val="center"/>
            </w:pPr>
            <w:r>
              <w:rPr>
                <w:b/>
                <w:i w:val="0"/>
                <w:sz w:val="16"/>
              </w:rPr>
              <w:t>SUP</w:t>
            </w:r>
          </w:p>
        </w:tc>
        <w:tc>
          <w:tcPr>
            <w:tcW w:type="dxa" w:w="1100"/>
            <w:tcBorders>
              <w:bottom w:val="single" w:sz="8" w:space="0" w:color="auto"/>
            </w:tcBorders>
          </w:tcPr>
          <w:p>
            <w:pPr>
              <w:pStyle w:val="MDPI42tablebody"/>
              <w:keepNext/>
              <w:spacing w:line="240" w:lineRule="auto" w:before="30" w:after="30"/>
              <w:jc w:val="center"/>
            </w:pPr>
            <w:r>
              <w:rPr>
                <w:b/>
                <w:i w:val="0"/>
                <w:sz w:val="16"/>
              </w:rPr>
              <w:t>ADP</w:t>
            </w:r>
          </w:p>
        </w:tc>
        <w:tc>
          <w:tcPr>
            <w:tcW w:type="dxa" w:w="1100"/>
            <w:tcBorders>
              <w:bottom w:val="single" w:sz="8" w:space="0" w:color="auto"/>
            </w:tcBorders>
          </w:tcPr>
          <w:p>
            <w:pPr>
              <w:pStyle w:val="MDPI42tablebody"/>
              <w:keepNext/>
              <w:spacing w:line="240" w:lineRule="auto" w:before="30" w:after="30"/>
              <w:jc w:val="center"/>
            </w:pPr>
            <w:r>
              <w:rPr>
                <w:b/>
                <w:i w:val="0"/>
                <w:sz w:val="16"/>
              </w:rPr>
              <w:t>AVD</w:t>
            </w:r>
          </w:p>
        </w:tc>
      </w:tr>
      <w:tr>
        <w:trPr>
          <w:cantSplit/>
        </w:trPr>
        <w:tc>
          <w:tcPr>
            <w:tcW w:type="dxa" w:w="1257"/>
          </w:tcPr>
          <w:p>
            <w:pPr>
              <w:pStyle w:val="MDPI42tablebody"/>
              <w:keepNext/>
              <w:spacing w:line="240" w:lineRule="auto" w:before="30" w:after="30"/>
              <w:jc w:val="left"/>
            </w:pPr>
            <w:r>
              <w:rPr>
                <w:b w:val="0"/>
                <w:i/>
                <w:sz w:val="16"/>
              </w:rPr>
              <w:t>PHCD</w:t>
            </w:r>
          </w:p>
        </w:tc>
        <w:tc>
          <w:tcPr>
            <w:tcW w:type="dxa" w:w="1100"/>
          </w:tcPr>
          <w:p>
            <w:pPr>
              <w:pStyle w:val="MDPI42tablebody"/>
              <w:keepNext/>
              <w:spacing w:line="240" w:lineRule="auto" w:before="30" w:after="30"/>
              <w:jc w:val="center"/>
            </w:pPr>
            <w:r>
              <w:rPr>
                <w:b w:val="0"/>
                <w:i w:val="0"/>
                <w:sz w:val="16"/>
              </w:rPr>
              <w:t>0.796</w:t>
            </w:r>
          </w:p>
        </w:tc>
        <w:tc>
          <w:tcPr>
            <w:tcW w:type="dxa" w:w="1100"/>
          </w:tcPr>
          <w:p>
            <w:pPr>
              <w:pStyle w:val="MDPI42tablebody"/>
              <w:keepNext/>
              <w:spacing w:line="240" w:lineRule="auto" w:before="30" w:after="30"/>
              <w:jc w:val="center"/>
            </w:pPr>
            <w:r>
              <w:rPr>
                <w:b w:val="0"/>
                <w:i w:val="0"/>
                <w:sz w:val="16"/>
              </w:rPr>
              <w:t>0.545</w:t>
            </w:r>
          </w:p>
        </w:tc>
        <w:tc>
          <w:tcPr>
            <w:tcW w:type="dxa" w:w="1100"/>
          </w:tcPr>
          <w:p>
            <w:pPr>
              <w:pStyle w:val="MDPI42tablebody"/>
              <w:keepNext/>
              <w:spacing w:line="240" w:lineRule="auto" w:before="30" w:after="30"/>
              <w:jc w:val="center"/>
            </w:pPr>
            <w:r>
              <w:rPr>
                <w:b w:val="0"/>
                <w:i w:val="0"/>
                <w:sz w:val="16"/>
              </w:rPr>
              <w:t>0.065</w:t>
            </w:r>
          </w:p>
        </w:tc>
        <w:tc>
          <w:tcPr>
            <w:tcW w:type="dxa" w:w="1100"/>
          </w:tcPr>
          <w:p>
            <w:pPr>
              <w:pStyle w:val="MDPI42tablebody"/>
              <w:keepNext/>
              <w:spacing w:line="240" w:lineRule="auto" w:before="30" w:after="30"/>
              <w:jc w:val="center"/>
            </w:pPr>
            <w:r>
              <w:rPr>
                <w:b w:val="0"/>
                <w:i w:val="0"/>
                <w:sz w:val="16"/>
              </w:rPr>
              <w:t>0.026</w:t>
            </w:r>
          </w:p>
        </w:tc>
        <w:tc>
          <w:tcPr>
            <w:tcW w:type="dxa" w:w="1100"/>
          </w:tcPr>
          <w:p>
            <w:pPr>
              <w:pStyle w:val="MDPI42tablebody"/>
              <w:keepNext/>
              <w:spacing w:line="240" w:lineRule="auto" w:before="30" w:after="30"/>
              <w:jc w:val="center"/>
            </w:pPr>
            <w:r>
              <w:rPr>
                <w:b w:val="0"/>
                <w:i w:val="0"/>
                <w:sz w:val="16"/>
              </w:rPr>
              <w:t>0.078</w:t>
            </w:r>
          </w:p>
        </w:tc>
        <w:tc>
          <w:tcPr>
            <w:tcW w:type="dxa" w:w="1100"/>
          </w:tcPr>
          <w:p>
            <w:pPr>
              <w:pStyle w:val="MDPI42tablebody"/>
              <w:keepNext/>
              <w:spacing w:line="240" w:lineRule="auto" w:before="30" w:after="30"/>
              <w:jc w:val="center"/>
            </w:pPr>
            <w:r>
              <w:rPr>
                <w:b w:val="0"/>
                <w:i w:val="0"/>
                <w:sz w:val="16"/>
              </w:rPr>
              <w:t>0.344</w:t>
            </w:r>
          </w:p>
        </w:tc>
      </w:tr>
      <w:tr>
        <w:trPr>
          <w:cantSplit/>
        </w:trPr>
        <w:tc>
          <w:tcPr>
            <w:tcW w:type="dxa" w:w="1257"/>
          </w:tcPr>
          <w:p>
            <w:pPr>
              <w:pStyle w:val="MDPI42tablebody"/>
              <w:keepNext/>
              <w:spacing w:line="240" w:lineRule="auto" w:before="30" w:after="30"/>
              <w:jc w:val="left"/>
            </w:pPr>
            <w:r>
              <w:rPr>
                <w:b w:val="0"/>
                <w:i/>
                <w:sz w:val="16"/>
              </w:rPr>
              <w:t>ANX</w:t>
            </w:r>
          </w:p>
        </w:tc>
        <w:tc>
          <w:tcPr>
            <w:tcW w:type="dxa" w:w="1100"/>
          </w:tcPr>
          <w:p>
            <w:pPr>
              <w:pStyle w:val="MDPI42tablebody"/>
              <w:keepNext/>
              <w:spacing w:line="240" w:lineRule="auto" w:before="30" w:after="30"/>
              <w:jc w:val="center"/>
            </w:pPr>
            <w:r>
              <w:rPr>
                <w:b w:val="0"/>
                <w:i w:val="0"/>
                <w:sz w:val="16"/>
              </w:rPr>
              <w:t>0.545</w:t>
            </w:r>
          </w:p>
        </w:tc>
        <w:tc>
          <w:tcPr>
            <w:tcW w:type="dxa" w:w="1100"/>
          </w:tcPr>
          <w:p>
            <w:pPr>
              <w:pStyle w:val="MDPI42tablebody"/>
              <w:keepNext/>
              <w:spacing w:line="240" w:lineRule="auto" w:before="30" w:after="30"/>
              <w:jc w:val="center"/>
            </w:pPr>
            <w:r>
              <w:rPr>
                <w:b w:val="0"/>
                <w:i w:val="0"/>
                <w:sz w:val="16"/>
              </w:rPr>
              <w:t>0.817</w:t>
            </w:r>
          </w:p>
        </w:tc>
        <w:tc>
          <w:tcPr>
            <w:tcW w:type="dxa" w:w="1100"/>
          </w:tcPr>
          <w:p>
            <w:pPr>
              <w:pStyle w:val="MDPI42tablebody"/>
              <w:keepNext/>
              <w:spacing w:line="240" w:lineRule="auto" w:before="30" w:after="30"/>
              <w:jc w:val="center"/>
            </w:pPr>
            <w:r>
              <w:rPr>
                <w:b w:val="0"/>
                <w:i w:val="0"/>
                <w:sz w:val="16"/>
              </w:rPr>
              <w:t>0.002</w:t>
            </w:r>
          </w:p>
        </w:tc>
        <w:tc>
          <w:tcPr>
            <w:tcW w:type="dxa" w:w="1100"/>
          </w:tcPr>
          <w:p>
            <w:pPr>
              <w:pStyle w:val="MDPI42tablebody"/>
              <w:keepNext/>
              <w:spacing w:line="240" w:lineRule="auto" w:before="30" w:after="30"/>
              <w:jc w:val="center"/>
            </w:pPr>
            <w:r>
              <w:rPr>
                <w:b w:val="0"/>
                <w:i w:val="0"/>
                <w:sz w:val="16"/>
              </w:rPr>
              <w:t>0.189</w:t>
            </w:r>
          </w:p>
        </w:tc>
        <w:tc>
          <w:tcPr>
            <w:tcW w:type="dxa" w:w="1100"/>
          </w:tcPr>
          <w:p>
            <w:pPr>
              <w:pStyle w:val="MDPI42tablebody"/>
              <w:keepNext/>
              <w:spacing w:line="240" w:lineRule="auto" w:before="30" w:after="30"/>
              <w:jc w:val="center"/>
            </w:pPr>
            <w:r>
              <w:rPr>
                <w:b w:val="0"/>
                <w:i w:val="0"/>
                <w:sz w:val="16"/>
              </w:rPr>
              <w:t>0.166</w:t>
            </w:r>
          </w:p>
        </w:tc>
        <w:tc>
          <w:tcPr>
            <w:tcW w:type="dxa" w:w="1100"/>
          </w:tcPr>
          <w:p>
            <w:pPr>
              <w:pStyle w:val="MDPI42tablebody"/>
              <w:keepNext/>
              <w:spacing w:line="240" w:lineRule="auto" w:before="30" w:after="30"/>
              <w:jc w:val="center"/>
            </w:pPr>
            <w:r>
              <w:rPr>
                <w:b w:val="0"/>
                <w:i w:val="0"/>
                <w:sz w:val="16"/>
              </w:rPr>
              <w:t>0.566</w:t>
            </w:r>
          </w:p>
        </w:tc>
      </w:tr>
      <w:tr>
        <w:trPr>
          <w:cantSplit/>
        </w:trPr>
        <w:tc>
          <w:tcPr>
            <w:tcW w:type="dxa" w:w="1257"/>
          </w:tcPr>
          <w:p>
            <w:pPr>
              <w:pStyle w:val="MDPI42tablebody"/>
              <w:keepNext/>
              <w:spacing w:line="240" w:lineRule="auto" w:before="30" w:after="30"/>
              <w:jc w:val="left"/>
            </w:pPr>
            <w:r>
              <w:rPr>
                <w:b w:val="0"/>
                <w:i/>
                <w:sz w:val="16"/>
              </w:rPr>
              <w:t>LIT</w:t>
            </w:r>
          </w:p>
        </w:tc>
        <w:tc>
          <w:tcPr>
            <w:tcW w:type="dxa" w:w="1100"/>
          </w:tcPr>
          <w:p>
            <w:pPr>
              <w:pStyle w:val="MDPI42tablebody"/>
              <w:keepNext/>
              <w:spacing w:line="240" w:lineRule="auto" w:before="30" w:after="30"/>
              <w:jc w:val="center"/>
            </w:pPr>
            <w:r>
              <w:rPr>
                <w:b w:val="0"/>
                <w:i w:val="0"/>
                <w:sz w:val="16"/>
              </w:rPr>
              <w:t>−0.064</w:t>
            </w:r>
          </w:p>
        </w:tc>
        <w:tc>
          <w:tcPr>
            <w:tcW w:type="dxa" w:w="1100"/>
          </w:tcPr>
          <w:p>
            <w:pPr>
              <w:pStyle w:val="MDPI42tablebody"/>
              <w:keepNext/>
              <w:spacing w:line="240" w:lineRule="auto" w:before="30" w:after="30"/>
              <w:jc w:val="center"/>
            </w:pPr>
            <w:r>
              <w:rPr>
                <w:b w:val="0"/>
                <w:i w:val="0"/>
                <w:sz w:val="16"/>
              </w:rPr>
              <w:t>−0.002</w:t>
            </w:r>
          </w:p>
        </w:tc>
        <w:tc>
          <w:tcPr>
            <w:tcW w:type="dxa" w:w="1100"/>
          </w:tcPr>
          <w:p>
            <w:pPr>
              <w:pStyle w:val="MDPI42tablebody"/>
              <w:keepNext/>
              <w:spacing w:line="240" w:lineRule="auto" w:before="30" w:after="30"/>
              <w:jc w:val="center"/>
            </w:pPr>
            <w:r>
              <w:rPr>
                <w:b w:val="0"/>
                <w:i w:val="0"/>
                <w:sz w:val="16"/>
              </w:rPr>
              <w:t>0.785</w:t>
            </w:r>
          </w:p>
        </w:tc>
        <w:tc>
          <w:tcPr>
            <w:tcW w:type="dxa" w:w="1100"/>
          </w:tcPr>
          <w:p>
            <w:pPr>
              <w:pStyle w:val="MDPI42tablebody"/>
              <w:keepNext/>
              <w:spacing w:line="240" w:lineRule="auto" w:before="30" w:after="30"/>
              <w:jc w:val="center"/>
            </w:pPr>
            <w:r>
              <w:rPr>
                <w:b w:val="0"/>
                <w:i w:val="0"/>
                <w:sz w:val="16"/>
              </w:rPr>
              <w:t>0.005</w:t>
            </w:r>
          </w:p>
        </w:tc>
        <w:tc>
          <w:tcPr>
            <w:tcW w:type="dxa" w:w="1100"/>
          </w:tcPr>
          <w:p>
            <w:pPr>
              <w:pStyle w:val="MDPI42tablebody"/>
              <w:keepNext/>
              <w:spacing w:line="240" w:lineRule="auto" w:before="30" w:after="30"/>
              <w:jc w:val="center"/>
            </w:pPr>
            <w:r>
              <w:rPr>
                <w:b w:val="0"/>
                <w:i w:val="0"/>
                <w:sz w:val="16"/>
              </w:rPr>
              <w:t>0.327</w:t>
            </w:r>
          </w:p>
        </w:tc>
        <w:tc>
          <w:tcPr>
            <w:tcW w:type="dxa" w:w="1100"/>
          </w:tcPr>
          <w:p>
            <w:pPr>
              <w:pStyle w:val="MDPI42tablebody"/>
              <w:keepNext/>
              <w:spacing w:line="240" w:lineRule="auto" w:before="30" w:after="30"/>
              <w:jc w:val="center"/>
            </w:pPr>
            <w:r>
              <w:rPr>
                <w:b w:val="0"/>
                <w:i w:val="0"/>
                <w:sz w:val="16"/>
              </w:rPr>
              <w:t>0.168</w:t>
            </w:r>
          </w:p>
        </w:tc>
      </w:tr>
      <w:tr>
        <w:trPr>
          <w:cantSplit/>
        </w:trPr>
        <w:tc>
          <w:tcPr>
            <w:tcW w:type="dxa" w:w="1257"/>
          </w:tcPr>
          <w:p>
            <w:pPr>
              <w:pStyle w:val="MDPI42tablebody"/>
              <w:keepNext/>
              <w:spacing w:line="240" w:lineRule="auto" w:before="30" w:after="30"/>
              <w:jc w:val="left"/>
            </w:pPr>
            <w:r>
              <w:rPr>
                <w:b w:val="0"/>
                <w:i/>
                <w:sz w:val="16"/>
              </w:rPr>
              <w:t>SUP</w:t>
            </w:r>
          </w:p>
        </w:tc>
        <w:tc>
          <w:tcPr>
            <w:tcW w:type="dxa" w:w="1100"/>
          </w:tcPr>
          <w:p>
            <w:pPr>
              <w:pStyle w:val="MDPI42tablebody"/>
              <w:keepNext/>
              <w:spacing w:line="240" w:lineRule="auto" w:before="30" w:after="30"/>
              <w:jc w:val="center"/>
            </w:pPr>
            <w:r>
              <w:rPr>
                <w:b w:val="0"/>
                <w:i w:val="0"/>
                <w:sz w:val="16"/>
              </w:rPr>
              <w:t>0.026</w:t>
            </w:r>
          </w:p>
        </w:tc>
        <w:tc>
          <w:tcPr>
            <w:tcW w:type="dxa" w:w="1100"/>
          </w:tcPr>
          <w:p>
            <w:pPr>
              <w:pStyle w:val="MDPI42tablebody"/>
              <w:keepNext/>
              <w:spacing w:line="240" w:lineRule="auto" w:before="30" w:after="30"/>
              <w:jc w:val="center"/>
            </w:pPr>
            <w:r>
              <w:rPr>
                <w:b w:val="0"/>
                <w:i w:val="0"/>
                <w:sz w:val="16"/>
              </w:rPr>
              <w:t>−0.190</w:t>
            </w:r>
          </w:p>
        </w:tc>
        <w:tc>
          <w:tcPr>
            <w:tcW w:type="dxa" w:w="1100"/>
          </w:tcPr>
          <w:p>
            <w:pPr>
              <w:pStyle w:val="MDPI42tablebody"/>
              <w:keepNext/>
              <w:spacing w:line="240" w:lineRule="auto" w:before="30" w:after="30"/>
              <w:jc w:val="center"/>
            </w:pPr>
            <w:r>
              <w:rPr>
                <w:b w:val="0"/>
                <w:i w:val="0"/>
                <w:sz w:val="16"/>
              </w:rPr>
              <w:t>0.004</w:t>
            </w:r>
          </w:p>
        </w:tc>
        <w:tc>
          <w:tcPr>
            <w:tcW w:type="dxa" w:w="1100"/>
          </w:tcPr>
          <w:p>
            <w:pPr>
              <w:pStyle w:val="MDPI42tablebody"/>
              <w:keepNext/>
              <w:spacing w:line="240" w:lineRule="auto" w:before="30" w:after="30"/>
              <w:jc w:val="center"/>
            </w:pPr>
            <w:r>
              <w:rPr>
                <w:b w:val="0"/>
                <w:i w:val="0"/>
                <w:sz w:val="16"/>
              </w:rPr>
              <w:t>0.773</w:t>
            </w:r>
          </w:p>
        </w:tc>
        <w:tc>
          <w:tcPr>
            <w:tcW w:type="dxa" w:w="1100"/>
          </w:tcPr>
          <w:p>
            <w:pPr>
              <w:pStyle w:val="MDPI42tablebody"/>
              <w:keepNext/>
              <w:spacing w:line="240" w:lineRule="auto" w:before="30" w:after="30"/>
              <w:jc w:val="center"/>
            </w:pPr>
            <w:r>
              <w:rPr>
                <w:b w:val="0"/>
                <w:i w:val="0"/>
                <w:sz w:val="16"/>
              </w:rPr>
              <w:t>0.211</w:t>
            </w:r>
          </w:p>
        </w:tc>
        <w:tc>
          <w:tcPr>
            <w:tcW w:type="dxa" w:w="1100"/>
          </w:tcPr>
          <w:p>
            <w:pPr>
              <w:pStyle w:val="MDPI42tablebody"/>
              <w:keepNext/>
              <w:spacing w:line="240" w:lineRule="auto" w:before="30" w:after="30"/>
              <w:jc w:val="center"/>
            </w:pPr>
            <w:r>
              <w:rPr>
                <w:b w:val="0"/>
                <w:i w:val="0"/>
                <w:sz w:val="16"/>
              </w:rPr>
              <w:t>0.219</w:t>
            </w:r>
          </w:p>
        </w:tc>
      </w:tr>
      <w:tr>
        <w:trPr>
          <w:cantSplit/>
        </w:trPr>
        <w:tc>
          <w:tcPr>
            <w:tcW w:type="dxa" w:w="1257"/>
          </w:tcPr>
          <w:p>
            <w:pPr>
              <w:pStyle w:val="MDPI42tablebody"/>
              <w:keepNext/>
              <w:spacing w:line="240" w:lineRule="auto" w:before="30" w:after="30"/>
              <w:jc w:val="left"/>
            </w:pPr>
            <w:r>
              <w:rPr>
                <w:b w:val="0"/>
                <w:i/>
                <w:sz w:val="16"/>
              </w:rPr>
              <w:t>ADP</w:t>
            </w:r>
          </w:p>
        </w:tc>
        <w:tc>
          <w:tcPr>
            <w:tcW w:type="dxa" w:w="1100"/>
          </w:tcPr>
          <w:p>
            <w:pPr>
              <w:pStyle w:val="MDPI42tablebody"/>
              <w:keepNext/>
              <w:spacing w:line="240" w:lineRule="auto" w:before="30" w:after="30"/>
              <w:jc w:val="center"/>
            </w:pPr>
            <w:r>
              <w:rPr>
                <w:b w:val="0"/>
                <w:i w:val="0"/>
                <w:sz w:val="16"/>
              </w:rPr>
              <w:t>0.079</w:t>
            </w:r>
          </w:p>
        </w:tc>
        <w:tc>
          <w:tcPr>
            <w:tcW w:type="dxa" w:w="1100"/>
          </w:tcPr>
          <w:p>
            <w:pPr>
              <w:pStyle w:val="MDPI42tablebody"/>
              <w:keepNext/>
              <w:spacing w:line="240" w:lineRule="auto" w:before="30" w:after="30"/>
              <w:jc w:val="center"/>
            </w:pPr>
            <w:r>
              <w:rPr>
                <w:b w:val="0"/>
                <w:i w:val="0"/>
                <w:sz w:val="16"/>
              </w:rPr>
              <w:t>0.166</w:t>
            </w:r>
          </w:p>
        </w:tc>
        <w:tc>
          <w:tcPr>
            <w:tcW w:type="dxa" w:w="1100"/>
          </w:tcPr>
          <w:p>
            <w:pPr>
              <w:pStyle w:val="MDPI42tablebody"/>
              <w:keepNext/>
              <w:spacing w:line="240" w:lineRule="auto" w:before="30" w:after="30"/>
              <w:jc w:val="center"/>
            </w:pPr>
            <w:r>
              <w:rPr>
                <w:b w:val="0"/>
                <w:i w:val="0"/>
                <w:sz w:val="16"/>
              </w:rPr>
              <w:t>0.327</w:t>
            </w:r>
          </w:p>
        </w:tc>
        <w:tc>
          <w:tcPr>
            <w:tcW w:type="dxa" w:w="1100"/>
          </w:tcPr>
          <w:p>
            <w:pPr>
              <w:pStyle w:val="MDPI42tablebody"/>
              <w:keepNext/>
              <w:spacing w:line="240" w:lineRule="auto" w:before="30" w:after="30"/>
              <w:jc w:val="center"/>
            </w:pPr>
            <w:r>
              <w:rPr>
                <w:b w:val="0"/>
                <w:i w:val="0"/>
                <w:sz w:val="16"/>
              </w:rPr>
              <w:t>0.212</w:t>
            </w:r>
          </w:p>
        </w:tc>
        <w:tc>
          <w:tcPr>
            <w:tcW w:type="dxa" w:w="1100"/>
          </w:tcPr>
          <w:p>
            <w:pPr>
              <w:pStyle w:val="MDPI42tablebody"/>
              <w:keepNext/>
              <w:spacing w:line="240" w:lineRule="auto" w:before="30" w:after="30"/>
              <w:jc w:val="center"/>
            </w:pPr>
            <w:r>
              <w:rPr>
                <w:b w:val="0"/>
                <w:i w:val="0"/>
                <w:sz w:val="16"/>
              </w:rPr>
              <w:t>0.760</w:t>
            </w:r>
          </w:p>
        </w:tc>
        <w:tc>
          <w:tcPr>
            <w:tcW w:type="dxa" w:w="1100"/>
          </w:tcPr>
          <w:p>
            <w:pPr>
              <w:pStyle w:val="MDPI42tablebody"/>
              <w:keepNext/>
              <w:spacing w:line="240" w:lineRule="auto" w:before="30" w:after="30"/>
              <w:jc w:val="center"/>
            </w:pPr>
            <w:r>
              <w:rPr>
                <w:b w:val="0"/>
                <w:i w:val="0"/>
                <w:sz w:val="16"/>
              </w:rPr>
              <w:t>0.022</w:t>
            </w:r>
          </w:p>
        </w:tc>
      </w:tr>
      <w:tr>
        <w:trPr>
          <w:cantSplit/>
        </w:trPr>
        <w:tc>
          <w:tcPr>
            <w:tcW w:type="dxa" w:w="1257"/>
          </w:tcPr>
          <w:p>
            <w:pPr>
              <w:pStyle w:val="MDPI42tablebody"/>
              <w:keepNext/>
              <w:spacing w:line="240" w:lineRule="auto" w:before="30" w:after="30"/>
              <w:jc w:val="left"/>
            </w:pPr>
            <w:r>
              <w:rPr>
                <w:b w:val="0"/>
                <w:i/>
                <w:sz w:val="16"/>
              </w:rPr>
              <w:t>AVD</w:t>
            </w:r>
          </w:p>
        </w:tc>
        <w:tc>
          <w:tcPr>
            <w:tcW w:type="dxa" w:w="1100"/>
          </w:tcPr>
          <w:p>
            <w:pPr>
              <w:pStyle w:val="MDPI42tablebody"/>
              <w:keepNext/>
              <w:spacing w:line="240" w:lineRule="auto" w:before="30" w:after="30"/>
              <w:jc w:val="center"/>
            </w:pPr>
            <w:r>
              <w:rPr>
                <w:b w:val="0"/>
                <w:i w:val="0"/>
                <w:sz w:val="16"/>
              </w:rPr>
              <w:t>0.343</w:t>
            </w:r>
          </w:p>
        </w:tc>
        <w:tc>
          <w:tcPr>
            <w:tcW w:type="dxa" w:w="1100"/>
          </w:tcPr>
          <w:p>
            <w:pPr>
              <w:pStyle w:val="MDPI42tablebody"/>
              <w:keepNext/>
              <w:spacing w:line="240" w:lineRule="auto" w:before="30" w:after="30"/>
              <w:jc w:val="center"/>
            </w:pPr>
            <w:r>
              <w:rPr>
                <w:b w:val="0"/>
                <w:i w:val="0"/>
                <w:sz w:val="16"/>
              </w:rPr>
              <w:t>0.565</w:t>
            </w:r>
          </w:p>
        </w:tc>
        <w:tc>
          <w:tcPr>
            <w:tcW w:type="dxa" w:w="1100"/>
          </w:tcPr>
          <w:p>
            <w:pPr>
              <w:pStyle w:val="MDPI42tablebody"/>
              <w:keepNext/>
              <w:spacing w:line="240" w:lineRule="auto" w:before="30" w:after="30"/>
              <w:jc w:val="center"/>
            </w:pPr>
            <w:r>
              <w:rPr>
                <w:b w:val="0"/>
                <w:i w:val="0"/>
                <w:sz w:val="16"/>
              </w:rPr>
              <w:t>−0.167</w:t>
            </w:r>
          </w:p>
        </w:tc>
        <w:tc>
          <w:tcPr>
            <w:tcW w:type="dxa" w:w="1100"/>
          </w:tcPr>
          <w:p>
            <w:pPr>
              <w:pStyle w:val="MDPI42tablebody"/>
              <w:keepNext/>
              <w:spacing w:line="240" w:lineRule="auto" w:before="30" w:after="30"/>
              <w:jc w:val="center"/>
            </w:pPr>
            <w:r>
              <w:rPr>
                <w:b w:val="0"/>
                <w:i w:val="0"/>
                <w:sz w:val="16"/>
              </w:rPr>
              <w:t>−0.219</w:t>
            </w:r>
          </w:p>
        </w:tc>
        <w:tc>
          <w:tcPr>
            <w:tcW w:type="dxa" w:w="1100"/>
          </w:tcPr>
          <w:p>
            <w:pPr>
              <w:pStyle w:val="MDPI42tablebody"/>
              <w:keepNext/>
              <w:spacing w:line="240" w:lineRule="auto" w:before="30" w:after="30"/>
              <w:jc w:val="center"/>
            </w:pPr>
            <w:r>
              <w:rPr>
                <w:b w:val="0"/>
                <w:i w:val="0"/>
                <w:sz w:val="16"/>
              </w:rPr>
              <w:t>−0.023</w:t>
            </w:r>
          </w:p>
        </w:tc>
        <w:tc>
          <w:tcPr>
            <w:tcW w:type="dxa" w:w="1100"/>
          </w:tcPr>
          <w:p>
            <w:pPr>
              <w:pStyle w:val="MDPI42tablebody"/>
              <w:keepNext/>
              <w:spacing w:line="240" w:lineRule="auto" w:before="30" w:after="30"/>
              <w:jc w:val="center"/>
            </w:pPr>
            <w:r>
              <w:rPr>
                <w:b w:val="0"/>
                <w:i w:val="0"/>
                <w:sz w:val="16"/>
              </w:rPr>
              <w:t>0.746</w:t>
            </w:r>
          </w:p>
        </w:tc>
      </w:tr>
    </w:tbl>
    <w:p>
      <w:pPr>
        <w:pStyle w:val="MDPI43tablefooter"/>
        <w:spacing w:line="240" w:lineRule="auto" w:before="40" w:after="200"/>
        <w:ind w:left="2608" w:firstLine="0"/>
      </w:pPr>
      <w:r>
        <w:rPr>
          <w:sz w:val="16"/>
        </w:rPr>
        <w:t xml:space="preserve">Note: </w:t>
      </w:r>
      <w:r>
        <w:rPr>
          <w:b w:val="0"/>
          <w:i w:val="0"/>
          <w:sz w:val="16"/>
        </w:rPr>
        <w:t>Diagonal: square root of the average variance extracted. Below the diagonal: latent correlations from the confirmatory model. Above the diagonal: heterotrait–monotrait ratios. The Fornell–Larcker criterion and the HTMT &lt; 0.85 criterion are both satisfied for every pair. Source: authors’ own calculations.</w:t>
      </w:r>
    </w:p>
    <w:p>
      <w:pPr>
        <w:pStyle w:val="MDPI31text"/>
      </w:pPr>
      <w:r>
        <w:rPr>
          <w:b w:val="0"/>
          <w:i w:val="0"/>
        </w:rPr>
        <w:t xml:space="preserve">Table 4 completes the measurement block. Metric invariance holds across gender and across STEM and non-STEM majors: constraining loadings to equality changes the comparative fit index by less than 0.001 in both cases (chi-square difference p = 0.543 and 0.545), so the structural comparisons of Section 4.8 rest on equivalent measurement. Method bias is bounded from three directions: the outcomes were measured six months after their antecedents by design </w:t>
      </w:r>
      <w:r>
        <w:t>[</w:t>
      </w:r>
      <w:r>
        <w:fldChar w:fldCharType="begin"/>
      </w:r>
      <w:r>
        <w:instrText xml:space="preserve"> REF _Ref_84 \h </w:instrText>
      </w:r>
      <w:r>
        <w:fldChar w:fldCharType="separate"/>
      </w:r>
      <w:r>
        <w:t>84</w:t>
      </w:r>
      <w:r>
        <w:fldChar w:fldCharType="end"/>
      </w:r>
      <w:r>
        <w:t>]</w:t>
      </w:r>
      <w:r>
        <w:rPr>
          <w:b w:val="0"/>
          <w:i w:val="0"/>
        </w:rPr>
        <w:t xml:space="preserve">; the first factor of the item pool carries 22.4 percent of the variance, far below the forty-percent alarm level; an equal-loading unmeasured method factor absorbs 13.1 percent of item variance, within the range regarded as unproblematic </w:t>
      </w:r>
      <w:r>
        <w:t>[</w:t>
      </w:r>
      <w:r>
        <w:fldChar w:fldCharType="begin"/>
      </w:r>
      <w:r>
        <w:instrText xml:space="preserve"> REF _Ref_85 \h </w:instrText>
      </w:r>
      <w:r>
        <w:fldChar w:fldCharType="separate"/>
      </w:r>
      <w:r>
        <w:t>85</w:t>
      </w:r>
      <w:r>
        <w:fldChar w:fldCharType="end"/>
      </w:r>
      <w:r>
        <w:t>]</w:t>
      </w:r>
      <w:r>
        <w:rPr>
          <w:b w:val="0"/>
          <w:i w:val="0"/>
        </w:rPr>
        <w:t xml:space="preserve">; and the largest correlation between the marker construct and any substantive score is 0.039 </w:t>
      </w:r>
      <w:r>
        <w:t>[</w:t>
      </w:r>
      <w:r>
        <w:fldChar w:fldCharType="begin"/>
      </w:r>
      <w:r>
        <w:instrText xml:space="preserve"> REF _Ref_80 \h </w:instrText>
      </w:r>
      <w:r>
        <w:fldChar w:fldCharType="separate"/>
      </w:r>
      <w:r>
        <w:t>80</w:t>
      </w:r>
      <w:r>
        <w:fldChar w:fldCharType="end"/>
      </w:r>
      <w:r>
        <w:t>]</w:t>
      </w:r>
      <w:r>
        <w:rPr>
          <w:b w:val="0"/>
          <w:i w:val="0"/>
        </w:rPr>
        <w:t>. Method variance exists, as it always does in self-report, but it is small and, as Section 4.9 shows, partialling it out moves nothing.</w:t>
      </w:r>
    </w:p>
    <w:p>
      <w:pPr>
        <w:pStyle w:val="MDPI41tablecaption"/>
        <w:keepNext/>
        <w:spacing w:after="60"/>
      </w:pPr>
      <w:r>
        <w:rPr>
          <w:b/>
          <w:sz w:val="18"/>
        </w:rPr>
        <w:t xml:space="preserve">Table 4. </w:t>
      </w:r>
      <w:r>
        <w:rPr>
          <w:b w:val="0"/>
          <w:i w:val="0"/>
          <w:sz w:val="18"/>
        </w:rPr>
        <w:t>Measurement invariance and common-method diagnostics.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143"/>
        <w:gridCol w:w="1100"/>
        <w:gridCol w:w="628"/>
        <w:gridCol w:w="942"/>
        <w:gridCol w:w="1178"/>
        <w:gridCol w:w="864"/>
      </w:tblGrid>
      <w:tr>
        <w:trPr>
          <w:cantSplit/>
          <w:tblHeader/>
        </w:trPr>
        <w:tc>
          <w:tcPr>
            <w:tcW w:type="dxa" w:w="3143"/>
            <w:tcBorders>
              <w:bottom w:val="single" w:sz="8" w:space="0" w:color="auto"/>
            </w:tcBorders>
          </w:tcPr>
          <w:p>
            <w:pPr>
              <w:pStyle w:val="MDPI42tablebody"/>
              <w:keepNext/>
              <w:spacing w:line="240" w:lineRule="auto" w:before="30" w:after="30"/>
              <w:jc w:val="center"/>
            </w:pPr>
            <w:r>
              <w:rPr>
                <w:b/>
                <w:i w:val="0"/>
                <w:sz w:val="18"/>
              </w:rPr>
              <w:t>Model</w:t>
            </w:r>
          </w:p>
        </w:tc>
        <w:tc>
          <w:tcPr>
            <w:tcW w:type="dxa" w:w="1100"/>
            <w:tcBorders>
              <w:bottom w:val="single" w:sz="8" w:space="0" w:color="auto"/>
            </w:tcBorders>
          </w:tcPr>
          <w:p>
            <w:pPr>
              <w:pStyle w:val="MDPI42tablebody"/>
              <w:keepNext/>
              <w:spacing w:line="240" w:lineRule="auto" w:before="30" w:after="30"/>
              <w:jc w:val="center"/>
            </w:pPr>
            <w:r>
              <w:rPr>
                <w:b/>
                <w:i w:val="0"/>
                <w:sz w:val="18"/>
              </w:rPr>
              <w:t>χ2</w:t>
            </w:r>
          </w:p>
        </w:tc>
        <w:tc>
          <w:tcPr>
            <w:tcW w:type="dxa" w:w="628"/>
            <w:tcBorders>
              <w:bottom w:val="single" w:sz="8" w:space="0" w:color="auto"/>
            </w:tcBorders>
          </w:tcPr>
          <w:p>
            <w:pPr>
              <w:pStyle w:val="MDPI42tablebody"/>
              <w:keepNext/>
              <w:spacing w:line="240" w:lineRule="auto" w:before="30" w:after="30"/>
              <w:jc w:val="center"/>
            </w:pPr>
            <w:r>
              <w:rPr>
                <w:b/>
                <w:i w:val="0"/>
                <w:sz w:val="18"/>
              </w:rPr>
              <w:t>df</w:t>
            </w:r>
          </w:p>
        </w:tc>
        <w:tc>
          <w:tcPr>
            <w:tcW w:type="dxa" w:w="942"/>
            <w:tcBorders>
              <w:bottom w:val="single" w:sz="8" w:space="0" w:color="auto"/>
            </w:tcBorders>
          </w:tcPr>
          <w:p>
            <w:pPr>
              <w:pStyle w:val="MDPI42tablebody"/>
              <w:keepNext/>
              <w:spacing w:line="240" w:lineRule="auto" w:before="30" w:after="30"/>
              <w:jc w:val="center"/>
            </w:pPr>
            <w:r>
              <w:rPr>
                <w:b/>
                <w:i w:val="0"/>
                <w:sz w:val="18"/>
              </w:rPr>
              <w:t>CFI</w:t>
            </w:r>
          </w:p>
        </w:tc>
        <w:tc>
          <w:tcPr>
            <w:tcW w:type="dxa" w:w="1178"/>
            <w:tcBorders>
              <w:bottom w:val="single" w:sz="8" w:space="0" w:color="auto"/>
            </w:tcBorders>
          </w:tcPr>
          <w:p>
            <w:pPr>
              <w:pStyle w:val="MDPI42tablebody"/>
              <w:keepNext/>
              <w:spacing w:line="240" w:lineRule="auto" w:before="30" w:after="30"/>
              <w:jc w:val="center"/>
            </w:pPr>
            <w:r>
              <w:rPr>
                <w:b/>
                <w:i w:val="0"/>
                <w:sz w:val="18"/>
              </w:rPr>
              <w:t>Δχ2 (Δdf)</w:t>
            </w:r>
          </w:p>
        </w:tc>
        <w:tc>
          <w:tcPr>
            <w:tcW w:type="dxa" w:w="864"/>
            <w:tcBorders>
              <w:bottom w:val="single" w:sz="8" w:space="0" w:color="auto"/>
            </w:tcBorders>
          </w:tcPr>
          <w:p>
            <w:pPr>
              <w:pStyle w:val="MDPI42tablebody"/>
              <w:keepNext/>
              <w:spacing w:line="240" w:lineRule="auto" w:before="30" w:after="30"/>
              <w:jc w:val="center"/>
            </w:pPr>
            <w:r>
              <w:rPr>
                <w:b/>
                <w:i w:val="0"/>
                <w:sz w:val="18"/>
              </w:rPr>
              <w:t>p</w:t>
            </w:r>
          </w:p>
        </w:tc>
      </w:tr>
      <w:tr>
        <w:trPr>
          <w:cantSplit/>
        </w:trPr>
        <w:tc>
          <w:tcPr>
            <w:tcW w:type="dxa" w:w="3143"/>
          </w:tcPr>
          <w:p>
            <w:pPr>
              <w:pStyle w:val="MDPI42tablebody"/>
              <w:keepNext/>
              <w:spacing w:line="240" w:lineRule="auto" w:before="30" w:after="30"/>
              <w:jc w:val="left"/>
            </w:pPr>
            <w:r>
              <w:rPr>
                <w:b w:val="0"/>
                <w:i w:val="0"/>
                <w:sz w:val="18"/>
              </w:rPr>
              <w:t>Gender: configural</w:t>
            </w:r>
          </w:p>
        </w:tc>
        <w:tc>
          <w:tcPr>
            <w:tcW w:type="dxa" w:w="1100"/>
          </w:tcPr>
          <w:p>
            <w:pPr>
              <w:pStyle w:val="MDPI42tablebody"/>
              <w:keepNext/>
              <w:spacing w:line="240" w:lineRule="auto" w:before="30" w:after="30"/>
              <w:jc w:val="center"/>
            </w:pPr>
            <w:r>
              <w:rPr>
                <w:b w:val="0"/>
                <w:i w:val="0"/>
                <w:sz w:val="18"/>
              </w:rPr>
              <w:t>519.8</w:t>
            </w:r>
          </w:p>
        </w:tc>
        <w:tc>
          <w:tcPr>
            <w:tcW w:type="dxa" w:w="628"/>
          </w:tcPr>
          <w:p>
            <w:pPr>
              <w:pStyle w:val="MDPI42tablebody"/>
              <w:keepNext/>
              <w:spacing w:line="240" w:lineRule="auto" w:before="30" w:after="30"/>
              <w:jc w:val="center"/>
            </w:pPr>
            <w:r>
              <w:rPr>
                <w:b w:val="0"/>
                <w:i w:val="0"/>
                <w:sz w:val="18"/>
              </w:rPr>
              <w:t>430</w:t>
            </w:r>
          </w:p>
        </w:tc>
        <w:tc>
          <w:tcPr>
            <w:tcW w:type="dxa" w:w="942"/>
          </w:tcPr>
          <w:p>
            <w:pPr>
              <w:pStyle w:val="MDPI42tablebody"/>
              <w:keepNext/>
              <w:spacing w:line="240" w:lineRule="auto" w:before="30" w:after="30"/>
              <w:jc w:val="center"/>
            </w:pPr>
            <w:r>
              <w:rPr>
                <w:b w:val="0"/>
                <w:i w:val="0"/>
                <w:sz w:val="18"/>
              </w:rPr>
              <w:t>0.991</w:t>
            </w:r>
          </w:p>
        </w:tc>
        <w:tc>
          <w:tcPr>
            <w:tcW w:type="dxa" w:w="1178"/>
          </w:tcPr>
          <w:p>
            <w:pPr>
              <w:pStyle w:val="MDPI42tablebody"/>
              <w:keepNext/>
              <w:spacing w:line="240" w:lineRule="auto" w:before="30" w:after="30"/>
              <w:jc w:val="center"/>
            </w:pPr>
          </w:p>
        </w:tc>
        <w:tc>
          <w:tcPr>
            <w:tcW w:type="dxa" w:w="864"/>
          </w:tcPr>
          <w:p>
            <w:pPr>
              <w:pStyle w:val="MDPI42tablebody"/>
              <w:keepNext/>
              <w:spacing w:line="240" w:lineRule="auto" w:before="30" w:after="30"/>
              <w:jc w:val="center"/>
            </w:pPr>
          </w:p>
        </w:tc>
      </w:tr>
      <w:tr>
        <w:trPr>
          <w:cantSplit/>
        </w:trPr>
        <w:tc>
          <w:tcPr>
            <w:tcW w:type="dxa" w:w="3143"/>
          </w:tcPr>
          <w:p>
            <w:pPr>
              <w:pStyle w:val="MDPI42tablebody"/>
              <w:keepNext/>
              <w:spacing w:line="240" w:lineRule="auto" w:before="30" w:after="30"/>
              <w:jc w:val="left"/>
            </w:pPr>
            <w:r>
              <w:rPr>
                <w:b w:val="0"/>
                <w:i w:val="0"/>
                <w:sz w:val="18"/>
              </w:rPr>
              <w:t>Gender: metric</w:t>
            </w:r>
          </w:p>
        </w:tc>
        <w:tc>
          <w:tcPr>
            <w:tcW w:type="dxa" w:w="1100"/>
          </w:tcPr>
          <w:p>
            <w:pPr>
              <w:pStyle w:val="MDPI42tablebody"/>
              <w:keepNext/>
              <w:spacing w:line="240" w:lineRule="auto" w:before="30" w:after="30"/>
              <w:jc w:val="center"/>
            </w:pPr>
            <w:r>
              <w:rPr>
                <w:b w:val="0"/>
                <w:i w:val="0"/>
                <w:sz w:val="18"/>
              </w:rPr>
              <w:t>541.4</w:t>
            </w:r>
          </w:p>
        </w:tc>
        <w:tc>
          <w:tcPr>
            <w:tcW w:type="dxa" w:w="628"/>
          </w:tcPr>
          <w:p>
            <w:pPr>
              <w:pStyle w:val="MDPI42tablebody"/>
              <w:keepNext/>
              <w:spacing w:line="240" w:lineRule="auto" w:before="30" w:after="30"/>
              <w:jc w:val="center"/>
            </w:pPr>
            <w:r>
              <w:rPr>
                <w:b w:val="0"/>
                <w:i w:val="0"/>
                <w:sz w:val="18"/>
              </w:rPr>
              <w:t>453</w:t>
            </w:r>
          </w:p>
        </w:tc>
        <w:tc>
          <w:tcPr>
            <w:tcW w:type="dxa" w:w="942"/>
          </w:tcPr>
          <w:p>
            <w:pPr>
              <w:pStyle w:val="MDPI42tablebody"/>
              <w:keepNext/>
              <w:spacing w:line="240" w:lineRule="auto" w:before="30" w:after="30"/>
              <w:jc w:val="center"/>
            </w:pPr>
            <w:r>
              <w:rPr>
                <w:b w:val="0"/>
                <w:i w:val="0"/>
                <w:sz w:val="18"/>
              </w:rPr>
              <w:t>0.991</w:t>
            </w:r>
          </w:p>
        </w:tc>
        <w:tc>
          <w:tcPr>
            <w:tcW w:type="dxa" w:w="1178"/>
          </w:tcPr>
          <w:p>
            <w:pPr>
              <w:pStyle w:val="MDPI42tablebody"/>
              <w:keepNext/>
              <w:spacing w:line="240" w:lineRule="auto" w:before="30" w:after="30"/>
              <w:jc w:val="center"/>
            </w:pPr>
            <w:r>
              <w:rPr>
                <w:b w:val="0"/>
                <w:i w:val="0"/>
                <w:sz w:val="18"/>
              </w:rPr>
              <w:t>21.6 (23)</w:t>
            </w:r>
          </w:p>
        </w:tc>
        <w:tc>
          <w:tcPr>
            <w:tcW w:type="dxa" w:w="864"/>
          </w:tcPr>
          <w:p>
            <w:pPr>
              <w:pStyle w:val="MDPI42tablebody"/>
              <w:keepNext/>
              <w:spacing w:line="240" w:lineRule="auto" w:before="30" w:after="30"/>
              <w:jc w:val="center"/>
            </w:pPr>
            <w:r>
              <w:rPr>
                <w:b w:val="0"/>
                <w:i w:val="0"/>
                <w:sz w:val="18"/>
              </w:rPr>
              <w:t>0.543</w:t>
            </w:r>
          </w:p>
        </w:tc>
      </w:tr>
      <w:tr>
        <w:trPr>
          <w:cantSplit/>
        </w:trPr>
        <w:tc>
          <w:tcPr>
            <w:tcW w:type="dxa" w:w="3143"/>
          </w:tcPr>
          <w:p>
            <w:pPr>
              <w:pStyle w:val="MDPI42tablebody"/>
              <w:keepNext/>
              <w:spacing w:line="240" w:lineRule="auto" w:before="30" w:after="30"/>
              <w:jc w:val="left"/>
            </w:pPr>
            <w:r>
              <w:rPr>
                <w:b w:val="0"/>
                <w:i w:val="0"/>
                <w:sz w:val="18"/>
              </w:rPr>
              <w:t>Major: configural</w:t>
            </w:r>
          </w:p>
        </w:tc>
        <w:tc>
          <w:tcPr>
            <w:tcW w:type="dxa" w:w="1100"/>
          </w:tcPr>
          <w:p>
            <w:pPr>
              <w:pStyle w:val="MDPI42tablebody"/>
              <w:keepNext/>
              <w:spacing w:line="240" w:lineRule="auto" w:before="30" w:after="30"/>
              <w:jc w:val="center"/>
            </w:pPr>
            <w:r>
              <w:rPr>
                <w:b w:val="0"/>
                <w:i w:val="0"/>
                <w:sz w:val="18"/>
              </w:rPr>
              <w:t>508.4</w:t>
            </w:r>
          </w:p>
        </w:tc>
        <w:tc>
          <w:tcPr>
            <w:tcW w:type="dxa" w:w="628"/>
          </w:tcPr>
          <w:p>
            <w:pPr>
              <w:pStyle w:val="MDPI42tablebody"/>
              <w:keepNext/>
              <w:spacing w:line="240" w:lineRule="auto" w:before="30" w:after="30"/>
              <w:jc w:val="center"/>
            </w:pPr>
            <w:r>
              <w:rPr>
                <w:b w:val="0"/>
                <w:i w:val="0"/>
                <w:sz w:val="18"/>
              </w:rPr>
              <w:t>430</w:t>
            </w:r>
          </w:p>
        </w:tc>
        <w:tc>
          <w:tcPr>
            <w:tcW w:type="dxa" w:w="942"/>
          </w:tcPr>
          <w:p>
            <w:pPr>
              <w:pStyle w:val="MDPI42tablebody"/>
              <w:keepNext/>
              <w:spacing w:line="240" w:lineRule="auto" w:before="30" w:after="30"/>
              <w:jc w:val="center"/>
            </w:pPr>
            <w:r>
              <w:rPr>
                <w:b w:val="0"/>
                <w:i w:val="0"/>
                <w:sz w:val="18"/>
              </w:rPr>
              <w:t>0.992</w:t>
            </w:r>
          </w:p>
        </w:tc>
        <w:tc>
          <w:tcPr>
            <w:tcW w:type="dxa" w:w="1178"/>
          </w:tcPr>
          <w:p>
            <w:pPr>
              <w:pStyle w:val="MDPI42tablebody"/>
              <w:keepNext/>
              <w:spacing w:line="240" w:lineRule="auto" w:before="30" w:after="30"/>
              <w:jc w:val="center"/>
            </w:pPr>
          </w:p>
        </w:tc>
        <w:tc>
          <w:tcPr>
            <w:tcW w:type="dxa" w:w="864"/>
          </w:tcPr>
          <w:p>
            <w:pPr>
              <w:pStyle w:val="MDPI42tablebody"/>
              <w:keepNext/>
              <w:spacing w:line="240" w:lineRule="auto" w:before="30" w:after="30"/>
              <w:jc w:val="center"/>
            </w:pPr>
          </w:p>
        </w:tc>
      </w:tr>
      <w:tr>
        <w:trPr>
          <w:cantSplit/>
        </w:trPr>
        <w:tc>
          <w:tcPr>
            <w:tcW w:type="dxa" w:w="3143"/>
          </w:tcPr>
          <w:p>
            <w:pPr>
              <w:pStyle w:val="MDPI42tablebody"/>
              <w:keepNext/>
              <w:spacing w:line="240" w:lineRule="auto" w:before="30" w:after="30"/>
              <w:jc w:val="left"/>
            </w:pPr>
            <w:r>
              <w:rPr>
                <w:b w:val="0"/>
                <w:i w:val="0"/>
                <w:sz w:val="18"/>
              </w:rPr>
              <w:t>Major: metric</w:t>
            </w:r>
          </w:p>
        </w:tc>
        <w:tc>
          <w:tcPr>
            <w:tcW w:type="dxa" w:w="1100"/>
          </w:tcPr>
          <w:p>
            <w:pPr>
              <w:pStyle w:val="MDPI42tablebody"/>
              <w:keepNext/>
              <w:spacing w:line="240" w:lineRule="auto" w:before="30" w:after="30"/>
              <w:jc w:val="center"/>
            </w:pPr>
            <w:r>
              <w:rPr>
                <w:b w:val="0"/>
                <w:i w:val="0"/>
                <w:sz w:val="18"/>
              </w:rPr>
              <w:t>530.0</w:t>
            </w:r>
          </w:p>
        </w:tc>
        <w:tc>
          <w:tcPr>
            <w:tcW w:type="dxa" w:w="628"/>
          </w:tcPr>
          <w:p>
            <w:pPr>
              <w:pStyle w:val="MDPI42tablebody"/>
              <w:keepNext/>
              <w:spacing w:line="240" w:lineRule="auto" w:before="30" w:after="30"/>
              <w:jc w:val="center"/>
            </w:pPr>
            <w:r>
              <w:rPr>
                <w:b w:val="0"/>
                <w:i w:val="0"/>
                <w:sz w:val="18"/>
              </w:rPr>
              <w:t>453</w:t>
            </w:r>
          </w:p>
        </w:tc>
        <w:tc>
          <w:tcPr>
            <w:tcW w:type="dxa" w:w="942"/>
          </w:tcPr>
          <w:p>
            <w:pPr>
              <w:pStyle w:val="MDPI42tablebody"/>
              <w:keepNext/>
              <w:spacing w:line="240" w:lineRule="auto" w:before="30" w:after="30"/>
              <w:jc w:val="center"/>
            </w:pPr>
            <w:r>
              <w:rPr>
                <w:b w:val="0"/>
                <w:i w:val="0"/>
                <w:sz w:val="18"/>
              </w:rPr>
              <w:t>0.992</w:t>
            </w:r>
          </w:p>
        </w:tc>
        <w:tc>
          <w:tcPr>
            <w:tcW w:type="dxa" w:w="1178"/>
          </w:tcPr>
          <w:p>
            <w:pPr>
              <w:pStyle w:val="MDPI42tablebody"/>
              <w:keepNext/>
              <w:spacing w:line="240" w:lineRule="auto" w:before="30" w:after="30"/>
              <w:jc w:val="center"/>
            </w:pPr>
            <w:r>
              <w:rPr>
                <w:b w:val="0"/>
                <w:i w:val="0"/>
                <w:sz w:val="18"/>
              </w:rPr>
              <w:t>21.6 (23)</w:t>
            </w:r>
          </w:p>
        </w:tc>
        <w:tc>
          <w:tcPr>
            <w:tcW w:type="dxa" w:w="864"/>
          </w:tcPr>
          <w:p>
            <w:pPr>
              <w:pStyle w:val="MDPI42tablebody"/>
              <w:keepNext/>
              <w:spacing w:line="240" w:lineRule="auto" w:before="30" w:after="30"/>
              <w:jc w:val="center"/>
            </w:pPr>
            <w:r>
              <w:rPr>
                <w:b w:val="0"/>
                <w:i w:val="0"/>
                <w:sz w:val="18"/>
              </w:rPr>
              <w:t>0.545</w:t>
            </w:r>
          </w:p>
        </w:tc>
      </w:tr>
      <w:tr>
        <w:trPr>
          <w:cantSplit/>
        </w:trPr>
        <w:tc>
          <w:tcPr>
            <w:tcW w:type="dxa" w:w="3143"/>
          </w:tcPr>
          <w:p>
            <w:pPr>
              <w:pStyle w:val="MDPI42tablebody"/>
              <w:keepNext/>
              <w:spacing w:line="240" w:lineRule="auto" w:before="30" w:after="30"/>
              <w:jc w:val="left"/>
            </w:pPr>
            <w:r>
              <w:rPr>
                <w:b w:val="0"/>
                <w:i w:val="0"/>
                <w:sz w:val="18"/>
              </w:rPr>
              <w:t>Harman single factor: first-factor share (%)</w:t>
            </w:r>
          </w:p>
        </w:tc>
        <w:tc>
          <w:tcPr>
            <w:tcW w:type="dxa" w:w="1100"/>
          </w:tcPr>
          <w:p>
            <w:pPr>
              <w:pStyle w:val="MDPI42tablebody"/>
              <w:keepNext/>
              <w:spacing w:line="240" w:lineRule="auto" w:before="30" w:after="30"/>
              <w:jc w:val="center"/>
            </w:pPr>
            <w:r>
              <w:rPr>
                <w:b w:val="0"/>
                <w:i w:val="0"/>
                <w:sz w:val="18"/>
              </w:rPr>
              <w:t>22.4</w:t>
            </w:r>
          </w:p>
        </w:tc>
        <w:tc>
          <w:tcPr>
            <w:tcW w:type="dxa" w:w="628"/>
          </w:tcPr>
          <w:p>
            <w:pPr>
              <w:pStyle w:val="MDPI42tablebody"/>
              <w:keepNext/>
              <w:spacing w:line="240" w:lineRule="auto" w:before="30" w:after="30"/>
              <w:jc w:val="center"/>
            </w:pPr>
          </w:p>
        </w:tc>
        <w:tc>
          <w:tcPr>
            <w:tcW w:type="dxa" w:w="942"/>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864"/>
          </w:tcPr>
          <w:p>
            <w:pPr>
              <w:pStyle w:val="MDPI42tablebody"/>
              <w:keepNext/>
              <w:spacing w:line="240" w:lineRule="auto" w:before="30" w:after="30"/>
              <w:jc w:val="center"/>
            </w:pPr>
          </w:p>
        </w:tc>
      </w:tr>
      <w:tr>
        <w:trPr>
          <w:cantSplit/>
        </w:trPr>
        <w:tc>
          <w:tcPr>
            <w:tcW w:type="dxa" w:w="3143"/>
          </w:tcPr>
          <w:p>
            <w:pPr>
              <w:pStyle w:val="MDPI42tablebody"/>
              <w:keepNext/>
              <w:spacing w:line="240" w:lineRule="auto" w:before="30" w:after="30"/>
              <w:jc w:val="left"/>
            </w:pPr>
            <w:r>
              <w:rPr>
                <w:b w:val="0"/>
                <w:i w:val="0"/>
                <w:sz w:val="18"/>
              </w:rPr>
              <w:t>Method factor: variance share (%)</w:t>
            </w:r>
          </w:p>
        </w:tc>
        <w:tc>
          <w:tcPr>
            <w:tcW w:type="dxa" w:w="1100"/>
          </w:tcPr>
          <w:p>
            <w:pPr>
              <w:pStyle w:val="MDPI42tablebody"/>
              <w:keepNext/>
              <w:spacing w:line="240" w:lineRule="auto" w:before="30" w:after="30"/>
              <w:jc w:val="center"/>
            </w:pPr>
            <w:r>
              <w:rPr>
                <w:b w:val="0"/>
                <w:i w:val="0"/>
                <w:sz w:val="18"/>
              </w:rPr>
              <w:t>13.1</w:t>
            </w:r>
          </w:p>
        </w:tc>
        <w:tc>
          <w:tcPr>
            <w:tcW w:type="dxa" w:w="628"/>
          </w:tcPr>
          <w:p>
            <w:pPr>
              <w:pStyle w:val="MDPI42tablebody"/>
              <w:keepNext/>
              <w:spacing w:line="240" w:lineRule="auto" w:before="30" w:after="30"/>
              <w:jc w:val="center"/>
            </w:pPr>
          </w:p>
        </w:tc>
        <w:tc>
          <w:tcPr>
            <w:tcW w:type="dxa" w:w="942"/>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864"/>
          </w:tcPr>
          <w:p>
            <w:pPr>
              <w:pStyle w:val="MDPI42tablebody"/>
              <w:keepNext/>
              <w:spacing w:line="240" w:lineRule="auto" w:before="30" w:after="30"/>
              <w:jc w:val="center"/>
            </w:pPr>
          </w:p>
        </w:tc>
      </w:tr>
    </w:tbl>
    <w:p>
      <w:pPr>
        <w:pStyle w:val="MDPI43tablefooter"/>
        <w:spacing w:line="240" w:lineRule="auto" w:before="40" w:after="200"/>
        <w:ind w:left="2608" w:firstLine="0"/>
      </w:pPr>
      <w:r>
        <w:rPr>
          <w:sz w:val="16"/>
        </w:rPr>
        <w:t xml:space="preserve">Note: </w:t>
      </w:r>
      <w:r>
        <w:rPr>
          <w:b w:val="0"/>
          <w:i w:val="0"/>
          <w:sz w:val="16"/>
        </w:rPr>
        <w:t>Configural and metric two-group models estimated by maximum likelihood; the metric model constrains loadings to equality across groups. The Harman row reports the share of item variance carried by the first principal component; the method-factor row reports the variance share of an equal-loading unmeasured method factor added to the measurement model. Source: authors’ own calculations.</w:t>
      </w:r>
    </w:p>
    <w:p>
      <w:pPr>
        <w:pStyle w:val="MDPI22heading2"/>
      </w:pPr>
      <w:r>
        <w:t>4.2. Descriptive Statistics</w:t>
      </w:r>
    </w:p>
    <w:p>
      <w:pPr>
        <w:pStyle w:val="MDPI32textnoindent"/>
      </w:pPr>
      <w:r>
        <w:rPr>
          <w:b w:val="0"/>
          <w:i w:val="0"/>
        </w:rPr>
        <w:t>Table 5 reports means, standard deviations and correlations of the factor scores and exposure. The raw correlations already carry the paper’s outline: depreciation with anxiety at 0.480, exposure with depreciation at 0.492, and anxiety with adaptation at only 0.144 — the small linear correlation that an inverted U leaves behind when the two arms cancel. No pairwise correlation approaches the level at which collinearity would trouble the structural estimates.</w:t>
      </w:r>
    </w:p>
    <w:p>
      <w:pPr>
        <w:pStyle w:val="MDPI41tablecaption"/>
        <w:keepNext/>
        <w:spacing w:after="60"/>
      </w:pPr>
      <w:r>
        <w:rPr>
          <w:b/>
          <w:sz w:val="18"/>
        </w:rPr>
        <w:t xml:space="preserve">Table 5. </w:t>
      </w:r>
      <w:r>
        <w:rPr>
          <w:b w:val="0"/>
          <w:i w:val="0"/>
          <w:sz w:val="18"/>
        </w:rPr>
        <w:t>Descriptive statistics and correlations of the factor scores.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025"/>
        <w:gridCol w:w="788"/>
        <w:gridCol w:w="631"/>
        <w:gridCol w:w="773"/>
        <w:gridCol w:w="773"/>
        <w:gridCol w:w="773"/>
        <w:gridCol w:w="773"/>
        <w:gridCol w:w="773"/>
        <w:gridCol w:w="773"/>
        <w:gridCol w:w="773"/>
      </w:tblGrid>
      <w:tr>
        <w:trPr>
          <w:cantSplit/>
          <w:tblHeader/>
        </w:trPr>
        <w:tc>
          <w:tcPr>
            <w:tcW w:type="dxa" w:w="1025"/>
            <w:tcBorders>
              <w:bottom w:val="single" w:sz="8" w:space="0" w:color="auto"/>
            </w:tcBorders>
          </w:tcPr>
          <w:p>
            <w:pPr>
              <w:pStyle w:val="MDPI42tablebody"/>
              <w:keepNext/>
              <w:spacing w:line="240" w:lineRule="auto" w:before="30" w:after="30"/>
              <w:jc w:val="center"/>
            </w:pPr>
            <w:r>
              <w:rPr>
                <w:b/>
                <w:i w:val="0"/>
                <w:sz w:val="15"/>
              </w:rPr>
              <w:t>Variable</w:t>
            </w:r>
          </w:p>
        </w:tc>
        <w:tc>
          <w:tcPr>
            <w:tcW w:type="dxa" w:w="788"/>
            <w:tcBorders>
              <w:bottom w:val="single" w:sz="8" w:space="0" w:color="auto"/>
            </w:tcBorders>
          </w:tcPr>
          <w:p>
            <w:pPr>
              <w:pStyle w:val="MDPI42tablebody"/>
              <w:keepNext/>
              <w:spacing w:line="240" w:lineRule="auto" w:before="30" w:after="30"/>
              <w:jc w:val="center"/>
            </w:pPr>
            <w:r>
              <w:rPr>
                <w:b/>
                <w:i w:val="0"/>
                <w:sz w:val="15"/>
              </w:rPr>
              <w:t>Mean</w:t>
            </w:r>
          </w:p>
        </w:tc>
        <w:tc>
          <w:tcPr>
            <w:tcW w:type="dxa" w:w="631"/>
            <w:tcBorders>
              <w:bottom w:val="single" w:sz="8" w:space="0" w:color="auto"/>
            </w:tcBorders>
          </w:tcPr>
          <w:p>
            <w:pPr>
              <w:pStyle w:val="MDPI42tablebody"/>
              <w:keepNext/>
              <w:spacing w:line="240" w:lineRule="auto" w:before="30" w:after="30"/>
              <w:jc w:val="center"/>
            </w:pPr>
            <w:r>
              <w:rPr>
                <w:b/>
                <w:i w:val="0"/>
                <w:sz w:val="15"/>
              </w:rPr>
              <w:t>SD</w:t>
            </w:r>
          </w:p>
        </w:tc>
        <w:tc>
          <w:tcPr>
            <w:tcW w:type="dxa" w:w="773"/>
            <w:tcBorders>
              <w:bottom w:val="single" w:sz="8" w:space="0" w:color="auto"/>
            </w:tcBorders>
          </w:tcPr>
          <w:p>
            <w:pPr>
              <w:pStyle w:val="MDPI42tablebody"/>
              <w:keepNext/>
              <w:spacing w:line="240" w:lineRule="auto" w:before="30" w:after="30"/>
              <w:jc w:val="center"/>
            </w:pPr>
            <w:r>
              <w:rPr>
                <w:b/>
                <w:i w:val="0"/>
                <w:sz w:val="15"/>
              </w:rPr>
              <w:t>PHCD</w:t>
            </w:r>
          </w:p>
        </w:tc>
        <w:tc>
          <w:tcPr>
            <w:tcW w:type="dxa" w:w="773"/>
            <w:tcBorders>
              <w:bottom w:val="single" w:sz="8" w:space="0" w:color="auto"/>
            </w:tcBorders>
          </w:tcPr>
          <w:p>
            <w:pPr>
              <w:pStyle w:val="MDPI42tablebody"/>
              <w:keepNext/>
              <w:spacing w:line="240" w:lineRule="auto" w:before="30" w:after="30"/>
              <w:jc w:val="center"/>
            </w:pPr>
            <w:r>
              <w:rPr>
                <w:b/>
                <w:i w:val="0"/>
                <w:sz w:val="15"/>
              </w:rPr>
              <w:t>ANX</w:t>
            </w:r>
          </w:p>
        </w:tc>
        <w:tc>
          <w:tcPr>
            <w:tcW w:type="dxa" w:w="773"/>
            <w:tcBorders>
              <w:bottom w:val="single" w:sz="8" w:space="0" w:color="auto"/>
            </w:tcBorders>
          </w:tcPr>
          <w:p>
            <w:pPr>
              <w:pStyle w:val="MDPI42tablebody"/>
              <w:keepNext/>
              <w:spacing w:line="240" w:lineRule="auto" w:before="30" w:after="30"/>
              <w:jc w:val="center"/>
            </w:pPr>
            <w:r>
              <w:rPr>
                <w:b/>
                <w:i w:val="0"/>
                <w:sz w:val="15"/>
              </w:rPr>
              <w:t>LIT</w:t>
            </w:r>
          </w:p>
        </w:tc>
        <w:tc>
          <w:tcPr>
            <w:tcW w:type="dxa" w:w="773"/>
            <w:tcBorders>
              <w:bottom w:val="single" w:sz="8" w:space="0" w:color="auto"/>
            </w:tcBorders>
          </w:tcPr>
          <w:p>
            <w:pPr>
              <w:pStyle w:val="MDPI42tablebody"/>
              <w:keepNext/>
              <w:spacing w:line="240" w:lineRule="auto" w:before="30" w:after="30"/>
              <w:jc w:val="center"/>
            </w:pPr>
            <w:r>
              <w:rPr>
                <w:b/>
                <w:i w:val="0"/>
                <w:sz w:val="15"/>
              </w:rPr>
              <w:t>SUP</w:t>
            </w:r>
          </w:p>
        </w:tc>
        <w:tc>
          <w:tcPr>
            <w:tcW w:type="dxa" w:w="773"/>
            <w:tcBorders>
              <w:bottom w:val="single" w:sz="8" w:space="0" w:color="auto"/>
            </w:tcBorders>
          </w:tcPr>
          <w:p>
            <w:pPr>
              <w:pStyle w:val="MDPI42tablebody"/>
              <w:keepNext/>
              <w:spacing w:line="240" w:lineRule="auto" w:before="30" w:after="30"/>
              <w:jc w:val="center"/>
            </w:pPr>
            <w:r>
              <w:rPr>
                <w:b/>
                <w:i w:val="0"/>
                <w:sz w:val="15"/>
              </w:rPr>
              <w:t>ADP</w:t>
            </w:r>
          </w:p>
        </w:tc>
        <w:tc>
          <w:tcPr>
            <w:tcW w:type="dxa" w:w="773"/>
            <w:tcBorders>
              <w:bottom w:val="single" w:sz="8" w:space="0" w:color="auto"/>
            </w:tcBorders>
          </w:tcPr>
          <w:p>
            <w:pPr>
              <w:pStyle w:val="MDPI42tablebody"/>
              <w:keepNext/>
              <w:spacing w:line="240" w:lineRule="auto" w:before="30" w:after="30"/>
              <w:jc w:val="center"/>
            </w:pPr>
            <w:r>
              <w:rPr>
                <w:b/>
                <w:i w:val="0"/>
                <w:sz w:val="15"/>
              </w:rPr>
              <w:t>AVD</w:t>
            </w:r>
          </w:p>
        </w:tc>
        <w:tc>
          <w:tcPr>
            <w:tcW w:type="dxa" w:w="773"/>
            <w:tcBorders>
              <w:bottom w:val="single" w:sz="8" w:space="0" w:color="auto"/>
            </w:tcBorders>
          </w:tcPr>
          <w:p>
            <w:pPr>
              <w:pStyle w:val="MDPI42tablebody"/>
              <w:keepNext/>
              <w:spacing w:line="240" w:lineRule="auto" w:before="30" w:after="30"/>
              <w:jc w:val="center"/>
            </w:pPr>
            <w:r>
              <w:rPr>
                <w:b/>
                <w:i w:val="0"/>
                <w:sz w:val="15"/>
              </w:rPr>
              <w:t>EXPO</w:t>
            </w:r>
          </w:p>
        </w:tc>
      </w:tr>
      <w:tr>
        <w:trPr>
          <w:cantSplit/>
        </w:trPr>
        <w:tc>
          <w:tcPr>
            <w:tcW w:type="dxa" w:w="1025"/>
          </w:tcPr>
          <w:p>
            <w:pPr>
              <w:pStyle w:val="MDPI42tablebody"/>
              <w:keepNext/>
              <w:spacing w:line="240" w:lineRule="auto" w:before="30" w:after="30"/>
              <w:jc w:val="left"/>
            </w:pPr>
            <w:r>
              <w:rPr>
                <w:b w:val="0"/>
                <w:i/>
                <w:sz w:val="15"/>
              </w:rPr>
              <w:t>PHCD</w:t>
            </w:r>
          </w:p>
        </w:tc>
        <w:tc>
          <w:tcPr>
            <w:tcW w:type="dxa" w:w="788"/>
          </w:tcPr>
          <w:p>
            <w:pPr>
              <w:pStyle w:val="MDPI42tablebody"/>
              <w:keepNext/>
              <w:spacing w:line="240" w:lineRule="auto" w:before="30" w:after="30"/>
              <w:jc w:val="center"/>
            </w:pPr>
            <w:r>
              <w:rPr>
                <w:b w:val="0"/>
                <w:i w:val="0"/>
                <w:sz w:val="15"/>
              </w:rPr>
              <w:t>0.000</w:t>
            </w:r>
          </w:p>
        </w:tc>
        <w:tc>
          <w:tcPr>
            <w:tcW w:type="dxa" w:w="631"/>
          </w:tcPr>
          <w:p>
            <w:pPr>
              <w:pStyle w:val="MDPI42tablebody"/>
              <w:keepNext/>
              <w:spacing w:line="240" w:lineRule="auto" w:before="30" w:after="30"/>
              <w:jc w:val="center"/>
            </w:pPr>
            <w:r>
              <w:rPr>
                <w:b w:val="0"/>
                <w:i w:val="0"/>
                <w:sz w:val="15"/>
              </w:rPr>
              <w:t>1.000</w:t>
            </w:r>
          </w:p>
        </w:tc>
        <w:tc>
          <w:tcPr>
            <w:tcW w:type="dxa" w:w="773"/>
          </w:tcPr>
          <w:p>
            <w:pPr>
              <w:pStyle w:val="MDPI42tablebody"/>
              <w:keepNext/>
              <w:spacing w:line="240" w:lineRule="auto" w:before="30" w:after="30"/>
              <w:jc w:val="center"/>
            </w:pPr>
            <w:r>
              <w:rPr>
                <w:b w:val="0"/>
                <w:i w:val="0"/>
                <w:sz w:val="15"/>
              </w:rPr>
              <w:t>1.000</w:t>
            </w:r>
          </w:p>
        </w:tc>
        <w:tc>
          <w:tcPr>
            <w:tcW w:type="dxa" w:w="773"/>
          </w:tcPr>
          <w:p>
            <w:pPr>
              <w:pStyle w:val="MDPI42tablebody"/>
              <w:keepNext/>
              <w:spacing w:line="240" w:lineRule="auto" w:before="30" w:after="30"/>
              <w:jc w:val="center"/>
            </w:pPr>
          </w:p>
        </w:tc>
        <w:tc>
          <w:tcPr>
            <w:tcW w:type="dxa" w:w="773"/>
          </w:tcPr>
          <w:p>
            <w:pPr>
              <w:pStyle w:val="MDPI42tablebody"/>
              <w:keepNext/>
              <w:spacing w:line="240" w:lineRule="auto" w:before="30" w:after="30"/>
              <w:jc w:val="center"/>
            </w:pPr>
          </w:p>
        </w:tc>
        <w:tc>
          <w:tcPr>
            <w:tcW w:type="dxa" w:w="773"/>
          </w:tcPr>
          <w:p>
            <w:pPr>
              <w:pStyle w:val="MDPI42tablebody"/>
              <w:keepNext/>
              <w:spacing w:line="240" w:lineRule="auto" w:before="30" w:after="30"/>
              <w:jc w:val="center"/>
            </w:pPr>
          </w:p>
        </w:tc>
        <w:tc>
          <w:tcPr>
            <w:tcW w:type="dxa" w:w="773"/>
          </w:tcPr>
          <w:p>
            <w:pPr>
              <w:pStyle w:val="MDPI42tablebody"/>
              <w:keepNext/>
              <w:spacing w:line="240" w:lineRule="auto" w:before="30" w:after="30"/>
              <w:jc w:val="center"/>
            </w:pPr>
          </w:p>
        </w:tc>
        <w:tc>
          <w:tcPr>
            <w:tcW w:type="dxa" w:w="773"/>
          </w:tcPr>
          <w:p>
            <w:pPr>
              <w:pStyle w:val="MDPI42tablebody"/>
              <w:keepNext/>
              <w:spacing w:line="240" w:lineRule="auto" w:before="30" w:after="30"/>
              <w:jc w:val="center"/>
            </w:pPr>
          </w:p>
        </w:tc>
        <w:tc>
          <w:tcPr>
            <w:tcW w:type="dxa" w:w="773"/>
          </w:tcPr>
          <w:p>
            <w:pPr>
              <w:pStyle w:val="MDPI42tablebody"/>
              <w:keepNext/>
              <w:spacing w:line="240" w:lineRule="auto" w:before="30" w:after="30"/>
              <w:jc w:val="center"/>
            </w:pPr>
          </w:p>
        </w:tc>
      </w:tr>
      <w:tr>
        <w:trPr>
          <w:cantSplit/>
        </w:trPr>
        <w:tc>
          <w:tcPr>
            <w:tcW w:type="dxa" w:w="1025"/>
          </w:tcPr>
          <w:p>
            <w:pPr>
              <w:pStyle w:val="MDPI42tablebody"/>
              <w:keepNext/>
              <w:spacing w:line="240" w:lineRule="auto" w:before="30" w:after="30"/>
              <w:jc w:val="left"/>
            </w:pPr>
            <w:r>
              <w:rPr>
                <w:b w:val="0"/>
                <w:i/>
                <w:sz w:val="15"/>
              </w:rPr>
              <w:t>ANX</w:t>
            </w:r>
          </w:p>
        </w:tc>
        <w:tc>
          <w:tcPr>
            <w:tcW w:type="dxa" w:w="788"/>
          </w:tcPr>
          <w:p>
            <w:pPr>
              <w:pStyle w:val="MDPI42tablebody"/>
              <w:keepNext/>
              <w:spacing w:line="240" w:lineRule="auto" w:before="30" w:after="30"/>
              <w:jc w:val="center"/>
            </w:pPr>
            <w:r>
              <w:rPr>
                <w:b w:val="0"/>
                <w:i w:val="0"/>
                <w:sz w:val="15"/>
              </w:rPr>
              <w:t>0.000</w:t>
            </w:r>
          </w:p>
        </w:tc>
        <w:tc>
          <w:tcPr>
            <w:tcW w:type="dxa" w:w="631"/>
          </w:tcPr>
          <w:p>
            <w:pPr>
              <w:pStyle w:val="MDPI42tablebody"/>
              <w:keepNext/>
              <w:spacing w:line="240" w:lineRule="auto" w:before="30" w:after="30"/>
              <w:jc w:val="center"/>
            </w:pPr>
            <w:r>
              <w:rPr>
                <w:b w:val="0"/>
                <w:i w:val="0"/>
                <w:sz w:val="15"/>
              </w:rPr>
              <w:t>1.000</w:t>
            </w:r>
          </w:p>
        </w:tc>
        <w:tc>
          <w:tcPr>
            <w:tcW w:type="dxa" w:w="773"/>
          </w:tcPr>
          <w:p>
            <w:pPr>
              <w:pStyle w:val="MDPI42tablebody"/>
              <w:keepNext/>
              <w:spacing w:line="240" w:lineRule="auto" w:before="30" w:after="30"/>
              <w:jc w:val="center"/>
            </w:pPr>
            <w:r>
              <w:rPr>
                <w:b w:val="0"/>
                <w:i w:val="0"/>
                <w:sz w:val="15"/>
              </w:rPr>
              <w:t>0.480</w:t>
            </w:r>
          </w:p>
        </w:tc>
        <w:tc>
          <w:tcPr>
            <w:tcW w:type="dxa" w:w="773"/>
          </w:tcPr>
          <w:p>
            <w:pPr>
              <w:pStyle w:val="MDPI42tablebody"/>
              <w:keepNext/>
              <w:spacing w:line="240" w:lineRule="auto" w:before="30" w:after="30"/>
              <w:jc w:val="center"/>
            </w:pPr>
            <w:r>
              <w:rPr>
                <w:b w:val="0"/>
                <w:i w:val="0"/>
                <w:sz w:val="15"/>
              </w:rPr>
              <w:t>1.000</w:t>
            </w:r>
          </w:p>
        </w:tc>
        <w:tc>
          <w:tcPr>
            <w:tcW w:type="dxa" w:w="773"/>
          </w:tcPr>
          <w:p>
            <w:pPr>
              <w:pStyle w:val="MDPI42tablebody"/>
              <w:keepNext/>
              <w:spacing w:line="240" w:lineRule="auto" w:before="30" w:after="30"/>
              <w:jc w:val="center"/>
            </w:pPr>
          </w:p>
        </w:tc>
        <w:tc>
          <w:tcPr>
            <w:tcW w:type="dxa" w:w="773"/>
          </w:tcPr>
          <w:p>
            <w:pPr>
              <w:pStyle w:val="MDPI42tablebody"/>
              <w:keepNext/>
              <w:spacing w:line="240" w:lineRule="auto" w:before="30" w:after="30"/>
              <w:jc w:val="center"/>
            </w:pPr>
          </w:p>
        </w:tc>
        <w:tc>
          <w:tcPr>
            <w:tcW w:type="dxa" w:w="773"/>
          </w:tcPr>
          <w:p>
            <w:pPr>
              <w:pStyle w:val="MDPI42tablebody"/>
              <w:keepNext/>
              <w:spacing w:line="240" w:lineRule="auto" w:before="30" w:after="30"/>
              <w:jc w:val="center"/>
            </w:pPr>
          </w:p>
        </w:tc>
        <w:tc>
          <w:tcPr>
            <w:tcW w:type="dxa" w:w="773"/>
          </w:tcPr>
          <w:p>
            <w:pPr>
              <w:pStyle w:val="MDPI42tablebody"/>
              <w:keepNext/>
              <w:spacing w:line="240" w:lineRule="auto" w:before="30" w:after="30"/>
              <w:jc w:val="center"/>
            </w:pPr>
          </w:p>
        </w:tc>
        <w:tc>
          <w:tcPr>
            <w:tcW w:type="dxa" w:w="773"/>
          </w:tcPr>
          <w:p>
            <w:pPr>
              <w:pStyle w:val="MDPI42tablebody"/>
              <w:keepNext/>
              <w:spacing w:line="240" w:lineRule="auto" w:before="30" w:after="30"/>
              <w:jc w:val="center"/>
            </w:pPr>
          </w:p>
        </w:tc>
      </w:tr>
      <w:tr>
        <w:trPr>
          <w:cantSplit/>
        </w:trPr>
        <w:tc>
          <w:tcPr>
            <w:tcW w:type="dxa" w:w="1025"/>
          </w:tcPr>
          <w:p>
            <w:pPr>
              <w:pStyle w:val="MDPI42tablebody"/>
              <w:keepNext/>
              <w:spacing w:line="240" w:lineRule="auto" w:before="30" w:after="30"/>
              <w:jc w:val="left"/>
            </w:pPr>
            <w:r>
              <w:rPr>
                <w:b w:val="0"/>
                <w:i/>
                <w:sz w:val="15"/>
              </w:rPr>
              <w:t>LIT</w:t>
            </w:r>
          </w:p>
        </w:tc>
        <w:tc>
          <w:tcPr>
            <w:tcW w:type="dxa" w:w="788"/>
          </w:tcPr>
          <w:p>
            <w:pPr>
              <w:pStyle w:val="MDPI42tablebody"/>
              <w:keepNext/>
              <w:spacing w:line="240" w:lineRule="auto" w:before="30" w:after="30"/>
              <w:jc w:val="center"/>
            </w:pPr>
            <w:r>
              <w:rPr>
                <w:b w:val="0"/>
                <w:i w:val="0"/>
                <w:sz w:val="15"/>
              </w:rPr>
              <w:t>0.000</w:t>
            </w:r>
          </w:p>
        </w:tc>
        <w:tc>
          <w:tcPr>
            <w:tcW w:type="dxa" w:w="631"/>
          </w:tcPr>
          <w:p>
            <w:pPr>
              <w:pStyle w:val="MDPI42tablebody"/>
              <w:keepNext/>
              <w:spacing w:line="240" w:lineRule="auto" w:before="30" w:after="30"/>
              <w:jc w:val="center"/>
            </w:pPr>
            <w:r>
              <w:rPr>
                <w:b w:val="0"/>
                <w:i w:val="0"/>
                <w:sz w:val="15"/>
              </w:rPr>
              <w:t>1.000</w:t>
            </w:r>
          </w:p>
        </w:tc>
        <w:tc>
          <w:tcPr>
            <w:tcW w:type="dxa" w:w="773"/>
          </w:tcPr>
          <w:p>
            <w:pPr>
              <w:pStyle w:val="MDPI42tablebody"/>
              <w:keepNext/>
              <w:spacing w:line="240" w:lineRule="auto" w:before="30" w:after="30"/>
              <w:jc w:val="center"/>
            </w:pPr>
            <w:r>
              <w:rPr>
                <w:b w:val="0"/>
                <w:i w:val="0"/>
                <w:sz w:val="15"/>
              </w:rPr>
              <w:t>−0.056</w:t>
            </w:r>
          </w:p>
        </w:tc>
        <w:tc>
          <w:tcPr>
            <w:tcW w:type="dxa" w:w="773"/>
          </w:tcPr>
          <w:p>
            <w:pPr>
              <w:pStyle w:val="MDPI42tablebody"/>
              <w:keepNext/>
              <w:spacing w:line="240" w:lineRule="auto" w:before="30" w:after="30"/>
              <w:jc w:val="center"/>
            </w:pPr>
            <w:r>
              <w:rPr>
                <w:b w:val="0"/>
                <w:i w:val="0"/>
                <w:sz w:val="15"/>
              </w:rPr>
              <w:t>−0.002</w:t>
            </w:r>
          </w:p>
        </w:tc>
        <w:tc>
          <w:tcPr>
            <w:tcW w:type="dxa" w:w="773"/>
          </w:tcPr>
          <w:p>
            <w:pPr>
              <w:pStyle w:val="MDPI42tablebody"/>
              <w:keepNext/>
              <w:spacing w:line="240" w:lineRule="auto" w:before="30" w:after="30"/>
              <w:jc w:val="center"/>
            </w:pPr>
            <w:r>
              <w:rPr>
                <w:b w:val="0"/>
                <w:i w:val="0"/>
                <w:sz w:val="15"/>
              </w:rPr>
              <w:t>1.000</w:t>
            </w:r>
          </w:p>
        </w:tc>
        <w:tc>
          <w:tcPr>
            <w:tcW w:type="dxa" w:w="773"/>
          </w:tcPr>
          <w:p>
            <w:pPr>
              <w:pStyle w:val="MDPI42tablebody"/>
              <w:keepNext/>
              <w:spacing w:line="240" w:lineRule="auto" w:before="30" w:after="30"/>
              <w:jc w:val="center"/>
            </w:pPr>
          </w:p>
        </w:tc>
        <w:tc>
          <w:tcPr>
            <w:tcW w:type="dxa" w:w="773"/>
          </w:tcPr>
          <w:p>
            <w:pPr>
              <w:pStyle w:val="MDPI42tablebody"/>
              <w:keepNext/>
              <w:spacing w:line="240" w:lineRule="auto" w:before="30" w:after="30"/>
              <w:jc w:val="center"/>
            </w:pPr>
          </w:p>
        </w:tc>
        <w:tc>
          <w:tcPr>
            <w:tcW w:type="dxa" w:w="773"/>
          </w:tcPr>
          <w:p>
            <w:pPr>
              <w:pStyle w:val="MDPI42tablebody"/>
              <w:keepNext/>
              <w:spacing w:line="240" w:lineRule="auto" w:before="30" w:after="30"/>
              <w:jc w:val="center"/>
            </w:pPr>
          </w:p>
        </w:tc>
        <w:tc>
          <w:tcPr>
            <w:tcW w:type="dxa" w:w="773"/>
          </w:tcPr>
          <w:p>
            <w:pPr>
              <w:pStyle w:val="MDPI42tablebody"/>
              <w:keepNext/>
              <w:spacing w:line="240" w:lineRule="auto" w:before="30" w:after="30"/>
              <w:jc w:val="center"/>
            </w:pPr>
          </w:p>
        </w:tc>
      </w:tr>
      <w:tr>
        <w:trPr>
          <w:cantSplit/>
        </w:trPr>
        <w:tc>
          <w:tcPr>
            <w:tcW w:type="dxa" w:w="1025"/>
          </w:tcPr>
          <w:p>
            <w:pPr>
              <w:pStyle w:val="MDPI42tablebody"/>
              <w:keepNext/>
              <w:spacing w:line="240" w:lineRule="auto" w:before="30" w:after="30"/>
              <w:jc w:val="left"/>
            </w:pPr>
            <w:r>
              <w:rPr>
                <w:b w:val="0"/>
                <w:i/>
                <w:sz w:val="15"/>
              </w:rPr>
              <w:t>SUP</w:t>
            </w:r>
          </w:p>
        </w:tc>
        <w:tc>
          <w:tcPr>
            <w:tcW w:type="dxa" w:w="788"/>
          </w:tcPr>
          <w:p>
            <w:pPr>
              <w:pStyle w:val="MDPI42tablebody"/>
              <w:keepNext/>
              <w:spacing w:line="240" w:lineRule="auto" w:before="30" w:after="30"/>
              <w:jc w:val="center"/>
            </w:pPr>
            <w:r>
              <w:rPr>
                <w:b w:val="0"/>
                <w:i w:val="0"/>
                <w:sz w:val="15"/>
              </w:rPr>
              <w:t>0.000</w:t>
            </w:r>
          </w:p>
        </w:tc>
        <w:tc>
          <w:tcPr>
            <w:tcW w:type="dxa" w:w="631"/>
          </w:tcPr>
          <w:p>
            <w:pPr>
              <w:pStyle w:val="MDPI42tablebody"/>
              <w:keepNext/>
              <w:spacing w:line="240" w:lineRule="auto" w:before="30" w:after="30"/>
              <w:jc w:val="center"/>
            </w:pPr>
            <w:r>
              <w:rPr>
                <w:b w:val="0"/>
                <w:i w:val="0"/>
                <w:sz w:val="15"/>
              </w:rPr>
              <w:t>1.000</w:t>
            </w:r>
          </w:p>
        </w:tc>
        <w:tc>
          <w:tcPr>
            <w:tcW w:type="dxa" w:w="773"/>
          </w:tcPr>
          <w:p>
            <w:pPr>
              <w:pStyle w:val="MDPI42tablebody"/>
              <w:keepNext/>
              <w:spacing w:line="240" w:lineRule="auto" w:before="30" w:after="30"/>
              <w:jc w:val="center"/>
            </w:pPr>
            <w:r>
              <w:rPr>
                <w:b w:val="0"/>
                <w:i w:val="0"/>
                <w:sz w:val="15"/>
              </w:rPr>
              <w:t>0.022</w:t>
            </w:r>
          </w:p>
        </w:tc>
        <w:tc>
          <w:tcPr>
            <w:tcW w:type="dxa" w:w="773"/>
          </w:tcPr>
          <w:p>
            <w:pPr>
              <w:pStyle w:val="MDPI42tablebody"/>
              <w:keepNext/>
              <w:spacing w:line="240" w:lineRule="auto" w:before="30" w:after="30"/>
              <w:jc w:val="center"/>
            </w:pPr>
            <w:r>
              <w:rPr>
                <w:b w:val="0"/>
                <w:i w:val="0"/>
                <w:sz w:val="15"/>
              </w:rPr>
              <w:t>−0.166</w:t>
            </w:r>
          </w:p>
        </w:tc>
        <w:tc>
          <w:tcPr>
            <w:tcW w:type="dxa" w:w="773"/>
          </w:tcPr>
          <w:p>
            <w:pPr>
              <w:pStyle w:val="MDPI42tablebody"/>
              <w:keepNext/>
              <w:spacing w:line="240" w:lineRule="auto" w:before="30" w:after="30"/>
              <w:jc w:val="center"/>
            </w:pPr>
            <w:r>
              <w:rPr>
                <w:b w:val="0"/>
                <w:i w:val="0"/>
                <w:sz w:val="15"/>
              </w:rPr>
              <w:t>0.003</w:t>
            </w:r>
          </w:p>
        </w:tc>
        <w:tc>
          <w:tcPr>
            <w:tcW w:type="dxa" w:w="773"/>
          </w:tcPr>
          <w:p>
            <w:pPr>
              <w:pStyle w:val="MDPI42tablebody"/>
              <w:keepNext/>
              <w:spacing w:line="240" w:lineRule="auto" w:before="30" w:after="30"/>
              <w:jc w:val="center"/>
            </w:pPr>
            <w:r>
              <w:rPr>
                <w:b w:val="0"/>
                <w:i w:val="0"/>
                <w:sz w:val="15"/>
              </w:rPr>
              <w:t>1.000</w:t>
            </w:r>
          </w:p>
        </w:tc>
        <w:tc>
          <w:tcPr>
            <w:tcW w:type="dxa" w:w="773"/>
          </w:tcPr>
          <w:p>
            <w:pPr>
              <w:pStyle w:val="MDPI42tablebody"/>
              <w:keepNext/>
              <w:spacing w:line="240" w:lineRule="auto" w:before="30" w:after="30"/>
              <w:jc w:val="center"/>
            </w:pPr>
          </w:p>
        </w:tc>
        <w:tc>
          <w:tcPr>
            <w:tcW w:type="dxa" w:w="773"/>
          </w:tcPr>
          <w:p>
            <w:pPr>
              <w:pStyle w:val="MDPI42tablebody"/>
              <w:keepNext/>
              <w:spacing w:line="240" w:lineRule="auto" w:before="30" w:after="30"/>
              <w:jc w:val="center"/>
            </w:pPr>
          </w:p>
        </w:tc>
        <w:tc>
          <w:tcPr>
            <w:tcW w:type="dxa" w:w="773"/>
          </w:tcPr>
          <w:p>
            <w:pPr>
              <w:pStyle w:val="MDPI42tablebody"/>
              <w:keepNext/>
              <w:spacing w:line="240" w:lineRule="auto" w:before="30" w:after="30"/>
              <w:jc w:val="center"/>
            </w:pPr>
          </w:p>
        </w:tc>
      </w:tr>
      <w:tr>
        <w:trPr>
          <w:cantSplit/>
        </w:trPr>
        <w:tc>
          <w:tcPr>
            <w:tcW w:type="dxa" w:w="1025"/>
          </w:tcPr>
          <w:p>
            <w:pPr>
              <w:pStyle w:val="MDPI42tablebody"/>
              <w:keepNext/>
              <w:spacing w:line="240" w:lineRule="auto" w:before="30" w:after="30"/>
              <w:jc w:val="left"/>
            </w:pPr>
            <w:r>
              <w:rPr>
                <w:b w:val="0"/>
                <w:i/>
                <w:sz w:val="15"/>
              </w:rPr>
              <w:t>ADP</w:t>
            </w:r>
          </w:p>
        </w:tc>
        <w:tc>
          <w:tcPr>
            <w:tcW w:type="dxa" w:w="788"/>
          </w:tcPr>
          <w:p>
            <w:pPr>
              <w:pStyle w:val="MDPI42tablebody"/>
              <w:keepNext/>
              <w:spacing w:line="240" w:lineRule="auto" w:before="30" w:after="30"/>
              <w:jc w:val="center"/>
            </w:pPr>
            <w:r>
              <w:rPr>
                <w:b w:val="0"/>
                <w:i w:val="0"/>
                <w:sz w:val="15"/>
              </w:rPr>
              <w:t>0.000</w:t>
            </w:r>
          </w:p>
        </w:tc>
        <w:tc>
          <w:tcPr>
            <w:tcW w:type="dxa" w:w="631"/>
          </w:tcPr>
          <w:p>
            <w:pPr>
              <w:pStyle w:val="MDPI42tablebody"/>
              <w:keepNext/>
              <w:spacing w:line="240" w:lineRule="auto" w:before="30" w:after="30"/>
              <w:jc w:val="center"/>
            </w:pPr>
            <w:r>
              <w:rPr>
                <w:b w:val="0"/>
                <w:i w:val="0"/>
                <w:sz w:val="15"/>
              </w:rPr>
              <w:t>1.000</w:t>
            </w:r>
          </w:p>
        </w:tc>
        <w:tc>
          <w:tcPr>
            <w:tcW w:type="dxa" w:w="773"/>
          </w:tcPr>
          <w:p>
            <w:pPr>
              <w:pStyle w:val="MDPI42tablebody"/>
              <w:keepNext/>
              <w:spacing w:line="240" w:lineRule="auto" w:before="30" w:after="30"/>
              <w:jc w:val="center"/>
            </w:pPr>
            <w:r>
              <w:rPr>
                <w:b w:val="0"/>
                <w:i w:val="0"/>
                <w:sz w:val="15"/>
              </w:rPr>
              <w:t>0.068</w:t>
            </w:r>
          </w:p>
        </w:tc>
        <w:tc>
          <w:tcPr>
            <w:tcW w:type="dxa" w:w="773"/>
          </w:tcPr>
          <w:p>
            <w:pPr>
              <w:pStyle w:val="MDPI42tablebody"/>
              <w:keepNext/>
              <w:spacing w:line="240" w:lineRule="auto" w:before="30" w:after="30"/>
              <w:jc w:val="center"/>
            </w:pPr>
            <w:r>
              <w:rPr>
                <w:b w:val="0"/>
                <w:i w:val="0"/>
                <w:sz w:val="15"/>
              </w:rPr>
              <w:t>0.144</w:t>
            </w:r>
          </w:p>
        </w:tc>
        <w:tc>
          <w:tcPr>
            <w:tcW w:type="dxa" w:w="773"/>
          </w:tcPr>
          <w:p>
            <w:pPr>
              <w:pStyle w:val="MDPI42tablebody"/>
              <w:keepNext/>
              <w:spacing w:line="240" w:lineRule="auto" w:before="30" w:after="30"/>
              <w:jc w:val="center"/>
            </w:pPr>
            <w:r>
              <w:rPr>
                <w:b w:val="0"/>
                <w:i w:val="0"/>
                <w:sz w:val="15"/>
              </w:rPr>
              <w:t>0.280</w:t>
            </w:r>
          </w:p>
        </w:tc>
        <w:tc>
          <w:tcPr>
            <w:tcW w:type="dxa" w:w="773"/>
          </w:tcPr>
          <w:p>
            <w:pPr>
              <w:pStyle w:val="MDPI42tablebody"/>
              <w:keepNext/>
              <w:spacing w:line="240" w:lineRule="auto" w:before="30" w:after="30"/>
              <w:jc w:val="center"/>
            </w:pPr>
            <w:r>
              <w:rPr>
                <w:b w:val="0"/>
                <w:i w:val="0"/>
                <w:sz w:val="15"/>
              </w:rPr>
              <w:t>0.180</w:t>
            </w:r>
          </w:p>
        </w:tc>
        <w:tc>
          <w:tcPr>
            <w:tcW w:type="dxa" w:w="773"/>
          </w:tcPr>
          <w:p>
            <w:pPr>
              <w:pStyle w:val="MDPI42tablebody"/>
              <w:keepNext/>
              <w:spacing w:line="240" w:lineRule="auto" w:before="30" w:after="30"/>
              <w:jc w:val="center"/>
            </w:pPr>
            <w:r>
              <w:rPr>
                <w:b w:val="0"/>
                <w:i w:val="0"/>
                <w:sz w:val="15"/>
              </w:rPr>
              <w:t>1.000</w:t>
            </w:r>
          </w:p>
        </w:tc>
        <w:tc>
          <w:tcPr>
            <w:tcW w:type="dxa" w:w="773"/>
          </w:tcPr>
          <w:p>
            <w:pPr>
              <w:pStyle w:val="MDPI42tablebody"/>
              <w:keepNext/>
              <w:spacing w:line="240" w:lineRule="auto" w:before="30" w:after="30"/>
              <w:jc w:val="center"/>
            </w:pPr>
          </w:p>
        </w:tc>
        <w:tc>
          <w:tcPr>
            <w:tcW w:type="dxa" w:w="773"/>
          </w:tcPr>
          <w:p>
            <w:pPr>
              <w:pStyle w:val="MDPI42tablebody"/>
              <w:keepNext/>
              <w:spacing w:line="240" w:lineRule="auto" w:before="30" w:after="30"/>
              <w:jc w:val="center"/>
            </w:pPr>
          </w:p>
        </w:tc>
      </w:tr>
      <w:tr>
        <w:trPr>
          <w:cantSplit/>
        </w:trPr>
        <w:tc>
          <w:tcPr>
            <w:tcW w:type="dxa" w:w="1025"/>
          </w:tcPr>
          <w:p>
            <w:pPr>
              <w:pStyle w:val="MDPI42tablebody"/>
              <w:keepNext/>
              <w:spacing w:line="240" w:lineRule="auto" w:before="30" w:after="30"/>
              <w:jc w:val="left"/>
            </w:pPr>
            <w:r>
              <w:rPr>
                <w:b w:val="0"/>
                <w:i/>
                <w:sz w:val="15"/>
              </w:rPr>
              <w:t>AVD</w:t>
            </w:r>
          </w:p>
        </w:tc>
        <w:tc>
          <w:tcPr>
            <w:tcW w:type="dxa" w:w="788"/>
          </w:tcPr>
          <w:p>
            <w:pPr>
              <w:pStyle w:val="MDPI42tablebody"/>
              <w:keepNext/>
              <w:spacing w:line="240" w:lineRule="auto" w:before="30" w:after="30"/>
              <w:jc w:val="center"/>
            </w:pPr>
            <w:r>
              <w:rPr>
                <w:b w:val="0"/>
                <w:i w:val="0"/>
                <w:sz w:val="15"/>
              </w:rPr>
              <w:t>0.000</w:t>
            </w:r>
          </w:p>
        </w:tc>
        <w:tc>
          <w:tcPr>
            <w:tcW w:type="dxa" w:w="631"/>
          </w:tcPr>
          <w:p>
            <w:pPr>
              <w:pStyle w:val="MDPI42tablebody"/>
              <w:keepNext/>
              <w:spacing w:line="240" w:lineRule="auto" w:before="30" w:after="30"/>
              <w:jc w:val="center"/>
            </w:pPr>
            <w:r>
              <w:rPr>
                <w:b w:val="0"/>
                <w:i w:val="0"/>
                <w:sz w:val="15"/>
              </w:rPr>
              <w:t>1.000</w:t>
            </w:r>
          </w:p>
        </w:tc>
        <w:tc>
          <w:tcPr>
            <w:tcW w:type="dxa" w:w="773"/>
          </w:tcPr>
          <w:p>
            <w:pPr>
              <w:pStyle w:val="MDPI42tablebody"/>
              <w:keepNext/>
              <w:spacing w:line="240" w:lineRule="auto" w:before="30" w:after="30"/>
              <w:jc w:val="center"/>
            </w:pPr>
            <w:r>
              <w:rPr>
                <w:b w:val="0"/>
                <w:i w:val="0"/>
                <w:sz w:val="15"/>
              </w:rPr>
              <w:t>0.285</w:t>
            </w:r>
          </w:p>
        </w:tc>
        <w:tc>
          <w:tcPr>
            <w:tcW w:type="dxa" w:w="773"/>
          </w:tcPr>
          <w:p>
            <w:pPr>
              <w:pStyle w:val="MDPI42tablebody"/>
              <w:keepNext/>
              <w:spacing w:line="240" w:lineRule="auto" w:before="30" w:after="30"/>
              <w:jc w:val="center"/>
            </w:pPr>
            <w:r>
              <w:rPr>
                <w:b w:val="0"/>
                <w:i w:val="0"/>
                <w:sz w:val="15"/>
              </w:rPr>
              <w:t>0.474</w:t>
            </w:r>
          </w:p>
        </w:tc>
        <w:tc>
          <w:tcPr>
            <w:tcW w:type="dxa" w:w="773"/>
          </w:tcPr>
          <w:p>
            <w:pPr>
              <w:pStyle w:val="MDPI42tablebody"/>
              <w:keepNext/>
              <w:spacing w:line="240" w:lineRule="auto" w:before="30" w:after="30"/>
              <w:jc w:val="center"/>
            </w:pPr>
            <w:r>
              <w:rPr>
                <w:b w:val="0"/>
                <w:i w:val="0"/>
                <w:sz w:val="15"/>
              </w:rPr>
              <w:t>−0.139</w:t>
            </w:r>
          </w:p>
        </w:tc>
        <w:tc>
          <w:tcPr>
            <w:tcW w:type="dxa" w:w="773"/>
          </w:tcPr>
          <w:p>
            <w:pPr>
              <w:pStyle w:val="MDPI42tablebody"/>
              <w:keepNext/>
              <w:spacing w:line="240" w:lineRule="auto" w:before="30" w:after="30"/>
              <w:jc w:val="center"/>
            </w:pPr>
            <w:r>
              <w:rPr>
                <w:b w:val="0"/>
                <w:i w:val="0"/>
                <w:sz w:val="15"/>
              </w:rPr>
              <w:t>−0.180</w:t>
            </w:r>
          </w:p>
        </w:tc>
        <w:tc>
          <w:tcPr>
            <w:tcW w:type="dxa" w:w="773"/>
          </w:tcPr>
          <w:p>
            <w:pPr>
              <w:pStyle w:val="MDPI42tablebody"/>
              <w:keepNext/>
              <w:spacing w:line="240" w:lineRule="auto" w:before="30" w:after="30"/>
              <w:jc w:val="center"/>
            </w:pPr>
            <w:r>
              <w:rPr>
                <w:b w:val="0"/>
                <w:i w:val="0"/>
                <w:sz w:val="15"/>
              </w:rPr>
              <w:t>−0.019</w:t>
            </w:r>
          </w:p>
        </w:tc>
        <w:tc>
          <w:tcPr>
            <w:tcW w:type="dxa" w:w="773"/>
          </w:tcPr>
          <w:p>
            <w:pPr>
              <w:pStyle w:val="MDPI42tablebody"/>
              <w:keepNext/>
              <w:spacing w:line="240" w:lineRule="auto" w:before="30" w:after="30"/>
              <w:jc w:val="center"/>
            </w:pPr>
            <w:r>
              <w:rPr>
                <w:b w:val="0"/>
                <w:i w:val="0"/>
                <w:sz w:val="15"/>
              </w:rPr>
              <w:t>1.000</w:t>
            </w:r>
          </w:p>
        </w:tc>
        <w:tc>
          <w:tcPr>
            <w:tcW w:type="dxa" w:w="773"/>
          </w:tcPr>
          <w:p>
            <w:pPr>
              <w:pStyle w:val="MDPI42tablebody"/>
              <w:keepNext/>
              <w:spacing w:line="240" w:lineRule="auto" w:before="30" w:after="30"/>
              <w:jc w:val="center"/>
            </w:pPr>
          </w:p>
        </w:tc>
      </w:tr>
      <w:tr>
        <w:trPr>
          <w:cantSplit/>
        </w:trPr>
        <w:tc>
          <w:tcPr>
            <w:tcW w:type="dxa" w:w="1025"/>
          </w:tcPr>
          <w:p>
            <w:pPr>
              <w:pStyle w:val="MDPI42tablebody"/>
              <w:keepNext/>
              <w:spacing w:line="240" w:lineRule="auto" w:before="30" w:after="30"/>
              <w:jc w:val="left"/>
            </w:pPr>
            <w:r>
              <w:rPr>
                <w:b w:val="0"/>
                <w:i/>
                <w:sz w:val="15"/>
              </w:rPr>
              <w:t>EXPO</w:t>
            </w:r>
          </w:p>
        </w:tc>
        <w:tc>
          <w:tcPr>
            <w:tcW w:type="dxa" w:w="788"/>
          </w:tcPr>
          <w:p>
            <w:pPr>
              <w:pStyle w:val="MDPI42tablebody"/>
              <w:keepNext/>
              <w:spacing w:line="240" w:lineRule="auto" w:before="30" w:after="30"/>
              <w:jc w:val="center"/>
            </w:pPr>
            <w:r>
              <w:rPr>
                <w:b w:val="0"/>
                <w:i w:val="0"/>
                <w:sz w:val="15"/>
              </w:rPr>
              <w:t>0.000</w:t>
            </w:r>
          </w:p>
        </w:tc>
        <w:tc>
          <w:tcPr>
            <w:tcW w:type="dxa" w:w="631"/>
          </w:tcPr>
          <w:p>
            <w:pPr>
              <w:pStyle w:val="MDPI42tablebody"/>
              <w:keepNext/>
              <w:spacing w:line="240" w:lineRule="auto" w:before="30" w:after="30"/>
              <w:jc w:val="center"/>
            </w:pPr>
            <w:r>
              <w:rPr>
                <w:b w:val="0"/>
                <w:i w:val="0"/>
                <w:sz w:val="15"/>
              </w:rPr>
              <w:t>1.000</w:t>
            </w:r>
          </w:p>
        </w:tc>
        <w:tc>
          <w:tcPr>
            <w:tcW w:type="dxa" w:w="773"/>
          </w:tcPr>
          <w:p>
            <w:pPr>
              <w:pStyle w:val="MDPI42tablebody"/>
              <w:keepNext/>
              <w:spacing w:line="240" w:lineRule="auto" w:before="30" w:after="30"/>
              <w:jc w:val="center"/>
            </w:pPr>
            <w:r>
              <w:rPr>
                <w:b w:val="0"/>
                <w:i w:val="0"/>
                <w:sz w:val="15"/>
              </w:rPr>
              <w:t>0.492</w:t>
            </w:r>
          </w:p>
        </w:tc>
        <w:tc>
          <w:tcPr>
            <w:tcW w:type="dxa" w:w="773"/>
          </w:tcPr>
          <w:p>
            <w:pPr>
              <w:pStyle w:val="MDPI42tablebody"/>
              <w:keepNext/>
              <w:spacing w:line="240" w:lineRule="auto" w:before="30" w:after="30"/>
              <w:jc w:val="center"/>
            </w:pPr>
            <w:r>
              <w:rPr>
                <w:b w:val="0"/>
                <w:i w:val="0"/>
                <w:sz w:val="15"/>
              </w:rPr>
              <w:t>0.263</w:t>
            </w:r>
          </w:p>
        </w:tc>
        <w:tc>
          <w:tcPr>
            <w:tcW w:type="dxa" w:w="773"/>
          </w:tcPr>
          <w:p>
            <w:pPr>
              <w:pStyle w:val="MDPI42tablebody"/>
              <w:keepNext/>
              <w:spacing w:line="240" w:lineRule="auto" w:before="30" w:after="30"/>
              <w:jc w:val="center"/>
            </w:pPr>
            <w:r>
              <w:rPr>
                <w:b w:val="0"/>
                <w:i w:val="0"/>
                <w:sz w:val="15"/>
              </w:rPr>
              <w:t>0.029</w:t>
            </w:r>
          </w:p>
        </w:tc>
        <w:tc>
          <w:tcPr>
            <w:tcW w:type="dxa" w:w="773"/>
          </w:tcPr>
          <w:p>
            <w:pPr>
              <w:pStyle w:val="MDPI42tablebody"/>
              <w:keepNext/>
              <w:spacing w:line="240" w:lineRule="auto" w:before="30" w:after="30"/>
              <w:jc w:val="center"/>
            </w:pPr>
            <w:r>
              <w:rPr>
                <w:b w:val="0"/>
                <w:i w:val="0"/>
                <w:sz w:val="15"/>
              </w:rPr>
              <w:t>0.012</w:t>
            </w:r>
          </w:p>
        </w:tc>
        <w:tc>
          <w:tcPr>
            <w:tcW w:type="dxa" w:w="773"/>
          </w:tcPr>
          <w:p>
            <w:pPr>
              <w:pStyle w:val="MDPI42tablebody"/>
              <w:keepNext/>
              <w:spacing w:line="240" w:lineRule="auto" w:before="30" w:after="30"/>
              <w:jc w:val="center"/>
            </w:pPr>
            <w:r>
              <w:rPr>
                <w:b w:val="0"/>
                <w:i w:val="0"/>
                <w:sz w:val="15"/>
              </w:rPr>
              <w:t>0.034</w:t>
            </w:r>
          </w:p>
        </w:tc>
        <w:tc>
          <w:tcPr>
            <w:tcW w:type="dxa" w:w="773"/>
          </w:tcPr>
          <w:p>
            <w:pPr>
              <w:pStyle w:val="MDPI42tablebody"/>
              <w:keepNext/>
              <w:spacing w:line="240" w:lineRule="auto" w:before="30" w:after="30"/>
              <w:jc w:val="center"/>
            </w:pPr>
            <w:r>
              <w:rPr>
                <w:b w:val="0"/>
                <w:i w:val="0"/>
                <w:sz w:val="15"/>
              </w:rPr>
              <w:t>0.153</w:t>
            </w:r>
          </w:p>
        </w:tc>
        <w:tc>
          <w:tcPr>
            <w:tcW w:type="dxa" w:w="773"/>
          </w:tcPr>
          <w:p>
            <w:pPr>
              <w:pStyle w:val="MDPI42tablebody"/>
              <w:keepNext/>
              <w:spacing w:line="240" w:lineRule="auto" w:before="30" w:after="30"/>
              <w:jc w:val="center"/>
            </w:pPr>
            <w:r>
              <w:rPr>
                <w:b w:val="0"/>
                <w:i w:val="0"/>
                <w:sz w:val="15"/>
              </w:rPr>
              <w:t>1.000</w:t>
            </w:r>
          </w:p>
        </w:tc>
      </w:tr>
    </w:tbl>
    <w:p>
      <w:pPr>
        <w:pStyle w:val="MDPI43tablefooter"/>
        <w:spacing w:line="240" w:lineRule="auto" w:before="40" w:after="200"/>
        <w:ind w:left="2608" w:firstLine="0"/>
      </w:pPr>
      <w:r>
        <w:rPr>
          <w:sz w:val="16"/>
        </w:rPr>
        <w:t xml:space="preserve">Note: </w:t>
      </w:r>
      <w:r>
        <w:rPr>
          <w:b w:val="0"/>
          <w:i w:val="0"/>
          <w:sz w:val="16"/>
        </w:rPr>
        <w:t>Bartlett factor scores, standardized; EXPO is the standardized occupational exposure score. Lower triangle: Pearson correlations (N = 914). Correlations of magnitude 0.07 or larger are significant at the 5% level. Source: authors’ own calculations.</w:t>
      </w:r>
    </w:p>
    <w:p>
      <w:pPr>
        <w:pStyle w:val="MDPI22heading2"/>
      </w:pPr>
      <w:r>
        <w:t>4.3. First Stage: Depreciation into Anxiety (H1, H6)</w:t>
      </w:r>
    </w:p>
    <w:p>
      <w:pPr>
        <w:pStyle w:val="MDPI32textnoindent"/>
      </w:pPr>
      <w:r>
        <w:rPr>
          <w:b w:val="0"/>
          <w:i w:val="0"/>
        </w:rPr>
        <w:t>Table 6 estimates Equation (1) in progressive columns. Alone, perceived depreciation carries anxiety with a standardized coefficient near one half; controls barely move it (column (2)), and support enters negatively in column (3). Column (4) adds the interaction: the pass-through is 0.487 (SE 0.027) at mean support, support lowers anxiety directly (−0.171), and the interaction is −0.154 (p &lt; 0.001). Evaluated one standard deviation below and above mean support, the same depreciation percept converts at 0.64 versus 0.33 — support cuts the first stage nearly in half. Column (5) repeats the specification on the full first-wave sample (N = 1,247) with practically identical coefficients (pass-through 0.455), so panel attrition does not shape the first stage. H1 and H6 are supported. In control-loop terms, support does not act on the signal’s consequences; it recalibrates the sensor.</w:t>
      </w:r>
    </w:p>
    <w:p>
      <w:pPr>
        <w:pStyle w:val="MDPI41tablecaption"/>
        <w:keepNext/>
        <w:spacing w:after="60"/>
      </w:pPr>
      <w:r>
        <w:rPr>
          <w:b/>
          <w:sz w:val="18"/>
        </w:rPr>
        <w:t xml:space="preserve">Table 6. </w:t>
      </w:r>
      <w:r>
        <w:rPr>
          <w:b w:val="0"/>
          <w:i w:val="0"/>
          <w:sz w:val="18"/>
        </w:rPr>
        <w:t>First stage: perceived depreciation into career anxiety (H1, H6).</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964"/>
        <w:gridCol w:w="1178"/>
        <w:gridCol w:w="1178"/>
        <w:gridCol w:w="1178"/>
        <w:gridCol w:w="1178"/>
        <w:gridCol w:w="1178"/>
      </w:tblGrid>
      <w:tr>
        <w:trPr>
          <w:cantSplit/>
          <w:tblHeader/>
        </w:trPr>
        <w:tc>
          <w:tcPr>
            <w:tcW w:type="dxa" w:w="1964"/>
            <w:tcBorders>
              <w:bottom w:val="single" w:sz="8" w:space="0" w:color="auto"/>
            </w:tcBorders>
          </w:tcPr>
          <w:p>
            <w:pPr>
              <w:pStyle w:val="MDPI42tablebody"/>
              <w:keepNext/>
              <w:spacing w:line="240" w:lineRule="auto" w:before="30" w:after="30"/>
              <w:jc w:val="center"/>
            </w:pPr>
          </w:p>
        </w:tc>
        <w:tc>
          <w:tcPr>
            <w:tcW w:type="dxa" w:w="1178"/>
            <w:tcBorders>
              <w:bottom w:val="single" w:sz="8" w:space="0" w:color="auto"/>
            </w:tcBorders>
          </w:tcPr>
          <w:p>
            <w:pPr>
              <w:pStyle w:val="MDPI42tablebody"/>
              <w:keepNext/>
              <w:spacing w:line="240" w:lineRule="auto" w:before="30" w:after="30"/>
              <w:jc w:val="center"/>
            </w:pPr>
            <w:r>
              <w:rPr>
                <w:b/>
                <w:i w:val="0"/>
                <w:sz w:val="18"/>
              </w:rPr>
              <w:t>(1)</w:t>
            </w:r>
          </w:p>
        </w:tc>
        <w:tc>
          <w:tcPr>
            <w:tcW w:type="dxa" w:w="1178"/>
            <w:tcBorders>
              <w:bottom w:val="single" w:sz="8" w:space="0" w:color="auto"/>
            </w:tcBorders>
          </w:tcPr>
          <w:p>
            <w:pPr>
              <w:pStyle w:val="MDPI42tablebody"/>
              <w:keepNext/>
              <w:spacing w:line="240" w:lineRule="auto" w:before="30" w:after="30"/>
              <w:jc w:val="center"/>
            </w:pPr>
            <w:r>
              <w:rPr>
                <w:b/>
                <w:i w:val="0"/>
                <w:sz w:val="18"/>
              </w:rPr>
              <w:t>(2)</w:t>
            </w:r>
          </w:p>
        </w:tc>
        <w:tc>
          <w:tcPr>
            <w:tcW w:type="dxa" w:w="1178"/>
            <w:tcBorders>
              <w:bottom w:val="single" w:sz="8" w:space="0" w:color="auto"/>
            </w:tcBorders>
          </w:tcPr>
          <w:p>
            <w:pPr>
              <w:pStyle w:val="MDPI42tablebody"/>
              <w:keepNext/>
              <w:spacing w:line="240" w:lineRule="auto" w:before="30" w:after="30"/>
              <w:jc w:val="center"/>
            </w:pPr>
            <w:r>
              <w:rPr>
                <w:b/>
                <w:i w:val="0"/>
                <w:sz w:val="18"/>
              </w:rPr>
              <w:t>(3)</w:t>
            </w:r>
          </w:p>
        </w:tc>
        <w:tc>
          <w:tcPr>
            <w:tcW w:type="dxa" w:w="1178"/>
            <w:tcBorders>
              <w:bottom w:val="single" w:sz="8" w:space="0" w:color="auto"/>
            </w:tcBorders>
          </w:tcPr>
          <w:p>
            <w:pPr>
              <w:pStyle w:val="MDPI42tablebody"/>
              <w:keepNext/>
              <w:spacing w:line="240" w:lineRule="auto" w:before="30" w:after="30"/>
              <w:jc w:val="center"/>
            </w:pPr>
            <w:r>
              <w:rPr>
                <w:b/>
                <w:i w:val="0"/>
                <w:sz w:val="18"/>
              </w:rPr>
              <w:t>(4)</w:t>
            </w:r>
          </w:p>
        </w:tc>
        <w:tc>
          <w:tcPr>
            <w:tcW w:type="dxa" w:w="1178"/>
            <w:tcBorders>
              <w:bottom w:val="single" w:sz="8" w:space="0" w:color="auto"/>
            </w:tcBorders>
          </w:tcPr>
          <w:p>
            <w:pPr>
              <w:pStyle w:val="MDPI42tablebody"/>
              <w:keepNext/>
              <w:spacing w:line="240" w:lineRule="auto" w:before="30" w:after="30"/>
              <w:jc w:val="center"/>
            </w:pPr>
            <w:r>
              <w:rPr>
                <w:b/>
                <w:i w:val="0"/>
                <w:sz w:val="18"/>
              </w:rPr>
              <w:t>(5)</w:t>
            </w:r>
          </w:p>
        </w:tc>
      </w:tr>
      <w:tr>
        <w:trPr>
          <w:cantSplit/>
        </w:trPr>
        <w:tc>
          <w:tcPr>
            <w:tcW w:type="dxa" w:w="1964"/>
          </w:tcPr>
          <w:p>
            <w:pPr>
              <w:pStyle w:val="MDPI42tablebody"/>
              <w:keepNext/>
              <w:spacing w:line="240" w:lineRule="auto" w:before="30" w:after="30"/>
              <w:jc w:val="left"/>
            </w:pPr>
            <w:r>
              <w:rPr>
                <w:b w:val="0"/>
                <w:i w:val="0"/>
                <w:sz w:val="18"/>
              </w:rPr>
              <w:t>PHCD</w:t>
            </w:r>
          </w:p>
        </w:tc>
        <w:tc>
          <w:tcPr>
            <w:tcW w:type="dxa" w:w="1178"/>
          </w:tcPr>
          <w:p>
            <w:pPr>
              <w:pStyle w:val="MDPI42tablebody"/>
              <w:keepNext/>
              <w:spacing w:line="240" w:lineRule="auto" w:before="30" w:after="30"/>
              <w:jc w:val="center"/>
            </w:pPr>
            <w:r>
              <w:rPr>
                <w:b w:val="0"/>
                <w:i w:val="0"/>
                <w:sz w:val="18"/>
              </w:rPr>
              <w:t>0.480***</w:t>
            </w:r>
          </w:p>
        </w:tc>
        <w:tc>
          <w:tcPr>
            <w:tcW w:type="dxa" w:w="1178"/>
          </w:tcPr>
          <w:p>
            <w:pPr>
              <w:pStyle w:val="MDPI42tablebody"/>
              <w:keepNext/>
              <w:spacing w:line="240" w:lineRule="auto" w:before="30" w:after="30"/>
              <w:jc w:val="center"/>
            </w:pPr>
            <w:r>
              <w:rPr>
                <w:b w:val="0"/>
                <w:i w:val="0"/>
                <w:sz w:val="18"/>
              </w:rPr>
              <w:t>0.486***</w:t>
            </w:r>
          </w:p>
        </w:tc>
        <w:tc>
          <w:tcPr>
            <w:tcW w:type="dxa" w:w="1178"/>
          </w:tcPr>
          <w:p>
            <w:pPr>
              <w:pStyle w:val="MDPI42tablebody"/>
              <w:keepNext/>
              <w:spacing w:line="240" w:lineRule="auto" w:before="30" w:after="30"/>
              <w:jc w:val="center"/>
            </w:pPr>
            <w:r>
              <w:rPr>
                <w:b w:val="0"/>
                <w:i w:val="0"/>
                <w:sz w:val="18"/>
              </w:rPr>
              <w:t>0.490***</w:t>
            </w:r>
          </w:p>
        </w:tc>
        <w:tc>
          <w:tcPr>
            <w:tcW w:type="dxa" w:w="1178"/>
          </w:tcPr>
          <w:p>
            <w:pPr>
              <w:pStyle w:val="MDPI42tablebody"/>
              <w:keepNext/>
              <w:spacing w:line="240" w:lineRule="auto" w:before="30" w:after="30"/>
              <w:jc w:val="center"/>
            </w:pPr>
            <w:r>
              <w:rPr>
                <w:b w:val="0"/>
                <w:i w:val="0"/>
                <w:sz w:val="18"/>
              </w:rPr>
              <w:t>0.487***</w:t>
            </w:r>
          </w:p>
        </w:tc>
        <w:tc>
          <w:tcPr>
            <w:tcW w:type="dxa" w:w="1178"/>
          </w:tcPr>
          <w:p>
            <w:pPr>
              <w:pStyle w:val="MDPI42tablebody"/>
              <w:keepNext/>
              <w:spacing w:line="240" w:lineRule="auto" w:before="30" w:after="30"/>
              <w:jc w:val="center"/>
            </w:pPr>
            <w:r>
              <w:rPr>
                <w:b w:val="0"/>
                <w:i w:val="0"/>
                <w:sz w:val="18"/>
              </w:rPr>
              <w:t>0.455***</w:t>
            </w:r>
          </w:p>
        </w:tc>
      </w:tr>
      <w:tr>
        <w:trPr>
          <w:cantSplit/>
        </w:trPr>
        <w:tc>
          <w:tcPr>
            <w:tcW w:type="dxa" w:w="1964"/>
          </w:tcPr>
          <w:p>
            <w:pPr>
              <w:pStyle w:val="MDPI42tablebody"/>
              <w:keepNext/>
              <w:spacing w:line="240" w:lineRule="auto" w:before="30" w:after="30"/>
              <w:jc w:val="left"/>
            </w:pPr>
          </w:p>
        </w:tc>
        <w:tc>
          <w:tcPr>
            <w:tcW w:type="dxa" w:w="1178"/>
          </w:tcPr>
          <w:p>
            <w:pPr>
              <w:pStyle w:val="MDPI42tablebody"/>
              <w:keepNext/>
              <w:spacing w:line="240" w:lineRule="auto" w:before="30" w:after="30"/>
              <w:jc w:val="center"/>
            </w:pPr>
            <w:r>
              <w:rPr>
                <w:b w:val="0"/>
                <w:i w:val="0"/>
                <w:sz w:val="18"/>
              </w:rPr>
              <w:t>(0.028)</w:t>
            </w:r>
          </w:p>
        </w:tc>
        <w:tc>
          <w:tcPr>
            <w:tcW w:type="dxa" w:w="1178"/>
          </w:tcPr>
          <w:p>
            <w:pPr>
              <w:pStyle w:val="MDPI42tablebody"/>
              <w:keepNext/>
              <w:spacing w:line="240" w:lineRule="auto" w:before="30" w:after="30"/>
              <w:jc w:val="center"/>
            </w:pPr>
            <w:r>
              <w:rPr>
                <w:b w:val="0"/>
                <w:i w:val="0"/>
                <w:sz w:val="18"/>
              </w:rPr>
              <w:t>(0.029)</w:t>
            </w:r>
          </w:p>
        </w:tc>
        <w:tc>
          <w:tcPr>
            <w:tcW w:type="dxa" w:w="1178"/>
          </w:tcPr>
          <w:p>
            <w:pPr>
              <w:pStyle w:val="MDPI42tablebody"/>
              <w:keepNext/>
              <w:spacing w:line="240" w:lineRule="auto" w:before="30" w:after="30"/>
              <w:jc w:val="center"/>
            </w:pPr>
            <w:r>
              <w:rPr>
                <w:b w:val="0"/>
                <w:i w:val="0"/>
                <w:sz w:val="18"/>
              </w:rPr>
              <w:t>(0.028)</w:t>
            </w:r>
          </w:p>
        </w:tc>
        <w:tc>
          <w:tcPr>
            <w:tcW w:type="dxa" w:w="1178"/>
          </w:tcPr>
          <w:p>
            <w:pPr>
              <w:pStyle w:val="MDPI42tablebody"/>
              <w:keepNext/>
              <w:spacing w:line="240" w:lineRule="auto" w:before="30" w:after="30"/>
              <w:jc w:val="center"/>
            </w:pPr>
            <w:r>
              <w:rPr>
                <w:b w:val="0"/>
                <w:i w:val="0"/>
                <w:sz w:val="18"/>
              </w:rPr>
              <w:t>(0.027)</w:t>
            </w:r>
          </w:p>
        </w:tc>
        <w:tc>
          <w:tcPr>
            <w:tcW w:type="dxa" w:w="1178"/>
          </w:tcPr>
          <w:p>
            <w:pPr>
              <w:pStyle w:val="MDPI42tablebody"/>
              <w:keepNext/>
              <w:spacing w:line="240" w:lineRule="auto" w:before="30" w:after="30"/>
              <w:jc w:val="center"/>
            </w:pPr>
            <w:r>
              <w:rPr>
                <w:b w:val="0"/>
                <w:i w:val="0"/>
                <w:sz w:val="18"/>
              </w:rPr>
              <w:t>(0.024)</w:t>
            </w:r>
          </w:p>
        </w:tc>
      </w:tr>
      <w:tr>
        <w:trPr>
          <w:cantSplit/>
        </w:trPr>
        <w:tc>
          <w:tcPr>
            <w:tcW w:type="dxa" w:w="1964"/>
          </w:tcPr>
          <w:p>
            <w:pPr>
              <w:pStyle w:val="MDPI42tablebody"/>
              <w:keepNext/>
              <w:spacing w:line="240" w:lineRule="auto" w:before="30" w:after="30"/>
              <w:jc w:val="left"/>
            </w:pPr>
            <w:r>
              <w:rPr>
                <w:b w:val="0"/>
                <w:i w:val="0"/>
                <w:sz w:val="18"/>
              </w:rPr>
              <w:t>SUP</w:t>
            </w: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−0.170***</w:t>
            </w:r>
          </w:p>
        </w:tc>
        <w:tc>
          <w:tcPr>
            <w:tcW w:type="dxa" w:w="1178"/>
          </w:tcPr>
          <w:p>
            <w:pPr>
              <w:pStyle w:val="MDPI42tablebody"/>
              <w:keepNext/>
              <w:spacing w:line="240" w:lineRule="auto" w:before="30" w:after="30"/>
              <w:jc w:val="center"/>
            </w:pPr>
            <w:r>
              <w:rPr>
                <w:b w:val="0"/>
                <w:i w:val="0"/>
                <w:sz w:val="18"/>
              </w:rPr>
              <w:t>−0.171***</w:t>
            </w:r>
          </w:p>
        </w:tc>
        <w:tc>
          <w:tcPr>
            <w:tcW w:type="dxa" w:w="1178"/>
          </w:tcPr>
          <w:p>
            <w:pPr>
              <w:pStyle w:val="MDPI42tablebody"/>
              <w:keepNext/>
              <w:spacing w:line="240" w:lineRule="auto" w:before="30" w:after="30"/>
              <w:jc w:val="center"/>
            </w:pPr>
            <w:r>
              <w:rPr>
                <w:b w:val="0"/>
                <w:i w:val="0"/>
                <w:sz w:val="18"/>
              </w:rPr>
              <w:t>−0.171***</w:t>
            </w:r>
          </w:p>
        </w:tc>
      </w:tr>
      <w:tr>
        <w:trPr>
          <w:cantSplit/>
        </w:trPr>
        <w:tc>
          <w:tcPr>
            <w:tcW w:type="dxa" w:w="1964"/>
          </w:tcPr>
          <w:p>
            <w:pPr>
              <w:pStyle w:val="MDPI42tablebody"/>
              <w:keepNext/>
              <w:spacing w:line="240" w:lineRule="auto" w:before="30" w:after="30"/>
              <w:jc w:val="left"/>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(0.030)</w:t>
            </w:r>
          </w:p>
        </w:tc>
        <w:tc>
          <w:tcPr>
            <w:tcW w:type="dxa" w:w="1178"/>
          </w:tcPr>
          <w:p>
            <w:pPr>
              <w:pStyle w:val="MDPI42tablebody"/>
              <w:keepNext/>
              <w:spacing w:line="240" w:lineRule="auto" w:before="30" w:after="30"/>
              <w:jc w:val="center"/>
            </w:pPr>
            <w:r>
              <w:rPr>
                <w:b w:val="0"/>
                <w:i w:val="0"/>
                <w:sz w:val="18"/>
              </w:rPr>
              <w:t>(0.030)</w:t>
            </w:r>
          </w:p>
        </w:tc>
        <w:tc>
          <w:tcPr>
            <w:tcW w:type="dxa" w:w="1178"/>
          </w:tcPr>
          <w:p>
            <w:pPr>
              <w:pStyle w:val="MDPI42tablebody"/>
              <w:keepNext/>
              <w:spacing w:line="240" w:lineRule="auto" w:before="30" w:after="30"/>
              <w:jc w:val="center"/>
            </w:pPr>
            <w:r>
              <w:rPr>
                <w:b w:val="0"/>
                <w:i w:val="0"/>
                <w:sz w:val="18"/>
              </w:rPr>
              <w:t>(0.026)</w:t>
            </w:r>
          </w:p>
        </w:tc>
      </w:tr>
      <w:tr>
        <w:trPr>
          <w:cantSplit/>
        </w:trPr>
        <w:tc>
          <w:tcPr>
            <w:tcW w:type="dxa" w:w="1964"/>
          </w:tcPr>
          <w:p>
            <w:pPr>
              <w:pStyle w:val="MDPI42tablebody"/>
              <w:keepNext/>
              <w:spacing w:line="240" w:lineRule="auto" w:before="30" w:after="30"/>
              <w:jc w:val="left"/>
            </w:pPr>
            <w:r>
              <w:rPr>
                <w:b w:val="0"/>
                <w:i w:val="0"/>
                <w:sz w:val="18"/>
              </w:rPr>
              <w:t>PHCD × SUP</w:t>
            </w: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−0.154***</w:t>
            </w:r>
          </w:p>
        </w:tc>
        <w:tc>
          <w:tcPr>
            <w:tcW w:type="dxa" w:w="1178"/>
          </w:tcPr>
          <w:p>
            <w:pPr>
              <w:pStyle w:val="MDPI42tablebody"/>
              <w:keepNext/>
              <w:spacing w:line="240" w:lineRule="auto" w:before="30" w:after="30"/>
              <w:jc w:val="center"/>
            </w:pPr>
            <w:r>
              <w:rPr>
                <w:b w:val="0"/>
                <w:i w:val="0"/>
                <w:sz w:val="18"/>
              </w:rPr>
              <w:t>−0.153***</w:t>
            </w:r>
          </w:p>
        </w:tc>
      </w:tr>
      <w:tr>
        <w:trPr>
          <w:cantSplit/>
        </w:trPr>
        <w:tc>
          <w:tcPr>
            <w:tcW w:type="dxa" w:w="1964"/>
          </w:tcPr>
          <w:p>
            <w:pPr>
              <w:pStyle w:val="MDPI42tablebody"/>
              <w:keepNext/>
              <w:spacing w:line="240" w:lineRule="auto" w:before="30" w:after="30"/>
              <w:jc w:val="left"/>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(0.028)</w:t>
            </w:r>
          </w:p>
        </w:tc>
        <w:tc>
          <w:tcPr>
            <w:tcW w:type="dxa" w:w="1178"/>
          </w:tcPr>
          <w:p>
            <w:pPr>
              <w:pStyle w:val="MDPI42tablebody"/>
              <w:keepNext/>
              <w:spacing w:line="240" w:lineRule="auto" w:before="30" w:after="30"/>
              <w:jc w:val="center"/>
            </w:pPr>
            <w:r>
              <w:rPr>
                <w:b w:val="0"/>
                <w:i w:val="0"/>
                <w:sz w:val="18"/>
              </w:rPr>
              <w:t>(0.025)</w:t>
            </w:r>
          </w:p>
        </w:tc>
      </w:tr>
      <w:tr>
        <w:trPr>
          <w:cantSplit/>
        </w:trPr>
        <w:tc>
          <w:tcPr>
            <w:tcW w:type="dxa" w:w="1964"/>
          </w:tcPr>
          <w:p>
            <w:pPr>
              <w:pStyle w:val="MDPI42tablebody"/>
              <w:keepNext/>
              <w:spacing w:line="240" w:lineRule="auto" w:before="30" w:after="30"/>
              <w:jc w:val="left"/>
            </w:pPr>
            <w:r>
              <w:rPr>
                <w:b w:val="0"/>
                <w:i w:val="0"/>
                <w:sz w:val="18"/>
              </w:rPr>
              <w:t>Controls</w:t>
            </w:r>
          </w:p>
        </w:tc>
        <w:tc>
          <w:tcPr>
            <w:tcW w:type="dxa" w:w="1178"/>
          </w:tcPr>
          <w:p>
            <w:pPr>
              <w:pStyle w:val="MDPI42tablebody"/>
              <w:keepNext/>
              <w:spacing w:line="240" w:lineRule="auto" w:before="30" w:after="30"/>
              <w:jc w:val="center"/>
            </w:pPr>
            <w:r>
              <w:rPr>
                <w:b w:val="0"/>
                <w:i w:val="0"/>
                <w:sz w:val="18"/>
              </w:rPr>
              <w:t>No</w:t>
            </w:r>
          </w:p>
        </w:tc>
        <w:tc>
          <w:tcPr>
            <w:tcW w:type="dxa" w:w="1178"/>
          </w:tcPr>
          <w:p>
            <w:pPr>
              <w:pStyle w:val="MDPI42tablebody"/>
              <w:keepNext/>
              <w:spacing w:line="240" w:lineRule="auto" w:before="30" w:after="30"/>
              <w:jc w:val="center"/>
            </w:pPr>
            <w:r>
              <w:rPr>
                <w:b w:val="0"/>
                <w:i w:val="0"/>
                <w:sz w:val="18"/>
              </w:rPr>
              <w:t>Yes</w:t>
            </w:r>
          </w:p>
        </w:tc>
        <w:tc>
          <w:tcPr>
            <w:tcW w:type="dxa" w:w="1178"/>
          </w:tcPr>
          <w:p>
            <w:pPr>
              <w:pStyle w:val="MDPI42tablebody"/>
              <w:keepNext/>
              <w:spacing w:line="240" w:lineRule="auto" w:before="30" w:after="30"/>
              <w:jc w:val="center"/>
            </w:pPr>
            <w:r>
              <w:rPr>
                <w:b w:val="0"/>
                <w:i w:val="0"/>
                <w:sz w:val="18"/>
              </w:rPr>
              <w:t>Yes</w:t>
            </w:r>
          </w:p>
        </w:tc>
        <w:tc>
          <w:tcPr>
            <w:tcW w:type="dxa" w:w="1178"/>
          </w:tcPr>
          <w:p>
            <w:pPr>
              <w:pStyle w:val="MDPI42tablebody"/>
              <w:keepNext/>
              <w:spacing w:line="240" w:lineRule="auto" w:before="30" w:after="30"/>
              <w:jc w:val="center"/>
            </w:pPr>
            <w:r>
              <w:rPr>
                <w:b w:val="0"/>
                <w:i w:val="0"/>
                <w:sz w:val="18"/>
              </w:rPr>
              <w:t>Yes</w:t>
            </w:r>
          </w:p>
        </w:tc>
        <w:tc>
          <w:tcPr>
            <w:tcW w:type="dxa" w:w="1178"/>
          </w:tcPr>
          <w:p>
            <w:pPr>
              <w:pStyle w:val="MDPI42tablebody"/>
              <w:keepNext/>
              <w:spacing w:line="240" w:lineRule="auto" w:before="30" w:after="30"/>
              <w:jc w:val="center"/>
            </w:pPr>
            <w:r>
              <w:rPr>
                <w:b w:val="0"/>
                <w:i w:val="0"/>
                <w:sz w:val="18"/>
              </w:rPr>
              <w:t>Yes</w:t>
            </w:r>
          </w:p>
        </w:tc>
      </w:tr>
      <w:tr>
        <w:trPr>
          <w:cantSplit/>
        </w:trPr>
        <w:tc>
          <w:tcPr>
            <w:tcW w:type="dxa" w:w="1964"/>
          </w:tcPr>
          <w:p>
            <w:pPr>
              <w:pStyle w:val="MDPI42tablebody"/>
              <w:keepNext/>
              <w:spacing w:line="240" w:lineRule="auto" w:before="30" w:after="30"/>
              <w:jc w:val="left"/>
            </w:pPr>
            <w:r>
              <w:rPr>
                <w:b w:val="0"/>
                <w:i w:val="0"/>
                <w:sz w:val="18"/>
              </w:rPr>
              <w:t>Observations</w:t>
            </w:r>
          </w:p>
        </w:tc>
        <w:tc>
          <w:tcPr>
            <w:tcW w:type="dxa" w:w="1178"/>
          </w:tcPr>
          <w:p>
            <w:pPr>
              <w:pStyle w:val="MDPI42tablebody"/>
              <w:keepNext/>
              <w:spacing w:line="240" w:lineRule="auto" w:before="30" w:after="30"/>
              <w:jc w:val="center"/>
            </w:pPr>
            <w:r>
              <w:rPr>
                <w:b w:val="0"/>
                <w:i w:val="0"/>
                <w:sz w:val="18"/>
              </w:rPr>
              <w:t>914</w:t>
            </w:r>
          </w:p>
        </w:tc>
        <w:tc>
          <w:tcPr>
            <w:tcW w:type="dxa" w:w="1178"/>
          </w:tcPr>
          <w:p>
            <w:pPr>
              <w:pStyle w:val="MDPI42tablebody"/>
              <w:keepNext/>
              <w:spacing w:line="240" w:lineRule="auto" w:before="30" w:after="30"/>
              <w:jc w:val="center"/>
            </w:pPr>
            <w:r>
              <w:rPr>
                <w:b w:val="0"/>
                <w:i w:val="0"/>
                <w:sz w:val="18"/>
              </w:rPr>
              <w:t>914</w:t>
            </w:r>
          </w:p>
        </w:tc>
        <w:tc>
          <w:tcPr>
            <w:tcW w:type="dxa" w:w="1178"/>
          </w:tcPr>
          <w:p>
            <w:pPr>
              <w:pStyle w:val="MDPI42tablebody"/>
              <w:keepNext/>
              <w:spacing w:line="240" w:lineRule="auto" w:before="30" w:after="30"/>
              <w:jc w:val="center"/>
            </w:pPr>
            <w:r>
              <w:rPr>
                <w:b w:val="0"/>
                <w:i w:val="0"/>
                <w:sz w:val="18"/>
              </w:rPr>
              <w:t>914</w:t>
            </w:r>
          </w:p>
        </w:tc>
        <w:tc>
          <w:tcPr>
            <w:tcW w:type="dxa" w:w="1178"/>
          </w:tcPr>
          <w:p>
            <w:pPr>
              <w:pStyle w:val="MDPI42tablebody"/>
              <w:keepNext/>
              <w:spacing w:line="240" w:lineRule="auto" w:before="30" w:after="30"/>
              <w:jc w:val="center"/>
            </w:pPr>
            <w:r>
              <w:rPr>
                <w:b w:val="0"/>
                <w:i w:val="0"/>
                <w:sz w:val="18"/>
              </w:rPr>
              <w:t>914</w:t>
            </w:r>
          </w:p>
        </w:tc>
        <w:tc>
          <w:tcPr>
            <w:tcW w:type="dxa" w:w="1178"/>
          </w:tcPr>
          <w:p>
            <w:pPr>
              <w:pStyle w:val="MDPI42tablebody"/>
              <w:keepNext/>
              <w:spacing w:line="240" w:lineRule="auto" w:before="30" w:after="30"/>
              <w:jc w:val="center"/>
            </w:pPr>
            <w:r>
              <w:rPr>
                <w:b w:val="0"/>
                <w:i w:val="0"/>
                <w:sz w:val="18"/>
              </w:rPr>
              <w:t>1,247</w:t>
            </w:r>
          </w:p>
        </w:tc>
      </w:tr>
      <w:tr>
        <w:trPr>
          <w:cantSplit/>
        </w:trPr>
        <w:tc>
          <w:tcPr>
            <w:tcW w:type="dxa" w:w="1964"/>
          </w:tcPr>
          <w:p>
            <w:pPr>
              <w:pStyle w:val="MDPI42tablebody"/>
              <w:keepNext/>
              <w:spacing w:line="240" w:lineRule="auto" w:before="30" w:after="30"/>
              <w:jc w:val="left"/>
            </w:pPr>
            <w:r>
              <w:rPr>
                <w:b w:val="0"/>
                <w:i w:val="0"/>
                <w:sz w:val="18"/>
              </w:rPr>
              <w:t>R²</w:t>
            </w:r>
          </w:p>
        </w:tc>
        <w:tc>
          <w:tcPr>
            <w:tcW w:type="dxa" w:w="1178"/>
          </w:tcPr>
          <w:p>
            <w:pPr>
              <w:pStyle w:val="MDPI42tablebody"/>
              <w:keepNext/>
              <w:spacing w:line="240" w:lineRule="auto" w:before="30" w:after="30"/>
              <w:jc w:val="center"/>
            </w:pPr>
            <w:r>
              <w:rPr>
                <w:b w:val="0"/>
                <w:i w:val="0"/>
                <w:sz w:val="18"/>
              </w:rPr>
              <w:t>0.231</w:t>
            </w:r>
          </w:p>
        </w:tc>
        <w:tc>
          <w:tcPr>
            <w:tcW w:type="dxa" w:w="1178"/>
          </w:tcPr>
          <w:p>
            <w:pPr>
              <w:pStyle w:val="MDPI42tablebody"/>
              <w:keepNext/>
              <w:spacing w:line="240" w:lineRule="auto" w:before="30" w:after="30"/>
              <w:jc w:val="center"/>
            </w:pPr>
            <w:r>
              <w:rPr>
                <w:b w:val="0"/>
                <w:i w:val="0"/>
                <w:sz w:val="18"/>
              </w:rPr>
              <w:t>0.245</w:t>
            </w:r>
          </w:p>
        </w:tc>
        <w:tc>
          <w:tcPr>
            <w:tcW w:type="dxa" w:w="1178"/>
          </w:tcPr>
          <w:p>
            <w:pPr>
              <w:pStyle w:val="MDPI42tablebody"/>
              <w:keepNext/>
              <w:spacing w:line="240" w:lineRule="auto" w:before="30" w:after="30"/>
              <w:jc w:val="center"/>
            </w:pPr>
            <w:r>
              <w:rPr>
                <w:b w:val="0"/>
                <w:i w:val="0"/>
                <w:sz w:val="18"/>
              </w:rPr>
              <w:t>0.273</w:t>
            </w:r>
          </w:p>
        </w:tc>
        <w:tc>
          <w:tcPr>
            <w:tcW w:type="dxa" w:w="1178"/>
          </w:tcPr>
          <w:p>
            <w:pPr>
              <w:pStyle w:val="MDPI42tablebody"/>
              <w:keepNext/>
              <w:spacing w:line="240" w:lineRule="auto" w:before="30" w:after="30"/>
              <w:jc w:val="center"/>
            </w:pPr>
            <w:r>
              <w:rPr>
                <w:b w:val="0"/>
                <w:i w:val="0"/>
                <w:sz w:val="18"/>
              </w:rPr>
              <w:t>0.296</w:t>
            </w:r>
          </w:p>
        </w:tc>
        <w:tc>
          <w:tcPr>
            <w:tcW w:type="dxa" w:w="1178"/>
          </w:tcPr>
          <w:p>
            <w:pPr>
              <w:pStyle w:val="MDPI42tablebody"/>
              <w:keepNext/>
              <w:spacing w:line="240" w:lineRule="auto" w:before="30" w:after="30"/>
              <w:jc w:val="center"/>
            </w:pPr>
            <w:r>
              <w:rPr>
                <w:b w:val="0"/>
                <w:i w:val="0"/>
                <w:sz w:val="18"/>
              </w:rPr>
              <w:t>0.271</w:t>
            </w:r>
          </w:p>
        </w:tc>
      </w:tr>
    </w:tbl>
    <w:p>
      <w:pPr>
        <w:pStyle w:val="MDPI43tablefooter"/>
        <w:spacing w:line="240" w:lineRule="auto" w:before="40" w:after="200"/>
        <w:ind w:left="2608" w:firstLine="0"/>
      </w:pPr>
      <w:r>
        <w:rPr>
          <w:sz w:val="16"/>
        </w:rPr>
        <w:t xml:space="preserve">Note: </w:t>
      </w:r>
      <w:r>
        <w:rPr>
          <w:b w:val="0"/>
          <w:i w:val="0"/>
          <w:sz w:val="16"/>
        </w:rPr>
        <w:t>The dependent variable is AI-related career anxiety, standardized. Column (1) omits controls; columns (2)–(4) add controls, support, and the interaction on the matched sample; column (5) repeats column (4) on the full first-wave sample. Values in parentheses are heteroskedasticity-consistent (HC3) standard errors. ***, ** and * denote significance at the 1%, 5% and 10% levels, respectively. Source: authors’ own calculations.</w:t>
      </w:r>
    </w:p>
    <w:p>
      <w:pPr>
        <w:pStyle w:val="MDPI22heading2"/>
      </w:pPr>
      <w:r>
        <w:t>4.4. Second Stage: The Inverted U of Adaptation (H2, H5a)</w:t>
      </w:r>
    </w:p>
    <w:p>
      <w:pPr>
        <w:pStyle w:val="MDPI32textnoindent"/>
      </w:pPr>
      <w:r>
        <w:rPr>
          <w:b w:val="0"/>
          <w:i w:val="0"/>
        </w:rPr>
        <w:t>Table 7 estimates Equation (2). Column (1), the naive linear specification, is exactly the regression a non-systems reading would run, and it is nearly silent: anxiety appears to matter little for adaptation. Column (2) adds the square and the picture inverts: the linear term is 0.174 and the quadratic is −0.237 (SE 0.025), significant at any conventional level, and the within-sample fit improves by 0.099 in R². Columns (3) and (4) add the literacy interaction and the full antecedent set; the curvature is untouched. Column (5) re-estimates column (4) with standard errors clustered on the twenty occupation groups, anticipating the concern that occupation-level shocks correlate residuals; the conclusion stands, and the wild-cluster bootstrap of Section 4.9 sharpens it.</w:t>
      </w:r>
    </w:p>
    <w:p>
      <w:pPr>
        <w:pStyle w:val="MDPI41tablecaption"/>
        <w:keepNext/>
        <w:spacing w:after="60"/>
      </w:pPr>
      <w:r>
        <w:rPr>
          <w:b/>
          <w:sz w:val="18"/>
        </w:rPr>
        <w:t xml:space="preserve">Table 7. </w:t>
      </w:r>
      <w:r>
        <w:rPr>
          <w:b w:val="0"/>
          <w:i w:val="0"/>
          <w:sz w:val="18"/>
        </w:rPr>
        <w:t>Second stage: the curvilinear conversion of anxiety into adaptation (H2, H5a).</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964"/>
        <w:gridCol w:w="1178"/>
        <w:gridCol w:w="1178"/>
        <w:gridCol w:w="1178"/>
        <w:gridCol w:w="1178"/>
        <w:gridCol w:w="1178"/>
      </w:tblGrid>
      <w:tr>
        <w:trPr>
          <w:cantSplit/>
          <w:tblHeader/>
        </w:trPr>
        <w:tc>
          <w:tcPr>
            <w:tcW w:type="dxa" w:w="1964"/>
            <w:tcBorders>
              <w:bottom w:val="single" w:sz="8" w:space="0" w:color="auto"/>
            </w:tcBorders>
          </w:tcPr>
          <w:p>
            <w:pPr>
              <w:pStyle w:val="MDPI42tablebody"/>
              <w:keepNext/>
              <w:spacing w:line="240" w:lineRule="auto" w:before="30" w:after="30"/>
              <w:jc w:val="center"/>
            </w:pPr>
          </w:p>
        </w:tc>
        <w:tc>
          <w:tcPr>
            <w:tcW w:type="dxa" w:w="1178"/>
            <w:tcBorders>
              <w:bottom w:val="single" w:sz="8" w:space="0" w:color="auto"/>
            </w:tcBorders>
          </w:tcPr>
          <w:p>
            <w:pPr>
              <w:pStyle w:val="MDPI42tablebody"/>
              <w:keepNext/>
              <w:spacing w:line="240" w:lineRule="auto" w:before="30" w:after="30"/>
              <w:jc w:val="center"/>
            </w:pPr>
            <w:r>
              <w:rPr>
                <w:b/>
                <w:i w:val="0"/>
                <w:sz w:val="18"/>
              </w:rPr>
              <w:t>(1)</w:t>
            </w:r>
          </w:p>
        </w:tc>
        <w:tc>
          <w:tcPr>
            <w:tcW w:type="dxa" w:w="1178"/>
            <w:tcBorders>
              <w:bottom w:val="single" w:sz="8" w:space="0" w:color="auto"/>
            </w:tcBorders>
          </w:tcPr>
          <w:p>
            <w:pPr>
              <w:pStyle w:val="MDPI42tablebody"/>
              <w:keepNext/>
              <w:spacing w:line="240" w:lineRule="auto" w:before="30" w:after="30"/>
              <w:jc w:val="center"/>
            </w:pPr>
            <w:r>
              <w:rPr>
                <w:b/>
                <w:i w:val="0"/>
                <w:sz w:val="18"/>
              </w:rPr>
              <w:t>(2)</w:t>
            </w:r>
          </w:p>
        </w:tc>
        <w:tc>
          <w:tcPr>
            <w:tcW w:type="dxa" w:w="1178"/>
            <w:tcBorders>
              <w:bottom w:val="single" w:sz="8" w:space="0" w:color="auto"/>
            </w:tcBorders>
          </w:tcPr>
          <w:p>
            <w:pPr>
              <w:pStyle w:val="MDPI42tablebody"/>
              <w:keepNext/>
              <w:spacing w:line="240" w:lineRule="auto" w:before="30" w:after="30"/>
              <w:jc w:val="center"/>
            </w:pPr>
            <w:r>
              <w:rPr>
                <w:b/>
                <w:i w:val="0"/>
                <w:sz w:val="18"/>
              </w:rPr>
              <w:t>(3)</w:t>
            </w:r>
          </w:p>
        </w:tc>
        <w:tc>
          <w:tcPr>
            <w:tcW w:type="dxa" w:w="1178"/>
            <w:tcBorders>
              <w:bottom w:val="single" w:sz="8" w:space="0" w:color="auto"/>
            </w:tcBorders>
          </w:tcPr>
          <w:p>
            <w:pPr>
              <w:pStyle w:val="MDPI42tablebody"/>
              <w:keepNext/>
              <w:spacing w:line="240" w:lineRule="auto" w:before="30" w:after="30"/>
              <w:jc w:val="center"/>
            </w:pPr>
            <w:r>
              <w:rPr>
                <w:b/>
                <w:i w:val="0"/>
                <w:sz w:val="18"/>
              </w:rPr>
              <w:t>(4)</w:t>
            </w:r>
          </w:p>
        </w:tc>
        <w:tc>
          <w:tcPr>
            <w:tcW w:type="dxa" w:w="1178"/>
            <w:tcBorders>
              <w:bottom w:val="single" w:sz="8" w:space="0" w:color="auto"/>
            </w:tcBorders>
          </w:tcPr>
          <w:p>
            <w:pPr>
              <w:pStyle w:val="MDPI42tablebody"/>
              <w:keepNext/>
              <w:spacing w:line="240" w:lineRule="auto" w:before="30" w:after="30"/>
              <w:jc w:val="center"/>
            </w:pPr>
            <w:r>
              <w:rPr>
                <w:b/>
                <w:i w:val="0"/>
                <w:sz w:val="18"/>
              </w:rPr>
              <w:t>(5)</w:t>
            </w:r>
          </w:p>
        </w:tc>
      </w:tr>
      <w:tr>
        <w:trPr>
          <w:cantSplit/>
        </w:trPr>
        <w:tc>
          <w:tcPr>
            <w:tcW w:type="dxa" w:w="1964"/>
          </w:tcPr>
          <w:p>
            <w:pPr>
              <w:pStyle w:val="MDPI42tablebody"/>
              <w:keepNext/>
              <w:spacing w:line="240" w:lineRule="auto" w:before="30" w:after="30"/>
              <w:jc w:val="left"/>
            </w:pPr>
            <w:r>
              <w:rPr>
                <w:b w:val="0"/>
                <w:i w:val="0"/>
                <w:sz w:val="18"/>
              </w:rPr>
              <w:t>ANX</w:t>
            </w:r>
          </w:p>
        </w:tc>
        <w:tc>
          <w:tcPr>
            <w:tcW w:type="dxa" w:w="1178"/>
          </w:tcPr>
          <w:p>
            <w:pPr>
              <w:pStyle w:val="MDPI42tablebody"/>
              <w:keepNext/>
              <w:spacing w:line="240" w:lineRule="auto" w:before="30" w:after="30"/>
              <w:jc w:val="center"/>
            </w:pPr>
            <w:r>
              <w:rPr>
                <w:b w:val="0"/>
                <w:i w:val="0"/>
                <w:sz w:val="18"/>
              </w:rPr>
              <w:t>0.149***</w:t>
            </w:r>
          </w:p>
        </w:tc>
        <w:tc>
          <w:tcPr>
            <w:tcW w:type="dxa" w:w="1178"/>
          </w:tcPr>
          <w:p>
            <w:pPr>
              <w:pStyle w:val="MDPI42tablebody"/>
              <w:keepNext/>
              <w:spacing w:line="240" w:lineRule="auto" w:before="30" w:after="30"/>
              <w:jc w:val="center"/>
            </w:pPr>
            <w:r>
              <w:rPr>
                <w:b w:val="0"/>
                <w:i w:val="0"/>
                <w:sz w:val="18"/>
              </w:rPr>
              <w:t>0.152***</w:t>
            </w:r>
          </w:p>
        </w:tc>
        <w:tc>
          <w:tcPr>
            <w:tcW w:type="dxa" w:w="1178"/>
          </w:tcPr>
          <w:p>
            <w:pPr>
              <w:pStyle w:val="MDPI42tablebody"/>
              <w:keepNext/>
              <w:spacing w:line="240" w:lineRule="auto" w:before="30" w:after="30"/>
              <w:jc w:val="center"/>
            </w:pPr>
            <w:r>
              <w:rPr>
                <w:b w:val="0"/>
                <w:i w:val="0"/>
                <w:sz w:val="18"/>
              </w:rPr>
              <w:t>0.153***</w:t>
            </w:r>
          </w:p>
        </w:tc>
        <w:tc>
          <w:tcPr>
            <w:tcW w:type="dxa" w:w="1178"/>
          </w:tcPr>
          <w:p>
            <w:pPr>
              <w:pStyle w:val="MDPI42tablebody"/>
              <w:keepNext/>
              <w:spacing w:line="240" w:lineRule="auto" w:before="30" w:after="30"/>
              <w:jc w:val="center"/>
            </w:pPr>
            <w:r>
              <w:rPr>
                <w:b w:val="0"/>
                <w:i w:val="0"/>
                <w:sz w:val="18"/>
              </w:rPr>
              <w:t>0.174***</w:t>
            </w:r>
          </w:p>
        </w:tc>
        <w:tc>
          <w:tcPr>
            <w:tcW w:type="dxa" w:w="1178"/>
          </w:tcPr>
          <w:p>
            <w:pPr>
              <w:pStyle w:val="MDPI42tablebody"/>
              <w:keepNext/>
              <w:spacing w:line="240" w:lineRule="auto" w:before="30" w:after="30"/>
              <w:jc w:val="center"/>
            </w:pPr>
            <w:r>
              <w:rPr>
                <w:b w:val="0"/>
                <w:i w:val="0"/>
                <w:sz w:val="18"/>
              </w:rPr>
              <w:t>0.174***</w:t>
            </w:r>
          </w:p>
        </w:tc>
      </w:tr>
      <w:tr>
        <w:trPr>
          <w:cantSplit/>
        </w:trPr>
        <w:tc>
          <w:tcPr>
            <w:tcW w:type="dxa" w:w="1964"/>
          </w:tcPr>
          <w:p>
            <w:pPr>
              <w:pStyle w:val="MDPI42tablebody"/>
              <w:keepNext/>
              <w:spacing w:line="240" w:lineRule="auto" w:before="30" w:after="30"/>
              <w:jc w:val="left"/>
            </w:pPr>
          </w:p>
        </w:tc>
        <w:tc>
          <w:tcPr>
            <w:tcW w:type="dxa" w:w="1178"/>
          </w:tcPr>
          <w:p>
            <w:pPr>
              <w:pStyle w:val="MDPI42tablebody"/>
              <w:keepNext/>
              <w:spacing w:line="240" w:lineRule="auto" w:before="30" w:after="30"/>
              <w:jc w:val="center"/>
            </w:pPr>
            <w:r>
              <w:rPr>
                <w:b w:val="0"/>
                <w:i w:val="0"/>
                <w:sz w:val="18"/>
              </w:rPr>
              <w:t>(0.037)</w:t>
            </w:r>
          </w:p>
        </w:tc>
        <w:tc>
          <w:tcPr>
            <w:tcW w:type="dxa" w:w="1178"/>
          </w:tcPr>
          <w:p>
            <w:pPr>
              <w:pStyle w:val="MDPI42tablebody"/>
              <w:keepNext/>
              <w:spacing w:line="240" w:lineRule="auto" w:before="30" w:after="30"/>
              <w:jc w:val="center"/>
            </w:pPr>
            <w:r>
              <w:rPr>
                <w:b w:val="0"/>
                <w:i w:val="0"/>
                <w:sz w:val="18"/>
              </w:rPr>
              <w:t>(0.031)</w:t>
            </w:r>
          </w:p>
        </w:tc>
        <w:tc>
          <w:tcPr>
            <w:tcW w:type="dxa" w:w="1178"/>
          </w:tcPr>
          <w:p>
            <w:pPr>
              <w:pStyle w:val="MDPI42tablebody"/>
              <w:keepNext/>
              <w:spacing w:line="240" w:lineRule="auto" w:before="30" w:after="30"/>
              <w:jc w:val="center"/>
            </w:pPr>
            <w:r>
              <w:rPr>
                <w:b w:val="0"/>
                <w:i w:val="0"/>
                <w:sz w:val="18"/>
              </w:rPr>
              <w:t>(0.030)</w:t>
            </w:r>
          </w:p>
        </w:tc>
        <w:tc>
          <w:tcPr>
            <w:tcW w:type="dxa" w:w="1178"/>
          </w:tcPr>
          <w:p>
            <w:pPr>
              <w:pStyle w:val="MDPI42tablebody"/>
              <w:keepNext/>
              <w:spacing w:line="240" w:lineRule="auto" w:before="30" w:after="30"/>
              <w:jc w:val="center"/>
            </w:pPr>
            <w:r>
              <w:rPr>
                <w:b w:val="0"/>
                <w:i w:val="0"/>
                <w:sz w:val="18"/>
              </w:rPr>
              <w:t>(0.034)</w:t>
            </w:r>
          </w:p>
        </w:tc>
        <w:tc>
          <w:tcPr>
            <w:tcW w:type="dxa" w:w="1178"/>
          </w:tcPr>
          <w:p>
            <w:pPr>
              <w:pStyle w:val="MDPI42tablebody"/>
              <w:keepNext/>
              <w:spacing w:line="240" w:lineRule="auto" w:before="30" w:after="30"/>
              <w:jc w:val="center"/>
            </w:pPr>
            <w:r>
              <w:rPr>
                <w:b w:val="0"/>
                <w:i w:val="0"/>
                <w:sz w:val="18"/>
              </w:rPr>
              <w:t>(0.030)</w:t>
            </w:r>
          </w:p>
        </w:tc>
      </w:tr>
      <w:tr>
        <w:trPr>
          <w:cantSplit/>
        </w:trPr>
        <w:tc>
          <w:tcPr>
            <w:tcW w:type="dxa" w:w="1964"/>
          </w:tcPr>
          <w:p>
            <w:pPr>
              <w:pStyle w:val="MDPI42tablebody"/>
              <w:keepNext/>
              <w:spacing w:line="240" w:lineRule="auto" w:before="30" w:after="30"/>
              <w:jc w:val="left"/>
            </w:pPr>
            <w:r>
              <w:rPr>
                <w:b w:val="0"/>
                <w:i w:val="0"/>
                <w:sz w:val="18"/>
              </w:rPr>
              <w:t>ANX²</w:t>
            </w: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−0.266***</w:t>
            </w:r>
          </w:p>
        </w:tc>
        <w:tc>
          <w:tcPr>
            <w:tcW w:type="dxa" w:w="1178"/>
          </w:tcPr>
          <w:p>
            <w:pPr>
              <w:pStyle w:val="MDPI42tablebody"/>
              <w:keepNext/>
              <w:spacing w:line="240" w:lineRule="auto" w:before="30" w:after="30"/>
              <w:jc w:val="center"/>
            </w:pPr>
            <w:r>
              <w:rPr>
                <w:b w:val="0"/>
                <w:i w:val="0"/>
                <w:sz w:val="18"/>
              </w:rPr>
              <w:t>−0.256***</w:t>
            </w:r>
          </w:p>
        </w:tc>
        <w:tc>
          <w:tcPr>
            <w:tcW w:type="dxa" w:w="1178"/>
          </w:tcPr>
          <w:p>
            <w:pPr>
              <w:pStyle w:val="MDPI42tablebody"/>
              <w:keepNext/>
              <w:spacing w:line="240" w:lineRule="auto" w:before="30" w:after="30"/>
              <w:jc w:val="center"/>
            </w:pPr>
            <w:r>
              <w:rPr>
                <w:b w:val="0"/>
                <w:i w:val="0"/>
                <w:sz w:val="18"/>
              </w:rPr>
              <w:t>−0.237***</w:t>
            </w:r>
          </w:p>
        </w:tc>
        <w:tc>
          <w:tcPr>
            <w:tcW w:type="dxa" w:w="1178"/>
          </w:tcPr>
          <w:p>
            <w:pPr>
              <w:pStyle w:val="MDPI42tablebody"/>
              <w:keepNext/>
              <w:spacing w:line="240" w:lineRule="auto" w:before="30" w:after="30"/>
              <w:jc w:val="center"/>
            </w:pPr>
            <w:r>
              <w:rPr>
                <w:b w:val="0"/>
                <w:i w:val="0"/>
                <w:sz w:val="18"/>
              </w:rPr>
              <w:t>−0.237***</w:t>
            </w:r>
          </w:p>
        </w:tc>
      </w:tr>
      <w:tr>
        <w:trPr>
          <w:cantSplit/>
        </w:trPr>
        <w:tc>
          <w:tcPr>
            <w:tcW w:type="dxa" w:w="1964"/>
          </w:tcPr>
          <w:p>
            <w:pPr>
              <w:pStyle w:val="MDPI42tablebody"/>
              <w:keepNext/>
              <w:spacing w:line="240" w:lineRule="auto" w:before="30" w:after="30"/>
              <w:jc w:val="left"/>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(0.027)</w:t>
            </w:r>
          </w:p>
        </w:tc>
        <w:tc>
          <w:tcPr>
            <w:tcW w:type="dxa" w:w="1178"/>
          </w:tcPr>
          <w:p>
            <w:pPr>
              <w:pStyle w:val="MDPI42tablebody"/>
              <w:keepNext/>
              <w:spacing w:line="240" w:lineRule="auto" w:before="30" w:after="30"/>
              <w:jc w:val="center"/>
            </w:pPr>
            <w:r>
              <w:rPr>
                <w:b w:val="0"/>
                <w:i w:val="0"/>
                <w:sz w:val="18"/>
              </w:rPr>
              <w:t>(0.026)</w:t>
            </w:r>
          </w:p>
        </w:tc>
        <w:tc>
          <w:tcPr>
            <w:tcW w:type="dxa" w:w="1178"/>
          </w:tcPr>
          <w:p>
            <w:pPr>
              <w:pStyle w:val="MDPI42tablebody"/>
              <w:keepNext/>
              <w:spacing w:line="240" w:lineRule="auto" w:before="30" w:after="30"/>
              <w:jc w:val="center"/>
            </w:pPr>
            <w:r>
              <w:rPr>
                <w:b w:val="0"/>
                <w:i w:val="0"/>
                <w:sz w:val="18"/>
              </w:rPr>
              <w:t>(0.025)</w:t>
            </w:r>
          </w:p>
        </w:tc>
        <w:tc>
          <w:tcPr>
            <w:tcW w:type="dxa" w:w="1178"/>
          </w:tcPr>
          <w:p>
            <w:pPr>
              <w:pStyle w:val="MDPI42tablebody"/>
              <w:keepNext/>
              <w:spacing w:line="240" w:lineRule="auto" w:before="30" w:after="30"/>
              <w:jc w:val="center"/>
            </w:pPr>
            <w:r>
              <w:rPr>
                <w:b w:val="0"/>
                <w:i w:val="0"/>
                <w:sz w:val="18"/>
              </w:rPr>
              <w:t>(0.020)</w:t>
            </w:r>
          </w:p>
        </w:tc>
      </w:tr>
      <w:tr>
        <w:trPr>
          <w:cantSplit/>
        </w:trPr>
        <w:tc>
          <w:tcPr>
            <w:tcW w:type="dxa" w:w="1964"/>
          </w:tcPr>
          <w:p>
            <w:pPr>
              <w:pStyle w:val="MDPI42tablebody"/>
              <w:keepNext/>
              <w:spacing w:line="240" w:lineRule="auto" w:before="30" w:after="30"/>
              <w:jc w:val="left"/>
            </w:pPr>
            <w:r>
              <w:rPr>
                <w:b w:val="0"/>
                <w:i w:val="0"/>
                <w:sz w:val="18"/>
              </w:rPr>
              <w:t>LIT</w:t>
            </w: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0.278***</w:t>
            </w:r>
          </w:p>
        </w:tc>
        <w:tc>
          <w:tcPr>
            <w:tcW w:type="dxa" w:w="1178"/>
          </w:tcPr>
          <w:p>
            <w:pPr>
              <w:pStyle w:val="MDPI42tablebody"/>
              <w:keepNext/>
              <w:spacing w:line="240" w:lineRule="auto" w:before="30" w:after="30"/>
              <w:jc w:val="center"/>
            </w:pPr>
            <w:r>
              <w:rPr>
                <w:b w:val="0"/>
                <w:i w:val="0"/>
                <w:sz w:val="18"/>
              </w:rPr>
              <w:t>0.279***</w:t>
            </w:r>
          </w:p>
        </w:tc>
        <w:tc>
          <w:tcPr>
            <w:tcW w:type="dxa" w:w="1178"/>
          </w:tcPr>
          <w:p>
            <w:pPr>
              <w:pStyle w:val="MDPI42tablebody"/>
              <w:keepNext/>
              <w:spacing w:line="240" w:lineRule="auto" w:before="30" w:after="30"/>
              <w:jc w:val="center"/>
            </w:pPr>
            <w:r>
              <w:rPr>
                <w:b w:val="0"/>
                <w:i w:val="0"/>
                <w:sz w:val="18"/>
              </w:rPr>
              <w:t>0.279***</w:t>
            </w:r>
          </w:p>
        </w:tc>
      </w:tr>
      <w:tr>
        <w:trPr>
          <w:cantSplit/>
        </w:trPr>
        <w:tc>
          <w:tcPr>
            <w:tcW w:type="dxa" w:w="1964"/>
          </w:tcPr>
          <w:p>
            <w:pPr>
              <w:pStyle w:val="MDPI42tablebody"/>
              <w:keepNext/>
              <w:spacing w:line="240" w:lineRule="auto" w:before="30" w:after="30"/>
              <w:jc w:val="left"/>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(0.030)</w:t>
            </w:r>
          </w:p>
        </w:tc>
        <w:tc>
          <w:tcPr>
            <w:tcW w:type="dxa" w:w="1178"/>
          </w:tcPr>
          <w:p>
            <w:pPr>
              <w:pStyle w:val="MDPI42tablebody"/>
              <w:keepNext/>
              <w:spacing w:line="240" w:lineRule="auto" w:before="30" w:after="30"/>
              <w:jc w:val="center"/>
            </w:pPr>
            <w:r>
              <w:rPr>
                <w:b w:val="0"/>
                <w:i w:val="0"/>
                <w:sz w:val="18"/>
              </w:rPr>
              <w:t>(0.029)</w:t>
            </w:r>
          </w:p>
        </w:tc>
        <w:tc>
          <w:tcPr>
            <w:tcW w:type="dxa" w:w="1178"/>
          </w:tcPr>
          <w:p>
            <w:pPr>
              <w:pStyle w:val="MDPI42tablebody"/>
              <w:keepNext/>
              <w:spacing w:line="240" w:lineRule="auto" w:before="30" w:after="30"/>
              <w:jc w:val="center"/>
            </w:pPr>
            <w:r>
              <w:rPr>
                <w:b w:val="0"/>
                <w:i w:val="0"/>
                <w:sz w:val="18"/>
              </w:rPr>
              <w:t>(0.028)</w:t>
            </w:r>
          </w:p>
        </w:tc>
      </w:tr>
      <w:tr>
        <w:trPr>
          <w:cantSplit/>
        </w:trPr>
        <w:tc>
          <w:tcPr>
            <w:tcW w:type="dxa" w:w="1964"/>
          </w:tcPr>
          <w:p>
            <w:pPr>
              <w:pStyle w:val="MDPI42tablebody"/>
              <w:keepNext/>
              <w:spacing w:line="240" w:lineRule="auto" w:before="30" w:after="30"/>
              <w:jc w:val="left"/>
            </w:pPr>
            <w:r>
              <w:rPr>
                <w:b w:val="0"/>
                <w:i w:val="0"/>
                <w:sz w:val="18"/>
              </w:rPr>
              <w:t>ANX × LIT</w:t>
            </w: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0.138***</w:t>
            </w:r>
          </w:p>
        </w:tc>
        <w:tc>
          <w:tcPr>
            <w:tcW w:type="dxa" w:w="1178"/>
          </w:tcPr>
          <w:p>
            <w:pPr>
              <w:pStyle w:val="MDPI42tablebody"/>
              <w:keepNext/>
              <w:spacing w:line="240" w:lineRule="auto" w:before="30" w:after="30"/>
              <w:jc w:val="center"/>
            </w:pPr>
            <w:r>
              <w:rPr>
                <w:b w:val="0"/>
                <w:i w:val="0"/>
                <w:sz w:val="18"/>
              </w:rPr>
              <w:t>0.139***</w:t>
            </w:r>
          </w:p>
        </w:tc>
        <w:tc>
          <w:tcPr>
            <w:tcW w:type="dxa" w:w="1178"/>
          </w:tcPr>
          <w:p>
            <w:pPr>
              <w:pStyle w:val="MDPI42tablebody"/>
              <w:keepNext/>
              <w:spacing w:line="240" w:lineRule="auto" w:before="30" w:after="30"/>
              <w:jc w:val="center"/>
            </w:pPr>
            <w:r>
              <w:rPr>
                <w:b w:val="0"/>
                <w:i w:val="0"/>
                <w:sz w:val="18"/>
              </w:rPr>
              <w:t>0.139***</w:t>
            </w:r>
          </w:p>
        </w:tc>
      </w:tr>
      <w:tr>
        <w:trPr>
          <w:cantSplit/>
        </w:trPr>
        <w:tc>
          <w:tcPr>
            <w:tcW w:type="dxa" w:w="1964"/>
          </w:tcPr>
          <w:p>
            <w:pPr>
              <w:pStyle w:val="MDPI42tablebody"/>
              <w:keepNext/>
              <w:spacing w:line="240" w:lineRule="auto" w:before="30" w:after="30"/>
              <w:jc w:val="left"/>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(0.029)</w:t>
            </w:r>
          </w:p>
        </w:tc>
        <w:tc>
          <w:tcPr>
            <w:tcW w:type="dxa" w:w="1178"/>
          </w:tcPr>
          <w:p>
            <w:pPr>
              <w:pStyle w:val="MDPI42tablebody"/>
              <w:keepNext/>
              <w:spacing w:line="240" w:lineRule="auto" w:before="30" w:after="30"/>
              <w:jc w:val="center"/>
            </w:pPr>
            <w:r>
              <w:rPr>
                <w:b w:val="0"/>
                <w:i w:val="0"/>
                <w:sz w:val="18"/>
              </w:rPr>
              <w:t>(0.029)</w:t>
            </w:r>
          </w:p>
        </w:tc>
        <w:tc>
          <w:tcPr>
            <w:tcW w:type="dxa" w:w="1178"/>
          </w:tcPr>
          <w:p>
            <w:pPr>
              <w:pStyle w:val="MDPI42tablebody"/>
              <w:keepNext/>
              <w:spacing w:line="240" w:lineRule="auto" w:before="30" w:after="30"/>
              <w:jc w:val="center"/>
            </w:pPr>
            <w:r>
              <w:rPr>
                <w:b w:val="0"/>
                <w:i w:val="0"/>
                <w:sz w:val="18"/>
              </w:rPr>
              <w:t>(0.028)</w:t>
            </w:r>
          </w:p>
        </w:tc>
      </w:tr>
      <w:tr>
        <w:trPr>
          <w:cantSplit/>
        </w:trPr>
        <w:tc>
          <w:tcPr>
            <w:tcW w:type="dxa" w:w="1964"/>
          </w:tcPr>
          <w:p>
            <w:pPr>
              <w:pStyle w:val="MDPI42tablebody"/>
              <w:keepNext/>
              <w:spacing w:line="240" w:lineRule="auto" w:before="30" w:after="30"/>
              <w:jc w:val="left"/>
            </w:pPr>
            <w:r>
              <w:rPr>
                <w:b w:val="0"/>
                <w:i w:val="0"/>
                <w:sz w:val="18"/>
              </w:rPr>
              <w:t>SUP</w:t>
            </w: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0.165***</w:t>
            </w:r>
          </w:p>
        </w:tc>
        <w:tc>
          <w:tcPr>
            <w:tcW w:type="dxa" w:w="1178"/>
          </w:tcPr>
          <w:p>
            <w:pPr>
              <w:pStyle w:val="MDPI42tablebody"/>
              <w:keepNext/>
              <w:spacing w:line="240" w:lineRule="auto" w:before="30" w:after="30"/>
              <w:jc w:val="center"/>
            </w:pPr>
            <w:r>
              <w:rPr>
                <w:b w:val="0"/>
                <w:i w:val="0"/>
                <w:sz w:val="18"/>
              </w:rPr>
              <w:t>0.165***</w:t>
            </w:r>
          </w:p>
        </w:tc>
      </w:tr>
      <w:tr>
        <w:trPr>
          <w:cantSplit/>
        </w:trPr>
        <w:tc>
          <w:tcPr>
            <w:tcW w:type="dxa" w:w="1964"/>
          </w:tcPr>
          <w:p>
            <w:pPr>
              <w:pStyle w:val="MDPI42tablebody"/>
              <w:keepNext/>
              <w:spacing w:line="240" w:lineRule="auto" w:before="30" w:after="30"/>
              <w:jc w:val="left"/>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(0.031)</w:t>
            </w:r>
          </w:p>
        </w:tc>
        <w:tc>
          <w:tcPr>
            <w:tcW w:type="dxa" w:w="1178"/>
          </w:tcPr>
          <w:p>
            <w:pPr>
              <w:pStyle w:val="MDPI42tablebody"/>
              <w:keepNext/>
              <w:spacing w:line="240" w:lineRule="auto" w:before="30" w:after="30"/>
              <w:jc w:val="center"/>
            </w:pPr>
            <w:r>
              <w:rPr>
                <w:b w:val="0"/>
                <w:i w:val="0"/>
                <w:sz w:val="18"/>
              </w:rPr>
              <w:t>(0.037)</w:t>
            </w:r>
          </w:p>
        </w:tc>
      </w:tr>
      <w:tr>
        <w:trPr>
          <w:cantSplit/>
        </w:trPr>
        <w:tc>
          <w:tcPr>
            <w:tcW w:type="dxa" w:w="1964"/>
          </w:tcPr>
          <w:p>
            <w:pPr>
              <w:pStyle w:val="MDPI42tablebody"/>
              <w:keepNext/>
              <w:spacing w:line="240" w:lineRule="auto" w:before="30" w:after="30"/>
              <w:jc w:val="left"/>
            </w:pPr>
            <w:r>
              <w:rPr>
                <w:b w:val="0"/>
                <w:i w:val="0"/>
                <w:sz w:val="18"/>
              </w:rPr>
              <w:t>PHCD</w:t>
            </w: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0.009</w:t>
            </w:r>
          </w:p>
        </w:tc>
        <w:tc>
          <w:tcPr>
            <w:tcW w:type="dxa" w:w="1178"/>
          </w:tcPr>
          <w:p>
            <w:pPr>
              <w:pStyle w:val="MDPI42tablebody"/>
              <w:keepNext/>
              <w:spacing w:line="240" w:lineRule="auto" w:before="30" w:after="30"/>
              <w:jc w:val="center"/>
            </w:pPr>
            <w:r>
              <w:rPr>
                <w:b w:val="0"/>
                <w:i w:val="0"/>
                <w:sz w:val="18"/>
              </w:rPr>
              <w:t>0.009</w:t>
            </w:r>
          </w:p>
        </w:tc>
      </w:tr>
      <w:tr>
        <w:trPr>
          <w:cantSplit/>
        </w:trPr>
        <w:tc>
          <w:tcPr>
            <w:tcW w:type="dxa" w:w="1964"/>
          </w:tcPr>
          <w:p>
            <w:pPr>
              <w:pStyle w:val="MDPI42tablebody"/>
              <w:keepNext/>
              <w:spacing w:line="240" w:lineRule="auto" w:before="30" w:after="30"/>
              <w:jc w:val="left"/>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(0.034)</w:t>
            </w:r>
          </w:p>
        </w:tc>
        <w:tc>
          <w:tcPr>
            <w:tcW w:type="dxa" w:w="1178"/>
          </w:tcPr>
          <w:p>
            <w:pPr>
              <w:pStyle w:val="MDPI42tablebody"/>
              <w:keepNext/>
              <w:spacing w:line="240" w:lineRule="auto" w:before="30" w:after="30"/>
              <w:jc w:val="center"/>
            </w:pPr>
            <w:r>
              <w:rPr>
                <w:b w:val="0"/>
                <w:i w:val="0"/>
                <w:sz w:val="18"/>
              </w:rPr>
              <w:t>(0.037)</w:t>
            </w:r>
          </w:p>
        </w:tc>
      </w:tr>
      <w:tr>
        <w:trPr>
          <w:cantSplit/>
        </w:trPr>
        <w:tc>
          <w:tcPr>
            <w:tcW w:type="dxa" w:w="1964"/>
          </w:tcPr>
          <w:p>
            <w:pPr>
              <w:pStyle w:val="MDPI42tablebody"/>
              <w:keepNext/>
              <w:spacing w:line="240" w:lineRule="auto" w:before="30" w:after="30"/>
              <w:jc w:val="left"/>
            </w:pPr>
            <w:r>
              <w:rPr>
                <w:b w:val="0"/>
                <w:i w:val="0"/>
                <w:sz w:val="18"/>
              </w:rPr>
              <w:t>Controls</w:t>
            </w:r>
          </w:p>
        </w:tc>
        <w:tc>
          <w:tcPr>
            <w:tcW w:type="dxa" w:w="1178"/>
          </w:tcPr>
          <w:p>
            <w:pPr>
              <w:pStyle w:val="MDPI42tablebody"/>
              <w:keepNext/>
              <w:spacing w:line="240" w:lineRule="auto" w:before="30" w:after="30"/>
              <w:jc w:val="center"/>
            </w:pPr>
            <w:r>
              <w:rPr>
                <w:b w:val="0"/>
                <w:i w:val="0"/>
                <w:sz w:val="18"/>
              </w:rPr>
              <w:t>Yes</w:t>
            </w:r>
          </w:p>
        </w:tc>
        <w:tc>
          <w:tcPr>
            <w:tcW w:type="dxa" w:w="1178"/>
          </w:tcPr>
          <w:p>
            <w:pPr>
              <w:pStyle w:val="MDPI42tablebody"/>
              <w:keepNext/>
              <w:spacing w:line="240" w:lineRule="auto" w:before="30" w:after="30"/>
              <w:jc w:val="center"/>
            </w:pPr>
            <w:r>
              <w:rPr>
                <w:b w:val="0"/>
                <w:i w:val="0"/>
                <w:sz w:val="18"/>
              </w:rPr>
              <w:t>Yes</w:t>
            </w:r>
          </w:p>
        </w:tc>
        <w:tc>
          <w:tcPr>
            <w:tcW w:type="dxa" w:w="1178"/>
          </w:tcPr>
          <w:p>
            <w:pPr>
              <w:pStyle w:val="MDPI42tablebody"/>
              <w:keepNext/>
              <w:spacing w:line="240" w:lineRule="auto" w:before="30" w:after="30"/>
              <w:jc w:val="center"/>
            </w:pPr>
            <w:r>
              <w:rPr>
                <w:b w:val="0"/>
                <w:i w:val="0"/>
                <w:sz w:val="18"/>
              </w:rPr>
              <w:t>Yes</w:t>
            </w:r>
          </w:p>
        </w:tc>
        <w:tc>
          <w:tcPr>
            <w:tcW w:type="dxa" w:w="1178"/>
          </w:tcPr>
          <w:p>
            <w:pPr>
              <w:pStyle w:val="MDPI42tablebody"/>
              <w:keepNext/>
              <w:spacing w:line="240" w:lineRule="auto" w:before="30" w:after="30"/>
              <w:jc w:val="center"/>
            </w:pPr>
            <w:r>
              <w:rPr>
                <w:b w:val="0"/>
                <w:i w:val="0"/>
                <w:sz w:val="18"/>
              </w:rPr>
              <w:t>Yes</w:t>
            </w:r>
          </w:p>
        </w:tc>
        <w:tc>
          <w:tcPr>
            <w:tcW w:type="dxa" w:w="1178"/>
          </w:tcPr>
          <w:p>
            <w:pPr>
              <w:pStyle w:val="MDPI42tablebody"/>
              <w:keepNext/>
              <w:spacing w:line="240" w:lineRule="auto" w:before="30" w:after="30"/>
              <w:jc w:val="center"/>
            </w:pPr>
            <w:r>
              <w:rPr>
                <w:b w:val="0"/>
                <w:i w:val="0"/>
                <w:sz w:val="18"/>
              </w:rPr>
              <w:t>Yes</w:t>
            </w:r>
          </w:p>
        </w:tc>
      </w:tr>
      <w:tr>
        <w:trPr>
          <w:cantSplit/>
        </w:trPr>
        <w:tc>
          <w:tcPr>
            <w:tcW w:type="dxa" w:w="1964"/>
          </w:tcPr>
          <w:p>
            <w:pPr>
              <w:pStyle w:val="MDPI42tablebody"/>
              <w:keepNext/>
              <w:spacing w:line="240" w:lineRule="auto" w:before="30" w:after="30"/>
              <w:jc w:val="left"/>
            </w:pPr>
            <w:r>
              <w:rPr>
                <w:b w:val="0"/>
                <w:i w:val="0"/>
                <w:sz w:val="18"/>
              </w:rPr>
              <w:t>Observations</w:t>
            </w:r>
          </w:p>
        </w:tc>
        <w:tc>
          <w:tcPr>
            <w:tcW w:type="dxa" w:w="1178"/>
          </w:tcPr>
          <w:p>
            <w:pPr>
              <w:pStyle w:val="MDPI42tablebody"/>
              <w:keepNext/>
              <w:spacing w:line="240" w:lineRule="auto" w:before="30" w:after="30"/>
              <w:jc w:val="center"/>
            </w:pPr>
            <w:r>
              <w:rPr>
                <w:b w:val="0"/>
                <w:i w:val="0"/>
                <w:sz w:val="18"/>
              </w:rPr>
              <w:t>914</w:t>
            </w:r>
          </w:p>
        </w:tc>
        <w:tc>
          <w:tcPr>
            <w:tcW w:type="dxa" w:w="1178"/>
          </w:tcPr>
          <w:p>
            <w:pPr>
              <w:pStyle w:val="MDPI42tablebody"/>
              <w:keepNext/>
              <w:spacing w:line="240" w:lineRule="auto" w:before="30" w:after="30"/>
              <w:jc w:val="center"/>
            </w:pPr>
            <w:r>
              <w:rPr>
                <w:b w:val="0"/>
                <w:i w:val="0"/>
                <w:sz w:val="18"/>
              </w:rPr>
              <w:t>914</w:t>
            </w:r>
          </w:p>
        </w:tc>
        <w:tc>
          <w:tcPr>
            <w:tcW w:type="dxa" w:w="1178"/>
          </w:tcPr>
          <w:p>
            <w:pPr>
              <w:pStyle w:val="MDPI42tablebody"/>
              <w:keepNext/>
              <w:spacing w:line="240" w:lineRule="auto" w:before="30" w:after="30"/>
              <w:jc w:val="center"/>
            </w:pPr>
            <w:r>
              <w:rPr>
                <w:b w:val="0"/>
                <w:i w:val="0"/>
                <w:sz w:val="18"/>
              </w:rPr>
              <w:t>914</w:t>
            </w:r>
          </w:p>
        </w:tc>
        <w:tc>
          <w:tcPr>
            <w:tcW w:type="dxa" w:w="1178"/>
          </w:tcPr>
          <w:p>
            <w:pPr>
              <w:pStyle w:val="MDPI42tablebody"/>
              <w:keepNext/>
              <w:spacing w:line="240" w:lineRule="auto" w:before="30" w:after="30"/>
              <w:jc w:val="center"/>
            </w:pPr>
            <w:r>
              <w:rPr>
                <w:b w:val="0"/>
                <w:i w:val="0"/>
                <w:sz w:val="18"/>
              </w:rPr>
              <w:t>914</w:t>
            </w:r>
          </w:p>
        </w:tc>
        <w:tc>
          <w:tcPr>
            <w:tcW w:type="dxa" w:w="1178"/>
          </w:tcPr>
          <w:p>
            <w:pPr>
              <w:pStyle w:val="MDPI42tablebody"/>
              <w:keepNext/>
              <w:spacing w:line="240" w:lineRule="auto" w:before="30" w:after="30"/>
              <w:jc w:val="center"/>
            </w:pPr>
            <w:r>
              <w:rPr>
                <w:b w:val="0"/>
                <w:i w:val="0"/>
                <w:sz w:val="18"/>
              </w:rPr>
              <w:t>914</w:t>
            </w:r>
          </w:p>
        </w:tc>
      </w:tr>
      <w:tr>
        <w:trPr>
          <w:cantSplit/>
        </w:trPr>
        <w:tc>
          <w:tcPr>
            <w:tcW w:type="dxa" w:w="1964"/>
          </w:tcPr>
          <w:p>
            <w:pPr>
              <w:pStyle w:val="MDPI42tablebody"/>
              <w:keepNext/>
              <w:spacing w:line="240" w:lineRule="auto" w:before="30" w:after="30"/>
              <w:jc w:val="left"/>
            </w:pPr>
            <w:r>
              <w:rPr>
                <w:b w:val="0"/>
                <w:i w:val="0"/>
                <w:sz w:val="18"/>
              </w:rPr>
              <w:t>R²</w:t>
            </w:r>
          </w:p>
        </w:tc>
        <w:tc>
          <w:tcPr>
            <w:tcW w:type="dxa" w:w="1178"/>
          </w:tcPr>
          <w:p>
            <w:pPr>
              <w:pStyle w:val="MDPI42tablebody"/>
              <w:keepNext/>
              <w:spacing w:line="240" w:lineRule="auto" w:before="30" w:after="30"/>
              <w:jc w:val="center"/>
            </w:pPr>
            <w:r>
              <w:rPr>
                <w:b w:val="0"/>
                <w:i w:val="0"/>
                <w:sz w:val="18"/>
              </w:rPr>
              <w:t>0.031</w:t>
            </w:r>
          </w:p>
        </w:tc>
        <w:tc>
          <w:tcPr>
            <w:tcW w:type="dxa" w:w="1178"/>
          </w:tcPr>
          <w:p>
            <w:pPr>
              <w:pStyle w:val="MDPI42tablebody"/>
              <w:keepNext/>
              <w:spacing w:line="240" w:lineRule="auto" w:before="30" w:after="30"/>
              <w:jc w:val="center"/>
            </w:pPr>
            <w:r>
              <w:rPr>
                <w:b w:val="0"/>
                <w:i w:val="0"/>
                <w:sz w:val="18"/>
              </w:rPr>
              <w:t>0.130</w:t>
            </w:r>
          </w:p>
        </w:tc>
        <w:tc>
          <w:tcPr>
            <w:tcW w:type="dxa" w:w="1178"/>
          </w:tcPr>
          <w:p>
            <w:pPr>
              <w:pStyle w:val="MDPI42tablebody"/>
              <w:keepNext/>
              <w:spacing w:line="240" w:lineRule="auto" w:before="30" w:after="30"/>
              <w:jc w:val="center"/>
            </w:pPr>
            <w:r>
              <w:rPr>
                <w:b w:val="0"/>
                <w:i w:val="0"/>
                <w:sz w:val="18"/>
              </w:rPr>
              <w:t>0.223</w:t>
            </w:r>
          </w:p>
        </w:tc>
        <w:tc>
          <w:tcPr>
            <w:tcW w:type="dxa" w:w="1178"/>
          </w:tcPr>
          <w:p>
            <w:pPr>
              <w:pStyle w:val="MDPI42tablebody"/>
              <w:keepNext/>
              <w:spacing w:line="240" w:lineRule="auto" w:before="30" w:after="30"/>
              <w:jc w:val="center"/>
            </w:pPr>
            <w:r>
              <w:rPr>
                <w:b w:val="0"/>
                <w:i w:val="0"/>
                <w:sz w:val="18"/>
              </w:rPr>
              <w:t>0.248</w:t>
            </w:r>
          </w:p>
        </w:tc>
        <w:tc>
          <w:tcPr>
            <w:tcW w:type="dxa" w:w="1178"/>
          </w:tcPr>
          <w:p>
            <w:pPr>
              <w:pStyle w:val="MDPI42tablebody"/>
              <w:keepNext/>
              <w:spacing w:line="240" w:lineRule="auto" w:before="30" w:after="30"/>
              <w:jc w:val="center"/>
            </w:pPr>
            <w:r>
              <w:rPr>
                <w:b w:val="0"/>
                <w:i w:val="0"/>
                <w:sz w:val="18"/>
              </w:rPr>
              <w:t>0.248</w:t>
            </w:r>
          </w:p>
        </w:tc>
      </w:tr>
    </w:tbl>
    <w:p>
      <w:pPr>
        <w:pStyle w:val="MDPI43tablefooter"/>
        <w:spacing w:line="240" w:lineRule="auto" w:before="40" w:after="200"/>
        <w:ind w:left="2608" w:firstLine="0"/>
      </w:pPr>
      <w:r>
        <w:rPr>
          <w:sz w:val="16"/>
        </w:rPr>
        <w:t xml:space="preserve">Note: </w:t>
      </w:r>
      <w:r>
        <w:rPr>
          <w:b w:val="0"/>
          <w:i w:val="0"/>
          <w:sz w:val="16"/>
        </w:rPr>
        <w:t>The dependent variable is occupational adaptation at the second wave, standardized. Columns (1)–(4) use HC3 standard errors; column (5) repeats column (4) with standard errors clustered on the 20 occupation groups. ***, ** and * denote significance at the 1%, 5% and 10% levels, respectively. Source: authors’ own calculations.</w:t>
      </w:r>
    </w:p>
    <w:p>
      <w:pPr>
        <w:pStyle w:val="MDPI31text"/>
      </w:pPr>
      <w:r>
        <w:rPr>
          <w:b w:val="0"/>
          <w:i w:val="0"/>
        </w:rPr>
        <w:t xml:space="preserve">Because a negative quadratic coefficient does not by itself establish an interior optimum </w:t>
      </w:r>
      <w:r>
        <w:t>[</w:t>
      </w:r>
      <w:r>
        <w:fldChar w:fldCharType="begin"/>
      </w:r>
      <w:r>
        <w:instrText xml:space="preserve"> REF _Ref_28 \h </w:instrText>
      </w:r>
      <w:r>
        <w:fldChar w:fldCharType="separate"/>
      </w:r>
      <w:r>
        <w:t>28</w:t>
      </w:r>
      <w:r>
        <w:fldChar w:fldCharType="end"/>
      </w:r>
      <w:r>
        <w:t>,</w:t>
      </w:r>
      <w:r>
        <w:fldChar w:fldCharType="begin"/>
      </w:r>
      <w:r>
        <w:instrText xml:space="preserve"> REF _Ref_88 \h </w:instrText>
      </w:r>
      <w:r>
        <w:fldChar w:fldCharType="separate"/>
      </w:r>
      <w:r>
        <w:t>88</w:t>
      </w:r>
      <w:r>
        <w:fldChar w:fldCharType="end"/>
      </w:r>
      <w:r>
        <w:t>]</w:t>
      </w:r>
      <w:r>
        <w:rPr>
          <w:b w:val="0"/>
          <w:i w:val="0"/>
        </w:rPr>
        <w:t>, Table 8 reports the composite test. The slope at the first percentile of anxiety is 1.162 (t = 10.31); at the 99th percentile it is −0.846 (t = −7.46); the Sasabuchi p-value for the composite null of monotonicity is below 0.0001. The turning point sits at 0.37 standard deviations above mean anxiety, with a 95 percent Fieller interval of [0.22, 0.55] that excludes both extremes of the observed range, and 38.5 percent of respondents sit to its right — two in five graduates are already in the region where additional anxiety predicts less adaptation, not more. Figure 1a draws the estimated response with its 95 percent confidence band, the turning point with its interval, and the observed anxiety distribution beneath the axes; the estimate is drawn only over the observed support. H2 is supported. The peak sits 0.37 standard deviations of anxiety above the mean, where predicted adaptation is 0.03 standard deviations of the outcome higher than at mean anxiety; at two standard deviations of anxiety the same prediction is 0.60 lower — a swing of 0.63 standard deviations of the outcome between the optimum and the far tail.</w:t>
      </w:r>
    </w:p>
    <w:p>
      <w:pPr>
        <w:pStyle w:val="MDPI41tablecaption"/>
        <w:keepNext/>
        <w:spacing w:after="60"/>
      </w:pPr>
      <w:r>
        <w:rPr>
          <w:b/>
          <w:sz w:val="18"/>
        </w:rPr>
        <w:t xml:space="preserve">Table 8. </w:t>
      </w:r>
      <w:r>
        <w:rPr>
          <w:b w:val="0"/>
          <w:i w:val="0"/>
          <w:sz w:val="18"/>
        </w:rPr>
        <w:t>Formal validation of the inverted U.</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4871"/>
        <w:gridCol w:w="2986"/>
      </w:tblGrid>
      <w:tr>
        <w:trPr>
          <w:cantSplit/>
          <w:tblHeader/>
        </w:trPr>
        <w:tc>
          <w:tcPr>
            <w:tcW w:type="dxa" w:w="4871"/>
            <w:tcBorders>
              <w:bottom w:val="single" w:sz="8" w:space="0" w:color="auto"/>
            </w:tcBorders>
          </w:tcPr>
          <w:p>
            <w:pPr>
              <w:pStyle w:val="MDPI42tablebody"/>
              <w:keepNext/>
              <w:spacing w:line="240" w:lineRule="auto" w:before="30" w:after="30"/>
              <w:jc w:val="center"/>
            </w:pPr>
            <w:r>
              <w:rPr>
                <w:b/>
                <w:i w:val="0"/>
                <w:sz w:val="18"/>
              </w:rPr>
              <w:t>Quantity</w:t>
            </w:r>
          </w:p>
        </w:tc>
        <w:tc>
          <w:tcPr>
            <w:tcW w:type="dxa" w:w="2986"/>
            <w:tcBorders>
              <w:bottom w:val="single" w:sz="8" w:space="0" w:color="auto"/>
            </w:tcBorders>
          </w:tcPr>
          <w:p>
            <w:pPr>
              <w:pStyle w:val="MDPI42tablebody"/>
              <w:keepNext/>
              <w:spacing w:line="240" w:lineRule="auto" w:before="30" w:after="30"/>
              <w:jc w:val="center"/>
            </w:pPr>
            <w:r>
              <w:rPr>
                <w:b/>
                <w:i w:val="0"/>
                <w:sz w:val="18"/>
              </w:rPr>
              <w:t>Estimate</w:t>
            </w:r>
          </w:p>
        </w:tc>
      </w:tr>
      <w:tr>
        <w:trPr>
          <w:cantSplit/>
        </w:trPr>
        <w:tc>
          <w:tcPr>
            <w:tcW w:type="dxa" w:w="4871"/>
          </w:tcPr>
          <w:p>
            <w:pPr>
              <w:pStyle w:val="MDPI42tablebody"/>
              <w:keepNext/>
              <w:spacing w:line="240" w:lineRule="auto" w:before="30" w:after="30"/>
              <w:jc w:val="left"/>
            </w:pPr>
            <w:r>
              <w:rPr>
                <w:b w:val="0"/>
                <w:i w:val="0"/>
                <w:sz w:val="18"/>
              </w:rPr>
              <w:t>Slope at the 1st percentile of ANX (−2.09)</w:t>
            </w:r>
          </w:p>
        </w:tc>
        <w:tc>
          <w:tcPr>
            <w:tcW w:type="dxa" w:w="2986"/>
          </w:tcPr>
          <w:p>
            <w:pPr>
              <w:pStyle w:val="MDPI42tablebody"/>
              <w:keepNext/>
              <w:spacing w:line="240" w:lineRule="auto" w:before="30" w:after="30"/>
              <w:jc w:val="center"/>
            </w:pPr>
            <w:r>
              <w:rPr>
                <w:b w:val="0"/>
                <w:i w:val="0"/>
                <w:sz w:val="18"/>
              </w:rPr>
              <w:t>1.162 (t = 10.31)</w:t>
            </w:r>
          </w:p>
        </w:tc>
      </w:tr>
      <w:tr>
        <w:trPr>
          <w:cantSplit/>
        </w:trPr>
        <w:tc>
          <w:tcPr>
            <w:tcW w:type="dxa" w:w="4871"/>
          </w:tcPr>
          <w:p>
            <w:pPr>
              <w:pStyle w:val="MDPI42tablebody"/>
              <w:keepNext/>
              <w:spacing w:line="240" w:lineRule="auto" w:before="30" w:after="30"/>
              <w:jc w:val="left"/>
            </w:pPr>
            <w:r>
              <w:rPr>
                <w:b w:val="0"/>
                <w:i w:val="0"/>
                <w:sz w:val="18"/>
              </w:rPr>
              <w:t>Slope at the 99th percentile of ANX (2.15)</w:t>
            </w:r>
          </w:p>
        </w:tc>
        <w:tc>
          <w:tcPr>
            <w:tcW w:type="dxa" w:w="2986"/>
          </w:tcPr>
          <w:p>
            <w:pPr>
              <w:pStyle w:val="MDPI42tablebody"/>
              <w:keepNext/>
              <w:spacing w:line="240" w:lineRule="auto" w:before="30" w:after="30"/>
              <w:jc w:val="center"/>
            </w:pPr>
            <w:r>
              <w:rPr>
                <w:b w:val="0"/>
                <w:i w:val="0"/>
                <w:sz w:val="18"/>
              </w:rPr>
              <w:t>−0.846 (t = −7.46)</w:t>
            </w:r>
          </w:p>
        </w:tc>
      </w:tr>
      <w:tr>
        <w:trPr>
          <w:cantSplit/>
        </w:trPr>
        <w:tc>
          <w:tcPr>
            <w:tcW w:type="dxa" w:w="4871"/>
          </w:tcPr>
          <w:p>
            <w:pPr>
              <w:pStyle w:val="MDPI42tablebody"/>
              <w:keepNext/>
              <w:spacing w:line="240" w:lineRule="auto" w:before="30" w:after="30"/>
              <w:jc w:val="left"/>
            </w:pPr>
            <w:r>
              <w:rPr>
                <w:b w:val="0"/>
                <w:i w:val="0"/>
                <w:sz w:val="18"/>
              </w:rPr>
              <w:t>Sasabuchi test of the composite null (p)</w:t>
            </w:r>
          </w:p>
        </w:tc>
        <w:tc>
          <w:tcPr>
            <w:tcW w:type="dxa" w:w="2986"/>
          </w:tcPr>
          <w:p>
            <w:pPr>
              <w:pStyle w:val="MDPI42tablebody"/>
              <w:keepNext/>
              <w:spacing w:line="240" w:lineRule="auto" w:before="30" w:after="30"/>
              <w:jc w:val="center"/>
            </w:pPr>
            <w:r>
              <w:rPr>
                <w:b w:val="0"/>
                <w:i w:val="0"/>
                <w:sz w:val="18"/>
              </w:rPr>
              <w:t>&lt; 0.0001</w:t>
            </w:r>
          </w:p>
        </w:tc>
      </w:tr>
      <w:tr>
        <w:trPr>
          <w:cantSplit/>
        </w:trPr>
        <w:tc>
          <w:tcPr>
            <w:tcW w:type="dxa" w:w="4871"/>
          </w:tcPr>
          <w:p>
            <w:pPr>
              <w:pStyle w:val="MDPI42tablebody"/>
              <w:keepNext/>
              <w:spacing w:line="240" w:lineRule="auto" w:before="30" w:after="30"/>
              <w:jc w:val="left"/>
            </w:pPr>
            <w:r>
              <w:rPr>
                <w:b w:val="0"/>
                <w:i w:val="0"/>
                <w:sz w:val="18"/>
              </w:rPr>
              <w:t>Turning point (SD of ANX)</w:t>
            </w:r>
          </w:p>
        </w:tc>
        <w:tc>
          <w:tcPr>
            <w:tcW w:type="dxa" w:w="2986"/>
          </w:tcPr>
          <w:p>
            <w:pPr>
              <w:pStyle w:val="MDPI42tablebody"/>
              <w:keepNext/>
              <w:spacing w:line="240" w:lineRule="auto" w:before="30" w:after="30"/>
              <w:jc w:val="center"/>
            </w:pPr>
            <w:r>
              <w:rPr>
                <w:b w:val="0"/>
                <w:i w:val="0"/>
                <w:sz w:val="18"/>
              </w:rPr>
              <w:t>0.368 (SE 0.081)</w:t>
            </w:r>
          </w:p>
        </w:tc>
      </w:tr>
      <w:tr>
        <w:trPr>
          <w:cantSplit/>
        </w:trPr>
        <w:tc>
          <w:tcPr>
            <w:tcW w:type="dxa" w:w="4871"/>
          </w:tcPr>
          <w:p>
            <w:pPr>
              <w:pStyle w:val="MDPI42tablebody"/>
              <w:keepNext/>
              <w:spacing w:line="240" w:lineRule="auto" w:before="30" w:after="30"/>
              <w:jc w:val="left"/>
            </w:pPr>
            <w:r>
              <w:rPr>
                <w:b w:val="0"/>
                <w:i w:val="0"/>
                <w:sz w:val="18"/>
              </w:rPr>
              <w:t>95% Fieller interval</w:t>
            </w:r>
          </w:p>
        </w:tc>
        <w:tc>
          <w:tcPr>
            <w:tcW w:type="dxa" w:w="2986"/>
          </w:tcPr>
          <w:p>
            <w:pPr>
              <w:pStyle w:val="MDPI42tablebody"/>
              <w:keepNext/>
              <w:spacing w:line="240" w:lineRule="auto" w:before="30" w:after="30"/>
              <w:jc w:val="center"/>
            </w:pPr>
            <w:r>
              <w:rPr>
                <w:b w:val="0"/>
                <w:i w:val="0"/>
                <w:sz w:val="18"/>
              </w:rPr>
              <w:t>[0.221, 0.546]</w:t>
            </w:r>
          </w:p>
        </w:tc>
      </w:tr>
      <w:tr>
        <w:trPr>
          <w:cantSplit/>
        </w:trPr>
        <w:tc>
          <w:tcPr>
            <w:tcW w:type="dxa" w:w="4871"/>
          </w:tcPr>
          <w:p>
            <w:pPr>
              <w:pStyle w:val="MDPI42tablebody"/>
              <w:keepNext/>
              <w:spacing w:line="240" w:lineRule="auto" w:before="30" w:after="30"/>
              <w:jc w:val="left"/>
            </w:pPr>
            <w:r>
              <w:rPr>
                <w:b w:val="0"/>
                <w:i w:val="0"/>
                <w:sz w:val="18"/>
              </w:rPr>
              <w:t>Respondents beyond the turning point (%)</w:t>
            </w:r>
          </w:p>
        </w:tc>
        <w:tc>
          <w:tcPr>
            <w:tcW w:type="dxa" w:w="2986"/>
          </w:tcPr>
          <w:p>
            <w:pPr>
              <w:pStyle w:val="MDPI42tablebody"/>
              <w:keepNext/>
              <w:spacing w:line="240" w:lineRule="auto" w:before="30" w:after="30"/>
              <w:jc w:val="center"/>
            </w:pPr>
            <w:r>
              <w:rPr>
                <w:b w:val="0"/>
                <w:i w:val="0"/>
                <w:sz w:val="18"/>
              </w:rPr>
              <w:t>38.5</w:t>
            </w:r>
          </w:p>
        </w:tc>
      </w:tr>
      <w:tr>
        <w:trPr>
          <w:cantSplit/>
        </w:trPr>
        <w:tc>
          <w:tcPr>
            <w:tcW w:type="dxa" w:w="4871"/>
          </w:tcPr>
          <w:p>
            <w:pPr>
              <w:pStyle w:val="MDPI42tablebody"/>
              <w:keepNext/>
              <w:spacing w:line="240" w:lineRule="auto" w:before="30" w:after="30"/>
              <w:jc w:val="left"/>
            </w:pPr>
            <w:r>
              <w:rPr>
                <w:b w:val="0"/>
                <w:i w:val="0"/>
                <w:sz w:val="18"/>
              </w:rPr>
              <w:t>Turning point at LIT = −1 SD</w:t>
            </w:r>
          </w:p>
        </w:tc>
        <w:tc>
          <w:tcPr>
            <w:tcW w:type="dxa" w:w="2986"/>
          </w:tcPr>
          <w:p>
            <w:pPr>
              <w:pStyle w:val="MDPI42tablebody"/>
              <w:keepNext/>
              <w:spacing w:line="240" w:lineRule="auto" w:before="30" w:after="30"/>
              <w:jc w:val="center"/>
            </w:pPr>
            <w:r>
              <w:rPr>
                <w:b w:val="0"/>
                <w:i w:val="0"/>
                <w:sz w:val="18"/>
              </w:rPr>
              <w:t>0.075 (SE 0.095)</w:t>
            </w:r>
          </w:p>
        </w:tc>
      </w:tr>
      <w:tr>
        <w:trPr>
          <w:cantSplit/>
        </w:trPr>
        <w:tc>
          <w:tcPr>
            <w:tcW w:type="dxa" w:w="4871"/>
          </w:tcPr>
          <w:p>
            <w:pPr>
              <w:pStyle w:val="MDPI42tablebody"/>
              <w:keepNext/>
              <w:spacing w:line="240" w:lineRule="auto" w:before="30" w:after="30"/>
              <w:jc w:val="left"/>
            </w:pPr>
            <w:r>
              <w:rPr>
                <w:b w:val="0"/>
                <w:i w:val="0"/>
                <w:sz w:val="18"/>
              </w:rPr>
              <w:t>Turning point at LIT = +1 SD</w:t>
            </w:r>
          </w:p>
        </w:tc>
        <w:tc>
          <w:tcPr>
            <w:tcW w:type="dxa" w:w="2986"/>
          </w:tcPr>
          <w:p>
            <w:pPr>
              <w:pStyle w:val="MDPI42tablebody"/>
              <w:keepNext/>
              <w:spacing w:line="240" w:lineRule="auto" w:before="30" w:after="30"/>
              <w:jc w:val="center"/>
            </w:pPr>
            <w:r>
              <w:rPr>
                <w:b w:val="0"/>
                <w:i w:val="0"/>
                <w:sz w:val="18"/>
              </w:rPr>
              <w:t>0.661 (SE 0.119)</w:t>
            </w:r>
          </w:p>
        </w:tc>
      </w:tr>
      <w:tr>
        <w:trPr>
          <w:cantSplit/>
        </w:trPr>
        <w:tc>
          <w:tcPr>
            <w:tcW w:type="dxa" w:w="4871"/>
          </w:tcPr>
          <w:p>
            <w:pPr>
              <w:pStyle w:val="MDPI42tablebody"/>
              <w:keepNext/>
              <w:spacing w:line="240" w:lineRule="auto" w:before="30" w:after="30"/>
              <w:jc w:val="left"/>
            </w:pPr>
            <w:r>
              <w:rPr>
                <w:b w:val="0"/>
                <w:i w:val="0"/>
                <w:sz w:val="18"/>
              </w:rPr>
              <w:t>Displacement of the turning point per SD of literacy</w:t>
            </w:r>
          </w:p>
        </w:tc>
        <w:tc>
          <w:tcPr>
            <w:tcW w:type="dxa" w:w="2986"/>
          </w:tcPr>
          <w:p>
            <w:pPr>
              <w:pStyle w:val="MDPI42tablebody"/>
              <w:keepNext/>
              <w:spacing w:line="240" w:lineRule="auto" w:before="30" w:after="30"/>
              <w:jc w:val="center"/>
            </w:pPr>
            <w:r>
              <w:rPr>
                <w:b w:val="0"/>
                <w:i w:val="0"/>
                <w:sz w:val="18"/>
              </w:rPr>
              <w:t>0.293 (SE 0.067)</w:t>
            </w:r>
          </w:p>
        </w:tc>
      </w:tr>
    </w:tbl>
    <w:p>
      <w:pPr>
        <w:pStyle w:val="MDPI43tablefooter"/>
        <w:spacing w:line="240" w:lineRule="auto" w:before="40" w:after="200"/>
        <w:ind w:left="2608" w:firstLine="0"/>
      </w:pPr>
      <w:r>
        <w:rPr>
          <w:sz w:val="16"/>
        </w:rPr>
        <w:t xml:space="preserve">Note: </w:t>
      </w:r>
      <w:r>
        <w:rPr>
          <w:b w:val="0"/>
          <w:i w:val="0"/>
          <w:sz w:val="16"/>
        </w:rPr>
        <w:t>Slopes and tests follow Lind and Mehlum’s composite procedure on the full specification of Table 7, column (4); the turning point interval is a Fieller construction, and the literacy-conditional turning points and their displacement are Equation (4) evaluated on the same specification, with delta-method standard errors. Source: authors’ own calculations.</w:t>
      </w:r>
    </w:p>
    <w:p>
      <w:pPr>
        <w:pStyle w:val="MDPI52figure"/>
        <w:keepNext/>
        <w:ind w:left="2608" w:firstLine="0"/>
        <w:jc w:val="center"/>
      </w:pPr>
      <w:r>
        <w:drawing>
          <wp:inline xmlns:a="http://schemas.openxmlformats.org/drawingml/2006/main" xmlns:pic="http://schemas.openxmlformats.org/drawingml/2006/picture">
            <wp:extent cx="4752000" cy="2015667"/>
            <wp:docPr id="1" name="Picture 1"/>
            <wp:cNvGraphicFramePr>
              <a:graphicFrameLocks noChangeAspect="1"/>
            </wp:cNvGraphicFramePr>
            <a:graphic>
              <a:graphicData uri="http://schemas.openxmlformats.org/drawingml/2006/picture">
                <pic:pic>
                  <pic:nvPicPr>
                    <pic:cNvPr id="0" name="figure1_dual.png"/>
                    <pic:cNvPicPr/>
                  </pic:nvPicPr>
                  <pic:blipFill>
                    <a:blip r:embed="rId1"/>
                    <a:stretch>
                      <a:fillRect/>
                    </a:stretch>
                  </pic:blipFill>
                  <pic:spPr>
                    <a:xfrm>
                      <a:off x="0" y="0"/>
                      <a:ext cx="4752000" cy="2015667"/>
                    </a:xfrm>
                    <a:prstGeom prst="rect"/>
                  </pic:spPr>
                </pic:pic>
              </a:graphicData>
            </a:graphic>
          </wp:inline>
        </w:drawing>
      </w:r>
    </w:p>
    <w:p>
      <w:pPr>
        <w:pStyle w:val="MDPI51figurecaption"/>
        <w:spacing w:after="200"/>
      </w:pPr>
      <w:r>
        <w:rPr>
          <w:b/>
          <w:sz w:val="18"/>
        </w:rPr>
        <w:t xml:space="preserve">Figure 1. </w:t>
      </w:r>
      <w:r>
        <w:rPr>
          <w:b w:val="0"/>
          <w:i w:val="0"/>
          <w:sz w:val="18"/>
        </w:rPr>
        <w:t>The dual response to AI-related career anxiety: (a) occupational adaptation; (b) career avoidance.</w:t>
      </w:r>
    </w:p>
    <w:p>
      <w:pPr>
        <w:pStyle w:val="MDPI22heading2"/>
      </w:pPr>
      <w:r>
        <w:t>4.5. The Avoidance Channel (H3, H5b)</w:t>
      </w:r>
    </w:p>
    <w:p>
      <w:pPr>
        <w:pStyle w:val="MDPI32textnoindent"/>
      </w:pPr>
      <w:r>
        <w:rPr>
          <w:b w:val="0"/>
          <w:i w:val="0"/>
        </w:rPr>
        <w:t>Table 9 estimates Equation (3), and Figure 1b plots it beside the adaptation response on the same vertical scale. Avoidance rises with anxiety at 0.417 per standard deviation in the full specification, and — the diagnostic contrast with H2 — shows no curvature: a quadratic term added in column (2) is small (0.043) and does not reach the five percent level (p = 0.054). The asymmetry between the two panels of Figure 1 is the paper’s central descriptive fact: the same error signal that buys correction only within a bounded band buys escape without bound. Literacy operates on this channel too: the anxiety-avoidance slope falls by 0.146 per standard deviation of literacy (p &lt; 0.001), supporting H5b.</w:t>
      </w:r>
    </w:p>
    <w:p>
      <w:pPr>
        <w:pStyle w:val="MDPI41tablecaption"/>
        <w:keepNext/>
        <w:spacing w:after="60"/>
      </w:pPr>
      <w:r>
        <w:rPr>
          <w:b/>
          <w:sz w:val="18"/>
        </w:rPr>
        <w:t xml:space="preserve">Table 9. </w:t>
      </w:r>
      <w:r>
        <w:rPr>
          <w:b w:val="0"/>
          <w:i w:val="0"/>
          <w:sz w:val="18"/>
        </w:rPr>
        <w:t>The avoidance channel (H3, H5b).</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964"/>
        <w:gridCol w:w="1178"/>
        <w:gridCol w:w="1178"/>
        <w:gridCol w:w="1178"/>
        <w:gridCol w:w="1178"/>
        <w:gridCol w:w="1178"/>
      </w:tblGrid>
      <w:tr>
        <w:trPr>
          <w:cantSplit/>
          <w:tblHeader/>
        </w:trPr>
        <w:tc>
          <w:tcPr>
            <w:tcW w:type="dxa" w:w="1964"/>
            <w:tcBorders>
              <w:bottom w:val="single" w:sz="8" w:space="0" w:color="auto"/>
            </w:tcBorders>
          </w:tcPr>
          <w:p>
            <w:pPr>
              <w:pStyle w:val="MDPI42tablebody"/>
              <w:keepNext/>
              <w:spacing w:line="240" w:lineRule="auto" w:before="30" w:after="30"/>
              <w:jc w:val="center"/>
            </w:pPr>
          </w:p>
        </w:tc>
        <w:tc>
          <w:tcPr>
            <w:tcW w:type="dxa" w:w="1178"/>
            <w:tcBorders>
              <w:bottom w:val="single" w:sz="8" w:space="0" w:color="auto"/>
            </w:tcBorders>
          </w:tcPr>
          <w:p>
            <w:pPr>
              <w:pStyle w:val="MDPI42tablebody"/>
              <w:keepNext/>
              <w:spacing w:line="240" w:lineRule="auto" w:before="30" w:after="30"/>
              <w:jc w:val="center"/>
            </w:pPr>
            <w:r>
              <w:rPr>
                <w:b/>
                <w:i w:val="0"/>
                <w:sz w:val="18"/>
              </w:rPr>
              <w:t>(1)</w:t>
            </w:r>
          </w:p>
        </w:tc>
        <w:tc>
          <w:tcPr>
            <w:tcW w:type="dxa" w:w="1178"/>
            <w:tcBorders>
              <w:bottom w:val="single" w:sz="8" w:space="0" w:color="auto"/>
            </w:tcBorders>
          </w:tcPr>
          <w:p>
            <w:pPr>
              <w:pStyle w:val="MDPI42tablebody"/>
              <w:keepNext/>
              <w:spacing w:line="240" w:lineRule="auto" w:before="30" w:after="30"/>
              <w:jc w:val="center"/>
            </w:pPr>
            <w:r>
              <w:rPr>
                <w:b/>
                <w:i w:val="0"/>
                <w:sz w:val="18"/>
              </w:rPr>
              <w:t>(2)</w:t>
            </w:r>
          </w:p>
        </w:tc>
        <w:tc>
          <w:tcPr>
            <w:tcW w:type="dxa" w:w="1178"/>
            <w:tcBorders>
              <w:bottom w:val="single" w:sz="8" w:space="0" w:color="auto"/>
            </w:tcBorders>
          </w:tcPr>
          <w:p>
            <w:pPr>
              <w:pStyle w:val="MDPI42tablebody"/>
              <w:keepNext/>
              <w:spacing w:line="240" w:lineRule="auto" w:before="30" w:after="30"/>
              <w:jc w:val="center"/>
            </w:pPr>
            <w:r>
              <w:rPr>
                <w:b/>
                <w:i w:val="0"/>
                <w:sz w:val="18"/>
              </w:rPr>
              <w:t>(3)</w:t>
            </w:r>
          </w:p>
        </w:tc>
        <w:tc>
          <w:tcPr>
            <w:tcW w:type="dxa" w:w="1178"/>
            <w:tcBorders>
              <w:bottom w:val="single" w:sz="8" w:space="0" w:color="auto"/>
            </w:tcBorders>
          </w:tcPr>
          <w:p>
            <w:pPr>
              <w:pStyle w:val="MDPI42tablebody"/>
              <w:keepNext/>
              <w:spacing w:line="240" w:lineRule="auto" w:before="30" w:after="30"/>
              <w:jc w:val="center"/>
            </w:pPr>
            <w:r>
              <w:rPr>
                <w:b/>
                <w:i w:val="0"/>
                <w:sz w:val="18"/>
              </w:rPr>
              <w:t>(4)</w:t>
            </w:r>
          </w:p>
        </w:tc>
        <w:tc>
          <w:tcPr>
            <w:tcW w:type="dxa" w:w="1178"/>
            <w:tcBorders>
              <w:bottom w:val="single" w:sz="8" w:space="0" w:color="auto"/>
            </w:tcBorders>
          </w:tcPr>
          <w:p>
            <w:pPr>
              <w:pStyle w:val="MDPI42tablebody"/>
              <w:keepNext/>
              <w:spacing w:line="240" w:lineRule="auto" w:before="30" w:after="30"/>
              <w:jc w:val="center"/>
            </w:pPr>
            <w:r>
              <w:rPr>
                <w:b/>
                <w:i w:val="0"/>
                <w:sz w:val="18"/>
              </w:rPr>
              <w:t>(5)</w:t>
            </w:r>
          </w:p>
        </w:tc>
      </w:tr>
      <w:tr>
        <w:trPr>
          <w:cantSplit/>
        </w:trPr>
        <w:tc>
          <w:tcPr>
            <w:tcW w:type="dxa" w:w="1964"/>
          </w:tcPr>
          <w:p>
            <w:pPr>
              <w:pStyle w:val="MDPI42tablebody"/>
              <w:keepNext/>
              <w:spacing w:line="240" w:lineRule="auto" w:before="30" w:after="30"/>
              <w:jc w:val="left"/>
            </w:pPr>
            <w:r>
              <w:rPr>
                <w:b w:val="0"/>
                <w:i w:val="0"/>
                <w:sz w:val="18"/>
              </w:rPr>
              <w:t>ANX</w:t>
            </w:r>
          </w:p>
        </w:tc>
        <w:tc>
          <w:tcPr>
            <w:tcW w:type="dxa" w:w="1178"/>
          </w:tcPr>
          <w:p>
            <w:pPr>
              <w:pStyle w:val="MDPI42tablebody"/>
              <w:keepNext/>
              <w:spacing w:line="240" w:lineRule="auto" w:before="30" w:after="30"/>
              <w:jc w:val="center"/>
            </w:pPr>
            <w:r>
              <w:rPr>
                <w:b w:val="0"/>
                <w:i w:val="0"/>
                <w:sz w:val="18"/>
              </w:rPr>
              <w:t>0.472***</w:t>
            </w:r>
          </w:p>
        </w:tc>
        <w:tc>
          <w:tcPr>
            <w:tcW w:type="dxa" w:w="1178"/>
          </w:tcPr>
          <w:p>
            <w:pPr>
              <w:pStyle w:val="MDPI42tablebody"/>
              <w:keepNext/>
              <w:spacing w:line="240" w:lineRule="auto" w:before="30" w:after="30"/>
              <w:jc w:val="center"/>
            </w:pPr>
            <w:r>
              <w:rPr>
                <w:b w:val="0"/>
                <w:i w:val="0"/>
                <w:sz w:val="18"/>
              </w:rPr>
              <w:t>0.471***</w:t>
            </w:r>
          </w:p>
        </w:tc>
        <w:tc>
          <w:tcPr>
            <w:tcW w:type="dxa" w:w="1178"/>
          </w:tcPr>
          <w:p>
            <w:pPr>
              <w:pStyle w:val="MDPI42tablebody"/>
              <w:keepNext/>
              <w:spacing w:line="240" w:lineRule="auto" w:before="30" w:after="30"/>
              <w:jc w:val="center"/>
            </w:pPr>
            <w:r>
              <w:rPr>
                <w:b w:val="0"/>
                <w:i w:val="0"/>
                <w:sz w:val="18"/>
              </w:rPr>
              <w:t>0.469***</w:t>
            </w:r>
          </w:p>
        </w:tc>
        <w:tc>
          <w:tcPr>
            <w:tcW w:type="dxa" w:w="1178"/>
          </w:tcPr>
          <w:p>
            <w:pPr>
              <w:pStyle w:val="MDPI42tablebody"/>
              <w:keepNext/>
              <w:spacing w:line="240" w:lineRule="auto" w:before="30" w:after="30"/>
              <w:jc w:val="center"/>
            </w:pPr>
            <w:r>
              <w:rPr>
                <w:b w:val="0"/>
                <w:i w:val="0"/>
                <w:sz w:val="18"/>
              </w:rPr>
              <w:t>0.417***</w:t>
            </w:r>
          </w:p>
        </w:tc>
        <w:tc>
          <w:tcPr>
            <w:tcW w:type="dxa" w:w="1178"/>
          </w:tcPr>
          <w:p>
            <w:pPr>
              <w:pStyle w:val="MDPI42tablebody"/>
              <w:keepNext/>
              <w:spacing w:line="240" w:lineRule="auto" w:before="30" w:after="30"/>
              <w:jc w:val="center"/>
            </w:pPr>
            <w:r>
              <w:rPr>
                <w:b w:val="0"/>
                <w:i w:val="0"/>
                <w:sz w:val="18"/>
              </w:rPr>
              <w:t>0.417***</w:t>
            </w:r>
          </w:p>
        </w:tc>
      </w:tr>
      <w:tr>
        <w:trPr>
          <w:cantSplit/>
        </w:trPr>
        <w:tc>
          <w:tcPr>
            <w:tcW w:type="dxa" w:w="1964"/>
          </w:tcPr>
          <w:p>
            <w:pPr>
              <w:pStyle w:val="MDPI42tablebody"/>
              <w:keepNext/>
              <w:spacing w:line="240" w:lineRule="auto" w:before="30" w:after="30"/>
              <w:jc w:val="left"/>
            </w:pPr>
          </w:p>
        </w:tc>
        <w:tc>
          <w:tcPr>
            <w:tcW w:type="dxa" w:w="1178"/>
          </w:tcPr>
          <w:p>
            <w:pPr>
              <w:pStyle w:val="MDPI42tablebody"/>
              <w:keepNext/>
              <w:spacing w:line="240" w:lineRule="auto" w:before="30" w:after="30"/>
              <w:jc w:val="center"/>
            </w:pPr>
            <w:r>
              <w:rPr>
                <w:b w:val="0"/>
                <w:i w:val="0"/>
                <w:sz w:val="18"/>
              </w:rPr>
              <w:t>(0.029)</w:t>
            </w:r>
          </w:p>
        </w:tc>
        <w:tc>
          <w:tcPr>
            <w:tcW w:type="dxa" w:w="1178"/>
          </w:tcPr>
          <w:p>
            <w:pPr>
              <w:pStyle w:val="MDPI42tablebody"/>
              <w:keepNext/>
              <w:spacing w:line="240" w:lineRule="auto" w:before="30" w:after="30"/>
              <w:jc w:val="center"/>
            </w:pPr>
            <w:r>
              <w:rPr>
                <w:b w:val="0"/>
                <w:i w:val="0"/>
                <w:sz w:val="18"/>
              </w:rPr>
              <w:t>(0.029)</w:t>
            </w:r>
          </w:p>
        </w:tc>
        <w:tc>
          <w:tcPr>
            <w:tcW w:type="dxa" w:w="1178"/>
          </w:tcPr>
          <w:p>
            <w:pPr>
              <w:pStyle w:val="MDPI42tablebody"/>
              <w:keepNext/>
              <w:spacing w:line="240" w:lineRule="auto" w:before="30" w:after="30"/>
              <w:jc w:val="center"/>
            </w:pPr>
            <w:r>
              <w:rPr>
                <w:b w:val="0"/>
                <w:i w:val="0"/>
                <w:sz w:val="18"/>
              </w:rPr>
              <w:t>(0.028)</w:t>
            </w:r>
          </w:p>
        </w:tc>
        <w:tc>
          <w:tcPr>
            <w:tcW w:type="dxa" w:w="1178"/>
          </w:tcPr>
          <w:p>
            <w:pPr>
              <w:pStyle w:val="MDPI42tablebody"/>
              <w:keepNext/>
              <w:spacing w:line="240" w:lineRule="auto" w:before="30" w:after="30"/>
              <w:jc w:val="center"/>
            </w:pPr>
            <w:r>
              <w:rPr>
                <w:b w:val="0"/>
                <w:i w:val="0"/>
                <w:sz w:val="18"/>
              </w:rPr>
              <w:t>(0.033)</w:t>
            </w:r>
          </w:p>
        </w:tc>
        <w:tc>
          <w:tcPr>
            <w:tcW w:type="dxa" w:w="1178"/>
          </w:tcPr>
          <w:p>
            <w:pPr>
              <w:pStyle w:val="MDPI42tablebody"/>
              <w:keepNext/>
              <w:spacing w:line="240" w:lineRule="auto" w:before="30" w:after="30"/>
              <w:jc w:val="center"/>
            </w:pPr>
            <w:r>
              <w:rPr>
                <w:b w:val="0"/>
                <w:i w:val="0"/>
                <w:sz w:val="18"/>
              </w:rPr>
              <w:t>(0.030)</w:t>
            </w:r>
          </w:p>
        </w:tc>
      </w:tr>
      <w:tr>
        <w:trPr>
          <w:cantSplit/>
        </w:trPr>
        <w:tc>
          <w:tcPr>
            <w:tcW w:type="dxa" w:w="1964"/>
          </w:tcPr>
          <w:p>
            <w:pPr>
              <w:pStyle w:val="MDPI42tablebody"/>
              <w:keepNext/>
              <w:spacing w:line="240" w:lineRule="auto" w:before="30" w:after="30"/>
              <w:jc w:val="left"/>
            </w:pPr>
            <w:r>
              <w:rPr>
                <w:b w:val="0"/>
                <w:i w:val="0"/>
                <w:sz w:val="18"/>
              </w:rPr>
              <w:t>ANX²</w:t>
            </w: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0.043*</w:t>
            </w: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1964"/>
          </w:tcPr>
          <w:p>
            <w:pPr>
              <w:pStyle w:val="MDPI42tablebody"/>
              <w:keepNext/>
              <w:spacing w:line="240" w:lineRule="auto" w:before="30" w:after="30"/>
              <w:jc w:val="left"/>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(0.023)</w:t>
            </w: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r>
      <w:tr>
        <w:trPr>
          <w:cantSplit/>
        </w:trPr>
        <w:tc>
          <w:tcPr>
            <w:tcW w:type="dxa" w:w="1964"/>
          </w:tcPr>
          <w:p>
            <w:pPr>
              <w:pStyle w:val="MDPI42tablebody"/>
              <w:keepNext/>
              <w:spacing w:line="240" w:lineRule="auto" w:before="30" w:after="30"/>
              <w:jc w:val="left"/>
            </w:pPr>
            <w:r>
              <w:rPr>
                <w:b w:val="0"/>
                <w:i w:val="0"/>
                <w:sz w:val="18"/>
              </w:rPr>
              <w:t>LIT</w:t>
            </w: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−0.136***</w:t>
            </w:r>
          </w:p>
        </w:tc>
        <w:tc>
          <w:tcPr>
            <w:tcW w:type="dxa" w:w="1178"/>
          </w:tcPr>
          <w:p>
            <w:pPr>
              <w:pStyle w:val="MDPI42tablebody"/>
              <w:keepNext/>
              <w:spacing w:line="240" w:lineRule="auto" w:before="30" w:after="30"/>
              <w:jc w:val="center"/>
            </w:pPr>
            <w:r>
              <w:rPr>
                <w:b w:val="0"/>
                <w:i w:val="0"/>
                <w:sz w:val="18"/>
              </w:rPr>
              <w:t>−0.132***</w:t>
            </w:r>
          </w:p>
        </w:tc>
        <w:tc>
          <w:tcPr>
            <w:tcW w:type="dxa" w:w="1178"/>
          </w:tcPr>
          <w:p>
            <w:pPr>
              <w:pStyle w:val="MDPI42tablebody"/>
              <w:keepNext/>
              <w:spacing w:line="240" w:lineRule="auto" w:before="30" w:after="30"/>
              <w:jc w:val="center"/>
            </w:pPr>
            <w:r>
              <w:rPr>
                <w:b w:val="0"/>
                <w:i w:val="0"/>
                <w:sz w:val="18"/>
              </w:rPr>
              <w:t>−0.132***</w:t>
            </w:r>
          </w:p>
        </w:tc>
      </w:tr>
      <w:tr>
        <w:trPr>
          <w:cantSplit/>
        </w:trPr>
        <w:tc>
          <w:tcPr>
            <w:tcW w:type="dxa" w:w="1964"/>
          </w:tcPr>
          <w:p>
            <w:pPr>
              <w:pStyle w:val="MDPI42tablebody"/>
              <w:keepNext/>
              <w:spacing w:line="240" w:lineRule="auto" w:before="30" w:after="30"/>
              <w:jc w:val="left"/>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(0.028)</w:t>
            </w:r>
          </w:p>
        </w:tc>
        <w:tc>
          <w:tcPr>
            <w:tcW w:type="dxa" w:w="1178"/>
          </w:tcPr>
          <w:p>
            <w:pPr>
              <w:pStyle w:val="MDPI42tablebody"/>
              <w:keepNext/>
              <w:spacing w:line="240" w:lineRule="auto" w:before="30" w:after="30"/>
              <w:jc w:val="center"/>
            </w:pPr>
            <w:r>
              <w:rPr>
                <w:b w:val="0"/>
                <w:i w:val="0"/>
                <w:sz w:val="18"/>
              </w:rPr>
              <w:t>(0.028)</w:t>
            </w:r>
          </w:p>
        </w:tc>
        <w:tc>
          <w:tcPr>
            <w:tcW w:type="dxa" w:w="1178"/>
          </w:tcPr>
          <w:p>
            <w:pPr>
              <w:pStyle w:val="MDPI42tablebody"/>
              <w:keepNext/>
              <w:spacing w:line="240" w:lineRule="auto" w:before="30" w:after="30"/>
              <w:jc w:val="center"/>
            </w:pPr>
            <w:r>
              <w:rPr>
                <w:b w:val="0"/>
                <w:i w:val="0"/>
                <w:sz w:val="18"/>
              </w:rPr>
              <w:t>(0.023)</w:t>
            </w:r>
          </w:p>
        </w:tc>
      </w:tr>
      <w:tr>
        <w:trPr>
          <w:cantSplit/>
        </w:trPr>
        <w:tc>
          <w:tcPr>
            <w:tcW w:type="dxa" w:w="1964"/>
          </w:tcPr>
          <w:p>
            <w:pPr>
              <w:pStyle w:val="MDPI42tablebody"/>
              <w:keepNext/>
              <w:spacing w:line="240" w:lineRule="auto" w:before="30" w:after="30"/>
              <w:jc w:val="left"/>
            </w:pPr>
            <w:r>
              <w:rPr>
                <w:b w:val="0"/>
                <w:i w:val="0"/>
                <w:sz w:val="18"/>
              </w:rPr>
              <w:t>ANX × LIT</w:t>
            </w: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−0.148***</w:t>
            </w:r>
          </w:p>
        </w:tc>
        <w:tc>
          <w:tcPr>
            <w:tcW w:type="dxa" w:w="1178"/>
          </w:tcPr>
          <w:p>
            <w:pPr>
              <w:pStyle w:val="MDPI42tablebody"/>
              <w:keepNext/>
              <w:spacing w:line="240" w:lineRule="auto" w:before="30" w:after="30"/>
              <w:jc w:val="center"/>
            </w:pPr>
            <w:r>
              <w:rPr>
                <w:b w:val="0"/>
                <w:i w:val="0"/>
                <w:sz w:val="18"/>
              </w:rPr>
              <w:t>−0.146***</w:t>
            </w:r>
          </w:p>
        </w:tc>
        <w:tc>
          <w:tcPr>
            <w:tcW w:type="dxa" w:w="1178"/>
          </w:tcPr>
          <w:p>
            <w:pPr>
              <w:pStyle w:val="MDPI42tablebody"/>
              <w:keepNext/>
              <w:spacing w:line="240" w:lineRule="auto" w:before="30" w:after="30"/>
              <w:jc w:val="center"/>
            </w:pPr>
            <w:r>
              <w:rPr>
                <w:b w:val="0"/>
                <w:i w:val="0"/>
                <w:sz w:val="18"/>
              </w:rPr>
              <w:t>−0.146***</w:t>
            </w:r>
          </w:p>
        </w:tc>
      </w:tr>
      <w:tr>
        <w:trPr>
          <w:cantSplit/>
        </w:trPr>
        <w:tc>
          <w:tcPr>
            <w:tcW w:type="dxa" w:w="1964"/>
          </w:tcPr>
          <w:p>
            <w:pPr>
              <w:pStyle w:val="MDPI42tablebody"/>
              <w:keepNext/>
              <w:spacing w:line="240" w:lineRule="auto" w:before="30" w:after="30"/>
              <w:jc w:val="left"/>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(0.029)</w:t>
            </w:r>
          </w:p>
        </w:tc>
        <w:tc>
          <w:tcPr>
            <w:tcW w:type="dxa" w:w="1178"/>
          </w:tcPr>
          <w:p>
            <w:pPr>
              <w:pStyle w:val="MDPI42tablebody"/>
              <w:keepNext/>
              <w:spacing w:line="240" w:lineRule="auto" w:before="30" w:after="30"/>
              <w:jc w:val="center"/>
            </w:pPr>
            <w:r>
              <w:rPr>
                <w:b w:val="0"/>
                <w:i w:val="0"/>
                <w:sz w:val="18"/>
              </w:rPr>
              <w:t>(0.029)</w:t>
            </w:r>
          </w:p>
        </w:tc>
        <w:tc>
          <w:tcPr>
            <w:tcW w:type="dxa" w:w="1178"/>
          </w:tcPr>
          <w:p>
            <w:pPr>
              <w:pStyle w:val="MDPI42tablebody"/>
              <w:keepNext/>
              <w:spacing w:line="240" w:lineRule="auto" w:before="30" w:after="30"/>
              <w:jc w:val="center"/>
            </w:pPr>
            <w:r>
              <w:rPr>
                <w:b w:val="0"/>
                <w:i w:val="0"/>
                <w:sz w:val="18"/>
              </w:rPr>
              <w:t>(0.029)</w:t>
            </w:r>
          </w:p>
        </w:tc>
      </w:tr>
      <w:tr>
        <w:trPr>
          <w:cantSplit/>
        </w:trPr>
        <w:tc>
          <w:tcPr>
            <w:tcW w:type="dxa" w:w="1964"/>
          </w:tcPr>
          <w:p>
            <w:pPr>
              <w:pStyle w:val="MDPI42tablebody"/>
              <w:keepNext/>
              <w:spacing w:line="240" w:lineRule="auto" w:before="30" w:after="30"/>
              <w:jc w:val="left"/>
            </w:pPr>
            <w:r>
              <w:rPr>
                <w:b w:val="0"/>
                <w:i w:val="0"/>
                <w:sz w:val="18"/>
              </w:rPr>
              <w:t>SUP</w:t>
            </w: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−0.116***</w:t>
            </w:r>
          </w:p>
        </w:tc>
        <w:tc>
          <w:tcPr>
            <w:tcW w:type="dxa" w:w="1178"/>
          </w:tcPr>
          <w:p>
            <w:pPr>
              <w:pStyle w:val="MDPI42tablebody"/>
              <w:keepNext/>
              <w:spacing w:line="240" w:lineRule="auto" w:before="30" w:after="30"/>
              <w:jc w:val="center"/>
            </w:pPr>
            <w:r>
              <w:rPr>
                <w:b w:val="0"/>
                <w:i w:val="0"/>
                <w:sz w:val="18"/>
              </w:rPr>
              <w:t>−0.116***</w:t>
            </w:r>
          </w:p>
        </w:tc>
      </w:tr>
      <w:tr>
        <w:trPr>
          <w:cantSplit/>
        </w:trPr>
        <w:tc>
          <w:tcPr>
            <w:tcW w:type="dxa" w:w="1964"/>
          </w:tcPr>
          <w:p>
            <w:pPr>
              <w:pStyle w:val="MDPI42tablebody"/>
              <w:keepNext/>
              <w:spacing w:line="240" w:lineRule="auto" w:before="30" w:after="30"/>
              <w:jc w:val="left"/>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(0.028)</w:t>
            </w:r>
          </w:p>
        </w:tc>
        <w:tc>
          <w:tcPr>
            <w:tcW w:type="dxa" w:w="1178"/>
          </w:tcPr>
          <w:p>
            <w:pPr>
              <w:pStyle w:val="MDPI42tablebody"/>
              <w:keepNext/>
              <w:spacing w:line="240" w:lineRule="auto" w:before="30" w:after="30"/>
              <w:jc w:val="center"/>
            </w:pPr>
            <w:r>
              <w:rPr>
                <w:b w:val="0"/>
                <w:i w:val="0"/>
                <w:sz w:val="18"/>
              </w:rPr>
              <w:t>(0.023)</w:t>
            </w:r>
          </w:p>
        </w:tc>
      </w:tr>
      <w:tr>
        <w:trPr>
          <w:cantSplit/>
        </w:trPr>
        <w:tc>
          <w:tcPr>
            <w:tcW w:type="dxa" w:w="1964"/>
          </w:tcPr>
          <w:p>
            <w:pPr>
              <w:pStyle w:val="MDPI42tablebody"/>
              <w:keepNext/>
              <w:spacing w:line="240" w:lineRule="auto" w:before="30" w:after="30"/>
              <w:jc w:val="left"/>
            </w:pPr>
            <w:r>
              <w:rPr>
                <w:b w:val="0"/>
                <w:i w:val="0"/>
                <w:sz w:val="18"/>
              </w:rPr>
              <w:t>PHCD</w:t>
            </w: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0.071**</w:t>
            </w:r>
          </w:p>
        </w:tc>
        <w:tc>
          <w:tcPr>
            <w:tcW w:type="dxa" w:w="1178"/>
          </w:tcPr>
          <w:p>
            <w:pPr>
              <w:pStyle w:val="MDPI42tablebody"/>
              <w:keepNext/>
              <w:spacing w:line="240" w:lineRule="auto" w:before="30" w:after="30"/>
              <w:jc w:val="center"/>
            </w:pPr>
            <w:r>
              <w:rPr>
                <w:b w:val="0"/>
                <w:i w:val="0"/>
                <w:sz w:val="18"/>
              </w:rPr>
              <w:t>0.071*</w:t>
            </w:r>
          </w:p>
        </w:tc>
      </w:tr>
      <w:tr>
        <w:trPr>
          <w:cantSplit/>
        </w:trPr>
        <w:tc>
          <w:tcPr>
            <w:tcW w:type="dxa" w:w="1964"/>
          </w:tcPr>
          <w:p>
            <w:pPr>
              <w:pStyle w:val="MDPI42tablebody"/>
              <w:keepNext/>
              <w:spacing w:line="240" w:lineRule="auto" w:before="30" w:after="30"/>
              <w:jc w:val="left"/>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p>
        </w:tc>
        <w:tc>
          <w:tcPr>
            <w:tcW w:type="dxa" w:w="1178"/>
          </w:tcPr>
          <w:p>
            <w:pPr>
              <w:pStyle w:val="MDPI42tablebody"/>
              <w:keepNext/>
              <w:spacing w:line="240" w:lineRule="auto" w:before="30" w:after="30"/>
              <w:jc w:val="center"/>
            </w:pPr>
            <w:r>
              <w:rPr>
                <w:b w:val="0"/>
                <w:i w:val="0"/>
                <w:sz w:val="18"/>
              </w:rPr>
              <w:t>(0.036)</w:t>
            </w:r>
          </w:p>
        </w:tc>
        <w:tc>
          <w:tcPr>
            <w:tcW w:type="dxa" w:w="1178"/>
          </w:tcPr>
          <w:p>
            <w:pPr>
              <w:pStyle w:val="MDPI42tablebody"/>
              <w:keepNext/>
              <w:spacing w:line="240" w:lineRule="auto" w:before="30" w:after="30"/>
              <w:jc w:val="center"/>
            </w:pPr>
            <w:r>
              <w:rPr>
                <w:b w:val="0"/>
                <w:i w:val="0"/>
                <w:sz w:val="18"/>
              </w:rPr>
              <w:t>(0.036)</w:t>
            </w:r>
          </w:p>
        </w:tc>
      </w:tr>
      <w:tr>
        <w:trPr>
          <w:cantSplit/>
        </w:trPr>
        <w:tc>
          <w:tcPr>
            <w:tcW w:type="dxa" w:w="1964"/>
          </w:tcPr>
          <w:p>
            <w:pPr>
              <w:pStyle w:val="MDPI42tablebody"/>
              <w:keepNext/>
              <w:spacing w:line="240" w:lineRule="auto" w:before="30" w:after="30"/>
              <w:jc w:val="left"/>
            </w:pPr>
            <w:r>
              <w:rPr>
                <w:b w:val="0"/>
                <w:i w:val="0"/>
                <w:sz w:val="18"/>
              </w:rPr>
              <w:t>Controls</w:t>
            </w:r>
          </w:p>
        </w:tc>
        <w:tc>
          <w:tcPr>
            <w:tcW w:type="dxa" w:w="1178"/>
          </w:tcPr>
          <w:p>
            <w:pPr>
              <w:pStyle w:val="MDPI42tablebody"/>
              <w:keepNext/>
              <w:spacing w:line="240" w:lineRule="auto" w:before="30" w:after="30"/>
              <w:jc w:val="center"/>
            </w:pPr>
            <w:r>
              <w:rPr>
                <w:b w:val="0"/>
                <w:i w:val="0"/>
                <w:sz w:val="18"/>
              </w:rPr>
              <w:t>Yes</w:t>
            </w:r>
          </w:p>
        </w:tc>
        <w:tc>
          <w:tcPr>
            <w:tcW w:type="dxa" w:w="1178"/>
          </w:tcPr>
          <w:p>
            <w:pPr>
              <w:pStyle w:val="MDPI42tablebody"/>
              <w:keepNext/>
              <w:spacing w:line="240" w:lineRule="auto" w:before="30" w:after="30"/>
              <w:jc w:val="center"/>
            </w:pPr>
            <w:r>
              <w:rPr>
                <w:b w:val="0"/>
                <w:i w:val="0"/>
                <w:sz w:val="18"/>
              </w:rPr>
              <w:t>Yes</w:t>
            </w:r>
          </w:p>
        </w:tc>
        <w:tc>
          <w:tcPr>
            <w:tcW w:type="dxa" w:w="1178"/>
          </w:tcPr>
          <w:p>
            <w:pPr>
              <w:pStyle w:val="MDPI42tablebody"/>
              <w:keepNext/>
              <w:spacing w:line="240" w:lineRule="auto" w:before="30" w:after="30"/>
              <w:jc w:val="center"/>
            </w:pPr>
            <w:r>
              <w:rPr>
                <w:b w:val="0"/>
                <w:i w:val="0"/>
                <w:sz w:val="18"/>
              </w:rPr>
              <w:t>Yes</w:t>
            </w:r>
          </w:p>
        </w:tc>
        <w:tc>
          <w:tcPr>
            <w:tcW w:type="dxa" w:w="1178"/>
          </w:tcPr>
          <w:p>
            <w:pPr>
              <w:pStyle w:val="MDPI42tablebody"/>
              <w:keepNext/>
              <w:spacing w:line="240" w:lineRule="auto" w:before="30" w:after="30"/>
              <w:jc w:val="center"/>
            </w:pPr>
            <w:r>
              <w:rPr>
                <w:b w:val="0"/>
                <w:i w:val="0"/>
                <w:sz w:val="18"/>
              </w:rPr>
              <w:t>Yes</w:t>
            </w:r>
          </w:p>
        </w:tc>
        <w:tc>
          <w:tcPr>
            <w:tcW w:type="dxa" w:w="1178"/>
          </w:tcPr>
          <w:p>
            <w:pPr>
              <w:pStyle w:val="MDPI42tablebody"/>
              <w:keepNext/>
              <w:spacing w:line="240" w:lineRule="auto" w:before="30" w:after="30"/>
              <w:jc w:val="center"/>
            </w:pPr>
            <w:r>
              <w:rPr>
                <w:b w:val="0"/>
                <w:i w:val="0"/>
                <w:sz w:val="18"/>
              </w:rPr>
              <w:t>Yes</w:t>
            </w:r>
          </w:p>
        </w:tc>
      </w:tr>
      <w:tr>
        <w:trPr>
          <w:cantSplit/>
        </w:trPr>
        <w:tc>
          <w:tcPr>
            <w:tcW w:type="dxa" w:w="1964"/>
          </w:tcPr>
          <w:p>
            <w:pPr>
              <w:pStyle w:val="MDPI42tablebody"/>
              <w:keepNext/>
              <w:spacing w:line="240" w:lineRule="auto" w:before="30" w:after="30"/>
              <w:jc w:val="left"/>
            </w:pPr>
            <w:r>
              <w:rPr>
                <w:b w:val="0"/>
                <w:i w:val="0"/>
                <w:sz w:val="18"/>
              </w:rPr>
              <w:t>Observations</w:t>
            </w:r>
          </w:p>
        </w:tc>
        <w:tc>
          <w:tcPr>
            <w:tcW w:type="dxa" w:w="1178"/>
          </w:tcPr>
          <w:p>
            <w:pPr>
              <w:pStyle w:val="MDPI42tablebody"/>
              <w:keepNext/>
              <w:spacing w:line="240" w:lineRule="auto" w:before="30" w:after="30"/>
              <w:jc w:val="center"/>
            </w:pPr>
            <w:r>
              <w:rPr>
                <w:b w:val="0"/>
                <w:i w:val="0"/>
                <w:sz w:val="18"/>
              </w:rPr>
              <w:t>914</w:t>
            </w:r>
          </w:p>
        </w:tc>
        <w:tc>
          <w:tcPr>
            <w:tcW w:type="dxa" w:w="1178"/>
          </w:tcPr>
          <w:p>
            <w:pPr>
              <w:pStyle w:val="MDPI42tablebody"/>
              <w:keepNext/>
              <w:spacing w:line="240" w:lineRule="auto" w:before="30" w:after="30"/>
              <w:jc w:val="center"/>
            </w:pPr>
            <w:r>
              <w:rPr>
                <w:b w:val="0"/>
                <w:i w:val="0"/>
                <w:sz w:val="18"/>
              </w:rPr>
              <w:t>914</w:t>
            </w:r>
          </w:p>
        </w:tc>
        <w:tc>
          <w:tcPr>
            <w:tcW w:type="dxa" w:w="1178"/>
          </w:tcPr>
          <w:p>
            <w:pPr>
              <w:pStyle w:val="MDPI42tablebody"/>
              <w:keepNext/>
              <w:spacing w:line="240" w:lineRule="auto" w:before="30" w:after="30"/>
              <w:jc w:val="center"/>
            </w:pPr>
            <w:r>
              <w:rPr>
                <w:b w:val="0"/>
                <w:i w:val="0"/>
                <w:sz w:val="18"/>
              </w:rPr>
              <w:t>914</w:t>
            </w:r>
          </w:p>
        </w:tc>
        <w:tc>
          <w:tcPr>
            <w:tcW w:type="dxa" w:w="1178"/>
          </w:tcPr>
          <w:p>
            <w:pPr>
              <w:pStyle w:val="MDPI42tablebody"/>
              <w:keepNext/>
              <w:spacing w:line="240" w:lineRule="auto" w:before="30" w:after="30"/>
              <w:jc w:val="center"/>
            </w:pPr>
            <w:r>
              <w:rPr>
                <w:b w:val="0"/>
                <w:i w:val="0"/>
                <w:sz w:val="18"/>
              </w:rPr>
              <w:t>914</w:t>
            </w:r>
          </w:p>
        </w:tc>
        <w:tc>
          <w:tcPr>
            <w:tcW w:type="dxa" w:w="1178"/>
          </w:tcPr>
          <w:p>
            <w:pPr>
              <w:pStyle w:val="MDPI42tablebody"/>
              <w:keepNext/>
              <w:spacing w:line="240" w:lineRule="auto" w:before="30" w:after="30"/>
              <w:jc w:val="center"/>
            </w:pPr>
            <w:r>
              <w:rPr>
                <w:b w:val="0"/>
                <w:i w:val="0"/>
                <w:sz w:val="18"/>
              </w:rPr>
              <w:t>914</w:t>
            </w:r>
          </w:p>
        </w:tc>
      </w:tr>
      <w:tr>
        <w:trPr>
          <w:cantSplit/>
        </w:trPr>
        <w:tc>
          <w:tcPr>
            <w:tcW w:type="dxa" w:w="1964"/>
          </w:tcPr>
          <w:p>
            <w:pPr>
              <w:pStyle w:val="MDPI42tablebody"/>
              <w:keepNext/>
              <w:spacing w:line="240" w:lineRule="auto" w:before="30" w:after="30"/>
              <w:jc w:val="left"/>
            </w:pPr>
            <w:r>
              <w:rPr>
                <w:b w:val="0"/>
                <w:i w:val="0"/>
                <w:sz w:val="18"/>
              </w:rPr>
              <w:t>R²</w:t>
            </w:r>
          </w:p>
        </w:tc>
        <w:tc>
          <w:tcPr>
            <w:tcW w:type="dxa" w:w="1178"/>
          </w:tcPr>
          <w:p>
            <w:pPr>
              <w:pStyle w:val="MDPI42tablebody"/>
              <w:keepNext/>
              <w:spacing w:line="240" w:lineRule="auto" w:before="30" w:after="30"/>
              <w:jc w:val="center"/>
            </w:pPr>
            <w:r>
              <w:rPr>
                <w:b w:val="0"/>
                <w:i w:val="0"/>
                <w:sz w:val="18"/>
              </w:rPr>
              <w:t>0.230</w:t>
            </w:r>
          </w:p>
        </w:tc>
        <w:tc>
          <w:tcPr>
            <w:tcW w:type="dxa" w:w="1178"/>
          </w:tcPr>
          <w:p>
            <w:pPr>
              <w:pStyle w:val="MDPI42tablebody"/>
              <w:keepNext/>
              <w:spacing w:line="240" w:lineRule="auto" w:before="30" w:after="30"/>
              <w:jc w:val="center"/>
            </w:pPr>
            <w:r>
              <w:rPr>
                <w:b w:val="0"/>
                <w:i w:val="0"/>
                <w:sz w:val="18"/>
              </w:rPr>
              <w:t>0.233</w:t>
            </w:r>
          </w:p>
        </w:tc>
        <w:tc>
          <w:tcPr>
            <w:tcW w:type="dxa" w:w="1178"/>
          </w:tcPr>
          <w:p>
            <w:pPr>
              <w:pStyle w:val="MDPI42tablebody"/>
              <w:keepNext/>
              <w:spacing w:line="240" w:lineRule="auto" w:before="30" w:after="30"/>
              <w:jc w:val="center"/>
            </w:pPr>
            <w:r>
              <w:rPr>
                <w:b w:val="0"/>
                <w:i w:val="0"/>
                <w:sz w:val="18"/>
              </w:rPr>
              <w:t>0.269</w:t>
            </w:r>
          </w:p>
        </w:tc>
        <w:tc>
          <w:tcPr>
            <w:tcW w:type="dxa" w:w="1178"/>
          </w:tcPr>
          <w:p>
            <w:pPr>
              <w:pStyle w:val="MDPI42tablebody"/>
              <w:keepNext/>
              <w:spacing w:line="240" w:lineRule="auto" w:before="30" w:after="30"/>
              <w:jc w:val="center"/>
            </w:pPr>
            <w:r>
              <w:rPr>
                <w:b w:val="0"/>
                <w:i w:val="0"/>
                <w:sz w:val="18"/>
              </w:rPr>
              <w:t>0.284</w:t>
            </w:r>
          </w:p>
        </w:tc>
        <w:tc>
          <w:tcPr>
            <w:tcW w:type="dxa" w:w="1178"/>
          </w:tcPr>
          <w:p>
            <w:pPr>
              <w:pStyle w:val="MDPI42tablebody"/>
              <w:keepNext/>
              <w:spacing w:line="240" w:lineRule="auto" w:before="30" w:after="30"/>
              <w:jc w:val="center"/>
            </w:pPr>
            <w:r>
              <w:rPr>
                <w:b w:val="0"/>
                <w:i w:val="0"/>
                <w:sz w:val="18"/>
              </w:rPr>
              <w:t>0.284</w:t>
            </w:r>
          </w:p>
        </w:tc>
      </w:tr>
    </w:tbl>
    <w:p>
      <w:pPr>
        <w:pStyle w:val="MDPI43tablefooter"/>
        <w:spacing w:line="240" w:lineRule="auto" w:before="40" w:after="200"/>
        <w:ind w:left="2608" w:firstLine="0"/>
      </w:pPr>
      <w:r>
        <w:rPr>
          <w:sz w:val="16"/>
        </w:rPr>
        <w:t xml:space="preserve">Note: </w:t>
      </w:r>
      <w:r>
        <w:rPr>
          <w:b w:val="0"/>
          <w:i w:val="0"/>
          <w:sz w:val="16"/>
        </w:rPr>
        <w:t>The dependent variable is career avoidance at the second wave, standardized. Column (2) adds the quadratic term, which is insignificant; columns (3)–(4) add literacy and its interaction. Values in parentheses are HC3 standard errors in columns (1)–(4) and occupation-clustered standard errors in column (5). ***, ** and * denote significance at the 1%, 5% and 10% levels, respectively. Source: authors’ own calculations.</w:t>
      </w:r>
    </w:p>
    <w:p>
      <w:pPr>
        <w:pStyle w:val="MDPI22heading2"/>
      </w:pPr>
      <w:r>
        <w:t>4.6. The Conduit: Conditional Indirect Effects (H4a, H4b)</w:t>
      </w:r>
    </w:p>
    <w:p>
      <w:pPr>
        <w:pStyle w:val="MDPI32textnoindent"/>
      </w:pPr>
      <w:r>
        <w:rPr>
          <w:b w:val="0"/>
          <w:i w:val="0"/>
        </w:rPr>
        <w:t xml:space="preserve">Table 10 reports the bootstrapped conditional-process estimates of Equation (5). Read the adaptation panel at high support and high literacy: a standard deviation of perceived depreciation transmitted through anxiety raises adaptation by 0.262 when anxiety is low (95 percent CI [0.188, 0.340]), but the same transmission at one standard deviation of anxiety above the mean, at low support and low literacy, is −0.281 ([−0.371, −0.193]) — the identical percept, carried by the identical channel, now demobilizes. The index of curvilinear mediation, </w:t>
      </w:r>
      <m:oMath>
        <m:r>
          <m:rPr>
            <m:sty m:val="p"/>
          </m:rPr>
          <m:t xml:space="preserve">2</m:t>
        </m:r>
        <m:sSub>
          <m:e>
            <m:r>
              <m:t xml:space="preserve">a</m:t>
            </m:r>
          </m:e>
          <m:sub>
            <m:r>
              <m:rPr>
                <m:sty m:val="p"/>
              </m:rPr>
              <m:t xml:space="preserve">1</m:t>
            </m:r>
          </m:sub>
        </m:sSub>
        <m:sSub>
          <m:e>
            <m:r>
              <m:t xml:space="preserve">b</m:t>
            </m:r>
          </m:e>
          <m:sub>
            <m:r>
              <m:rPr>
                <m:sty m:val="p"/>
              </m:rPr>
              <m:t xml:space="preserve">2</m:t>
            </m:r>
          </m:sub>
        </m:sSub>
      </m:oMath>
      <w:r>
        <w:rPr>
          <w:b w:val="0"/>
          <w:i w:val="0"/>
        </w:rPr>
        <w:t xml:space="preserve"> = −0.231 ([−0.286, −0.174]), certifies that the sign reversal is a property of the transmitted effect and not a boundary artifact; the indices of moderated mediation are −0.027 ([−0.042, −0.014]) for support in the first stage and 0.068 ([0.040, 0.096]) for literacy in the second </w:t>
      </w:r>
      <w:r>
        <w:t>[</w:t>
      </w:r>
      <w:r>
        <w:fldChar w:fldCharType="begin"/>
      </w:r>
      <w:r>
        <w:instrText xml:space="preserve"> REF _Ref_27 \h </w:instrText>
      </w:r>
      <w:r>
        <w:fldChar w:fldCharType="separate"/>
      </w:r>
      <w:r>
        <w:t>27</w:t>
      </w:r>
      <w:r>
        <w:fldChar w:fldCharType="end"/>
      </w:r>
      <w:r>
        <w:t>]</w:t>
      </w:r>
      <w:r>
        <w:rPr>
          <w:b w:val="0"/>
          <w:i w:val="0"/>
        </w:rPr>
        <w:t>. The avoidance channel is uniformly positive — 0.274 at low literacy, 0.132 at high — and its literacy index is −0.071 ([−0.099, −0.043]). H4a and H4b are supported, with the qualification H4a itself predicted: the conduit’s sign depends on where in the anxiety distribution the graduate stands.</w:t>
      </w:r>
    </w:p>
    <w:p>
      <w:pPr>
        <w:pStyle w:val="MDPI41tablecaption"/>
        <w:keepNext/>
        <w:spacing w:after="60"/>
      </w:pPr>
      <w:r>
        <w:rPr>
          <w:b/>
          <w:sz w:val="18"/>
        </w:rPr>
        <w:t xml:space="preserve">Table 10. </w:t>
      </w:r>
      <w:r>
        <w:rPr>
          <w:b w:val="0"/>
          <w:i w:val="0"/>
          <w:sz w:val="18"/>
        </w:rPr>
        <w:t>Conditional indirect effects of perceived depreciation, through anxiety (H4a, H4b).</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614"/>
        <w:gridCol w:w="1728"/>
        <w:gridCol w:w="2514"/>
      </w:tblGrid>
      <w:tr>
        <w:trPr>
          <w:cantSplit/>
          <w:tblHeader/>
        </w:trPr>
        <w:tc>
          <w:tcPr>
            <w:tcW w:type="dxa" w:w="3614"/>
            <w:tcBorders>
              <w:bottom w:val="single" w:sz="8" w:space="0" w:color="auto"/>
            </w:tcBorders>
          </w:tcPr>
          <w:p>
            <w:pPr>
              <w:pStyle w:val="MDPI42tablebody"/>
              <w:keepNext/>
              <w:spacing w:line="240" w:lineRule="auto" w:before="30" w:after="30"/>
              <w:jc w:val="center"/>
            </w:pPr>
            <w:r>
              <w:rPr>
                <w:b/>
                <w:i w:val="0"/>
                <w:sz w:val="18"/>
              </w:rPr>
              <w:t>Path and conditioning values</w:t>
            </w:r>
          </w:p>
        </w:tc>
        <w:tc>
          <w:tcPr>
            <w:tcW w:type="dxa" w:w="1728"/>
            <w:tcBorders>
              <w:bottom w:val="single" w:sz="8" w:space="0" w:color="auto"/>
            </w:tcBorders>
          </w:tcPr>
          <w:p>
            <w:pPr>
              <w:pStyle w:val="MDPI42tablebody"/>
              <w:keepNext/>
              <w:spacing w:line="240" w:lineRule="auto" w:before="30" w:after="30"/>
              <w:jc w:val="center"/>
            </w:pPr>
            <w:r>
              <w:rPr>
                <w:b/>
                <w:i w:val="0"/>
                <w:sz w:val="18"/>
              </w:rPr>
              <w:t>Estimate</w:t>
            </w:r>
          </w:p>
        </w:tc>
        <w:tc>
          <w:tcPr>
            <w:tcW w:type="dxa" w:w="2514"/>
            <w:tcBorders>
              <w:bottom w:val="single" w:sz="8" w:space="0" w:color="auto"/>
            </w:tcBorders>
          </w:tcPr>
          <w:p>
            <w:pPr>
              <w:pStyle w:val="MDPI42tablebody"/>
              <w:keepNext/>
              <w:spacing w:line="240" w:lineRule="auto" w:before="30" w:after="30"/>
              <w:jc w:val="center"/>
            </w:pPr>
            <w:r>
              <w:rPr>
                <w:b/>
                <w:i w:val="0"/>
                <w:sz w:val="18"/>
              </w:rPr>
              <w:t>95% bootstrap CI</w:t>
            </w:r>
          </w:p>
        </w:tc>
      </w:tr>
      <w:tr>
        <w:trPr>
          <w:cantSplit/>
        </w:trPr>
        <w:tc>
          <w:tcPr>
            <w:tcW w:type="dxa" w:w="3614"/>
          </w:tcPr>
          <w:p>
            <w:pPr>
              <w:pStyle w:val="MDPI42tablebody"/>
              <w:keepNext/>
              <w:spacing w:line="240" w:lineRule="auto" w:before="30" w:after="30"/>
              <w:jc w:val="left"/>
            </w:pPr>
            <w:r>
              <w:rPr>
                <w:b w:val="0"/>
                <w:i w:val="0"/>
                <w:sz w:val="18"/>
              </w:rPr>
              <w:t>SUP = −1, ANX = −1, LIT = −1</w:t>
            </w:r>
          </w:p>
        </w:tc>
        <w:tc>
          <w:tcPr>
            <w:tcW w:type="dxa" w:w="1728"/>
          </w:tcPr>
          <w:p>
            <w:pPr>
              <w:pStyle w:val="MDPI42tablebody"/>
              <w:keepNext/>
              <w:spacing w:line="240" w:lineRule="auto" w:before="30" w:after="30"/>
              <w:jc w:val="center"/>
            </w:pPr>
            <w:r>
              <w:rPr>
                <w:b w:val="0"/>
                <w:i w:val="0"/>
                <w:sz w:val="18"/>
              </w:rPr>
              <w:t>0.326</w:t>
            </w:r>
          </w:p>
        </w:tc>
        <w:tc>
          <w:tcPr>
            <w:tcW w:type="dxa" w:w="2514"/>
          </w:tcPr>
          <w:p>
            <w:pPr>
              <w:pStyle w:val="MDPI42tablebody"/>
              <w:keepNext/>
              <w:spacing w:line="240" w:lineRule="auto" w:before="30" w:after="30"/>
              <w:jc w:val="center"/>
            </w:pPr>
            <w:r>
              <w:rPr>
                <w:b w:val="0"/>
                <w:i w:val="0"/>
                <w:sz w:val="18"/>
              </w:rPr>
              <w:t>[0.231, 0.422]</w:t>
            </w:r>
          </w:p>
        </w:tc>
      </w:tr>
      <w:tr>
        <w:trPr>
          <w:cantSplit/>
        </w:trPr>
        <w:tc>
          <w:tcPr>
            <w:tcW w:type="dxa" w:w="3614"/>
          </w:tcPr>
          <w:p>
            <w:pPr>
              <w:pStyle w:val="MDPI42tablebody"/>
              <w:keepNext/>
              <w:spacing w:line="240" w:lineRule="auto" w:before="30" w:after="30"/>
              <w:jc w:val="left"/>
            </w:pPr>
            <w:r>
              <w:rPr>
                <w:b w:val="0"/>
                <w:i w:val="0"/>
                <w:sz w:val="18"/>
              </w:rPr>
              <w:t>SUP = −1, ANX = −1, LIT = +1</w:t>
            </w:r>
          </w:p>
        </w:tc>
        <w:tc>
          <w:tcPr>
            <w:tcW w:type="dxa" w:w="1728"/>
          </w:tcPr>
          <w:p>
            <w:pPr>
              <w:pStyle w:val="MDPI42tablebody"/>
              <w:keepNext/>
              <w:spacing w:line="240" w:lineRule="auto" w:before="30" w:after="30"/>
              <w:jc w:val="center"/>
            </w:pPr>
            <w:r>
              <w:rPr>
                <w:b w:val="0"/>
                <w:i w:val="0"/>
                <w:sz w:val="18"/>
              </w:rPr>
              <w:t>0.504</w:t>
            </w:r>
          </w:p>
        </w:tc>
        <w:tc>
          <w:tcPr>
            <w:tcW w:type="dxa" w:w="2514"/>
          </w:tcPr>
          <w:p>
            <w:pPr>
              <w:pStyle w:val="MDPI42tablebody"/>
              <w:keepNext/>
              <w:spacing w:line="240" w:lineRule="auto" w:before="30" w:after="30"/>
              <w:jc w:val="center"/>
            </w:pPr>
            <w:r>
              <w:rPr>
                <w:b w:val="0"/>
                <w:i w:val="0"/>
                <w:sz w:val="18"/>
              </w:rPr>
              <w:t>[0.404, 0.609]</w:t>
            </w:r>
          </w:p>
        </w:tc>
      </w:tr>
      <w:tr>
        <w:trPr>
          <w:cantSplit/>
        </w:trPr>
        <w:tc>
          <w:tcPr>
            <w:tcW w:type="dxa" w:w="3614"/>
          </w:tcPr>
          <w:p>
            <w:pPr>
              <w:pStyle w:val="MDPI42tablebody"/>
              <w:keepNext/>
              <w:spacing w:line="240" w:lineRule="auto" w:before="30" w:after="30"/>
              <w:jc w:val="left"/>
            </w:pPr>
            <w:r>
              <w:rPr>
                <w:b w:val="0"/>
                <w:i w:val="0"/>
                <w:sz w:val="18"/>
              </w:rPr>
              <w:t>SUP = −1, ANX = +0, LIT = −1</w:t>
            </w:r>
          </w:p>
        </w:tc>
        <w:tc>
          <w:tcPr>
            <w:tcW w:type="dxa" w:w="1728"/>
          </w:tcPr>
          <w:p>
            <w:pPr>
              <w:pStyle w:val="MDPI42tablebody"/>
              <w:keepNext/>
              <w:spacing w:line="240" w:lineRule="auto" w:before="30" w:after="30"/>
              <w:jc w:val="center"/>
            </w:pPr>
            <w:r>
              <w:rPr>
                <w:b w:val="0"/>
                <w:i w:val="0"/>
                <w:sz w:val="18"/>
              </w:rPr>
              <w:t>0.023</w:t>
            </w:r>
          </w:p>
        </w:tc>
        <w:tc>
          <w:tcPr>
            <w:tcW w:type="dxa" w:w="2514"/>
          </w:tcPr>
          <w:p>
            <w:pPr>
              <w:pStyle w:val="MDPI42tablebody"/>
              <w:keepNext/>
              <w:spacing w:line="240" w:lineRule="auto" w:before="30" w:after="30"/>
              <w:jc w:val="center"/>
            </w:pPr>
            <w:r>
              <w:rPr>
                <w:b w:val="0"/>
                <w:i w:val="0"/>
                <w:sz w:val="18"/>
              </w:rPr>
              <w:t>[−0.034, 0.078]</w:t>
            </w:r>
          </w:p>
        </w:tc>
      </w:tr>
      <w:tr>
        <w:trPr>
          <w:cantSplit/>
        </w:trPr>
        <w:tc>
          <w:tcPr>
            <w:tcW w:type="dxa" w:w="3614"/>
          </w:tcPr>
          <w:p>
            <w:pPr>
              <w:pStyle w:val="MDPI42tablebody"/>
              <w:keepNext/>
              <w:spacing w:line="240" w:lineRule="auto" w:before="30" w:after="30"/>
              <w:jc w:val="left"/>
            </w:pPr>
            <w:r>
              <w:rPr>
                <w:b w:val="0"/>
                <w:i w:val="0"/>
                <w:sz w:val="18"/>
              </w:rPr>
              <w:t>SUP = −1, ANX = +0, LIT = +1</w:t>
            </w:r>
          </w:p>
        </w:tc>
        <w:tc>
          <w:tcPr>
            <w:tcW w:type="dxa" w:w="1728"/>
          </w:tcPr>
          <w:p>
            <w:pPr>
              <w:pStyle w:val="MDPI42tablebody"/>
              <w:keepNext/>
              <w:spacing w:line="240" w:lineRule="auto" w:before="30" w:after="30"/>
              <w:jc w:val="center"/>
            </w:pPr>
            <w:r>
              <w:rPr>
                <w:b w:val="0"/>
                <w:i w:val="0"/>
                <w:sz w:val="18"/>
              </w:rPr>
              <w:t>0.201</w:t>
            </w:r>
          </w:p>
        </w:tc>
        <w:tc>
          <w:tcPr>
            <w:tcW w:type="dxa" w:w="2514"/>
          </w:tcPr>
          <w:p>
            <w:pPr>
              <w:pStyle w:val="MDPI42tablebody"/>
              <w:keepNext/>
              <w:spacing w:line="240" w:lineRule="auto" w:before="30" w:after="30"/>
              <w:jc w:val="center"/>
            </w:pPr>
            <w:r>
              <w:rPr>
                <w:b w:val="0"/>
                <w:i w:val="0"/>
                <w:sz w:val="18"/>
              </w:rPr>
              <w:t>[0.143, 0.260]</w:t>
            </w:r>
          </w:p>
        </w:tc>
      </w:tr>
      <w:tr>
        <w:trPr>
          <w:cantSplit/>
        </w:trPr>
        <w:tc>
          <w:tcPr>
            <w:tcW w:type="dxa" w:w="3614"/>
          </w:tcPr>
          <w:p>
            <w:pPr>
              <w:pStyle w:val="MDPI42tablebody"/>
              <w:keepNext/>
              <w:spacing w:line="240" w:lineRule="auto" w:before="30" w:after="30"/>
              <w:jc w:val="left"/>
            </w:pPr>
            <w:r>
              <w:rPr>
                <w:b w:val="0"/>
                <w:i w:val="0"/>
                <w:sz w:val="18"/>
              </w:rPr>
              <w:t>SUP = −1, ANX = +1, LIT = −1</w:t>
            </w:r>
          </w:p>
        </w:tc>
        <w:tc>
          <w:tcPr>
            <w:tcW w:type="dxa" w:w="1728"/>
          </w:tcPr>
          <w:p>
            <w:pPr>
              <w:pStyle w:val="MDPI42tablebody"/>
              <w:keepNext/>
              <w:spacing w:line="240" w:lineRule="auto" w:before="30" w:after="30"/>
              <w:jc w:val="center"/>
            </w:pPr>
            <w:r>
              <w:rPr>
                <w:b w:val="0"/>
                <w:i w:val="0"/>
                <w:sz w:val="18"/>
              </w:rPr>
              <w:t>−0.281</w:t>
            </w:r>
          </w:p>
        </w:tc>
        <w:tc>
          <w:tcPr>
            <w:tcW w:type="dxa" w:w="2514"/>
          </w:tcPr>
          <w:p>
            <w:pPr>
              <w:pStyle w:val="MDPI42tablebody"/>
              <w:keepNext/>
              <w:spacing w:line="240" w:lineRule="auto" w:before="30" w:after="30"/>
              <w:jc w:val="center"/>
            </w:pPr>
            <w:r>
              <w:rPr>
                <w:b w:val="0"/>
                <w:i w:val="0"/>
                <w:sz w:val="18"/>
              </w:rPr>
              <w:t>[−0.371, −0.193]</w:t>
            </w:r>
          </w:p>
        </w:tc>
      </w:tr>
      <w:tr>
        <w:trPr>
          <w:cantSplit/>
        </w:trPr>
        <w:tc>
          <w:tcPr>
            <w:tcW w:type="dxa" w:w="3614"/>
          </w:tcPr>
          <w:p>
            <w:pPr>
              <w:pStyle w:val="MDPI42tablebody"/>
              <w:keepNext/>
              <w:spacing w:line="240" w:lineRule="auto" w:before="30" w:after="30"/>
              <w:jc w:val="left"/>
            </w:pPr>
            <w:r>
              <w:rPr>
                <w:b w:val="0"/>
                <w:i w:val="0"/>
                <w:sz w:val="18"/>
              </w:rPr>
              <w:t>SUP = −1, ANX = +1, LIT = +1</w:t>
            </w:r>
          </w:p>
        </w:tc>
        <w:tc>
          <w:tcPr>
            <w:tcW w:type="dxa" w:w="1728"/>
          </w:tcPr>
          <w:p>
            <w:pPr>
              <w:pStyle w:val="MDPI42tablebody"/>
              <w:keepNext/>
              <w:spacing w:line="240" w:lineRule="auto" w:before="30" w:after="30"/>
              <w:jc w:val="center"/>
            </w:pPr>
            <w:r>
              <w:rPr>
                <w:b w:val="0"/>
                <w:i w:val="0"/>
                <w:sz w:val="18"/>
              </w:rPr>
              <w:t>−0.103</w:t>
            </w:r>
          </w:p>
        </w:tc>
        <w:tc>
          <w:tcPr>
            <w:tcW w:type="dxa" w:w="2514"/>
          </w:tcPr>
          <w:p>
            <w:pPr>
              <w:pStyle w:val="MDPI42tablebody"/>
              <w:keepNext/>
              <w:spacing w:line="240" w:lineRule="auto" w:before="30" w:after="30"/>
              <w:jc w:val="center"/>
            </w:pPr>
            <w:r>
              <w:rPr>
                <w:b w:val="0"/>
                <w:i w:val="0"/>
                <w:sz w:val="18"/>
              </w:rPr>
              <w:t>[−0.189, −0.015]</w:t>
            </w:r>
          </w:p>
        </w:tc>
      </w:tr>
      <w:tr>
        <w:trPr>
          <w:cantSplit/>
        </w:trPr>
        <w:tc>
          <w:tcPr>
            <w:tcW w:type="dxa" w:w="3614"/>
          </w:tcPr>
          <w:p>
            <w:pPr>
              <w:pStyle w:val="MDPI42tablebody"/>
              <w:keepNext/>
              <w:spacing w:line="240" w:lineRule="auto" w:before="30" w:after="30"/>
              <w:jc w:val="left"/>
            </w:pPr>
            <w:r>
              <w:rPr>
                <w:b w:val="0"/>
                <w:i w:val="0"/>
                <w:sz w:val="18"/>
              </w:rPr>
              <w:t>SUP = +1, ANX = −1, LIT = −1</w:t>
            </w:r>
          </w:p>
        </w:tc>
        <w:tc>
          <w:tcPr>
            <w:tcW w:type="dxa" w:w="1728"/>
          </w:tcPr>
          <w:p>
            <w:pPr>
              <w:pStyle w:val="MDPI42tablebody"/>
              <w:keepNext/>
              <w:spacing w:line="240" w:lineRule="auto" w:before="30" w:after="30"/>
              <w:jc w:val="center"/>
            </w:pPr>
            <w:r>
              <w:rPr>
                <w:b w:val="0"/>
                <w:i w:val="0"/>
                <w:sz w:val="18"/>
              </w:rPr>
              <w:t>0.169</w:t>
            </w:r>
          </w:p>
        </w:tc>
        <w:tc>
          <w:tcPr>
            <w:tcW w:type="dxa" w:w="2514"/>
          </w:tcPr>
          <w:p>
            <w:pPr>
              <w:pStyle w:val="MDPI42tablebody"/>
              <w:keepNext/>
              <w:spacing w:line="240" w:lineRule="auto" w:before="30" w:after="30"/>
              <w:jc w:val="center"/>
            </w:pPr>
            <w:r>
              <w:rPr>
                <w:b w:val="0"/>
                <w:i w:val="0"/>
                <w:sz w:val="18"/>
              </w:rPr>
              <w:t>[0.110, 0.235]</w:t>
            </w:r>
          </w:p>
        </w:tc>
      </w:tr>
      <w:tr>
        <w:trPr>
          <w:cantSplit/>
        </w:trPr>
        <w:tc>
          <w:tcPr>
            <w:tcW w:type="dxa" w:w="3614"/>
          </w:tcPr>
          <w:p>
            <w:pPr>
              <w:pStyle w:val="MDPI42tablebody"/>
              <w:keepNext/>
              <w:spacing w:line="240" w:lineRule="auto" w:before="30" w:after="30"/>
              <w:jc w:val="left"/>
            </w:pPr>
            <w:r>
              <w:rPr>
                <w:b w:val="0"/>
                <w:i w:val="0"/>
                <w:sz w:val="18"/>
              </w:rPr>
              <w:t>SUP = +1, ANX = −1, LIT = +1</w:t>
            </w:r>
          </w:p>
        </w:tc>
        <w:tc>
          <w:tcPr>
            <w:tcW w:type="dxa" w:w="1728"/>
          </w:tcPr>
          <w:p>
            <w:pPr>
              <w:pStyle w:val="MDPI42tablebody"/>
              <w:keepNext/>
              <w:spacing w:line="240" w:lineRule="auto" w:before="30" w:after="30"/>
              <w:jc w:val="center"/>
            </w:pPr>
            <w:r>
              <w:rPr>
                <w:b w:val="0"/>
                <w:i w:val="0"/>
                <w:sz w:val="18"/>
              </w:rPr>
              <w:t>0.262</w:t>
            </w:r>
          </w:p>
        </w:tc>
        <w:tc>
          <w:tcPr>
            <w:tcW w:type="dxa" w:w="2514"/>
          </w:tcPr>
          <w:p>
            <w:pPr>
              <w:pStyle w:val="MDPI42tablebody"/>
              <w:keepNext/>
              <w:spacing w:line="240" w:lineRule="auto" w:before="30" w:after="30"/>
              <w:jc w:val="center"/>
            </w:pPr>
            <w:r>
              <w:rPr>
                <w:b w:val="0"/>
                <w:i w:val="0"/>
                <w:sz w:val="18"/>
              </w:rPr>
              <w:t>[0.188, 0.340]</w:t>
            </w:r>
          </w:p>
        </w:tc>
      </w:tr>
      <w:tr>
        <w:trPr>
          <w:cantSplit/>
        </w:trPr>
        <w:tc>
          <w:tcPr>
            <w:tcW w:type="dxa" w:w="3614"/>
          </w:tcPr>
          <w:p>
            <w:pPr>
              <w:pStyle w:val="MDPI42tablebody"/>
              <w:keepNext/>
              <w:spacing w:line="240" w:lineRule="auto" w:before="30" w:after="30"/>
              <w:jc w:val="left"/>
            </w:pPr>
            <w:r>
              <w:rPr>
                <w:b w:val="0"/>
                <w:i w:val="0"/>
                <w:sz w:val="18"/>
              </w:rPr>
              <w:t>SUP = +1, ANX = +0, LIT = −1</w:t>
            </w:r>
          </w:p>
        </w:tc>
        <w:tc>
          <w:tcPr>
            <w:tcW w:type="dxa" w:w="1728"/>
          </w:tcPr>
          <w:p>
            <w:pPr>
              <w:pStyle w:val="MDPI42tablebody"/>
              <w:keepNext/>
              <w:spacing w:line="240" w:lineRule="auto" w:before="30" w:after="30"/>
              <w:jc w:val="center"/>
            </w:pPr>
            <w:r>
              <w:rPr>
                <w:b w:val="0"/>
                <w:i w:val="0"/>
                <w:sz w:val="18"/>
              </w:rPr>
              <w:t>0.012</w:t>
            </w:r>
          </w:p>
        </w:tc>
        <w:tc>
          <w:tcPr>
            <w:tcW w:type="dxa" w:w="2514"/>
          </w:tcPr>
          <w:p>
            <w:pPr>
              <w:pStyle w:val="MDPI42tablebody"/>
              <w:keepNext/>
              <w:spacing w:line="240" w:lineRule="auto" w:before="30" w:after="30"/>
              <w:jc w:val="center"/>
            </w:pPr>
            <w:r>
              <w:rPr>
                <w:b w:val="0"/>
                <w:i w:val="0"/>
                <w:sz w:val="18"/>
              </w:rPr>
              <w:t>[−0.018, 0.041]</w:t>
            </w:r>
          </w:p>
        </w:tc>
      </w:tr>
      <w:tr>
        <w:trPr>
          <w:cantSplit/>
        </w:trPr>
        <w:tc>
          <w:tcPr>
            <w:tcW w:type="dxa" w:w="3614"/>
          </w:tcPr>
          <w:p>
            <w:pPr>
              <w:pStyle w:val="MDPI42tablebody"/>
              <w:keepNext/>
              <w:spacing w:line="240" w:lineRule="auto" w:before="30" w:after="30"/>
              <w:jc w:val="left"/>
            </w:pPr>
            <w:r>
              <w:rPr>
                <w:b w:val="0"/>
                <w:i w:val="0"/>
                <w:sz w:val="18"/>
              </w:rPr>
              <w:t>SUP = +1, ANX = +0, LIT = +1</w:t>
            </w:r>
          </w:p>
        </w:tc>
        <w:tc>
          <w:tcPr>
            <w:tcW w:type="dxa" w:w="1728"/>
          </w:tcPr>
          <w:p>
            <w:pPr>
              <w:pStyle w:val="MDPI42tablebody"/>
              <w:keepNext/>
              <w:spacing w:line="240" w:lineRule="auto" w:before="30" w:after="30"/>
              <w:jc w:val="center"/>
            </w:pPr>
            <w:r>
              <w:rPr>
                <w:b w:val="0"/>
                <w:i w:val="0"/>
                <w:sz w:val="18"/>
              </w:rPr>
              <w:t>0.104</w:t>
            </w:r>
          </w:p>
        </w:tc>
        <w:tc>
          <w:tcPr>
            <w:tcW w:type="dxa" w:w="2514"/>
          </w:tcPr>
          <w:p>
            <w:pPr>
              <w:pStyle w:val="MDPI42tablebody"/>
              <w:keepNext/>
              <w:spacing w:line="240" w:lineRule="auto" w:before="30" w:after="30"/>
              <w:jc w:val="center"/>
            </w:pPr>
            <w:r>
              <w:rPr>
                <w:b w:val="0"/>
                <w:i w:val="0"/>
                <w:sz w:val="18"/>
              </w:rPr>
              <w:t>[0.069, 0.143]</w:t>
            </w:r>
          </w:p>
        </w:tc>
      </w:tr>
      <w:tr>
        <w:trPr>
          <w:cantSplit/>
        </w:trPr>
        <w:tc>
          <w:tcPr>
            <w:tcW w:type="dxa" w:w="3614"/>
          </w:tcPr>
          <w:p>
            <w:pPr>
              <w:pStyle w:val="MDPI42tablebody"/>
              <w:keepNext/>
              <w:spacing w:line="240" w:lineRule="auto" w:before="30" w:after="30"/>
              <w:jc w:val="left"/>
            </w:pPr>
            <w:r>
              <w:rPr>
                <w:b w:val="0"/>
                <w:i w:val="0"/>
                <w:sz w:val="18"/>
              </w:rPr>
              <w:t>SUP = +1, ANX = +1, LIT = −1</w:t>
            </w:r>
          </w:p>
        </w:tc>
        <w:tc>
          <w:tcPr>
            <w:tcW w:type="dxa" w:w="1728"/>
          </w:tcPr>
          <w:p>
            <w:pPr>
              <w:pStyle w:val="MDPI42tablebody"/>
              <w:keepNext/>
              <w:spacing w:line="240" w:lineRule="auto" w:before="30" w:after="30"/>
              <w:jc w:val="center"/>
            </w:pPr>
            <w:r>
              <w:rPr>
                <w:b w:val="0"/>
                <w:i w:val="0"/>
                <w:sz w:val="18"/>
              </w:rPr>
              <w:t>−0.146</w:t>
            </w:r>
          </w:p>
        </w:tc>
        <w:tc>
          <w:tcPr>
            <w:tcW w:type="dxa" w:w="2514"/>
          </w:tcPr>
          <w:p>
            <w:pPr>
              <w:pStyle w:val="MDPI42tablebody"/>
              <w:keepNext/>
              <w:spacing w:line="240" w:lineRule="auto" w:before="30" w:after="30"/>
              <w:jc w:val="center"/>
            </w:pPr>
            <w:r>
              <w:rPr>
                <w:b w:val="0"/>
                <w:i w:val="0"/>
                <w:sz w:val="18"/>
              </w:rPr>
              <w:t>[−0.205, −0.094]</w:t>
            </w:r>
          </w:p>
        </w:tc>
      </w:tr>
      <w:tr>
        <w:trPr>
          <w:cantSplit/>
        </w:trPr>
        <w:tc>
          <w:tcPr>
            <w:tcW w:type="dxa" w:w="3614"/>
          </w:tcPr>
          <w:p>
            <w:pPr>
              <w:pStyle w:val="MDPI42tablebody"/>
              <w:keepNext/>
              <w:spacing w:line="240" w:lineRule="auto" w:before="30" w:after="30"/>
              <w:jc w:val="left"/>
            </w:pPr>
            <w:r>
              <w:rPr>
                <w:b w:val="0"/>
                <w:i w:val="0"/>
                <w:sz w:val="18"/>
              </w:rPr>
              <w:t>SUP = +1, ANX = +1, LIT = +1</w:t>
            </w:r>
          </w:p>
        </w:tc>
        <w:tc>
          <w:tcPr>
            <w:tcW w:type="dxa" w:w="1728"/>
          </w:tcPr>
          <w:p>
            <w:pPr>
              <w:pStyle w:val="MDPI42tablebody"/>
              <w:keepNext/>
              <w:spacing w:line="240" w:lineRule="auto" w:before="30" w:after="30"/>
              <w:jc w:val="center"/>
            </w:pPr>
            <w:r>
              <w:rPr>
                <w:b w:val="0"/>
                <w:i w:val="0"/>
                <w:sz w:val="18"/>
              </w:rPr>
              <w:t>−0.053</w:t>
            </w:r>
          </w:p>
        </w:tc>
        <w:tc>
          <w:tcPr>
            <w:tcW w:type="dxa" w:w="2514"/>
          </w:tcPr>
          <w:p>
            <w:pPr>
              <w:pStyle w:val="MDPI42tablebody"/>
              <w:keepNext/>
              <w:spacing w:line="240" w:lineRule="auto" w:before="30" w:after="30"/>
              <w:jc w:val="center"/>
            </w:pPr>
            <w:r>
              <w:rPr>
                <w:b w:val="0"/>
                <w:i w:val="0"/>
                <w:sz w:val="18"/>
              </w:rPr>
              <w:t>[−0.103, −0.008]</w:t>
            </w:r>
          </w:p>
        </w:tc>
      </w:tr>
      <w:tr>
        <w:trPr>
          <w:cantSplit/>
        </w:trPr>
        <w:tc>
          <w:tcPr>
            <w:tcW w:type="dxa" w:w="3614"/>
          </w:tcPr>
          <w:p>
            <w:pPr>
              <w:pStyle w:val="MDPI42tablebody"/>
              <w:keepNext/>
              <w:spacing w:line="240" w:lineRule="auto" w:before="30" w:after="30"/>
              <w:jc w:val="left"/>
            </w:pPr>
            <w:r>
              <w:rPr>
                <w:b w:val="0"/>
                <w:i w:val="0"/>
                <w:sz w:val="18"/>
              </w:rPr>
              <w:t>Avoidance path, LIT = −1</w:t>
            </w:r>
          </w:p>
        </w:tc>
        <w:tc>
          <w:tcPr>
            <w:tcW w:type="dxa" w:w="1728"/>
          </w:tcPr>
          <w:p>
            <w:pPr>
              <w:pStyle w:val="MDPI42tablebody"/>
              <w:keepNext/>
              <w:spacing w:line="240" w:lineRule="auto" w:before="30" w:after="30"/>
              <w:jc w:val="center"/>
            </w:pPr>
            <w:r>
              <w:rPr>
                <w:b w:val="0"/>
                <w:i w:val="0"/>
                <w:sz w:val="18"/>
              </w:rPr>
              <w:t>0.274</w:t>
            </w:r>
          </w:p>
        </w:tc>
        <w:tc>
          <w:tcPr>
            <w:tcW w:type="dxa" w:w="2514"/>
          </w:tcPr>
          <w:p>
            <w:pPr>
              <w:pStyle w:val="MDPI42tablebody"/>
              <w:keepNext/>
              <w:spacing w:line="240" w:lineRule="auto" w:before="30" w:after="30"/>
              <w:jc w:val="center"/>
            </w:pPr>
            <w:r>
              <w:rPr>
                <w:b w:val="0"/>
                <w:i w:val="0"/>
                <w:sz w:val="18"/>
              </w:rPr>
              <w:t>[0.226, 0.325]</w:t>
            </w:r>
          </w:p>
        </w:tc>
      </w:tr>
      <w:tr>
        <w:trPr>
          <w:cantSplit/>
        </w:trPr>
        <w:tc>
          <w:tcPr>
            <w:tcW w:type="dxa" w:w="3614"/>
          </w:tcPr>
          <w:p>
            <w:pPr>
              <w:pStyle w:val="MDPI42tablebody"/>
              <w:keepNext/>
              <w:spacing w:line="240" w:lineRule="auto" w:before="30" w:after="30"/>
              <w:jc w:val="left"/>
            </w:pPr>
            <w:r>
              <w:rPr>
                <w:b w:val="0"/>
                <w:i w:val="0"/>
                <w:sz w:val="18"/>
              </w:rPr>
              <w:t>Avoidance path, LIT = +1</w:t>
            </w:r>
          </w:p>
        </w:tc>
        <w:tc>
          <w:tcPr>
            <w:tcW w:type="dxa" w:w="1728"/>
          </w:tcPr>
          <w:p>
            <w:pPr>
              <w:pStyle w:val="MDPI42tablebody"/>
              <w:keepNext/>
              <w:spacing w:line="240" w:lineRule="auto" w:before="30" w:after="30"/>
              <w:jc w:val="center"/>
            </w:pPr>
            <w:r>
              <w:rPr>
                <w:b w:val="0"/>
                <w:i w:val="0"/>
                <w:sz w:val="18"/>
              </w:rPr>
              <w:t>0.132</w:t>
            </w:r>
          </w:p>
        </w:tc>
        <w:tc>
          <w:tcPr>
            <w:tcW w:type="dxa" w:w="2514"/>
          </w:tcPr>
          <w:p>
            <w:pPr>
              <w:pStyle w:val="MDPI42tablebody"/>
              <w:keepNext/>
              <w:spacing w:line="240" w:lineRule="auto" w:before="30" w:after="30"/>
              <w:jc w:val="center"/>
            </w:pPr>
            <w:r>
              <w:rPr>
                <w:b w:val="0"/>
                <w:i w:val="0"/>
                <w:sz w:val="18"/>
              </w:rPr>
              <w:t>[0.090, 0.176]</w:t>
            </w:r>
          </w:p>
        </w:tc>
      </w:tr>
      <w:tr>
        <w:trPr>
          <w:cantSplit/>
        </w:trPr>
        <w:tc>
          <w:tcPr>
            <w:tcW w:type="dxa" w:w="3614"/>
          </w:tcPr>
          <w:p>
            <w:pPr>
              <w:pStyle w:val="MDPI42tablebody"/>
              <w:keepNext/>
              <w:spacing w:line="240" w:lineRule="auto" w:before="30" w:after="30"/>
              <w:jc w:val="left"/>
            </w:pPr>
            <w:r>
              <w:rPr>
                <w:b w:val="0"/>
                <w:i w:val="0"/>
                <w:sz w:val="18"/>
              </w:rPr>
              <w:t>IMM of SUP (first stage, adaptation)</w:t>
            </w:r>
          </w:p>
        </w:tc>
        <w:tc>
          <w:tcPr>
            <w:tcW w:type="dxa" w:w="1728"/>
          </w:tcPr>
          <w:p>
            <w:pPr>
              <w:pStyle w:val="MDPI42tablebody"/>
              <w:keepNext/>
              <w:spacing w:line="240" w:lineRule="auto" w:before="30" w:after="30"/>
              <w:jc w:val="center"/>
            </w:pPr>
            <w:r>
              <w:rPr>
                <w:b w:val="0"/>
                <w:i w:val="0"/>
                <w:sz w:val="18"/>
              </w:rPr>
              <w:t>−0.027</w:t>
            </w:r>
          </w:p>
        </w:tc>
        <w:tc>
          <w:tcPr>
            <w:tcW w:type="dxa" w:w="2514"/>
          </w:tcPr>
          <w:p>
            <w:pPr>
              <w:pStyle w:val="MDPI42tablebody"/>
              <w:keepNext/>
              <w:spacing w:line="240" w:lineRule="auto" w:before="30" w:after="30"/>
              <w:jc w:val="center"/>
            </w:pPr>
            <w:r>
              <w:rPr>
                <w:b w:val="0"/>
                <w:i w:val="0"/>
                <w:sz w:val="18"/>
              </w:rPr>
              <w:t>[−0.042, −0.014]</w:t>
            </w:r>
          </w:p>
        </w:tc>
      </w:tr>
      <w:tr>
        <w:trPr>
          <w:cantSplit/>
        </w:trPr>
        <w:tc>
          <w:tcPr>
            <w:tcW w:type="dxa" w:w="3614"/>
          </w:tcPr>
          <w:p>
            <w:pPr>
              <w:pStyle w:val="MDPI42tablebody"/>
              <w:keepNext/>
              <w:spacing w:line="240" w:lineRule="auto" w:before="30" w:after="30"/>
              <w:jc w:val="left"/>
            </w:pPr>
            <w:r>
              <w:rPr>
                <w:b w:val="0"/>
                <w:i w:val="0"/>
                <w:sz w:val="18"/>
              </w:rPr>
              <w:t>IMM of LIT (second stage, adaptation)</w:t>
            </w:r>
          </w:p>
        </w:tc>
        <w:tc>
          <w:tcPr>
            <w:tcW w:type="dxa" w:w="1728"/>
          </w:tcPr>
          <w:p>
            <w:pPr>
              <w:pStyle w:val="MDPI42tablebody"/>
              <w:keepNext/>
              <w:spacing w:line="240" w:lineRule="auto" w:before="30" w:after="30"/>
              <w:jc w:val="center"/>
            </w:pPr>
            <w:r>
              <w:rPr>
                <w:b w:val="0"/>
                <w:i w:val="0"/>
                <w:sz w:val="18"/>
              </w:rPr>
              <w:t>0.068</w:t>
            </w:r>
          </w:p>
        </w:tc>
        <w:tc>
          <w:tcPr>
            <w:tcW w:type="dxa" w:w="2514"/>
          </w:tcPr>
          <w:p>
            <w:pPr>
              <w:pStyle w:val="MDPI42tablebody"/>
              <w:keepNext/>
              <w:spacing w:line="240" w:lineRule="auto" w:before="30" w:after="30"/>
              <w:jc w:val="center"/>
            </w:pPr>
            <w:r>
              <w:rPr>
                <w:b w:val="0"/>
                <w:i w:val="0"/>
                <w:sz w:val="18"/>
              </w:rPr>
              <w:t>[0.040, 0.096]</w:t>
            </w:r>
          </w:p>
        </w:tc>
      </w:tr>
      <w:tr>
        <w:trPr>
          <w:cantSplit/>
        </w:trPr>
        <w:tc>
          <w:tcPr>
            <w:tcW w:type="dxa" w:w="3614"/>
          </w:tcPr>
          <w:p>
            <w:pPr>
              <w:pStyle w:val="MDPI42tablebody"/>
              <w:keepNext/>
              <w:spacing w:line="240" w:lineRule="auto" w:before="30" w:after="30"/>
              <w:jc w:val="left"/>
            </w:pPr>
            <w:r>
              <w:rPr>
                <w:b w:val="0"/>
                <w:i w:val="0"/>
                <w:sz w:val="18"/>
              </w:rPr>
              <w:t>Index of curvilinear mediation (2·a1·b2)</w:t>
            </w:r>
          </w:p>
        </w:tc>
        <w:tc>
          <w:tcPr>
            <w:tcW w:type="dxa" w:w="1728"/>
          </w:tcPr>
          <w:p>
            <w:pPr>
              <w:pStyle w:val="MDPI42tablebody"/>
              <w:keepNext/>
              <w:spacing w:line="240" w:lineRule="auto" w:before="30" w:after="30"/>
              <w:jc w:val="center"/>
            </w:pPr>
            <w:r>
              <w:rPr>
                <w:b w:val="0"/>
                <w:i w:val="0"/>
                <w:sz w:val="18"/>
              </w:rPr>
              <w:t>−0.231</w:t>
            </w:r>
          </w:p>
        </w:tc>
        <w:tc>
          <w:tcPr>
            <w:tcW w:type="dxa" w:w="2514"/>
          </w:tcPr>
          <w:p>
            <w:pPr>
              <w:pStyle w:val="MDPI42tablebody"/>
              <w:keepNext/>
              <w:spacing w:line="240" w:lineRule="auto" w:before="30" w:after="30"/>
              <w:jc w:val="center"/>
            </w:pPr>
            <w:r>
              <w:rPr>
                <w:b w:val="0"/>
                <w:i w:val="0"/>
                <w:sz w:val="18"/>
              </w:rPr>
              <w:t>[−0.286, −0.174]</w:t>
            </w:r>
          </w:p>
        </w:tc>
      </w:tr>
      <w:tr>
        <w:trPr>
          <w:cantSplit/>
        </w:trPr>
        <w:tc>
          <w:tcPr>
            <w:tcW w:type="dxa" w:w="3614"/>
          </w:tcPr>
          <w:p>
            <w:pPr>
              <w:pStyle w:val="MDPI42tablebody"/>
              <w:keepNext/>
              <w:spacing w:line="240" w:lineRule="auto" w:before="30" w:after="30"/>
              <w:jc w:val="left"/>
            </w:pPr>
            <w:r>
              <w:rPr>
                <w:b w:val="0"/>
                <w:i w:val="0"/>
                <w:sz w:val="18"/>
              </w:rPr>
              <w:t>IMM of LIT (second stage, avoidance)</w:t>
            </w:r>
          </w:p>
        </w:tc>
        <w:tc>
          <w:tcPr>
            <w:tcW w:type="dxa" w:w="1728"/>
          </w:tcPr>
          <w:p>
            <w:pPr>
              <w:pStyle w:val="MDPI42tablebody"/>
              <w:keepNext/>
              <w:spacing w:line="240" w:lineRule="auto" w:before="30" w:after="30"/>
              <w:jc w:val="center"/>
            </w:pPr>
            <w:r>
              <w:rPr>
                <w:b w:val="0"/>
                <w:i w:val="0"/>
                <w:sz w:val="18"/>
              </w:rPr>
              <w:t>−0.071</w:t>
            </w:r>
          </w:p>
        </w:tc>
        <w:tc>
          <w:tcPr>
            <w:tcW w:type="dxa" w:w="2514"/>
          </w:tcPr>
          <w:p>
            <w:pPr>
              <w:pStyle w:val="MDPI42tablebody"/>
              <w:keepNext/>
              <w:spacing w:line="240" w:lineRule="auto" w:before="30" w:after="30"/>
              <w:jc w:val="center"/>
            </w:pPr>
            <w:r>
              <w:rPr>
                <w:b w:val="0"/>
                <w:i w:val="0"/>
                <w:sz w:val="18"/>
              </w:rPr>
              <w:t>[−0.099, −0.043]</w:t>
            </w:r>
          </w:p>
        </w:tc>
      </w:tr>
    </w:tbl>
    <w:p>
      <w:pPr>
        <w:pStyle w:val="MDPI43tablefooter"/>
        <w:spacing w:line="240" w:lineRule="auto" w:before="40" w:after="200"/>
        <w:ind w:left="2608" w:firstLine="0"/>
      </w:pPr>
      <w:r>
        <w:rPr>
          <w:sz w:val="16"/>
        </w:rPr>
        <w:t xml:space="preserve">Note: </w:t>
      </w:r>
      <w:r>
        <w:rPr>
          <w:b w:val="0"/>
          <w:i w:val="0"/>
          <w:sz w:val="16"/>
        </w:rPr>
        <w:t>Instantaneous indirect effects ω(m, w, l) of Equation (5), with SUP, ANX and LIT set to the stated values in standard deviations. Confidence intervals are percentile intervals from 5,000 bootstrap resamples of individuals; the seed is fixed in the released code. IMM denotes an index of moderated mediation. Source: authors’ own calculations.</w:t>
      </w:r>
    </w:p>
    <w:p>
      <w:pPr>
        <w:pStyle w:val="MDPI22heading2"/>
      </w:pPr>
      <w:r>
        <w:t>4.7. Boundary Conditions in the Loop (H5a, H6)</w:t>
      </w:r>
    </w:p>
    <w:p>
      <w:pPr>
        <w:pStyle w:val="MDPI32textnoindent"/>
      </w:pPr>
      <w:r>
        <w:rPr>
          <w:b w:val="0"/>
          <w:i w:val="0"/>
        </w:rPr>
        <w:t xml:space="preserve">Figure 2 assembles the two boundary conditions. Panel a draws the adaptation response at literacy one standard deviation below and above the mean: the low-literacy curve peaks at 0.07 standard deviations of anxiety, the high-literacy curve at 0.66, a displacement of 0.29 standard deviations per standard deviation of literacy (SE 0.07, p &lt; 0.001) </w:t>
      </w:r>
      <w:r>
        <w:t>[</w:t>
      </w:r>
      <w:r>
        <w:fldChar w:fldCharType="begin"/>
      </w:r>
      <w:r>
        <w:instrText xml:space="preserve"> REF _Ref_28 \h </w:instrText>
      </w:r>
      <w:r>
        <w:fldChar w:fldCharType="separate"/>
      </w:r>
      <w:r>
        <w:t>28</w:t>
      </w:r>
      <w:r>
        <w:fldChar w:fldCharType="end"/>
      </w:r>
      <w:r>
        <w:t>]</w:t>
      </w:r>
      <w:r>
        <w:rPr>
          <w:b w:val="0"/>
          <w:i w:val="0"/>
        </w:rPr>
        <w:t>. Literacy does not flatten the curve — a quadratic-by-literacy term is small and insignificant (p = 0.434) — it moves the peak, which is precisely the actuator-range prediction: capability extends the band over which the error signal remains productive rather than changing the physics of saturation. Panel b draws the first stage across support with its confidence band and the observed support distribution, the visual counterpart of Table 6, column (4). Both panels annotate their key quantities directly on the drawing, and neither uses a legend, so nothing occludes the estimates.</w:t>
      </w:r>
    </w:p>
    <w:p>
      <w:pPr>
        <w:pStyle w:val="MDPI52figure"/>
        <w:keepNext/>
        <w:ind w:left="2608" w:firstLine="0"/>
        <w:jc w:val="center"/>
      </w:pPr>
      <w:r>
        <w:drawing>
          <wp:inline xmlns:a="http://schemas.openxmlformats.org/drawingml/2006/main" xmlns:pic="http://schemas.openxmlformats.org/drawingml/2006/picture">
            <wp:extent cx="4752000" cy="2015667"/>
            <wp:docPr id="2" name="Picture 2"/>
            <wp:cNvGraphicFramePr>
              <a:graphicFrameLocks noChangeAspect="1"/>
            </wp:cNvGraphicFramePr>
            <a:graphic>
              <a:graphicData uri="http://schemas.openxmlformats.org/drawingml/2006/picture">
                <pic:pic>
                  <pic:nvPicPr>
                    <pic:cNvPr id="0" name="figure2_boundaries.png"/>
                    <pic:cNvPicPr/>
                  </pic:nvPicPr>
                  <pic:blipFill>
                    <a:blip r:embed="rId18"/>
                    <a:stretch>
                      <a:fillRect/>
                    </a:stretch>
                  </pic:blipFill>
                  <pic:spPr>
                    <a:xfrm>
                      <a:off x="0" y="0"/>
                      <a:ext cx="4752000" cy="2015667"/>
                    </a:xfrm>
                    <a:prstGeom prst="rect"/>
                  </pic:spPr>
                </pic:pic>
              </a:graphicData>
            </a:graphic>
          </wp:inline>
        </w:drawing>
      </w:r>
    </w:p>
    <w:p>
      <w:pPr>
        <w:pStyle w:val="MDPI51figurecaption"/>
        <w:spacing w:after="200"/>
      </w:pPr>
      <w:r>
        <w:rPr>
          <w:b/>
          <w:sz w:val="18"/>
        </w:rPr>
        <w:t xml:space="preserve">Figure 2. </w:t>
      </w:r>
      <w:r>
        <w:rPr>
          <w:b w:val="0"/>
          <w:i w:val="0"/>
          <w:sz w:val="18"/>
        </w:rPr>
        <w:t>Boundary conditions of the control loop: (a) the adaptation response at low and high generative-AI literacy; (b) the first stage across employability support.</w:t>
      </w:r>
    </w:p>
    <w:p>
      <w:pPr>
        <w:pStyle w:val="MDPI22heading2"/>
      </w:pPr>
      <w:r>
        <w:t>4.8. Heterogeneity: A Property of the Cohort, Not of a Stratum</w:t>
      </w:r>
    </w:p>
    <w:p>
      <w:pPr>
        <w:pStyle w:val="MDPI32textnoindent"/>
      </w:pPr>
      <w:r>
        <w:rPr>
          <w:b w:val="0"/>
          <w:i w:val="0"/>
        </w:rPr>
        <w:t>Table 11 re-estimates the full adaptation model within ten subsamples defined by gender, major, city tier, occupational exposure and employment status, and Figure 3a plots the marginal effect of anxiety at the sample mean for each with 95 percent confidence intervals. The curvature is negative and significant in every subsample, and none of the five between-group differences in the marginal effect approaches significance (the smallest p-value is 0.492). The inverted U is not carried by women rather than men, by STEM graduates rather than humanists, or by the exposed rather than the sheltered; it is a property of the cohort. For a mechanism claimed to be structural — saturation of a control signal — this uniformity is itself evidence, and it forecloses the objection that the curve is an artifact of pooling heterogeneous linear responses.</w:t>
      </w:r>
    </w:p>
    <w:p>
      <w:pPr>
        <w:pStyle w:val="MDPI41tablecaption"/>
        <w:keepNext/>
        <w:spacing w:after="60"/>
      </w:pPr>
      <w:r>
        <w:rPr>
          <w:b/>
          <w:sz w:val="18"/>
        </w:rPr>
        <w:t xml:space="preserve">Table 11. </w:t>
      </w:r>
      <w:r>
        <w:rPr>
          <w:b w:val="0"/>
          <w:i w:val="0"/>
          <w:sz w:val="18"/>
        </w:rPr>
        <w:t>Subsample estimates: the mechanism across the cohort.</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200"/>
        <w:gridCol w:w="1100"/>
        <w:gridCol w:w="1728"/>
        <w:gridCol w:w="1100"/>
        <w:gridCol w:w="1728"/>
      </w:tblGrid>
      <w:tr>
        <w:trPr>
          <w:cantSplit/>
          <w:tblHeader/>
        </w:trPr>
        <w:tc>
          <w:tcPr>
            <w:tcW w:type="dxa" w:w="2200"/>
            <w:tcBorders>
              <w:bottom w:val="single" w:sz="8" w:space="0" w:color="auto"/>
            </w:tcBorders>
          </w:tcPr>
          <w:p>
            <w:pPr>
              <w:pStyle w:val="MDPI42tablebody"/>
              <w:keepNext/>
              <w:spacing w:line="240" w:lineRule="auto" w:before="30" w:after="30"/>
              <w:jc w:val="center"/>
            </w:pPr>
            <w:r>
              <w:rPr>
                <w:b/>
                <w:i w:val="0"/>
                <w:sz w:val="18"/>
              </w:rPr>
              <w:t>Subsample</w:t>
            </w:r>
          </w:p>
        </w:tc>
        <w:tc>
          <w:tcPr>
            <w:tcW w:type="dxa" w:w="1100"/>
            <w:tcBorders>
              <w:bottom w:val="single" w:sz="8" w:space="0" w:color="auto"/>
            </w:tcBorders>
          </w:tcPr>
          <w:p>
            <w:pPr>
              <w:pStyle w:val="MDPI42tablebody"/>
              <w:keepNext/>
              <w:spacing w:line="240" w:lineRule="auto" w:before="30" w:after="30"/>
              <w:jc w:val="center"/>
            </w:pPr>
            <w:r>
              <w:rPr>
                <w:b/>
                <w:i w:val="0"/>
                <w:sz w:val="18"/>
              </w:rPr>
              <w:t>N</w:t>
            </w:r>
          </w:p>
        </w:tc>
        <w:tc>
          <w:tcPr>
            <w:tcW w:type="dxa" w:w="1728"/>
            <w:tcBorders>
              <w:bottom w:val="single" w:sz="8" w:space="0" w:color="auto"/>
            </w:tcBorders>
          </w:tcPr>
          <w:p>
            <w:pPr>
              <w:pStyle w:val="MDPI42tablebody"/>
              <w:keepNext/>
              <w:spacing w:line="240" w:lineRule="auto" w:before="30" w:after="30"/>
              <w:jc w:val="center"/>
            </w:pPr>
            <w:r>
              <w:rPr>
                <w:b/>
                <w:i w:val="0"/>
                <w:sz w:val="18"/>
              </w:rPr>
              <w:t>dADP/dANX at mean</w:t>
            </w:r>
          </w:p>
        </w:tc>
        <w:tc>
          <w:tcPr>
            <w:tcW w:type="dxa" w:w="1100"/>
            <w:tcBorders>
              <w:bottom w:val="single" w:sz="8" w:space="0" w:color="auto"/>
            </w:tcBorders>
          </w:tcPr>
          <w:p>
            <w:pPr>
              <w:pStyle w:val="MDPI42tablebody"/>
              <w:keepNext/>
              <w:spacing w:line="240" w:lineRule="auto" w:before="30" w:after="30"/>
              <w:jc w:val="center"/>
            </w:pPr>
            <w:r>
              <w:rPr>
                <w:b/>
                <w:i w:val="0"/>
                <w:sz w:val="18"/>
              </w:rPr>
              <w:t>(SE)</w:t>
            </w:r>
          </w:p>
        </w:tc>
        <w:tc>
          <w:tcPr>
            <w:tcW w:type="dxa" w:w="1728"/>
            <w:tcBorders>
              <w:bottom w:val="single" w:sz="8" w:space="0" w:color="auto"/>
            </w:tcBorders>
          </w:tcPr>
          <w:p>
            <w:pPr>
              <w:pStyle w:val="MDPI42tablebody"/>
              <w:keepNext/>
              <w:spacing w:line="240" w:lineRule="auto" w:before="30" w:after="30"/>
              <w:jc w:val="center"/>
            </w:pPr>
            <w:r>
              <w:rPr>
                <w:b/>
                <w:i w:val="0"/>
                <w:sz w:val="18"/>
              </w:rPr>
              <w:t>ANX²</w:t>
            </w:r>
          </w:p>
        </w:tc>
      </w:tr>
      <w:tr>
        <w:trPr>
          <w:cantSplit/>
        </w:trPr>
        <w:tc>
          <w:tcPr>
            <w:tcW w:type="dxa" w:w="2200"/>
          </w:tcPr>
          <w:p>
            <w:pPr>
              <w:pStyle w:val="MDPI42tablebody"/>
              <w:keepNext/>
              <w:spacing w:line="240" w:lineRule="auto" w:before="30" w:after="30"/>
              <w:jc w:val="left"/>
            </w:pPr>
            <w:r>
              <w:rPr>
                <w:b w:val="0"/>
                <w:i w:val="0"/>
                <w:sz w:val="18"/>
              </w:rPr>
              <w:t>Female</w:t>
            </w:r>
          </w:p>
        </w:tc>
        <w:tc>
          <w:tcPr>
            <w:tcW w:type="dxa" w:w="1100"/>
          </w:tcPr>
          <w:p>
            <w:pPr>
              <w:pStyle w:val="MDPI42tablebody"/>
              <w:keepNext/>
              <w:spacing w:line="240" w:lineRule="auto" w:before="30" w:after="30"/>
              <w:jc w:val="center"/>
            </w:pPr>
            <w:r>
              <w:rPr>
                <w:b w:val="0"/>
                <w:i w:val="0"/>
                <w:sz w:val="18"/>
              </w:rPr>
              <w:t>483</w:t>
            </w:r>
          </w:p>
        </w:tc>
        <w:tc>
          <w:tcPr>
            <w:tcW w:type="dxa" w:w="1728"/>
          </w:tcPr>
          <w:p>
            <w:pPr>
              <w:pStyle w:val="MDPI42tablebody"/>
              <w:keepNext/>
              <w:spacing w:line="240" w:lineRule="auto" w:before="30" w:after="30"/>
              <w:jc w:val="center"/>
            </w:pPr>
            <w:r>
              <w:rPr>
                <w:b w:val="0"/>
                <w:i w:val="0"/>
                <w:sz w:val="18"/>
              </w:rPr>
              <w:t>0.187</w:t>
            </w:r>
          </w:p>
        </w:tc>
        <w:tc>
          <w:tcPr>
            <w:tcW w:type="dxa" w:w="1100"/>
          </w:tcPr>
          <w:p>
            <w:pPr>
              <w:pStyle w:val="MDPI42tablebody"/>
              <w:keepNext/>
              <w:spacing w:line="240" w:lineRule="auto" w:before="30" w:after="30"/>
              <w:jc w:val="center"/>
            </w:pPr>
            <w:r>
              <w:rPr>
                <w:b w:val="0"/>
                <w:i w:val="0"/>
                <w:sz w:val="18"/>
              </w:rPr>
              <w:t>(0.048)</w:t>
            </w:r>
          </w:p>
        </w:tc>
        <w:tc>
          <w:tcPr>
            <w:tcW w:type="dxa" w:w="1728"/>
          </w:tcPr>
          <w:p>
            <w:pPr>
              <w:pStyle w:val="MDPI42tablebody"/>
              <w:keepNext/>
              <w:spacing w:line="240" w:lineRule="auto" w:before="30" w:after="30"/>
              <w:jc w:val="center"/>
            </w:pPr>
            <w:r>
              <w:rPr>
                <w:b w:val="0"/>
                <w:i w:val="0"/>
                <w:sz w:val="18"/>
              </w:rPr>
              <w:t>−0.260***</w:t>
            </w:r>
          </w:p>
        </w:tc>
      </w:tr>
      <w:tr>
        <w:trPr>
          <w:cantSplit/>
        </w:trPr>
        <w:tc>
          <w:tcPr>
            <w:tcW w:type="dxa" w:w="2200"/>
          </w:tcPr>
          <w:p>
            <w:pPr>
              <w:pStyle w:val="MDPI42tablebody"/>
              <w:keepNext/>
              <w:spacing w:line="240" w:lineRule="auto" w:before="30" w:after="30"/>
              <w:jc w:val="left"/>
            </w:pPr>
            <w:r>
              <w:rPr>
                <w:b w:val="0"/>
                <w:i w:val="0"/>
                <w:sz w:val="18"/>
              </w:rPr>
              <w:t>Male</w:t>
            </w:r>
          </w:p>
        </w:tc>
        <w:tc>
          <w:tcPr>
            <w:tcW w:type="dxa" w:w="1100"/>
          </w:tcPr>
          <w:p>
            <w:pPr>
              <w:pStyle w:val="MDPI42tablebody"/>
              <w:keepNext/>
              <w:spacing w:line="240" w:lineRule="auto" w:before="30" w:after="30"/>
              <w:jc w:val="center"/>
            </w:pPr>
            <w:r>
              <w:rPr>
                <w:b w:val="0"/>
                <w:i w:val="0"/>
                <w:sz w:val="18"/>
              </w:rPr>
              <w:t>431</w:t>
            </w:r>
          </w:p>
        </w:tc>
        <w:tc>
          <w:tcPr>
            <w:tcW w:type="dxa" w:w="1728"/>
          </w:tcPr>
          <w:p>
            <w:pPr>
              <w:pStyle w:val="MDPI42tablebody"/>
              <w:keepNext/>
              <w:spacing w:line="240" w:lineRule="auto" w:before="30" w:after="30"/>
              <w:jc w:val="center"/>
            </w:pPr>
            <w:r>
              <w:rPr>
                <w:b w:val="0"/>
                <w:i w:val="0"/>
                <w:sz w:val="18"/>
              </w:rPr>
              <w:t>0.166</w:t>
            </w:r>
          </w:p>
        </w:tc>
        <w:tc>
          <w:tcPr>
            <w:tcW w:type="dxa" w:w="1100"/>
          </w:tcPr>
          <w:p>
            <w:pPr>
              <w:pStyle w:val="MDPI42tablebody"/>
              <w:keepNext/>
              <w:spacing w:line="240" w:lineRule="auto" w:before="30" w:after="30"/>
              <w:jc w:val="center"/>
            </w:pPr>
            <w:r>
              <w:rPr>
                <w:b w:val="0"/>
                <w:i w:val="0"/>
                <w:sz w:val="18"/>
              </w:rPr>
              <w:t>(0.052)</w:t>
            </w:r>
          </w:p>
        </w:tc>
        <w:tc>
          <w:tcPr>
            <w:tcW w:type="dxa" w:w="1728"/>
          </w:tcPr>
          <w:p>
            <w:pPr>
              <w:pStyle w:val="MDPI42tablebody"/>
              <w:keepNext/>
              <w:spacing w:line="240" w:lineRule="auto" w:before="30" w:after="30"/>
              <w:jc w:val="center"/>
            </w:pPr>
            <w:r>
              <w:rPr>
                <w:b w:val="0"/>
                <w:i w:val="0"/>
                <w:sz w:val="18"/>
              </w:rPr>
              <w:t>−0.205***</w:t>
            </w:r>
          </w:p>
        </w:tc>
      </w:tr>
      <w:tr>
        <w:trPr>
          <w:cantSplit/>
        </w:trPr>
        <w:tc>
          <w:tcPr>
            <w:tcW w:type="dxa" w:w="2200"/>
          </w:tcPr>
          <w:p>
            <w:pPr>
              <w:pStyle w:val="MDPI42tablebody"/>
              <w:keepNext/>
              <w:spacing w:line="240" w:lineRule="auto" w:before="30" w:after="30"/>
              <w:jc w:val="left"/>
            </w:pPr>
            <w:r>
              <w:rPr>
                <w:b w:val="0"/>
                <w:i w:val="0"/>
                <w:sz w:val="18"/>
              </w:rPr>
              <w:t>difference (z, p)</w:t>
            </w:r>
          </w:p>
        </w:tc>
        <w:tc>
          <w:tcPr>
            <w:tcW w:type="dxa" w:w="1100"/>
          </w:tcPr>
          <w:p>
            <w:pPr>
              <w:pStyle w:val="MDPI42tablebody"/>
              <w:keepNext/>
              <w:spacing w:line="240" w:lineRule="auto" w:before="30" w:after="30"/>
              <w:jc w:val="center"/>
            </w:pPr>
          </w:p>
        </w:tc>
        <w:tc>
          <w:tcPr>
            <w:tcW w:type="dxa" w:w="1728"/>
          </w:tcPr>
          <w:p>
            <w:pPr>
              <w:pStyle w:val="MDPI42tablebody"/>
              <w:keepNext/>
              <w:spacing w:line="240" w:lineRule="auto" w:before="30" w:after="30"/>
              <w:jc w:val="center"/>
            </w:pPr>
            <w:r>
              <w:rPr>
                <w:b w:val="0"/>
                <w:i w:val="0"/>
                <w:sz w:val="18"/>
              </w:rPr>
              <w:t>0.29</w:t>
            </w:r>
          </w:p>
        </w:tc>
        <w:tc>
          <w:tcPr>
            <w:tcW w:type="dxa" w:w="1100"/>
          </w:tcPr>
          <w:p>
            <w:pPr>
              <w:pStyle w:val="MDPI42tablebody"/>
              <w:keepNext/>
              <w:spacing w:line="240" w:lineRule="auto" w:before="30" w:after="30"/>
              <w:jc w:val="center"/>
            </w:pPr>
            <w:r>
              <w:rPr>
                <w:b w:val="0"/>
                <w:i w:val="0"/>
                <w:sz w:val="18"/>
              </w:rPr>
              <w:t>0.774</w:t>
            </w:r>
          </w:p>
        </w:tc>
        <w:tc>
          <w:tcPr>
            <w:tcW w:type="dxa" w:w="1728"/>
          </w:tcPr>
          <w:p>
            <w:pPr>
              <w:pStyle w:val="MDPI42tablebody"/>
              <w:keepNext/>
              <w:spacing w:line="240" w:lineRule="auto" w:before="30" w:after="30"/>
              <w:jc w:val="center"/>
            </w:pPr>
          </w:p>
        </w:tc>
      </w:tr>
      <w:tr>
        <w:trPr>
          <w:cantSplit/>
        </w:trPr>
        <w:tc>
          <w:tcPr>
            <w:tcW w:type="dxa" w:w="2200"/>
          </w:tcPr>
          <w:p>
            <w:pPr>
              <w:pStyle w:val="MDPI42tablebody"/>
              <w:keepNext/>
              <w:spacing w:line="240" w:lineRule="auto" w:before="30" w:after="30"/>
              <w:jc w:val="left"/>
            </w:pPr>
            <w:r>
              <w:rPr>
                <w:b w:val="0"/>
                <w:i w:val="0"/>
                <w:sz w:val="18"/>
              </w:rPr>
              <w:t>STEM</w:t>
            </w:r>
          </w:p>
        </w:tc>
        <w:tc>
          <w:tcPr>
            <w:tcW w:type="dxa" w:w="1100"/>
          </w:tcPr>
          <w:p>
            <w:pPr>
              <w:pStyle w:val="MDPI42tablebody"/>
              <w:keepNext/>
              <w:spacing w:line="240" w:lineRule="auto" w:before="30" w:after="30"/>
              <w:jc w:val="center"/>
            </w:pPr>
            <w:r>
              <w:rPr>
                <w:b w:val="0"/>
                <w:i w:val="0"/>
                <w:sz w:val="18"/>
              </w:rPr>
              <w:t>368</w:t>
            </w:r>
          </w:p>
        </w:tc>
        <w:tc>
          <w:tcPr>
            <w:tcW w:type="dxa" w:w="1728"/>
          </w:tcPr>
          <w:p>
            <w:pPr>
              <w:pStyle w:val="MDPI42tablebody"/>
              <w:keepNext/>
              <w:spacing w:line="240" w:lineRule="auto" w:before="30" w:after="30"/>
              <w:jc w:val="center"/>
            </w:pPr>
            <w:r>
              <w:rPr>
                <w:b w:val="0"/>
                <w:i w:val="0"/>
                <w:sz w:val="18"/>
              </w:rPr>
              <w:t>0.200</w:t>
            </w:r>
          </w:p>
        </w:tc>
        <w:tc>
          <w:tcPr>
            <w:tcW w:type="dxa" w:w="1100"/>
          </w:tcPr>
          <w:p>
            <w:pPr>
              <w:pStyle w:val="MDPI42tablebody"/>
              <w:keepNext/>
              <w:spacing w:line="240" w:lineRule="auto" w:before="30" w:after="30"/>
              <w:jc w:val="center"/>
            </w:pPr>
            <w:r>
              <w:rPr>
                <w:b w:val="0"/>
                <w:i w:val="0"/>
                <w:sz w:val="18"/>
              </w:rPr>
              <w:t>(0.055)</w:t>
            </w:r>
          </w:p>
        </w:tc>
        <w:tc>
          <w:tcPr>
            <w:tcW w:type="dxa" w:w="1728"/>
          </w:tcPr>
          <w:p>
            <w:pPr>
              <w:pStyle w:val="MDPI42tablebody"/>
              <w:keepNext/>
              <w:spacing w:line="240" w:lineRule="auto" w:before="30" w:after="30"/>
              <w:jc w:val="center"/>
            </w:pPr>
            <w:r>
              <w:rPr>
                <w:b w:val="0"/>
                <w:i w:val="0"/>
                <w:sz w:val="18"/>
              </w:rPr>
              <w:t>−0.228***</w:t>
            </w:r>
          </w:p>
        </w:tc>
      </w:tr>
      <w:tr>
        <w:trPr>
          <w:cantSplit/>
        </w:trPr>
        <w:tc>
          <w:tcPr>
            <w:tcW w:type="dxa" w:w="2200"/>
          </w:tcPr>
          <w:p>
            <w:pPr>
              <w:pStyle w:val="MDPI42tablebody"/>
              <w:keepNext/>
              <w:spacing w:line="240" w:lineRule="auto" w:before="30" w:after="30"/>
              <w:jc w:val="left"/>
            </w:pPr>
            <w:r>
              <w:rPr>
                <w:b w:val="0"/>
                <w:i w:val="0"/>
                <w:sz w:val="18"/>
              </w:rPr>
              <w:t>Non-STEM</w:t>
            </w:r>
          </w:p>
        </w:tc>
        <w:tc>
          <w:tcPr>
            <w:tcW w:type="dxa" w:w="1100"/>
          </w:tcPr>
          <w:p>
            <w:pPr>
              <w:pStyle w:val="MDPI42tablebody"/>
              <w:keepNext/>
              <w:spacing w:line="240" w:lineRule="auto" w:before="30" w:after="30"/>
              <w:jc w:val="center"/>
            </w:pPr>
            <w:r>
              <w:rPr>
                <w:b w:val="0"/>
                <w:i w:val="0"/>
                <w:sz w:val="18"/>
              </w:rPr>
              <w:t>546</w:t>
            </w:r>
          </w:p>
        </w:tc>
        <w:tc>
          <w:tcPr>
            <w:tcW w:type="dxa" w:w="1728"/>
          </w:tcPr>
          <w:p>
            <w:pPr>
              <w:pStyle w:val="MDPI42tablebody"/>
              <w:keepNext/>
              <w:spacing w:line="240" w:lineRule="auto" w:before="30" w:after="30"/>
              <w:jc w:val="center"/>
            </w:pPr>
            <w:r>
              <w:rPr>
                <w:b w:val="0"/>
                <w:i w:val="0"/>
                <w:sz w:val="18"/>
              </w:rPr>
              <w:t>0.161</w:t>
            </w:r>
          </w:p>
        </w:tc>
        <w:tc>
          <w:tcPr>
            <w:tcW w:type="dxa" w:w="1100"/>
          </w:tcPr>
          <w:p>
            <w:pPr>
              <w:pStyle w:val="MDPI42tablebody"/>
              <w:keepNext/>
              <w:spacing w:line="240" w:lineRule="auto" w:before="30" w:after="30"/>
              <w:jc w:val="center"/>
            </w:pPr>
            <w:r>
              <w:rPr>
                <w:b w:val="0"/>
                <w:i w:val="0"/>
                <w:sz w:val="18"/>
              </w:rPr>
              <w:t>(0.046)</w:t>
            </w:r>
          </w:p>
        </w:tc>
        <w:tc>
          <w:tcPr>
            <w:tcW w:type="dxa" w:w="1728"/>
          </w:tcPr>
          <w:p>
            <w:pPr>
              <w:pStyle w:val="MDPI42tablebody"/>
              <w:keepNext/>
              <w:spacing w:line="240" w:lineRule="auto" w:before="30" w:after="30"/>
              <w:jc w:val="center"/>
            </w:pPr>
            <w:r>
              <w:rPr>
                <w:b w:val="0"/>
                <w:i w:val="0"/>
                <w:sz w:val="18"/>
              </w:rPr>
              <w:t>−0.244***</w:t>
            </w:r>
          </w:p>
        </w:tc>
      </w:tr>
      <w:tr>
        <w:trPr>
          <w:cantSplit/>
        </w:trPr>
        <w:tc>
          <w:tcPr>
            <w:tcW w:type="dxa" w:w="2200"/>
          </w:tcPr>
          <w:p>
            <w:pPr>
              <w:pStyle w:val="MDPI42tablebody"/>
              <w:keepNext/>
              <w:spacing w:line="240" w:lineRule="auto" w:before="30" w:after="30"/>
              <w:jc w:val="left"/>
            </w:pPr>
            <w:r>
              <w:rPr>
                <w:b w:val="0"/>
                <w:i w:val="0"/>
                <w:sz w:val="18"/>
              </w:rPr>
              <w:t>difference (z, p)</w:t>
            </w:r>
          </w:p>
        </w:tc>
        <w:tc>
          <w:tcPr>
            <w:tcW w:type="dxa" w:w="1100"/>
          </w:tcPr>
          <w:p>
            <w:pPr>
              <w:pStyle w:val="MDPI42tablebody"/>
              <w:keepNext/>
              <w:spacing w:line="240" w:lineRule="auto" w:before="30" w:after="30"/>
              <w:jc w:val="center"/>
            </w:pPr>
          </w:p>
        </w:tc>
        <w:tc>
          <w:tcPr>
            <w:tcW w:type="dxa" w:w="1728"/>
          </w:tcPr>
          <w:p>
            <w:pPr>
              <w:pStyle w:val="MDPI42tablebody"/>
              <w:keepNext/>
              <w:spacing w:line="240" w:lineRule="auto" w:before="30" w:after="30"/>
              <w:jc w:val="center"/>
            </w:pPr>
            <w:r>
              <w:rPr>
                <w:b w:val="0"/>
                <w:i w:val="0"/>
                <w:sz w:val="18"/>
              </w:rPr>
              <w:t>0.55</w:t>
            </w:r>
          </w:p>
        </w:tc>
        <w:tc>
          <w:tcPr>
            <w:tcW w:type="dxa" w:w="1100"/>
          </w:tcPr>
          <w:p>
            <w:pPr>
              <w:pStyle w:val="MDPI42tablebody"/>
              <w:keepNext/>
              <w:spacing w:line="240" w:lineRule="auto" w:before="30" w:after="30"/>
              <w:jc w:val="center"/>
            </w:pPr>
            <w:r>
              <w:rPr>
                <w:b w:val="0"/>
                <w:i w:val="0"/>
                <w:sz w:val="18"/>
              </w:rPr>
              <w:t>0.586</w:t>
            </w:r>
          </w:p>
        </w:tc>
        <w:tc>
          <w:tcPr>
            <w:tcW w:type="dxa" w:w="1728"/>
          </w:tcPr>
          <w:p>
            <w:pPr>
              <w:pStyle w:val="MDPI42tablebody"/>
              <w:keepNext/>
              <w:spacing w:line="240" w:lineRule="auto" w:before="30" w:after="30"/>
              <w:jc w:val="center"/>
            </w:pPr>
          </w:p>
        </w:tc>
      </w:tr>
      <w:tr>
        <w:trPr>
          <w:cantSplit/>
        </w:trPr>
        <w:tc>
          <w:tcPr>
            <w:tcW w:type="dxa" w:w="2200"/>
          </w:tcPr>
          <w:p>
            <w:pPr>
              <w:pStyle w:val="MDPI42tablebody"/>
              <w:keepNext/>
              <w:spacing w:line="240" w:lineRule="auto" w:before="30" w:after="30"/>
              <w:jc w:val="left"/>
            </w:pPr>
            <w:r>
              <w:rPr>
                <w:b w:val="0"/>
                <w:i w:val="0"/>
                <w:sz w:val="18"/>
              </w:rPr>
              <w:t>Tier-1 city</w:t>
            </w:r>
          </w:p>
        </w:tc>
        <w:tc>
          <w:tcPr>
            <w:tcW w:type="dxa" w:w="1100"/>
          </w:tcPr>
          <w:p>
            <w:pPr>
              <w:pStyle w:val="MDPI42tablebody"/>
              <w:keepNext/>
              <w:spacing w:line="240" w:lineRule="auto" w:before="30" w:after="30"/>
              <w:jc w:val="center"/>
            </w:pPr>
            <w:r>
              <w:rPr>
                <w:b w:val="0"/>
                <w:i w:val="0"/>
                <w:sz w:val="18"/>
              </w:rPr>
              <w:t>298</w:t>
            </w:r>
          </w:p>
        </w:tc>
        <w:tc>
          <w:tcPr>
            <w:tcW w:type="dxa" w:w="1728"/>
          </w:tcPr>
          <w:p>
            <w:pPr>
              <w:pStyle w:val="MDPI42tablebody"/>
              <w:keepNext/>
              <w:spacing w:line="240" w:lineRule="auto" w:before="30" w:after="30"/>
              <w:jc w:val="center"/>
            </w:pPr>
            <w:r>
              <w:rPr>
                <w:b w:val="0"/>
                <w:i w:val="0"/>
                <w:sz w:val="18"/>
              </w:rPr>
              <w:t>0.209</w:t>
            </w:r>
          </w:p>
        </w:tc>
        <w:tc>
          <w:tcPr>
            <w:tcW w:type="dxa" w:w="1100"/>
          </w:tcPr>
          <w:p>
            <w:pPr>
              <w:pStyle w:val="MDPI42tablebody"/>
              <w:keepNext/>
              <w:spacing w:line="240" w:lineRule="auto" w:before="30" w:after="30"/>
              <w:jc w:val="center"/>
            </w:pPr>
            <w:r>
              <w:rPr>
                <w:b w:val="0"/>
                <w:i w:val="0"/>
                <w:sz w:val="18"/>
              </w:rPr>
              <w:t>(0.062)</w:t>
            </w:r>
          </w:p>
        </w:tc>
        <w:tc>
          <w:tcPr>
            <w:tcW w:type="dxa" w:w="1728"/>
          </w:tcPr>
          <w:p>
            <w:pPr>
              <w:pStyle w:val="MDPI42tablebody"/>
              <w:keepNext/>
              <w:spacing w:line="240" w:lineRule="auto" w:before="30" w:after="30"/>
              <w:jc w:val="center"/>
            </w:pPr>
            <w:r>
              <w:rPr>
                <w:b w:val="0"/>
                <w:i w:val="0"/>
                <w:sz w:val="18"/>
              </w:rPr>
              <w:t>−0.240***</w:t>
            </w:r>
          </w:p>
        </w:tc>
      </w:tr>
      <w:tr>
        <w:trPr>
          <w:cantSplit/>
        </w:trPr>
        <w:tc>
          <w:tcPr>
            <w:tcW w:type="dxa" w:w="2200"/>
          </w:tcPr>
          <w:p>
            <w:pPr>
              <w:pStyle w:val="MDPI42tablebody"/>
              <w:keepNext/>
              <w:spacing w:line="240" w:lineRule="auto" w:before="30" w:after="30"/>
              <w:jc w:val="left"/>
            </w:pPr>
            <w:r>
              <w:rPr>
                <w:b w:val="0"/>
                <w:i w:val="0"/>
                <w:sz w:val="18"/>
              </w:rPr>
              <w:t>Other cities</w:t>
            </w:r>
          </w:p>
        </w:tc>
        <w:tc>
          <w:tcPr>
            <w:tcW w:type="dxa" w:w="1100"/>
          </w:tcPr>
          <w:p>
            <w:pPr>
              <w:pStyle w:val="MDPI42tablebody"/>
              <w:keepNext/>
              <w:spacing w:line="240" w:lineRule="auto" w:before="30" w:after="30"/>
              <w:jc w:val="center"/>
            </w:pPr>
            <w:r>
              <w:rPr>
                <w:b w:val="0"/>
                <w:i w:val="0"/>
                <w:sz w:val="18"/>
              </w:rPr>
              <w:t>616</w:t>
            </w:r>
          </w:p>
        </w:tc>
        <w:tc>
          <w:tcPr>
            <w:tcW w:type="dxa" w:w="1728"/>
          </w:tcPr>
          <w:p>
            <w:pPr>
              <w:pStyle w:val="MDPI42tablebody"/>
              <w:keepNext/>
              <w:spacing w:line="240" w:lineRule="auto" w:before="30" w:after="30"/>
              <w:jc w:val="center"/>
            </w:pPr>
            <w:r>
              <w:rPr>
                <w:b w:val="0"/>
                <w:i w:val="0"/>
                <w:sz w:val="18"/>
              </w:rPr>
              <w:t>0.158</w:t>
            </w:r>
          </w:p>
        </w:tc>
        <w:tc>
          <w:tcPr>
            <w:tcW w:type="dxa" w:w="1100"/>
          </w:tcPr>
          <w:p>
            <w:pPr>
              <w:pStyle w:val="MDPI42tablebody"/>
              <w:keepNext/>
              <w:spacing w:line="240" w:lineRule="auto" w:before="30" w:after="30"/>
              <w:jc w:val="center"/>
            </w:pPr>
            <w:r>
              <w:rPr>
                <w:b w:val="0"/>
                <w:i w:val="0"/>
                <w:sz w:val="18"/>
              </w:rPr>
              <w:t>(0.042)</w:t>
            </w:r>
          </w:p>
        </w:tc>
        <w:tc>
          <w:tcPr>
            <w:tcW w:type="dxa" w:w="1728"/>
          </w:tcPr>
          <w:p>
            <w:pPr>
              <w:pStyle w:val="MDPI42tablebody"/>
              <w:keepNext/>
              <w:spacing w:line="240" w:lineRule="auto" w:before="30" w:after="30"/>
              <w:jc w:val="center"/>
            </w:pPr>
            <w:r>
              <w:rPr>
                <w:b w:val="0"/>
                <w:i w:val="0"/>
                <w:sz w:val="18"/>
              </w:rPr>
              <w:t>−0.231***</w:t>
            </w:r>
          </w:p>
        </w:tc>
      </w:tr>
      <w:tr>
        <w:trPr>
          <w:cantSplit/>
        </w:trPr>
        <w:tc>
          <w:tcPr>
            <w:tcW w:type="dxa" w:w="2200"/>
          </w:tcPr>
          <w:p>
            <w:pPr>
              <w:pStyle w:val="MDPI42tablebody"/>
              <w:keepNext/>
              <w:spacing w:line="240" w:lineRule="auto" w:before="30" w:after="30"/>
              <w:jc w:val="left"/>
            </w:pPr>
            <w:r>
              <w:rPr>
                <w:b w:val="0"/>
                <w:i w:val="0"/>
                <w:sz w:val="18"/>
              </w:rPr>
              <w:t>difference (z, p)</w:t>
            </w:r>
          </w:p>
        </w:tc>
        <w:tc>
          <w:tcPr>
            <w:tcW w:type="dxa" w:w="1100"/>
          </w:tcPr>
          <w:p>
            <w:pPr>
              <w:pStyle w:val="MDPI42tablebody"/>
              <w:keepNext/>
              <w:spacing w:line="240" w:lineRule="auto" w:before="30" w:after="30"/>
              <w:jc w:val="center"/>
            </w:pPr>
          </w:p>
        </w:tc>
        <w:tc>
          <w:tcPr>
            <w:tcW w:type="dxa" w:w="1728"/>
          </w:tcPr>
          <w:p>
            <w:pPr>
              <w:pStyle w:val="MDPI42tablebody"/>
              <w:keepNext/>
              <w:spacing w:line="240" w:lineRule="auto" w:before="30" w:after="30"/>
              <w:jc w:val="center"/>
            </w:pPr>
            <w:r>
              <w:rPr>
                <w:b w:val="0"/>
                <w:i w:val="0"/>
                <w:sz w:val="18"/>
              </w:rPr>
              <w:t>0.69</w:t>
            </w:r>
          </w:p>
        </w:tc>
        <w:tc>
          <w:tcPr>
            <w:tcW w:type="dxa" w:w="1100"/>
          </w:tcPr>
          <w:p>
            <w:pPr>
              <w:pStyle w:val="MDPI42tablebody"/>
              <w:keepNext/>
              <w:spacing w:line="240" w:lineRule="auto" w:before="30" w:after="30"/>
              <w:jc w:val="center"/>
            </w:pPr>
            <w:r>
              <w:rPr>
                <w:b w:val="0"/>
                <w:i w:val="0"/>
                <w:sz w:val="18"/>
              </w:rPr>
              <w:t>0.492</w:t>
            </w:r>
          </w:p>
        </w:tc>
        <w:tc>
          <w:tcPr>
            <w:tcW w:type="dxa" w:w="1728"/>
          </w:tcPr>
          <w:p>
            <w:pPr>
              <w:pStyle w:val="MDPI42tablebody"/>
              <w:keepNext/>
              <w:spacing w:line="240" w:lineRule="auto" w:before="30" w:after="30"/>
              <w:jc w:val="center"/>
            </w:pPr>
          </w:p>
        </w:tc>
      </w:tr>
      <w:tr>
        <w:trPr>
          <w:cantSplit/>
        </w:trPr>
        <w:tc>
          <w:tcPr>
            <w:tcW w:type="dxa" w:w="2200"/>
          </w:tcPr>
          <w:p>
            <w:pPr>
              <w:pStyle w:val="MDPI42tablebody"/>
              <w:keepNext/>
              <w:spacing w:line="240" w:lineRule="auto" w:before="30" w:after="30"/>
              <w:jc w:val="left"/>
            </w:pPr>
            <w:r>
              <w:rPr>
                <w:b w:val="0"/>
                <w:i w:val="0"/>
                <w:sz w:val="18"/>
              </w:rPr>
              <w:t>High exposure</w:t>
            </w:r>
          </w:p>
        </w:tc>
        <w:tc>
          <w:tcPr>
            <w:tcW w:type="dxa" w:w="1100"/>
          </w:tcPr>
          <w:p>
            <w:pPr>
              <w:pStyle w:val="MDPI42tablebody"/>
              <w:keepNext/>
              <w:spacing w:line="240" w:lineRule="auto" w:before="30" w:after="30"/>
              <w:jc w:val="center"/>
            </w:pPr>
            <w:r>
              <w:rPr>
                <w:b w:val="0"/>
                <w:i w:val="0"/>
                <w:sz w:val="18"/>
              </w:rPr>
              <w:t>477</w:t>
            </w:r>
          </w:p>
        </w:tc>
        <w:tc>
          <w:tcPr>
            <w:tcW w:type="dxa" w:w="1728"/>
          </w:tcPr>
          <w:p>
            <w:pPr>
              <w:pStyle w:val="MDPI42tablebody"/>
              <w:keepNext/>
              <w:spacing w:line="240" w:lineRule="auto" w:before="30" w:after="30"/>
              <w:jc w:val="center"/>
            </w:pPr>
            <w:r>
              <w:rPr>
                <w:b w:val="0"/>
                <w:i w:val="0"/>
                <w:sz w:val="18"/>
              </w:rPr>
              <w:t>0.180</w:t>
            </w:r>
          </w:p>
        </w:tc>
        <w:tc>
          <w:tcPr>
            <w:tcW w:type="dxa" w:w="1100"/>
          </w:tcPr>
          <w:p>
            <w:pPr>
              <w:pStyle w:val="MDPI42tablebody"/>
              <w:keepNext/>
              <w:spacing w:line="240" w:lineRule="auto" w:before="30" w:after="30"/>
              <w:jc w:val="center"/>
            </w:pPr>
            <w:r>
              <w:rPr>
                <w:b w:val="0"/>
                <w:i w:val="0"/>
                <w:sz w:val="18"/>
              </w:rPr>
              <w:t>(0.046)</w:t>
            </w:r>
          </w:p>
        </w:tc>
        <w:tc>
          <w:tcPr>
            <w:tcW w:type="dxa" w:w="1728"/>
          </w:tcPr>
          <w:p>
            <w:pPr>
              <w:pStyle w:val="MDPI42tablebody"/>
              <w:keepNext/>
              <w:spacing w:line="240" w:lineRule="auto" w:before="30" w:after="30"/>
              <w:jc w:val="center"/>
            </w:pPr>
            <w:r>
              <w:rPr>
                <w:b w:val="0"/>
                <w:i w:val="0"/>
                <w:sz w:val="18"/>
              </w:rPr>
              <w:t>−0.213***</w:t>
            </w:r>
          </w:p>
        </w:tc>
      </w:tr>
      <w:tr>
        <w:trPr>
          <w:cantSplit/>
        </w:trPr>
        <w:tc>
          <w:tcPr>
            <w:tcW w:type="dxa" w:w="2200"/>
          </w:tcPr>
          <w:p>
            <w:pPr>
              <w:pStyle w:val="MDPI42tablebody"/>
              <w:keepNext/>
              <w:spacing w:line="240" w:lineRule="auto" w:before="30" w:after="30"/>
              <w:jc w:val="left"/>
            </w:pPr>
            <w:r>
              <w:rPr>
                <w:b w:val="0"/>
                <w:i w:val="0"/>
                <w:sz w:val="18"/>
              </w:rPr>
              <w:t>Low exposure</w:t>
            </w:r>
          </w:p>
        </w:tc>
        <w:tc>
          <w:tcPr>
            <w:tcW w:type="dxa" w:w="1100"/>
          </w:tcPr>
          <w:p>
            <w:pPr>
              <w:pStyle w:val="MDPI42tablebody"/>
              <w:keepNext/>
              <w:spacing w:line="240" w:lineRule="auto" w:before="30" w:after="30"/>
              <w:jc w:val="center"/>
            </w:pPr>
            <w:r>
              <w:rPr>
                <w:b w:val="0"/>
                <w:i w:val="0"/>
                <w:sz w:val="18"/>
              </w:rPr>
              <w:t>437</w:t>
            </w:r>
          </w:p>
        </w:tc>
        <w:tc>
          <w:tcPr>
            <w:tcW w:type="dxa" w:w="1728"/>
          </w:tcPr>
          <w:p>
            <w:pPr>
              <w:pStyle w:val="MDPI42tablebody"/>
              <w:keepNext/>
              <w:spacing w:line="240" w:lineRule="auto" w:before="30" w:after="30"/>
              <w:jc w:val="center"/>
            </w:pPr>
            <w:r>
              <w:rPr>
                <w:b w:val="0"/>
                <w:i w:val="0"/>
                <w:sz w:val="18"/>
              </w:rPr>
              <w:t>0.164</w:t>
            </w:r>
          </w:p>
        </w:tc>
        <w:tc>
          <w:tcPr>
            <w:tcW w:type="dxa" w:w="1100"/>
          </w:tcPr>
          <w:p>
            <w:pPr>
              <w:pStyle w:val="MDPI42tablebody"/>
              <w:keepNext/>
              <w:spacing w:line="240" w:lineRule="auto" w:before="30" w:after="30"/>
              <w:jc w:val="center"/>
            </w:pPr>
            <w:r>
              <w:rPr>
                <w:b w:val="0"/>
                <w:i w:val="0"/>
                <w:sz w:val="18"/>
              </w:rPr>
              <w:t>(0.056)</w:t>
            </w:r>
          </w:p>
        </w:tc>
        <w:tc>
          <w:tcPr>
            <w:tcW w:type="dxa" w:w="1728"/>
          </w:tcPr>
          <w:p>
            <w:pPr>
              <w:pStyle w:val="MDPI42tablebody"/>
              <w:keepNext/>
              <w:spacing w:line="240" w:lineRule="auto" w:before="30" w:after="30"/>
              <w:jc w:val="center"/>
            </w:pPr>
            <w:r>
              <w:rPr>
                <w:b w:val="0"/>
                <w:i w:val="0"/>
                <w:sz w:val="18"/>
              </w:rPr>
              <w:t>−0.255***</w:t>
            </w:r>
          </w:p>
        </w:tc>
      </w:tr>
      <w:tr>
        <w:trPr>
          <w:cantSplit/>
        </w:trPr>
        <w:tc>
          <w:tcPr>
            <w:tcW w:type="dxa" w:w="2200"/>
          </w:tcPr>
          <w:p>
            <w:pPr>
              <w:pStyle w:val="MDPI42tablebody"/>
              <w:keepNext/>
              <w:spacing w:line="240" w:lineRule="auto" w:before="30" w:after="30"/>
              <w:jc w:val="left"/>
            </w:pPr>
            <w:r>
              <w:rPr>
                <w:b w:val="0"/>
                <w:i w:val="0"/>
                <w:sz w:val="18"/>
              </w:rPr>
              <w:t>difference (z, p)</w:t>
            </w:r>
          </w:p>
        </w:tc>
        <w:tc>
          <w:tcPr>
            <w:tcW w:type="dxa" w:w="1100"/>
          </w:tcPr>
          <w:p>
            <w:pPr>
              <w:pStyle w:val="MDPI42tablebody"/>
              <w:keepNext/>
              <w:spacing w:line="240" w:lineRule="auto" w:before="30" w:after="30"/>
              <w:jc w:val="center"/>
            </w:pPr>
          </w:p>
        </w:tc>
        <w:tc>
          <w:tcPr>
            <w:tcW w:type="dxa" w:w="1728"/>
          </w:tcPr>
          <w:p>
            <w:pPr>
              <w:pStyle w:val="MDPI42tablebody"/>
              <w:keepNext/>
              <w:spacing w:line="240" w:lineRule="auto" w:before="30" w:after="30"/>
              <w:jc w:val="center"/>
            </w:pPr>
            <w:r>
              <w:rPr>
                <w:b w:val="0"/>
                <w:i w:val="0"/>
                <w:sz w:val="18"/>
              </w:rPr>
              <w:t>0.21</w:t>
            </w:r>
          </w:p>
        </w:tc>
        <w:tc>
          <w:tcPr>
            <w:tcW w:type="dxa" w:w="1100"/>
          </w:tcPr>
          <w:p>
            <w:pPr>
              <w:pStyle w:val="MDPI42tablebody"/>
              <w:keepNext/>
              <w:spacing w:line="240" w:lineRule="auto" w:before="30" w:after="30"/>
              <w:jc w:val="center"/>
            </w:pPr>
            <w:r>
              <w:rPr>
                <w:b w:val="0"/>
                <w:i w:val="0"/>
                <w:sz w:val="18"/>
              </w:rPr>
              <w:t>0.831</w:t>
            </w:r>
          </w:p>
        </w:tc>
        <w:tc>
          <w:tcPr>
            <w:tcW w:type="dxa" w:w="1728"/>
          </w:tcPr>
          <w:p>
            <w:pPr>
              <w:pStyle w:val="MDPI42tablebody"/>
              <w:keepNext/>
              <w:spacing w:line="240" w:lineRule="auto" w:before="30" w:after="30"/>
              <w:jc w:val="center"/>
            </w:pPr>
          </w:p>
        </w:tc>
      </w:tr>
      <w:tr>
        <w:trPr>
          <w:cantSplit/>
        </w:trPr>
        <w:tc>
          <w:tcPr>
            <w:tcW w:type="dxa" w:w="2200"/>
          </w:tcPr>
          <w:p>
            <w:pPr>
              <w:pStyle w:val="MDPI42tablebody"/>
              <w:keepNext/>
              <w:spacing w:line="240" w:lineRule="auto" w:before="30" w:after="30"/>
              <w:jc w:val="left"/>
            </w:pPr>
            <w:r>
              <w:rPr>
                <w:b w:val="0"/>
                <w:i w:val="0"/>
                <w:sz w:val="18"/>
              </w:rPr>
              <w:t>Employed</w:t>
            </w:r>
          </w:p>
        </w:tc>
        <w:tc>
          <w:tcPr>
            <w:tcW w:type="dxa" w:w="1100"/>
          </w:tcPr>
          <w:p>
            <w:pPr>
              <w:pStyle w:val="MDPI42tablebody"/>
              <w:keepNext/>
              <w:spacing w:line="240" w:lineRule="auto" w:before="30" w:after="30"/>
              <w:jc w:val="center"/>
            </w:pPr>
            <w:r>
              <w:rPr>
                <w:b w:val="0"/>
                <w:i w:val="0"/>
                <w:sz w:val="18"/>
              </w:rPr>
              <w:t>676</w:t>
            </w:r>
          </w:p>
        </w:tc>
        <w:tc>
          <w:tcPr>
            <w:tcW w:type="dxa" w:w="1728"/>
          </w:tcPr>
          <w:p>
            <w:pPr>
              <w:pStyle w:val="MDPI42tablebody"/>
              <w:keepNext/>
              <w:spacing w:line="240" w:lineRule="auto" w:before="30" w:after="30"/>
              <w:jc w:val="center"/>
            </w:pPr>
            <w:r>
              <w:rPr>
                <w:b w:val="0"/>
                <w:i w:val="0"/>
                <w:sz w:val="18"/>
              </w:rPr>
              <w:t>0.181</w:t>
            </w:r>
          </w:p>
        </w:tc>
        <w:tc>
          <w:tcPr>
            <w:tcW w:type="dxa" w:w="1100"/>
          </w:tcPr>
          <w:p>
            <w:pPr>
              <w:pStyle w:val="MDPI42tablebody"/>
              <w:keepNext/>
              <w:spacing w:line="240" w:lineRule="auto" w:before="30" w:after="30"/>
              <w:jc w:val="center"/>
            </w:pPr>
            <w:r>
              <w:rPr>
                <w:b w:val="0"/>
                <w:i w:val="0"/>
                <w:sz w:val="18"/>
              </w:rPr>
              <w:t>(0.038)</w:t>
            </w:r>
          </w:p>
        </w:tc>
        <w:tc>
          <w:tcPr>
            <w:tcW w:type="dxa" w:w="1728"/>
          </w:tcPr>
          <w:p>
            <w:pPr>
              <w:pStyle w:val="MDPI42tablebody"/>
              <w:keepNext/>
              <w:spacing w:line="240" w:lineRule="auto" w:before="30" w:after="30"/>
              <w:jc w:val="center"/>
            </w:pPr>
            <w:r>
              <w:rPr>
                <w:b w:val="0"/>
                <w:i w:val="0"/>
                <w:sz w:val="18"/>
              </w:rPr>
              <w:t>−0.238***</w:t>
            </w:r>
          </w:p>
        </w:tc>
      </w:tr>
      <w:tr>
        <w:trPr>
          <w:cantSplit/>
        </w:trPr>
        <w:tc>
          <w:tcPr>
            <w:tcW w:type="dxa" w:w="2200"/>
          </w:tcPr>
          <w:p>
            <w:pPr>
              <w:pStyle w:val="MDPI42tablebody"/>
              <w:keepNext/>
              <w:spacing w:line="240" w:lineRule="auto" w:before="30" w:after="30"/>
              <w:jc w:val="left"/>
            </w:pPr>
            <w:r>
              <w:rPr>
                <w:b w:val="0"/>
                <w:i w:val="0"/>
                <w:sz w:val="18"/>
              </w:rPr>
              <w:t>Not employed</w:t>
            </w:r>
          </w:p>
        </w:tc>
        <w:tc>
          <w:tcPr>
            <w:tcW w:type="dxa" w:w="1100"/>
          </w:tcPr>
          <w:p>
            <w:pPr>
              <w:pStyle w:val="MDPI42tablebody"/>
              <w:keepNext/>
              <w:spacing w:line="240" w:lineRule="auto" w:before="30" w:after="30"/>
              <w:jc w:val="center"/>
            </w:pPr>
            <w:r>
              <w:rPr>
                <w:b w:val="0"/>
                <w:i w:val="0"/>
                <w:sz w:val="18"/>
              </w:rPr>
              <w:t>238</w:t>
            </w:r>
          </w:p>
        </w:tc>
        <w:tc>
          <w:tcPr>
            <w:tcW w:type="dxa" w:w="1728"/>
          </w:tcPr>
          <w:p>
            <w:pPr>
              <w:pStyle w:val="MDPI42tablebody"/>
              <w:keepNext/>
              <w:spacing w:line="240" w:lineRule="auto" w:before="30" w:after="30"/>
              <w:jc w:val="center"/>
            </w:pPr>
            <w:r>
              <w:rPr>
                <w:b w:val="0"/>
                <w:i w:val="0"/>
                <w:sz w:val="18"/>
              </w:rPr>
              <w:t>0.171</w:t>
            </w:r>
          </w:p>
        </w:tc>
        <w:tc>
          <w:tcPr>
            <w:tcW w:type="dxa" w:w="1100"/>
          </w:tcPr>
          <w:p>
            <w:pPr>
              <w:pStyle w:val="MDPI42tablebody"/>
              <w:keepNext/>
              <w:spacing w:line="240" w:lineRule="auto" w:before="30" w:after="30"/>
              <w:jc w:val="center"/>
            </w:pPr>
            <w:r>
              <w:rPr>
                <w:b w:val="0"/>
                <w:i w:val="0"/>
                <w:sz w:val="18"/>
              </w:rPr>
              <w:t>(0.083)</w:t>
            </w:r>
          </w:p>
        </w:tc>
        <w:tc>
          <w:tcPr>
            <w:tcW w:type="dxa" w:w="1728"/>
          </w:tcPr>
          <w:p>
            <w:pPr>
              <w:pStyle w:val="MDPI42tablebody"/>
              <w:keepNext/>
              <w:spacing w:line="240" w:lineRule="auto" w:before="30" w:after="30"/>
              <w:jc w:val="center"/>
            </w:pPr>
            <w:r>
              <w:rPr>
                <w:b w:val="0"/>
                <w:i w:val="0"/>
                <w:sz w:val="18"/>
              </w:rPr>
              <w:t>−0.224***</w:t>
            </w:r>
          </w:p>
        </w:tc>
      </w:tr>
      <w:tr>
        <w:trPr>
          <w:cantSplit/>
        </w:trPr>
        <w:tc>
          <w:tcPr>
            <w:tcW w:type="dxa" w:w="2200"/>
          </w:tcPr>
          <w:p>
            <w:pPr>
              <w:pStyle w:val="MDPI42tablebody"/>
              <w:keepNext/>
              <w:spacing w:line="240" w:lineRule="auto" w:before="30" w:after="30"/>
              <w:jc w:val="left"/>
            </w:pPr>
            <w:r>
              <w:rPr>
                <w:b w:val="0"/>
                <w:i w:val="0"/>
                <w:sz w:val="18"/>
              </w:rPr>
              <w:t>difference (z, p)</w:t>
            </w:r>
          </w:p>
        </w:tc>
        <w:tc>
          <w:tcPr>
            <w:tcW w:type="dxa" w:w="1100"/>
          </w:tcPr>
          <w:p>
            <w:pPr>
              <w:pStyle w:val="MDPI42tablebody"/>
              <w:keepNext/>
              <w:spacing w:line="240" w:lineRule="auto" w:before="30" w:after="30"/>
              <w:jc w:val="center"/>
            </w:pPr>
          </w:p>
        </w:tc>
        <w:tc>
          <w:tcPr>
            <w:tcW w:type="dxa" w:w="1728"/>
          </w:tcPr>
          <w:p>
            <w:pPr>
              <w:pStyle w:val="MDPI42tablebody"/>
              <w:keepNext/>
              <w:spacing w:line="240" w:lineRule="auto" w:before="30" w:after="30"/>
              <w:jc w:val="center"/>
            </w:pPr>
            <w:r>
              <w:rPr>
                <w:b w:val="0"/>
                <w:i w:val="0"/>
                <w:sz w:val="18"/>
              </w:rPr>
              <w:t>0.11</w:t>
            </w:r>
          </w:p>
        </w:tc>
        <w:tc>
          <w:tcPr>
            <w:tcW w:type="dxa" w:w="1100"/>
          </w:tcPr>
          <w:p>
            <w:pPr>
              <w:pStyle w:val="MDPI42tablebody"/>
              <w:keepNext/>
              <w:spacing w:line="240" w:lineRule="auto" w:before="30" w:after="30"/>
              <w:jc w:val="center"/>
            </w:pPr>
            <w:r>
              <w:rPr>
                <w:b w:val="0"/>
                <w:i w:val="0"/>
                <w:sz w:val="18"/>
              </w:rPr>
              <w:t>0.914</w:t>
            </w:r>
          </w:p>
        </w:tc>
        <w:tc>
          <w:tcPr>
            <w:tcW w:type="dxa" w:w="1728"/>
          </w:tcPr>
          <w:p>
            <w:pPr>
              <w:pStyle w:val="MDPI42tablebody"/>
              <w:keepNext/>
              <w:spacing w:line="240" w:lineRule="auto" w:before="30" w:after="30"/>
              <w:jc w:val="center"/>
            </w:pPr>
          </w:p>
        </w:tc>
      </w:tr>
    </w:tbl>
    <w:p>
      <w:pPr>
        <w:pStyle w:val="MDPI43tablefooter"/>
        <w:spacing w:line="240" w:lineRule="auto" w:before="40" w:after="200"/>
        <w:ind w:left="2608" w:firstLine="0"/>
      </w:pPr>
      <w:r>
        <w:rPr>
          <w:sz w:val="16"/>
        </w:rPr>
        <w:t xml:space="preserve">Note: </w:t>
      </w:r>
      <w:r>
        <w:rPr>
          <w:b w:val="0"/>
          <w:i w:val="0"/>
          <w:sz w:val="16"/>
        </w:rPr>
        <w:t>Each pair of rows re-estimates the full adaptation model within the stated subsample; the third column is the marginal effect of anxiety at the sample mean, the final column the subsample quadratic coefficient. Difference rows report a two-sample z-test of the marginal effects. ***, ** and * denote significance at the 1%, 5% and 10% levels, respectively. Source: authors’ own calculations.</w:t>
      </w:r>
    </w:p>
    <w:p>
      <w:pPr>
        <w:pStyle w:val="MDPI22heading2"/>
      </w:pPr>
      <w:r>
        <w:t>4.9. Robustness</w:t>
      </w:r>
    </w:p>
    <w:p>
      <w:pPr>
        <w:pStyle w:val="MDPI32textnoindent"/>
      </w:pPr>
      <w:r>
        <w:rPr>
          <w:b w:val="0"/>
          <w:i w:val="0"/>
        </w:rPr>
        <w:t xml:space="preserve">Table 12 subjects the curvilinear second stage to six replications. (1) Replacing the adaptation index with the log of reported reskilling hours — a behavioral count, not a Likert judgment — returns a quadratic of −0.140 (p &lt; 0.001). (2) Weighting the retained sample by inverse retention probabilities estimated from all first-wave observables leaves the quadratic at −0.237. (3) Dropping the software and information-technology occupations, whose graduates might mechanically both worry and reskill, gives −0.235. (4) Unit-weighted composites in place of factor scores give −0.237 </w:t>
      </w:r>
      <w:r>
        <w:t>[</w:t>
      </w:r>
      <w:r>
        <w:fldChar w:fldCharType="begin"/>
      </w:r>
      <w:r>
        <w:instrText xml:space="preserve"> REF _Ref_86 \h </w:instrText>
      </w:r>
      <w:r>
        <w:fldChar w:fldCharType="separate"/>
      </w:r>
      <w:r>
        <w:t>86</w:t>
      </w:r>
      <w:r>
        <w:fldChar w:fldCharType="end"/>
      </w:r>
      <w:r>
        <w:t>]</w:t>
      </w:r>
      <w:r>
        <w:rPr>
          <w:b w:val="0"/>
          <w:i w:val="0"/>
        </w:rPr>
        <w:t xml:space="preserve">. (5) Partialling the marker score out of every construct gives −0.240 </w:t>
      </w:r>
      <w:r>
        <w:t>[</w:t>
      </w:r>
      <w:r>
        <w:fldChar w:fldCharType="begin"/>
      </w:r>
      <w:r>
        <w:instrText xml:space="preserve"> REF _Ref_80 \h </w:instrText>
      </w:r>
      <w:r>
        <w:fldChar w:fldCharType="separate"/>
      </w:r>
      <w:r>
        <w:t>80</w:t>
      </w:r>
      <w:r>
        <w:fldChar w:fldCharType="end"/>
      </w:r>
      <w:r>
        <w:t>]</w:t>
      </w:r>
      <w:r>
        <w:rPr>
          <w:b w:val="0"/>
          <w:i w:val="0"/>
        </w:rPr>
        <w:t xml:space="preserve">. (6) The wild-cluster bootstrap over the twenty occupation groups, the appropriate small-G inference </w:t>
      </w:r>
      <w:r>
        <w:t>[</w:t>
      </w:r>
      <w:r>
        <w:fldChar w:fldCharType="begin"/>
      </w:r>
      <w:r>
        <w:instrText xml:space="preserve"> REF _Ref_91 \h </w:instrText>
      </w:r>
      <w:r>
        <w:fldChar w:fldCharType="separate"/>
      </w:r>
      <w:r>
        <w:t>91</w:t>
      </w:r>
      <w:r>
        <w:fldChar w:fldCharType="end"/>
      </w:r>
      <w:r>
        <w:t>]</w:t>
      </w:r>
      <w:r>
        <w:rPr>
          <w:b w:val="0"/>
          <w:i w:val="0"/>
        </w:rPr>
        <w:t>, puts the curvature’s p-value at 0.001. The inverted U survives every change of measure, sample, weighting and inference.</w:t>
      </w:r>
    </w:p>
    <w:p>
      <w:pPr>
        <w:pStyle w:val="MDPI41tablecaption"/>
        <w:keepNext/>
        <w:spacing w:after="60"/>
      </w:pPr>
      <w:r>
        <w:rPr>
          <w:b/>
          <w:sz w:val="18"/>
        </w:rPr>
        <w:t xml:space="preserve">Table 12. </w:t>
      </w:r>
      <w:r>
        <w:rPr>
          <w:b w:val="0"/>
          <w:i w:val="0"/>
          <w:sz w:val="18"/>
        </w:rPr>
        <w:t>Robustness of the curvilinear second stage.</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671"/>
        <w:gridCol w:w="1021"/>
        <w:gridCol w:w="942"/>
        <w:gridCol w:w="1335"/>
        <w:gridCol w:w="942"/>
        <w:gridCol w:w="942"/>
      </w:tblGrid>
      <w:tr>
        <w:trPr>
          <w:cantSplit/>
          <w:tblHeader/>
        </w:trPr>
        <w:tc>
          <w:tcPr>
            <w:tcW w:type="dxa" w:w="2671"/>
            <w:tcBorders>
              <w:bottom w:val="single" w:sz="8" w:space="0" w:color="auto"/>
            </w:tcBorders>
          </w:tcPr>
          <w:p>
            <w:pPr>
              <w:pStyle w:val="MDPI42tablebody"/>
              <w:keepNext/>
              <w:spacing w:line="240" w:lineRule="auto" w:before="30" w:after="30"/>
              <w:jc w:val="center"/>
            </w:pPr>
            <w:r>
              <w:rPr>
                <w:b/>
                <w:i w:val="0"/>
                <w:sz w:val="18"/>
              </w:rPr>
              <w:t>Specification</w:t>
            </w:r>
          </w:p>
        </w:tc>
        <w:tc>
          <w:tcPr>
            <w:tcW w:type="dxa" w:w="1021"/>
            <w:tcBorders>
              <w:bottom w:val="single" w:sz="8" w:space="0" w:color="auto"/>
            </w:tcBorders>
          </w:tcPr>
          <w:p>
            <w:pPr>
              <w:pStyle w:val="MDPI42tablebody"/>
              <w:keepNext/>
              <w:spacing w:line="240" w:lineRule="auto" w:before="30" w:after="30"/>
              <w:jc w:val="center"/>
            </w:pPr>
            <w:r>
              <w:rPr>
                <w:b/>
                <w:i w:val="0"/>
                <w:sz w:val="18"/>
              </w:rPr>
              <w:t>ANX</w:t>
            </w:r>
          </w:p>
        </w:tc>
        <w:tc>
          <w:tcPr>
            <w:tcW w:type="dxa" w:w="942"/>
            <w:tcBorders>
              <w:bottom w:val="single" w:sz="8" w:space="0" w:color="auto"/>
            </w:tcBorders>
          </w:tcPr>
          <w:p>
            <w:pPr>
              <w:pStyle w:val="MDPI42tablebody"/>
              <w:keepNext/>
              <w:spacing w:line="240" w:lineRule="auto" w:before="30" w:after="30"/>
              <w:jc w:val="center"/>
            </w:pPr>
            <w:r>
              <w:rPr>
                <w:b/>
                <w:i w:val="0"/>
                <w:sz w:val="18"/>
              </w:rPr>
              <w:t>(SE)</w:t>
            </w:r>
          </w:p>
        </w:tc>
        <w:tc>
          <w:tcPr>
            <w:tcW w:type="dxa" w:w="1335"/>
            <w:tcBorders>
              <w:bottom w:val="single" w:sz="8" w:space="0" w:color="auto"/>
            </w:tcBorders>
          </w:tcPr>
          <w:p>
            <w:pPr>
              <w:pStyle w:val="MDPI42tablebody"/>
              <w:keepNext/>
              <w:spacing w:line="240" w:lineRule="auto" w:before="30" w:after="30"/>
              <w:jc w:val="center"/>
            </w:pPr>
            <w:r>
              <w:rPr>
                <w:b/>
                <w:i w:val="0"/>
                <w:sz w:val="18"/>
              </w:rPr>
              <w:t>ANX²</w:t>
            </w:r>
          </w:p>
        </w:tc>
        <w:tc>
          <w:tcPr>
            <w:tcW w:type="dxa" w:w="942"/>
            <w:tcBorders>
              <w:bottom w:val="single" w:sz="8" w:space="0" w:color="auto"/>
            </w:tcBorders>
          </w:tcPr>
          <w:p>
            <w:pPr>
              <w:pStyle w:val="MDPI42tablebody"/>
              <w:keepNext/>
              <w:spacing w:line="240" w:lineRule="auto" w:before="30" w:after="30"/>
              <w:jc w:val="center"/>
            </w:pPr>
            <w:r>
              <w:rPr>
                <w:b/>
                <w:i w:val="0"/>
                <w:sz w:val="18"/>
              </w:rPr>
              <w:t>(SE)</w:t>
            </w:r>
          </w:p>
        </w:tc>
        <w:tc>
          <w:tcPr>
            <w:tcW w:type="dxa" w:w="942"/>
            <w:tcBorders>
              <w:bottom w:val="single" w:sz="8" w:space="0" w:color="auto"/>
            </w:tcBorders>
          </w:tcPr>
          <w:p>
            <w:pPr>
              <w:pStyle w:val="MDPI42tablebody"/>
              <w:keepNext/>
              <w:spacing w:line="240" w:lineRule="auto" w:before="30" w:after="30"/>
              <w:jc w:val="center"/>
            </w:pPr>
            <w:r>
              <w:rPr>
                <w:b/>
                <w:i w:val="0"/>
                <w:sz w:val="18"/>
              </w:rPr>
              <w:t>N</w:t>
            </w:r>
          </w:p>
        </w:tc>
      </w:tr>
      <w:tr>
        <w:trPr>
          <w:cantSplit/>
        </w:trPr>
        <w:tc>
          <w:tcPr>
            <w:tcW w:type="dxa" w:w="2671"/>
          </w:tcPr>
          <w:p>
            <w:pPr>
              <w:pStyle w:val="MDPI42tablebody"/>
              <w:keepNext/>
              <w:spacing w:line="240" w:lineRule="auto" w:before="30" w:after="30"/>
              <w:jc w:val="left"/>
            </w:pPr>
            <w:r>
              <w:rPr>
                <w:b w:val="0"/>
                <w:i w:val="0"/>
                <w:sz w:val="18"/>
              </w:rPr>
              <w:t>(1) log reskilling hours</w:t>
            </w:r>
          </w:p>
        </w:tc>
        <w:tc>
          <w:tcPr>
            <w:tcW w:type="dxa" w:w="1021"/>
          </w:tcPr>
          <w:p>
            <w:pPr>
              <w:pStyle w:val="MDPI42tablebody"/>
              <w:keepNext/>
              <w:spacing w:line="240" w:lineRule="auto" w:before="30" w:after="30"/>
              <w:jc w:val="center"/>
            </w:pPr>
            <w:r>
              <w:rPr>
                <w:b w:val="0"/>
                <w:i w:val="0"/>
                <w:sz w:val="18"/>
              </w:rPr>
              <w:t>0.090***</w:t>
            </w:r>
          </w:p>
        </w:tc>
        <w:tc>
          <w:tcPr>
            <w:tcW w:type="dxa" w:w="942"/>
          </w:tcPr>
          <w:p>
            <w:pPr>
              <w:pStyle w:val="MDPI42tablebody"/>
              <w:keepNext/>
              <w:spacing w:line="240" w:lineRule="auto" w:before="30" w:after="30"/>
              <w:jc w:val="center"/>
            </w:pPr>
            <w:r>
              <w:rPr>
                <w:b w:val="0"/>
                <w:i w:val="0"/>
                <w:sz w:val="18"/>
              </w:rPr>
              <w:t>(0.029)</w:t>
            </w:r>
          </w:p>
        </w:tc>
        <w:tc>
          <w:tcPr>
            <w:tcW w:type="dxa" w:w="1335"/>
          </w:tcPr>
          <w:p>
            <w:pPr>
              <w:pStyle w:val="MDPI42tablebody"/>
              <w:keepNext/>
              <w:spacing w:line="240" w:lineRule="auto" w:before="30" w:after="30"/>
              <w:jc w:val="center"/>
            </w:pPr>
            <w:r>
              <w:rPr>
                <w:b w:val="0"/>
                <w:i w:val="0"/>
                <w:sz w:val="18"/>
              </w:rPr>
              <w:t>−0.140***</w:t>
            </w:r>
          </w:p>
        </w:tc>
        <w:tc>
          <w:tcPr>
            <w:tcW w:type="dxa" w:w="942"/>
          </w:tcPr>
          <w:p>
            <w:pPr>
              <w:pStyle w:val="MDPI42tablebody"/>
              <w:keepNext/>
              <w:spacing w:line="240" w:lineRule="auto" w:before="30" w:after="30"/>
              <w:jc w:val="center"/>
            </w:pPr>
            <w:r>
              <w:rPr>
                <w:b w:val="0"/>
                <w:i w:val="0"/>
                <w:sz w:val="18"/>
              </w:rPr>
              <w:t>(0.022)</w:t>
            </w:r>
          </w:p>
        </w:tc>
        <w:tc>
          <w:tcPr>
            <w:tcW w:type="dxa" w:w="942"/>
          </w:tcPr>
          <w:p>
            <w:pPr>
              <w:pStyle w:val="MDPI42tablebody"/>
              <w:keepNext/>
              <w:spacing w:line="240" w:lineRule="auto" w:before="30" w:after="30"/>
              <w:jc w:val="center"/>
            </w:pPr>
            <w:r>
              <w:rPr>
                <w:b w:val="0"/>
                <w:i w:val="0"/>
                <w:sz w:val="18"/>
              </w:rPr>
              <w:t>914</w:t>
            </w:r>
          </w:p>
        </w:tc>
      </w:tr>
      <w:tr>
        <w:trPr>
          <w:cantSplit/>
        </w:trPr>
        <w:tc>
          <w:tcPr>
            <w:tcW w:type="dxa" w:w="2671"/>
          </w:tcPr>
          <w:p>
            <w:pPr>
              <w:pStyle w:val="MDPI42tablebody"/>
              <w:keepNext/>
              <w:spacing w:line="240" w:lineRule="auto" w:before="30" w:after="30"/>
              <w:jc w:val="left"/>
            </w:pPr>
            <w:r>
              <w:rPr>
                <w:b w:val="0"/>
                <w:i w:val="0"/>
                <w:sz w:val="18"/>
              </w:rPr>
              <w:t>(2) inverse-probability weighted</w:t>
            </w:r>
          </w:p>
        </w:tc>
        <w:tc>
          <w:tcPr>
            <w:tcW w:type="dxa" w:w="1021"/>
          </w:tcPr>
          <w:p>
            <w:pPr>
              <w:pStyle w:val="MDPI42tablebody"/>
              <w:keepNext/>
              <w:spacing w:line="240" w:lineRule="auto" w:before="30" w:after="30"/>
              <w:jc w:val="center"/>
            </w:pPr>
            <w:r>
              <w:rPr>
                <w:b w:val="0"/>
                <w:i w:val="0"/>
                <w:sz w:val="18"/>
              </w:rPr>
              <w:t>0.174***</w:t>
            </w:r>
          </w:p>
        </w:tc>
        <w:tc>
          <w:tcPr>
            <w:tcW w:type="dxa" w:w="942"/>
          </w:tcPr>
          <w:p>
            <w:pPr>
              <w:pStyle w:val="MDPI42tablebody"/>
              <w:keepNext/>
              <w:spacing w:line="240" w:lineRule="auto" w:before="30" w:after="30"/>
              <w:jc w:val="center"/>
            </w:pPr>
            <w:r>
              <w:rPr>
                <w:b w:val="0"/>
                <w:i w:val="0"/>
                <w:sz w:val="18"/>
              </w:rPr>
              <w:t>(0.029)</w:t>
            </w:r>
          </w:p>
        </w:tc>
        <w:tc>
          <w:tcPr>
            <w:tcW w:type="dxa" w:w="1335"/>
          </w:tcPr>
          <w:p>
            <w:pPr>
              <w:pStyle w:val="MDPI42tablebody"/>
              <w:keepNext/>
              <w:spacing w:line="240" w:lineRule="auto" w:before="30" w:after="30"/>
              <w:jc w:val="center"/>
            </w:pPr>
            <w:r>
              <w:rPr>
                <w:b w:val="0"/>
                <w:i w:val="0"/>
                <w:sz w:val="18"/>
              </w:rPr>
              <w:t>−0.237***</w:t>
            </w:r>
          </w:p>
        </w:tc>
        <w:tc>
          <w:tcPr>
            <w:tcW w:type="dxa" w:w="942"/>
          </w:tcPr>
          <w:p>
            <w:pPr>
              <w:pStyle w:val="MDPI42tablebody"/>
              <w:keepNext/>
              <w:spacing w:line="240" w:lineRule="auto" w:before="30" w:after="30"/>
              <w:jc w:val="center"/>
            </w:pPr>
            <w:r>
              <w:rPr>
                <w:b w:val="0"/>
                <w:i w:val="0"/>
                <w:sz w:val="18"/>
              </w:rPr>
              <w:t>(0.021)</w:t>
            </w:r>
          </w:p>
        </w:tc>
        <w:tc>
          <w:tcPr>
            <w:tcW w:type="dxa" w:w="942"/>
          </w:tcPr>
          <w:p>
            <w:pPr>
              <w:pStyle w:val="MDPI42tablebody"/>
              <w:keepNext/>
              <w:spacing w:line="240" w:lineRule="auto" w:before="30" w:after="30"/>
              <w:jc w:val="center"/>
            </w:pPr>
            <w:r>
              <w:rPr>
                <w:b w:val="0"/>
                <w:i w:val="0"/>
                <w:sz w:val="18"/>
              </w:rPr>
              <w:t>914</w:t>
            </w:r>
          </w:p>
        </w:tc>
      </w:tr>
      <w:tr>
        <w:trPr>
          <w:cantSplit/>
        </w:trPr>
        <w:tc>
          <w:tcPr>
            <w:tcW w:type="dxa" w:w="2671"/>
          </w:tcPr>
          <w:p>
            <w:pPr>
              <w:pStyle w:val="MDPI42tablebody"/>
              <w:keepNext/>
              <w:spacing w:line="240" w:lineRule="auto" w:before="30" w:after="30"/>
              <w:jc w:val="left"/>
            </w:pPr>
            <w:r>
              <w:rPr>
                <w:b w:val="0"/>
                <w:i w:val="0"/>
                <w:sz w:val="18"/>
              </w:rPr>
              <w:t>(3) excluding software and IT</w:t>
            </w:r>
          </w:p>
        </w:tc>
        <w:tc>
          <w:tcPr>
            <w:tcW w:type="dxa" w:w="1021"/>
          </w:tcPr>
          <w:p>
            <w:pPr>
              <w:pStyle w:val="MDPI42tablebody"/>
              <w:keepNext/>
              <w:spacing w:line="240" w:lineRule="auto" w:before="30" w:after="30"/>
              <w:jc w:val="center"/>
            </w:pPr>
            <w:r>
              <w:rPr>
                <w:b w:val="0"/>
                <w:i w:val="0"/>
                <w:sz w:val="18"/>
              </w:rPr>
              <w:t>0.170***</w:t>
            </w:r>
          </w:p>
        </w:tc>
        <w:tc>
          <w:tcPr>
            <w:tcW w:type="dxa" w:w="942"/>
          </w:tcPr>
          <w:p>
            <w:pPr>
              <w:pStyle w:val="MDPI42tablebody"/>
              <w:keepNext/>
              <w:spacing w:line="240" w:lineRule="auto" w:before="30" w:after="30"/>
              <w:jc w:val="center"/>
            </w:pPr>
            <w:r>
              <w:rPr>
                <w:b w:val="0"/>
                <w:i w:val="0"/>
                <w:sz w:val="18"/>
              </w:rPr>
              <w:t>(0.035)</w:t>
            </w:r>
          </w:p>
        </w:tc>
        <w:tc>
          <w:tcPr>
            <w:tcW w:type="dxa" w:w="1335"/>
          </w:tcPr>
          <w:p>
            <w:pPr>
              <w:pStyle w:val="MDPI42tablebody"/>
              <w:keepNext/>
              <w:spacing w:line="240" w:lineRule="auto" w:before="30" w:after="30"/>
              <w:jc w:val="center"/>
            </w:pPr>
            <w:r>
              <w:rPr>
                <w:b w:val="0"/>
                <w:i w:val="0"/>
                <w:sz w:val="18"/>
              </w:rPr>
              <w:t>−0.235***</w:t>
            </w:r>
          </w:p>
        </w:tc>
        <w:tc>
          <w:tcPr>
            <w:tcW w:type="dxa" w:w="942"/>
          </w:tcPr>
          <w:p>
            <w:pPr>
              <w:pStyle w:val="MDPI42tablebody"/>
              <w:keepNext/>
              <w:spacing w:line="240" w:lineRule="auto" w:before="30" w:after="30"/>
              <w:jc w:val="center"/>
            </w:pPr>
            <w:r>
              <w:rPr>
                <w:b w:val="0"/>
                <w:i w:val="0"/>
                <w:sz w:val="18"/>
              </w:rPr>
              <w:t>(0.027)</w:t>
            </w:r>
          </w:p>
        </w:tc>
        <w:tc>
          <w:tcPr>
            <w:tcW w:type="dxa" w:w="942"/>
          </w:tcPr>
          <w:p>
            <w:pPr>
              <w:pStyle w:val="MDPI42tablebody"/>
              <w:keepNext/>
              <w:spacing w:line="240" w:lineRule="auto" w:before="30" w:after="30"/>
              <w:jc w:val="center"/>
            </w:pPr>
            <w:r>
              <w:rPr>
                <w:b w:val="0"/>
                <w:i w:val="0"/>
                <w:sz w:val="18"/>
              </w:rPr>
              <w:t>838</w:t>
            </w:r>
          </w:p>
        </w:tc>
      </w:tr>
      <w:tr>
        <w:trPr>
          <w:cantSplit/>
        </w:trPr>
        <w:tc>
          <w:tcPr>
            <w:tcW w:type="dxa" w:w="2671"/>
          </w:tcPr>
          <w:p>
            <w:pPr>
              <w:pStyle w:val="MDPI42tablebody"/>
              <w:keepNext/>
              <w:spacing w:line="240" w:lineRule="auto" w:before="30" w:after="30"/>
              <w:jc w:val="left"/>
            </w:pPr>
            <w:r>
              <w:rPr>
                <w:b w:val="0"/>
                <w:i w:val="0"/>
                <w:sz w:val="18"/>
              </w:rPr>
              <w:t>(4) unit-weighted composites</w:t>
            </w:r>
          </w:p>
        </w:tc>
        <w:tc>
          <w:tcPr>
            <w:tcW w:type="dxa" w:w="1021"/>
          </w:tcPr>
          <w:p>
            <w:pPr>
              <w:pStyle w:val="MDPI42tablebody"/>
              <w:keepNext/>
              <w:spacing w:line="240" w:lineRule="auto" w:before="30" w:after="30"/>
              <w:jc w:val="center"/>
            </w:pPr>
            <w:r>
              <w:rPr>
                <w:b w:val="0"/>
                <w:i w:val="0"/>
                <w:sz w:val="18"/>
              </w:rPr>
              <w:t>0.174***</w:t>
            </w:r>
          </w:p>
        </w:tc>
        <w:tc>
          <w:tcPr>
            <w:tcW w:type="dxa" w:w="942"/>
          </w:tcPr>
          <w:p>
            <w:pPr>
              <w:pStyle w:val="MDPI42tablebody"/>
              <w:keepNext/>
              <w:spacing w:line="240" w:lineRule="auto" w:before="30" w:after="30"/>
              <w:jc w:val="center"/>
            </w:pPr>
            <w:r>
              <w:rPr>
                <w:b w:val="0"/>
                <w:i w:val="0"/>
                <w:sz w:val="18"/>
              </w:rPr>
              <w:t>(0.034)</w:t>
            </w:r>
          </w:p>
        </w:tc>
        <w:tc>
          <w:tcPr>
            <w:tcW w:type="dxa" w:w="1335"/>
          </w:tcPr>
          <w:p>
            <w:pPr>
              <w:pStyle w:val="MDPI42tablebody"/>
              <w:keepNext/>
              <w:spacing w:line="240" w:lineRule="auto" w:before="30" w:after="30"/>
              <w:jc w:val="center"/>
            </w:pPr>
            <w:r>
              <w:rPr>
                <w:b w:val="0"/>
                <w:i w:val="0"/>
                <w:sz w:val="18"/>
              </w:rPr>
              <w:t>−0.237***</w:t>
            </w:r>
          </w:p>
        </w:tc>
        <w:tc>
          <w:tcPr>
            <w:tcW w:type="dxa" w:w="942"/>
          </w:tcPr>
          <w:p>
            <w:pPr>
              <w:pStyle w:val="MDPI42tablebody"/>
              <w:keepNext/>
              <w:spacing w:line="240" w:lineRule="auto" w:before="30" w:after="30"/>
              <w:jc w:val="center"/>
            </w:pPr>
            <w:r>
              <w:rPr>
                <w:b w:val="0"/>
                <w:i w:val="0"/>
                <w:sz w:val="18"/>
              </w:rPr>
              <w:t>(0.025)</w:t>
            </w:r>
          </w:p>
        </w:tc>
        <w:tc>
          <w:tcPr>
            <w:tcW w:type="dxa" w:w="942"/>
          </w:tcPr>
          <w:p>
            <w:pPr>
              <w:pStyle w:val="MDPI42tablebody"/>
              <w:keepNext/>
              <w:spacing w:line="240" w:lineRule="auto" w:before="30" w:after="30"/>
              <w:jc w:val="center"/>
            </w:pPr>
            <w:r>
              <w:rPr>
                <w:b w:val="0"/>
                <w:i w:val="0"/>
                <w:sz w:val="18"/>
              </w:rPr>
              <w:t>914</w:t>
            </w:r>
          </w:p>
        </w:tc>
      </w:tr>
      <w:tr>
        <w:trPr>
          <w:cantSplit/>
        </w:trPr>
        <w:tc>
          <w:tcPr>
            <w:tcW w:type="dxa" w:w="2671"/>
          </w:tcPr>
          <w:p>
            <w:pPr>
              <w:pStyle w:val="MDPI42tablebody"/>
              <w:keepNext/>
              <w:spacing w:line="240" w:lineRule="auto" w:before="30" w:after="30"/>
              <w:jc w:val="left"/>
            </w:pPr>
            <w:r>
              <w:rPr>
                <w:b w:val="0"/>
                <w:i w:val="0"/>
                <w:sz w:val="18"/>
              </w:rPr>
              <w:t>(5) marker-partialled scores</w:t>
            </w:r>
          </w:p>
        </w:tc>
        <w:tc>
          <w:tcPr>
            <w:tcW w:type="dxa" w:w="1021"/>
          </w:tcPr>
          <w:p>
            <w:pPr>
              <w:pStyle w:val="MDPI42tablebody"/>
              <w:keepNext/>
              <w:spacing w:line="240" w:lineRule="auto" w:before="30" w:after="30"/>
              <w:jc w:val="center"/>
            </w:pPr>
            <w:r>
              <w:rPr>
                <w:b w:val="0"/>
                <w:i w:val="0"/>
                <w:sz w:val="18"/>
              </w:rPr>
              <w:t>0.178***</w:t>
            </w:r>
          </w:p>
        </w:tc>
        <w:tc>
          <w:tcPr>
            <w:tcW w:type="dxa" w:w="942"/>
          </w:tcPr>
          <w:p>
            <w:pPr>
              <w:pStyle w:val="MDPI42tablebody"/>
              <w:keepNext/>
              <w:spacing w:line="240" w:lineRule="auto" w:before="30" w:after="30"/>
              <w:jc w:val="center"/>
            </w:pPr>
            <w:r>
              <w:rPr>
                <w:b w:val="0"/>
                <w:i w:val="0"/>
                <w:sz w:val="18"/>
              </w:rPr>
              <w:t>(0.034)</w:t>
            </w:r>
          </w:p>
        </w:tc>
        <w:tc>
          <w:tcPr>
            <w:tcW w:type="dxa" w:w="1335"/>
          </w:tcPr>
          <w:p>
            <w:pPr>
              <w:pStyle w:val="MDPI42tablebody"/>
              <w:keepNext/>
              <w:spacing w:line="240" w:lineRule="auto" w:before="30" w:after="30"/>
              <w:jc w:val="center"/>
            </w:pPr>
            <w:r>
              <w:rPr>
                <w:b w:val="0"/>
                <w:i w:val="0"/>
                <w:sz w:val="18"/>
              </w:rPr>
              <w:t>−0.240***</w:t>
            </w:r>
          </w:p>
        </w:tc>
        <w:tc>
          <w:tcPr>
            <w:tcW w:type="dxa" w:w="942"/>
          </w:tcPr>
          <w:p>
            <w:pPr>
              <w:pStyle w:val="MDPI42tablebody"/>
              <w:keepNext/>
              <w:spacing w:line="240" w:lineRule="auto" w:before="30" w:after="30"/>
              <w:jc w:val="center"/>
            </w:pPr>
            <w:r>
              <w:rPr>
                <w:b w:val="0"/>
                <w:i w:val="0"/>
                <w:sz w:val="18"/>
              </w:rPr>
              <w:t>(0.025)</w:t>
            </w:r>
          </w:p>
        </w:tc>
        <w:tc>
          <w:tcPr>
            <w:tcW w:type="dxa" w:w="942"/>
          </w:tcPr>
          <w:p>
            <w:pPr>
              <w:pStyle w:val="MDPI42tablebody"/>
              <w:keepNext/>
              <w:spacing w:line="240" w:lineRule="auto" w:before="30" w:after="30"/>
              <w:jc w:val="center"/>
            </w:pPr>
            <w:r>
              <w:rPr>
                <w:b w:val="0"/>
                <w:i w:val="0"/>
                <w:sz w:val="18"/>
              </w:rPr>
              <w:t>914</w:t>
            </w:r>
          </w:p>
        </w:tc>
      </w:tr>
      <w:tr>
        <w:trPr>
          <w:cantSplit/>
        </w:trPr>
        <w:tc>
          <w:tcPr>
            <w:tcW w:type="dxa" w:w="2671"/>
          </w:tcPr>
          <w:p>
            <w:pPr>
              <w:pStyle w:val="MDPI42tablebody"/>
              <w:keepNext/>
              <w:spacing w:line="240" w:lineRule="auto" w:before="30" w:after="30"/>
              <w:jc w:val="left"/>
            </w:pPr>
            <w:r>
              <w:rPr>
                <w:b w:val="0"/>
                <w:i w:val="0"/>
                <w:sz w:val="18"/>
              </w:rPr>
              <w:t>(6) wild cluster bootstrap p for ANX² (20 occupation clusters)</w:t>
            </w:r>
          </w:p>
        </w:tc>
        <w:tc>
          <w:tcPr>
            <w:tcW w:type="dxa" w:w="1021"/>
          </w:tcPr>
          <w:p>
            <w:pPr>
              <w:pStyle w:val="MDPI42tablebody"/>
              <w:keepNext/>
              <w:spacing w:line="240" w:lineRule="auto" w:before="30" w:after="30"/>
              <w:jc w:val="center"/>
            </w:pPr>
          </w:p>
        </w:tc>
        <w:tc>
          <w:tcPr>
            <w:tcW w:type="dxa" w:w="942"/>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r>
              <w:rPr>
                <w:b w:val="0"/>
                <w:i w:val="0"/>
                <w:sz w:val="18"/>
              </w:rPr>
              <w:t>0.001</w:t>
            </w:r>
          </w:p>
        </w:tc>
        <w:tc>
          <w:tcPr>
            <w:tcW w:type="dxa" w:w="942"/>
          </w:tcPr>
          <w:p>
            <w:pPr>
              <w:pStyle w:val="MDPI42tablebody"/>
              <w:keepNext/>
              <w:spacing w:line="240" w:lineRule="auto" w:before="30" w:after="30"/>
              <w:jc w:val="center"/>
            </w:pPr>
          </w:p>
        </w:tc>
        <w:tc>
          <w:tcPr>
            <w:tcW w:type="dxa" w:w="942"/>
          </w:tcPr>
          <w:p>
            <w:pPr>
              <w:pStyle w:val="MDPI42tablebody"/>
              <w:keepNext/>
              <w:spacing w:line="240" w:lineRule="auto" w:before="30" w:after="30"/>
              <w:jc w:val="center"/>
            </w:pPr>
            <w:r>
              <w:rPr>
                <w:b w:val="0"/>
                <w:i w:val="0"/>
                <w:sz w:val="18"/>
              </w:rPr>
              <w:t>914</w:t>
            </w:r>
          </w:p>
        </w:tc>
      </w:tr>
    </w:tbl>
    <w:p>
      <w:pPr>
        <w:pStyle w:val="MDPI43tablefooter"/>
        <w:spacing w:line="240" w:lineRule="auto" w:before="40" w:after="200"/>
        <w:ind w:left="2608" w:firstLine="0"/>
      </w:pPr>
      <w:r>
        <w:rPr>
          <w:sz w:val="16"/>
        </w:rPr>
        <w:t xml:space="preserve">Note: </w:t>
      </w:r>
      <w:r>
        <w:rPr>
          <w:b w:val="0"/>
          <w:i w:val="0"/>
          <w:sz w:val="16"/>
        </w:rPr>
        <w:t>Each row replicates the full adaptation specification under the stated change. Row (2) weights by inverse retention probabilities from a first-wave linear probability model; row (6) reports the wild-cluster bootstrap p-value for the quadratic term with Rademacher weights and the null imposed, 999 replications. ***, ** and * denote significance at the 1%, 5% and 10% levels, respectively. Source: authors’ own calculations.</w:t>
      </w:r>
    </w:p>
    <w:p>
      <w:pPr>
        <w:pStyle w:val="MDPI22heading2"/>
      </w:pPr>
      <w:r>
        <w:t>4.10. The Configurational Test (H7a, H7b)</w:t>
      </w:r>
    </w:p>
    <w:p>
      <w:pPr>
        <w:pStyle w:val="MDPI32textnoindent"/>
      </w:pPr>
      <w:r>
        <w:rPr>
          <w:b w:val="0"/>
          <w:i w:val="0"/>
        </w:rPr>
        <w:t>Table 13 reports the calibration anchors and the necessity analysis. No condition, present or absent, reaches the 0.90 consistency conventionally required of a necessary condition; the maximum anywhere is 0.708. H7a is supported: there is no single gate through which every adapting graduate passes.</w:t>
      </w:r>
    </w:p>
    <w:p>
      <w:pPr>
        <w:pStyle w:val="MDPI41tablecaption"/>
        <w:keepNext/>
        <w:spacing w:after="60"/>
      </w:pPr>
      <w:r>
        <w:rPr>
          <w:b/>
          <w:sz w:val="18"/>
        </w:rPr>
        <w:t xml:space="preserve">Table 13. </w:t>
      </w:r>
      <w:r>
        <w:rPr>
          <w:b w:val="0"/>
          <w:i w:val="0"/>
          <w:sz w:val="18"/>
        </w:rPr>
        <w:t>Fuzzy-set calibration and necessity analysis.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671"/>
        <w:gridCol w:w="1728"/>
        <w:gridCol w:w="1728"/>
        <w:gridCol w:w="1728"/>
      </w:tblGrid>
      <w:tr>
        <w:trPr>
          <w:cantSplit/>
          <w:tblHeader/>
        </w:trPr>
        <w:tc>
          <w:tcPr>
            <w:tcW w:type="dxa" w:w="2671"/>
            <w:tcBorders>
              <w:bottom w:val="single" w:sz="8" w:space="0" w:color="auto"/>
            </w:tcBorders>
          </w:tcPr>
          <w:p>
            <w:pPr>
              <w:pStyle w:val="MDPI42tablebody"/>
              <w:keepNext/>
              <w:spacing w:line="240" w:lineRule="auto" w:before="30" w:after="30"/>
              <w:jc w:val="center"/>
            </w:pPr>
            <w:r>
              <w:rPr>
                <w:b/>
                <w:i w:val="0"/>
                <w:sz w:val="18"/>
              </w:rPr>
              <w:t>Condition</w:t>
            </w:r>
          </w:p>
        </w:tc>
        <w:tc>
          <w:tcPr>
            <w:tcW w:type="dxa" w:w="1728"/>
            <w:tcBorders>
              <w:bottom w:val="single" w:sz="8" w:space="0" w:color="auto"/>
            </w:tcBorders>
          </w:tcPr>
          <w:p>
            <w:pPr>
              <w:pStyle w:val="MDPI42tablebody"/>
              <w:keepNext/>
              <w:spacing w:line="240" w:lineRule="auto" w:before="30" w:after="30"/>
              <w:jc w:val="center"/>
            </w:pPr>
            <w:r>
              <w:rPr>
                <w:b/>
                <w:i w:val="0"/>
                <w:sz w:val="18"/>
              </w:rPr>
              <w:t>Full (0.95)</w:t>
            </w:r>
          </w:p>
        </w:tc>
        <w:tc>
          <w:tcPr>
            <w:tcW w:type="dxa" w:w="1728"/>
            <w:tcBorders>
              <w:bottom w:val="single" w:sz="8" w:space="0" w:color="auto"/>
            </w:tcBorders>
          </w:tcPr>
          <w:p>
            <w:pPr>
              <w:pStyle w:val="MDPI42tablebody"/>
              <w:keepNext/>
              <w:spacing w:line="240" w:lineRule="auto" w:before="30" w:after="30"/>
              <w:jc w:val="center"/>
            </w:pPr>
            <w:r>
              <w:rPr>
                <w:b/>
                <w:i w:val="0"/>
                <w:sz w:val="18"/>
              </w:rPr>
              <w:t>Crossover (0.50)</w:t>
            </w:r>
          </w:p>
        </w:tc>
        <w:tc>
          <w:tcPr>
            <w:tcW w:type="dxa" w:w="1728"/>
            <w:tcBorders>
              <w:bottom w:val="single" w:sz="8" w:space="0" w:color="auto"/>
            </w:tcBorders>
          </w:tcPr>
          <w:p>
            <w:pPr>
              <w:pStyle w:val="MDPI42tablebody"/>
              <w:keepNext/>
              <w:spacing w:line="240" w:lineRule="auto" w:before="30" w:after="30"/>
              <w:jc w:val="center"/>
            </w:pPr>
            <w:r>
              <w:rPr>
                <w:b/>
                <w:i w:val="0"/>
                <w:sz w:val="18"/>
              </w:rPr>
              <w:t>Out (0.05)</w:t>
            </w:r>
          </w:p>
        </w:tc>
      </w:tr>
      <w:tr>
        <w:trPr>
          <w:cantSplit/>
        </w:trPr>
        <w:tc>
          <w:tcPr>
            <w:tcW w:type="dxa" w:w="7858"/>
            <w:gridSpan w:val="4"/>
          </w:tcPr>
          <w:p>
            <w:pPr>
              <w:pStyle w:val="MDPI42tablebody"/>
              <w:keepNext/>
              <w:spacing w:line="240" w:lineRule="auto" w:before="60" w:after="30"/>
              <w:jc w:val="left"/>
            </w:pPr>
            <w:r>
              <w:rPr>
                <w:b/>
                <w:i/>
                <w:sz w:val="18"/>
              </w:rPr>
              <w:t>Panel A: calibration anchors (raw score at membership 0.95 / 0.50 / 0.05)</w:t>
            </w:r>
          </w:p>
        </w:tc>
      </w:tr>
      <w:tr>
        <w:trPr>
          <w:cantSplit/>
        </w:trPr>
        <w:tc>
          <w:tcPr>
            <w:tcW w:type="dxa" w:w="2671"/>
          </w:tcPr>
          <w:p>
            <w:pPr>
              <w:pStyle w:val="MDPI42tablebody"/>
              <w:keepNext/>
              <w:spacing w:line="240" w:lineRule="auto" w:before="30" w:after="30"/>
              <w:jc w:val="left"/>
            </w:pPr>
            <w:r>
              <w:rPr>
                <w:b w:val="0"/>
                <w:i w:val="0"/>
                <w:sz w:val="18"/>
              </w:rPr>
              <w:t>PHCD</w:t>
            </w:r>
          </w:p>
        </w:tc>
        <w:tc>
          <w:tcPr>
            <w:tcW w:type="dxa" w:w="1728"/>
          </w:tcPr>
          <w:p>
            <w:pPr>
              <w:pStyle w:val="MDPI42tablebody"/>
              <w:keepNext/>
              <w:spacing w:line="240" w:lineRule="auto" w:before="30" w:after="30"/>
              <w:jc w:val="center"/>
            </w:pPr>
            <w:r>
              <w:rPr>
                <w:b w:val="0"/>
                <w:i w:val="0"/>
                <w:sz w:val="18"/>
              </w:rPr>
              <w:t>1.70</w:t>
            </w:r>
          </w:p>
        </w:tc>
        <w:tc>
          <w:tcPr>
            <w:tcW w:type="dxa" w:w="1728"/>
          </w:tcPr>
          <w:p>
            <w:pPr>
              <w:pStyle w:val="MDPI42tablebody"/>
              <w:keepNext/>
              <w:spacing w:line="240" w:lineRule="auto" w:before="30" w:after="30"/>
              <w:jc w:val="center"/>
            </w:pPr>
            <w:r>
              <w:rPr>
                <w:b w:val="0"/>
                <w:i w:val="0"/>
                <w:sz w:val="18"/>
              </w:rPr>
              <w:t>0.03</w:t>
            </w:r>
          </w:p>
        </w:tc>
        <w:tc>
          <w:tcPr>
            <w:tcW w:type="dxa" w:w="1728"/>
          </w:tcPr>
          <w:p>
            <w:pPr>
              <w:pStyle w:val="MDPI42tablebody"/>
              <w:keepNext/>
              <w:spacing w:line="240" w:lineRule="auto" w:before="30" w:after="30"/>
              <w:jc w:val="center"/>
            </w:pPr>
            <w:r>
              <w:rPr>
                <w:b w:val="0"/>
                <w:i w:val="0"/>
                <w:sz w:val="18"/>
              </w:rPr>
              <w:t>−1.75</w:t>
            </w:r>
          </w:p>
        </w:tc>
      </w:tr>
      <w:tr>
        <w:trPr>
          <w:cantSplit/>
        </w:trPr>
        <w:tc>
          <w:tcPr>
            <w:tcW w:type="dxa" w:w="2671"/>
          </w:tcPr>
          <w:p>
            <w:pPr>
              <w:pStyle w:val="MDPI42tablebody"/>
              <w:keepNext/>
              <w:spacing w:line="240" w:lineRule="auto" w:before="30" w:after="30"/>
              <w:jc w:val="left"/>
            </w:pPr>
            <w:r>
              <w:rPr>
                <w:b w:val="0"/>
                <w:i w:val="0"/>
                <w:sz w:val="18"/>
              </w:rPr>
              <w:t>ANX</w:t>
            </w:r>
          </w:p>
        </w:tc>
        <w:tc>
          <w:tcPr>
            <w:tcW w:type="dxa" w:w="1728"/>
          </w:tcPr>
          <w:p>
            <w:pPr>
              <w:pStyle w:val="MDPI42tablebody"/>
              <w:keepNext/>
              <w:spacing w:line="240" w:lineRule="auto" w:before="30" w:after="30"/>
              <w:jc w:val="center"/>
            </w:pPr>
            <w:r>
              <w:rPr>
                <w:b w:val="0"/>
                <w:i w:val="0"/>
                <w:sz w:val="18"/>
              </w:rPr>
              <w:t>1.58</w:t>
            </w:r>
          </w:p>
        </w:tc>
        <w:tc>
          <w:tcPr>
            <w:tcW w:type="dxa" w:w="1728"/>
          </w:tcPr>
          <w:p>
            <w:pPr>
              <w:pStyle w:val="MDPI42tablebody"/>
              <w:keepNext/>
              <w:spacing w:line="240" w:lineRule="auto" w:before="30" w:after="30"/>
              <w:jc w:val="center"/>
            </w:pPr>
            <w:r>
              <w:rPr>
                <w:b w:val="0"/>
                <w:i w:val="0"/>
                <w:sz w:val="18"/>
              </w:rPr>
              <w:t>0.03</w:t>
            </w:r>
          </w:p>
        </w:tc>
        <w:tc>
          <w:tcPr>
            <w:tcW w:type="dxa" w:w="1728"/>
          </w:tcPr>
          <w:p>
            <w:pPr>
              <w:pStyle w:val="MDPI42tablebody"/>
              <w:keepNext/>
              <w:spacing w:line="240" w:lineRule="auto" w:before="30" w:after="30"/>
              <w:jc w:val="center"/>
            </w:pPr>
            <w:r>
              <w:rPr>
                <w:b w:val="0"/>
                <w:i w:val="0"/>
                <w:sz w:val="18"/>
              </w:rPr>
              <w:t>−1.68</w:t>
            </w:r>
          </w:p>
        </w:tc>
      </w:tr>
      <w:tr>
        <w:trPr>
          <w:cantSplit/>
        </w:trPr>
        <w:tc>
          <w:tcPr>
            <w:tcW w:type="dxa" w:w="2671"/>
          </w:tcPr>
          <w:p>
            <w:pPr>
              <w:pStyle w:val="MDPI42tablebody"/>
              <w:keepNext/>
              <w:spacing w:line="240" w:lineRule="auto" w:before="30" w:after="30"/>
              <w:jc w:val="left"/>
            </w:pPr>
            <w:r>
              <w:rPr>
                <w:b w:val="0"/>
                <w:i w:val="0"/>
                <w:sz w:val="18"/>
              </w:rPr>
              <w:t>LIT</w:t>
            </w:r>
          </w:p>
        </w:tc>
        <w:tc>
          <w:tcPr>
            <w:tcW w:type="dxa" w:w="1728"/>
          </w:tcPr>
          <w:p>
            <w:pPr>
              <w:pStyle w:val="MDPI42tablebody"/>
              <w:keepNext/>
              <w:spacing w:line="240" w:lineRule="auto" w:before="30" w:after="30"/>
              <w:jc w:val="center"/>
            </w:pPr>
            <w:r>
              <w:rPr>
                <w:b w:val="0"/>
                <w:i w:val="0"/>
                <w:sz w:val="18"/>
              </w:rPr>
              <w:t>1.63</w:t>
            </w:r>
          </w:p>
        </w:tc>
        <w:tc>
          <w:tcPr>
            <w:tcW w:type="dxa" w:w="1728"/>
          </w:tcPr>
          <w:p>
            <w:pPr>
              <w:pStyle w:val="MDPI42tablebody"/>
              <w:keepNext/>
              <w:spacing w:line="240" w:lineRule="auto" w:before="30" w:after="30"/>
              <w:jc w:val="center"/>
            </w:pPr>
            <w:r>
              <w:rPr>
                <w:b w:val="0"/>
                <w:i w:val="0"/>
                <w:sz w:val="18"/>
              </w:rPr>
              <w:t>0.03</w:t>
            </w:r>
          </w:p>
        </w:tc>
        <w:tc>
          <w:tcPr>
            <w:tcW w:type="dxa" w:w="1728"/>
          </w:tcPr>
          <w:p>
            <w:pPr>
              <w:pStyle w:val="MDPI42tablebody"/>
              <w:keepNext/>
              <w:spacing w:line="240" w:lineRule="auto" w:before="30" w:after="30"/>
              <w:jc w:val="center"/>
            </w:pPr>
            <w:r>
              <w:rPr>
                <w:b w:val="0"/>
                <w:i w:val="0"/>
                <w:sz w:val="18"/>
              </w:rPr>
              <w:t>−1.76</w:t>
            </w:r>
          </w:p>
        </w:tc>
      </w:tr>
      <w:tr>
        <w:trPr>
          <w:cantSplit/>
        </w:trPr>
        <w:tc>
          <w:tcPr>
            <w:tcW w:type="dxa" w:w="2671"/>
          </w:tcPr>
          <w:p>
            <w:pPr>
              <w:pStyle w:val="MDPI42tablebody"/>
              <w:keepNext/>
              <w:spacing w:line="240" w:lineRule="auto" w:before="30" w:after="30"/>
              <w:jc w:val="left"/>
            </w:pPr>
            <w:r>
              <w:rPr>
                <w:b w:val="0"/>
                <w:i w:val="0"/>
                <w:sz w:val="18"/>
              </w:rPr>
              <w:t>SUP</w:t>
            </w:r>
          </w:p>
        </w:tc>
        <w:tc>
          <w:tcPr>
            <w:tcW w:type="dxa" w:w="1728"/>
          </w:tcPr>
          <w:p>
            <w:pPr>
              <w:pStyle w:val="MDPI42tablebody"/>
              <w:keepNext/>
              <w:spacing w:line="240" w:lineRule="auto" w:before="30" w:after="30"/>
              <w:jc w:val="center"/>
            </w:pPr>
            <w:r>
              <w:rPr>
                <w:b w:val="0"/>
                <w:i w:val="0"/>
                <w:sz w:val="18"/>
              </w:rPr>
              <w:t>1.64</w:t>
            </w:r>
          </w:p>
        </w:tc>
        <w:tc>
          <w:tcPr>
            <w:tcW w:type="dxa" w:w="1728"/>
          </w:tcPr>
          <w:p>
            <w:pPr>
              <w:pStyle w:val="MDPI42tablebody"/>
              <w:keepNext/>
              <w:spacing w:line="240" w:lineRule="auto" w:before="30" w:after="30"/>
              <w:jc w:val="center"/>
            </w:pPr>
            <w:r>
              <w:rPr>
                <w:b w:val="0"/>
                <w:i w:val="0"/>
                <w:sz w:val="18"/>
              </w:rPr>
              <w:t>0.01</w:t>
            </w:r>
          </w:p>
        </w:tc>
        <w:tc>
          <w:tcPr>
            <w:tcW w:type="dxa" w:w="1728"/>
          </w:tcPr>
          <w:p>
            <w:pPr>
              <w:pStyle w:val="MDPI42tablebody"/>
              <w:keepNext/>
              <w:spacing w:line="240" w:lineRule="auto" w:before="30" w:after="30"/>
              <w:jc w:val="center"/>
            </w:pPr>
            <w:r>
              <w:rPr>
                <w:b w:val="0"/>
                <w:i w:val="0"/>
                <w:sz w:val="18"/>
              </w:rPr>
              <w:t>−1.61</w:t>
            </w:r>
          </w:p>
        </w:tc>
      </w:tr>
      <w:tr>
        <w:trPr>
          <w:cantSplit/>
        </w:trPr>
        <w:tc>
          <w:tcPr>
            <w:tcW w:type="dxa" w:w="2671"/>
          </w:tcPr>
          <w:p>
            <w:pPr>
              <w:pStyle w:val="MDPI42tablebody"/>
              <w:keepNext/>
              <w:spacing w:line="240" w:lineRule="auto" w:before="30" w:after="30"/>
              <w:jc w:val="left"/>
            </w:pPr>
            <w:r>
              <w:rPr>
                <w:b w:val="0"/>
                <w:i w:val="0"/>
                <w:sz w:val="18"/>
              </w:rPr>
              <w:t>EXPO</w:t>
            </w:r>
          </w:p>
        </w:tc>
        <w:tc>
          <w:tcPr>
            <w:tcW w:type="dxa" w:w="1728"/>
          </w:tcPr>
          <w:p>
            <w:pPr>
              <w:pStyle w:val="MDPI42tablebody"/>
              <w:keepNext/>
              <w:spacing w:line="240" w:lineRule="auto" w:before="30" w:after="30"/>
              <w:jc w:val="center"/>
            </w:pPr>
            <w:r>
              <w:rPr>
                <w:b w:val="0"/>
                <w:i w:val="0"/>
                <w:sz w:val="18"/>
              </w:rPr>
              <w:t>1.56</w:t>
            </w:r>
          </w:p>
        </w:tc>
        <w:tc>
          <w:tcPr>
            <w:tcW w:type="dxa" w:w="1728"/>
          </w:tcPr>
          <w:p>
            <w:pPr>
              <w:pStyle w:val="MDPI42tablebody"/>
              <w:keepNext/>
              <w:spacing w:line="240" w:lineRule="auto" w:before="30" w:after="30"/>
              <w:jc w:val="center"/>
            </w:pPr>
            <w:r>
              <w:rPr>
                <w:b w:val="0"/>
                <w:i w:val="0"/>
                <w:sz w:val="18"/>
              </w:rPr>
              <w:t>0.09</w:t>
            </w:r>
          </w:p>
        </w:tc>
        <w:tc>
          <w:tcPr>
            <w:tcW w:type="dxa" w:w="1728"/>
          </w:tcPr>
          <w:p>
            <w:pPr>
              <w:pStyle w:val="MDPI42tablebody"/>
              <w:keepNext/>
              <w:spacing w:line="240" w:lineRule="auto" w:before="30" w:after="30"/>
              <w:jc w:val="center"/>
            </w:pPr>
            <w:r>
              <w:rPr>
                <w:b w:val="0"/>
                <w:i w:val="0"/>
                <w:sz w:val="18"/>
              </w:rPr>
              <w:t>−1.89</w:t>
            </w:r>
          </w:p>
        </w:tc>
      </w:tr>
      <w:tr>
        <w:trPr>
          <w:cantSplit/>
        </w:trPr>
        <w:tc>
          <w:tcPr>
            <w:tcW w:type="dxa" w:w="7858"/>
            <w:gridSpan w:val="4"/>
          </w:tcPr>
          <w:p>
            <w:pPr>
              <w:pStyle w:val="MDPI42tablebody"/>
              <w:keepNext/>
              <w:spacing w:line="240" w:lineRule="auto" w:before="60" w:after="30"/>
              <w:jc w:val="left"/>
            </w:pPr>
            <w:r>
              <w:rPr>
                <w:b/>
                <w:i/>
                <w:sz w:val="18"/>
              </w:rPr>
              <w:t>Panel B: necessity analysis for high adaptation</w:t>
            </w:r>
          </w:p>
        </w:tc>
      </w:tr>
      <w:tr>
        <w:trPr>
          <w:cantSplit/>
        </w:trPr>
        <w:tc>
          <w:tcPr>
            <w:tcW w:type="dxa" w:w="2671"/>
          </w:tcPr>
          <w:p>
            <w:pPr>
              <w:pStyle w:val="MDPI42tablebody"/>
              <w:keepNext/>
              <w:spacing w:line="240" w:lineRule="auto" w:before="30" w:after="30"/>
              <w:jc w:val="left"/>
            </w:pPr>
            <w:r>
              <w:rPr>
                <w:b w:val="0"/>
                <w:i w:val="0"/>
                <w:sz w:val="18"/>
              </w:rPr>
              <w:t>Condition</w:t>
            </w:r>
          </w:p>
        </w:tc>
        <w:tc>
          <w:tcPr>
            <w:tcW w:type="dxa" w:w="1728"/>
          </w:tcPr>
          <w:p>
            <w:pPr>
              <w:pStyle w:val="MDPI42tablebody"/>
              <w:keepNext/>
              <w:spacing w:line="240" w:lineRule="auto" w:before="30" w:after="30"/>
              <w:jc w:val="center"/>
            </w:pPr>
            <w:r>
              <w:rPr>
                <w:b w:val="0"/>
                <w:i w:val="0"/>
                <w:sz w:val="18"/>
              </w:rPr>
              <w:t>Consistency</w:t>
            </w:r>
          </w:p>
        </w:tc>
        <w:tc>
          <w:tcPr>
            <w:tcW w:type="dxa" w:w="1728"/>
          </w:tcPr>
          <w:p>
            <w:pPr>
              <w:pStyle w:val="MDPI42tablebody"/>
              <w:keepNext/>
              <w:spacing w:line="240" w:lineRule="auto" w:before="30" w:after="30"/>
              <w:jc w:val="center"/>
            </w:pPr>
            <w:r>
              <w:rPr>
                <w:b w:val="0"/>
                <w:i w:val="0"/>
                <w:sz w:val="18"/>
              </w:rPr>
              <w:t>Coverage</w:t>
            </w:r>
          </w:p>
        </w:tc>
        <w:tc>
          <w:tcPr>
            <w:tcW w:type="dxa" w:w="1728"/>
          </w:tcPr>
          <w:p>
            <w:pPr>
              <w:pStyle w:val="MDPI42tablebody"/>
              <w:keepNext/>
              <w:spacing w:line="240" w:lineRule="auto" w:before="30" w:after="30"/>
              <w:jc w:val="center"/>
            </w:pPr>
          </w:p>
        </w:tc>
      </w:tr>
      <w:tr>
        <w:trPr>
          <w:cantSplit/>
        </w:trPr>
        <w:tc>
          <w:tcPr>
            <w:tcW w:type="dxa" w:w="2671"/>
          </w:tcPr>
          <w:p>
            <w:pPr>
              <w:pStyle w:val="MDPI42tablebody"/>
              <w:keepNext/>
              <w:spacing w:line="240" w:lineRule="auto" w:before="30" w:after="30"/>
              <w:jc w:val="left"/>
            </w:pPr>
            <w:r>
              <w:rPr>
                <w:b w:val="0"/>
                <w:i w:val="0"/>
                <w:sz w:val="18"/>
              </w:rPr>
              <w:t>PHCD</w:t>
            </w:r>
          </w:p>
        </w:tc>
        <w:tc>
          <w:tcPr>
            <w:tcW w:type="dxa" w:w="1728"/>
          </w:tcPr>
          <w:p>
            <w:pPr>
              <w:pStyle w:val="MDPI42tablebody"/>
              <w:keepNext/>
              <w:spacing w:line="240" w:lineRule="auto" w:before="30" w:after="30"/>
              <w:jc w:val="center"/>
            </w:pPr>
            <w:r>
              <w:rPr>
                <w:b w:val="0"/>
                <w:i w:val="0"/>
                <w:sz w:val="18"/>
              </w:rPr>
              <w:t>0.665</w:t>
            </w:r>
          </w:p>
        </w:tc>
        <w:tc>
          <w:tcPr>
            <w:tcW w:type="dxa" w:w="1728"/>
          </w:tcPr>
          <w:p>
            <w:pPr>
              <w:pStyle w:val="MDPI42tablebody"/>
              <w:keepNext/>
              <w:spacing w:line="240" w:lineRule="auto" w:before="30" w:after="30"/>
              <w:jc w:val="center"/>
            </w:pPr>
            <w:r>
              <w:rPr>
                <w:b w:val="0"/>
                <w:i w:val="0"/>
                <w:sz w:val="18"/>
              </w:rPr>
              <w:t>0.667</w:t>
            </w:r>
          </w:p>
        </w:tc>
        <w:tc>
          <w:tcPr>
            <w:tcW w:type="dxa" w:w="1728"/>
          </w:tcPr>
          <w:p>
            <w:pPr>
              <w:pStyle w:val="MDPI42tablebody"/>
              <w:keepNext/>
              <w:spacing w:line="240" w:lineRule="auto" w:before="30" w:after="30"/>
              <w:jc w:val="center"/>
            </w:pPr>
          </w:p>
        </w:tc>
      </w:tr>
      <w:tr>
        <w:trPr>
          <w:cantSplit/>
        </w:trPr>
        <w:tc>
          <w:tcPr>
            <w:tcW w:type="dxa" w:w="2671"/>
          </w:tcPr>
          <w:p>
            <w:pPr>
              <w:pStyle w:val="MDPI42tablebody"/>
              <w:keepNext/>
              <w:spacing w:line="240" w:lineRule="auto" w:before="30" w:after="30"/>
              <w:jc w:val="left"/>
            </w:pPr>
            <w:r>
              <w:rPr>
                <w:b w:val="0"/>
                <w:i w:val="0"/>
                <w:sz w:val="18"/>
              </w:rPr>
              <w:t>~PHCD</w:t>
            </w:r>
          </w:p>
        </w:tc>
        <w:tc>
          <w:tcPr>
            <w:tcW w:type="dxa" w:w="1728"/>
          </w:tcPr>
          <w:p>
            <w:pPr>
              <w:pStyle w:val="MDPI42tablebody"/>
              <w:keepNext/>
              <w:spacing w:line="240" w:lineRule="auto" w:before="30" w:after="30"/>
              <w:jc w:val="center"/>
            </w:pPr>
            <w:r>
              <w:rPr>
                <w:b w:val="0"/>
                <w:i w:val="0"/>
                <w:sz w:val="18"/>
              </w:rPr>
              <w:t>0.639</w:t>
            </w:r>
          </w:p>
        </w:tc>
        <w:tc>
          <w:tcPr>
            <w:tcW w:type="dxa" w:w="1728"/>
          </w:tcPr>
          <w:p>
            <w:pPr>
              <w:pStyle w:val="MDPI42tablebody"/>
              <w:keepNext/>
              <w:spacing w:line="240" w:lineRule="auto" w:before="30" w:after="30"/>
              <w:jc w:val="center"/>
            </w:pPr>
            <w:r>
              <w:rPr>
                <w:b w:val="0"/>
                <w:i w:val="0"/>
                <w:sz w:val="18"/>
              </w:rPr>
              <w:t>0.647</w:t>
            </w:r>
          </w:p>
        </w:tc>
        <w:tc>
          <w:tcPr>
            <w:tcW w:type="dxa" w:w="1728"/>
          </w:tcPr>
          <w:p>
            <w:pPr>
              <w:pStyle w:val="MDPI42tablebody"/>
              <w:keepNext/>
              <w:spacing w:line="240" w:lineRule="auto" w:before="30" w:after="30"/>
              <w:jc w:val="center"/>
            </w:pPr>
          </w:p>
        </w:tc>
      </w:tr>
      <w:tr>
        <w:trPr>
          <w:cantSplit/>
        </w:trPr>
        <w:tc>
          <w:tcPr>
            <w:tcW w:type="dxa" w:w="2671"/>
          </w:tcPr>
          <w:p>
            <w:pPr>
              <w:pStyle w:val="MDPI42tablebody"/>
              <w:keepNext/>
              <w:spacing w:line="240" w:lineRule="auto" w:before="30" w:after="30"/>
              <w:jc w:val="left"/>
            </w:pPr>
            <w:r>
              <w:rPr>
                <w:b w:val="0"/>
                <w:i w:val="0"/>
                <w:sz w:val="18"/>
              </w:rPr>
              <w:t>ANX</w:t>
            </w:r>
          </w:p>
        </w:tc>
        <w:tc>
          <w:tcPr>
            <w:tcW w:type="dxa" w:w="1728"/>
          </w:tcPr>
          <w:p>
            <w:pPr>
              <w:pStyle w:val="MDPI42tablebody"/>
              <w:keepNext/>
              <w:spacing w:line="240" w:lineRule="auto" w:before="30" w:after="30"/>
              <w:jc w:val="center"/>
            </w:pPr>
            <w:r>
              <w:rPr>
                <w:b w:val="0"/>
                <w:i w:val="0"/>
                <w:sz w:val="18"/>
              </w:rPr>
              <w:t>0.674</w:t>
            </w:r>
          </w:p>
        </w:tc>
        <w:tc>
          <w:tcPr>
            <w:tcW w:type="dxa" w:w="1728"/>
          </w:tcPr>
          <w:p>
            <w:pPr>
              <w:pStyle w:val="MDPI42tablebody"/>
              <w:keepNext/>
              <w:spacing w:line="240" w:lineRule="auto" w:before="30" w:after="30"/>
              <w:jc w:val="center"/>
            </w:pPr>
            <w:r>
              <w:rPr>
                <w:b w:val="0"/>
                <w:i w:val="0"/>
                <w:sz w:val="18"/>
              </w:rPr>
              <w:t>0.677</w:t>
            </w:r>
          </w:p>
        </w:tc>
        <w:tc>
          <w:tcPr>
            <w:tcW w:type="dxa" w:w="1728"/>
          </w:tcPr>
          <w:p>
            <w:pPr>
              <w:pStyle w:val="MDPI42tablebody"/>
              <w:keepNext/>
              <w:spacing w:line="240" w:lineRule="auto" w:before="30" w:after="30"/>
              <w:jc w:val="center"/>
            </w:pPr>
          </w:p>
        </w:tc>
      </w:tr>
      <w:tr>
        <w:trPr>
          <w:cantSplit/>
        </w:trPr>
        <w:tc>
          <w:tcPr>
            <w:tcW w:type="dxa" w:w="2671"/>
          </w:tcPr>
          <w:p>
            <w:pPr>
              <w:pStyle w:val="MDPI42tablebody"/>
              <w:keepNext/>
              <w:spacing w:line="240" w:lineRule="auto" w:before="30" w:after="30"/>
              <w:jc w:val="left"/>
            </w:pPr>
            <w:r>
              <w:rPr>
                <w:b w:val="0"/>
                <w:i w:val="0"/>
                <w:sz w:val="18"/>
              </w:rPr>
              <w:t>~ANX</w:t>
            </w:r>
          </w:p>
        </w:tc>
        <w:tc>
          <w:tcPr>
            <w:tcW w:type="dxa" w:w="1728"/>
          </w:tcPr>
          <w:p>
            <w:pPr>
              <w:pStyle w:val="MDPI42tablebody"/>
              <w:keepNext/>
              <w:spacing w:line="240" w:lineRule="auto" w:before="30" w:after="30"/>
              <w:jc w:val="center"/>
            </w:pPr>
            <w:r>
              <w:rPr>
                <w:b w:val="0"/>
                <w:i w:val="0"/>
                <w:sz w:val="18"/>
              </w:rPr>
              <w:t>0.614</w:t>
            </w:r>
          </w:p>
        </w:tc>
        <w:tc>
          <w:tcPr>
            <w:tcW w:type="dxa" w:w="1728"/>
          </w:tcPr>
          <w:p>
            <w:pPr>
              <w:pStyle w:val="MDPI42tablebody"/>
              <w:keepNext/>
              <w:spacing w:line="240" w:lineRule="auto" w:before="30" w:after="30"/>
              <w:jc w:val="center"/>
            </w:pPr>
            <w:r>
              <w:rPr>
                <w:b w:val="0"/>
                <w:i w:val="0"/>
                <w:sz w:val="18"/>
              </w:rPr>
              <w:t>0.621</w:t>
            </w:r>
          </w:p>
        </w:tc>
        <w:tc>
          <w:tcPr>
            <w:tcW w:type="dxa" w:w="1728"/>
          </w:tcPr>
          <w:p>
            <w:pPr>
              <w:pStyle w:val="MDPI42tablebody"/>
              <w:keepNext/>
              <w:spacing w:line="240" w:lineRule="auto" w:before="30" w:after="30"/>
              <w:jc w:val="center"/>
            </w:pPr>
          </w:p>
        </w:tc>
      </w:tr>
      <w:tr>
        <w:trPr>
          <w:cantSplit/>
        </w:trPr>
        <w:tc>
          <w:tcPr>
            <w:tcW w:type="dxa" w:w="2671"/>
          </w:tcPr>
          <w:p>
            <w:pPr>
              <w:pStyle w:val="MDPI42tablebody"/>
              <w:keepNext/>
              <w:spacing w:line="240" w:lineRule="auto" w:before="30" w:after="30"/>
              <w:jc w:val="left"/>
            </w:pPr>
            <w:r>
              <w:rPr>
                <w:b w:val="0"/>
                <w:i w:val="0"/>
                <w:sz w:val="18"/>
              </w:rPr>
              <w:t>LIT</w:t>
            </w:r>
          </w:p>
        </w:tc>
        <w:tc>
          <w:tcPr>
            <w:tcW w:type="dxa" w:w="1728"/>
          </w:tcPr>
          <w:p>
            <w:pPr>
              <w:pStyle w:val="MDPI42tablebody"/>
              <w:keepNext/>
              <w:spacing w:line="240" w:lineRule="auto" w:before="30" w:after="30"/>
              <w:jc w:val="center"/>
            </w:pPr>
            <w:r>
              <w:rPr>
                <w:b w:val="0"/>
                <w:i w:val="0"/>
                <w:sz w:val="18"/>
              </w:rPr>
              <w:t>0.708</w:t>
            </w:r>
          </w:p>
        </w:tc>
        <w:tc>
          <w:tcPr>
            <w:tcW w:type="dxa" w:w="1728"/>
          </w:tcPr>
          <w:p>
            <w:pPr>
              <w:pStyle w:val="MDPI42tablebody"/>
              <w:keepNext/>
              <w:spacing w:line="240" w:lineRule="auto" w:before="30" w:after="30"/>
              <w:jc w:val="center"/>
            </w:pPr>
            <w:r>
              <w:rPr>
                <w:b w:val="0"/>
                <w:i w:val="0"/>
                <w:sz w:val="18"/>
              </w:rPr>
              <w:t>0.718</w:t>
            </w:r>
          </w:p>
        </w:tc>
        <w:tc>
          <w:tcPr>
            <w:tcW w:type="dxa" w:w="1728"/>
          </w:tcPr>
          <w:p>
            <w:pPr>
              <w:pStyle w:val="MDPI42tablebody"/>
              <w:keepNext/>
              <w:spacing w:line="240" w:lineRule="auto" w:before="30" w:after="30"/>
              <w:jc w:val="center"/>
            </w:pPr>
          </w:p>
        </w:tc>
      </w:tr>
      <w:tr>
        <w:trPr>
          <w:cantSplit/>
        </w:trPr>
        <w:tc>
          <w:tcPr>
            <w:tcW w:type="dxa" w:w="2671"/>
          </w:tcPr>
          <w:p>
            <w:pPr>
              <w:pStyle w:val="MDPI42tablebody"/>
              <w:keepNext/>
              <w:spacing w:line="240" w:lineRule="auto" w:before="30" w:after="30"/>
              <w:jc w:val="left"/>
            </w:pPr>
            <w:r>
              <w:rPr>
                <w:b w:val="0"/>
                <w:i w:val="0"/>
                <w:sz w:val="18"/>
              </w:rPr>
              <w:t>~LIT</w:t>
            </w:r>
          </w:p>
        </w:tc>
        <w:tc>
          <w:tcPr>
            <w:tcW w:type="dxa" w:w="1728"/>
          </w:tcPr>
          <w:p>
            <w:pPr>
              <w:pStyle w:val="MDPI42tablebody"/>
              <w:keepNext/>
              <w:spacing w:line="240" w:lineRule="auto" w:before="30" w:after="30"/>
              <w:jc w:val="center"/>
            </w:pPr>
            <w:r>
              <w:rPr>
                <w:b w:val="0"/>
                <w:i w:val="0"/>
                <w:sz w:val="18"/>
              </w:rPr>
              <w:t>0.592</w:t>
            </w:r>
          </w:p>
        </w:tc>
        <w:tc>
          <w:tcPr>
            <w:tcW w:type="dxa" w:w="1728"/>
          </w:tcPr>
          <w:p>
            <w:pPr>
              <w:pStyle w:val="MDPI42tablebody"/>
              <w:keepNext/>
              <w:spacing w:line="240" w:lineRule="auto" w:before="30" w:after="30"/>
              <w:jc w:val="center"/>
            </w:pPr>
            <w:r>
              <w:rPr>
                <w:b w:val="0"/>
                <w:i w:val="0"/>
                <w:sz w:val="18"/>
              </w:rPr>
              <w:t>0.593</w:t>
            </w:r>
          </w:p>
        </w:tc>
        <w:tc>
          <w:tcPr>
            <w:tcW w:type="dxa" w:w="1728"/>
          </w:tcPr>
          <w:p>
            <w:pPr>
              <w:pStyle w:val="MDPI42tablebody"/>
              <w:keepNext/>
              <w:spacing w:line="240" w:lineRule="auto" w:before="30" w:after="30"/>
              <w:jc w:val="center"/>
            </w:pPr>
          </w:p>
        </w:tc>
      </w:tr>
      <w:tr>
        <w:trPr>
          <w:cantSplit/>
        </w:trPr>
        <w:tc>
          <w:tcPr>
            <w:tcW w:type="dxa" w:w="2671"/>
          </w:tcPr>
          <w:p>
            <w:pPr>
              <w:pStyle w:val="MDPI42tablebody"/>
              <w:keepNext/>
              <w:spacing w:line="240" w:lineRule="auto" w:before="30" w:after="30"/>
              <w:jc w:val="left"/>
            </w:pPr>
            <w:r>
              <w:rPr>
                <w:b w:val="0"/>
                <w:i w:val="0"/>
                <w:sz w:val="18"/>
              </w:rPr>
              <w:t>SUP</w:t>
            </w:r>
          </w:p>
        </w:tc>
        <w:tc>
          <w:tcPr>
            <w:tcW w:type="dxa" w:w="1728"/>
          </w:tcPr>
          <w:p>
            <w:pPr>
              <w:pStyle w:val="MDPI42tablebody"/>
              <w:keepNext/>
              <w:spacing w:line="240" w:lineRule="auto" w:before="30" w:after="30"/>
              <w:jc w:val="center"/>
            </w:pPr>
            <w:r>
              <w:rPr>
                <w:b w:val="0"/>
                <w:i w:val="0"/>
                <w:sz w:val="18"/>
              </w:rPr>
              <w:t>0.682</w:t>
            </w:r>
          </w:p>
        </w:tc>
        <w:tc>
          <w:tcPr>
            <w:tcW w:type="dxa" w:w="1728"/>
          </w:tcPr>
          <w:p>
            <w:pPr>
              <w:pStyle w:val="MDPI42tablebody"/>
              <w:keepNext/>
              <w:spacing w:line="240" w:lineRule="auto" w:before="30" w:after="30"/>
              <w:jc w:val="center"/>
            </w:pPr>
            <w:r>
              <w:rPr>
                <w:b w:val="0"/>
                <w:i w:val="0"/>
                <w:sz w:val="18"/>
              </w:rPr>
              <w:t>0.681</w:t>
            </w:r>
          </w:p>
        </w:tc>
        <w:tc>
          <w:tcPr>
            <w:tcW w:type="dxa" w:w="1728"/>
          </w:tcPr>
          <w:p>
            <w:pPr>
              <w:pStyle w:val="MDPI42tablebody"/>
              <w:keepNext/>
              <w:spacing w:line="240" w:lineRule="auto" w:before="30" w:after="30"/>
              <w:jc w:val="center"/>
            </w:pPr>
          </w:p>
        </w:tc>
      </w:tr>
      <w:tr>
        <w:trPr>
          <w:cantSplit/>
        </w:trPr>
        <w:tc>
          <w:tcPr>
            <w:tcW w:type="dxa" w:w="2671"/>
          </w:tcPr>
          <w:p>
            <w:pPr>
              <w:pStyle w:val="MDPI42tablebody"/>
              <w:keepNext/>
              <w:spacing w:line="240" w:lineRule="auto" w:before="30" w:after="30"/>
              <w:jc w:val="left"/>
            </w:pPr>
            <w:r>
              <w:rPr>
                <w:b w:val="0"/>
                <w:i w:val="0"/>
                <w:sz w:val="18"/>
              </w:rPr>
              <w:t>~SUP</w:t>
            </w:r>
          </w:p>
        </w:tc>
        <w:tc>
          <w:tcPr>
            <w:tcW w:type="dxa" w:w="1728"/>
          </w:tcPr>
          <w:p>
            <w:pPr>
              <w:pStyle w:val="MDPI42tablebody"/>
              <w:keepNext/>
              <w:spacing w:line="240" w:lineRule="auto" w:before="30" w:after="30"/>
              <w:jc w:val="center"/>
            </w:pPr>
            <w:r>
              <w:rPr>
                <w:b w:val="0"/>
                <w:i w:val="0"/>
                <w:sz w:val="18"/>
              </w:rPr>
              <w:t>0.605</w:t>
            </w:r>
          </w:p>
        </w:tc>
        <w:tc>
          <w:tcPr>
            <w:tcW w:type="dxa" w:w="1728"/>
          </w:tcPr>
          <w:p>
            <w:pPr>
              <w:pStyle w:val="MDPI42tablebody"/>
              <w:keepNext/>
              <w:spacing w:line="240" w:lineRule="auto" w:before="30" w:after="30"/>
              <w:jc w:val="center"/>
            </w:pPr>
            <w:r>
              <w:rPr>
                <w:b w:val="0"/>
                <w:i w:val="0"/>
                <w:sz w:val="18"/>
              </w:rPr>
              <w:t>0.615</w:t>
            </w:r>
          </w:p>
        </w:tc>
        <w:tc>
          <w:tcPr>
            <w:tcW w:type="dxa" w:w="1728"/>
          </w:tcPr>
          <w:p>
            <w:pPr>
              <w:pStyle w:val="MDPI42tablebody"/>
              <w:keepNext/>
              <w:spacing w:line="240" w:lineRule="auto" w:before="30" w:after="30"/>
              <w:jc w:val="center"/>
            </w:pPr>
          </w:p>
        </w:tc>
      </w:tr>
      <w:tr>
        <w:trPr>
          <w:cantSplit/>
        </w:trPr>
        <w:tc>
          <w:tcPr>
            <w:tcW w:type="dxa" w:w="2671"/>
          </w:tcPr>
          <w:p>
            <w:pPr>
              <w:pStyle w:val="MDPI42tablebody"/>
              <w:keepNext/>
              <w:spacing w:line="240" w:lineRule="auto" w:before="30" w:after="30"/>
              <w:jc w:val="left"/>
            </w:pPr>
            <w:r>
              <w:rPr>
                <w:b w:val="0"/>
                <w:i w:val="0"/>
                <w:sz w:val="18"/>
              </w:rPr>
              <w:t>EXPO</w:t>
            </w:r>
          </w:p>
        </w:tc>
        <w:tc>
          <w:tcPr>
            <w:tcW w:type="dxa" w:w="1728"/>
          </w:tcPr>
          <w:p>
            <w:pPr>
              <w:pStyle w:val="MDPI42tablebody"/>
              <w:keepNext/>
              <w:spacing w:line="240" w:lineRule="auto" w:before="30" w:after="30"/>
              <w:jc w:val="center"/>
            </w:pPr>
            <w:r>
              <w:rPr>
                <w:b w:val="0"/>
                <w:i w:val="0"/>
                <w:sz w:val="18"/>
              </w:rPr>
              <w:t>0.645</w:t>
            </w:r>
          </w:p>
        </w:tc>
        <w:tc>
          <w:tcPr>
            <w:tcW w:type="dxa" w:w="1728"/>
          </w:tcPr>
          <w:p>
            <w:pPr>
              <w:pStyle w:val="MDPI42tablebody"/>
              <w:keepNext/>
              <w:spacing w:line="240" w:lineRule="auto" w:before="30" w:after="30"/>
              <w:jc w:val="center"/>
            </w:pPr>
            <w:r>
              <w:rPr>
                <w:b w:val="0"/>
                <w:i w:val="0"/>
                <w:sz w:val="18"/>
              </w:rPr>
              <w:t>0.659</w:t>
            </w:r>
          </w:p>
        </w:tc>
        <w:tc>
          <w:tcPr>
            <w:tcW w:type="dxa" w:w="1728"/>
          </w:tcPr>
          <w:p>
            <w:pPr>
              <w:pStyle w:val="MDPI42tablebody"/>
              <w:keepNext/>
              <w:spacing w:line="240" w:lineRule="auto" w:before="30" w:after="30"/>
              <w:jc w:val="center"/>
            </w:pPr>
          </w:p>
        </w:tc>
      </w:tr>
      <w:tr>
        <w:trPr>
          <w:cantSplit/>
        </w:trPr>
        <w:tc>
          <w:tcPr>
            <w:tcW w:type="dxa" w:w="2671"/>
          </w:tcPr>
          <w:p>
            <w:pPr>
              <w:pStyle w:val="MDPI42tablebody"/>
              <w:keepNext/>
              <w:spacing w:line="240" w:lineRule="auto" w:before="30" w:after="30"/>
              <w:jc w:val="left"/>
            </w:pPr>
            <w:r>
              <w:rPr>
                <w:b w:val="0"/>
                <w:i w:val="0"/>
                <w:sz w:val="18"/>
              </w:rPr>
              <w:t>~EXPO</w:t>
            </w:r>
          </w:p>
        </w:tc>
        <w:tc>
          <w:tcPr>
            <w:tcW w:type="dxa" w:w="1728"/>
          </w:tcPr>
          <w:p>
            <w:pPr>
              <w:pStyle w:val="MDPI42tablebody"/>
              <w:keepNext/>
              <w:spacing w:line="240" w:lineRule="auto" w:before="30" w:after="30"/>
              <w:jc w:val="center"/>
            </w:pPr>
            <w:r>
              <w:rPr>
                <w:b w:val="0"/>
                <w:i w:val="0"/>
                <w:sz w:val="18"/>
              </w:rPr>
              <w:t>0.647</w:t>
            </w:r>
          </w:p>
        </w:tc>
        <w:tc>
          <w:tcPr>
            <w:tcW w:type="dxa" w:w="1728"/>
          </w:tcPr>
          <w:p>
            <w:pPr>
              <w:pStyle w:val="MDPI42tablebody"/>
              <w:keepNext/>
              <w:spacing w:line="240" w:lineRule="auto" w:before="30" w:after="30"/>
              <w:jc w:val="center"/>
            </w:pPr>
            <w:r>
              <w:rPr>
                <w:b w:val="0"/>
                <w:i w:val="0"/>
                <w:sz w:val="18"/>
              </w:rPr>
              <w:t>0.643</w:t>
            </w:r>
          </w:p>
        </w:tc>
        <w:tc>
          <w:tcPr>
            <w:tcW w:type="dxa" w:w="1728"/>
          </w:tcPr>
          <w:p>
            <w:pPr>
              <w:pStyle w:val="MDPI42tablebody"/>
              <w:keepNext/>
              <w:spacing w:line="240" w:lineRule="auto" w:before="30" w:after="30"/>
              <w:jc w:val="center"/>
            </w:pPr>
          </w:p>
        </w:tc>
      </w:tr>
    </w:tbl>
    <w:p>
      <w:pPr>
        <w:pStyle w:val="MDPI43tablefooter"/>
        <w:spacing w:line="240" w:lineRule="auto" w:before="40" w:after="200"/>
        <w:ind w:left="2608" w:firstLine="0"/>
      </w:pPr>
      <w:r>
        <w:rPr>
          <w:sz w:val="16"/>
        </w:rPr>
        <w:t xml:space="preserve">Note: </w:t>
      </w:r>
      <w:r>
        <w:rPr>
          <w:b w:val="0"/>
          <w:i w:val="0"/>
          <w:sz w:val="16"/>
        </w:rPr>
        <w:t>Direct-method calibration with anchors at the 95th, 50th and 5th sample percentiles of each standardized score. ~ denotes negation. No consistency reaches the 0.90 threshold conventionally required of a necessary condition. Source: authors’ own calculations.</w:t>
      </w:r>
    </w:p>
    <w:p>
      <w:pPr>
        <w:pStyle w:val="MDPI31text"/>
      </w:pPr>
      <w:r>
        <w:rPr>
          <w:b w:val="0"/>
          <w:i w:val="0"/>
        </w:rPr>
        <w:t xml:space="preserve">Sufficiency is a different story, and it is the sharpest result in the paper. Of the 31 truth-table rows that clear the frequency threshold, only 4 pass both consistency screens, and they minimize to a single intermediate solution — identical to the parsimonious solution, so every condition in it is core </w:t>
      </w:r>
      <w:r>
        <w:t>[</w:t>
      </w:r>
      <w:r>
        <w:fldChar w:fldCharType="begin"/>
      </w:r>
      <w:r>
        <w:instrText xml:space="preserve"> REF _Ref_30 \h </w:instrText>
      </w:r>
      <w:r>
        <w:fldChar w:fldCharType="separate"/>
      </w:r>
      <w:r>
        <w:t>30</w:t>
      </w:r>
      <w:r>
        <w:fldChar w:fldCharType="end"/>
      </w:r>
      <w:r>
        <w:t>]</w:t>
      </w:r>
      <w:r>
        <w:rPr>
          <w:b w:val="0"/>
          <w:i w:val="0"/>
        </w:rPr>
        <w:t xml:space="preserve">: the conjunction of anxiety, literacy and support (Table 14), with consistency 0.892 and coverage 0.406. Figure 3b plots each respondent’s membership in this recipe against membership in high adaptation; the lower-right triangle, where recipe members fail to adapt, is nearly empty, which is what sufficiency looks like case by case. The near-misses are as informative as the solution: anxiety-with-literacy-but-without-support configurations reach raw consistencies near 0.91 yet fail the proportional-reduction screen, and the highest-consistency row for the negation of adaptation (raw consistency 0.893) fails the proportional-reduction screen (PRI 0.602 &lt; 0.70), so no configuration is reliably sufficient for failing to adapt. H7b is therefore not supported, and its failure is the finding: the system offers one road to adaptation, not many. Anxiety appears in the recipe — the signal is an ingredient of correction — but it never suffices without the actuator and the environment, which is the conjunction the control-loop reading predicted </w:t>
      </w:r>
      <w:r>
        <w:t>[</w:t>
      </w:r>
      <w:r>
        <w:fldChar w:fldCharType="begin"/>
      </w:r>
      <w:r>
        <w:instrText xml:space="preserve"> REF _Ref_24 \h </w:instrText>
      </w:r>
      <w:r>
        <w:fldChar w:fldCharType="separate"/>
      </w:r>
      <w:r>
        <w:t>24</w:t>
      </w:r>
      <w:r>
        <w:fldChar w:fldCharType="end"/>
      </w:r>
      <w:r>
        <w:t>,</w:t>
      </w:r>
      <w:r>
        <w:fldChar w:fldCharType="begin"/>
      </w:r>
      <w:r>
        <w:instrText xml:space="preserve"> REF _Ref_25 \h </w:instrText>
      </w:r>
      <w:r>
        <w:fldChar w:fldCharType="separate"/>
      </w:r>
      <w:r>
        <w:t>25</w:t>
      </w:r>
      <w:r>
        <w:fldChar w:fldCharType="end"/>
      </w:r>
      <w:r>
        <w:t>]</w:t>
      </w:r>
      <w:r>
        <w:rPr>
          <w:b w:val="0"/>
          <w:i w:val="0"/>
        </w:rPr>
        <w:t>.</w:t>
      </w:r>
    </w:p>
    <w:p>
      <w:pPr>
        <w:pStyle w:val="MDPI41tablecaption"/>
        <w:keepNext/>
        <w:spacing w:after="60"/>
      </w:pPr>
      <w:r>
        <w:rPr>
          <w:b/>
          <w:sz w:val="18"/>
        </w:rPr>
        <w:t xml:space="preserve">Table 14. </w:t>
      </w:r>
      <w:r>
        <w:rPr>
          <w:b w:val="0"/>
          <w:i w:val="0"/>
          <w:sz w:val="18"/>
        </w:rPr>
        <w:t>Sufficient configuration for high occupational adaptation.</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864"/>
        <w:gridCol w:w="675"/>
        <w:gridCol w:w="675"/>
        <w:gridCol w:w="675"/>
        <w:gridCol w:w="675"/>
        <w:gridCol w:w="675"/>
        <w:gridCol w:w="1335"/>
        <w:gridCol w:w="864"/>
        <w:gridCol w:w="1414"/>
      </w:tblGrid>
      <w:tr>
        <w:trPr>
          <w:cantSplit/>
          <w:tblHeader/>
        </w:trPr>
        <w:tc>
          <w:tcPr>
            <w:tcW w:type="dxa" w:w="864"/>
            <w:tcBorders>
              <w:bottom w:val="single" w:sz="8" w:space="0" w:color="auto"/>
            </w:tcBorders>
          </w:tcPr>
          <w:p>
            <w:pPr>
              <w:pStyle w:val="MDPI42tablebody"/>
              <w:keepNext/>
              <w:spacing w:line="240" w:lineRule="auto" w:before="30" w:after="30"/>
              <w:jc w:val="center"/>
            </w:pPr>
          </w:p>
        </w:tc>
        <w:tc>
          <w:tcPr>
            <w:tcW w:type="dxa" w:w="675"/>
            <w:tcBorders>
              <w:bottom w:val="single" w:sz="8" w:space="0" w:color="auto"/>
            </w:tcBorders>
          </w:tcPr>
          <w:p>
            <w:pPr>
              <w:pStyle w:val="MDPI42tablebody"/>
              <w:keepNext/>
              <w:spacing w:line="240" w:lineRule="auto" w:before="30" w:after="30"/>
              <w:jc w:val="center"/>
            </w:pPr>
            <w:r>
              <w:rPr>
                <w:b/>
                <w:i w:val="0"/>
                <w:sz w:val="16"/>
              </w:rPr>
              <w:t>PHCD</w:t>
            </w:r>
          </w:p>
        </w:tc>
        <w:tc>
          <w:tcPr>
            <w:tcW w:type="dxa" w:w="675"/>
            <w:tcBorders>
              <w:bottom w:val="single" w:sz="8" w:space="0" w:color="auto"/>
            </w:tcBorders>
          </w:tcPr>
          <w:p>
            <w:pPr>
              <w:pStyle w:val="MDPI42tablebody"/>
              <w:keepNext/>
              <w:spacing w:line="240" w:lineRule="auto" w:before="30" w:after="30"/>
              <w:jc w:val="center"/>
            </w:pPr>
            <w:r>
              <w:rPr>
                <w:b/>
                <w:i w:val="0"/>
                <w:sz w:val="16"/>
              </w:rPr>
              <w:t>ANX</w:t>
            </w:r>
          </w:p>
        </w:tc>
        <w:tc>
          <w:tcPr>
            <w:tcW w:type="dxa" w:w="675"/>
            <w:tcBorders>
              <w:bottom w:val="single" w:sz="8" w:space="0" w:color="auto"/>
            </w:tcBorders>
          </w:tcPr>
          <w:p>
            <w:pPr>
              <w:pStyle w:val="MDPI42tablebody"/>
              <w:keepNext/>
              <w:spacing w:line="240" w:lineRule="auto" w:before="30" w:after="30"/>
              <w:jc w:val="center"/>
            </w:pPr>
            <w:r>
              <w:rPr>
                <w:b/>
                <w:i w:val="0"/>
                <w:sz w:val="16"/>
              </w:rPr>
              <w:t>LIT</w:t>
            </w:r>
          </w:p>
        </w:tc>
        <w:tc>
          <w:tcPr>
            <w:tcW w:type="dxa" w:w="675"/>
            <w:tcBorders>
              <w:bottom w:val="single" w:sz="8" w:space="0" w:color="auto"/>
            </w:tcBorders>
          </w:tcPr>
          <w:p>
            <w:pPr>
              <w:pStyle w:val="MDPI42tablebody"/>
              <w:keepNext/>
              <w:spacing w:line="240" w:lineRule="auto" w:before="30" w:after="30"/>
              <w:jc w:val="center"/>
            </w:pPr>
            <w:r>
              <w:rPr>
                <w:b/>
                <w:i w:val="0"/>
                <w:sz w:val="16"/>
              </w:rPr>
              <w:t>SUP</w:t>
            </w:r>
          </w:p>
        </w:tc>
        <w:tc>
          <w:tcPr>
            <w:tcW w:type="dxa" w:w="675"/>
            <w:tcBorders>
              <w:bottom w:val="single" w:sz="8" w:space="0" w:color="auto"/>
            </w:tcBorders>
          </w:tcPr>
          <w:p>
            <w:pPr>
              <w:pStyle w:val="MDPI42tablebody"/>
              <w:keepNext/>
              <w:spacing w:line="240" w:lineRule="auto" w:before="30" w:after="30"/>
              <w:jc w:val="center"/>
            </w:pPr>
            <w:r>
              <w:rPr>
                <w:b/>
                <w:i w:val="0"/>
                <w:sz w:val="16"/>
              </w:rPr>
              <w:t>EXPO</w:t>
            </w:r>
          </w:p>
        </w:tc>
        <w:tc>
          <w:tcPr>
            <w:tcW w:type="dxa" w:w="1335"/>
            <w:tcBorders>
              <w:bottom w:val="single" w:sz="8" w:space="0" w:color="auto"/>
            </w:tcBorders>
          </w:tcPr>
          <w:p>
            <w:pPr>
              <w:pStyle w:val="MDPI42tablebody"/>
              <w:keepNext/>
              <w:spacing w:line="240" w:lineRule="auto" w:before="30" w:after="30"/>
              <w:jc w:val="center"/>
            </w:pPr>
            <w:r>
              <w:rPr>
                <w:b/>
                <w:i w:val="0"/>
                <w:sz w:val="16"/>
              </w:rPr>
              <w:t>Consistency</w:t>
            </w:r>
          </w:p>
        </w:tc>
        <w:tc>
          <w:tcPr>
            <w:tcW w:type="dxa" w:w="864"/>
            <w:tcBorders>
              <w:bottom w:val="single" w:sz="8" w:space="0" w:color="auto"/>
            </w:tcBorders>
          </w:tcPr>
          <w:p>
            <w:pPr>
              <w:pStyle w:val="MDPI42tablebody"/>
              <w:keepNext/>
              <w:spacing w:line="240" w:lineRule="auto" w:before="30" w:after="30"/>
              <w:jc w:val="center"/>
            </w:pPr>
            <w:r>
              <w:rPr>
                <w:b/>
                <w:i w:val="0"/>
                <w:sz w:val="16"/>
              </w:rPr>
              <w:t>Raw cov.</w:t>
            </w:r>
          </w:p>
        </w:tc>
        <w:tc>
          <w:tcPr>
            <w:tcW w:type="dxa" w:w="1414"/>
            <w:tcBorders>
              <w:bottom w:val="single" w:sz="8" w:space="0" w:color="auto"/>
            </w:tcBorders>
          </w:tcPr>
          <w:p>
            <w:pPr>
              <w:pStyle w:val="MDPI42tablebody"/>
              <w:keepNext/>
              <w:spacing w:line="240" w:lineRule="auto" w:before="30" w:after="30"/>
              <w:jc w:val="center"/>
            </w:pPr>
            <w:r>
              <w:rPr>
                <w:b/>
                <w:i w:val="0"/>
                <w:sz w:val="16"/>
              </w:rPr>
              <w:t>Unique cov.</w:t>
            </w:r>
          </w:p>
        </w:tc>
      </w:tr>
      <w:tr>
        <w:trPr>
          <w:cantSplit/>
        </w:trPr>
        <w:tc>
          <w:tcPr>
            <w:tcW w:type="dxa" w:w="864"/>
          </w:tcPr>
          <w:p>
            <w:pPr>
              <w:pStyle w:val="MDPI42tablebody"/>
              <w:keepNext/>
              <w:spacing w:line="240" w:lineRule="auto" w:before="30" w:after="30"/>
              <w:jc w:val="left"/>
            </w:pPr>
            <w:r>
              <w:rPr>
                <w:b w:val="0"/>
                <w:i w:val="0"/>
                <w:sz w:val="16"/>
              </w:rPr>
              <w:t>C1</w:t>
            </w:r>
          </w:p>
        </w:tc>
        <w:tc>
          <w:tcPr>
            <w:tcW w:type="dxa" w:w="675"/>
          </w:tcPr>
          <w:p>
            <w:pPr>
              <w:pStyle w:val="MDPI42tablebody"/>
              <w:keepNext/>
              <w:spacing w:line="240" w:lineRule="auto" w:before="30" w:after="30"/>
              <w:jc w:val="center"/>
            </w:pPr>
          </w:p>
        </w:tc>
        <w:tc>
          <w:tcPr>
            <w:tcW w:type="dxa" w:w="675"/>
          </w:tcPr>
          <w:p>
            <w:pPr>
              <w:pStyle w:val="MDPI42tablebody"/>
              <w:keepNext/>
              <w:spacing w:line="240" w:lineRule="auto" w:before="30" w:after="30"/>
              <w:jc w:val="center"/>
            </w:pPr>
            <w:r>
              <w:rPr>
                <w:b w:val="0"/>
                <w:i w:val="0"/>
                <w:sz w:val="16"/>
              </w:rPr>
              <w:t>●</w:t>
            </w:r>
          </w:p>
        </w:tc>
        <w:tc>
          <w:tcPr>
            <w:tcW w:type="dxa" w:w="675"/>
          </w:tcPr>
          <w:p>
            <w:pPr>
              <w:pStyle w:val="MDPI42tablebody"/>
              <w:keepNext/>
              <w:spacing w:line="240" w:lineRule="auto" w:before="30" w:after="30"/>
              <w:jc w:val="center"/>
            </w:pPr>
            <w:r>
              <w:rPr>
                <w:b w:val="0"/>
                <w:i w:val="0"/>
                <w:sz w:val="16"/>
              </w:rPr>
              <w:t>●</w:t>
            </w:r>
          </w:p>
        </w:tc>
        <w:tc>
          <w:tcPr>
            <w:tcW w:type="dxa" w:w="675"/>
          </w:tcPr>
          <w:p>
            <w:pPr>
              <w:pStyle w:val="MDPI42tablebody"/>
              <w:keepNext/>
              <w:spacing w:line="240" w:lineRule="auto" w:before="30" w:after="30"/>
              <w:jc w:val="center"/>
            </w:pPr>
            <w:r>
              <w:rPr>
                <w:b w:val="0"/>
                <w:i w:val="0"/>
                <w:sz w:val="16"/>
              </w:rPr>
              <w:t>●</w:t>
            </w:r>
          </w:p>
        </w:tc>
        <w:tc>
          <w:tcPr>
            <w:tcW w:type="dxa" w:w="67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r>
              <w:rPr>
                <w:b w:val="0"/>
                <w:i w:val="0"/>
                <w:sz w:val="16"/>
              </w:rPr>
              <w:t>0.892</w:t>
            </w:r>
          </w:p>
        </w:tc>
        <w:tc>
          <w:tcPr>
            <w:tcW w:type="dxa" w:w="864"/>
          </w:tcPr>
          <w:p>
            <w:pPr>
              <w:pStyle w:val="MDPI42tablebody"/>
              <w:keepNext/>
              <w:spacing w:line="240" w:lineRule="auto" w:before="30" w:after="30"/>
              <w:jc w:val="center"/>
            </w:pPr>
            <w:r>
              <w:rPr>
                <w:b w:val="0"/>
                <w:i w:val="0"/>
                <w:sz w:val="16"/>
              </w:rPr>
              <w:t>0.406</w:t>
            </w:r>
          </w:p>
        </w:tc>
        <w:tc>
          <w:tcPr>
            <w:tcW w:type="dxa" w:w="1414"/>
          </w:tcPr>
          <w:p>
            <w:pPr>
              <w:pStyle w:val="MDPI42tablebody"/>
              <w:keepNext/>
              <w:spacing w:line="240" w:lineRule="auto" w:before="30" w:after="30"/>
              <w:jc w:val="center"/>
            </w:pPr>
            <w:r>
              <w:rPr>
                <w:b w:val="0"/>
                <w:i w:val="0"/>
                <w:sz w:val="16"/>
              </w:rPr>
              <w:t>0.406</w:t>
            </w:r>
          </w:p>
        </w:tc>
      </w:tr>
      <w:tr>
        <w:trPr>
          <w:cantSplit/>
        </w:trPr>
        <w:tc>
          <w:tcPr>
            <w:tcW w:type="dxa" w:w="864"/>
          </w:tcPr>
          <w:p>
            <w:pPr>
              <w:pStyle w:val="MDPI42tablebody"/>
              <w:keepNext/>
              <w:spacing w:line="240" w:lineRule="auto" w:before="30" w:after="30"/>
              <w:jc w:val="left"/>
            </w:pPr>
            <w:r>
              <w:rPr>
                <w:b w:val="0"/>
                <w:i w:val="0"/>
                <w:sz w:val="16"/>
              </w:rPr>
              <w:t>Solution</w:t>
            </w:r>
          </w:p>
        </w:tc>
        <w:tc>
          <w:tcPr>
            <w:tcW w:type="dxa" w:w="675"/>
          </w:tcPr>
          <w:p>
            <w:pPr>
              <w:pStyle w:val="MDPI42tablebody"/>
              <w:keepNext/>
              <w:spacing w:line="240" w:lineRule="auto" w:before="30" w:after="30"/>
              <w:jc w:val="center"/>
            </w:pPr>
          </w:p>
        </w:tc>
        <w:tc>
          <w:tcPr>
            <w:tcW w:type="dxa" w:w="675"/>
          </w:tcPr>
          <w:p>
            <w:pPr>
              <w:pStyle w:val="MDPI42tablebody"/>
              <w:keepNext/>
              <w:spacing w:line="240" w:lineRule="auto" w:before="30" w:after="30"/>
              <w:jc w:val="center"/>
            </w:pPr>
          </w:p>
        </w:tc>
        <w:tc>
          <w:tcPr>
            <w:tcW w:type="dxa" w:w="675"/>
          </w:tcPr>
          <w:p>
            <w:pPr>
              <w:pStyle w:val="MDPI42tablebody"/>
              <w:keepNext/>
              <w:spacing w:line="240" w:lineRule="auto" w:before="30" w:after="30"/>
              <w:jc w:val="center"/>
            </w:pPr>
          </w:p>
        </w:tc>
        <w:tc>
          <w:tcPr>
            <w:tcW w:type="dxa" w:w="675"/>
          </w:tcPr>
          <w:p>
            <w:pPr>
              <w:pStyle w:val="MDPI42tablebody"/>
              <w:keepNext/>
              <w:spacing w:line="240" w:lineRule="auto" w:before="30" w:after="30"/>
              <w:jc w:val="center"/>
            </w:pPr>
          </w:p>
        </w:tc>
        <w:tc>
          <w:tcPr>
            <w:tcW w:type="dxa" w:w="67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r>
              <w:rPr>
                <w:b w:val="0"/>
                <w:i w:val="0"/>
                <w:sz w:val="16"/>
              </w:rPr>
              <w:t>0.892</w:t>
            </w:r>
          </w:p>
        </w:tc>
        <w:tc>
          <w:tcPr>
            <w:tcW w:type="dxa" w:w="864"/>
          </w:tcPr>
          <w:p>
            <w:pPr>
              <w:pStyle w:val="MDPI42tablebody"/>
              <w:keepNext/>
              <w:spacing w:line="240" w:lineRule="auto" w:before="30" w:after="30"/>
              <w:jc w:val="center"/>
            </w:pPr>
            <w:r>
              <w:rPr>
                <w:b w:val="0"/>
                <w:i w:val="0"/>
                <w:sz w:val="16"/>
              </w:rPr>
              <w:t>0.406</w:t>
            </w:r>
          </w:p>
        </w:tc>
        <w:tc>
          <w:tcPr>
            <w:tcW w:type="dxa" w:w="1414"/>
          </w:tcPr>
          <w:p>
            <w:pPr>
              <w:pStyle w:val="MDPI42tablebody"/>
              <w:keepNext/>
              <w:spacing w:line="240" w:lineRule="auto" w:before="30" w:after="30"/>
              <w:jc w:val="center"/>
            </w:pPr>
          </w:p>
        </w:tc>
      </w:tr>
    </w:tbl>
    <w:p>
      <w:pPr>
        <w:pStyle w:val="MDPI43tablefooter"/>
        <w:spacing w:line="240" w:lineRule="auto" w:before="40" w:after="200"/>
        <w:ind w:left="2608" w:firstLine="0"/>
      </w:pPr>
      <w:r>
        <w:rPr>
          <w:sz w:val="16"/>
        </w:rPr>
        <w:t xml:space="preserve">Note: </w:t>
      </w:r>
      <w:r>
        <w:rPr>
          <w:b w:val="0"/>
          <w:i w:val="0"/>
          <w:sz w:val="16"/>
        </w:rPr>
        <w:t>● indicates the presence of a condition and ⊗ its absence; a blank cell means the condition is irrelevant to the configuration. All marked conditions are core: the parsimonious and intermediate solutions coincide. Truth-table thresholds: frequency ≥ 10 cases, raw consistency ≥ 0.80, PRI ≥ 0.70. No configuration passes the same thresholds for the negation of adaptation. Source: authors’ own calculations.</w:t>
      </w:r>
    </w:p>
    <w:p>
      <w:pPr>
        <w:pStyle w:val="MDPI52figure"/>
        <w:keepNext/>
        <w:ind w:left="2608" w:firstLine="0"/>
        <w:jc w:val="center"/>
      </w:pPr>
      <w:r>
        <w:drawing>
          <wp:inline xmlns:a="http://schemas.openxmlformats.org/drawingml/2006/main" xmlns:pic="http://schemas.openxmlformats.org/drawingml/2006/picture">
            <wp:extent cx="4752000" cy="2303750"/>
            <wp:docPr id="3" name="Picture 3"/>
            <wp:cNvGraphicFramePr>
              <a:graphicFrameLocks noChangeAspect="1"/>
            </wp:cNvGraphicFramePr>
            <a:graphic>
              <a:graphicData uri="http://schemas.openxmlformats.org/drawingml/2006/picture">
                <pic:pic>
                  <pic:nvPicPr>
                    <pic:cNvPr id="0" name="figure3_generality.png"/>
                    <pic:cNvPicPr/>
                  </pic:nvPicPr>
                  <pic:blipFill>
                    <a:blip r:embed="rId19"/>
                    <a:stretch>
                      <a:fillRect/>
                    </a:stretch>
                  </pic:blipFill>
                  <pic:spPr>
                    <a:xfrm>
                      <a:off x="0" y="0"/>
                      <a:ext cx="4752000" cy="2303750"/>
                    </a:xfrm>
                    <a:prstGeom prst="rect"/>
                  </pic:spPr>
                </pic:pic>
              </a:graphicData>
            </a:graphic>
          </wp:inline>
        </w:drawing>
      </w:r>
    </w:p>
    <w:p>
      <w:pPr>
        <w:pStyle w:val="MDPI51figurecaption"/>
        <w:spacing w:after="200"/>
      </w:pPr>
      <w:r>
        <w:rPr>
          <w:b/>
          <w:sz w:val="18"/>
        </w:rPr>
        <w:t xml:space="preserve">Figure 3. </w:t>
      </w:r>
      <w:r>
        <w:rPr>
          <w:b w:val="0"/>
          <w:i w:val="0"/>
          <w:sz w:val="18"/>
        </w:rPr>
        <w:t>Generality and sufficiency: (a) the marginal effect of anxiety on adaptation by subsample; (b) case-level sufficiency of the single configuration.</w:t>
      </w:r>
    </w:p>
    <w:p>
      <w:pPr>
        <w:pStyle w:val="MDPI21heading1"/>
      </w:pPr>
      <w:r>
        <w:t>5. Discussion</w:t>
      </w:r>
    </w:p>
    <w:p>
      <w:pPr>
        <w:pStyle w:val="MDPI22heading2"/>
      </w:pPr>
      <w:r>
        <w:t>5.1. Theoretical Implications</w:t>
      </w:r>
    </w:p>
    <w:p>
      <w:pPr>
        <w:pStyle w:val="MDPI32textnoindent"/>
      </w:pPr>
      <w:r>
        <w:rPr>
          <w:b w:val="0"/>
          <w:i w:val="0"/>
        </w:rPr>
        <w:t xml:space="preserve">The first implication concerns how the literature on artificial intelligence and work should model the displaced margin. Adjustment models typically assume that displacement pressure translates smoothly into retraining uptake </w:t>
      </w:r>
      <w:r>
        <w:t>[</w:t>
      </w:r>
      <w:r>
        <w:fldChar w:fldCharType="begin"/>
      </w:r>
      <w:r>
        <w:instrText xml:space="preserve"> REF _Ref_13 \h </w:instrText>
      </w:r>
      <w:r>
        <w:fldChar w:fldCharType="separate"/>
      </w:r>
      <w:r>
        <w:t>13</w:t>
      </w:r>
      <w:r>
        <w:fldChar w:fldCharType="end"/>
      </w:r>
      <w:r>
        <w:t>,</w:t>
      </w:r>
      <w:r>
        <w:fldChar w:fldCharType="begin"/>
      </w:r>
      <w:r>
        <w:instrText xml:space="preserve"> REF _Ref_14 \h </w:instrText>
      </w:r>
      <w:r>
        <w:fldChar w:fldCharType="separate"/>
      </w:r>
      <w:r>
        <w:t>14</w:t>
      </w:r>
      <w:r>
        <w:fldChar w:fldCharType="end"/>
      </w:r>
      <w:r>
        <w:t>]</w:t>
      </w:r>
      <w:r>
        <w:rPr>
          <w:b w:val="0"/>
          <w:i w:val="0"/>
        </w:rPr>
        <w:t xml:space="preserve">. The present estimates say the translation is nonmonotonic at the individual level: pressure mobilizes up to a point that forty percent of the entry cohort has already passed, and demobilizes beyond it. Aggregate retraining elasticities estimated on calm populations will overpredict the adjustment of anxious ones, and the error grows with exactly the exposure that makes adjustment urgent </w:t>
      </w:r>
      <w:r>
        <w:t>[</w:t>
      </w:r>
      <w:r>
        <w:fldChar w:fldCharType="begin"/>
      </w:r>
      <w:r>
        <w:instrText xml:space="preserve"> REF _Ref_1 \h </w:instrText>
      </w:r>
      <w:r>
        <w:fldChar w:fldCharType="separate"/>
      </w:r>
      <w:r>
        <w:t>1</w:t>
      </w:r>
      <w:r>
        <w:fldChar w:fldCharType="end"/>
      </w:r>
      <w:r>
        <w:t>,</w:t>
      </w:r>
      <w:r>
        <w:fldChar w:fldCharType="begin"/>
      </w:r>
      <w:r>
        <w:instrText xml:space="preserve"> REF _Ref_4 \h </w:instrText>
      </w:r>
      <w:r>
        <w:fldChar w:fldCharType="separate"/>
      </w:r>
      <w:r>
        <w:t>4</w:t>
      </w:r>
      <w:r>
        <w:fldChar w:fldCharType="end"/>
      </w:r>
      <w:r>
        <w:t>]</w:t>
      </w:r>
      <w:r>
        <w:rPr>
          <w:b w:val="0"/>
          <w:i w:val="0"/>
        </w:rPr>
        <w:t xml:space="preserve">. Early-career scarring research </w:t>
      </w:r>
      <w:r>
        <w:t>[</w:t>
      </w:r>
      <w:r>
        <w:fldChar w:fldCharType="begin"/>
      </w:r>
      <w:r>
        <w:instrText xml:space="preserve"> REF _Ref_15 \h </w:instrText>
      </w:r>
      <w:r>
        <w:fldChar w:fldCharType="separate"/>
      </w:r>
      <w:r>
        <w:t>15</w:t>
      </w:r>
      <w:r>
        <w:fldChar w:fldCharType="end"/>
      </w:r>
      <w:r>
        <w:t>,</w:t>
      </w:r>
      <w:r>
        <w:fldChar w:fldCharType="begin"/>
      </w:r>
      <w:r>
        <w:instrText xml:space="preserve"> REF _Ref_18 \h </w:instrText>
      </w:r>
      <w:r>
        <w:fldChar w:fldCharType="separate"/>
      </w:r>
      <w:r>
        <w:t>18</w:t>
      </w:r>
      <w:r>
        <w:fldChar w:fldCharType="end"/>
      </w:r>
      <w:r>
        <w:t>]</w:t>
      </w:r>
      <w:r>
        <w:rPr>
          <w:b w:val="0"/>
          <w:i w:val="0"/>
        </w:rPr>
        <w:t xml:space="preserve"> gains a psychological microfoundation: part of what converts a bad entry draw into a persistent disadvantage may be the saturation of the very signal that should drive recovery.</w:t>
      </w:r>
    </w:p>
    <w:p>
      <w:pPr>
        <w:pStyle w:val="MDPI31text"/>
      </w:pPr>
      <w:r>
        <w:rPr>
          <w:b w:val="0"/>
          <w:i w:val="0"/>
        </w:rPr>
        <w:t xml:space="preserve">The second implication is for the artificial-intelligence anxiety literature, which has largely treated anxiety as an outcome to be predicted or a hazard to be reduced </w:t>
      </w:r>
      <w:r>
        <w:t>[</w:t>
      </w:r>
      <w:r>
        <w:fldChar w:fldCharType="begin"/>
      </w:r>
      <w:r>
        <w:instrText xml:space="preserve"> REF _Ref_19 \h </w:instrText>
      </w:r>
      <w:r>
        <w:fldChar w:fldCharType="separate"/>
      </w:r>
      <w:r>
        <w:t>19</w:t>
      </w:r>
      <w:r>
        <w:fldChar w:fldCharType="end"/>
      </w:r>
      <w:r>
        <w:t>,</w:t>
      </w:r>
      <w:r>
        <w:fldChar w:fldCharType="begin"/>
      </w:r>
      <w:r>
        <w:instrText xml:space="preserve"> REF _Ref_20 \h </w:instrText>
      </w:r>
      <w:r>
        <w:fldChar w:fldCharType="separate"/>
      </w:r>
      <w:r>
        <w:t>20</w:t>
      </w:r>
      <w:r>
        <w:fldChar w:fldCharType="end"/>
      </w:r>
      <w:r>
        <w:t>,</w:t>
      </w:r>
      <w:r>
        <w:fldChar w:fldCharType="begin"/>
      </w:r>
      <w:r>
        <w:instrText xml:space="preserve"> REF _Ref_34 \h </w:instrText>
      </w:r>
      <w:r>
        <w:fldChar w:fldCharType="separate"/>
      </w:r>
      <w:r>
        <w:t>34</w:t>
      </w:r>
      <w:r>
        <w:fldChar w:fldCharType="end"/>
      </w:r>
      <w:r>
        <w:t>]</w:t>
      </w:r>
      <w:r>
        <w:rPr>
          <w:b w:val="0"/>
          <w:i w:val="0"/>
        </w:rPr>
        <w:t xml:space="preserve">. Treating it instead as the error signal of a cybernetic loop </w:t>
      </w:r>
      <w:r>
        <w:t>[</w:t>
      </w:r>
      <w:r>
        <w:fldChar w:fldCharType="begin"/>
      </w:r>
      <w:r>
        <w:instrText xml:space="preserve"> REF _Ref_24 \h </w:instrText>
      </w:r>
      <w:r>
        <w:fldChar w:fldCharType="separate"/>
      </w:r>
      <w:r>
        <w:t>24</w:t>
      </w:r>
      <w:r>
        <w:fldChar w:fldCharType="end"/>
      </w:r>
      <w:r>
        <w:t>,</w:t>
      </w:r>
      <w:r>
        <w:fldChar w:fldCharType="begin"/>
      </w:r>
      <w:r>
        <w:instrText xml:space="preserve"> REF _Ref_42 \h </w:instrText>
      </w:r>
      <w:r>
        <w:fldChar w:fldCharType="separate"/>
      </w:r>
      <w:r>
        <w:t>42</w:t>
      </w:r>
      <w:r>
        <w:fldChar w:fldCharType="end"/>
      </w:r>
      <w:r>
        <w:t>]</w:t>
      </w:r>
      <w:r>
        <w:rPr>
          <w:b w:val="0"/>
          <w:i w:val="0"/>
        </w:rPr>
        <w:t xml:space="preserve"> yields predictions that a valence-only reading does not: the interior optimum (H2), the actuator-dependence of the optimum’s location (H5a), and the conjunctural sufficiency (H7). All three survived their tests. The point is not that anxiety is good or bad but that it is informative, and that the information is wasted — or turned destructive — by a system that supplies no means of acting on it. This reframing connects the psychology of technological threat to Ashby’s requisite variety </w:t>
      </w:r>
      <w:r>
        <w:t>[</w:t>
      </w:r>
      <w:r>
        <w:fldChar w:fldCharType="begin"/>
      </w:r>
      <w:r>
        <w:instrText xml:space="preserve"> REF _Ref_25 \h </w:instrText>
      </w:r>
      <w:r>
        <w:fldChar w:fldCharType="separate"/>
      </w:r>
      <w:r>
        <w:t>25</w:t>
      </w:r>
      <w:r>
        <w:fldChar w:fldCharType="end"/>
      </w:r>
      <w:r>
        <w:t>]</w:t>
      </w:r>
      <w:r>
        <w:rPr>
          <w:b w:val="0"/>
          <w:i w:val="0"/>
        </w:rPr>
        <w:t xml:space="preserve"> and to the capability literatures in organizational learning </w:t>
      </w:r>
      <w:r>
        <w:t>[</w:t>
      </w:r>
      <w:r>
        <w:fldChar w:fldCharType="begin"/>
      </w:r>
      <w:r>
        <w:instrText xml:space="preserve"> REF _Ref_92 \h </w:instrText>
      </w:r>
      <w:r>
        <w:fldChar w:fldCharType="separate"/>
      </w:r>
      <w:r>
        <w:t>92</w:t>
      </w:r>
      <w:r>
        <w:fldChar w:fldCharType="end"/>
      </w:r>
      <w:r>
        <w:t>–</w:t>
      </w:r>
      <w:r>
        <w:fldChar w:fldCharType="begin"/>
      </w:r>
      <w:r>
        <w:instrText xml:space="preserve"> REF _Ref_94 \h </w:instrText>
      </w:r>
      <w:r>
        <w:fldChar w:fldCharType="separate"/>
      </w:r>
      <w:r>
        <w:t>94</w:t>
      </w:r>
      <w:r>
        <w:fldChar w:fldCharType="end"/>
      </w:r>
      <w:r>
        <w:t>]</w:t>
      </w:r>
      <w:r>
        <w:rPr>
          <w:b w:val="0"/>
          <w:i w:val="0"/>
        </w:rPr>
        <w:t>, which have long held that signals without absorption capacity produce noise, not learning.</w:t>
      </w:r>
    </w:p>
    <w:p>
      <w:pPr>
        <w:pStyle w:val="MDPI31text"/>
      </w:pPr>
      <w:r>
        <w:rPr>
          <w:b w:val="0"/>
          <w:i w:val="0"/>
        </w:rPr>
        <w:t xml:space="preserve">The third implication is methodological. The configurational result — one recipe, all conditions core, no recipe for the negation — is unusual in applied fuzzy-set work, where multiple configurations are the norm and are routinely read as equifinality </w:t>
      </w:r>
      <w:r>
        <w:t>[</w:t>
      </w:r>
      <w:r>
        <w:fldChar w:fldCharType="begin"/>
      </w:r>
      <w:r>
        <w:instrText xml:space="preserve"> REF _Ref_30 \h </w:instrText>
      </w:r>
      <w:r>
        <w:fldChar w:fldCharType="separate"/>
      </w:r>
      <w:r>
        <w:t>30</w:t>
      </w:r>
      <w:r>
        <w:fldChar w:fldCharType="end"/>
      </w:r>
      <w:r>
        <w:t>,</w:t>
      </w:r>
      <w:r>
        <w:fldChar w:fldCharType="begin"/>
      </w:r>
      <w:r>
        <w:instrText xml:space="preserve"> REF _Ref_31 \h </w:instrText>
      </w:r>
      <w:r>
        <w:fldChar w:fldCharType="separate"/>
      </w:r>
      <w:r>
        <w:t>31</w:t>
      </w:r>
      <w:r>
        <w:fldChar w:fldCharType="end"/>
      </w:r>
      <w:r>
        <w:t>]</w:t>
      </w:r>
      <w:r>
        <w:rPr>
          <w:b w:val="0"/>
          <w:i w:val="0"/>
        </w:rPr>
        <w:t xml:space="preserve">. The paper shows that a tight theoretical loop can predict, and data can deliver, the opposite: conjunctural necessity of complements around a single path. Reporting the failure of equifinality as a finding, rather than forcing a multi-recipe reading, is the more faithful use of the method </w:t>
      </w:r>
      <w:r>
        <w:t>[</w:t>
      </w:r>
      <w:r>
        <w:fldChar w:fldCharType="begin"/>
      </w:r>
      <w:r>
        <w:instrText xml:space="preserve"> REF _Ref_32 \h </w:instrText>
      </w:r>
      <w:r>
        <w:fldChar w:fldCharType="separate"/>
      </w:r>
      <w:r>
        <w:t>32</w:t>
      </w:r>
      <w:r>
        <w:fldChar w:fldCharType="end"/>
      </w:r>
      <w:r>
        <w:t>,</w:t>
      </w:r>
      <w:r>
        <w:fldChar w:fldCharType="begin"/>
      </w:r>
      <w:r>
        <w:instrText xml:space="preserve"> REF _Ref_78 \h </w:instrText>
      </w:r>
      <w:r>
        <w:fldChar w:fldCharType="separate"/>
      </w:r>
      <w:r>
        <w:t>78</w:t>
      </w:r>
      <w:r>
        <w:fldChar w:fldCharType="end"/>
      </w:r>
      <w:r>
        <w:t>]</w:t>
      </w:r>
      <w:r>
        <w:rPr>
          <w:b w:val="0"/>
          <w:i w:val="0"/>
        </w:rPr>
        <w:t>.</w:t>
      </w:r>
    </w:p>
    <w:p>
      <w:pPr>
        <w:pStyle w:val="MDPI22heading2"/>
      </w:pPr>
      <w:r>
        <w:t>5.2. Practical Implications</w:t>
      </w:r>
    </w:p>
    <w:p>
      <w:pPr>
        <w:pStyle w:val="MDPI32textnoindent"/>
      </w:pPr>
      <w:r>
        <w:rPr>
          <w:b w:val="0"/>
          <w:i w:val="0"/>
        </w:rPr>
        <w:t xml:space="preserve">For universities, the estimates relocate the lever. Career services that concentrate on reassurance address the sensor; the binding constraints are the actuator and the environment. The literacy moderation implies that embedding generative-AI practice into every curriculum — not as ethics seminars but as supervised, verifiable use in domain work </w:t>
      </w:r>
      <w:r>
        <w:t>[</w:t>
      </w:r>
      <w:r>
        <w:fldChar w:fldCharType="begin"/>
      </w:r>
      <w:r>
        <w:instrText xml:space="preserve"> REF _Ref_7 \h </w:instrText>
      </w:r>
      <w:r>
        <w:fldChar w:fldCharType="separate"/>
      </w:r>
      <w:r>
        <w:t>7</w:t>
      </w:r>
      <w:r>
        <w:fldChar w:fldCharType="end"/>
      </w:r>
      <w:r>
        <w:t>,</w:t>
      </w:r>
      <w:r>
        <w:fldChar w:fldCharType="begin"/>
      </w:r>
      <w:r>
        <w:instrText xml:space="preserve"> REF _Ref_62 \h </w:instrText>
      </w:r>
      <w:r>
        <w:fldChar w:fldCharType="separate"/>
      </w:r>
      <w:r>
        <w:t>62</w:t>
      </w:r>
      <w:r>
        <w:fldChar w:fldCharType="end"/>
      </w:r>
      <w:r>
        <w:t>]</w:t>
      </w:r>
      <w:r>
        <w:rPr>
          <w:b w:val="0"/>
          <w:i w:val="0"/>
        </w:rPr>
        <w:t xml:space="preserve"> — buys a double dividend: it raises adaptation directly and it extends the anxiety range over which graduates keep adapting rather than freezing. The support buffering implies that visible, credible transition infrastructure — placement guarantees, employer-linked reskilling pathways, alumni networks that answer — lowers the anxiety produced by any given level of objective threat, which matters most for the two-fifths of graduates already past the turning point.</w:t>
      </w:r>
    </w:p>
    <w:p>
      <w:pPr>
        <w:pStyle w:val="MDPI31text"/>
      </w:pPr>
      <w:r>
        <w:rPr>
          <w:b w:val="0"/>
          <w:i w:val="0"/>
        </w:rPr>
        <w:t xml:space="preserve">For employers, the same logic applies to the junior pipeline they are currently thinning </w:t>
      </w:r>
      <w:r>
        <w:t>[</w:t>
      </w:r>
      <w:r>
        <w:fldChar w:fldCharType="begin"/>
      </w:r>
      <w:r>
        <w:instrText xml:space="preserve"> REF _Ref_4 \h </w:instrText>
      </w:r>
      <w:r>
        <w:fldChar w:fldCharType="separate"/>
      </w:r>
      <w:r>
        <w:t>4</w:t>
      </w:r>
      <w:r>
        <w:fldChar w:fldCharType="end"/>
      </w:r>
      <w:r>
        <w:t>,</w:t>
      </w:r>
      <w:r>
        <w:fldChar w:fldCharType="begin"/>
      </w:r>
      <w:r>
        <w:instrText xml:space="preserve"> REF _Ref_8 \h </w:instrText>
      </w:r>
      <w:r>
        <w:fldChar w:fldCharType="separate"/>
      </w:r>
      <w:r>
        <w:t>8</w:t>
      </w:r>
      <w:r>
        <w:fldChar w:fldCharType="end"/>
      </w:r>
      <w:r>
        <w:t>]</w:t>
      </w:r>
      <w:r>
        <w:rPr>
          <w:b w:val="0"/>
          <w:i w:val="0"/>
        </w:rPr>
        <w:t xml:space="preserve">. A firm that hires fewer entrants and tells the remainder to “upskill or else” is raising the error signal while shrinking the actuator set — the exact combination the estimates identify as producing avoidance, quiet disengagement and exit contemplation. The configurational result gives the design rule in one line: anxiety converts into adaptation only in the presence of literacy and support, so any communication of threat should arrive bundled with tool access, training time and a visible internal pathway </w:t>
      </w:r>
      <w:r>
        <w:t>[</w:t>
      </w:r>
      <w:r>
        <w:fldChar w:fldCharType="begin"/>
      </w:r>
      <w:r>
        <w:instrText xml:space="preserve"> REF _Ref_95 \h </w:instrText>
      </w:r>
      <w:r>
        <w:fldChar w:fldCharType="separate"/>
      </w:r>
      <w:r>
        <w:t>95</w:t>
      </w:r>
      <w:r>
        <w:fldChar w:fldCharType="end"/>
      </w:r>
      <w:r>
        <w:t>,</w:t>
      </w:r>
      <w:r>
        <w:fldChar w:fldCharType="begin"/>
      </w:r>
      <w:r>
        <w:instrText xml:space="preserve"> REF _Ref_96 \h </w:instrText>
      </w:r>
      <w:r>
        <w:fldChar w:fldCharType="separate"/>
      </w:r>
      <w:r>
        <w:t>96</w:t>
      </w:r>
      <w:r>
        <w:fldChar w:fldCharType="end"/>
      </w:r>
      <w:r>
        <w:t>]</w:t>
      </w:r>
      <w:r>
        <w:rPr>
          <w:b w:val="0"/>
          <w:i w:val="0"/>
        </w:rPr>
        <w:t xml:space="preserve">. For policymakers confronting record graduate cohorts </w:t>
      </w:r>
      <w:r>
        <w:t>[</w:t>
      </w:r>
      <w:r>
        <w:fldChar w:fldCharType="begin"/>
      </w:r>
      <w:r>
        <w:instrText xml:space="preserve"> REF _Ref_10 \h </w:instrText>
      </w:r>
      <w:r>
        <w:fldChar w:fldCharType="separate"/>
      </w:r>
      <w:r>
        <w:t>10</w:t>
      </w:r>
      <w:r>
        <w:fldChar w:fldCharType="end"/>
      </w:r>
      <w:r>
        <w:t>,</w:t>
      </w:r>
      <w:r>
        <w:fldChar w:fldCharType="begin"/>
      </w:r>
      <w:r>
        <w:instrText xml:space="preserve"> REF _Ref_45 \h </w:instrText>
      </w:r>
      <w:r>
        <w:fldChar w:fldCharType="separate"/>
      </w:r>
      <w:r>
        <w:t>45</w:t>
      </w:r>
      <w:r>
        <w:fldChar w:fldCharType="end"/>
      </w:r>
      <w:r>
        <w:t>,</w:t>
      </w:r>
      <w:r>
        <w:fldChar w:fldCharType="begin"/>
      </w:r>
      <w:r>
        <w:instrText xml:space="preserve"> REF _Ref_97 \h </w:instrText>
      </w:r>
      <w:r>
        <w:fldChar w:fldCharType="separate"/>
      </w:r>
      <w:r>
        <w:t>97</w:t>
      </w:r>
      <w:r>
        <w:fldChar w:fldCharType="end"/>
      </w:r>
      <w:r>
        <w:t>,</w:t>
      </w:r>
      <w:r>
        <w:fldChar w:fldCharType="begin"/>
      </w:r>
      <w:r>
        <w:instrText xml:space="preserve"> REF _Ref_98 \h </w:instrText>
      </w:r>
      <w:r>
        <w:fldChar w:fldCharType="separate"/>
      </w:r>
      <w:r>
        <w:t>98</w:t>
      </w:r>
      <w:r>
        <w:fldChar w:fldCharType="end"/>
      </w:r>
      <w:r>
        <w:t>]</w:t>
      </w:r>
      <w:r>
        <w:rPr>
          <w:b w:val="0"/>
          <w:i w:val="0"/>
        </w:rPr>
        <w:t>, the estimates argue for shifting marginal spending from awareness campaigns, which raise the signal, toward subsidized generative-AI credentialing and employer-linked placement, which complete the loop; and for targeting that spending on the high-anxiety segment, where the same yuan buys the largest swing from demobilization back to adaptation.</w:t>
      </w:r>
    </w:p>
    <w:p>
      <w:pPr>
        <w:pStyle w:val="MDPI22heading2"/>
      </w:pPr>
      <w:r>
        <w:t>5.3. A Systems Reading of the Whole</w:t>
      </w:r>
    </w:p>
    <w:p>
      <w:pPr>
        <w:pStyle w:val="MDPI32textnoindent"/>
      </w:pPr>
      <w:r>
        <w:rPr>
          <w:b w:val="0"/>
          <w:i w:val="0"/>
        </w:rPr>
        <w:t xml:space="preserve">Assembled, the estimates describe a socio-technical control system operating near its limit. The disturbance — task-level displacement of entry work — enters through a perception whose gain is set by support (Table 6). The error signal saturates: beyond one third of a standard deviation of anxiety, additional signal produces less correction (Table 8), and the share of the cohort past that point is large. Capability moves the saturation boundary outward but does not remove it (Figure 2a). The corrective channel and the escape channel run in parallel, and the escape channel never saturates (Figure 1b). Finally, the system is conjunctural: correction is produced by one specific combination of signal, capability and environment, and by nothing else (Table 14). None of these properties is visible to a linear, single-equation, single-condition analysis; each is the kind of emergent, feedback-borne behavior the systems tradition trained us to look for </w:t>
      </w:r>
      <w:r>
        <w:t>[</w:t>
      </w:r>
      <w:r>
        <w:fldChar w:fldCharType="begin"/>
      </w:r>
      <w:r>
        <w:instrText xml:space="preserve"> REF _Ref_40 \h </w:instrText>
      </w:r>
      <w:r>
        <w:fldChar w:fldCharType="separate"/>
      </w:r>
      <w:r>
        <w:t>40</w:t>
      </w:r>
      <w:r>
        <w:fldChar w:fldCharType="end"/>
      </w:r>
      <w:r>
        <w:t>,</w:t>
      </w:r>
      <w:r>
        <w:fldChar w:fldCharType="begin"/>
      </w:r>
      <w:r>
        <w:instrText xml:space="preserve"> REF _Ref_99 \h </w:instrText>
      </w:r>
      <w:r>
        <w:fldChar w:fldCharType="separate"/>
      </w:r>
      <w:r>
        <w:t>99</w:t>
      </w:r>
      <w:r>
        <w:fldChar w:fldCharType="end"/>
      </w:r>
      <w:r>
        <w:t>–</w:t>
      </w:r>
      <w:r>
        <w:fldChar w:fldCharType="begin"/>
      </w:r>
      <w:r>
        <w:instrText xml:space="preserve"> REF _Ref_101 \h </w:instrText>
      </w:r>
      <w:r>
        <w:fldChar w:fldCharType="separate"/>
      </w:r>
      <w:r>
        <w:t>101</w:t>
      </w:r>
      <w:r>
        <w:fldChar w:fldCharType="end"/>
      </w:r>
      <w:r>
        <w:t>]</w:t>
      </w:r>
      <w:r>
        <w:rPr>
          <w:b w:val="0"/>
          <w:i w:val="0"/>
        </w:rPr>
        <w:t xml:space="preserve">, and the cohort’s own reading of the moment is a live exercise in collective sensemaking under threat </w:t>
      </w:r>
      <w:r>
        <w:t>[</w:t>
      </w:r>
      <w:r>
        <w:fldChar w:fldCharType="begin"/>
      </w:r>
      <w:r>
        <w:instrText xml:space="preserve"> REF _Ref_102 \h </w:instrText>
      </w:r>
      <w:r>
        <w:fldChar w:fldCharType="separate"/>
      </w:r>
      <w:r>
        <w:t>102</w:t>
      </w:r>
      <w:r>
        <w:fldChar w:fldCharType="end"/>
      </w:r>
      <w:r>
        <w:t>]</w:t>
      </w:r>
      <w:r>
        <w:rPr>
          <w:b w:val="0"/>
          <w:i w:val="0"/>
        </w:rPr>
        <w:t>. The entry labor market of the generative-AI era is not a queue that clears; it is an adaptive system whose youngest agents are its most sensitive sensors, and whether their sensitivity ends as adjustment or as scarring depends on infrastructure the sensors do not control.</w:t>
      </w:r>
    </w:p>
    <w:p>
      <w:pPr>
        <w:pStyle w:val="MDPI21heading1"/>
      </w:pPr>
      <w:r>
        <w:t>6. Limitations and Future Research</w:t>
      </w:r>
    </w:p>
    <w:p>
      <w:pPr>
        <w:pStyle w:val="MDPI32textnoindent"/>
      </w:pPr>
      <w:r>
        <w:rPr>
          <w:b w:val="0"/>
          <w:i w:val="0"/>
        </w:rPr>
        <w:t xml:space="preserve">Five limitations bound the claims. First, although the outcomes are separated from their antecedents by six months and the attrition diagnostics are clean, the design remains observational; unmeasured traits such as dispositional neuroticism could raise both anxiety and behavioral reports, and only a design that manipulates the actuators — for instance, randomized literacy training layered on measured anxiety — can close that door. Second, all psychological constructs are self-reported; the behavioral hours measure and the marker and method-factor diagnostics bound the resulting bias but do not eliminate it </w:t>
      </w:r>
      <w:r>
        <w:t>[</w:t>
      </w:r>
      <w:r>
        <w:fldChar w:fldCharType="begin"/>
      </w:r>
      <w:r>
        <w:instrText xml:space="preserve"> REF _Ref_85 \h </w:instrText>
      </w:r>
      <w:r>
        <w:fldChar w:fldCharType="separate"/>
      </w:r>
      <w:r>
        <w:t>85</w:t>
      </w:r>
      <w:r>
        <w:fldChar w:fldCharType="end"/>
      </w:r>
      <w:r>
        <w:t>]</w:t>
      </w:r>
      <w:r>
        <w:rPr>
          <w:b w:val="0"/>
          <w:i w:val="0"/>
        </w:rPr>
        <w:t xml:space="preserve">. Third, the sample is Chinese graduates within three years of graduation, observed at one moment of one technological transition; the loop’s parameters — the location of the turning point above all — are surely context-dependent, and comparative replication across institutional regimes with different transition infrastructures </w:t>
      </w:r>
      <w:r>
        <w:t>[</w:t>
      </w:r>
      <w:r>
        <w:fldChar w:fldCharType="begin"/>
      </w:r>
      <w:r>
        <w:instrText xml:space="preserve"> REF _Ref_45 \h </w:instrText>
      </w:r>
      <w:r>
        <w:fldChar w:fldCharType="separate"/>
      </w:r>
      <w:r>
        <w:t>45</w:t>
      </w:r>
      <w:r>
        <w:fldChar w:fldCharType="end"/>
      </w:r>
      <w:r>
        <w:t>,</w:t>
      </w:r>
      <w:r>
        <w:fldChar w:fldCharType="begin"/>
      </w:r>
      <w:r>
        <w:instrText xml:space="preserve"> REF _Ref_103 \h </w:instrText>
      </w:r>
      <w:r>
        <w:fldChar w:fldCharType="separate"/>
      </w:r>
      <w:r>
        <w:t>103</w:t>
      </w:r>
      <w:r>
        <w:fldChar w:fldCharType="end"/>
      </w:r>
      <w:r>
        <w:t>]</w:t>
      </w:r>
      <w:r>
        <w:rPr>
          <w:b w:val="0"/>
          <w:i w:val="0"/>
        </w:rPr>
        <w:t xml:space="preserve"> is the obvious next step. Fourth, the occupational exposure score is an occupation-level construct assigned to individuals; task-level exposure measured within jobs would sharpen both the regression and the calibration. Fifth, the two-wave design identifies one traversal of the loop, not its dynamics: whether adaptation feeds back to lower depreciation perceptions, closing a balancing loop, or whether avoidance compounds into the reinforcing spiral that conservation-of-resources theory predicts </w:t>
      </w:r>
      <w:r>
        <w:t>[</w:t>
      </w:r>
      <w:r>
        <w:fldChar w:fldCharType="begin"/>
      </w:r>
      <w:r>
        <w:instrText xml:space="preserve"> REF _Ref_41 \h </w:instrText>
      </w:r>
      <w:r>
        <w:fldChar w:fldCharType="separate"/>
      </w:r>
      <w:r>
        <w:t>41</w:t>
      </w:r>
      <w:r>
        <w:fldChar w:fldCharType="end"/>
      </w:r>
      <w:r>
        <w:t>,</w:t>
      </w:r>
      <w:r>
        <w:fldChar w:fldCharType="begin"/>
      </w:r>
      <w:r>
        <w:instrText xml:space="preserve"> REF _Ref_65 \h </w:instrText>
      </w:r>
      <w:r>
        <w:fldChar w:fldCharType="separate"/>
      </w:r>
      <w:r>
        <w:t>65</w:t>
      </w:r>
      <w:r>
        <w:fldChar w:fldCharType="end"/>
      </w:r>
      <w:r>
        <w:t>]</w:t>
      </w:r>
      <w:r>
        <w:rPr>
          <w:b w:val="0"/>
          <w:i w:val="0"/>
        </w:rPr>
        <w:t xml:space="preserve">, requires a multi-wave panel analyzed with the estimation machinery the system-dynamics tradition has built for exactly such loops </w:t>
      </w:r>
      <w:r>
        <w:t>[</w:t>
      </w:r>
      <w:r>
        <w:fldChar w:fldCharType="begin"/>
      </w:r>
      <w:r>
        <w:instrText xml:space="preserve"> REF _Ref_104 \h </w:instrText>
      </w:r>
      <w:r>
        <w:fldChar w:fldCharType="separate"/>
      </w:r>
      <w:r>
        <w:t>104</w:t>
      </w:r>
      <w:r>
        <w:fldChar w:fldCharType="end"/>
      </w:r>
      <w:r>
        <w:t>]</w:t>
      </w:r>
      <w:r>
        <w:rPr>
          <w:b w:val="0"/>
          <w:i w:val="0"/>
        </w:rPr>
        <w:t>.</w:t>
      </w:r>
    </w:p>
    <w:p>
      <w:pPr>
        <w:pStyle w:val="MDPI21heading1"/>
      </w:pPr>
      <w:r>
        <w:t>7. Conclusions</w:t>
      </w:r>
    </w:p>
    <w:p>
      <w:pPr>
        <w:pStyle w:val="MDPI32textnoindent"/>
      </w:pPr>
      <w:r>
        <w:rPr>
          <w:b w:val="0"/>
          <w:i w:val="0"/>
        </w:rPr>
        <w:t>This paper asked how the first graduate cohort of the generative-AI era converts the perception of depreciating human capital into early-career choices. The answer is a control loop with a saturating signal: depreciation becomes anxiety at a rate set by support; anxiety becomes adaptation only within a bounded band that two-fifths of the cohort has already left, while it becomes avoidance without bound; generative-AI literacy extends the productive band; and only the full conjunction of signal, capability and support is sufficient for adaptation, with no alternative recipe and no recipe for its negation. The finding reframes what is usually called an anxiety problem as an infrastructure problem. A generation’s error signal is already loud; whether it ends as occupational adaptation or as scarring depends on whether universities, employers and governments supply the actuators that let a loud signal steer.</w:t>
      </w:r>
    </w:p>
    <w:p>
      <w:pPr>
        <w:pStyle w:val="MDPI62backmatter"/>
        <w:spacing w:before="120"/>
      </w:pPr>
      <w:r>
        <w:rPr>
          <w:b/>
          <w:sz w:val="18"/>
        </w:rPr>
        <w:t xml:space="preserve">Author Contributions: </w:t>
      </w:r>
      <w:r>
        <w:rPr>
          <w:b w:val="0"/>
          <w:i w:val="0"/>
          <w:sz w:val="18"/>
        </w:rPr>
        <w:t>Conceptualization, X.C. and T.M.; methodology, X.C.; software, X.C.; validation, T.M.; formal analysis, X.C.; investigation, T.M.; data curation, T.M.; writing—original draft preparation, X.C.; writing—review and editing, T.M.; visualization, X.C.; supervision, T.M.; project administration, T.M. All authors have read and agreed to the published version of the manuscript.</w:t>
      </w:r>
    </w:p>
    <w:p>
      <w:pPr>
        <w:pStyle w:val="MDPI62backmatter"/>
        <w:spacing w:before="120"/>
      </w:pPr>
      <w:r>
        <w:rPr>
          <w:b/>
          <w:sz w:val="18"/>
        </w:rPr>
        <w:t xml:space="preserve">Funding: </w:t>
      </w:r>
      <w:r>
        <w:rPr>
          <w:b w:val="0"/>
          <w:i w:val="0"/>
          <w:sz w:val="18"/>
        </w:rPr>
        <w:t>This research received no external funding.</w:t>
      </w:r>
    </w:p>
    <w:p>
      <w:pPr>
        <w:pStyle w:val="MDPI62backmatter"/>
        <w:spacing w:before="120"/>
      </w:pPr>
      <w:r>
        <w:rPr>
          <w:b/>
          <w:sz w:val="18"/>
        </w:rPr>
        <w:t xml:space="preserve">Institutional Review Board Statement: </w:t>
      </w:r>
      <w:r>
        <w:rPr>
          <w:b w:val="0"/>
          <w:i w:val="0"/>
          <w:sz w:val="18"/>
        </w:rPr>
        <w:t>The study was conducted in accordance with the Declaration of Helsinki and approved by the Institutional Review Board of the College of Business, Jiaxing University (protocol code JXU-BUS-2025-014, approved 22 August 2025).</w:t>
      </w:r>
    </w:p>
    <w:p>
      <w:pPr>
        <w:pStyle w:val="MDPI62backmatter"/>
        <w:spacing w:before="120"/>
      </w:pPr>
      <w:r>
        <w:rPr>
          <w:b/>
          <w:sz w:val="18"/>
        </w:rPr>
        <w:t xml:space="preserve">Informed Consent Statement: </w:t>
      </w:r>
      <w:r>
        <w:rPr>
          <w:b w:val="0"/>
          <w:i w:val="0"/>
          <w:sz w:val="18"/>
        </w:rPr>
        <w:t>Informed consent was obtained from all subjects involved in the study.</w:t>
      </w:r>
    </w:p>
    <w:p>
      <w:pPr>
        <w:pStyle w:val="MDPI62backmatter"/>
        <w:spacing w:before="120"/>
      </w:pPr>
      <w:r>
        <w:rPr>
          <w:b/>
          <w:sz w:val="18"/>
        </w:rPr>
        <w:t xml:space="preserve">Data Availability Statement: </w:t>
      </w:r>
      <w:r>
        <w:rPr>
          <w:b w:val="0"/>
          <w:i w:val="0"/>
          <w:sz w:val="18"/>
        </w:rPr>
        <w:t>The data presented in this study are available on reasonable request from the corresponding author. The data are not publicly available due to the privacy of individual survey respondents. The complete estimation code that produces every table and figure is available from the corresponding author.</w:t>
      </w:r>
    </w:p>
    <w:p>
      <w:pPr>
        <w:pStyle w:val="MDPI62backmatter"/>
        <w:spacing w:before="120"/>
      </w:pPr>
      <w:r>
        <w:rPr>
          <w:b/>
          <w:sz w:val="18"/>
        </w:rPr>
        <w:t xml:space="preserve">Conflicts of Interest: </w:t>
      </w:r>
      <w:r>
        <w:rPr>
          <w:b w:val="0"/>
          <w:i w:val="0"/>
          <w:sz w:val="18"/>
        </w:rPr>
        <w:t>The authors declare no conflicts of interest.</w:t>
      </w:r>
    </w:p>
    <w:p>
      <w:pPr>
        <w:pStyle w:val="MDPI21heading1"/>
        <w:ind w:left="0" w:firstLine="0"/>
      </w:pPr>
      <w:r>
        <w:t>References</w:t>
      </w:r>
    </w:p>
    <w:p>
      <w:pPr>
        <w:pStyle w:val="MDPI32textnoindent"/>
        <w:spacing w:line="240" w:lineRule="auto" w:before="0" w:after="40"/>
        <w:ind w:left="425" w:hanging="425"/>
        <w:tabs>
          <w:tab w:val="left" w:pos="425"/>
        </w:tabs>
      </w:pPr>
      <w:bookmarkStart w:id="1001" w:name="_Ref_1"/>
      <w:r>
        <w:rPr>
          <w:b w:val="0"/>
          <w:sz w:val="18"/>
        </w:rPr>
        <w:t>1</w:t>
      </w:r>
      <w:bookmarkEnd w:id="1001"/>
      <w:r>
        <w:rPr>
          <w:sz w:val="18"/>
        </w:rPr>
        <w:t>.</w:t>
        <w:tab/>
      </w:r>
      <w:r>
        <w:rPr>
          <w:b w:val="0"/>
          <w:i w:val="0"/>
          <w:sz w:val="18"/>
        </w:rPr>
        <w:t xml:space="preserve">Eloundou, T.; Manning, S.; Mishkin, P.; Rock, D. </w:t>
      </w:r>
      <w:r>
        <w:rPr>
          <w:b w:val="0"/>
          <w:i w:val="0"/>
          <w:sz w:val="18"/>
        </w:rPr>
        <w:t xml:space="preserve">GPTs Are GPTs: Labor Market Impact Potential of LLMs. </w:t>
      </w:r>
      <w:r>
        <w:rPr>
          <w:b w:val="0"/>
          <w:i/>
          <w:sz w:val="18"/>
        </w:rPr>
        <w:t xml:space="preserve">Science </w:t>
      </w:r>
      <w:r>
        <w:rPr>
          <w:b/>
          <w:i w:val="0"/>
          <w:sz w:val="18"/>
        </w:rPr>
        <w:t>2024</w:t>
      </w:r>
      <w:r>
        <w:rPr>
          <w:b w:val="0"/>
          <w:i w:val="0"/>
          <w:sz w:val="18"/>
        </w:rPr>
        <w:t xml:space="preserve">, </w:t>
      </w:r>
      <w:r>
        <w:rPr>
          <w:b w:val="0"/>
          <w:i/>
          <w:sz w:val="18"/>
        </w:rPr>
        <w:t>384</w:t>
      </w:r>
      <w:r>
        <w:rPr>
          <w:b w:val="0"/>
          <w:i w:val="0"/>
          <w:sz w:val="18"/>
        </w:rPr>
        <w:t>, 1306–1308.</w:t>
      </w:r>
      <w:r>
        <w:rPr>
          <w:b w:val="0"/>
          <w:i w:val="0"/>
          <w:sz w:val="18"/>
        </w:rPr>
        <w:t xml:space="preserve"> [CrossRef]</w:t>
      </w:r>
    </w:p>
    <w:p>
      <w:pPr>
        <w:pStyle w:val="MDPI32textnoindent"/>
        <w:spacing w:line="240" w:lineRule="auto" w:before="0" w:after="40"/>
        <w:ind w:left="425" w:hanging="425"/>
        <w:tabs>
          <w:tab w:val="left" w:pos="425"/>
        </w:tabs>
      </w:pPr>
      <w:bookmarkStart w:id="1002" w:name="_Ref_2"/>
      <w:r>
        <w:rPr>
          <w:b w:val="0"/>
          <w:sz w:val="18"/>
        </w:rPr>
        <w:t>2</w:t>
      </w:r>
      <w:bookmarkEnd w:id="1002"/>
      <w:r>
        <w:rPr>
          <w:sz w:val="18"/>
        </w:rPr>
        <w:t>.</w:t>
        <w:tab/>
      </w:r>
      <w:r>
        <w:rPr>
          <w:b w:val="0"/>
          <w:i w:val="0"/>
          <w:sz w:val="18"/>
        </w:rPr>
        <w:t xml:space="preserve">Felten, E.; Raj, M.; Seamans, R. </w:t>
      </w:r>
      <w:r>
        <w:rPr>
          <w:b w:val="0"/>
          <w:i w:val="0"/>
          <w:sz w:val="18"/>
        </w:rPr>
        <w:t xml:space="preserve">Occupational, Industry, and Geographic Exposure to Artificial Intelligence: A Novel Dataset and Its Potential Uses. </w:t>
      </w:r>
      <w:r>
        <w:rPr>
          <w:b w:val="0"/>
          <w:i/>
          <w:sz w:val="18"/>
        </w:rPr>
        <w:t xml:space="preserve">Strateg. Manag. J. </w:t>
      </w:r>
      <w:r>
        <w:rPr>
          <w:b/>
          <w:i w:val="0"/>
          <w:sz w:val="18"/>
        </w:rPr>
        <w:t>2021</w:t>
      </w:r>
      <w:r>
        <w:rPr>
          <w:b w:val="0"/>
          <w:i w:val="0"/>
          <w:sz w:val="18"/>
        </w:rPr>
        <w:t xml:space="preserve">, </w:t>
      </w:r>
      <w:r>
        <w:rPr>
          <w:b w:val="0"/>
          <w:i/>
          <w:sz w:val="18"/>
        </w:rPr>
        <w:t>42</w:t>
      </w:r>
      <w:r>
        <w:rPr>
          <w:b w:val="0"/>
          <w:i w:val="0"/>
          <w:sz w:val="18"/>
        </w:rPr>
        <w:t>, 2195–2217.</w:t>
      </w:r>
      <w:r>
        <w:rPr>
          <w:b w:val="0"/>
          <w:i w:val="0"/>
          <w:sz w:val="18"/>
        </w:rPr>
        <w:t xml:space="preserve"> [CrossRef]</w:t>
      </w:r>
    </w:p>
    <w:p>
      <w:pPr>
        <w:pStyle w:val="MDPI32textnoindent"/>
        <w:spacing w:line="240" w:lineRule="auto" w:before="0" w:after="40"/>
        <w:ind w:left="425" w:hanging="425"/>
        <w:tabs>
          <w:tab w:val="left" w:pos="425"/>
        </w:tabs>
      </w:pPr>
      <w:bookmarkStart w:id="1003" w:name="_Ref_3"/>
      <w:r>
        <w:rPr>
          <w:b w:val="0"/>
          <w:sz w:val="18"/>
        </w:rPr>
        <w:t>3</w:t>
      </w:r>
      <w:bookmarkEnd w:id="1003"/>
      <w:r>
        <w:rPr>
          <w:sz w:val="18"/>
        </w:rPr>
        <w:t>.</w:t>
        <w:tab/>
      </w:r>
      <w:r>
        <w:rPr>
          <w:b w:val="0"/>
          <w:i w:val="0"/>
          <w:sz w:val="18"/>
        </w:rPr>
        <w:t xml:space="preserve">Noy, S.; Zhang, W. </w:t>
      </w:r>
      <w:r>
        <w:rPr>
          <w:b w:val="0"/>
          <w:i w:val="0"/>
          <w:sz w:val="18"/>
        </w:rPr>
        <w:t xml:space="preserve">Experimental Evidence on the Productivity Effects of Generative Artificial Intelligence. </w:t>
      </w:r>
      <w:r>
        <w:rPr>
          <w:b w:val="0"/>
          <w:i/>
          <w:sz w:val="18"/>
        </w:rPr>
        <w:t xml:space="preserve">Science </w:t>
      </w:r>
      <w:r>
        <w:rPr>
          <w:b/>
          <w:i w:val="0"/>
          <w:sz w:val="18"/>
        </w:rPr>
        <w:t>2023</w:t>
      </w:r>
      <w:r>
        <w:rPr>
          <w:b w:val="0"/>
          <w:i w:val="0"/>
          <w:sz w:val="18"/>
        </w:rPr>
        <w:t xml:space="preserve">, </w:t>
      </w:r>
      <w:r>
        <w:rPr>
          <w:b w:val="0"/>
          <w:i/>
          <w:sz w:val="18"/>
        </w:rPr>
        <w:t>381</w:t>
      </w:r>
      <w:r>
        <w:rPr>
          <w:b w:val="0"/>
          <w:i w:val="0"/>
          <w:sz w:val="18"/>
        </w:rPr>
        <w:t>, 187–192.</w:t>
      </w:r>
      <w:r>
        <w:rPr>
          <w:b w:val="0"/>
          <w:i w:val="0"/>
          <w:sz w:val="18"/>
        </w:rPr>
        <w:t xml:space="preserve"> [CrossRef]</w:t>
      </w:r>
    </w:p>
    <w:p>
      <w:pPr>
        <w:pStyle w:val="MDPI32textnoindent"/>
        <w:spacing w:line="240" w:lineRule="auto" w:before="0" w:after="40"/>
        <w:ind w:left="425" w:hanging="425"/>
        <w:tabs>
          <w:tab w:val="left" w:pos="425"/>
        </w:tabs>
      </w:pPr>
      <w:bookmarkStart w:id="1004" w:name="_Ref_4"/>
      <w:r>
        <w:rPr>
          <w:b w:val="0"/>
          <w:sz w:val="18"/>
        </w:rPr>
        <w:t>4</w:t>
      </w:r>
      <w:bookmarkEnd w:id="1004"/>
      <w:r>
        <w:rPr>
          <w:sz w:val="18"/>
        </w:rPr>
        <w:t>.</w:t>
        <w:tab/>
      </w:r>
      <w:r>
        <w:rPr>
          <w:b w:val="0"/>
          <w:i w:val="0"/>
          <w:sz w:val="18"/>
        </w:rPr>
        <w:t xml:space="preserve">Brynjolfsson, E.; Chandar, B.; Chen, R. </w:t>
      </w:r>
      <w:r>
        <w:rPr>
          <w:b w:val="0"/>
          <w:i/>
          <w:sz w:val="18"/>
        </w:rPr>
        <w:t xml:space="preserve">Canaries in the Coal Mine? Six Facts about the Recent Employment Effects of Artificial Intelligence; </w:t>
      </w:r>
      <w:r>
        <w:rPr>
          <w:b w:val="0"/>
          <w:i w:val="0"/>
          <w:sz w:val="18"/>
        </w:rPr>
        <w:t xml:space="preserve">Working Paper; </w:t>
      </w:r>
      <w:r>
        <w:rPr>
          <w:b w:val="0"/>
          <w:i w:val="0"/>
          <w:sz w:val="18"/>
        </w:rPr>
        <w:t>Stanford Digital Economy Lab, Stanford University: Stanford, CA, USA, 2025.</w:t>
      </w:r>
    </w:p>
    <w:p>
      <w:pPr>
        <w:pStyle w:val="MDPI32textnoindent"/>
        <w:spacing w:line="240" w:lineRule="auto" w:before="0" w:after="40"/>
        <w:ind w:left="425" w:hanging="425"/>
        <w:tabs>
          <w:tab w:val="left" w:pos="425"/>
        </w:tabs>
      </w:pPr>
      <w:bookmarkStart w:id="1005" w:name="_Ref_5"/>
      <w:r>
        <w:rPr>
          <w:b w:val="0"/>
          <w:sz w:val="18"/>
        </w:rPr>
        <w:t>5</w:t>
      </w:r>
      <w:bookmarkEnd w:id="1005"/>
      <w:r>
        <w:rPr>
          <w:sz w:val="18"/>
        </w:rPr>
        <w:t>.</w:t>
        <w:tab/>
      </w:r>
      <w:r>
        <w:rPr>
          <w:b w:val="0"/>
          <w:i w:val="0"/>
          <w:sz w:val="18"/>
        </w:rPr>
        <w:t xml:space="preserve">Hui, X.; Reshef, O.; Zhou, L. </w:t>
      </w:r>
      <w:r>
        <w:rPr>
          <w:b w:val="0"/>
          <w:i w:val="0"/>
          <w:sz w:val="18"/>
        </w:rPr>
        <w:t xml:space="preserve">The Short-Term Effects of Generative Artificial Intelligence on Employment: Evidence from an Online Labor Market. </w:t>
      </w:r>
      <w:r>
        <w:rPr>
          <w:b w:val="0"/>
          <w:i/>
          <w:sz w:val="18"/>
        </w:rPr>
        <w:t xml:space="preserve">Organ. Sci. </w:t>
      </w:r>
      <w:r>
        <w:rPr>
          <w:b/>
          <w:i w:val="0"/>
          <w:sz w:val="18"/>
        </w:rPr>
        <w:t>2024</w:t>
      </w:r>
      <w:r>
        <w:rPr>
          <w:b w:val="0"/>
          <w:i w:val="0"/>
          <w:sz w:val="18"/>
        </w:rPr>
        <w:t xml:space="preserve">, </w:t>
      </w:r>
      <w:r>
        <w:rPr>
          <w:b w:val="0"/>
          <w:i/>
          <w:sz w:val="18"/>
        </w:rPr>
        <w:t>35</w:t>
      </w:r>
      <w:r>
        <w:rPr>
          <w:b w:val="0"/>
          <w:i w:val="0"/>
          <w:sz w:val="18"/>
        </w:rPr>
        <w:t>, 1977–1989.</w:t>
      </w:r>
      <w:r>
        <w:rPr>
          <w:b w:val="0"/>
          <w:i w:val="0"/>
          <w:sz w:val="18"/>
        </w:rPr>
        <w:t xml:space="preserve"> [CrossRef]</w:t>
      </w:r>
    </w:p>
    <w:p>
      <w:pPr>
        <w:pStyle w:val="MDPI32textnoindent"/>
        <w:spacing w:line="240" w:lineRule="auto" w:before="0" w:after="40"/>
        <w:ind w:left="425" w:hanging="425"/>
        <w:tabs>
          <w:tab w:val="left" w:pos="425"/>
        </w:tabs>
      </w:pPr>
      <w:bookmarkStart w:id="1006" w:name="_Ref_6"/>
      <w:r>
        <w:rPr>
          <w:b w:val="0"/>
          <w:sz w:val="18"/>
        </w:rPr>
        <w:t>6</w:t>
      </w:r>
      <w:bookmarkEnd w:id="1006"/>
      <w:r>
        <w:rPr>
          <w:sz w:val="18"/>
        </w:rPr>
        <w:t>.</w:t>
        <w:tab/>
      </w:r>
      <w:r>
        <w:rPr>
          <w:b w:val="0"/>
          <w:i w:val="0"/>
          <w:sz w:val="18"/>
        </w:rPr>
        <w:t xml:space="preserve">Brynjolfsson, E.; Li, D.; Raymond, L.R. </w:t>
      </w:r>
      <w:r>
        <w:rPr>
          <w:b w:val="0"/>
          <w:i w:val="0"/>
          <w:sz w:val="18"/>
        </w:rPr>
        <w:t xml:space="preserve">Generative AI at Work. </w:t>
      </w:r>
      <w:r>
        <w:rPr>
          <w:b w:val="0"/>
          <w:i/>
          <w:sz w:val="18"/>
        </w:rPr>
        <w:t xml:space="preserve">Q. J. Econ. </w:t>
      </w:r>
      <w:r>
        <w:rPr>
          <w:b/>
          <w:i w:val="0"/>
          <w:sz w:val="18"/>
        </w:rPr>
        <w:t>2025</w:t>
      </w:r>
      <w:r>
        <w:rPr>
          <w:b w:val="0"/>
          <w:i w:val="0"/>
          <w:sz w:val="18"/>
        </w:rPr>
        <w:t xml:space="preserve">, </w:t>
      </w:r>
      <w:r>
        <w:rPr>
          <w:b w:val="0"/>
          <w:i/>
          <w:sz w:val="18"/>
        </w:rPr>
        <w:t>140</w:t>
      </w:r>
      <w:r>
        <w:rPr>
          <w:b w:val="0"/>
          <w:i w:val="0"/>
          <w:sz w:val="18"/>
        </w:rPr>
        <w:t>, 889–942.</w:t>
      </w:r>
      <w:r>
        <w:rPr>
          <w:b w:val="0"/>
          <w:i w:val="0"/>
          <w:sz w:val="18"/>
        </w:rPr>
        <w:t xml:space="preserve"> [CrossRef]</w:t>
      </w:r>
    </w:p>
    <w:p>
      <w:pPr>
        <w:pStyle w:val="MDPI32textnoindent"/>
        <w:spacing w:line="240" w:lineRule="auto" w:before="0" w:after="40"/>
        <w:ind w:left="425" w:hanging="425"/>
        <w:tabs>
          <w:tab w:val="left" w:pos="425"/>
        </w:tabs>
      </w:pPr>
      <w:bookmarkStart w:id="1007" w:name="_Ref_7"/>
      <w:r>
        <w:rPr>
          <w:b w:val="0"/>
          <w:sz w:val="18"/>
        </w:rPr>
        <w:t>7</w:t>
      </w:r>
      <w:bookmarkEnd w:id="1007"/>
      <w:r>
        <w:rPr>
          <w:sz w:val="18"/>
        </w:rPr>
        <w:t>.</w:t>
        <w:tab/>
      </w:r>
      <w:r>
        <w:rPr>
          <w:b w:val="0"/>
          <w:i w:val="0"/>
          <w:sz w:val="18"/>
        </w:rPr>
        <w:t xml:space="preserve">Dell’Acqua, F.; McFowland, E., III; Mollick, E.R.; Lifshitz-Assaf, H.; Kellogg, K.C.; Rajendran, S.; Krayer, L.; Candelon, F.; Lakhani, K.R. </w:t>
      </w:r>
      <w:r>
        <w:rPr>
          <w:b w:val="0"/>
          <w:i w:val="0"/>
          <w:sz w:val="18"/>
        </w:rPr>
        <w:t xml:space="preserve">Navigating the Jagged Technological Frontier: Field Experimental Evidence of the Effects of Artificial Intelligence on Knowledge Worker Productivity and Quality. </w:t>
      </w:r>
      <w:r>
        <w:rPr>
          <w:b w:val="0"/>
          <w:i/>
          <w:sz w:val="18"/>
        </w:rPr>
        <w:t xml:space="preserve">Organ. Sci.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08" w:name="_Ref_8"/>
      <w:r>
        <w:rPr>
          <w:b w:val="0"/>
          <w:sz w:val="18"/>
        </w:rPr>
        <w:t>8</w:t>
      </w:r>
      <w:bookmarkEnd w:id="1008"/>
      <w:r>
        <w:rPr>
          <w:sz w:val="18"/>
        </w:rPr>
        <w:t>.</w:t>
        <w:tab/>
      </w:r>
      <w:r>
        <w:rPr>
          <w:b w:val="0"/>
          <w:i w:val="0"/>
          <w:sz w:val="18"/>
        </w:rPr>
        <w:t xml:space="preserve">Autor, D. </w:t>
      </w:r>
      <w:r>
        <w:rPr>
          <w:b w:val="0"/>
          <w:i/>
          <w:sz w:val="18"/>
        </w:rPr>
        <w:t xml:space="preserve">Applying AI to Rebuild Middle Class Jobs; </w:t>
      </w:r>
      <w:r>
        <w:rPr>
          <w:b w:val="0"/>
          <w:i w:val="0"/>
          <w:sz w:val="18"/>
        </w:rPr>
        <w:t xml:space="preserve">NBER Working Paper 32140; </w:t>
      </w:r>
      <w:r>
        <w:rPr>
          <w:b w:val="0"/>
          <w:i w:val="0"/>
          <w:sz w:val="18"/>
        </w:rPr>
        <w:t>National Bureau of Economic Research: Cambridge, MA, USA, 2024.</w:t>
      </w:r>
    </w:p>
    <w:p>
      <w:pPr>
        <w:pStyle w:val="MDPI32textnoindent"/>
        <w:spacing w:line="240" w:lineRule="auto" w:before="0" w:after="40"/>
        <w:ind w:left="425" w:hanging="425"/>
        <w:tabs>
          <w:tab w:val="left" w:pos="425"/>
        </w:tabs>
      </w:pPr>
      <w:bookmarkStart w:id="1009" w:name="_Ref_9"/>
      <w:r>
        <w:rPr>
          <w:b w:val="0"/>
          <w:sz w:val="18"/>
        </w:rPr>
        <w:t>9</w:t>
      </w:r>
      <w:bookmarkEnd w:id="1009"/>
      <w:r>
        <w:rPr>
          <w:sz w:val="18"/>
        </w:rPr>
        <w:t>.</w:t>
        <w:tab/>
      </w:r>
      <w:r>
        <w:rPr>
          <w:b w:val="0"/>
          <w:i w:val="0"/>
          <w:sz w:val="18"/>
        </w:rPr>
        <w:t xml:space="preserve">Autor, D.; Chin, C.; Salomons, A.; Seegmiller, B. </w:t>
      </w:r>
      <w:r>
        <w:rPr>
          <w:b w:val="0"/>
          <w:i w:val="0"/>
          <w:sz w:val="18"/>
        </w:rPr>
        <w:t xml:space="preserve">New Frontiers: The Origins and Content of New Work, 1940–2018. </w:t>
      </w:r>
      <w:r>
        <w:rPr>
          <w:b w:val="0"/>
          <w:i/>
          <w:sz w:val="18"/>
        </w:rPr>
        <w:t xml:space="preserve">Q. J. Econ. </w:t>
      </w:r>
      <w:r>
        <w:rPr>
          <w:b/>
          <w:i w:val="0"/>
          <w:sz w:val="18"/>
        </w:rPr>
        <w:t>2024</w:t>
      </w:r>
      <w:r>
        <w:rPr>
          <w:b w:val="0"/>
          <w:i w:val="0"/>
          <w:sz w:val="18"/>
        </w:rPr>
        <w:t xml:space="preserve">, </w:t>
      </w:r>
      <w:r>
        <w:rPr>
          <w:b w:val="0"/>
          <w:i/>
          <w:sz w:val="18"/>
        </w:rPr>
        <w:t>139</w:t>
      </w:r>
      <w:r>
        <w:rPr>
          <w:b w:val="0"/>
          <w:i w:val="0"/>
          <w:sz w:val="18"/>
        </w:rPr>
        <w:t>, 1399–1465.</w:t>
      </w:r>
      <w:r>
        <w:rPr>
          <w:b w:val="0"/>
          <w:i w:val="0"/>
          <w:sz w:val="18"/>
        </w:rPr>
        <w:t xml:space="preserve"> [CrossRef]</w:t>
      </w:r>
    </w:p>
    <w:p>
      <w:pPr>
        <w:pStyle w:val="MDPI32textnoindent"/>
        <w:spacing w:line="240" w:lineRule="auto" w:before="0" w:after="40"/>
        <w:ind w:left="425" w:hanging="425"/>
        <w:tabs>
          <w:tab w:val="left" w:pos="425"/>
        </w:tabs>
      </w:pPr>
      <w:bookmarkStart w:id="1010" w:name="_Ref_10"/>
      <w:r>
        <w:rPr>
          <w:b w:val="0"/>
          <w:sz w:val="18"/>
        </w:rPr>
        <w:t>10</w:t>
      </w:r>
      <w:bookmarkEnd w:id="1010"/>
      <w:r>
        <w:rPr>
          <w:sz w:val="18"/>
        </w:rPr>
        <w:t>.</w:t>
        <w:tab/>
      </w:r>
      <w:r>
        <w:rPr>
          <w:b w:val="0"/>
          <w:i w:val="0"/>
          <w:sz w:val="18"/>
        </w:rPr>
        <w:t xml:space="preserve">Ministry of Education of the People’s Republic of China. </w:t>
      </w:r>
      <w:r>
        <w:rPr>
          <w:b w:val="0"/>
          <w:i w:val="0"/>
          <w:sz w:val="18"/>
        </w:rPr>
        <w:t xml:space="preserve">The Number of College Graduates Nationwide Is Expected to Reach 12.22 Million in 2025. </w:t>
      </w:r>
      <w:r>
        <w:rPr>
          <w:b w:val="0"/>
          <w:i w:val="0"/>
          <w:sz w:val="18"/>
        </w:rPr>
        <w:t>Available online: http://www.moe.gov.cn/ (accessed on 20 March 2026).</w:t>
      </w:r>
    </w:p>
    <w:p>
      <w:pPr>
        <w:pStyle w:val="MDPI32textnoindent"/>
        <w:spacing w:line="240" w:lineRule="auto" w:before="0" w:after="40"/>
        <w:ind w:left="425" w:hanging="425"/>
        <w:tabs>
          <w:tab w:val="left" w:pos="425"/>
        </w:tabs>
      </w:pPr>
      <w:bookmarkStart w:id="1011" w:name="_Ref_11"/>
      <w:r>
        <w:rPr>
          <w:b w:val="0"/>
          <w:sz w:val="18"/>
        </w:rPr>
        <w:t>11</w:t>
      </w:r>
      <w:bookmarkEnd w:id="1011"/>
      <w:r>
        <w:rPr>
          <w:sz w:val="18"/>
        </w:rPr>
        <w:t>.</w:t>
        <w:tab/>
      </w:r>
      <w:r>
        <w:rPr>
          <w:b w:val="0"/>
          <w:i w:val="0"/>
          <w:sz w:val="18"/>
        </w:rPr>
        <w:t xml:space="preserve">Li, S.; Whalley, J.; Xing, C. </w:t>
      </w:r>
      <w:r>
        <w:rPr>
          <w:b w:val="0"/>
          <w:i w:val="0"/>
          <w:sz w:val="18"/>
        </w:rPr>
        <w:t xml:space="preserve">China’s Higher Education Expansion and Unemployment of College Graduates. </w:t>
      </w:r>
      <w:r>
        <w:rPr>
          <w:b w:val="0"/>
          <w:i/>
          <w:sz w:val="18"/>
        </w:rPr>
        <w:t xml:space="preserve">China Econ. Rev. </w:t>
      </w:r>
      <w:r>
        <w:rPr>
          <w:b/>
          <w:i w:val="0"/>
          <w:sz w:val="18"/>
        </w:rPr>
        <w:t>2014</w:t>
      </w:r>
      <w:r>
        <w:rPr>
          <w:b w:val="0"/>
          <w:i w:val="0"/>
          <w:sz w:val="18"/>
        </w:rPr>
        <w:t xml:space="preserve">, </w:t>
      </w:r>
      <w:r>
        <w:rPr>
          <w:b w:val="0"/>
          <w:i/>
          <w:sz w:val="18"/>
        </w:rPr>
        <w:t>30</w:t>
      </w:r>
      <w:r>
        <w:rPr>
          <w:b w:val="0"/>
          <w:i w:val="0"/>
          <w:sz w:val="18"/>
        </w:rPr>
        <w:t>, 567–582.</w:t>
      </w:r>
      <w:r>
        <w:rPr>
          <w:b w:val="0"/>
          <w:i w:val="0"/>
          <w:sz w:val="18"/>
        </w:rPr>
        <w:t xml:space="preserve"> [CrossRef]</w:t>
      </w:r>
    </w:p>
    <w:p>
      <w:pPr>
        <w:pStyle w:val="MDPI32textnoindent"/>
        <w:spacing w:line="240" w:lineRule="auto" w:before="0" w:after="40"/>
        <w:ind w:left="425" w:hanging="425"/>
        <w:tabs>
          <w:tab w:val="left" w:pos="425"/>
        </w:tabs>
      </w:pPr>
      <w:bookmarkStart w:id="1012" w:name="_Ref_12"/>
      <w:r>
        <w:rPr>
          <w:b w:val="0"/>
          <w:sz w:val="18"/>
        </w:rPr>
        <w:t>12</w:t>
      </w:r>
      <w:bookmarkEnd w:id="1012"/>
      <w:r>
        <w:rPr>
          <w:sz w:val="18"/>
        </w:rPr>
        <w:t>.</w:t>
        <w:tab/>
      </w:r>
      <w:r>
        <w:rPr>
          <w:b w:val="0"/>
          <w:i w:val="0"/>
          <w:sz w:val="18"/>
        </w:rPr>
        <w:t xml:space="preserve">Acemoglu, D.; Restrepo, P. </w:t>
      </w:r>
      <w:r>
        <w:rPr>
          <w:b w:val="0"/>
          <w:i w:val="0"/>
          <w:sz w:val="18"/>
        </w:rPr>
        <w:t xml:space="preserve">Tasks, Automation, and the Rise in U.S. Wage Inequality. </w:t>
      </w:r>
      <w:r>
        <w:rPr>
          <w:b w:val="0"/>
          <w:i/>
          <w:sz w:val="18"/>
        </w:rPr>
        <w:t xml:space="preserve">Econometrica </w:t>
      </w:r>
      <w:r>
        <w:rPr>
          <w:b/>
          <w:i w:val="0"/>
          <w:sz w:val="18"/>
        </w:rPr>
        <w:t>2022</w:t>
      </w:r>
      <w:r>
        <w:rPr>
          <w:b w:val="0"/>
          <w:i w:val="0"/>
          <w:sz w:val="18"/>
        </w:rPr>
        <w:t xml:space="preserve">, </w:t>
      </w:r>
      <w:r>
        <w:rPr>
          <w:b w:val="0"/>
          <w:i/>
          <w:sz w:val="18"/>
        </w:rPr>
        <w:t>90</w:t>
      </w:r>
      <w:r>
        <w:rPr>
          <w:b w:val="0"/>
          <w:i w:val="0"/>
          <w:sz w:val="18"/>
        </w:rPr>
        <w:t>, 1973–2016.</w:t>
      </w:r>
      <w:r>
        <w:rPr>
          <w:b w:val="0"/>
          <w:i w:val="0"/>
          <w:sz w:val="18"/>
        </w:rPr>
        <w:t xml:space="preserve"> [CrossRef]</w:t>
      </w:r>
    </w:p>
    <w:p>
      <w:pPr>
        <w:pStyle w:val="MDPI32textnoindent"/>
        <w:spacing w:line="240" w:lineRule="auto" w:before="0" w:after="40"/>
        <w:ind w:left="425" w:hanging="425"/>
        <w:tabs>
          <w:tab w:val="left" w:pos="425"/>
        </w:tabs>
      </w:pPr>
      <w:bookmarkStart w:id="1013" w:name="_Ref_13"/>
      <w:r>
        <w:rPr>
          <w:b w:val="0"/>
          <w:sz w:val="18"/>
        </w:rPr>
        <w:t>13</w:t>
      </w:r>
      <w:bookmarkEnd w:id="1013"/>
      <w:r>
        <w:rPr>
          <w:sz w:val="18"/>
        </w:rPr>
        <w:t>.</w:t>
        <w:tab/>
      </w:r>
      <w:r>
        <w:rPr>
          <w:b w:val="0"/>
          <w:i w:val="0"/>
          <w:sz w:val="18"/>
        </w:rPr>
        <w:t xml:space="preserve">Autor, D.H. </w:t>
      </w:r>
      <w:r>
        <w:rPr>
          <w:b w:val="0"/>
          <w:i w:val="0"/>
          <w:sz w:val="18"/>
        </w:rPr>
        <w:t xml:space="preserve">Why Are There Still So Many Jobs? The History and Future of Workplace Automation. </w:t>
      </w:r>
      <w:r>
        <w:rPr>
          <w:b w:val="0"/>
          <w:i/>
          <w:sz w:val="18"/>
        </w:rPr>
        <w:t xml:space="preserve">J. Econ. Perspect. </w:t>
      </w:r>
      <w:r>
        <w:rPr>
          <w:b/>
          <w:i w:val="0"/>
          <w:sz w:val="18"/>
        </w:rPr>
        <w:t>2015</w:t>
      </w:r>
      <w:r>
        <w:rPr>
          <w:b w:val="0"/>
          <w:i w:val="0"/>
          <w:sz w:val="18"/>
        </w:rPr>
        <w:t xml:space="preserve">, </w:t>
      </w:r>
      <w:r>
        <w:rPr>
          <w:b w:val="0"/>
          <w:i/>
          <w:sz w:val="18"/>
        </w:rPr>
        <w:t>29</w:t>
      </w:r>
      <w:r>
        <w:rPr>
          <w:b w:val="0"/>
          <w:i w:val="0"/>
          <w:sz w:val="18"/>
        </w:rPr>
        <w:t>, 3–30.</w:t>
      </w:r>
      <w:r>
        <w:rPr>
          <w:b w:val="0"/>
          <w:i w:val="0"/>
          <w:sz w:val="18"/>
        </w:rPr>
        <w:t xml:space="preserve"> [CrossRef]</w:t>
      </w:r>
    </w:p>
    <w:p>
      <w:pPr>
        <w:pStyle w:val="MDPI32textnoindent"/>
        <w:spacing w:line="240" w:lineRule="auto" w:before="0" w:after="40"/>
        <w:ind w:left="425" w:hanging="425"/>
        <w:tabs>
          <w:tab w:val="left" w:pos="425"/>
        </w:tabs>
      </w:pPr>
      <w:bookmarkStart w:id="1014" w:name="_Ref_14"/>
      <w:r>
        <w:rPr>
          <w:b w:val="0"/>
          <w:sz w:val="18"/>
        </w:rPr>
        <w:t>14</w:t>
      </w:r>
      <w:bookmarkEnd w:id="1014"/>
      <w:r>
        <w:rPr>
          <w:sz w:val="18"/>
        </w:rPr>
        <w:t>.</w:t>
        <w:tab/>
      </w:r>
      <w:r>
        <w:rPr>
          <w:b w:val="0"/>
          <w:i w:val="0"/>
          <w:sz w:val="18"/>
        </w:rPr>
        <w:t xml:space="preserve">Acemoglu, D.; Restrepo, P. </w:t>
      </w:r>
      <w:r>
        <w:rPr>
          <w:b w:val="0"/>
          <w:i w:val="0"/>
          <w:sz w:val="18"/>
        </w:rPr>
        <w:t xml:space="preserve">The Race between Man and Machine: Implications of Technology for Growth, Factor Shares, and Employment. </w:t>
      </w:r>
      <w:r>
        <w:rPr>
          <w:b w:val="0"/>
          <w:i/>
          <w:sz w:val="18"/>
        </w:rPr>
        <w:t xml:space="preserve">Am. Econ. Rev. </w:t>
      </w:r>
      <w:r>
        <w:rPr>
          <w:b/>
          <w:i w:val="0"/>
          <w:sz w:val="18"/>
        </w:rPr>
        <w:t>2018</w:t>
      </w:r>
      <w:r>
        <w:rPr>
          <w:b w:val="0"/>
          <w:i w:val="0"/>
          <w:sz w:val="18"/>
        </w:rPr>
        <w:t xml:space="preserve">, </w:t>
      </w:r>
      <w:r>
        <w:rPr>
          <w:b w:val="0"/>
          <w:i/>
          <w:sz w:val="18"/>
        </w:rPr>
        <w:t>108</w:t>
      </w:r>
      <w:r>
        <w:rPr>
          <w:b w:val="0"/>
          <w:i w:val="0"/>
          <w:sz w:val="18"/>
        </w:rPr>
        <w:t>, 1488–1542.</w:t>
      </w:r>
      <w:r>
        <w:rPr>
          <w:b w:val="0"/>
          <w:i w:val="0"/>
          <w:sz w:val="18"/>
        </w:rPr>
        <w:t xml:space="preserve"> [CrossRef]</w:t>
      </w:r>
    </w:p>
    <w:p>
      <w:pPr>
        <w:pStyle w:val="MDPI32textnoindent"/>
        <w:spacing w:line="240" w:lineRule="auto" w:before="0" w:after="40"/>
        <w:ind w:left="425" w:hanging="425"/>
        <w:tabs>
          <w:tab w:val="left" w:pos="425"/>
        </w:tabs>
      </w:pPr>
      <w:bookmarkStart w:id="1015" w:name="_Ref_15"/>
      <w:r>
        <w:rPr>
          <w:b w:val="0"/>
          <w:sz w:val="18"/>
        </w:rPr>
        <w:t>15</w:t>
      </w:r>
      <w:bookmarkEnd w:id="1015"/>
      <w:r>
        <w:rPr>
          <w:sz w:val="18"/>
        </w:rPr>
        <w:t>.</w:t>
        <w:tab/>
      </w:r>
      <w:r>
        <w:rPr>
          <w:b w:val="0"/>
          <w:i w:val="0"/>
          <w:sz w:val="18"/>
        </w:rPr>
        <w:t xml:space="preserve">Kahn, L.B. </w:t>
      </w:r>
      <w:r>
        <w:rPr>
          <w:b w:val="0"/>
          <w:i w:val="0"/>
          <w:sz w:val="18"/>
        </w:rPr>
        <w:t xml:space="preserve">The Long-Term Labor Market Consequences of Graduating from College in a Bad Economy. </w:t>
      </w:r>
      <w:r>
        <w:rPr>
          <w:b w:val="0"/>
          <w:i/>
          <w:sz w:val="18"/>
        </w:rPr>
        <w:t xml:space="preserve">Labour Econ. </w:t>
      </w:r>
      <w:r>
        <w:rPr>
          <w:b/>
          <w:i w:val="0"/>
          <w:sz w:val="18"/>
        </w:rPr>
        <w:t>2010</w:t>
      </w:r>
      <w:r>
        <w:rPr>
          <w:b w:val="0"/>
          <w:i w:val="0"/>
          <w:sz w:val="18"/>
        </w:rPr>
        <w:t xml:space="preserve">, </w:t>
      </w:r>
      <w:r>
        <w:rPr>
          <w:b w:val="0"/>
          <w:i/>
          <w:sz w:val="18"/>
        </w:rPr>
        <w:t>17</w:t>
      </w:r>
      <w:r>
        <w:rPr>
          <w:b w:val="0"/>
          <w:i w:val="0"/>
          <w:sz w:val="18"/>
        </w:rPr>
        <w:t>, 303–316.</w:t>
      </w:r>
      <w:r>
        <w:rPr>
          <w:b w:val="0"/>
          <w:i w:val="0"/>
          <w:sz w:val="18"/>
        </w:rPr>
        <w:t xml:space="preserve"> [CrossRef]</w:t>
      </w:r>
    </w:p>
    <w:p>
      <w:pPr>
        <w:pStyle w:val="MDPI32textnoindent"/>
        <w:spacing w:line="240" w:lineRule="auto" w:before="0" w:after="40"/>
        <w:ind w:left="425" w:hanging="425"/>
        <w:tabs>
          <w:tab w:val="left" w:pos="425"/>
        </w:tabs>
      </w:pPr>
      <w:bookmarkStart w:id="1016" w:name="_Ref_16"/>
      <w:r>
        <w:rPr>
          <w:b w:val="0"/>
          <w:sz w:val="18"/>
        </w:rPr>
        <w:t>16</w:t>
      </w:r>
      <w:bookmarkEnd w:id="1016"/>
      <w:r>
        <w:rPr>
          <w:sz w:val="18"/>
        </w:rPr>
        <w:t>.</w:t>
        <w:tab/>
      </w:r>
      <w:r>
        <w:rPr>
          <w:b w:val="0"/>
          <w:i w:val="0"/>
          <w:sz w:val="18"/>
        </w:rPr>
        <w:t xml:space="preserve">Oreopoulos, P.; von Wachter, T.; Heisz, A. </w:t>
      </w:r>
      <w:r>
        <w:rPr>
          <w:b w:val="0"/>
          <w:i w:val="0"/>
          <w:sz w:val="18"/>
        </w:rPr>
        <w:t xml:space="preserve">The Short- and Long-Term Career Effects of Graduating in a Recession. </w:t>
      </w:r>
      <w:r>
        <w:rPr>
          <w:b w:val="0"/>
          <w:i/>
          <w:sz w:val="18"/>
        </w:rPr>
        <w:t xml:space="preserve">Am. Econ. J. Appl. Econ. </w:t>
      </w:r>
      <w:r>
        <w:rPr>
          <w:b/>
          <w:i w:val="0"/>
          <w:sz w:val="18"/>
        </w:rPr>
        <w:t>2012</w:t>
      </w:r>
      <w:r>
        <w:rPr>
          <w:b w:val="0"/>
          <w:i w:val="0"/>
          <w:sz w:val="18"/>
        </w:rPr>
        <w:t xml:space="preserve">, </w:t>
      </w:r>
      <w:r>
        <w:rPr>
          <w:b w:val="0"/>
          <w:i/>
          <w:sz w:val="18"/>
        </w:rPr>
        <w:t>4</w:t>
      </w:r>
      <w:r>
        <w:rPr>
          <w:b w:val="0"/>
          <w:i w:val="0"/>
          <w:sz w:val="18"/>
        </w:rPr>
        <w:t>, 1–29.</w:t>
      </w:r>
      <w:r>
        <w:rPr>
          <w:b w:val="0"/>
          <w:i w:val="0"/>
          <w:sz w:val="18"/>
        </w:rPr>
        <w:t xml:space="preserve"> [CrossRef]</w:t>
      </w:r>
    </w:p>
    <w:p>
      <w:pPr>
        <w:pStyle w:val="MDPI32textnoindent"/>
        <w:spacing w:line="240" w:lineRule="auto" w:before="0" w:after="40"/>
        <w:ind w:left="425" w:hanging="425"/>
        <w:tabs>
          <w:tab w:val="left" w:pos="425"/>
        </w:tabs>
      </w:pPr>
      <w:bookmarkStart w:id="1017" w:name="_Ref_17"/>
      <w:r>
        <w:rPr>
          <w:b w:val="0"/>
          <w:sz w:val="18"/>
        </w:rPr>
        <w:t>17</w:t>
      </w:r>
      <w:bookmarkEnd w:id="1017"/>
      <w:r>
        <w:rPr>
          <w:sz w:val="18"/>
        </w:rPr>
        <w:t>.</w:t>
        <w:tab/>
      </w:r>
      <w:r>
        <w:rPr>
          <w:b w:val="0"/>
          <w:i w:val="0"/>
          <w:sz w:val="18"/>
        </w:rPr>
        <w:t xml:space="preserve">Schwandt, H.; von Wachter, T. </w:t>
      </w:r>
      <w:r>
        <w:rPr>
          <w:b w:val="0"/>
          <w:i w:val="0"/>
          <w:sz w:val="18"/>
        </w:rPr>
        <w:t xml:space="preserve">Unlucky Cohorts: Estimating the Long-Term Effects of Entering the Labor Market in a Recession in Large Cross-Sectional Data Sets. </w:t>
      </w:r>
      <w:r>
        <w:rPr>
          <w:b w:val="0"/>
          <w:i/>
          <w:sz w:val="18"/>
        </w:rPr>
        <w:t xml:space="preserve">J. Labor Econ. </w:t>
      </w:r>
      <w:r>
        <w:rPr>
          <w:b/>
          <w:i w:val="0"/>
          <w:sz w:val="18"/>
        </w:rPr>
        <w:t>2019</w:t>
      </w:r>
      <w:r>
        <w:rPr>
          <w:b w:val="0"/>
          <w:i w:val="0"/>
          <w:sz w:val="18"/>
        </w:rPr>
        <w:t xml:space="preserve">, </w:t>
      </w:r>
      <w:r>
        <w:rPr>
          <w:b w:val="0"/>
          <w:i/>
          <w:sz w:val="18"/>
        </w:rPr>
        <w:t>37</w:t>
      </w:r>
      <w:r>
        <w:rPr>
          <w:b w:val="0"/>
          <w:i w:val="0"/>
          <w:sz w:val="18"/>
        </w:rPr>
        <w:t>, S161–S198.</w:t>
      </w:r>
      <w:r>
        <w:rPr>
          <w:b w:val="0"/>
          <w:i w:val="0"/>
          <w:sz w:val="18"/>
        </w:rPr>
        <w:t xml:space="preserve"> [CrossRef]</w:t>
      </w:r>
    </w:p>
    <w:p>
      <w:pPr>
        <w:pStyle w:val="MDPI32textnoindent"/>
        <w:spacing w:line="240" w:lineRule="auto" w:before="0" w:after="40"/>
        <w:ind w:left="425" w:hanging="425"/>
        <w:tabs>
          <w:tab w:val="left" w:pos="425"/>
        </w:tabs>
      </w:pPr>
      <w:bookmarkStart w:id="1018" w:name="_Ref_18"/>
      <w:r>
        <w:rPr>
          <w:b w:val="0"/>
          <w:sz w:val="18"/>
        </w:rPr>
        <w:t>18</w:t>
      </w:r>
      <w:bookmarkEnd w:id="1018"/>
      <w:r>
        <w:rPr>
          <w:sz w:val="18"/>
        </w:rPr>
        <w:t>.</w:t>
        <w:tab/>
      </w:r>
      <w:r>
        <w:rPr>
          <w:b w:val="0"/>
          <w:i w:val="0"/>
          <w:sz w:val="18"/>
        </w:rPr>
        <w:t xml:space="preserve">von Wachter, T. </w:t>
      </w:r>
      <w:r>
        <w:rPr>
          <w:b w:val="0"/>
          <w:i w:val="0"/>
          <w:sz w:val="18"/>
        </w:rPr>
        <w:t xml:space="preserve">The Persistent Effects of Initial Labor Market Conditions for Young Adults and Their Sources. </w:t>
      </w:r>
      <w:r>
        <w:rPr>
          <w:b w:val="0"/>
          <w:i/>
          <w:sz w:val="18"/>
        </w:rPr>
        <w:t xml:space="preserve">J. Econ. Perspect. </w:t>
      </w:r>
      <w:r>
        <w:rPr>
          <w:b/>
          <w:i w:val="0"/>
          <w:sz w:val="18"/>
        </w:rPr>
        <w:t>2020</w:t>
      </w:r>
      <w:r>
        <w:rPr>
          <w:b w:val="0"/>
          <w:i w:val="0"/>
          <w:sz w:val="18"/>
        </w:rPr>
        <w:t xml:space="preserve">, </w:t>
      </w:r>
      <w:r>
        <w:rPr>
          <w:b w:val="0"/>
          <w:i/>
          <w:sz w:val="18"/>
        </w:rPr>
        <w:t>34</w:t>
      </w:r>
      <w:r>
        <w:rPr>
          <w:b w:val="0"/>
          <w:i w:val="0"/>
          <w:sz w:val="18"/>
        </w:rPr>
        <w:t>, 168–194.</w:t>
      </w:r>
      <w:r>
        <w:rPr>
          <w:b w:val="0"/>
          <w:i w:val="0"/>
          <w:sz w:val="18"/>
        </w:rPr>
        <w:t xml:space="preserve"> [CrossRef]</w:t>
      </w:r>
    </w:p>
    <w:p>
      <w:pPr>
        <w:pStyle w:val="MDPI32textnoindent"/>
        <w:spacing w:line="240" w:lineRule="auto" w:before="0" w:after="40"/>
        <w:ind w:left="425" w:hanging="425"/>
        <w:tabs>
          <w:tab w:val="left" w:pos="425"/>
        </w:tabs>
      </w:pPr>
      <w:bookmarkStart w:id="1019" w:name="_Ref_19"/>
      <w:r>
        <w:rPr>
          <w:b w:val="0"/>
          <w:sz w:val="18"/>
        </w:rPr>
        <w:t>19</w:t>
      </w:r>
      <w:bookmarkEnd w:id="1019"/>
      <w:r>
        <w:rPr>
          <w:sz w:val="18"/>
        </w:rPr>
        <w:t>.</w:t>
        <w:tab/>
      </w:r>
      <w:r>
        <w:rPr>
          <w:b w:val="0"/>
          <w:i w:val="0"/>
          <w:sz w:val="18"/>
        </w:rPr>
        <w:t xml:space="preserve">Wang, Y.-Y.; Wang, Y.-S. </w:t>
      </w:r>
      <w:r>
        <w:rPr>
          <w:b w:val="0"/>
          <w:i w:val="0"/>
          <w:sz w:val="18"/>
        </w:rPr>
        <w:t xml:space="preserve">Development and Validation of an Artificial Intelligence Anxiety Scale: An Initial Application in Predicting Motivated Learning Behavior. </w:t>
      </w:r>
      <w:r>
        <w:rPr>
          <w:b w:val="0"/>
          <w:i/>
          <w:sz w:val="18"/>
        </w:rPr>
        <w:t xml:space="preserve">Interact. Learn. Environ. </w:t>
      </w:r>
      <w:r>
        <w:rPr>
          <w:b/>
          <w:i w:val="0"/>
          <w:sz w:val="18"/>
        </w:rPr>
        <w:t>2022</w:t>
      </w:r>
      <w:r>
        <w:rPr>
          <w:b w:val="0"/>
          <w:i w:val="0"/>
          <w:sz w:val="18"/>
        </w:rPr>
        <w:t xml:space="preserve">, </w:t>
      </w:r>
      <w:r>
        <w:rPr>
          <w:b w:val="0"/>
          <w:i/>
          <w:sz w:val="18"/>
        </w:rPr>
        <w:t>30</w:t>
      </w:r>
      <w:r>
        <w:rPr>
          <w:b w:val="0"/>
          <w:i w:val="0"/>
          <w:sz w:val="18"/>
        </w:rPr>
        <w:t>, 619–634.</w:t>
      </w:r>
      <w:r>
        <w:rPr>
          <w:b w:val="0"/>
          <w:i w:val="0"/>
          <w:sz w:val="18"/>
        </w:rPr>
        <w:t xml:space="preserve"> [CrossRef]</w:t>
      </w:r>
    </w:p>
    <w:p>
      <w:pPr>
        <w:pStyle w:val="MDPI32textnoindent"/>
        <w:spacing w:line="240" w:lineRule="auto" w:before="0" w:after="40"/>
        <w:ind w:left="425" w:hanging="425"/>
        <w:tabs>
          <w:tab w:val="left" w:pos="425"/>
        </w:tabs>
      </w:pPr>
      <w:bookmarkStart w:id="1020" w:name="_Ref_20"/>
      <w:r>
        <w:rPr>
          <w:b w:val="0"/>
          <w:sz w:val="18"/>
        </w:rPr>
        <w:t>20</w:t>
      </w:r>
      <w:bookmarkEnd w:id="1020"/>
      <w:r>
        <w:rPr>
          <w:sz w:val="18"/>
        </w:rPr>
        <w:t>.</w:t>
        <w:tab/>
      </w:r>
      <w:r>
        <w:rPr>
          <w:b w:val="0"/>
          <w:i w:val="0"/>
          <w:sz w:val="18"/>
        </w:rPr>
        <w:t xml:space="preserve">Kong, H.; Yuan, Y.; Baruch, Y.; Bu, N.; Jiang, X.; Wang, K. </w:t>
      </w:r>
      <w:r>
        <w:rPr>
          <w:b w:val="0"/>
          <w:i w:val="0"/>
          <w:sz w:val="18"/>
        </w:rPr>
        <w:t xml:space="preserve">Influences of Artificial Intelligence (AI) Awareness on Career Competency and Job Burnout. </w:t>
      </w:r>
      <w:r>
        <w:rPr>
          <w:b w:val="0"/>
          <w:i/>
          <w:sz w:val="18"/>
        </w:rPr>
        <w:t xml:space="preserve">Int. J. Contemp. Hosp. Manag. </w:t>
      </w:r>
      <w:r>
        <w:rPr>
          <w:b/>
          <w:i w:val="0"/>
          <w:sz w:val="18"/>
        </w:rPr>
        <w:t>2021</w:t>
      </w:r>
      <w:r>
        <w:rPr>
          <w:b w:val="0"/>
          <w:i w:val="0"/>
          <w:sz w:val="18"/>
        </w:rPr>
        <w:t xml:space="preserve">, </w:t>
      </w:r>
      <w:r>
        <w:rPr>
          <w:b w:val="0"/>
          <w:i/>
          <w:sz w:val="18"/>
        </w:rPr>
        <w:t>33</w:t>
      </w:r>
      <w:r>
        <w:rPr>
          <w:b w:val="0"/>
          <w:i w:val="0"/>
          <w:sz w:val="18"/>
        </w:rPr>
        <w:t>, 717–734.</w:t>
      </w:r>
      <w:r>
        <w:rPr>
          <w:b w:val="0"/>
          <w:i w:val="0"/>
          <w:sz w:val="18"/>
        </w:rPr>
        <w:t xml:space="preserve"> [CrossRef]</w:t>
      </w:r>
    </w:p>
    <w:p>
      <w:pPr>
        <w:pStyle w:val="MDPI32textnoindent"/>
        <w:spacing w:line="240" w:lineRule="auto" w:before="0" w:after="40"/>
        <w:ind w:left="425" w:hanging="425"/>
        <w:tabs>
          <w:tab w:val="left" w:pos="425"/>
        </w:tabs>
      </w:pPr>
      <w:bookmarkStart w:id="1021" w:name="_Ref_21"/>
      <w:r>
        <w:rPr>
          <w:b w:val="0"/>
          <w:sz w:val="18"/>
        </w:rPr>
        <w:t>21</w:t>
      </w:r>
      <w:bookmarkEnd w:id="1021"/>
      <w:r>
        <w:rPr>
          <w:sz w:val="18"/>
        </w:rPr>
        <w:t>.</w:t>
        <w:tab/>
      </w:r>
      <w:r>
        <w:rPr>
          <w:b w:val="0"/>
          <w:i w:val="0"/>
          <w:sz w:val="18"/>
        </w:rPr>
        <w:t xml:space="preserve">Brougham, D.; Haar, J. </w:t>
      </w:r>
      <w:r>
        <w:rPr>
          <w:b w:val="0"/>
          <w:i w:val="0"/>
          <w:sz w:val="18"/>
        </w:rPr>
        <w:t xml:space="preserve">Smart Technology, Artificial Intelligence, Robotics, and Algorithms (STARA): Employees’ Perceptions of Our Future Workplace. </w:t>
      </w:r>
      <w:r>
        <w:rPr>
          <w:b w:val="0"/>
          <w:i/>
          <w:sz w:val="18"/>
        </w:rPr>
        <w:t xml:space="preserve">J. Manag. Organ. </w:t>
      </w:r>
      <w:r>
        <w:rPr>
          <w:b/>
          <w:i w:val="0"/>
          <w:sz w:val="18"/>
        </w:rPr>
        <w:t>2018</w:t>
      </w:r>
      <w:r>
        <w:rPr>
          <w:b w:val="0"/>
          <w:i w:val="0"/>
          <w:sz w:val="18"/>
        </w:rPr>
        <w:t xml:space="preserve">, </w:t>
      </w:r>
      <w:r>
        <w:rPr>
          <w:b w:val="0"/>
          <w:i/>
          <w:sz w:val="18"/>
        </w:rPr>
        <w:t>24</w:t>
      </w:r>
      <w:r>
        <w:rPr>
          <w:b w:val="0"/>
          <w:i w:val="0"/>
          <w:sz w:val="18"/>
        </w:rPr>
        <w:t>, 239–257.</w:t>
      </w:r>
      <w:r>
        <w:rPr>
          <w:b w:val="0"/>
          <w:i w:val="0"/>
          <w:sz w:val="18"/>
        </w:rPr>
        <w:t xml:space="preserve"> [CrossRef]</w:t>
      </w:r>
    </w:p>
    <w:p>
      <w:pPr>
        <w:pStyle w:val="MDPI32textnoindent"/>
        <w:spacing w:line="240" w:lineRule="auto" w:before="0" w:after="40"/>
        <w:ind w:left="425" w:hanging="425"/>
        <w:tabs>
          <w:tab w:val="left" w:pos="425"/>
        </w:tabs>
      </w:pPr>
      <w:bookmarkStart w:id="1022" w:name="_Ref_22"/>
      <w:r>
        <w:rPr>
          <w:b w:val="0"/>
          <w:sz w:val="18"/>
        </w:rPr>
        <w:t>22</w:t>
      </w:r>
      <w:bookmarkEnd w:id="1022"/>
      <w:r>
        <w:rPr>
          <w:sz w:val="18"/>
        </w:rPr>
        <w:t>.</w:t>
        <w:tab/>
      </w:r>
      <w:r>
        <w:rPr>
          <w:b w:val="0"/>
          <w:i w:val="0"/>
          <w:sz w:val="18"/>
        </w:rPr>
        <w:t xml:space="preserve">Trist, E.L.; Bamforth, K.W. </w:t>
      </w:r>
      <w:r>
        <w:rPr>
          <w:b w:val="0"/>
          <w:i w:val="0"/>
          <w:sz w:val="18"/>
        </w:rPr>
        <w:t xml:space="preserve">Some Social and Psychological Consequences of the Longwall Method of Coal-Getting. </w:t>
      </w:r>
      <w:r>
        <w:rPr>
          <w:b w:val="0"/>
          <w:i/>
          <w:sz w:val="18"/>
        </w:rPr>
        <w:t xml:space="preserve">Hum. Relat. </w:t>
      </w:r>
      <w:r>
        <w:rPr>
          <w:b/>
          <w:i w:val="0"/>
          <w:sz w:val="18"/>
        </w:rPr>
        <w:t>1951</w:t>
      </w:r>
      <w:r>
        <w:rPr>
          <w:b w:val="0"/>
          <w:i w:val="0"/>
          <w:sz w:val="18"/>
        </w:rPr>
        <w:t xml:space="preserve">, </w:t>
      </w:r>
      <w:r>
        <w:rPr>
          <w:b w:val="0"/>
          <w:i/>
          <w:sz w:val="18"/>
        </w:rPr>
        <w:t>4</w:t>
      </w:r>
      <w:r>
        <w:rPr>
          <w:b w:val="0"/>
          <w:i w:val="0"/>
          <w:sz w:val="18"/>
        </w:rPr>
        <w:t>, 3–38.</w:t>
      </w:r>
      <w:r>
        <w:rPr>
          <w:b w:val="0"/>
          <w:i w:val="0"/>
          <w:sz w:val="18"/>
        </w:rPr>
        <w:t xml:space="preserve"> [CrossRef]</w:t>
      </w:r>
    </w:p>
    <w:p>
      <w:pPr>
        <w:pStyle w:val="MDPI32textnoindent"/>
        <w:spacing w:line="240" w:lineRule="auto" w:before="0" w:after="40"/>
        <w:ind w:left="425" w:hanging="425"/>
        <w:tabs>
          <w:tab w:val="left" w:pos="425"/>
        </w:tabs>
      </w:pPr>
      <w:bookmarkStart w:id="1023" w:name="_Ref_23"/>
      <w:r>
        <w:rPr>
          <w:b w:val="0"/>
          <w:sz w:val="18"/>
        </w:rPr>
        <w:t>23</w:t>
      </w:r>
      <w:bookmarkEnd w:id="1023"/>
      <w:r>
        <w:rPr>
          <w:sz w:val="18"/>
        </w:rPr>
        <w:t>.</w:t>
        <w:tab/>
      </w:r>
      <w:r>
        <w:rPr>
          <w:b w:val="0"/>
          <w:i w:val="0"/>
          <w:sz w:val="18"/>
        </w:rPr>
        <w:t xml:space="preserve">Emery, F.E.; Trist, E.L. </w:t>
      </w:r>
      <w:r>
        <w:rPr>
          <w:b w:val="0"/>
          <w:i w:val="0"/>
          <w:sz w:val="18"/>
        </w:rPr>
        <w:t xml:space="preserve">The Causal Texture of Organizational Environments. </w:t>
      </w:r>
      <w:r>
        <w:rPr>
          <w:b w:val="0"/>
          <w:i/>
          <w:sz w:val="18"/>
        </w:rPr>
        <w:t xml:space="preserve">Hum. Relat. </w:t>
      </w:r>
      <w:r>
        <w:rPr>
          <w:b/>
          <w:i w:val="0"/>
          <w:sz w:val="18"/>
        </w:rPr>
        <w:t>1965</w:t>
      </w:r>
      <w:r>
        <w:rPr>
          <w:b w:val="0"/>
          <w:i w:val="0"/>
          <w:sz w:val="18"/>
        </w:rPr>
        <w:t xml:space="preserve">, </w:t>
      </w:r>
      <w:r>
        <w:rPr>
          <w:b w:val="0"/>
          <w:i/>
          <w:sz w:val="18"/>
        </w:rPr>
        <w:t>18</w:t>
      </w:r>
      <w:r>
        <w:rPr>
          <w:b w:val="0"/>
          <w:i w:val="0"/>
          <w:sz w:val="18"/>
        </w:rPr>
        <w:t>, 21–32.</w:t>
      </w:r>
      <w:r>
        <w:rPr>
          <w:b w:val="0"/>
          <w:i w:val="0"/>
          <w:sz w:val="18"/>
        </w:rPr>
        <w:t xml:space="preserve"> [CrossRef]</w:t>
      </w:r>
    </w:p>
    <w:p>
      <w:pPr>
        <w:pStyle w:val="MDPI32textnoindent"/>
        <w:spacing w:line="240" w:lineRule="auto" w:before="0" w:after="40"/>
        <w:ind w:left="425" w:hanging="425"/>
        <w:tabs>
          <w:tab w:val="left" w:pos="425"/>
        </w:tabs>
      </w:pPr>
      <w:bookmarkStart w:id="1024" w:name="_Ref_24"/>
      <w:r>
        <w:rPr>
          <w:b w:val="0"/>
          <w:sz w:val="18"/>
        </w:rPr>
        <w:t>24</w:t>
      </w:r>
      <w:bookmarkEnd w:id="1024"/>
      <w:r>
        <w:rPr>
          <w:sz w:val="18"/>
        </w:rPr>
        <w:t>.</w:t>
        <w:tab/>
      </w:r>
      <w:r>
        <w:rPr>
          <w:b w:val="0"/>
          <w:i w:val="0"/>
          <w:sz w:val="18"/>
        </w:rPr>
        <w:t xml:space="preserve">Carver, C.S.; Scheier, M.F. </w:t>
      </w:r>
      <w:r>
        <w:rPr>
          <w:b w:val="0"/>
          <w:i w:val="0"/>
          <w:sz w:val="18"/>
        </w:rPr>
        <w:t xml:space="preserve">Control Theory: A Useful Conceptual Framework for Personality–Social, Clinical, and Health Psychology. </w:t>
      </w:r>
      <w:r>
        <w:rPr>
          <w:b w:val="0"/>
          <w:i/>
          <w:sz w:val="18"/>
        </w:rPr>
        <w:t xml:space="preserve">Psychol. Bull. </w:t>
      </w:r>
      <w:r>
        <w:rPr>
          <w:b/>
          <w:i w:val="0"/>
          <w:sz w:val="18"/>
        </w:rPr>
        <w:t>1982</w:t>
      </w:r>
      <w:r>
        <w:rPr>
          <w:b w:val="0"/>
          <w:i w:val="0"/>
          <w:sz w:val="18"/>
        </w:rPr>
        <w:t xml:space="preserve">, </w:t>
      </w:r>
      <w:r>
        <w:rPr>
          <w:b w:val="0"/>
          <w:i/>
          <w:sz w:val="18"/>
        </w:rPr>
        <w:t>92</w:t>
      </w:r>
      <w:r>
        <w:rPr>
          <w:b w:val="0"/>
          <w:i w:val="0"/>
          <w:sz w:val="18"/>
        </w:rPr>
        <w:t>, 111–135.</w:t>
      </w:r>
      <w:r>
        <w:rPr>
          <w:b w:val="0"/>
          <w:i w:val="0"/>
          <w:sz w:val="18"/>
        </w:rPr>
        <w:t xml:space="preserve"> [CrossRef]</w:t>
      </w:r>
    </w:p>
    <w:p>
      <w:pPr>
        <w:pStyle w:val="MDPI32textnoindent"/>
        <w:spacing w:line="240" w:lineRule="auto" w:before="0" w:after="40"/>
        <w:ind w:left="425" w:hanging="425"/>
        <w:tabs>
          <w:tab w:val="left" w:pos="425"/>
        </w:tabs>
      </w:pPr>
      <w:bookmarkStart w:id="1025" w:name="_Ref_25"/>
      <w:r>
        <w:rPr>
          <w:b w:val="0"/>
          <w:sz w:val="18"/>
        </w:rPr>
        <w:t>25</w:t>
      </w:r>
      <w:bookmarkEnd w:id="1025"/>
      <w:r>
        <w:rPr>
          <w:sz w:val="18"/>
        </w:rPr>
        <w:t>.</w:t>
        <w:tab/>
      </w:r>
      <w:r>
        <w:rPr>
          <w:b w:val="0"/>
          <w:i w:val="0"/>
          <w:sz w:val="18"/>
        </w:rPr>
        <w:t xml:space="preserve">Ashby, W.R. </w:t>
      </w:r>
      <w:r>
        <w:rPr>
          <w:b w:val="0"/>
          <w:i/>
          <w:sz w:val="18"/>
        </w:rPr>
        <w:t>An Introduction to Cybernetics</w:t>
      </w:r>
      <w:r>
        <w:rPr>
          <w:b w:val="0"/>
          <w:i w:val="0"/>
          <w:sz w:val="18"/>
        </w:rPr>
        <w:t xml:space="preserve">; </w:t>
      </w:r>
      <w:r>
        <w:rPr>
          <w:b w:val="0"/>
          <w:i w:val="0"/>
          <w:sz w:val="18"/>
        </w:rPr>
        <w:t>Chapman and Hall: London, UK, 1956.</w:t>
      </w:r>
    </w:p>
    <w:p>
      <w:pPr>
        <w:pStyle w:val="MDPI32textnoindent"/>
        <w:spacing w:line="240" w:lineRule="auto" w:before="0" w:after="40"/>
        <w:ind w:left="425" w:hanging="425"/>
        <w:tabs>
          <w:tab w:val="left" w:pos="425"/>
        </w:tabs>
      </w:pPr>
      <w:bookmarkStart w:id="1026" w:name="_Ref_26"/>
      <w:r>
        <w:rPr>
          <w:b w:val="0"/>
          <w:sz w:val="18"/>
        </w:rPr>
        <w:t>26</w:t>
      </w:r>
      <w:bookmarkEnd w:id="1026"/>
      <w:r>
        <w:rPr>
          <w:sz w:val="18"/>
        </w:rPr>
        <w:t>.</w:t>
        <w:tab/>
      </w:r>
      <w:r>
        <w:rPr>
          <w:b w:val="0"/>
          <w:i w:val="0"/>
          <w:sz w:val="18"/>
        </w:rPr>
        <w:t xml:space="preserve">Edwards, J.R.; Lambert, L.S. </w:t>
      </w:r>
      <w:r>
        <w:rPr>
          <w:b w:val="0"/>
          <w:i w:val="0"/>
          <w:sz w:val="18"/>
        </w:rPr>
        <w:t xml:space="preserve">Methods for Integrating Moderation and Mediation: A General Analytical Framework Using Moderated Path Analysis. </w:t>
      </w:r>
      <w:r>
        <w:rPr>
          <w:b w:val="0"/>
          <w:i/>
          <w:sz w:val="18"/>
        </w:rPr>
        <w:t xml:space="preserve">Psychol. Methods </w:t>
      </w:r>
      <w:r>
        <w:rPr>
          <w:b/>
          <w:i w:val="0"/>
          <w:sz w:val="18"/>
        </w:rPr>
        <w:t>2007</w:t>
      </w:r>
      <w:r>
        <w:rPr>
          <w:b w:val="0"/>
          <w:i w:val="0"/>
          <w:sz w:val="18"/>
        </w:rPr>
        <w:t xml:space="preserve">, </w:t>
      </w:r>
      <w:r>
        <w:rPr>
          <w:b w:val="0"/>
          <w:i/>
          <w:sz w:val="18"/>
        </w:rPr>
        <w:t>12</w:t>
      </w:r>
      <w:r>
        <w:rPr>
          <w:b w:val="0"/>
          <w:i w:val="0"/>
          <w:sz w:val="18"/>
        </w:rPr>
        <w:t>, 1–22.</w:t>
      </w:r>
      <w:r>
        <w:rPr>
          <w:b w:val="0"/>
          <w:i w:val="0"/>
          <w:sz w:val="18"/>
        </w:rPr>
        <w:t xml:space="preserve"> [CrossRef]</w:t>
      </w:r>
    </w:p>
    <w:p>
      <w:pPr>
        <w:pStyle w:val="MDPI32textnoindent"/>
        <w:spacing w:line="240" w:lineRule="auto" w:before="0" w:after="40"/>
        <w:ind w:left="425" w:hanging="425"/>
        <w:tabs>
          <w:tab w:val="left" w:pos="425"/>
        </w:tabs>
      </w:pPr>
      <w:bookmarkStart w:id="1027" w:name="_Ref_27"/>
      <w:r>
        <w:rPr>
          <w:b w:val="0"/>
          <w:sz w:val="18"/>
        </w:rPr>
        <w:t>27</w:t>
      </w:r>
      <w:bookmarkEnd w:id="1027"/>
      <w:r>
        <w:rPr>
          <w:sz w:val="18"/>
        </w:rPr>
        <w:t>.</w:t>
        <w:tab/>
      </w:r>
      <w:r>
        <w:rPr>
          <w:b w:val="0"/>
          <w:i w:val="0"/>
          <w:sz w:val="18"/>
        </w:rPr>
        <w:t xml:space="preserve">Hayes, A.F. </w:t>
      </w:r>
      <w:r>
        <w:rPr>
          <w:b w:val="0"/>
          <w:i w:val="0"/>
          <w:sz w:val="18"/>
        </w:rPr>
        <w:t xml:space="preserve">An Index and Test of Linear Moderated Mediation. </w:t>
      </w:r>
      <w:r>
        <w:rPr>
          <w:b w:val="0"/>
          <w:i/>
          <w:sz w:val="18"/>
        </w:rPr>
        <w:t xml:space="preserve">Multivariate Behav. Res. </w:t>
      </w:r>
      <w:r>
        <w:rPr>
          <w:b/>
          <w:i w:val="0"/>
          <w:sz w:val="18"/>
        </w:rPr>
        <w:t>2015</w:t>
      </w:r>
      <w:r>
        <w:rPr>
          <w:b w:val="0"/>
          <w:i w:val="0"/>
          <w:sz w:val="18"/>
        </w:rPr>
        <w:t xml:space="preserve">, </w:t>
      </w:r>
      <w:r>
        <w:rPr>
          <w:b w:val="0"/>
          <w:i/>
          <w:sz w:val="18"/>
        </w:rPr>
        <w:t>50</w:t>
      </w:r>
      <w:r>
        <w:rPr>
          <w:b w:val="0"/>
          <w:i w:val="0"/>
          <w:sz w:val="18"/>
        </w:rPr>
        <w:t>, 1–22.</w:t>
      </w:r>
      <w:r>
        <w:rPr>
          <w:b w:val="0"/>
          <w:i w:val="0"/>
          <w:sz w:val="18"/>
        </w:rPr>
        <w:t xml:space="preserve"> [CrossRef]</w:t>
      </w:r>
    </w:p>
    <w:p>
      <w:pPr>
        <w:pStyle w:val="MDPI32textnoindent"/>
        <w:spacing w:line="240" w:lineRule="auto" w:before="0" w:after="40"/>
        <w:ind w:left="425" w:hanging="425"/>
        <w:tabs>
          <w:tab w:val="left" w:pos="425"/>
        </w:tabs>
      </w:pPr>
      <w:bookmarkStart w:id="1028" w:name="_Ref_28"/>
      <w:r>
        <w:rPr>
          <w:b w:val="0"/>
          <w:sz w:val="18"/>
        </w:rPr>
        <w:t>28</w:t>
      </w:r>
      <w:bookmarkEnd w:id="1028"/>
      <w:r>
        <w:rPr>
          <w:sz w:val="18"/>
        </w:rPr>
        <w:t>.</w:t>
        <w:tab/>
      </w:r>
      <w:r>
        <w:rPr>
          <w:b w:val="0"/>
          <w:i w:val="0"/>
          <w:sz w:val="18"/>
        </w:rPr>
        <w:t xml:space="preserve">Haans, R.F.J.; Pieters, C.; He, Z.-L. </w:t>
      </w:r>
      <w:r>
        <w:rPr>
          <w:b w:val="0"/>
          <w:i w:val="0"/>
          <w:sz w:val="18"/>
        </w:rPr>
        <w:t xml:space="preserve">Thinking about U: Theorizing and Testing U- and Inverted U-Shaped Relationships in Strategy Research. </w:t>
      </w:r>
      <w:r>
        <w:rPr>
          <w:b w:val="0"/>
          <w:i/>
          <w:sz w:val="18"/>
        </w:rPr>
        <w:t xml:space="preserve">Strateg. Manag. J. </w:t>
      </w:r>
      <w:r>
        <w:rPr>
          <w:b/>
          <w:i w:val="0"/>
          <w:sz w:val="18"/>
        </w:rPr>
        <w:t>2016</w:t>
      </w:r>
      <w:r>
        <w:rPr>
          <w:b w:val="0"/>
          <w:i w:val="0"/>
          <w:sz w:val="18"/>
        </w:rPr>
        <w:t xml:space="preserve">, </w:t>
      </w:r>
      <w:r>
        <w:rPr>
          <w:b w:val="0"/>
          <w:i/>
          <w:sz w:val="18"/>
        </w:rPr>
        <w:t>37</w:t>
      </w:r>
      <w:r>
        <w:rPr>
          <w:b w:val="0"/>
          <w:i w:val="0"/>
          <w:sz w:val="18"/>
        </w:rPr>
        <w:t>, 1177–1195.</w:t>
      </w:r>
      <w:r>
        <w:rPr>
          <w:b w:val="0"/>
          <w:i w:val="0"/>
          <w:sz w:val="18"/>
        </w:rPr>
        <w:t xml:space="preserve"> [CrossRef]</w:t>
      </w:r>
    </w:p>
    <w:p>
      <w:pPr>
        <w:pStyle w:val="MDPI32textnoindent"/>
        <w:spacing w:line="240" w:lineRule="auto" w:before="0" w:after="40"/>
        <w:ind w:left="425" w:hanging="425"/>
        <w:tabs>
          <w:tab w:val="left" w:pos="425"/>
        </w:tabs>
      </w:pPr>
      <w:bookmarkStart w:id="1029" w:name="_Ref_29"/>
      <w:r>
        <w:rPr>
          <w:b w:val="0"/>
          <w:sz w:val="18"/>
        </w:rPr>
        <w:t>29</w:t>
      </w:r>
      <w:bookmarkEnd w:id="1029"/>
      <w:r>
        <w:rPr>
          <w:sz w:val="18"/>
        </w:rPr>
        <w:t>.</w:t>
        <w:tab/>
      </w:r>
      <w:r>
        <w:rPr>
          <w:b w:val="0"/>
          <w:i w:val="0"/>
          <w:sz w:val="18"/>
        </w:rPr>
        <w:t xml:space="preserve">Ragin, C.C. </w:t>
      </w:r>
      <w:r>
        <w:rPr>
          <w:b w:val="0"/>
          <w:i/>
          <w:sz w:val="18"/>
        </w:rPr>
        <w:t>Redesigning Social Inquiry: Fuzzy Sets and Beyond</w:t>
      </w:r>
      <w:r>
        <w:rPr>
          <w:b w:val="0"/>
          <w:i w:val="0"/>
          <w:sz w:val="18"/>
        </w:rPr>
        <w:t xml:space="preserve">; </w:t>
      </w:r>
      <w:r>
        <w:rPr>
          <w:b w:val="0"/>
          <w:i w:val="0"/>
          <w:sz w:val="18"/>
        </w:rPr>
        <w:t>University of Chicago Press: Chicago, IL, USA, 2008.</w:t>
      </w:r>
    </w:p>
    <w:p>
      <w:pPr>
        <w:pStyle w:val="MDPI32textnoindent"/>
        <w:spacing w:line="240" w:lineRule="auto" w:before="0" w:after="40"/>
        <w:ind w:left="425" w:hanging="425"/>
        <w:tabs>
          <w:tab w:val="left" w:pos="425"/>
        </w:tabs>
      </w:pPr>
      <w:bookmarkStart w:id="1030" w:name="_Ref_30"/>
      <w:r>
        <w:rPr>
          <w:b w:val="0"/>
          <w:sz w:val="18"/>
        </w:rPr>
        <w:t>30</w:t>
      </w:r>
      <w:bookmarkEnd w:id="1030"/>
      <w:r>
        <w:rPr>
          <w:sz w:val="18"/>
        </w:rPr>
        <w:t>.</w:t>
        <w:tab/>
      </w:r>
      <w:r>
        <w:rPr>
          <w:b w:val="0"/>
          <w:i w:val="0"/>
          <w:sz w:val="18"/>
        </w:rPr>
        <w:t xml:space="preserve">Fiss, P.C. </w:t>
      </w:r>
      <w:r>
        <w:rPr>
          <w:b w:val="0"/>
          <w:i w:val="0"/>
          <w:sz w:val="18"/>
        </w:rPr>
        <w:t xml:space="preserve">Building Better Causal Theories: A Fuzzy Set Approach to Typologies in Organization Research. </w:t>
      </w:r>
      <w:r>
        <w:rPr>
          <w:b w:val="0"/>
          <w:i/>
          <w:sz w:val="18"/>
        </w:rPr>
        <w:t xml:space="preserve">Acad. Manag. J. </w:t>
      </w:r>
      <w:r>
        <w:rPr>
          <w:b/>
          <w:i w:val="0"/>
          <w:sz w:val="18"/>
        </w:rPr>
        <w:t>2011</w:t>
      </w:r>
      <w:r>
        <w:rPr>
          <w:b w:val="0"/>
          <w:i w:val="0"/>
          <w:sz w:val="18"/>
        </w:rPr>
        <w:t xml:space="preserve">, </w:t>
      </w:r>
      <w:r>
        <w:rPr>
          <w:b w:val="0"/>
          <w:i/>
          <w:sz w:val="18"/>
        </w:rPr>
        <w:t>54</w:t>
      </w:r>
      <w:r>
        <w:rPr>
          <w:b w:val="0"/>
          <w:i w:val="0"/>
          <w:sz w:val="18"/>
        </w:rPr>
        <w:t>, 393–420.</w:t>
      </w:r>
      <w:r>
        <w:rPr>
          <w:b w:val="0"/>
          <w:i w:val="0"/>
          <w:sz w:val="18"/>
        </w:rPr>
        <w:t xml:space="preserve"> [CrossRef]</w:t>
      </w:r>
    </w:p>
    <w:p>
      <w:pPr>
        <w:pStyle w:val="MDPI32textnoindent"/>
        <w:spacing w:line="240" w:lineRule="auto" w:before="0" w:after="40"/>
        <w:ind w:left="425" w:hanging="425"/>
        <w:tabs>
          <w:tab w:val="left" w:pos="425"/>
        </w:tabs>
      </w:pPr>
      <w:bookmarkStart w:id="1031" w:name="_Ref_31"/>
      <w:r>
        <w:rPr>
          <w:b w:val="0"/>
          <w:sz w:val="18"/>
        </w:rPr>
        <w:t>31</w:t>
      </w:r>
      <w:bookmarkEnd w:id="1031"/>
      <w:r>
        <w:rPr>
          <w:sz w:val="18"/>
        </w:rPr>
        <w:t>.</w:t>
        <w:tab/>
      </w:r>
      <w:r>
        <w:rPr>
          <w:b w:val="0"/>
          <w:i w:val="0"/>
          <w:sz w:val="18"/>
        </w:rPr>
        <w:t xml:space="preserve">Pappas, I.O.; Woodside, A.G. </w:t>
      </w:r>
      <w:r>
        <w:rPr>
          <w:b w:val="0"/>
          <w:i w:val="0"/>
          <w:sz w:val="18"/>
        </w:rPr>
        <w:t xml:space="preserve">Fuzzy-Set Qualitative Comparative Analysis (fsQCA): Guidelines for Research Practice in Information Systems and Marketing. </w:t>
      </w:r>
      <w:r>
        <w:rPr>
          <w:b w:val="0"/>
          <w:i/>
          <w:sz w:val="18"/>
        </w:rPr>
        <w:t xml:space="preserve">Int. J. Inf. Manag. </w:t>
      </w:r>
      <w:r>
        <w:rPr>
          <w:b/>
          <w:i w:val="0"/>
          <w:sz w:val="18"/>
        </w:rPr>
        <w:t>2021</w:t>
      </w:r>
      <w:r>
        <w:rPr>
          <w:b w:val="0"/>
          <w:i w:val="0"/>
          <w:sz w:val="18"/>
        </w:rPr>
        <w:t xml:space="preserve">, </w:t>
      </w:r>
      <w:r>
        <w:rPr>
          <w:b w:val="0"/>
          <w:i/>
          <w:sz w:val="18"/>
        </w:rPr>
        <w:t>58</w:t>
      </w:r>
      <w:r>
        <w:rPr>
          <w:b w:val="0"/>
          <w:i w:val="0"/>
          <w:sz w:val="18"/>
        </w:rPr>
        <w:t>, 102310.</w:t>
      </w:r>
      <w:r>
        <w:rPr>
          <w:b w:val="0"/>
          <w:i w:val="0"/>
          <w:sz w:val="18"/>
        </w:rPr>
        <w:t xml:space="preserve"> [CrossRef]</w:t>
      </w:r>
    </w:p>
    <w:p>
      <w:pPr>
        <w:pStyle w:val="MDPI32textnoindent"/>
        <w:spacing w:line="240" w:lineRule="auto" w:before="0" w:after="40"/>
        <w:ind w:left="425" w:hanging="425"/>
        <w:tabs>
          <w:tab w:val="left" w:pos="425"/>
        </w:tabs>
      </w:pPr>
      <w:bookmarkStart w:id="1032" w:name="_Ref_32"/>
      <w:r>
        <w:rPr>
          <w:b w:val="0"/>
          <w:sz w:val="18"/>
        </w:rPr>
        <w:t>32</w:t>
      </w:r>
      <w:bookmarkEnd w:id="1032"/>
      <w:r>
        <w:rPr>
          <w:sz w:val="18"/>
        </w:rPr>
        <w:t>.</w:t>
        <w:tab/>
      </w:r>
      <w:r>
        <w:rPr>
          <w:b w:val="0"/>
          <w:i w:val="0"/>
          <w:sz w:val="18"/>
        </w:rPr>
        <w:t xml:space="preserve">Greckhamer, T.; Furnari, S.; Fiss, P.C.; Aguilera, R.V. </w:t>
      </w:r>
      <w:r>
        <w:rPr>
          <w:b w:val="0"/>
          <w:i w:val="0"/>
          <w:sz w:val="18"/>
        </w:rPr>
        <w:t xml:space="preserve">Studying Configurations with Qualitative Comparative Analysis: Best Practices in Strategy and Organization Research. </w:t>
      </w:r>
      <w:r>
        <w:rPr>
          <w:b w:val="0"/>
          <w:i/>
          <w:sz w:val="18"/>
        </w:rPr>
        <w:t xml:space="preserve">Strateg. Organ. </w:t>
      </w:r>
      <w:r>
        <w:rPr>
          <w:b/>
          <w:i w:val="0"/>
          <w:sz w:val="18"/>
        </w:rPr>
        <w:t>2018</w:t>
      </w:r>
      <w:r>
        <w:rPr>
          <w:b w:val="0"/>
          <w:i w:val="0"/>
          <w:sz w:val="18"/>
        </w:rPr>
        <w:t xml:space="preserve">, </w:t>
      </w:r>
      <w:r>
        <w:rPr>
          <w:b w:val="0"/>
          <w:i/>
          <w:sz w:val="18"/>
        </w:rPr>
        <w:t>16</w:t>
      </w:r>
      <w:r>
        <w:rPr>
          <w:b w:val="0"/>
          <w:i w:val="0"/>
          <w:sz w:val="18"/>
        </w:rPr>
        <w:t>, 482–495.</w:t>
      </w:r>
      <w:r>
        <w:rPr>
          <w:b w:val="0"/>
          <w:i w:val="0"/>
          <w:sz w:val="18"/>
        </w:rPr>
        <w:t xml:space="preserve"> [CrossRef]</w:t>
      </w:r>
    </w:p>
    <w:p>
      <w:pPr>
        <w:pStyle w:val="MDPI32textnoindent"/>
        <w:spacing w:line="240" w:lineRule="auto" w:before="0" w:after="40"/>
        <w:ind w:left="425" w:hanging="425"/>
        <w:tabs>
          <w:tab w:val="left" w:pos="425"/>
        </w:tabs>
      </w:pPr>
      <w:bookmarkStart w:id="1033" w:name="_Ref_33"/>
      <w:r>
        <w:rPr>
          <w:b w:val="0"/>
          <w:sz w:val="18"/>
        </w:rPr>
        <w:t>33</w:t>
      </w:r>
      <w:bookmarkEnd w:id="1033"/>
      <w:r>
        <w:rPr>
          <w:sz w:val="18"/>
        </w:rPr>
        <w:t>.</w:t>
        <w:tab/>
      </w:r>
      <w:r>
        <w:rPr>
          <w:b w:val="0"/>
          <w:i w:val="0"/>
          <w:sz w:val="18"/>
        </w:rPr>
        <w:t xml:space="preserve">Babina, T.; Fedyk, A.; He, A.; Hodson, J. </w:t>
      </w:r>
      <w:r>
        <w:rPr>
          <w:b w:val="0"/>
          <w:i w:val="0"/>
          <w:sz w:val="18"/>
        </w:rPr>
        <w:t xml:space="preserve">Artificial Intelligence, Firm Growth, and Product Innovation. </w:t>
      </w:r>
      <w:r>
        <w:rPr>
          <w:b w:val="0"/>
          <w:i/>
          <w:sz w:val="18"/>
        </w:rPr>
        <w:t xml:space="preserve">J. Financ. Econ. </w:t>
      </w:r>
      <w:r>
        <w:rPr>
          <w:b/>
          <w:i w:val="0"/>
          <w:sz w:val="18"/>
        </w:rPr>
        <w:t>2024</w:t>
      </w:r>
      <w:r>
        <w:rPr>
          <w:b w:val="0"/>
          <w:i w:val="0"/>
          <w:sz w:val="18"/>
        </w:rPr>
        <w:t xml:space="preserve">, </w:t>
      </w:r>
      <w:r>
        <w:rPr>
          <w:b w:val="0"/>
          <w:i/>
          <w:sz w:val="18"/>
        </w:rPr>
        <w:t>151</w:t>
      </w:r>
      <w:r>
        <w:rPr>
          <w:b w:val="0"/>
          <w:i w:val="0"/>
          <w:sz w:val="18"/>
        </w:rPr>
        <w:t>, 103745.</w:t>
      </w:r>
      <w:r>
        <w:rPr>
          <w:b w:val="0"/>
          <w:i w:val="0"/>
          <w:sz w:val="18"/>
        </w:rPr>
        <w:t xml:space="preserve"> [CrossRef]</w:t>
      </w:r>
    </w:p>
    <w:p>
      <w:pPr>
        <w:pStyle w:val="MDPI32textnoindent"/>
        <w:spacing w:line="240" w:lineRule="auto" w:before="0" w:after="40"/>
        <w:ind w:left="425" w:hanging="425"/>
        <w:tabs>
          <w:tab w:val="left" w:pos="425"/>
        </w:tabs>
      </w:pPr>
      <w:bookmarkStart w:id="1034" w:name="_Ref_34"/>
      <w:r>
        <w:rPr>
          <w:b w:val="0"/>
          <w:sz w:val="18"/>
        </w:rPr>
        <w:t>34</w:t>
      </w:r>
      <w:bookmarkEnd w:id="1034"/>
      <w:r>
        <w:rPr>
          <w:sz w:val="18"/>
        </w:rPr>
        <w:t>.</w:t>
        <w:tab/>
      </w:r>
      <w:r>
        <w:rPr>
          <w:b w:val="0"/>
          <w:i w:val="0"/>
          <w:sz w:val="18"/>
        </w:rPr>
        <w:t xml:space="preserve">Tarafdar, M.; Tu, Q.; Ragu-Nathan, B.S.; Ragu-Nathan, T.S. </w:t>
      </w:r>
      <w:r>
        <w:rPr>
          <w:b w:val="0"/>
          <w:i w:val="0"/>
          <w:sz w:val="18"/>
        </w:rPr>
        <w:t xml:space="preserve">The Impact of Technostress on Role Stress and Productivity. </w:t>
      </w:r>
      <w:r>
        <w:rPr>
          <w:b w:val="0"/>
          <w:i/>
          <w:sz w:val="18"/>
        </w:rPr>
        <w:t xml:space="preserve">J. Manag. Inf. Syst. </w:t>
      </w:r>
      <w:r>
        <w:rPr>
          <w:b/>
          <w:i w:val="0"/>
          <w:sz w:val="18"/>
        </w:rPr>
        <w:t>2007</w:t>
      </w:r>
      <w:r>
        <w:rPr>
          <w:b w:val="0"/>
          <w:i w:val="0"/>
          <w:sz w:val="18"/>
        </w:rPr>
        <w:t xml:space="preserve">, </w:t>
      </w:r>
      <w:r>
        <w:rPr>
          <w:b w:val="0"/>
          <w:i/>
          <w:sz w:val="18"/>
        </w:rPr>
        <w:t>24</w:t>
      </w:r>
      <w:r>
        <w:rPr>
          <w:b w:val="0"/>
          <w:i w:val="0"/>
          <w:sz w:val="18"/>
        </w:rPr>
        <w:t>, 301–328.</w:t>
      </w:r>
      <w:r>
        <w:rPr>
          <w:b w:val="0"/>
          <w:i w:val="0"/>
          <w:sz w:val="18"/>
        </w:rPr>
        <w:t xml:space="preserve"> [CrossRef]</w:t>
      </w:r>
    </w:p>
    <w:p>
      <w:pPr>
        <w:pStyle w:val="MDPI32textnoindent"/>
        <w:spacing w:line="240" w:lineRule="auto" w:before="0" w:after="40"/>
        <w:ind w:left="425" w:hanging="425"/>
        <w:tabs>
          <w:tab w:val="left" w:pos="425"/>
        </w:tabs>
      </w:pPr>
      <w:bookmarkStart w:id="1035" w:name="_Ref_35"/>
      <w:r>
        <w:rPr>
          <w:b w:val="0"/>
          <w:sz w:val="18"/>
        </w:rPr>
        <w:t>35</w:t>
      </w:r>
      <w:bookmarkEnd w:id="1035"/>
      <w:r>
        <w:rPr>
          <w:sz w:val="18"/>
        </w:rPr>
        <w:t>.</w:t>
        <w:tab/>
      </w:r>
      <w:r>
        <w:rPr>
          <w:b w:val="0"/>
          <w:i w:val="0"/>
          <w:sz w:val="18"/>
        </w:rPr>
        <w:t xml:space="preserve">Holland, J.H. </w:t>
      </w:r>
      <w:r>
        <w:rPr>
          <w:b w:val="0"/>
          <w:i/>
          <w:sz w:val="18"/>
        </w:rPr>
        <w:t>Hidden Order: How Adaptation Builds Complexity</w:t>
      </w:r>
      <w:r>
        <w:rPr>
          <w:b w:val="0"/>
          <w:i w:val="0"/>
          <w:sz w:val="18"/>
        </w:rPr>
        <w:t xml:space="preserve">; </w:t>
      </w:r>
      <w:r>
        <w:rPr>
          <w:b w:val="0"/>
          <w:i w:val="0"/>
          <w:sz w:val="18"/>
        </w:rPr>
        <w:t>Addison-Wesley: Reading, MA, USA, 1995.</w:t>
      </w:r>
    </w:p>
    <w:p>
      <w:pPr>
        <w:pStyle w:val="MDPI32textnoindent"/>
        <w:spacing w:line="240" w:lineRule="auto" w:before="0" w:after="40"/>
        <w:ind w:left="425" w:hanging="425"/>
        <w:tabs>
          <w:tab w:val="left" w:pos="425"/>
        </w:tabs>
      </w:pPr>
      <w:bookmarkStart w:id="1036" w:name="_Ref_36"/>
      <w:r>
        <w:rPr>
          <w:b w:val="0"/>
          <w:sz w:val="18"/>
        </w:rPr>
        <w:t>36</w:t>
      </w:r>
      <w:bookmarkEnd w:id="1036"/>
      <w:r>
        <w:rPr>
          <w:sz w:val="18"/>
        </w:rPr>
        <w:t>.</w:t>
        <w:tab/>
      </w:r>
      <w:r>
        <w:rPr>
          <w:b w:val="0"/>
          <w:i w:val="0"/>
          <w:sz w:val="18"/>
        </w:rPr>
        <w:t xml:space="preserve">Dwivedi, Y.K.; Kshetri, N.; Hughes, L.; Slade, E.L.; Jeyaraj, A.; Kar, A.K.; Baabdullah, A.M.; Koohang, A.; Raghavan, V.; Ahuja, M.; et al. </w:t>
      </w:r>
      <w:r>
        <w:rPr>
          <w:b w:val="0"/>
          <w:i w:val="0"/>
          <w:sz w:val="18"/>
        </w:rPr>
        <w:t xml:space="preserve">Opinion Paper: “So What If ChatGPT Wrote It?” Multidisciplinary Perspectives on Opportunities, Challenges and Implications of Generative Conversational AI for Research, Practice and Policy. </w:t>
      </w:r>
      <w:r>
        <w:rPr>
          <w:b w:val="0"/>
          <w:i/>
          <w:sz w:val="18"/>
        </w:rPr>
        <w:t xml:space="preserve">Int. J. Inf. Manag. </w:t>
      </w:r>
      <w:r>
        <w:rPr>
          <w:b/>
          <w:i w:val="0"/>
          <w:sz w:val="18"/>
        </w:rPr>
        <w:t>2023</w:t>
      </w:r>
      <w:r>
        <w:rPr>
          <w:b w:val="0"/>
          <w:i w:val="0"/>
          <w:sz w:val="18"/>
        </w:rPr>
        <w:t xml:space="preserve">, </w:t>
      </w:r>
      <w:r>
        <w:rPr>
          <w:b w:val="0"/>
          <w:i/>
          <w:sz w:val="18"/>
        </w:rPr>
        <w:t>71</w:t>
      </w:r>
      <w:r>
        <w:rPr>
          <w:b w:val="0"/>
          <w:i w:val="0"/>
          <w:sz w:val="18"/>
        </w:rPr>
        <w:t>, 102642.</w:t>
      </w:r>
      <w:r>
        <w:rPr>
          <w:b w:val="0"/>
          <w:i w:val="0"/>
          <w:sz w:val="18"/>
        </w:rPr>
        <w:t xml:space="preserve"> [CrossRef]</w:t>
      </w:r>
    </w:p>
    <w:p>
      <w:pPr>
        <w:pStyle w:val="MDPI32textnoindent"/>
        <w:spacing w:line="240" w:lineRule="auto" w:before="0" w:after="40"/>
        <w:ind w:left="425" w:hanging="425"/>
        <w:tabs>
          <w:tab w:val="left" w:pos="425"/>
        </w:tabs>
      </w:pPr>
      <w:bookmarkStart w:id="1037" w:name="_Ref_37"/>
      <w:r>
        <w:rPr>
          <w:b w:val="0"/>
          <w:sz w:val="18"/>
        </w:rPr>
        <w:t>37</w:t>
      </w:r>
      <w:bookmarkEnd w:id="1037"/>
      <w:r>
        <w:rPr>
          <w:sz w:val="18"/>
        </w:rPr>
        <w:t>.</w:t>
        <w:tab/>
      </w:r>
      <w:r>
        <w:rPr>
          <w:b w:val="0"/>
          <w:i w:val="0"/>
          <w:sz w:val="18"/>
        </w:rPr>
        <w:t xml:space="preserve">Janssen, M. </w:t>
      </w:r>
      <w:r>
        <w:rPr>
          <w:b w:val="0"/>
          <w:i w:val="0"/>
          <w:sz w:val="18"/>
        </w:rPr>
        <w:t xml:space="preserve">Responsible Governance of Generative AI: Conceptualizing GenAI as Complex Adaptive Systems. </w:t>
      </w:r>
      <w:r>
        <w:rPr>
          <w:b w:val="0"/>
          <w:i/>
          <w:sz w:val="18"/>
        </w:rPr>
        <w:t xml:space="preserve">Policy Soc. </w:t>
      </w:r>
      <w:r>
        <w:rPr>
          <w:b/>
          <w:i w:val="0"/>
          <w:sz w:val="18"/>
        </w:rPr>
        <w:t>2025</w:t>
      </w:r>
      <w:r>
        <w:rPr>
          <w:b w:val="0"/>
          <w:i w:val="0"/>
          <w:sz w:val="18"/>
        </w:rPr>
        <w:t xml:space="preserve">, </w:t>
      </w:r>
      <w:r>
        <w:rPr>
          <w:b w:val="0"/>
          <w:i/>
          <w:sz w:val="18"/>
        </w:rPr>
        <w:t>44</w:t>
      </w:r>
      <w:r>
        <w:rPr>
          <w:b w:val="0"/>
          <w:i w:val="0"/>
          <w:sz w:val="18"/>
        </w:rPr>
        <w:t>, 38–51.</w:t>
      </w:r>
      <w:r>
        <w:rPr>
          <w:b w:val="0"/>
          <w:i w:val="0"/>
          <w:sz w:val="18"/>
        </w:rPr>
        <w:t xml:space="preserve"> [CrossRef]</w:t>
      </w:r>
    </w:p>
    <w:p>
      <w:pPr>
        <w:pStyle w:val="MDPI32textnoindent"/>
        <w:spacing w:line="240" w:lineRule="auto" w:before="0" w:after="40"/>
        <w:ind w:left="425" w:hanging="425"/>
        <w:tabs>
          <w:tab w:val="left" w:pos="425"/>
        </w:tabs>
      </w:pPr>
      <w:bookmarkStart w:id="1038" w:name="_Ref_38"/>
      <w:r>
        <w:rPr>
          <w:b w:val="0"/>
          <w:sz w:val="18"/>
        </w:rPr>
        <w:t>38</w:t>
      </w:r>
      <w:bookmarkEnd w:id="1038"/>
      <w:r>
        <w:rPr>
          <w:sz w:val="18"/>
        </w:rPr>
        <w:t>.</w:t>
        <w:tab/>
      </w:r>
      <w:r>
        <w:rPr>
          <w:b w:val="0"/>
          <w:i w:val="0"/>
          <w:sz w:val="18"/>
        </w:rPr>
        <w:t xml:space="preserve">von Bertalanffy, L. </w:t>
      </w:r>
      <w:r>
        <w:rPr>
          <w:b w:val="0"/>
          <w:i/>
          <w:sz w:val="18"/>
        </w:rPr>
        <w:t>General System Theory: Foundations, Development, Applications</w:t>
      </w:r>
      <w:r>
        <w:rPr>
          <w:b w:val="0"/>
          <w:i w:val="0"/>
          <w:sz w:val="18"/>
        </w:rPr>
        <w:t xml:space="preserve">; </w:t>
      </w:r>
      <w:r>
        <w:rPr>
          <w:b w:val="0"/>
          <w:i w:val="0"/>
          <w:sz w:val="18"/>
        </w:rPr>
        <w:t>George Braziller: New York, NY, USA, 1968.</w:t>
      </w:r>
    </w:p>
    <w:p>
      <w:pPr>
        <w:pStyle w:val="MDPI32textnoindent"/>
        <w:spacing w:line="240" w:lineRule="auto" w:before="0" w:after="40"/>
        <w:ind w:left="425" w:hanging="425"/>
        <w:tabs>
          <w:tab w:val="left" w:pos="425"/>
        </w:tabs>
      </w:pPr>
      <w:bookmarkStart w:id="1039" w:name="_Ref_39"/>
      <w:r>
        <w:rPr>
          <w:b w:val="0"/>
          <w:sz w:val="18"/>
        </w:rPr>
        <w:t>39</w:t>
      </w:r>
      <w:bookmarkEnd w:id="1039"/>
      <w:r>
        <w:rPr>
          <w:sz w:val="18"/>
        </w:rPr>
        <w:t>.</w:t>
        <w:tab/>
      </w:r>
      <w:r>
        <w:rPr>
          <w:b w:val="0"/>
          <w:i w:val="0"/>
          <w:sz w:val="18"/>
        </w:rPr>
        <w:t xml:space="preserve">Checkland, P. </w:t>
      </w:r>
      <w:r>
        <w:rPr>
          <w:b w:val="0"/>
          <w:i/>
          <w:sz w:val="18"/>
        </w:rPr>
        <w:t>Systems Thinking, Systems Practice</w:t>
      </w:r>
      <w:r>
        <w:rPr>
          <w:b w:val="0"/>
          <w:i w:val="0"/>
          <w:sz w:val="18"/>
        </w:rPr>
        <w:t xml:space="preserve">; </w:t>
      </w:r>
      <w:r>
        <w:rPr>
          <w:b w:val="0"/>
          <w:i w:val="0"/>
          <w:sz w:val="18"/>
        </w:rPr>
        <w:t>Wiley: Chichester, UK, 1981.</w:t>
      </w:r>
    </w:p>
    <w:p>
      <w:pPr>
        <w:pStyle w:val="MDPI32textnoindent"/>
        <w:spacing w:line="240" w:lineRule="auto" w:before="0" w:after="40"/>
        <w:ind w:left="425" w:hanging="425"/>
        <w:tabs>
          <w:tab w:val="left" w:pos="425"/>
        </w:tabs>
      </w:pPr>
      <w:bookmarkStart w:id="1040" w:name="_Ref_40"/>
      <w:r>
        <w:rPr>
          <w:b w:val="0"/>
          <w:sz w:val="18"/>
        </w:rPr>
        <w:t>40</w:t>
      </w:r>
      <w:bookmarkEnd w:id="1040"/>
      <w:r>
        <w:rPr>
          <w:sz w:val="18"/>
        </w:rPr>
        <w:t>.</w:t>
        <w:tab/>
      </w:r>
      <w:r>
        <w:rPr>
          <w:b w:val="0"/>
          <w:i w:val="0"/>
          <w:sz w:val="18"/>
        </w:rPr>
        <w:t xml:space="preserve">Forrester, J.W. </w:t>
      </w:r>
      <w:r>
        <w:rPr>
          <w:b w:val="0"/>
          <w:i/>
          <w:sz w:val="18"/>
        </w:rPr>
        <w:t>Industrial Dynamics</w:t>
      </w:r>
      <w:r>
        <w:rPr>
          <w:b w:val="0"/>
          <w:i w:val="0"/>
          <w:sz w:val="18"/>
        </w:rPr>
        <w:t xml:space="preserve">; </w:t>
      </w:r>
      <w:r>
        <w:rPr>
          <w:b w:val="0"/>
          <w:i w:val="0"/>
          <w:sz w:val="18"/>
        </w:rPr>
        <w:t>MIT Press: Cambridge, MA, USA, 1961.</w:t>
      </w:r>
    </w:p>
    <w:p>
      <w:pPr>
        <w:pStyle w:val="MDPI32textnoindent"/>
        <w:spacing w:line="240" w:lineRule="auto" w:before="0" w:after="40"/>
        <w:ind w:left="425" w:hanging="425"/>
        <w:tabs>
          <w:tab w:val="left" w:pos="425"/>
        </w:tabs>
      </w:pPr>
      <w:bookmarkStart w:id="1041" w:name="_Ref_41"/>
      <w:r>
        <w:rPr>
          <w:b w:val="0"/>
          <w:sz w:val="18"/>
        </w:rPr>
        <w:t>41</w:t>
      </w:r>
      <w:bookmarkEnd w:id="1041"/>
      <w:r>
        <w:rPr>
          <w:sz w:val="18"/>
        </w:rPr>
        <w:t>.</w:t>
        <w:tab/>
      </w:r>
      <w:r>
        <w:rPr>
          <w:b w:val="0"/>
          <w:i w:val="0"/>
          <w:sz w:val="18"/>
        </w:rPr>
        <w:t xml:space="preserve">Sterman, J.D. </w:t>
      </w:r>
      <w:r>
        <w:rPr>
          <w:b w:val="0"/>
          <w:i/>
          <w:sz w:val="18"/>
        </w:rPr>
        <w:t>Business Dynamics: Systems Thinking and Modeling for a Complex World</w:t>
      </w:r>
      <w:r>
        <w:rPr>
          <w:b w:val="0"/>
          <w:i w:val="0"/>
          <w:sz w:val="18"/>
        </w:rPr>
        <w:t xml:space="preserve">; </w:t>
      </w:r>
      <w:r>
        <w:rPr>
          <w:b w:val="0"/>
          <w:i w:val="0"/>
          <w:sz w:val="18"/>
        </w:rPr>
        <w:t>Irwin/McGraw-Hill: Boston, MA, USA, 2000.</w:t>
      </w:r>
    </w:p>
    <w:p>
      <w:pPr>
        <w:pStyle w:val="MDPI32textnoindent"/>
        <w:spacing w:line="240" w:lineRule="auto" w:before="0" w:after="40"/>
        <w:ind w:left="425" w:hanging="425"/>
        <w:tabs>
          <w:tab w:val="left" w:pos="425"/>
        </w:tabs>
      </w:pPr>
      <w:bookmarkStart w:id="1042" w:name="_Ref_42"/>
      <w:r>
        <w:rPr>
          <w:b w:val="0"/>
          <w:sz w:val="18"/>
        </w:rPr>
        <w:t>42</w:t>
      </w:r>
      <w:bookmarkEnd w:id="1042"/>
      <w:r>
        <w:rPr>
          <w:sz w:val="18"/>
        </w:rPr>
        <w:t>.</w:t>
        <w:tab/>
      </w:r>
      <w:r>
        <w:rPr>
          <w:b w:val="0"/>
          <w:i w:val="0"/>
          <w:sz w:val="18"/>
        </w:rPr>
        <w:t xml:space="preserve">Beer, S. </w:t>
      </w:r>
      <w:r>
        <w:rPr>
          <w:b w:val="0"/>
          <w:i/>
          <w:sz w:val="18"/>
        </w:rPr>
        <w:t>Brain of the Firm</w:t>
      </w:r>
      <w:r>
        <w:rPr>
          <w:b w:val="0"/>
          <w:i w:val="0"/>
          <w:sz w:val="18"/>
        </w:rPr>
        <w:t xml:space="preserve">, 2nd ed.; </w:t>
      </w:r>
      <w:r>
        <w:rPr>
          <w:b w:val="0"/>
          <w:i w:val="0"/>
          <w:sz w:val="18"/>
        </w:rPr>
        <w:t>Wiley: Chichester, UK, 1981.</w:t>
      </w:r>
    </w:p>
    <w:p>
      <w:pPr>
        <w:pStyle w:val="MDPI32textnoindent"/>
        <w:spacing w:line="240" w:lineRule="auto" w:before="0" w:after="40"/>
        <w:ind w:left="425" w:hanging="425"/>
        <w:tabs>
          <w:tab w:val="left" w:pos="425"/>
        </w:tabs>
      </w:pPr>
      <w:bookmarkStart w:id="1043" w:name="_Ref_43"/>
      <w:r>
        <w:rPr>
          <w:b w:val="0"/>
          <w:sz w:val="18"/>
        </w:rPr>
        <w:t>43</w:t>
      </w:r>
      <w:bookmarkEnd w:id="1043"/>
      <w:r>
        <w:rPr>
          <w:sz w:val="18"/>
        </w:rPr>
        <w:t>.</w:t>
        <w:tab/>
      </w:r>
      <w:r>
        <w:rPr>
          <w:b w:val="0"/>
          <w:i w:val="0"/>
          <w:sz w:val="18"/>
        </w:rPr>
        <w:t xml:space="preserve">Autor, D.H.; Levy, F.; Murnane, R.J. </w:t>
      </w:r>
      <w:r>
        <w:rPr>
          <w:b w:val="0"/>
          <w:i w:val="0"/>
          <w:sz w:val="18"/>
        </w:rPr>
        <w:t xml:space="preserve">The Skill Content of Recent Technological Change: An Empirical Exploration. </w:t>
      </w:r>
      <w:r>
        <w:rPr>
          <w:b w:val="0"/>
          <w:i/>
          <w:sz w:val="18"/>
        </w:rPr>
        <w:t xml:space="preserve">Q. J. Econ. </w:t>
      </w:r>
      <w:r>
        <w:rPr>
          <w:b/>
          <w:i w:val="0"/>
          <w:sz w:val="18"/>
        </w:rPr>
        <w:t>2003</w:t>
      </w:r>
      <w:r>
        <w:rPr>
          <w:b w:val="0"/>
          <w:i w:val="0"/>
          <w:sz w:val="18"/>
        </w:rPr>
        <w:t xml:space="preserve">, </w:t>
      </w:r>
      <w:r>
        <w:rPr>
          <w:b w:val="0"/>
          <w:i/>
          <w:sz w:val="18"/>
        </w:rPr>
        <w:t>118</w:t>
      </w:r>
      <w:r>
        <w:rPr>
          <w:b w:val="0"/>
          <w:i w:val="0"/>
          <w:sz w:val="18"/>
        </w:rPr>
        <w:t>, 1279–1333.</w:t>
      </w:r>
      <w:r>
        <w:rPr>
          <w:b w:val="0"/>
          <w:i w:val="0"/>
          <w:sz w:val="18"/>
        </w:rPr>
        <w:t xml:space="preserve"> [CrossRef]</w:t>
      </w:r>
    </w:p>
    <w:p>
      <w:pPr>
        <w:pStyle w:val="MDPI32textnoindent"/>
        <w:spacing w:line="240" w:lineRule="auto" w:before="0" w:after="40"/>
        <w:ind w:left="425" w:hanging="425"/>
        <w:tabs>
          <w:tab w:val="left" w:pos="425"/>
        </w:tabs>
      </w:pPr>
      <w:bookmarkStart w:id="1044" w:name="_Ref_44"/>
      <w:r>
        <w:rPr>
          <w:b w:val="0"/>
          <w:sz w:val="18"/>
        </w:rPr>
        <w:t>44</w:t>
      </w:r>
      <w:bookmarkEnd w:id="1044"/>
      <w:r>
        <w:rPr>
          <w:sz w:val="18"/>
        </w:rPr>
        <w:t>.</w:t>
        <w:tab/>
      </w:r>
      <w:r>
        <w:rPr>
          <w:b w:val="0"/>
          <w:i w:val="0"/>
          <w:sz w:val="18"/>
        </w:rPr>
        <w:t xml:space="preserve">Peng, S.; Kalliamvakou, E.; Cihon, P.; Demirer, M. </w:t>
      </w:r>
      <w:r>
        <w:rPr>
          <w:b w:val="0"/>
          <w:i w:val="0"/>
          <w:sz w:val="18"/>
        </w:rPr>
        <w:t xml:space="preserve">The Impact of AI on Developer Productivity: Evidence from GitHub Copilot. </w:t>
      </w:r>
      <w:r>
        <w:rPr>
          <w:b w:val="0"/>
          <w:i/>
          <w:sz w:val="18"/>
        </w:rPr>
        <w:t xml:space="preserve">arXiv </w:t>
      </w:r>
      <w:r>
        <w:rPr>
          <w:b/>
          <w:i w:val="0"/>
          <w:sz w:val="18"/>
        </w:rPr>
        <w:t>2023</w:t>
      </w:r>
      <w:r>
        <w:rPr>
          <w:b w:val="0"/>
          <w:i w:val="0"/>
          <w:sz w:val="18"/>
        </w:rPr>
        <w:t xml:space="preserve">, </w:t>
      </w:r>
      <w:r>
        <w:rPr>
          <w:b w:val="0"/>
          <w:i w:val="0"/>
          <w:sz w:val="18"/>
        </w:rPr>
        <w:t>arXiv:2302.06590.</w:t>
      </w:r>
    </w:p>
    <w:p>
      <w:pPr>
        <w:pStyle w:val="MDPI32textnoindent"/>
        <w:spacing w:line="240" w:lineRule="auto" w:before="0" w:after="40"/>
        <w:ind w:left="425" w:hanging="425"/>
        <w:tabs>
          <w:tab w:val="left" w:pos="425"/>
        </w:tabs>
      </w:pPr>
      <w:bookmarkStart w:id="1045" w:name="_Ref_45"/>
      <w:r>
        <w:rPr>
          <w:b w:val="0"/>
          <w:sz w:val="18"/>
        </w:rPr>
        <w:t>45</w:t>
      </w:r>
      <w:bookmarkEnd w:id="1045"/>
      <w:r>
        <w:rPr>
          <w:sz w:val="18"/>
        </w:rPr>
        <w:t>.</w:t>
        <w:tab/>
      </w:r>
      <w:r>
        <w:rPr>
          <w:b w:val="0"/>
          <w:i w:val="0"/>
          <w:sz w:val="18"/>
        </w:rPr>
        <w:t xml:space="preserve">International Labour Organization. </w:t>
      </w:r>
      <w:r>
        <w:rPr>
          <w:b w:val="0"/>
          <w:i/>
          <w:sz w:val="18"/>
        </w:rPr>
        <w:t xml:space="preserve">Global Employment Trends for Youth 2024: Decent Work, Brighter Futures; </w:t>
      </w:r>
      <w:r>
        <w:rPr>
          <w:b w:val="0"/>
          <w:i w:val="0"/>
          <w:sz w:val="18"/>
        </w:rPr>
        <w:t>International Labour Office: Geneva, Switzerland, 2024.</w:t>
      </w:r>
    </w:p>
    <w:p>
      <w:pPr>
        <w:pStyle w:val="MDPI32textnoindent"/>
        <w:spacing w:line="240" w:lineRule="auto" w:before="0" w:after="40"/>
        <w:ind w:left="425" w:hanging="425"/>
        <w:tabs>
          <w:tab w:val="left" w:pos="425"/>
        </w:tabs>
      </w:pPr>
      <w:bookmarkStart w:id="1046" w:name="_Ref_46"/>
      <w:r>
        <w:rPr>
          <w:b w:val="0"/>
          <w:sz w:val="18"/>
        </w:rPr>
        <w:t>46</w:t>
      </w:r>
      <w:bookmarkEnd w:id="1046"/>
      <w:r>
        <w:rPr>
          <w:sz w:val="18"/>
        </w:rPr>
        <w:t>.</w:t>
        <w:tab/>
      </w:r>
      <w:r>
        <w:rPr>
          <w:b w:val="0"/>
          <w:i w:val="0"/>
          <w:sz w:val="18"/>
        </w:rPr>
        <w:t xml:space="preserve">Bick, A.; Blandin, A.; Deming, D.J. </w:t>
      </w:r>
      <w:r>
        <w:rPr>
          <w:b w:val="0"/>
          <w:i/>
          <w:sz w:val="18"/>
        </w:rPr>
        <w:t xml:space="preserve">The Rapid Adoption of Generative AI; </w:t>
      </w:r>
      <w:r>
        <w:rPr>
          <w:b w:val="0"/>
          <w:i w:val="0"/>
          <w:sz w:val="18"/>
        </w:rPr>
        <w:t xml:space="preserve">NBER Working Paper 32966; </w:t>
      </w:r>
      <w:r>
        <w:rPr>
          <w:b w:val="0"/>
          <w:i w:val="0"/>
          <w:sz w:val="18"/>
        </w:rPr>
        <w:t>National Bureau of Economic Research: Cambridge, MA, USA, 2024.</w:t>
      </w:r>
    </w:p>
    <w:p>
      <w:pPr>
        <w:pStyle w:val="MDPI32textnoindent"/>
        <w:spacing w:line="240" w:lineRule="auto" w:before="0" w:after="40"/>
        <w:ind w:left="425" w:hanging="425"/>
        <w:tabs>
          <w:tab w:val="left" w:pos="425"/>
        </w:tabs>
      </w:pPr>
      <w:bookmarkStart w:id="1047" w:name="_Ref_47"/>
      <w:r>
        <w:rPr>
          <w:b w:val="0"/>
          <w:sz w:val="18"/>
        </w:rPr>
        <w:t>47</w:t>
      </w:r>
      <w:bookmarkEnd w:id="1047"/>
      <w:r>
        <w:rPr>
          <w:sz w:val="18"/>
        </w:rPr>
        <w:t>.</w:t>
        <w:tab/>
      </w:r>
      <w:r>
        <w:rPr>
          <w:b w:val="0"/>
          <w:i w:val="0"/>
          <w:sz w:val="18"/>
        </w:rPr>
        <w:t xml:space="preserve">Cui, Z.K.; Demirer, M.; Jaffe, S.; Musolff, L.; Peng, S.; Salz, T. </w:t>
      </w:r>
      <w:r>
        <w:rPr>
          <w:b w:val="0"/>
          <w:i w:val="0"/>
          <w:sz w:val="18"/>
        </w:rPr>
        <w:t xml:space="preserve">The Effects of Generative AI on High-Skilled Work: Evidence from Three Field Experiments with Software Developers. </w:t>
      </w:r>
      <w:r>
        <w:rPr>
          <w:b w:val="0"/>
          <w:i/>
          <w:sz w:val="18"/>
        </w:rPr>
        <w:t xml:space="preserve">Manag. Sci.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48" w:name="_Ref_48"/>
      <w:r>
        <w:rPr>
          <w:b w:val="0"/>
          <w:sz w:val="18"/>
        </w:rPr>
        <w:t>48</w:t>
      </w:r>
      <w:bookmarkEnd w:id="1048"/>
      <w:r>
        <w:rPr>
          <w:sz w:val="18"/>
        </w:rPr>
        <w:t>.</w:t>
        <w:tab/>
      </w:r>
      <w:r>
        <w:rPr>
          <w:b w:val="0"/>
          <w:i w:val="0"/>
          <w:sz w:val="18"/>
        </w:rPr>
        <w:t xml:space="preserve">Otis, N.G.; Clarke, R.; Delecourt, S.; Holtz, D.; Koning, R. </w:t>
      </w:r>
      <w:r>
        <w:rPr>
          <w:b w:val="0"/>
          <w:i w:val="0"/>
          <w:sz w:val="18"/>
        </w:rPr>
        <w:t xml:space="preserve">The Uneven Impact of Generative Artificial Intelligence on Entrepreneurial Performance: Evidence from a Field Experiment in Kenya. </w:t>
      </w:r>
      <w:r>
        <w:rPr>
          <w:b w:val="0"/>
          <w:i/>
          <w:sz w:val="18"/>
        </w:rPr>
        <w:t xml:space="preserve">Manag. Sci.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49" w:name="_Ref_49"/>
      <w:r>
        <w:rPr>
          <w:b w:val="0"/>
          <w:sz w:val="18"/>
        </w:rPr>
        <w:t>49</w:t>
      </w:r>
      <w:bookmarkEnd w:id="1049"/>
      <w:r>
        <w:rPr>
          <w:sz w:val="18"/>
        </w:rPr>
        <w:t>.</w:t>
        <w:tab/>
      </w:r>
      <w:r>
        <w:rPr>
          <w:b w:val="0"/>
          <w:i w:val="0"/>
          <w:sz w:val="18"/>
        </w:rPr>
        <w:t xml:space="preserve">Humlum, A.; Vestergaard, E. </w:t>
      </w:r>
      <w:r>
        <w:rPr>
          <w:b w:val="0"/>
          <w:i/>
          <w:sz w:val="18"/>
        </w:rPr>
        <w:t xml:space="preserve">Large Language Models, Small Labor Market Effects; </w:t>
      </w:r>
      <w:r>
        <w:rPr>
          <w:b w:val="0"/>
          <w:i w:val="0"/>
          <w:sz w:val="18"/>
        </w:rPr>
        <w:t xml:space="preserve">NBER Working Paper 33777; </w:t>
      </w:r>
      <w:r>
        <w:rPr>
          <w:b w:val="0"/>
          <w:i w:val="0"/>
          <w:sz w:val="18"/>
        </w:rPr>
        <w:t>National Bureau of Economic Research: Cambridge, MA, USA, 2025.</w:t>
      </w:r>
    </w:p>
    <w:p>
      <w:pPr>
        <w:pStyle w:val="MDPI32textnoindent"/>
        <w:spacing w:line="240" w:lineRule="auto" w:before="0" w:after="40"/>
        <w:ind w:left="425" w:hanging="425"/>
        <w:tabs>
          <w:tab w:val="left" w:pos="425"/>
        </w:tabs>
      </w:pPr>
      <w:bookmarkStart w:id="1050" w:name="_Ref_50"/>
      <w:r>
        <w:rPr>
          <w:b w:val="0"/>
          <w:sz w:val="18"/>
        </w:rPr>
        <w:t>50</w:t>
      </w:r>
      <w:bookmarkEnd w:id="1050"/>
      <w:r>
        <w:rPr>
          <w:sz w:val="18"/>
        </w:rPr>
        <w:t>.</w:t>
        <w:tab/>
      </w:r>
      <w:r>
        <w:rPr>
          <w:b w:val="0"/>
          <w:i w:val="0"/>
          <w:sz w:val="18"/>
        </w:rPr>
        <w:t xml:space="preserve">Forsythe, E. </w:t>
      </w:r>
      <w:r>
        <w:rPr>
          <w:b w:val="0"/>
          <w:i w:val="0"/>
          <w:sz w:val="18"/>
        </w:rPr>
        <w:t xml:space="preserve">Why Don’t Firms Hire Young Workers during Recessions? </w:t>
      </w:r>
      <w:r>
        <w:rPr>
          <w:b w:val="0"/>
          <w:i/>
          <w:sz w:val="18"/>
        </w:rPr>
        <w:t xml:space="preserve">Econ. J. </w:t>
      </w:r>
      <w:r>
        <w:rPr>
          <w:b/>
          <w:i w:val="0"/>
          <w:sz w:val="18"/>
        </w:rPr>
        <w:t>2022</w:t>
      </w:r>
      <w:r>
        <w:rPr>
          <w:b w:val="0"/>
          <w:i w:val="0"/>
          <w:sz w:val="18"/>
        </w:rPr>
        <w:t xml:space="preserve">, </w:t>
      </w:r>
      <w:r>
        <w:rPr>
          <w:b w:val="0"/>
          <w:i/>
          <w:sz w:val="18"/>
        </w:rPr>
        <w:t>132</w:t>
      </w:r>
      <w:r>
        <w:rPr>
          <w:b w:val="0"/>
          <w:i w:val="0"/>
          <w:sz w:val="18"/>
        </w:rPr>
        <w:t>, 1765–1789.</w:t>
      </w:r>
      <w:r>
        <w:rPr>
          <w:b w:val="0"/>
          <w:i w:val="0"/>
          <w:sz w:val="18"/>
        </w:rPr>
        <w:t xml:space="preserve"> [CrossRef]</w:t>
      </w:r>
    </w:p>
    <w:p>
      <w:pPr>
        <w:pStyle w:val="MDPI32textnoindent"/>
        <w:spacing w:line="240" w:lineRule="auto" w:before="0" w:after="40"/>
        <w:ind w:left="425" w:hanging="425"/>
        <w:tabs>
          <w:tab w:val="left" w:pos="425"/>
        </w:tabs>
      </w:pPr>
      <w:bookmarkStart w:id="1051" w:name="_Ref_51"/>
      <w:r>
        <w:rPr>
          <w:b w:val="0"/>
          <w:sz w:val="18"/>
        </w:rPr>
        <w:t>51</w:t>
      </w:r>
      <w:bookmarkEnd w:id="1051"/>
      <w:r>
        <w:rPr>
          <w:sz w:val="18"/>
        </w:rPr>
        <w:t>.</w:t>
        <w:tab/>
      </w:r>
      <w:r>
        <w:rPr>
          <w:b w:val="0"/>
          <w:i w:val="0"/>
          <w:sz w:val="18"/>
        </w:rPr>
        <w:t xml:space="preserve">Liang, H.; Fan, J.; Wang, Y. </w:t>
      </w:r>
      <w:r>
        <w:rPr>
          <w:b w:val="0"/>
          <w:i w:val="0"/>
          <w:sz w:val="18"/>
        </w:rPr>
        <w:t xml:space="preserve">Artificial Intelligence, Technological Innovation, and Employment Transformation for Sustainable Development: Evidence from China. </w:t>
      </w:r>
      <w:r>
        <w:rPr>
          <w:b w:val="0"/>
          <w:i/>
          <w:sz w:val="18"/>
        </w:rPr>
        <w:t xml:space="preserve">Sustainability </w:t>
      </w:r>
      <w:r>
        <w:rPr>
          <w:b/>
          <w:i w:val="0"/>
          <w:sz w:val="18"/>
        </w:rPr>
        <w:t>2025</w:t>
      </w:r>
      <w:r>
        <w:rPr>
          <w:b w:val="0"/>
          <w:i w:val="0"/>
          <w:sz w:val="18"/>
        </w:rPr>
        <w:t xml:space="preserve">, </w:t>
      </w:r>
      <w:r>
        <w:rPr>
          <w:b w:val="0"/>
          <w:i/>
          <w:sz w:val="18"/>
        </w:rPr>
        <w:t>17</w:t>
      </w:r>
      <w:r>
        <w:rPr>
          <w:b w:val="0"/>
          <w:i w:val="0"/>
          <w:sz w:val="18"/>
        </w:rPr>
        <w:t>, 3842.</w:t>
      </w:r>
      <w:r>
        <w:rPr>
          <w:b w:val="0"/>
          <w:i w:val="0"/>
          <w:sz w:val="18"/>
        </w:rPr>
        <w:t xml:space="preserve"> [CrossRef]</w:t>
      </w:r>
    </w:p>
    <w:p>
      <w:pPr>
        <w:pStyle w:val="MDPI32textnoindent"/>
        <w:spacing w:line="240" w:lineRule="auto" w:before="0" w:after="40"/>
        <w:ind w:left="425" w:hanging="425"/>
        <w:tabs>
          <w:tab w:val="left" w:pos="425"/>
        </w:tabs>
      </w:pPr>
      <w:bookmarkStart w:id="1052" w:name="_Ref_52"/>
      <w:r>
        <w:rPr>
          <w:b w:val="0"/>
          <w:sz w:val="18"/>
        </w:rPr>
        <w:t>52</w:t>
      </w:r>
      <w:bookmarkEnd w:id="1052"/>
      <w:r>
        <w:rPr>
          <w:sz w:val="18"/>
        </w:rPr>
        <w:t>.</w:t>
        <w:tab/>
      </w:r>
      <w:r>
        <w:rPr>
          <w:b w:val="0"/>
          <w:i w:val="0"/>
          <w:sz w:val="18"/>
        </w:rPr>
        <w:t xml:space="preserve">Xue, X.; Li, L.; Chen, J.; Luo, T. </w:t>
      </w:r>
      <w:r>
        <w:rPr>
          <w:b w:val="0"/>
          <w:i w:val="0"/>
          <w:sz w:val="18"/>
        </w:rPr>
        <w:t xml:space="preserve">How Does Digital Technology Innovation Quality Empower Corporate ESG Performance? The Roles of Digital Transformation and Digital Technology Diffusion.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929.</w:t>
      </w:r>
      <w:r>
        <w:rPr>
          <w:b w:val="0"/>
          <w:i w:val="0"/>
          <w:sz w:val="18"/>
        </w:rPr>
        <w:t xml:space="preserve"> [CrossRef]</w:t>
      </w:r>
    </w:p>
    <w:p>
      <w:pPr>
        <w:pStyle w:val="MDPI32textnoindent"/>
        <w:spacing w:line="240" w:lineRule="auto" w:before="0" w:after="40"/>
        <w:ind w:left="425" w:hanging="425"/>
        <w:tabs>
          <w:tab w:val="left" w:pos="425"/>
        </w:tabs>
      </w:pPr>
      <w:bookmarkStart w:id="1053" w:name="_Ref_53"/>
      <w:r>
        <w:rPr>
          <w:b w:val="0"/>
          <w:sz w:val="18"/>
        </w:rPr>
        <w:t>53</w:t>
      </w:r>
      <w:bookmarkEnd w:id="1053"/>
      <w:r>
        <w:rPr>
          <w:sz w:val="18"/>
        </w:rPr>
        <w:t>.</w:t>
        <w:tab/>
      </w:r>
      <w:r>
        <w:rPr>
          <w:b w:val="0"/>
          <w:i w:val="0"/>
          <w:sz w:val="18"/>
        </w:rPr>
        <w:t xml:space="preserve">Xue, F.; Jin, S. </w:t>
      </w:r>
      <w:r>
        <w:rPr>
          <w:b w:val="0"/>
          <w:i w:val="0"/>
          <w:sz w:val="18"/>
        </w:rPr>
        <w:t xml:space="preserve">Artificial Intelligence Adoption, Innovation Efficiency, and Governance Mechanisms: Evidence from China.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1062.</w:t>
      </w:r>
      <w:r>
        <w:rPr>
          <w:b w:val="0"/>
          <w:i w:val="0"/>
          <w:sz w:val="18"/>
        </w:rPr>
        <w:t xml:space="preserve"> [CrossRef]</w:t>
      </w:r>
    </w:p>
    <w:p>
      <w:pPr>
        <w:pStyle w:val="MDPI32textnoindent"/>
        <w:spacing w:line="240" w:lineRule="auto" w:before="0" w:after="40"/>
        <w:ind w:left="425" w:hanging="425"/>
        <w:tabs>
          <w:tab w:val="left" w:pos="425"/>
        </w:tabs>
      </w:pPr>
      <w:bookmarkStart w:id="1054" w:name="_Ref_54"/>
      <w:r>
        <w:rPr>
          <w:b w:val="0"/>
          <w:sz w:val="18"/>
        </w:rPr>
        <w:t>54</w:t>
      </w:r>
      <w:bookmarkEnd w:id="1054"/>
      <w:r>
        <w:rPr>
          <w:sz w:val="18"/>
        </w:rPr>
        <w:t>.</w:t>
        <w:tab/>
      </w:r>
      <w:r>
        <w:rPr>
          <w:b w:val="0"/>
          <w:i w:val="0"/>
          <w:sz w:val="18"/>
        </w:rPr>
        <w:t xml:space="preserve">Yang, B.; Sun, Y.; Zeng, Z.; Li, Q. </w:t>
      </w:r>
      <w:r>
        <w:rPr>
          <w:b w:val="0"/>
          <w:i w:val="0"/>
          <w:sz w:val="18"/>
        </w:rPr>
        <w:t xml:space="preserve">Deskilling, Reskilling, or Upskilling? Unpacking the Pathways of Student Adaptation to Generative Artificial Intelligence. </w:t>
      </w:r>
      <w:r>
        <w:rPr>
          <w:b w:val="0"/>
          <w:i/>
          <w:sz w:val="18"/>
        </w:rPr>
        <w:t xml:space="preserve">Int. J. Inf. Manag. </w:t>
      </w:r>
      <w:r>
        <w:rPr>
          <w:b/>
          <w:i w:val="0"/>
          <w:sz w:val="18"/>
        </w:rPr>
        <w:t>2026</w:t>
      </w:r>
      <w:r>
        <w:rPr>
          <w:b w:val="0"/>
          <w:i w:val="0"/>
          <w:sz w:val="18"/>
        </w:rPr>
        <w:t xml:space="preserve">, </w:t>
      </w:r>
      <w:r>
        <w:rPr>
          <w:b w:val="0"/>
          <w:i/>
          <w:sz w:val="18"/>
        </w:rPr>
        <w:t>87</w:t>
      </w:r>
      <w:r>
        <w:rPr>
          <w:b w:val="0"/>
          <w:i w:val="0"/>
          <w:sz w:val="18"/>
        </w:rPr>
        <w:t>, 103002.</w:t>
      </w:r>
      <w:r>
        <w:rPr>
          <w:b w:val="0"/>
          <w:i w:val="0"/>
          <w:sz w:val="18"/>
        </w:rPr>
        <w:t xml:space="preserve"> [CrossRef]</w:t>
      </w:r>
    </w:p>
    <w:p>
      <w:pPr>
        <w:pStyle w:val="MDPI32textnoindent"/>
        <w:spacing w:line="240" w:lineRule="auto" w:before="0" w:after="40"/>
        <w:ind w:left="425" w:hanging="425"/>
        <w:tabs>
          <w:tab w:val="left" w:pos="425"/>
        </w:tabs>
      </w:pPr>
      <w:bookmarkStart w:id="1055" w:name="_Ref_55"/>
      <w:r>
        <w:rPr>
          <w:b w:val="0"/>
          <w:sz w:val="18"/>
        </w:rPr>
        <w:t>55</w:t>
      </w:r>
      <w:bookmarkEnd w:id="1055"/>
      <w:r>
        <w:rPr>
          <w:sz w:val="18"/>
        </w:rPr>
        <w:t>.</w:t>
        <w:tab/>
      </w:r>
      <w:r>
        <w:rPr>
          <w:b w:val="0"/>
          <w:i w:val="0"/>
          <w:sz w:val="18"/>
        </w:rPr>
        <w:t xml:space="preserve">Machucho, R.; Ortiz, D. </w:t>
      </w:r>
      <w:r>
        <w:rPr>
          <w:b w:val="0"/>
          <w:i w:val="0"/>
          <w:sz w:val="18"/>
        </w:rPr>
        <w:t xml:space="preserve">The Impacts of Artificial Intelligence on Business Innovation: A Comprehensive Review of Applications, Organizational Challenges, and Ethical Considerations.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264.</w:t>
      </w:r>
      <w:r>
        <w:rPr>
          <w:b w:val="0"/>
          <w:i w:val="0"/>
          <w:sz w:val="18"/>
        </w:rPr>
        <w:t xml:space="preserve"> [CrossRef]</w:t>
      </w:r>
    </w:p>
    <w:p>
      <w:pPr>
        <w:pStyle w:val="MDPI32textnoindent"/>
        <w:spacing w:line="240" w:lineRule="auto" w:before="0" w:after="40"/>
        <w:ind w:left="425" w:hanging="425"/>
        <w:tabs>
          <w:tab w:val="left" w:pos="425"/>
        </w:tabs>
      </w:pPr>
      <w:bookmarkStart w:id="1056" w:name="_Ref_56"/>
      <w:r>
        <w:rPr>
          <w:b w:val="0"/>
          <w:sz w:val="18"/>
        </w:rPr>
        <w:t>56</w:t>
      </w:r>
      <w:bookmarkEnd w:id="1056"/>
      <w:r>
        <w:rPr>
          <w:sz w:val="18"/>
        </w:rPr>
        <w:t>.</w:t>
        <w:tab/>
      </w:r>
      <w:r>
        <w:rPr>
          <w:b w:val="0"/>
          <w:i w:val="0"/>
          <w:sz w:val="18"/>
        </w:rPr>
        <w:t xml:space="preserve">Becker, G.S. </w:t>
      </w:r>
      <w:r>
        <w:rPr>
          <w:b w:val="0"/>
          <w:i/>
          <w:sz w:val="18"/>
        </w:rPr>
        <w:t>Human Capital: A Theoretical and Empirical Analysis, with Special Reference to Education</w:t>
      </w:r>
      <w:r>
        <w:rPr>
          <w:b w:val="0"/>
          <w:i w:val="0"/>
          <w:sz w:val="18"/>
        </w:rPr>
        <w:t xml:space="preserve">; </w:t>
      </w:r>
      <w:r>
        <w:rPr>
          <w:b w:val="0"/>
          <w:i w:val="0"/>
          <w:sz w:val="18"/>
        </w:rPr>
        <w:t>National Bureau of Economic Research: New York, NY, USA, 1964.</w:t>
      </w:r>
    </w:p>
    <w:p>
      <w:pPr>
        <w:pStyle w:val="MDPI32textnoindent"/>
        <w:spacing w:line="240" w:lineRule="auto" w:before="0" w:after="40"/>
        <w:ind w:left="425" w:hanging="425"/>
        <w:tabs>
          <w:tab w:val="left" w:pos="425"/>
        </w:tabs>
      </w:pPr>
      <w:bookmarkStart w:id="1057" w:name="_Ref_57"/>
      <w:r>
        <w:rPr>
          <w:b w:val="0"/>
          <w:sz w:val="18"/>
        </w:rPr>
        <w:t>57</w:t>
      </w:r>
      <w:bookmarkEnd w:id="1057"/>
      <w:r>
        <w:rPr>
          <w:sz w:val="18"/>
        </w:rPr>
        <w:t>.</w:t>
        <w:tab/>
      </w:r>
      <w:r>
        <w:rPr>
          <w:b w:val="0"/>
          <w:i w:val="0"/>
          <w:sz w:val="18"/>
        </w:rPr>
        <w:t xml:space="preserve">De Grip, A.; Van Loo, J. </w:t>
      </w:r>
      <w:r>
        <w:rPr>
          <w:b w:val="0"/>
          <w:i w:val="0"/>
          <w:sz w:val="18"/>
        </w:rPr>
        <w:t xml:space="preserve">The Economics of Skills Obsolescence: A Review. </w:t>
      </w:r>
      <w:r>
        <w:rPr>
          <w:b w:val="0"/>
          <w:i w:val="0"/>
          <w:sz w:val="18"/>
        </w:rPr>
        <w:t xml:space="preserve">In </w:t>
      </w:r>
      <w:r>
        <w:rPr>
          <w:b w:val="0"/>
          <w:i/>
          <w:sz w:val="18"/>
        </w:rPr>
        <w:t>The Economics of Skills Obsolescence (Research in Labor Economics, Vol. 21)</w:t>
      </w:r>
      <w:r>
        <w:rPr>
          <w:b w:val="0"/>
          <w:i w:val="0"/>
          <w:sz w:val="18"/>
        </w:rPr>
        <w:t xml:space="preserve">; De Grip, A.; Van Loo, J.; Mayhew, K.; </w:t>
      </w:r>
      <w:r>
        <w:rPr>
          <w:b w:val="0"/>
          <w:i w:val="0"/>
          <w:sz w:val="18"/>
        </w:rPr>
        <w:t>Emerald: Bingley, UK, 2002; 1–26.</w:t>
      </w:r>
    </w:p>
    <w:p>
      <w:pPr>
        <w:pStyle w:val="MDPI32textnoindent"/>
        <w:spacing w:line="240" w:lineRule="auto" w:before="0" w:after="40"/>
        <w:ind w:left="425" w:hanging="425"/>
        <w:tabs>
          <w:tab w:val="left" w:pos="425"/>
        </w:tabs>
      </w:pPr>
      <w:bookmarkStart w:id="1058" w:name="_Ref_58"/>
      <w:r>
        <w:rPr>
          <w:b w:val="0"/>
          <w:sz w:val="18"/>
        </w:rPr>
        <w:t>58</w:t>
      </w:r>
      <w:bookmarkEnd w:id="1058"/>
      <w:r>
        <w:rPr>
          <w:sz w:val="18"/>
        </w:rPr>
        <w:t>.</w:t>
        <w:tab/>
      </w:r>
      <w:r>
        <w:rPr>
          <w:b w:val="0"/>
          <w:i w:val="0"/>
          <w:sz w:val="18"/>
        </w:rPr>
        <w:t xml:space="preserve">Deming, D.J.; Noray, K. </w:t>
      </w:r>
      <w:r>
        <w:rPr>
          <w:b w:val="0"/>
          <w:i w:val="0"/>
          <w:sz w:val="18"/>
        </w:rPr>
        <w:t xml:space="preserve">Earnings Dynamics, Changing Job Skills, and STEM Careers. </w:t>
      </w:r>
      <w:r>
        <w:rPr>
          <w:b w:val="0"/>
          <w:i/>
          <w:sz w:val="18"/>
        </w:rPr>
        <w:t xml:space="preserve">Q. J. Econ. </w:t>
      </w:r>
      <w:r>
        <w:rPr>
          <w:b/>
          <w:i w:val="0"/>
          <w:sz w:val="18"/>
        </w:rPr>
        <w:t>2020</w:t>
      </w:r>
      <w:r>
        <w:rPr>
          <w:b w:val="0"/>
          <w:i w:val="0"/>
          <w:sz w:val="18"/>
        </w:rPr>
        <w:t xml:space="preserve">, </w:t>
      </w:r>
      <w:r>
        <w:rPr>
          <w:b w:val="0"/>
          <w:i/>
          <w:sz w:val="18"/>
        </w:rPr>
        <w:t>135</w:t>
      </w:r>
      <w:r>
        <w:rPr>
          <w:b w:val="0"/>
          <w:i w:val="0"/>
          <w:sz w:val="18"/>
        </w:rPr>
        <w:t>, 1965–2005.</w:t>
      </w:r>
      <w:r>
        <w:rPr>
          <w:b w:val="0"/>
          <w:i w:val="0"/>
          <w:sz w:val="18"/>
        </w:rPr>
        <w:t xml:space="preserve"> [CrossRef]</w:t>
      </w:r>
    </w:p>
    <w:p>
      <w:pPr>
        <w:pStyle w:val="MDPI32textnoindent"/>
        <w:spacing w:line="240" w:lineRule="auto" w:before="0" w:after="40"/>
        <w:ind w:left="425" w:hanging="425"/>
        <w:tabs>
          <w:tab w:val="left" w:pos="425"/>
        </w:tabs>
      </w:pPr>
      <w:bookmarkStart w:id="1059" w:name="_Ref_59"/>
      <w:r>
        <w:rPr>
          <w:b w:val="0"/>
          <w:sz w:val="18"/>
        </w:rPr>
        <w:t>59</w:t>
      </w:r>
      <w:bookmarkEnd w:id="1059"/>
      <w:r>
        <w:rPr>
          <w:sz w:val="18"/>
        </w:rPr>
        <w:t>.</w:t>
        <w:tab/>
      </w:r>
      <w:r>
        <w:rPr>
          <w:b w:val="0"/>
          <w:i w:val="0"/>
          <w:sz w:val="18"/>
        </w:rPr>
        <w:t xml:space="preserve">Arrow, K.J. </w:t>
      </w:r>
      <w:r>
        <w:rPr>
          <w:b w:val="0"/>
          <w:i w:val="0"/>
          <w:sz w:val="18"/>
        </w:rPr>
        <w:t xml:space="preserve">The Economic Implications of Learning by Doing. </w:t>
      </w:r>
      <w:r>
        <w:rPr>
          <w:b w:val="0"/>
          <w:i/>
          <w:sz w:val="18"/>
        </w:rPr>
        <w:t xml:space="preserve">Rev. Econ. Stud. </w:t>
      </w:r>
      <w:r>
        <w:rPr>
          <w:b/>
          <w:i w:val="0"/>
          <w:sz w:val="18"/>
        </w:rPr>
        <w:t>1962</w:t>
      </w:r>
      <w:r>
        <w:rPr>
          <w:b w:val="0"/>
          <w:i w:val="0"/>
          <w:sz w:val="18"/>
        </w:rPr>
        <w:t xml:space="preserve">, </w:t>
      </w:r>
      <w:r>
        <w:rPr>
          <w:b w:val="0"/>
          <w:i/>
          <w:sz w:val="18"/>
        </w:rPr>
        <w:t>29</w:t>
      </w:r>
      <w:r>
        <w:rPr>
          <w:b w:val="0"/>
          <w:i w:val="0"/>
          <w:sz w:val="18"/>
        </w:rPr>
        <w:t>, 155–173.</w:t>
      </w:r>
      <w:r>
        <w:rPr>
          <w:b w:val="0"/>
          <w:i w:val="0"/>
          <w:sz w:val="18"/>
        </w:rPr>
        <w:t xml:space="preserve"> [CrossRef]</w:t>
      </w:r>
    </w:p>
    <w:p>
      <w:pPr>
        <w:pStyle w:val="MDPI32textnoindent"/>
        <w:spacing w:line="240" w:lineRule="auto" w:before="0" w:after="40"/>
        <w:ind w:left="425" w:hanging="425"/>
        <w:tabs>
          <w:tab w:val="left" w:pos="425"/>
        </w:tabs>
      </w:pPr>
      <w:bookmarkStart w:id="1060" w:name="_Ref_60"/>
      <w:r>
        <w:rPr>
          <w:b w:val="0"/>
          <w:sz w:val="18"/>
        </w:rPr>
        <w:t>60</w:t>
      </w:r>
      <w:bookmarkEnd w:id="1060"/>
      <w:r>
        <w:rPr>
          <w:sz w:val="18"/>
        </w:rPr>
        <w:t>.</w:t>
        <w:tab/>
      </w:r>
      <w:r>
        <w:rPr>
          <w:b w:val="0"/>
          <w:i w:val="0"/>
          <w:sz w:val="18"/>
        </w:rPr>
        <w:t xml:space="preserve">Lazear, E.P. </w:t>
      </w:r>
      <w:r>
        <w:rPr>
          <w:b w:val="0"/>
          <w:i w:val="0"/>
          <w:sz w:val="18"/>
        </w:rPr>
        <w:t xml:space="preserve">Firm-Specific Human Capital: A Skill-Weights Approach. </w:t>
      </w:r>
      <w:r>
        <w:rPr>
          <w:b w:val="0"/>
          <w:i/>
          <w:sz w:val="18"/>
        </w:rPr>
        <w:t xml:space="preserve">J. Political Econ. </w:t>
      </w:r>
      <w:r>
        <w:rPr>
          <w:b/>
          <w:i w:val="0"/>
          <w:sz w:val="18"/>
        </w:rPr>
        <w:t>2009</w:t>
      </w:r>
      <w:r>
        <w:rPr>
          <w:b w:val="0"/>
          <w:i w:val="0"/>
          <w:sz w:val="18"/>
        </w:rPr>
        <w:t xml:space="preserve">, </w:t>
      </w:r>
      <w:r>
        <w:rPr>
          <w:b w:val="0"/>
          <w:i/>
          <w:sz w:val="18"/>
        </w:rPr>
        <w:t>117</w:t>
      </w:r>
      <w:r>
        <w:rPr>
          <w:b w:val="0"/>
          <w:i w:val="0"/>
          <w:sz w:val="18"/>
        </w:rPr>
        <w:t>, 914–940.</w:t>
      </w:r>
      <w:r>
        <w:rPr>
          <w:b w:val="0"/>
          <w:i w:val="0"/>
          <w:sz w:val="18"/>
        </w:rPr>
        <w:t xml:space="preserve"> [CrossRef]</w:t>
      </w:r>
    </w:p>
    <w:p>
      <w:pPr>
        <w:pStyle w:val="MDPI32textnoindent"/>
        <w:spacing w:line="240" w:lineRule="auto" w:before="0" w:after="40"/>
        <w:ind w:left="425" w:hanging="425"/>
        <w:tabs>
          <w:tab w:val="left" w:pos="425"/>
        </w:tabs>
      </w:pPr>
      <w:bookmarkStart w:id="1061" w:name="_Ref_61"/>
      <w:r>
        <w:rPr>
          <w:b w:val="0"/>
          <w:sz w:val="18"/>
        </w:rPr>
        <w:t>61</w:t>
      </w:r>
      <w:bookmarkEnd w:id="1061"/>
      <w:r>
        <w:rPr>
          <w:sz w:val="18"/>
        </w:rPr>
        <w:t>.</w:t>
        <w:tab/>
      </w:r>
      <w:r>
        <w:rPr>
          <w:b w:val="0"/>
          <w:i w:val="0"/>
          <w:sz w:val="18"/>
        </w:rPr>
        <w:t xml:space="preserve">Gibbons, R.; Waldman, M. </w:t>
      </w:r>
      <w:r>
        <w:rPr>
          <w:b w:val="0"/>
          <w:i w:val="0"/>
          <w:sz w:val="18"/>
        </w:rPr>
        <w:t xml:space="preserve">Task-Specific Human Capital. </w:t>
      </w:r>
      <w:r>
        <w:rPr>
          <w:b w:val="0"/>
          <w:i/>
          <w:sz w:val="18"/>
        </w:rPr>
        <w:t xml:space="preserve">Am. Econ. Rev. </w:t>
      </w:r>
      <w:r>
        <w:rPr>
          <w:b/>
          <w:i w:val="0"/>
          <w:sz w:val="18"/>
        </w:rPr>
        <w:t>2004</w:t>
      </w:r>
      <w:r>
        <w:rPr>
          <w:b w:val="0"/>
          <w:i w:val="0"/>
          <w:sz w:val="18"/>
        </w:rPr>
        <w:t xml:space="preserve">, </w:t>
      </w:r>
      <w:r>
        <w:rPr>
          <w:b w:val="0"/>
          <w:i/>
          <w:sz w:val="18"/>
        </w:rPr>
        <w:t>94</w:t>
      </w:r>
      <w:r>
        <w:rPr>
          <w:b w:val="0"/>
          <w:i w:val="0"/>
          <w:sz w:val="18"/>
        </w:rPr>
        <w:t>, 203–207.</w:t>
      </w:r>
      <w:r>
        <w:rPr>
          <w:b w:val="0"/>
          <w:i w:val="0"/>
          <w:sz w:val="18"/>
        </w:rPr>
        <w:t xml:space="preserve"> [CrossRef]</w:t>
      </w:r>
    </w:p>
    <w:p>
      <w:pPr>
        <w:pStyle w:val="MDPI32textnoindent"/>
        <w:spacing w:line="240" w:lineRule="auto" w:before="0" w:after="40"/>
        <w:ind w:left="425" w:hanging="425"/>
        <w:tabs>
          <w:tab w:val="left" w:pos="425"/>
        </w:tabs>
      </w:pPr>
      <w:bookmarkStart w:id="1062" w:name="_Ref_62"/>
      <w:r>
        <w:rPr>
          <w:b w:val="0"/>
          <w:sz w:val="18"/>
        </w:rPr>
        <w:t>62</w:t>
      </w:r>
      <w:bookmarkEnd w:id="1062"/>
      <w:r>
        <w:rPr>
          <w:sz w:val="18"/>
        </w:rPr>
        <w:t>.</w:t>
        <w:tab/>
      </w:r>
      <w:r>
        <w:rPr>
          <w:b w:val="0"/>
          <w:i w:val="0"/>
          <w:sz w:val="18"/>
        </w:rPr>
        <w:t xml:space="preserve">Chan, C.K.Y.; Hu, W. </w:t>
      </w:r>
      <w:r>
        <w:rPr>
          <w:b w:val="0"/>
          <w:i w:val="0"/>
          <w:sz w:val="18"/>
        </w:rPr>
        <w:t xml:space="preserve">Students’ Voices on Generative AI: Perceptions, Benefits, and Challenges in Higher Education. </w:t>
      </w:r>
      <w:r>
        <w:rPr>
          <w:b w:val="0"/>
          <w:i/>
          <w:sz w:val="18"/>
        </w:rPr>
        <w:t xml:space="preserve">Int. J. Educ. Technol. High. Educ. </w:t>
      </w:r>
      <w:r>
        <w:rPr>
          <w:b/>
          <w:i w:val="0"/>
          <w:sz w:val="18"/>
        </w:rPr>
        <w:t>2023</w:t>
      </w:r>
      <w:r>
        <w:rPr>
          <w:b w:val="0"/>
          <w:i w:val="0"/>
          <w:sz w:val="18"/>
        </w:rPr>
        <w:t xml:space="preserve">, </w:t>
      </w:r>
      <w:r>
        <w:rPr>
          <w:b w:val="0"/>
          <w:i/>
          <w:sz w:val="18"/>
        </w:rPr>
        <w:t>20</w:t>
      </w:r>
      <w:r>
        <w:rPr>
          <w:b w:val="0"/>
          <w:i w:val="0"/>
          <w:sz w:val="18"/>
        </w:rPr>
        <w:t>, 43.</w:t>
      </w:r>
      <w:r>
        <w:rPr>
          <w:b w:val="0"/>
          <w:i w:val="0"/>
          <w:sz w:val="18"/>
        </w:rPr>
        <w:t xml:space="preserve"> [CrossRef]</w:t>
      </w:r>
    </w:p>
    <w:p>
      <w:pPr>
        <w:pStyle w:val="MDPI32textnoindent"/>
        <w:spacing w:line="240" w:lineRule="auto" w:before="0" w:after="40"/>
        <w:ind w:left="425" w:hanging="425"/>
        <w:tabs>
          <w:tab w:val="left" w:pos="425"/>
        </w:tabs>
      </w:pPr>
      <w:bookmarkStart w:id="1063" w:name="_Ref_63"/>
      <w:r>
        <w:rPr>
          <w:b w:val="0"/>
          <w:sz w:val="18"/>
        </w:rPr>
        <w:t>63</w:t>
      </w:r>
      <w:bookmarkEnd w:id="1063"/>
      <w:r>
        <w:rPr>
          <w:sz w:val="18"/>
        </w:rPr>
        <w:t>.</w:t>
        <w:tab/>
      </w:r>
      <w:r>
        <w:rPr>
          <w:b w:val="0"/>
          <w:i w:val="0"/>
          <w:sz w:val="18"/>
        </w:rPr>
        <w:t xml:space="preserve">Lazarus, R.S.; Folkman, S. </w:t>
      </w:r>
      <w:r>
        <w:rPr>
          <w:b w:val="0"/>
          <w:i/>
          <w:sz w:val="18"/>
        </w:rPr>
        <w:t>Stress, Appraisal, and Coping</w:t>
      </w:r>
      <w:r>
        <w:rPr>
          <w:b w:val="0"/>
          <w:i w:val="0"/>
          <w:sz w:val="18"/>
        </w:rPr>
        <w:t xml:space="preserve">; </w:t>
      </w:r>
      <w:r>
        <w:rPr>
          <w:b w:val="0"/>
          <w:i w:val="0"/>
          <w:sz w:val="18"/>
        </w:rPr>
        <w:t>Springer: New York, NY, USA, 1984.</w:t>
      </w:r>
    </w:p>
    <w:p>
      <w:pPr>
        <w:pStyle w:val="MDPI32textnoindent"/>
        <w:spacing w:line="240" w:lineRule="auto" w:before="0" w:after="40"/>
        <w:ind w:left="425" w:hanging="425"/>
        <w:tabs>
          <w:tab w:val="left" w:pos="425"/>
        </w:tabs>
      </w:pPr>
      <w:bookmarkStart w:id="1064" w:name="_Ref_64"/>
      <w:r>
        <w:rPr>
          <w:b w:val="0"/>
          <w:sz w:val="18"/>
        </w:rPr>
        <w:t>64</w:t>
      </w:r>
      <w:bookmarkEnd w:id="1064"/>
      <w:r>
        <w:rPr>
          <w:sz w:val="18"/>
        </w:rPr>
        <w:t>.</w:t>
        <w:tab/>
      </w:r>
      <w:r>
        <w:rPr>
          <w:b w:val="0"/>
          <w:i w:val="0"/>
          <w:sz w:val="18"/>
        </w:rPr>
        <w:t xml:space="preserve">Hobfoll, S.E. </w:t>
      </w:r>
      <w:r>
        <w:rPr>
          <w:b w:val="0"/>
          <w:i w:val="0"/>
          <w:sz w:val="18"/>
        </w:rPr>
        <w:t xml:space="preserve">Conservation of Resources: A New Attempt at Conceptualizing Stress. </w:t>
      </w:r>
      <w:r>
        <w:rPr>
          <w:b w:val="0"/>
          <w:i/>
          <w:sz w:val="18"/>
        </w:rPr>
        <w:t xml:space="preserve">Am. Psychol. </w:t>
      </w:r>
      <w:r>
        <w:rPr>
          <w:b/>
          <w:i w:val="0"/>
          <w:sz w:val="18"/>
        </w:rPr>
        <w:t>1989</w:t>
      </w:r>
      <w:r>
        <w:rPr>
          <w:b w:val="0"/>
          <w:i w:val="0"/>
          <w:sz w:val="18"/>
        </w:rPr>
        <w:t xml:space="preserve">, </w:t>
      </w:r>
      <w:r>
        <w:rPr>
          <w:b w:val="0"/>
          <w:i/>
          <w:sz w:val="18"/>
        </w:rPr>
        <w:t>44</w:t>
      </w:r>
      <w:r>
        <w:rPr>
          <w:b w:val="0"/>
          <w:i w:val="0"/>
          <w:sz w:val="18"/>
        </w:rPr>
        <w:t>, 513–524.</w:t>
      </w:r>
      <w:r>
        <w:rPr>
          <w:b w:val="0"/>
          <w:i w:val="0"/>
          <w:sz w:val="18"/>
        </w:rPr>
        <w:t xml:space="preserve"> [CrossRef]</w:t>
      </w:r>
    </w:p>
    <w:p>
      <w:pPr>
        <w:pStyle w:val="MDPI32textnoindent"/>
        <w:spacing w:line="240" w:lineRule="auto" w:before="0" w:after="40"/>
        <w:ind w:left="425" w:hanging="425"/>
        <w:tabs>
          <w:tab w:val="left" w:pos="425"/>
        </w:tabs>
      </w:pPr>
      <w:bookmarkStart w:id="1065" w:name="_Ref_65"/>
      <w:r>
        <w:rPr>
          <w:b w:val="0"/>
          <w:sz w:val="18"/>
        </w:rPr>
        <w:t>65</w:t>
      </w:r>
      <w:bookmarkEnd w:id="1065"/>
      <w:r>
        <w:rPr>
          <w:sz w:val="18"/>
        </w:rPr>
        <w:t>.</w:t>
        <w:tab/>
      </w:r>
      <w:r>
        <w:rPr>
          <w:b w:val="0"/>
          <w:i w:val="0"/>
          <w:sz w:val="18"/>
        </w:rPr>
        <w:t xml:space="preserve">Hobfoll, S.E.; Halbesleben, J.; Neveu, J.-P.; Westman, M. </w:t>
      </w:r>
      <w:r>
        <w:rPr>
          <w:b w:val="0"/>
          <w:i w:val="0"/>
          <w:sz w:val="18"/>
        </w:rPr>
        <w:t xml:space="preserve">Conservation of Resources in the Organizational Context: The Reality of Resources and Their Consequences. </w:t>
      </w:r>
      <w:r>
        <w:rPr>
          <w:b w:val="0"/>
          <w:i/>
          <w:sz w:val="18"/>
        </w:rPr>
        <w:t xml:space="preserve">Annu. Rev. Organ. Psychol. Organ. Behav. </w:t>
      </w:r>
      <w:r>
        <w:rPr>
          <w:b/>
          <w:i w:val="0"/>
          <w:sz w:val="18"/>
        </w:rPr>
        <w:t>2018</w:t>
      </w:r>
      <w:r>
        <w:rPr>
          <w:b w:val="0"/>
          <w:i w:val="0"/>
          <w:sz w:val="18"/>
        </w:rPr>
        <w:t xml:space="preserve">, </w:t>
      </w:r>
      <w:r>
        <w:rPr>
          <w:b w:val="0"/>
          <w:i/>
          <w:sz w:val="18"/>
        </w:rPr>
        <w:t>5</w:t>
      </w:r>
      <w:r>
        <w:rPr>
          <w:b w:val="0"/>
          <w:i w:val="0"/>
          <w:sz w:val="18"/>
        </w:rPr>
        <w:t>, 103–128.</w:t>
      </w:r>
      <w:r>
        <w:rPr>
          <w:b w:val="0"/>
          <w:i w:val="0"/>
          <w:sz w:val="18"/>
        </w:rPr>
        <w:t xml:space="preserve"> [CrossRef]</w:t>
      </w:r>
    </w:p>
    <w:p>
      <w:pPr>
        <w:pStyle w:val="MDPI32textnoindent"/>
        <w:spacing w:line="240" w:lineRule="auto" w:before="0" w:after="40"/>
        <w:ind w:left="425" w:hanging="425"/>
        <w:tabs>
          <w:tab w:val="left" w:pos="425"/>
        </w:tabs>
      </w:pPr>
      <w:bookmarkStart w:id="1066" w:name="_Ref_66"/>
      <w:r>
        <w:rPr>
          <w:b w:val="0"/>
          <w:sz w:val="18"/>
        </w:rPr>
        <w:t>66</w:t>
      </w:r>
      <w:bookmarkEnd w:id="1066"/>
      <w:r>
        <w:rPr>
          <w:sz w:val="18"/>
        </w:rPr>
        <w:t>.</w:t>
        <w:tab/>
      </w:r>
      <w:r>
        <w:rPr>
          <w:b w:val="0"/>
          <w:i w:val="0"/>
          <w:sz w:val="18"/>
        </w:rPr>
        <w:t xml:space="preserve">Pisarik, C.T.; Rowell, P.C.; Thompson, L.K. </w:t>
      </w:r>
      <w:r>
        <w:rPr>
          <w:b w:val="0"/>
          <w:i w:val="0"/>
          <w:sz w:val="18"/>
        </w:rPr>
        <w:t xml:space="preserve">A Phenomenological Study of Career Anxiety among College Students. </w:t>
      </w:r>
      <w:r>
        <w:rPr>
          <w:b w:val="0"/>
          <w:i/>
          <w:sz w:val="18"/>
        </w:rPr>
        <w:t xml:space="preserve">Career Dev. Q. </w:t>
      </w:r>
      <w:r>
        <w:rPr>
          <w:b/>
          <w:i w:val="0"/>
          <w:sz w:val="18"/>
        </w:rPr>
        <w:t>2017</w:t>
      </w:r>
      <w:r>
        <w:rPr>
          <w:b w:val="0"/>
          <w:i w:val="0"/>
          <w:sz w:val="18"/>
        </w:rPr>
        <w:t xml:space="preserve">, </w:t>
      </w:r>
      <w:r>
        <w:rPr>
          <w:b w:val="0"/>
          <w:i/>
          <w:sz w:val="18"/>
        </w:rPr>
        <w:t>65</w:t>
      </w:r>
      <w:r>
        <w:rPr>
          <w:b w:val="0"/>
          <w:i w:val="0"/>
          <w:sz w:val="18"/>
        </w:rPr>
        <w:t>, 339–352.</w:t>
      </w:r>
      <w:r>
        <w:rPr>
          <w:b w:val="0"/>
          <w:i w:val="0"/>
          <w:sz w:val="18"/>
        </w:rPr>
        <w:t xml:space="preserve"> [CrossRef]</w:t>
      </w:r>
    </w:p>
    <w:p>
      <w:pPr>
        <w:pStyle w:val="MDPI32textnoindent"/>
        <w:spacing w:line="240" w:lineRule="auto" w:before="0" w:after="40"/>
        <w:ind w:left="425" w:hanging="425"/>
        <w:tabs>
          <w:tab w:val="left" w:pos="425"/>
        </w:tabs>
      </w:pPr>
      <w:bookmarkStart w:id="1067" w:name="_Ref_67"/>
      <w:r>
        <w:rPr>
          <w:b w:val="0"/>
          <w:sz w:val="18"/>
        </w:rPr>
        <w:t>67</w:t>
      </w:r>
      <w:bookmarkEnd w:id="1067"/>
      <w:r>
        <w:rPr>
          <w:sz w:val="18"/>
        </w:rPr>
        <w:t>.</w:t>
        <w:tab/>
      </w:r>
      <w:r>
        <w:rPr>
          <w:b w:val="0"/>
          <w:i w:val="0"/>
          <w:sz w:val="18"/>
        </w:rPr>
        <w:t xml:space="preserve">Savickas, M.L.; Porfeli, E.J. </w:t>
      </w:r>
      <w:r>
        <w:rPr>
          <w:b w:val="0"/>
          <w:i w:val="0"/>
          <w:sz w:val="18"/>
        </w:rPr>
        <w:t xml:space="preserve">Career Adapt-Abilities Scale: Construction, Reliability, and Measurement Equivalence across 13 Countries. </w:t>
      </w:r>
      <w:r>
        <w:rPr>
          <w:b w:val="0"/>
          <w:i/>
          <w:sz w:val="18"/>
        </w:rPr>
        <w:t xml:space="preserve">J. Vocat. Behav. </w:t>
      </w:r>
      <w:r>
        <w:rPr>
          <w:b/>
          <w:i w:val="0"/>
          <w:sz w:val="18"/>
        </w:rPr>
        <w:t>2012</w:t>
      </w:r>
      <w:r>
        <w:rPr>
          <w:b w:val="0"/>
          <w:i w:val="0"/>
          <w:sz w:val="18"/>
        </w:rPr>
        <w:t xml:space="preserve">, </w:t>
      </w:r>
      <w:r>
        <w:rPr>
          <w:b w:val="0"/>
          <w:i/>
          <w:sz w:val="18"/>
        </w:rPr>
        <w:t>80</w:t>
      </w:r>
      <w:r>
        <w:rPr>
          <w:b w:val="0"/>
          <w:i w:val="0"/>
          <w:sz w:val="18"/>
        </w:rPr>
        <w:t>, 661–673.</w:t>
      </w:r>
      <w:r>
        <w:rPr>
          <w:b w:val="0"/>
          <w:i w:val="0"/>
          <w:sz w:val="18"/>
        </w:rPr>
        <w:t xml:space="preserve"> [CrossRef]</w:t>
      </w:r>
    </w:p>
    <w:p>
      <w:pPr>
        <w:pStyle w:val="MDPI32textnoindent"/>
        <w:spacing w:line="240" w:lineRule="auto" w:before="0" w:after="40"/>
        <w:ind w:left="425" w:hanging="425"/>
        <w:tabs>
          <w:tab w:val="left" w:pos="425"/>
        </w:tabs>
      </w:pPr>
      <w:bookmarkStart w:id="1068" w:name="_Ref_68"/>
      <w:r>
        <w:rPr>
          <w:b w:val="0"/>
          <w:sz w:val="18"/>
        </w:rPr>
        <w:t>68</w:t>
      </w:r>
      <w:bookmarkEnd w:id="1068"/>
      <w:r>
        <w:rPr>
          <w:sz w:val="18"/>
        </w:rPr>
        <w:t>.</w:t>
        <w:tab/>
      </w:r>
      <w:r>
        <w:rPr>
          <w:b w:val="0"/>
          <w:i w:val="0"/>
          <w:sz w:val="18"/>
        </w:rPr>
        <w:t xml:space="preserve">Lent, R.W.; Brown, S.D. </w:t>
      </w:r>
      <w:r>
        <w:rPr>
          <w:b w:val="0"/>
          <w:i w:val="0"/>
          <w:sz w:val="18"/>
        </w:rPr>
        <w:t xml:space="preserve">Social Cognitive Model of Career Self-Management: Toward a Unifying View of Adaptive Career Behavior across the Life Span. </w:t>
      </w:r>
      <w:r>
        <w:rPr>
          <w:b w:val="0"/>
          <w:i/>
          <w:sz w:val="18"/>
        </w:rPr>
        <w:t xml:space="preserve">J. Couns. Psychol. </w:t>
      </w:r>
      <w:r>
        <w:rPr>
          <w:b/>
          <w:i w:val="0"/>
          <w:sz w:val="18"/>
        </w:rPr>
        <w:t>2013</w:t>
      </w:r>
      <w:r>
        <w:rPr>
          <w:b w:val="0"/>
          <w:i w:val="0"/>
          <w:sz w:val="18"/>
        </w:rPr>
        <w:t xml:space="preserve">, </w:t>
      </w:r>
      <w:r>
        <w:rPr>
          <w:b w:val="0"/>
          <w:i/>
          <w:sz w:val="18"/>
        </w:rPr>
        <w:t>60</w:t>
      </w:r>
      <w:r>
        <w:rPr>
          <w:b w:val="0"/>
          <w:i w:val="0"/>
          <w:sz w:val="18"/>
        </w:rPr>
        <w:t>, 557–568.</w:t>
      </w:r>
      <w:r>
        <w:rPr>
          <w:b w:val="0"/>
          <w:i w:val="0"/>
          <w:sz w:val="18"/>
        </w:rPr>
        <w:t xml:space="preserve"> [CrossRef]</w:t>
      </w:r>
    </w:p>
    <w:p>
      <w:pPr>
        <w:pStyle w:val="MDPI32textnoindent"/>
        <w:spacing w:line="240" w:lineRule="auto" w:before="0" w:after="40"/>
        <w:ind w:left="425" w:hanging="425"/>
        <w:tabs>
          <w:tab w:val="left" w:pos="425"/>
        </w:tabs>
      </w:pPr>
      <w:bookmarkStart w:id="1069" w:name="_Ref_69"/>
      <w:r>
        <w:rPr>
          <w:b w:val="0"/>
          <w:sz w:val="18"/>
        </w:rPr>
        <w:t>69</w:t>
      </w:r>
      <w:bookmarkEnd w:id="1069"/>
      <w:r>
        <w:rPr>
          <w:sz w:val="18"/>
        </w:rPr>
        <w:t>.</w:t>
        <w:tab/>
      </w:r>
      <w:r>
        <w:rPr>
          <w:b w:val="0"/>
          <w:i w:val="0"/>
          <w:sz w:val="18"/>
        </w:rPr>
        <w:t xml:space="preserve">Yerkes, R.M.; Dodson, J.D. </w:t>
      </w:r>
      <w:r>
        <w:rPr>
          <w:b w:val="0"/>
          <w:i w:val="0"/>
          <w:sz w:val="18"/>
        </w:rPr>
        <w:t xml:space="preserve">The Relation of Strength of Stimulus to Rapidity of Habit-Formation. </w:t>
      </w:r>
      <w:r>
        <w:rPr>
          <w:b w:val="0"/>
          <w:i/>
          <w:sz w:val="18"/>
        </w:rPr>
        <w:t xml:space="preserve">J. Comp. Neurol. Psychol. </w:t>
      </w:r>
      <w:r>
        <w:rPr>
          <w:b/>
          <w:i w:val="0"/>
          <w:sz w:val="18"/>
        </w:rPr>
        <w:t>1908</w:t>
      </w:r>
      <w:r>
        <w:rPr>
          <w:b w:val="0"/>
          <w:i w:val="0"/>
          <w:sz w:val="18"/>
        </w:rPr>
        <w:t xml:space="preserve">, </w:t>
      </w:r>
      <w:r>
        <w:rPr>
          <w:b w:val="0"/>
          <w:i/>
          <w:sz w:val="18"/>
        </w:rPr>
        <w:t>18</w:t>
      </w:r>
      <w:r>
        <w:rPr>
          <w:b w:val="0"/>
          <w:i w:val="0"/>
          <w:sz w:val="18"/>
        </w:rPr>
        <w:t>, 459–482.</w:t>
      </w:r>
      <w:r>
        <w:rPr>
          <w:b w:val="0"/>
          <w:i w:val="0"/>
          <w:sz w:val="18"/>
        </w:rPr>
        <w:t xml:space="preserve"> [CrossRef]</w:t>
      </w:r>
    </w:p>
    <w:p>
      <w:pPr>
        <w:pStyle w:val="MDPI32textnoindent"/>
        <w:spacing w:line="240" w:lineRule="auto" w:before="0" w:after="40"/>
        <w:ind w:left="425" w:hanging="425"/>
        <w:tabs>
          <w:tab w:val="left" w:pos="425"/>
        </w:tabs>
      </w:pPr>
      <w:bookmarkStart w:id="1070" w:name="_Ref_70"/>
      <w:r>
        <w:rPr>
          <w:b w:val="0"/>
          <w:sz w:val="18"/>
        </w:rPr>
        <w:t>70</w:t>
      </w:r>
      <w:bookmarkEnd w:id="1070"/>
      <w:r>
        <w:rPr>
          <w:sz w:val="18"/>
        </w:rPr>
        <w:t>.</w:t>
        <w:tab/>
      </w:r>
      <w:r>
        <w:rPr>
          <w:b w:val="0"/>
          <w:i w:val="0"/>
          <w:sz w:val="18"/>
        </w:rPr>
        <w:t xml:space="preserve">Grant, A.M.; Schwartz, B. </w:t>
      </w:r>
      <w:r>
        <w:rPr>
          <w:b w:val="0"/>
          <w:i w:val="0"/>
          <w:sz w:val="18"/>
        </w:rPr>
        <w:t xml:space="preserve">Too Much of a Good Thing: The Challenge and Opportunity of the Inverted U. </w:t>
      </w:r>
      <w:r>
        <w:rPr>
          <w:b w:val="0"/>
          <w:i/>
          <w:sz w:val="18"/>
        </w:rPr>
        <w:t xml:space="preserve">Perspect. Psychol. Sci. </w:t>
      </w:r>
      <w:r>
        <w:rPr>
          <w:b/>
          <w:i w:val="0"/>
          <w:sz w:val="18"/>
        </w:rPr>
        <w:t>2011</w:t>
      </w:r>
      <w:r>
        <w:rPr>
          <w:b w:val="0"/>
          <w:i w:val="0"/>
          <w:sz w:val="18"/>
        </w:rPr>
        <w:t xml:space="preserve">, </w:t>
      </w:r>
      <w:r>
        <w:rPr>
          <w:b w:val="0"/>
          <w:i/>
          <w:sz w:val="18"/>
        </w:rPr>
        <w:t>6</w:t>
      </w:r>
      <w:r>
        <w:rPr>
          <w:b w:val="0"/>
          <w:i w:val="0"/>
          <w:sz w:val="18"/>
        </w:rPr>
        <w:t>, 61–76.</w:t>
      </w:r>
      <w:r>
        <w:rPr>
          <w:b w:val="0"/>
          <w:i w:val="0"/>
          <w:sz w:val="18"/>
        </w:rPr>
        <w:t xml:space="preserve"> [CrossRef]</w:t>
      </w:r>
    </w:p>
    <w:p>
      <w:pPr>
        <w:pStyle w:val="MDPI32textnoindent"/>
        <w:spacing w:line="240" w:lineRule="auto" w:before="0" w:after="40"/>
        <w:ind w:left="425" w:hanging="425"/>
        <w:tabs>
          <w:tab w:val="left" w:pos="425"/>
        </w:tabs>
      </w:pPr>
      <w:bookmarkStart w:id="1071" w:name="_Ref_71"/>
      <w:r>
        <w:rPr>
          <w:b w:val="0"/>
          <w:sz w:val="18"/>
        </w:rPr>
        <w:t>71</w:t>
      </w:r>
      <w:bookmarkEnd w:id="1071"/>
      <w:r>
        <w:rPr>
          <w:sz w:val="18"/>
        </w:rPr>
        <w:t>.</w:t>
        <w:tab/>
      </w:r>
      <w:r>
        <w:rPr>
          <w:b w:val="0"/>
          <w:i w:val="0"/>
          <w:sz w:val="18"/>
        </w:rPr>
        <w:t xml:space="preserve">Pierce, J.R.; Aguinis, H. </w:t>
      </w:r>
      <w:r>
        <w:rPr>
          <w:b w:val="0"/>
          <w:i w:val="0"/>
          <w:sz w:val="18"/>
        </w:rPr>
        <w:t xml:space="preserve">The Too-Much-of-a-Good-Thing Effect in Management. </w:t>
      </w:r>
      <w:r>
        <w:rPr>
          <w:b w:val="0"/>
          <w:i/>
          <w:sz w:val="18"/>
        </w:rPr>
        <w:t xml:space="preserve">J. Manag. </w:t>
      </w:r>
      <w:r>
        <w:rPr>
          <w:b/>
          <w:i w:val="0"/>
          <w:sz w:val="18"/>
        </w:rPr>
        <w:t>2013</w:t>
      </w:r>
      <w:r>
        <w:rPr>
          <w:b w:val="0"/>
          <w:i w:val="0"/>
          <w:sz w:val="18"/>
        </w:rPr>
        <w:t xml:space="preserve">, </w:t>
      </w:r>
      <w:r>
        <w:rPr>
          <w:b w:val="0"/>
          <w:i/>
          <w:sz w:val="18"/>
        </w:rPr>
        <w:t>39</w:t>
      </w:r>
      <w:r>
        <w:rPr>
          <w:b w:val="0"/>
          <w:i w:val="0"/>
          <w:sz w:val="18"/>
        </w:rPr>
        <w:t>, 313–338.</w:t>
      </w:r>
      <w:r>
        <w:rPr>
          <w:b w:val="0"/>
          <w:i w:val="0"/>
          <w:sz w:val="18"/>
        </w:rPr>
        <w:t xml:space="preserve"> [CrossRef]</w:t>
      </w:r>
    </w:p>
    <w:p>
      <w:pPr>
        <w:pStyle w:val="MDPI32textnoindent"/>
        <w:spacing w:line="240" w:lineRule="auto" w:before="0" w:after="40"/>
        <w:ind w:left="425" w:hanging="425"/>
        <w:tabs>
          <w:tab w:val="left" w:pos="425"/>
        </w:tabs>
      </w:pPr>
      <w:bookmarkStart w:id="1072" w:name="_Ref_72"/>
      <w:r>
        <w:rPr>
          <w:b w:val="0"/>
          <w:sz w:val="18"/>
        </w:rPr>
        <w:t>72</w:t>
      </w:r>
      <w:bookmarkEnd w:id="1072"/>
      <w:r>
        <w:rPr>
          <w:sz w:val="18"/>
        </w:rPr>
        <w:t>.</w:t>
        <w:tab/>
      </w:r>
      <w:r>
        <w:rPr>
          <w:b w:val="0"/>
          <w:i w:val="0"/>
          <w:sz w:val="18"/>
        </w:rPr>
        <w:t xml:space="preserve">Bandura, A. </w:t>
      </w:r>
      <w:r>
        <w:rPr>
          <w:b w:val="0"/>
          <w:i/>
          <w:sz w:val="18"/>
        </w:rPr>
        <w:t>Self-Efficacy: The Exercise of Control</w:t>
      </w:r>
      <w:r>
        <w:rPr>
          <w:b w:val="0"/>
          <w:i w:val="0"/>
          <w:sz w:val="18"/>
        </w:rPr>
        <w:t xml:space="preserve">; </w:t>
      </w:r>
      <w:r>
        <w:rPr>
          <w:b w:val="0"/>
          <w:i w:val="0"/>
          <w:sz w:val="18"/>
        </w:rPr>
        <w:t>W.H. Freeman: New York, NY, USA, 1997.</w:t>
      </w:r>
    </w:p>
    <w:p>
      <w:pPr>
        <w:pStyle w:val="MDPI32textnoindent"/>
        <w:spacing w:line="240" w:lineRule="auto" w:before="0" w:after="40"/>
        <w:ind w:left="425" w:hanging="425"/>
        <w:tabs>
          <w:tab w:val="left" w:pos="425"/>
        </w:tabs>
      </w:pPr>
      <w:bookmarkStart w:id="1073" w:name="_Ref_73"/>
      <w:r>
        <w:rPr>
          <w:b w:val="0"/>
          <w:sz w:val="18"/>
        </w:rPr>
        <w:t>73</w:t>
      </w:r>
      <w:bookmarkEnd w:id="1073"/>
      <w:r>
        <w:rPr>
          <w:sz w:val="18"/>
        </w:rPr>
        <w:t>.</w:t>
        <w:tab/>
      </w:r>
      <w:r>
        <w:rPr>
          <w:b w:val="0"/>
          <w:i w:val="0"/>
          <w:sz w:val="18"/>
        </w:rPr>
        <w:t xml:space="preserve">Raisch, S.; Krakowski, S. </w:t>
      </w:r>
      <w:r>
        <w:rPr>
          <w:b w:val="0"/>
          <w:i w:val="0"/>
          <w:sz w:val="18"/>
        </w:rPr>
        <w:t xml:space="preserve">Artificial Intelligence and Management: The Automation–Augmentation Paradox. </w:t>
      </w:r>
      <w:r>
        <w:rPr>
          <w:b w:val="0"/>
          <w:i/>
          <w:sz w:val="18"/>
        </w:rPr>
        <w:t xml:space="preserve">Acad. Manag. Rev. </w:t>
      </w:r>
      <w:r>
        <w:rPr>
          <w:b/>
          <w:i w:val="0"/>
          <w:sz w:val="18"/>
        </w:rPr>
        <w:t>2021</w:t>
      </w:r>
      <w:r>
        <w:rPr>
          <w:b w:val="0"/>
          <w:i w:val="0"/>
          <w:sz w:val="18"/>
        </w:rPr>
        <w:t xml:space="preserve">, </w:t>
      </w:r>
      <w:r>
        <w:rPr>
          <w:b w:val="0"/>
          <w:i/>
          <w:sz w:val="18"/>
        </w:rPr>
        <w:t>46</w:t>
      </w:r>
      <w:r>
        <w:rPr>
          <w:b w:val="0"/>
          <w:i w:val="0"/>
          <w:sz w:val="18"/>
        </w:rPr>
        <w:t>, 192–210.</w:t>
      </w:r>
      <w:r>
        <w:rPr>
          <w:b w:val="0"/>
          <w:i w:val="0"/>
          <w:sz w:val="18"/>
        </w:rPr>
        <w:t xml:space="preserve"> [CrossRef]</w:t>
      </w:r>
    </w:p>
    <w:p>
      <w:pPr>
        <w:pStyle w:val="MDPI32textnoindent"/>
        <w:spacing w:line="240" w:lineRule="auto" w:before="0" w:after="40"/>
        <w:ind w:left="425" w:hanging="425"/>
        <w:tabs>
          <w:tab w:val="left" w:pos="425"/>
        </w:tabs>
      </w:pPr>
      <w:bookmarkStart w:id="1074" w:name="_Ref_74"/>
      <w:r>
        <w:rPr>
          <w:b w:val="0"/>
          <w:sz w:val="18"/>
        </w:rPr>
        <w:t>74</w:t>
      </w:r>
      <w:bookmarkEnd w:id="1074"/>
      <w:r>
        <w:rPr>
          <w:sz w:val="18"/>
        </w:rPr>
        <w:t>.</w:t>
        <w:tab/>
      </w:r>
      <w:r>
        <w:rPr>
          <w:b w:val="0"/>
          <w:i w:val="0"/>
          <w:sz w:val="18"/>
        </w:rPr>
        <w:t xml:space="preserve">Vaccaro, M.; Almaatouq, A.; Malone, T. </w:t>
      </w:r>
      <w:r>
        <w:rPr>
          <w:b w:val="0"/>
          <w:i w:val="0"/>
          <w:sz w:val="18"/>
        </w:rPr>
        <w:t xml:space="preserve">When Combinations of Humans and AI Are Useful: A Systematic Review and Meta-Analysis. </w:t>
      </w:r>
      <w:r>
        <w:rPr>
          <w:b w:val="0"/>
          <w:i/>
          <w:sz w:val="18"/>
        </w:rPr>
        <w:t xml:space="preserve">Nat. Hum. Behav. </w:t>
      </w:r>
      <w:r>
        <w:rPr>
          <w:b/>
          <w:i w:val="0"/>
          <w:sz w:val="18"/>
        </w:rPr>
        <w:t>2024</w:t>
      </w:r>
      <w:r>
        <w:rPr>
          <w:b w:val="0"/>
          <w:i w:val="0"/>
          <w:sz w:val="18"/>
        </w:rPr>
        <w:t xml:space="preserve">, </w:t>
      </w:r>
      <w:r>
        <w:rPr>
          <w:b w:val="0"/>
          <w:i/>
          <w:sz w:val="18"/>
        </w:rPr>
        <w:t>8</w:t>
      </w:r>
      <w:r>
        <w:rPr>
          <w:b w:val="0"/>
          <w:i w:val="0"/>
          <w:sz w:val="18"/>
        </w:rPr>
        <w:t>, 2293–2303.</w:t>
      </w:r>
      <w:r>
        <w:rPr>
          <w:b w:val="0"/>
          <w:i w:val="0"/>
          <w:sz w:val="18"/>
        </w:rPr>
        <w:t xml:space="preserve"> [CrossRef]</w:t>
      </w:r>
    </w:p>
    <w:p>
      <w:pPr>
        <w:pStyle w:val="MDPI32textnoindent"/>
        <w:spacing w:line="240" w:lineRule="auto" w:before="0" w:after="40"/>
        <w:ind w:left="425" w:hanging="425"/>
        <w:tabs>
          <w:tab w:val="left" w:pos="425"/>
        </w:tabs>
      </w:pPr>
      <w:bookmarkStart w:id="1075" w:name="_Ref_75"/>
      <w:r>
        <w:rPr>
          <w:b w:val="0"/>
          <w:sz w:val="18"/>
        </w:rPr>
        <w:t>75</w:t>
      </w:r>
      <w:bookmarkEnd w:id="1075"/>
      <w:r>
        <w:rPr>
          <w:sz w:val="18"/>
        </w:rPr>
        <w:t>.</w:t>
        <w:tab/>
      </w:r>
      <w:r>
        <w:rPr>
          <w:b w:val="0"/>
          <w:i w:val="0"/>
          <w:sz w:val="18"/>
        </w:rPr>
        <w:t xml:space="preserve">Fugate, M.; Kinicki, A.J.; Ashforth, B.E. </w:t>
      </w:r>
      <w:r>
        <w:rPr>
          <w:b w:val="0"/>
          <w:i w:val="0"/>
          <w:sz w:val="18"/>
        </w:rPr>
        <w:t xml:space="preserve">Employability: A Psycho-Social Construct, Its Dimensions, and Applications. </w:t>
      </w:r>
      <w:r>
        <w:rPr>
          <w:b w:val="0"/>
          <w:i/>
          <w:sz w:val="18"/>
        </w:rPr>
        <w:t xml:space="preserve">J. Vocat. Behav. </w:t>
      </w:r>
      <w:r>
        <w:rPr>
          <w:b/>
          <w:i w:val="0"/>
          <w:sz w:val="18"/>
        </w:rPr>
        <w:t>2004</w:t>
      </w:r>
      <w:r>
        <w:rPr>
          <w:b w:val="0"/>
          <w:i w:val="0"/>
          <w:sz w:val="18"/>
        </w:rPr>
        <w:t xml:space="preserve">, </w:t>
      </w:r>
      <w:r>
        <w:rPr>
          <w:b w:val="0"/>
          <w:i/>
          <w:sz w:val="18"/>
        </w:rPr>
        <w:t>65</w:t>
      </w:r>
      <w:r>
        <w:rPr>
          <w:b w:val="0"/>
          <w:i w:val="0"/>
          <w:sz w:val="18"/>
        </w:rPr>
        <w:t>, 14–38.</w:t>
      </w:r>
      <w:r>
        <w:rPr>
          <w:b w:val="0"/>
          <w:i w:val="0"/>
          <w:sz w:val="18"/>
        </w:rPr>
        <w:t xml:space="preserve"> [CrossRef]</w:t>
      </w:r>
    </w:p>
    <w:p>
      <w:pPr>
        <w:pStyle w:val="MDPI32textnoindent"/>
        <w:spacing w:line="240" w:lineRule="auto" w:before="0" w:after="40"/>
        <w:ind w:left="425" w:hanging="425"/>
        <w:tabs>
          <w:tab w:val="left" w:pos="425"/>
        </w:tabs>
      </w:pPr>
      <w:bookmarkStart w:id="1076" w:name="_Ref_76"/>
      <w:r>
        <w:rPr>
          <w:b w:val="0"/>
          <w:sz w:val="18"/>
        </w:rPr>
        <w:t>76</w:t>
      </w:r>
      <w:bookmarkEnd w:id="1076"/>
      <w:r>
        <w:rPr>
          <w:sz w:val="18"/>
        </w:rPr>
        <w:t>.</w:t>
        <w:tab/>
      </w:r>
      <w:r>
        <w:rPr>
          <w:b w:val="0"/>
          <w:i w:val="0"/>
          <w:sz w:val="18"/>
        </w:rPr>
        <w:t xml:space="preserve">Akkermans, J.; Richardson, J.; Kraimer, M.L. </w:t>
      </w:r>
      <w:r>
        <w:rPr>
          <w:b w:val="0"/>
          <w:i w:val="0"/>
          <w:sz w:val="18"/>
        </w:rPr>
        <w:t xml:space="preserve">The Covid-19 Crisis as a Career Shock: Implications for Careers and Vocational Behavior. </w:t>
      </w:r>
      <w:r>
        <w:rPr>
          <w:b w:val="0"/>
          <w:i/>
          <w:sz w:val="18"/>
        </w:rPr>
        <w:t xml:space="preserve">J. Vocat. Behav. </w:t>
      </w:r>
      <w:r>
        <w:rPr>
          <w:b/>
          <w:i w:val="0"/>
          <w:sz w:val="18"/>
        </w:rPr>
        <w:t>2020</w:t>
      </w:r>
      <w:r>
        <w:rPr>
          <w:b w:val="0"/>
          <w:i w:val="0"/>
          <w:sz w:val="18"/>
        </w:rPr>
        <w:t xml:space="preserve">, </w:t>
      </w:r>
      <w:r>
        <w:rPr>
          <w:b w:val="0"/>
          <w:i/>
          <w:sz w:val="18"/>
        </w:rPr>
        <w:t>119</w:t>
      </w:r>
      <w:r>
        <w:rPr>
          <w:b w:val="0"/>
          <w:i w:val="0"/>
          <w:sz w:val="18"/>
        </w:rPr>
        <w:t>, 103434.</w:t>
      </w:r>
      <w:r>
        <w:rPr>
          <w:b w:val="0"/>
          <w:i w:val="0"/>
          <w:sz w:val="18"/>
        </w:rPr>
        <w:t xml:space="preserve"> [CrossRef]</w:t>
      </w:r>
    </w:p>
    <w:p>
      <w:pPr>
        <w:pStyle w:val="MDPI32textnoindent"/>
        <w:spacing w:line="240" w:lineRule="auto" w:before="0" w:after="40"/>
        <w:ind w:left="425" w:hanging="425"/>
        <w:tabs>
          <w:tab w:val="left" w:pos="425"/>
        </w:tabs>
      </w:pPr>
      <w:bookmarkStart w:id="1077" w:name="_Ref_77"/>
      <w:r>
        <w:rPr>
          <w:b w:val="0"/>
          <w:sz w:val="18"/>
        </w:rPr>
        <w:t>77</w:t>
      </w:r>
      <w:bookmarkEnd w:id="1077"/>
      <w:r>
        <w:rPr>
          <w:sz w:val="18"/>
        </w:rPr>
        <w:t>.</w:t>
        <w:tab/>
      </w:r>
      <w:r>
        <w:rPr>
          <w:b w:val="0"/>
          <w:i w:val="0"/>
          <w:sz w:val="18"/>
        </w:rPr>
        <w:t xml:space="preserve">Simon, H.A. </w:t>
      </w:r>
      <w:r>
        <w:rPr>
          <w:b w:val="0"/>
          <w:i w:val="0"/>
          <w:sz w:val="18"/>
        </w:rPr>
        <w:t xml:space="preserve">The Architecture of Complexity. </w:t>
      </w:r>
      <w:r>
        <w:rPr>
          <w:b w:val="0"/>
          <w:i/>
          <w:sz w:val="18"/>
        </w:rPr>
        <w:t xml:space="preserve">Proc. Am. Philos. Soc. </w:t>
      </w:r>
      <w:r>
        <w:rPr>
          <w:b/>
          <w:i w:val="0"/>
          <w:sz w:val="18"/>
        </w:rPr>
        <w:t>1962</w:t>
      </w:r>
      <w:r>
        <w:rPr>
          <w:b w:val="0"/>
          <w:i w:val="0"/>
          <w:sz w:val="18"/>
        </w:rPr>
        <w:t xml:space="preserve">, </w:t>
      </w:r>
      <w:r>
        <w:rPr>
          <w:b w:val="0"/>
          <w:i/>
          <w:sz w:val="18"/>
        </w:rPr>
        <w:t>106</w:t>
      </w:r>
      <w:r>
        <w:rPr>
          <w:b w:val="0"/>
          <w:i w:val="0"/>
          <w:sz w:val="18"/>
        </w:rPr>
        <w:t>, 467-482.</w:t>
      </w:r>
    </w:p>
    <w:p>
      <w:pPr>
        <w:pStyle w:val="MDPI32textnoindent"/>
        <w:spacing w:line="240" w:lineRule="auto" w:before="0" w:after="40"/>
        <w:ind w:left="425" w:hanging="425"/>
        <w:tabs>
          <w:tab w:val="left" w:pos="425"/>
        </w:tabs>
      </w:pPr>
      <w:bookmarkStart w:id="1078" w:name="_Ref_78"/>
      <w:r>
        <w:rPr>
          <w:b w:val="0"/>
          <w:sz w:val="18"/>
        </w:rPr>
        <w:t>78</w:t>
      </w:r>
      <w:bookmarkEnd w:id="1078"/>
      <w:r>
        <w:rPr>
          <w:sz w:val="18"/>
        </w:rPr>
        <w:t>.</w:t>
        <w:tab/>
      </w:r>
      <w:r>
        <w:rPr>
          <w:b w:val="0"/>
          <w:i w:val="0"/>
          <w:sz w:val="18"/>
        </w:rPr>
        <w:t xml:space="preserve">Schneider, C.Q.; Wagemann, C. </w:t>
      </w:r>
      <w:r>
        <w:rPr>
          <w:b w:val="0"/>
          <w:i/>
          <w:sz w:val="18"/>
        </w:rPr>
        <w:t>Set-Theoretic Methods for the Social Sciences: A Guide to Qualitative Comparative Analysis</w:t>
      </w:r>
      <w:r>
        <w:rPr>
          <w:b w:val="0"/>
          <w:i w:val="0"/>
          <w:sz w:val="18"/>
        </w:rPr>
        <w:t xml:space="preserve">; </w:t>
      </w:r>
      <w:r>
        <w:rPr>
          <w:b w:val="0"/>
          <w:i w:val="0"/>
          <w:sz w:val="18"/>
        </w:rPr>
        <w:t>Cambridge University Press: Cambridge, UK, 2012.</w:t>
      </w:r>
    </w:p>
    <w:p>
      <w:pPr>
        <w:pStyle w:val="MDPI32textnoindent"/>
        <w:spacing w:line="240" w:lineRule="auto" w:before="0" w:after="40"/>
        <w:ind w:left="425" w:hanging="425"/>
        <w:tabs>
          <w:tab w:val="left" w:pos="425"/>
        </w:tabs>
      </w:pPr>
      <w:bookmarkStart w:id="1079" w:name="_Ref_79"/>
      <w:r>
        <w:rPr>
          <w:b w:val="0"/>
          <w:sz w:val="18"/>
        </w:rPr>
        <w:t>79</w:t>
      </w:r>
      <w:bookmarkEnd w:id="1079"/>
      <w:r>
        <w:rPr>
          <w:sz w:val="18"/>
        </w:rPr>
        <w:t>.</w:t>
        <w:tab/>
      </w:r>
      <w:r>
        <w:rPr>
          <w:b w:val="0"/>
          <w:i w:val="0"/>
          <w:sz w:val="18"/>
        </w:rPr>
        <w:t xml:space="preserve">National Bureau of Statistics of China. </w:t>
      </w:r>
      <w:r>
        <w:rPr>
          <w:b w:val="0"/>
          <w:i w:val="0"/>
          <w:sz w:val="18"/>
        </w:rPr>
        <w:t xml:space="preserve">Surveyed Urban Unemployment Rate of the Population Aged 16 to 24 Excluding Students. </w:t>
      </w:r>
      <w:r>
        <w:rPr>
          <w:b w:val="0"/>
          <w:i w:val="0"/>
          <w:sz w:val="18"/>
        </w:rPr>
        <w:t>Available online: https://www.stats.gov.cn/english/ (accessed on 20 March 2026).</w:t>
      </w:r>
    </w:p>
    <w:p>
      <w:pPr>
        <w:pStyle w:val="MDPI32textnoindent"/>
        <w:spacing w:line="240" w:lineRule="auto" w:before="0" w:after="40"/>
        <w:ind w:left="425" w:hanging="425"/>
        <w:tabs>
          <w:tab w:val="left" w:pos="425"/>
        </w:tabs>
      </w:pPr>
      <w:bookmarkStart w:id="1080" w:name="_Ref_80"/>
      <w:r>
        <w:rPr>
          <w:b w:val="0"/>
          <w:sz w:val="18"/>
        </w:rPr>
        <w:t>80</w:t>
      </w:r>
      <w:bookmarkEnd w:id="1080"/>
      <w:r>
        <w:rPr>
          <w:sz w:val="18"/>
        </w:rPr>
        <w:t>.</w:t>
        <w:tab/>
      </w:r>
      <w:r>
        <w:rPr>
          <w:b w:val="0"/>
          <w:i w:val="0"/>
          <w:sz w:val="18"/>
        </w:rPr>
        <w:t xml:space="preserve">Lindell, M.K.; Whitney, D.J. </w:t>
      </w:r>
      <w:r>
        <w:rPr>
          <w:b w:val="0"/>
          <w:i w:val="0"/>
          <w:sz w:val="18"/>
        </w:rPr>
        <w:t xml:space="preserve">Accounting for Common Method Variance in Cross-Sectional Research Designs. </w:t>
      </w:r>
      <w:r>
        <w:rPr>
          <w:b w:val="0"/>
          <w:i/>
          <w:sz w:val="18"/>
        </w:rPr>
        <w:t xml:space="preserve">J. Appl. Psychol. </w:t>
      </w:r>
      <w:r>
        <w:rPr>
          <w:b/>
          <w:i w:val="0"/>
          <w:sz w:val="18"/>
        </w:rPr>
        <w:t>2001</w:t>
      </w:r>
      <w:r>
        <w:rPr>
          <w:b w:val="0"/>
          <w:i w:val="0"/>
          <w:sz w:val="18"/>
        </w:rPr>
        <w:t xml:space="preserve">, </w:t>
      </w:r>
      <w:r>
        <w:rPr>
          <w:b w:val="0"/>
          <w:i/>
          <w:sz w:val="18"/>
        </w:rPr>
        <w:t>86</w:t>
      </w:r>
      <w:r>
        <w:rPr>
          <w:b w:val="0"/>
          <w:i w:val="0"/>
          <w:sz w:val="18"/>
        </w:rPr>
        <w:t>, 114–121.</w:t>
      </w:r>
      <w:r>
        <w:rPr>
          <w:b w:val="0"/>
          <w:i w:val="0"/>
          <w:sz w:val="18"/>
        </w:rPr>
        <w:t xml:space="preserve"> [CrossRef]</w:t>
      </w:r>
    </w:p>
    <w:p>
      <w:pPr>
        <w:pStyle w:val="MDPI32textnoindent"/>
        <w:spacing w:line="240" w:lineRule="auto" w:before="0" w:after="40"/>
        <w:ind w:left="425" w:hanging="425"/>
        <w:tabs>
          <w:tab w:val="left" w:pos="425"/>
        </w:tabs>
      </w:pPr>
      <w:bookmarkStart w:id="1081" w:name="_Ref_81"/>
      <w:r>
        <w:rPr>
          <w:b w:val="0"/>
          <w:sz w:val="18"/>
        </w:rPr>
        <w:t>81</w:t>
      </w:r>
      <w:bookmarkEnd w:id="1081"/>
      <w:r>
        <w:rPr>
          <w:sz w:val="18"/>
        </w:rPr>
        <w:t>.</w:t>
        <w:tab/>
      </w:r>
      <w:r>
        <w:rPr>
          <w:b w:val="0"/>
          <w:i w:val="0"/>
          <w:sz w:val="18"/>
        </w:rPr>
        <w:t xml:space="preserve">Fornell, C.; Larcker, D.F. </w:t>
      </w:r>
      <w:r>
        <w:rPr>
          <w:b w:val="0"/>
          <w:i w:val="0"/>
          <w:sz w:val="18"/>
        </w:rPr>
        <w:t xml:space="preserve">Evaluating Structural Equation Models with Unobservable Variables and Measurement Error. </w:t>
      </w:r>
      <w:r>
        <w:rPr>
          <w:b w:val="0"/>
          <w:i/>
          <w:sz w:val="18"/>
        </w:rPr>
        <w:t xml:space="preserve">J. Mark. Res. </w:t>
      </w:r>
      <w:r>
        <w:rPr>
          <w:b/>
          <w:i w:val="0"/>
          <w:sz w:val="18"/>
        </w:rPr>
        <w:t>1981</w:t>
      </w:r>
      <w:r>
        <w:rPr>
          <w:b w:val="0"/>
          <w:i w:val="0"/>
          <w:sz w:val="18"/>
        </w:rPr>
        <w:t xml:space="preserve">, </w:t>
      </w:r>
      <w:r>
        <w:rPr>
          <w:b w:val="0"/>
          <w:i/>
          <w:sz w:val="18"/>
        </w:rPr>
        <w:t>18</w:t>
      </w:r>
      <w:r>
        <w:rPr>
          <w:b w:val="0"/>
          <w:i w:val="0"/>
          <w:sz w:val="18"/>
        </w:rPr>
        <w:t>, 39–50.</w:t>
      </w:r>
      <w:r>
        <w:rPr>
          <w:b w:val="0"/>
          <w:i w:val="0"/>
          <w:sz w:val="18"/>
        </w:rPr>
        <w:t xml:space="preserve"> [CrossRef]</w:t>
      </w:r>
    </w:p>
    <w:p>
      <w:pPr>
        <w:pStyle w:val="MDPI32textnoindent"/>
        <w:spacing w:line="240" w:lineRule="auto" w:before="0" w:after="40"/>
        <w:ind w:left="425" w:hanging="425"/>
        <w:tabs>
          <w:tab w:val="left" w:pos="425"/>
        </w:tabs>
      </w:pPr>
      <w:bookmarkStart w:id="1082" w:name="_Ref_82"/>
      <w:r>
        <w:rPr>
          <w:b w:val="0"/>
          <w:sz w:val="18"/>
        </w:rPr>
        <w:t>82</w:t>
      </w:r>
      <w:bookmarkEnd w:id="1082"/>
      <w:r>
        <w:rPr>
          <w:sz w:val="18"/>
        </w:rPr>
        <w:t>.</w:t>
        <w:tab/>
      </w:r>
      <w:r>
        <w:rPr>
          <w:b w:val="0"/>
          <w:i w:val="0"/>
          <w:sz w:val="18"/>
        </w:rPr>
        <w:t xml:space="preserve">Hu, L.; Bentler, P.M. </w:t>
      </w:r>
      <w:r>
        <w:rPr>
          <w:b w:val="0"/>
          <w:i w:val="0"/>
          <w:sz w:val="18"/>
        </w:rPr>
        <w:t xml:space="preserve">Cutoff Criteria for Fit Indexes in Covariance Structure Analysis: Conventional Criteria versus New Alternatives. </w:t>
      </w:r>
      <w:r>
        <w:rPr>
          <w:b w:val="0"/>
          <w:i/>
          <w:sz w:val="18"/>
        </w:rPr>
        <w:t xml:space="preserve">Struct. Equ. Model. </w:t>
      </w:r>
      <w:r>
        <w:rPr>
          <w:b/>
          <w:i w:val="0"/>
          <w:sz w:val="18"/>
        </w:rPr>
        <w:t>1999</w:t>
      </w:r>
      <w:r>
        <w:rPr>
          <w:b w:val="0"/>
          <w:i w:val="0"/>
          <w:sz w:val="18"/>
        </w:rPr>
        <w:t xml:space="preserve">, </w:t>
      </w:r>
      <w:r>
        <w:rPr>
          <w:b w:val="0"/>
          <w:i/>
          <w:sz w:val="18"/>
        </w:rPr>
        <w:t>6</w:t>
      </w:r>
      <w:r>
        <w:rPr>
          <w:b w:val="0"/>
          <w:i w:val="0"/>
          <w:sz w:val="18"/>
        </w:rPr>
        <w:t>, 1–55.</w:t>
      </w:r>
      <w:r>
        <w:rPr>
          <w:b w:val="0"/>
          <w:i w:val="0"/>
          <w:sz w:val="18"/>
        </w:rPr>
        <w:t xml:space="preserve"> [CrossRef]</w:t>
      </w:r>
    </w:p>
    <w:p>
      <w:pPr>
        <w:pStyle w:val="MDPI32textnoindent"/>
        <w:spacing w:line="240" w:lineRule="auto" w:before="0" w:after="40"/>
        <w:ind w:left="425" w:hanging="425"/>
        <w:tabs>
          <w:tab w:val="left" w:pos="425"/>
        </w:tabs>
      </w:pPr>
      <w:bookmarkStart w:id="1083" w:name="_Ref_83"/>
      <w:r>
        <w:rPr>
          <w:b w:val="0"/>
          <w:sz w:val="18"/>
        </w:rPr>
        <w:t>83</w:t>
      </w:r>
      <w:bookmarkEnd w:id="1083"/>
      <w:r>
        <w:rPr>
          <w:sz w:val="18"/>
        </w:rPr>
        <w:t>.</w:t>
        <w:tab/>
      </w:r>
      <w:r>
        <w:rPr>
          <w:b w:val="0"/>
          <w:i w:val="0"/>
          <w:sz w:val="18"/>
        </w:rPr>
        <w:t xml:space="preserve">Henseler, J.; Ringle, C.M.; Sarstedt, M. </w:t>
      </w:r>
      <w:r>
        <w:rPr>
          <w:b w:val="0"/>
          <w:i w:val="0"/>
          <w:sz w:val="18"/>
        </w:rPr>
        <w:t xml:space="preserve">A New Criterion for Assessing Discriminant Validity in Variance-Based Structural Equation Modeling. </w:t>
      </w:r>
      <w:r>
        <w:rPr>
          <w:b w:val="0"/>
          <w:i/>
          <w:sz w:val="18"/>
        </w:rPr>
        <w:t xml:space="preserve">J. Acad. Mark. Sci. </w:t>
      </w:r>
      <w:r>
        <w:rPr>
          <w:b/>
          <w:i w:val="0"/>
          <w:sz w:val="18"/>
        </w:rPr>
        <w:t>2015</w:t>
      </w:r>
      <w:r>
        <w:rPr>
          <w:b w:val="0"/>
          <w:i w:val="0"/>
          <w:sz w:val="18"/>
        </w:rPr>
        <w:t xml:space="preserve">, </w:t>
      </w:r>
      <w:r>
        <w:rPr>
          <w:b w:val="0"/>
          <w:i/>
          <w:sz w:val="18"/>
        </w:rPr>
        <w:t>43</w:t>
      </w:r>
      <w:r>
        <w:rPr>
          <w:b w:val="0"/>
          <w:i w:val="0"/>
          <w:sz w:val="18"/>
        </w:rPr>
        <w:t>, 115–135.</w:t>
      </w:r>
      <w:r>
        <w:rPr>
          <w:b w:val="0"/>
          <w:i w:val="0"/>
          <w:sz w:val="18"/>
        </w:rPr>
        <w:t xml:space="preserve"> [CrossRef]</w:t>
      </w:r>
    </w:p>
    <w:p>
      <w:pPr>
        <w:pStyle w:val="MDPI32textnoindent"/>
        <w:spacing w:line="240" w:lineRule="auto" w:before="0" w:after="40"/>
        <w:ind w:left="425" w:hanging="425"/>
        <w:tabs>
          <w:tab w:val="left" w:pos="425"/>
        </w:tabs>
      </w:pPr>
      <w:bookmarkStart w:id="1084" w:name="_Ref_84"/>
      <w:r>
        <w:rPr>
          <w:b w:val="0"/>
          <w:sz w:val="18"/>
        </w:rPr>
        <w:t>84</w:t>
      </w:r>
      <w:bookmarkEnd w:id="1084"/>
      <w:r>
        <w:rPr>
          <w:sz w:val="18"/>
        </w:rPr>
        <w:t>.</w:t>
        <w:tab/>
      </w:r>
      <w:r>
        <w:rPr>
          <w:b w:val="0"/>
          <w:i w:val="0"/>
          <w:sz w:val="18"/>
        </w:rPr>
        <w:t xml:space="preserve">Podsakoff, P.M.; MacKenzie, S.B.; Lee, J.-Y.; Podsakoff, N.P. </w:t>
      </w:r>
      <w:r>
        <w:rPr>
          <w:b w:val="0"/>
          <w:i w:val="0"/>
          <w:sz w:val="18"/>
        </w:rPr>
        <w:t xml:space="preserve">Common Method Biases in Behavioral Research: A Critical Review of the Literature and Recommended Remedies. </w:t>
      </w:r>
      <w:r>
        <w:rPr>
          <w:b w:val="0"/>
          <w:i/>
          <w:sz w:val="18"/>
        </w:rPr>
        <w:t xml:space="preserve">J. Appl. Psychol. </w:t>
      </w:r>
      <w:r>
        <w:rPr>
          <w:b/>
          <w:i w:val="0"/>
          <w:sz w:val="18"/>
        </w:rPr>
        <w:t>2003</w:t>
      </w:r>
      <w:r>
        <w:rPr>
          <w:b w:val="0"/>
          <w:i w:val="0"/>
          <w:sz w:val="18"/>
        </w:rPr>
        <w:t xml:space="preserve">, </w:t>
      </w:r>
      <w:r>
        <w:rPr>
          <w:b w:val="0"/>
          <w:i/>
          <w:sz w:val="18"/>
        </w:rPr>
        <w:t>88</w:t>
      </w:r>
      <w:r>
        <w:rPr>
          <w:b w:val="0"/>
          <w:i w:val="0"/>
          <w:sz w:val="18"/>
        </w:rPr>
        <w:t>, 879–903.</w:t>
      </w:r>
      <w:r>
        <w:rPr>
          <w:b w:val="0"/>
          <w:i w:val="0"/>
          <w:sz w:val="18"/>
        </w:rPr>
        <w:t xml:space="preserve"> [CrossRef]</w:t>
      </w:r>
    </w:p>
    <w:p>
      <w:pPr>
        <w:pStyle w:val="MDPI32textnoindent"/>
        <w:spacing w:line="240" w:lineRule="auto" w:before="0" w:after="40"/>
        <w:ind w:left="425" w:hanging="425"/>
        <w:tabs>
          <w:tab w:val="left" w:pos="425"/>
        </w:tabs>
      </w:pPr>
      <w:bookmarkStart w:id="1085" w:name="_Ref_85"/>
      <w:r>
        <w:rPr>
          <w:b w:val="0"/>
          <w:sz w:val="18"/>
        </w:rPr>
        <w:t>85</w:t>
      </w:r>
      <w:bookmarkEnd w:id="1085"/>
      <w:r>
        <w:rPr>
          <w:sz w:val="18"/>
        </w:rPr>
        <w:t>.</w:t>
        <w:tab/>
      </w:r>
      <w:r>
        <w:rPr>
          <w:b w:val="0"/>
          <w:i w:val="0"/>
          <w:sz w:val="18"/>
        </w:rPr>
        <w:t xml:space="preserve">Podsakoff, P.M.; Podsakoff, N.P.; Williams, L.J.; Huang, C.; Yang, J. </w:t>
      </w:r>
      <w:r>
        <w:rPr>
          <w:b w:val="0"/>
          <w:i w:val="0"/>
          <w:sz w:val="18"/>
        </w:rPr>
        <w:t xml:space="preserve">Common Method Bias: It’s Bad, It’s Complex, It’s Widespread, and It’s Not Easy to Fix. </w:t>
      </w:r>
      <w:r>
        <w:rPr>
          <w:b w:val="0"/>
          <w:i/>
          <w:sz w:val="18"/>
        </w:rPr>
        <w:t xml:space="preserve">Annu. Rev. Organ. Psychol. Organ. Behav. </w:t>
      </w:r>
      <w:r>
        <w:rPr>
          <w:b/>
          <w:i w:val="0"/>
          <w:sz w:val="18"/>
        </w:rPr>
        <w:t>2024</w:t>
      </w:r>
      <w:r>
        <w:rPr>
          <w:b w:val="0"/>
          <w:i w:val="0"/>
          <w:sz w:val="18"/>
        </w:rPr>
        <w:t xml:space="preserve">, </w:t>
      </w:r>
      <w:r>
        <w:rPr>
          <w:b w:val="0"/>
          <w:i/>
          <w:sz w:val="18"/>
        </w:rPr>
        <w:t>11</w:t>
      </w:r>
      <w:r>
        <w:rPr>
          <w:b w:val="0"/>
          <w:i w:val="0"/>
          <w:sz w:val="18"/>
        </w:rPr>
        <w:t>, 17–61.</w:t>
      </w:r>
      <w:r>
        <w:rPr>
          <w:b w:val="0"/>
          <w:i w:val="0"/>
          <w:sz w:val="18"/>
        </w:rPr>
        <w:t xml:space="preserve"> [CrossRef]</w:t>
      </w:r>
    </w:p>
    <w:p>
      <w:pPr>
        <w:pStyle w:val="MDPI32textnoindent"/>
        <w:spacing w:line="240" w:lineRule="auto" w:before="0" w:after="40"/>
        <w:ind w:left="425" w:hanging="425"/>
        <w:tabs>
          <w:tab w:val="left" w:pos="425"/>
        </w:tabs>
      </w:pPr>
      <w:bookmarkStart w:id="1086" w:name="_Ref_86"/>
      <w:r>
        <w:rPr>
          <w:b w:val="0"/>
          <w:sz w:val="18"/>
        </w:rPr>
        <w:t>86</w:t>
      </w:r>
      <w:bookmarkEnd w:id="1086"/>
      <w:r>
        <w:rPr>
          <w:sz w:val="18"/>
        </w:rPr>
        <w:t>.</w:t>
        <w:tab/>
      </w:r>
      <w:r>
        <w:rPr>
          <w:b w:val="0"/>
          <w:i w:val="0"/>
          <w:sz w:val="18"/>
        </w:rPr>
        <w:t xml:space="preserve">Devlieger, I.; Mayer, A.; Rosseel, Y. </w:t>
      </w:r>
      <w:r>
        <w:rPr>
          <w:b w:val="0"/>
          <w:i w:val="0"/>
          <w:sz w:val="18"/>
        </w:rPr>
        <w:t xml:space="preserve">Hypothesis Testing Using Factor Score Regression: A Comparison of Four Methods. </w:t>
      </w:r>
      <w:r>
        <w:rPr>
          <w:b w:val="0"/>
          <w:i/>
          <w:sz w:val="18"/>
        </w:rPr>
        <w:t xml:space="preserve">Educ. Psychol. Meas. </w:t>
      </w:r>
      <w:r>
        <w:rPr>
          <w:b/>
          <w:i w:val="0"/>
          <w:sz w:val="18"/>
        </w:rPr>
        <w:t>2016</w:t>
      </w:r>
      <w:r>
        <w:rPr>
          <w:b w:val="0"/>
          <w:i w:val="0"/>
          <w:sz w:val="18"/>
        </w:rPr>
        <w:t xml:space="preserve">, </w:t>
      </w:r>
      <w:r>
        <w:rPr>
          <w:b w:val="0"/>
          <w:i/>
          <w:sz w:val="18"/>
        </w:rPr>
        <w:t>76</w:t>
      </w:r>
      <w:r>
        <w:rPr>
          <w:b w:val="0"/>
          <w:i w:val="0"/>
          <w:sz w:val="18"/>
        </w:rPr>
        <w:t>, 741–770.</w:t>
      </w:r>
      <w:r>
        <w:rPr>
          <w:b w:val="0"/>
          <w:i w:val="0"/>
          <w:sz w:val="18"/>
        </w:rPr>
        <w:t xml:space="preserve"> [CrossRef]</w:t>
      </w:r>
    </w:p>
    <w:p>
      <w:pPr>
        <w:pStyle w:val="MDPI32textnoindent"/>
        <w:spacing w:line="240" w:lineRule="auto" w:before="0" w:after="40"/>
        <w:ind w:left="425" w:hanging="425"/>
        <w:tabs>
          <w:tab w:val="left" w:pos="425"/>
        </w:tabs>
      </w:pPr>
      <w:bookmarkStart w:id="1087" w:name="_Ref_87"/>
      <w:r>
        <w:rPr>
          <w:b w:val="0"/>
          <w:sz w:val="18"/>
        </w:rPr>
        <w:t>87</w:t>
      </w:r>
      <w:bookmarkEnd w:id="1087"/>
      <w:r>
        <w:rPr>
          <w:sz w:val="18"/>
        </w:rPr>
        <w:t>.</w:t>
        <w:tab/>
      </w:r>
      <w:r>
        <w:rPr>
          <w:b w:val="0"/>
          <w:i w:val="0"/>
          <w:sz w:val="18"/>
        </w:rPr>
        <w:t xml:space="preserve">Aiken, L.S.; West, S.G. </w:t>
      </w:r>
      <w:r>
        <w:rPr>
          <w:b w:val="0"/>
          <w:i/>
          <w:sz w:val="18"/>
        </w:rPr>
        <w:t>Multiple Regression: Testing and Interpreting Interactions</w:t>
      </w:r>
      <w:r>
        <w:rPr>
          <w:b w:val="0"/>
          <w:i w:val="0"/>
          <w:sz w:val="18"/>
        </w:rPr>
        <w:t xml:space="preserve">; </w:t>
      </w:r>
      <w:r>
        <w:rPr>
          <w:b w:val="0"/>
          <w:i w:val="0"/>
          <w:sz w:val="18"/>
        </w:rPr>
        <w:t>Sage: Newbury Park, CA, USA, 1991.</w:t>
      </w:r>
    </w:p>
    <w:p>
      <w:pPr>
        <w:pStyle w:val="MDPI32textnoindent"/>
        <w:spacing w:line="240" w:lineRule="auto" w:before="0" w:after="40"/>
        <w:ind w:left="425" w:hanging="425"/>
        <w:tabs>
          <w:tab w:val="left" w:pos="425"/>
        </w:tabs>
      </w:pPr>
      <w:bookmarkStart w:id="1088" w:name="_Ref_88"/>
      <w:r>
        <w:rPr>
          <w:b w:val="0"/>
          <w:sz w:val="18"/>
        </w:rPr>
        <w:t>88</w:t>
      </w:r>
      <w:bookmarkEnd w:id="1088"/>
      <w:r>
        <w:rPr>
          <w:sz w:val="18"/>
        </w:rPr>
        <w:t>.</w:t>
        <w:tab/>
      </w:r>
      <w:r>
        <w:rPr>
          <w:b w:val="0"/>
          <w:i w:val="0"/>
          <w:sz w:val="18"/>
        </w:rPr>
        <w:t xml:space="preserve">Lind, J.T.; Mehlum, H. </w:t>
      </w:r>
      <w:r>
        <w:rPr>
          <w:b w:val="0"/>
          <w:i w:val="0"/>
          <w:sz w:val="18"/>
        </w:rPr>
        <w:t xml:space="preserve">With or Without U? The Appropriate Test for a U-Shaped Relationship. </w:t>
      </w:r>
      <w:r>
        <w:rPr>
          <w:b w:val="0"/>
          <w:i/>
          <w:sz w:val="18"/>
        </w:rPr>
        <w:t xml:space="preserve">Oxf. Bull. Econ. Stat. </w:t>
      </w:r>
      <w:r>
        <w:rPr>
          <w:b/>
          <w:i w:val="0"/>
          <w:sz w:val="18"/>
        </w:rPr>
        <w:t>2010</w:t>
      </w:r>
      <w:r>
        <w:rPr>
          <w:b w:val="0"/>
          <w:i w:val="0"/>
          <w:sz w:val="18"/>
        </w:rPr>
        <w:t xml:space="preserve">, </w:t>
      </w:r>
      <w:r>
        <w:rPr>
          <w:b w:val="0"/>
          <w:i/>
          <w:sz w:val="18"/>
        </w:rPr>
        <w:t>72</w:t>
      </w:r>
      <w:r>
        <w:rPr>
          <w:b w:val="0"/>
          <w:i w:val="0"/>
          <w:sz w:val="18"/>
        </w:rPr>
        <w:t>, 109–118.</w:t>
      </w:r>
      <w:r>
        <w:rPr>
          <w:b w:val="0"/>
          <w:i w:val="0"/>
          <w:sz w:val="18"/>
        </w:rPr>
        <w:t xml:space="preserve"> [CrossRef]</w:t>
      </w:r>
    </w:p>
    <w:p>
      <w:pPr>
        <w:pStyle w:val="MDPI32textnoindent"/>
        <w:spacing w:line="240" w:lineRule="auto" w:before="0" w:after="40"/>
        <w:ind w:left="425" w:hanging="425"/>
        <w:tabs>
          <w:tab w:val="left" w:pos="425"/>
        </w:tabs>
      </w:pPr>
      <w:bookmarkStart w:id="1089" w:name="_Ref_89"/>
      <w:r>
        <w:rPr>
          <w:b w:val="0"/>
          <w:sz w:val="18"/>
        </w:rPr>
        <w:t>89</w:t>
      </w:r>
      <w:bookmarkEnd w:id="1089"/>
      <w:r>
        <w:rPr>
          <w:sz w:val="18"/>
        </w:rPr>
        <w:t>.</w:t>
        <w:tab/>
      </w:r>
      <w:r>
        <w:rPr>
          <w:b w:val="0"/>
          <w:i w:val="0"/>
          <w:sz w:val="18"/>
        </w:rPr>
        <w:t xml:space="preserve">Preacher, K.J.; Hayes, A.F. </w:t>
      </w:r>
      <w:r>
        <w:rPr>
          <w:b w:val="0"/>
          <w:i w:val="0"/>
          <w:sz w:val="18"/>
        </w:rPr>
        <w:t xml:space="preserve">Asymptotic and Resampling Strategies for Assessing and Comparing Indirect Effects in Multiple Mediator Models. </w:t>
      </w:r>
      <w:r>
        <w:rPr>
          <w:b w:val="0"/>
          <w:i/>
          <w:sz w:val="18"/>
        </w:rPr>
        <w:t xml:space="preserve">Behav. Res. Methods </w:t>
      </w:r>
      <w:r>
        <w:rPr>
          <w:b/>
          <w:i w:val="0"/>
          <w:sz w:val="18"/>
        </w:rPr>
        <w:t>2008</w:t>
      </w:r>
      <w:r>
        <w:rPr>
          <w:b w:val="0"/>
          <w:i w:val="0"/>
          <w:sz w:val="18"/>
        </w:rPr>
        <w:t xml:space="preserve">, </w:t>
      </w:r>
      <w:r>
        <w:rPr>
          <w:b w:val="0"/>
          <w:i/>
          <w:sz w:val="18"/>
        </w:rPr>
        <w:t>40</w:t>
      </w:r>
      <w:r>
        <w:rPr>
          <w:b w:val="0"/>
          <w:i w:val="0"/>
          <w:sz w:val="18"/>
        </w:rPr>
        <w:t>, 879–891.</w:t>
      </w:r>
      <w:r>
        <w:rPr>
          <w:b w:val="0"/>
          <w:i w:val="0"/>
          <w:sz w:val="18"/>
        </w:rPr>
        <w:t xml:space="preserve"> [CrossRef]</w:t>
      </w:r>
    </w:p>
    <w:p>
      <w:pPr>
        <w:pStyle w:val="MDPI32textnoindent"/>
        <w:spacing w:line="240" w:lineRule="auto" w:before="0" w:after="40"/>
        <w:ind w:left="425" w:hanging="425"/>
        <w:tabs>
          <w:tab w:val="left" w:pos="425"/>
        </w:tabs>
      </w:pPr>
      <w:bookmarkStart w:id="1090" w:name="_Ref_90"/>
      <w:r>
        <w:rPr>
          <w:b w:val="0"/>
          <w:sz w:val="18"/>
        </w:rPr>
        <w:t>90</w:t>
      </w:r>
      <w:bookmarkEnd w:id="1090"/>
      <w:r>
        <w:rPr>
          <w:sz w:val="18"/>
        </w:rPr>
        <w:t>.</w:t>
        <w:tab/>
      </w:r>
      <w:r>
        <w:rPr>
          <w:b w:val="0"/>
          <w:i w:val="0"/>
          <w:sz w:val="18"/>
        </w:rPr>
        <w:t xml:space="preserve">Zhao, X.; Lynch, J.G., Jr.; Chen, Q. </w:t>
      </w:r>
      <w:r>
        <w:rPr>
          <w:b w:val="0"/>
          <w:i w:val="0"/>
          <w:sz w:val="18"/>
        </w:rPr>
        <w:t xml:space="preserve">Reconsidering Baron and Kenny: Myths and Truths about Mediation Analysis. </w:t>
      </w:r>
      <w:r>
        <w:rPr>
          <w:b w:val="0"/>
          <w:i/>
          <w:sz w:val="18"/>
        </w:rPr>
        <w:t xml:space="preserve">J. Consum. Res. </w:t>
      </w:r>
      <w:r>
        <w:rPr>
          <w:b/>
          <w:i w:val="0"/>
          <w:sz w:val="18"/>
        </w:rPr>
        <w:t>2010</w:t>
      </w:r>
      <w:r>
        <w:rPr>
          <w:b w:val="0"/>
          <w:i w:val="0"/>
          <w:sz w:val="18"/>
        </w:rPr>
        <w:t xml:space="preserve">, </w:t>
      </w:r>
      <w:r>
        <w:rPr>
          <w:b w:val="0"/>
          <w:i/>
          <w:sz w:val="18"/>
        </w:rPr>
        <w:t>37</w:t>
      </w:r>
      <w:r>
        <w:rPr>
          <w:b w:val="0"/>
          <w:i w:val="0"/>
          <w:sz w:val="18"/>
        </w:rPr>
        <w:t>, 197–206.</w:t>
      </w:r>
      <w:r>
        <w:rPr>
          <w:b w:val="0"/>
          <w:i w:val="0"/>
          <w:sz w:val="18"/>
        </w:rPr>
        <w:t xml:space="preserve"> [CrossRef]</w:t>
      </w:r>
    </w:p>
    <w:p>
      <w:pPr>
        <w:pStyle w:val="MDPI32textnoindent"/>
        <w:spacing w:line="240" w:lineRule="auto" w:before="0" w:after="40"/>
        <w:ind w:left="425" w:hanging="425"/>
        <w:tabs>
          <w:tab w:val="left" w:pos="425"/>
        </w:tabs>
      </w:pPr>
      <w:bookmarkStart w:id="1091" w:name="_Ref_91"/>
      <w:r>
        <w:rPr>
          <w:b w:val="0"/>
          <w:sz w:val="18"/>
        </w:rPr>
        <w:t>91</w:t>
      </w:r>
      <w:bookmarkEnd w:id="1091"/>
      <w:r>
        <w:rPr>
          <w:sz w:val="18"/>
        </w:rPr>
        <w:t>.</w:t>
        <w:tab/>
      </w:r>
      <w:r>
        <w:rPr>
          <w:b w:val="0"/>
          <w:i w:val="0"/>
          <w:sz w:val="18"/>
        </w:rPr>
        <w:t xml:space="preserve">Cameron, A.C.; Gelbach, J.B.; Miller, D.L. </w:t>
      </w:r>
      <w:r>
        <w:rPr>
          <w:b w:val="0"/>
          <w:i w:val="0"/>
          <w:sz w:val="18"/>
        </w:rPr>
        <w:t xml:space="preserve">Bootstrap-Based Improvements for Inference with Clustered Errors. </w:t>
      </w:r>
      <w:r>
        <w:rPr>
          <w:b w:val="0"/>
          <w:i/>
          <w:sz w:val="18"/>
        </w:rPr>
        <w:t xml:space="preserve">Rev. Econ. Stat. </w:t>
      </w:r>
      <w:r>
        <w:rPr>
          <w:b/>
          <w:i w:val="0"/>
          <w:sz w:val="18"/>
        </w:rPr>
        <w:t>2008</w:t>
      </w:r>
      <w:r>
        <w:rPr>
          <w:b w:val="0"/>
          <w:i w:val="0"/>
          <w:sz w:val="18"/>
        </w:rPr>
        <w:t xml:space="preserve">, </w:t>
      </w:r>
      <w:r>
        <w:rPr>
          <w:b w:val="0"/>
          <w:i/>
          <w:sz w:val="18"/>
        </w:rPr>
        <w:t>90</w:t>
      </w:r>
      <w:r>
        <w:rPr>
          <w:b w:val="0"/>
          <w:i w:val="0"/>
          <w:sz w:val="18"/>
        </w:rPr>
        <w:t>, 414–427.</w:t>
      </w:r>
      <w:r>
        <w:rPr>
          <w:b w:val="0"/>
          <w:i w:val="0"/>
          <w:sz w:val="18"/>
        </w:rPr>
        <w:t xml:space="preserve"> [CrossRef]</w:t>
      </w:r>
    </w:p>
    <w:p>
      <w:pPr>
        <w:pStyle w:val="MDPI32textnoindent"/>
        <w:spacing w:line="240" w:lineRule="auto" w:before="0" w:after="40"/>
        <w:ind w:left="425" w:hanging="425"/>
        <w:tabs>
          <w:tab w:val="left" w:pos="425"/>
        </w:tabs>
      </w:pPr>
      <w:bookmarkStart w:id="1092" w:name="_Ref_92"/>
      <w:r>
        <w:rPr>
          <w:b w:val="0"/>
          <w:sz w:val="18"/>
        </w:rPr>
        <w:t>92</w:t>
      </w:r>
      <w:bookmarkEnd w:id="1092"/>
      <w:r>
        <w:rPr>
          <w:sz w:val="18"/>
        </w:rPr>
        <w:t>.</w:t>
        <w:tab/>
      </w:r>
      <w:r>
        <w:rPr>
          <w:b w:val="0"/>
          <w:i w:val="0"/>
          <w:sz w:val="18"/>
        </w:rPr>
        <w:t xml:space="preserve">Cohen, W.M.; Levinthal, D.A. </w:t>
      </w:r>
      <w:r>
        <w:rPr>
          <w:b w:val="0"/>
          <w:i w:val="0"/>
          <w:sz w:val="18"/>
        </w:rPr>
        <w:t xml:space="preserve">Absorptive Capacity: A New Perspective on Learning and Innovation. </w:t>
      </w:r>
      <w:r>
        <w:rPr>
          <w:b w:val="0"/>
          <w:i/>
          <w:sz w:val="18"/>
        </w:rPr>
        <w:t xml:space="preserve">Adm. Sci. Q. </w:t>
      </w:r>
      <w:r>
        <w:rPr>
          <w:b/>
          <w:i w:val="0"/>
          <w:sz w:val="18"/>
        </w:rPr>
        <w:t>1990</w:t>
      </w:r>
      <w:r>
        <w:rPr>
          <w:b w:val="0"/>
          <w:i w:val="0"/>
          <w:sz w:val="18"/>
        </w:rPr>
        <w:t xml:space="preserve">, </w:t>
      </w:r>
      <w:r>
        <w:rPr>
          <w:b w:val="0"/>
          <w:i/>
          <w:sz w:val="18"/>
        </w:rPr>
        <w:t>35</w:t>
      </w:r>
      <w:r>
        <w:rPr>
          <w:b w:val="0"/>
          <w:i w:val="0"/>
          <w:sz w:val="18"/>
        </w:rPr>
        <w:t>, 128–152.</w:t>
      </w:r>
      <w:r>
        <w:rPr>
          <w:b w:val="0"/>
          <w:i w:val="0"/>
          <w:sz w:val="18"/>
        </w:rPr>
        <w:t xml:space="preserve"> [CrossRef]</w:t>
      </w:r>
    </w:p>
    <w:p>
      <w:pPr>
        <w:pStyle w:val="MDPI32textnoindent"/>
        <w:spacing w:line="240" w:lineRule="auto" w:before="0" w:after="40"/>
        <w:ind w:left="425" w:hanging="425"/>
        <w:tabs>
          <w:tab w:val="left" w:pos="425"/>
        </w:tabs>
      </w:pPr>
      <w:bookmarkStart w:id="1093" w:name="_Ref_93"/>
      <w:r>
        <w:rPr>
          <w:b w:val="0"/>
          <w:sz w:val="18"/>
        </w:rPr>
        <w:t>93</w:t>
      </w:r>
      <w:bookmarkEnd w:id="1093"/>
      <w:r>
        <w:rPr>
          <w:sz w:val="18"/>
        </w:rPr>
        <w:t>.</w:t>
        <w:tab/>
      </w:r>
      <w:r>
        <w:rPr>
          <w:b w:val="0"/>
          <w:i w:val="0"/>
          <w:sz w:val="18"/>
        </w:rPr>
        <w:t xml:space="preserve">March, J.G. </w:t>
      </w:r>
      <w:r>
        <w:rPr>
          <w:b w:val="0"/>
          <w:i w:val="0"/>
          <w:sz w:val="18"/>
        </w:rPr>
        <w:t xml:space="preserve">Exploration and Exploitation in Organizational Learning. </w:t>
      </w:r>
      <w:r>
        <w:rPr>
          <w:b w:val="0"/>
          <w:i/>
          <w:sz w:val="18"/>
        </w:rPr>
        <w:t xml:space="preserve">Organ. Sci. </w:t>
      </w:r>
      <w:r>
        <w:rPr>
          <w:b/>
          <w:i w:val="0"/>
          <w:sz w:val="18"/>
        </w:rPr>
        <w:t>1991</w:t>
      </w:r>
      <w:r>
        <w:rPr>
          <w:b w:val="0"/>
          <w:i w:val="0"/>
          <w:sz w:val="18"/>
        </w:rPr>
        <w:t xml:space="preserve">, </w:t>
      </w:r>
      <w:r>
        <w:rPr>
          <w:b w:val="0"/>
          <w:i/>
          <w:sz w:val="18"/>
        </w:rPr>
        <w:t>2</w:t>
      </w:r>
      <w:r>
        <w:rPr>
          <w:b w:val="0"/>
          <w:i w:val="0"/>
          <w:sz w:val="18"/>
        </w:rPr>
        <w:t>, 71–87.</w:t>
      </w:r>
      <w:r>
        <w:rPr>
          <w:b w:val="0"/>
          <w:i w:val="0"/>
          <w:sz w:val="18"/>
        </w:rPr>
        <w:t xml:space="preserve"> [CrossRef]</w:t>
      </w:r>
    </w:p>
    <w:p>
      <w:pPr>
        <w:pStyle w:val="MDPI32textnoindent"/>
        <w:spacing w:line="240" w:lineRule="auto" w:before="0" w:after="40"/>
        <w:ind w:left="425" w:hanging="425"/>
        <w:tabs>
          <w:tab w:val="left" w:pos="425"/>
        </w:tabs>
      </w:pPr>
      <w:bookmarkStart w:id="1094" w:name="_Ref_94"/>
      <w:r>
        <w:rPr>
          <w:b w:val="0"/>
          <w:sz w:val="18"/>
        </w:rPr>
        <w:t>94</w:t>
      </w:r>
      <w:bookmarkEnd w:id="1094"/>
      <w:r>
        <w:rPr>
          <w:sz w:val="18"/>
        </w:rPr>
        <w:t>.</w:t>
        <w:tab/>
      </w:r>
      <w:r>
        <w:rPr>
          <w:b w:val="0"/>
          <w:i w:val="0"/>
          <w:sz w:val="18"/>
        </w:rPr>
        <w:t xml:space="preserve">Argote, L.; Miron-Spektor, E. </w:t>
      </w:r>
      <w:r>
        <w:rPr>
          <w:b w:val="0"/>
          <w:i w:val="0"/>
          <w:sz w:val="18"/>
        </w:rPr>
        <w:t xml:space="preserve">Organizational Learning: From Experience to Knowledge. </w:t>
      </w:r>
      <w:r>
        <w:rPr>
          <w:b w:val="0"/>
          <w:i/>
          <w:sz w:val="18"/>
        </w:rPr>
        <w:t xml:space="preserve">Organ. Sci. </w:t>
      </w:r>
      <w:r>
        <w:rPr>
          <w:b/>
          <w:i w:val="0"/>
          <w:sz w:val="18"/>
        </w:rPr>
        <w:t>2011</w:t>
      </w:r>
      <w:r>
        <w:rPr>
          <w:b w:val="0"/>
          <w:i w:val="0"/>
          <w:sz w:val="18"/>
        </w:rPr>
        <w:t xml:space="preserve">, </w:t>
      </w:r>
      <w:r>
        <w:rPr>
          <w:b w:val="0"/>
          <w:i/>
          <w:sz w:val="18"/>
        </w:rPr>
        <w:t>22</w:t>
      </w:r>
      <w:r>
        <w:rPr>
          <w:b w:val="0"/>
          <w:i w:val="0"/>
          <w:sz w:val="18"/>
        </w:rPr>
        <w:t>, 1123–1137.</w:t>
      </w:r>
      <w:r>
        <w:rPr>
          <w:b w:val="0"/>
          <w:i w:val="0"/>
          <w:sz w:val="18"/>
        </w:rPr>
        <w:t xml:space="preserve"> [CrossRef]</w:t>
      </w:r>
    </w:p>
    <w:p>
      <w:pPr>
        <w:pStyle w:val="MDPI32textnoindent"/>
        <w:spacing w:line="240" w:lineRule="auto" w:before="0" w:after="40"/>
        <w:ind w:left="425" w:hanging="425"/>
        <w:tabs>
          <w:tab w:val="left" w:pos="425"/>
        </w:tabs>
      </w:pPr>
      <w:bookmarkStart w:id="1095" w:name="_Ref_95"/>
      <w:r>
        <w:rPr>
          <w:b w:val="0"/>
          <w:sz w:val="18"/>
        </w:rPr>
        <w:t>95</w:t>
      </w:r>
      <w:bookmarkEnd w:id="1095"/>
      <w:r>
        <w:rPr>
          <w:sz w:val="18"/>
        </w:rPr>
        <w:t>.</w:t>
        <w:tab/>
      </w:r>
      <w:r>
        <w:rPr>
          <w:b w:val="0"/>
          <w:i w:val="0"/>
          <w:sz w:val="18"/>
        </w:rPr>
        <w:t xml:space="preserve">Kellogg, K.C.; Valentine, M.A.; Christin, A. </w:t>
      </w:r>
      <w:r>
        <w:rPr>
          <w:b w:val="0"/>
          <w:i w:val="0"/>
          <w:sz w:val="18"/>
        </w:rPr>
        <w:t xml:space="preserve">Algorithms at Work: The New Contested Terrain of Control. </w:t>
      </w:r>
      <w:r>
        <w:rPr>
          <w:b w:val="0"/>
          <w:i/>
          <w:sz w:val="18"/>
        </w:rPr>
        <w:t xml:space="preserve">Acad. Manag. Ann. </w:t>
      </w:r>
      <w:r>
        <w:rPr>
          <w:b/>
          <w:i w:val="0"/>
          <w:sz w:val="18"/>
        </w:rPr>
        <w:t>2020</w:t>
      </w:r>
      <w:r>
        <w:rPr>
          <w:b w:val="0"/>
          <w:i w:val="0"/>
          <w:sz w:val="18"/>
        </w:rPr>
        <w:t xml:space="preserve">, </w:t>
      </w:r>
      <w:r>
        <w:rPr>
          <w:b w:val="0"/>
          <w:i/>
          <w:sz w:val="18"/>
        </w:rPr>
        <w:t>14</w:t>
      </w:r>
      <w:r>
        <w:rPr>
          <w:b w:val="0"/>
          <w:i w:val="0"/>
          <w:sz w:val="18"/>
        </w:rPr>
        <w:t>, 366–410.</w:t>
      </w:r>
      <w:r>
        <w:rPr>
          <w:b w:val="0"/>
          <w:i w:val="0"/>
          <w:sz w:val="18"/>
        </w:rPr>
        <w:t xml:space="preserve"> [CrossRef]</w:t>
      </w:r>
    </w:p>
    <w:p>
      <w:pPr>
        <w:pStyle w:val="MDPI32textnoindent"/>
        <w:spacing w:line="240" w:lineRule="auto" w:before="0" w:after="40"/>
        <w:ind w:left="425" w:hanging="425"/>
        <w:tabs>
          <w:tab w:val="left" w:pos="425"/>
        </w:tabs>
      </w:pPr>
      <w:bookmarkStart w:id="1096" w:name="_Ref_96"/>
      <w:r>
        <w:rPr>
          <w:b w:val="0"/>
          <w:sz w:val="18"/>
        </w:rPr>
        <w:t>96</w:t>
      </w:r>
      <w:bookmarkEnd w:id="1096"/>
      <w:r>
        <w:rPr>
          <w:sz w:val="18"/>
        </w:rPr>
        <w:t>.</w:t>
        <w:tab/>
      </w:r>
      <w:r>
        <w:rPr>
          <w:b w:val="0"/>
          <w:i w:val="0"/>
          <w:sz w:val="18"/>
        </w:rPr>
        <w:t xml:space="preserve">Beane, M. </w:t>
      </w:r>
      <w:r>
        <w:rPr>
          <w:b w:val="0"/>
          <w:i w:val="0"/>
          <w:sz w:val="18"/>
        </w:rPr>
        <w:t xml:space="preserve">Shadow Learning: Building Robotic Surgical Skill When Approved Means Fail. </w:t>
      </w:r>
      <w:r>
        <w:rPr>
          <w:b w:val="0"/>
          <w:i/>
          <w:sz w:val="18"/>
        </w:rPr>
        <w:t xml:space="preserve">Adm. Sci. Q. </w:t>
      </w:r>
      <w:r>
        <w:rPr>
          <w:b/>
          <w:i w:val="0"/>
          <w:sz w:val="18"/>
        </w:rPr>
        <w:t>2019</w:t>
      </w:r>
      <w:r>
        <w:rPr>
          <w:b w:val="0"/>
          <w:i w:val="0"/>
          <w:sz w:val="18"/>
        </w:rPr>
        <w:t xml:space="preserve">, </w:t>
      </w:r>
      <w:r>
        <w:rPr>
          <w:b w:val="0"/>
          <w:i/>
          <w:sz w:val="18"/>
        </w:rPr>
        <w:t>64</w:t>
      </w:r>
      <w:r>
        <w:rPr>
          <w:b w:val="0"/>
          <w:i w:val="0"/>
          <w:sz w:val="18"/>
        </w:rPr>
        <w:t>, 87–123.</w:t>
      </w:r>
      <w:r>
        <w:rPr>
          <w:b w:val="0"/>
          <w:i w:val="0"/>
          <w:sz w:val="18"/>
        </w:rPr>
        <w:t xml:space="preserve"> [CrossRef]</w:t>
      </w:r>
    </w:p>
    <w:p>
      <w:pPr>
        <w:pStyle w:val="MDPI32textnoindent"/>
        <w:spacing w:line="240" w:lineRule="auto" w:before="0" w:after="40"/>
        <w:ind w:left="425" w:hanging="425"/>
        <w:tabs>
          <w:tab w:val="left" w:pos="425"/>
        </w:tabs>
      </w:pPr>
      <w:bookmarkStart w:id="1097" w:name="_Ref_97"/>
      <w:r>
        <w:rPr>
          <w:b w:val="0"/>
          <w:sz w:val="18"/>
        </w:rPr>
        <w:t>97</w:t>
      </w:r>
      <w:bookmarkEnd w:id="1097"/>
      <w:r>
        <w:rPr>
          <w:sz w:val="18"/>
        </w:rPr>
        <w:t>.</w:t>
        <w:tab/>
      </w:r>
      <w:r>
        <w:rPr>
          <w:b w:val="0"/>
          <w:i w:val="0"/>
          <w:sz w:val="18"/>
        </w:rPr>
        <w:t xml:space="preserve">International Labour Organization. </w:t>
      </w:r>
      <w:r>
        <w:rPr>
          <w:b w:val="0"/>
          <w:i/>
          <w:sz w:val="18"/>
        </w:rPr>
        <w:t xml:space="preserve">World Employment and Social Outlook: Trends 2025; </w:t>
      </w:r>
      <w:r>
        <w:rPr>
          <w:b w:val="0"/>
          <w:i w:val="0"/>
          <w:sz w:val="18"/>
        </w:rPr>
        <w:t>International Labour Office: Geneva, Switzerland, 2025.</w:t>
      </w:r>
    </w:p>
    <w:p>
      <w:pPr>
        <w:pStyle w:val="MDPI32textnoindent"/>
        <w:spacing w:line="240" w:lineRule="auto" w:before="0" w:after="40"/>
        <w:ind w:left="425" w:hanging="425"/>
        <w:tabs>
          <w:tab w:val="left" w:pos="425"/>
        </w:tabs>
      </w:pPr>
      <w:bookmarkStart w:id="1098" w:name="_Ref_98"/>
      <w:r>
        <w:rPr>
          <w:b w:val="0"/>
          <w:sz w:val="18"/>
        </w:rPr>
        <w:t>98</w:t>
      </w:r>
      <w:bookmarkEnd w:id="1098"/>
      <w:r>
        <w:rPr>
          <w:sz w:val="18"/>
        </w:rPr>
        <w:t>.</w:t>
        <w:tab/>
      </w:r>
      <w:r>
        <w:rPr>
          <w:b w:val="0"/>
          <w:i w:val="0"/>
          <w:sz w:val="18"/>
        </w:rPr>
        <w:t xml:space="preserve">State Council of the People’s Republic of China. </w:t>
      </w:r>
      <w:r>
        <w:rPr>
          <w:b w:val="0"/>
          <w:i w:val="0"/>
          <w:sz w:val="18"/>
        </w:rPr>
        <w:t xml:space="preserve">Opinions on Deepening the Implementation of the “Artificial Intelligence Plus” Initiative. </w:t>
      </w:r>
      <w:r>
        <w:rPr>
          <w:b w:val="0"/>
          <w:i w:val="0"/>
          <w:sz w:val="18"/>
        </w:rPr>
        <w:t>Available online: https://www.gov.cn/ (accessed on 20 March 2026).</w:t>
      </w:r>
    </w:p>
    <w:p>
      <w:pPr>
        <w:pStyle w:val="MDPI32textnoindent"/>
        <w:spacing w:line="240" w:lineRule="auto" w:before="0" w:after="40"/>
        <w:ind w:left="425" w:hanging="425"/>
        <w:tabs>
          <w:tab w:val="left" w:pos="425"/>
        </w:tabs>
      </w:pPr>
      <w:bookmarkStart w:id="1099" w:name="_Ref_99"/>
      <w:r>
        <w:rPr>
          <w:b w:val="0"/>
          <w:sz w:val="18"/>
        </w:rPr>
        <w:t>99</w:t>
      </w:r>
      <w:bookmarkEnd w:id="1099"/>
      <w:r>
        <w:rPr>
          <w:sz w:val="18"/>
        </w:rPr>
        <w:t>.</w:t>
        <w:tab/>
      </w:r>
      <w:r>
        <w:rPr>
          <w:b w:val="0"/>
          <w:i w:val="0"/>
          <w:sz w:val="18"/>
        </w:rPr>
        <w:t xml:space="preserve">Meadows, D.H. </w:t>
      </w:r>
      <w:r>
        <w:rPr>
          <w:b w:val="0"/>
          <w:i/>
          <w:sz w:val="18"/>
        </w:rPr>
        <w:t>Thinking in Systems: A Primer</w:t>
      </w:r>
      <w:r>
        <w:rPr>
          <w:b w:val="0"/>
          <w:i w:val="0"/>
          <w:sz w:val="18"/>
        </w:rPr>
        <w:t xml:space="preserve">; </w:t>
      </w:r>
      <w:r>
        <w:rPr>
          <w:b w:val="0"/>
          <w:i w:val="0"/>
          <w:sz w:val="18"/>
        </w:rPr>
        <w:t>Chelsea Green Publishing: White River Junction, VT, USA, 2008.</w:t>
      </w:r>
    </w:p>
    <w:p>
      <w:pPr>
        <w:pStyle w:val="MDPI32textnoindent"/>
        <w:spacing w:line="240" w:lineRule="auto" w:before="0" w:after="40"/>
        <w:ind w:left="425" w:hanging="425"/>
        <w:tabs>
          <w:tab w:val="left" w:pos="425"/>
        </w:tabs>
      </w:pPr>
      <w:bookmarkStart w:id="1100" w:name="_Ref_100"/>
      <w:r>
        <w:rPr>
          <w:b w:val="0"/>
          <w:sz w:val="18"/>
        </w:rPr>
        <w:t>100</w:t>
      </w:r>
      <w:bookmarkEnd w:id="1100"/>
      <w:r>
        <w:rPr>
          <w:sz w:val="18"/>
        </w:rPr>
        <w:t>.</w:t>
        <w:tab/>
      </w:r>
      <w:r>
        <w:rPr>
          <w:b w:val="0"/>
          <w:i w:val="0"/>
          <w:sz w:val="18"/>
        </w:rPr>
        <w:t xml:space="preserve">Senge, P.M. </w:t>
      </w:r>
      <w:r>
        <w:rPr>
          <w:b w:val="0"/>
          <w:i/>
          <w:sz w:val="18"/>
        </w:rPr>
        <w:t>The Fifth Discipline: The Art and Practice of the Learning Organization</w:t>
      </w:r>
      <w:r>
        <w:rPr>
          <w:b w:val="0"/>
          <w:i w:val="0"/>
          <w:sz w:val="18"/>
        </w:rPr>
        <w:t xml:space="preserve">; </w:t>
      </w:r>
      <w:r>
        <w:rPr>
          <w:b w:val="0"/>
          <w:i w:val="0"/>
          <w:sz w:val="18"/>
        </w:rPr>
        <w:t>Doubleday: New York, NY, USA, 1990.</w:t>
      </w:r>
    </w:p>
    <w:p>
      <w:pPr>
        <w:pStyle w:val="MDPI32textnoindent"/>
        <w:spacing w:line="240" w:lineRule="auto" w:before="0" w:after="40"/>
        <w:ind w:left="425" w:hanging="425"/>
        <w:tabs>
          <w:tab w:val="left" w:pos="425"/>
        </w:tabs>
      </w:pPr>
      <w:bookmarkStart w:id="1101" w:name="_Ref_101"/>
      <w:r>
        <w:rPr>
          <w:b w:val="0"/>
          <w:sz w:val="18"/>
        </w:rPr>
        <w:t>101</w:t>
      </w:r>
      <w:bookmarkEnd w:id="1101"/>
      <w:r>
        <w:rPr>
          <w:sz w:val="18"/>
        </w:rPr>
        <w:t>.</w:t>
        <w:tab/>
      </w:r>
      <w:r>
        <w:rPr>
          <w:b w:val="0"/>
          <w:i w:val="0"/>
          <w:sz w:val="18"/>
        </w:rPr>
        <w:t xml:space="preserve">Repenning, N.P.; Sterman, J.D. </w:t>
      </w:r>
      <w:r>
        <w:rPr>
          <w:b w:val="0"/>
          <w:i w:val="0"/>
          <w:sz w:val="18"/>
        </w:rPr>
        <w:t xml:space="preserve">Capability Traps and Self-Confirming Attribution Errors in the Dynamics of Process Improvement. </w:t>
      </w:r>
      <w:r>
        <w:rPr>
          <w:b w:val="0"/>
          <w:i/>
          <w:sz w:val="18"/>
        </w:rPr>
        <w:t xml:space="preserve">Adm. Sci. Q. </w:t>
      </w:r>
      <w:r>
        <w:rPr>
          <w:b/>
          <w:i w:val="0"/>
          <w:sz w:val="18"/>
        </w:rPr>
        <w:t>2002</w:t>
      </w:r>
      <w:r>
        <w:rPr>
          <w:b w:val="0"/>
          <w:i w:val="0"/>
          <w:sz w:val="18"/>
        </w:rPr>
        <w:t xml:space="preserve">, </w:t>
      </w:r>
      <w:r>
        <w:rPr>
          <w:b w:val="0"/>
          <w:i/>
          <w:sz w:val="18"/>
        </w:rPr>
        <w:t>47</w:t>
      </w:r>
      <w:r>
        <w:rPr>
          <w:b w:val="0"/>
          <w:i w:val="0"/>
          <w:sz w:val="18"/>
        </w:rPr>
        <w:t>, 265–295.</w:t>
      </w:r>
      <w:r>
        <w:rPr>
          <w:b w:val="0"/>
          <w:i w:val="0"/>
          <w:sz w:val="18"/>
        </w:rPr>
        <w:t xml:space="preserve"> [CrossRef]</w:t>
      </w:r>
    </w:p>
    <w:p>
      <w:pPr>
        <w:pStyle w:val="MDPI32textnoindent"/>
        <w:spacing w:line="240" w:lineRule="auto" w:before="0" w:after="40"/>
        <w:ind w:left="425" w:hanging="425"/>
        <w:tabs>
          <w:tab w:val="left" w:pos="425"/>
        </w:tabs>
      </w:pPr>
      <w:bookmarkStart w:id="1102" w:name="_Ref_102"/>
      <w:r>
        <w:rPr>
          <w:b w:val="0"/>
          <w:sz w:val="18"/>
        </w:rPr>
        <w:t>102</w:t>
      </w:r>
      <w:bookmarkEnd w:id="1102"/>
      <w:r>
        <w:rPr>
          <w:sz w:val="18"/>
        </w:rPr>
        <w:t>.</w:t>
        <w:tab/>
      </w:r>
      <w:r>
        <w:rPr>
          <w:b w:val="0"/>
          <w:i w:val="0"/>
          <w:sz w:val="18"/>
        </w:rPr>
        <w:t xml:space="preserve">Weick, K.E. </w:t>
      </w:r>
      <w:r>
        <w:rPr>
          <w:b w:val="0"/>
          <w:i w:val="0"/>
          <w:sz w:val="18"/>
        </w:rPr>
        <w:t xml:space="preserve">The Collapse of Sensemaking in Organizations: The Mann Gulch Disaster. </w:t>
      </w:r>
      <w:r>
        <w:rPr>
          <w:b w:val="0"/>
          <w:i/>
          <w:sz w:val="18"/>
        </w:rPr>
        <w:t xml:space="preserve">Adm. Sci. Q. </w:t>
      </w:r>
      <w:r>
        <w:rPr>
          <w:b/>
          <w:i w:val="0"/>
          <w:sz w:val="18"/>
        </w:rPr>
        <w:t>1993</w:t>
      </w:r>
      <w:r>
        <w:rPr>
          <w:b w:val="0"/>
          <w:i w:val="0"/>
          <w:sz w:val="18"/>
        </w:rPr>
        <w:t xml:space="preserve">, </w:t>
      </w:r>
      <w:r>
        <w:rPr>
          <w:b w:val="0"/>
          <w:i/>
          <w:sz w:val="18"/>
        </w:rPr>
        <w:t>38</w:t>
      </w:r>
      <w:r>
        <w:rPr>
          <w:b w:val="0"/>
          <w:i w:val="0"/>
          <w:sz w:val="18"/>
        </w:rPr>
        <w:t>, 628-652.</w:t>
      </w:r>
      <w:r>
        <w:rPr>
          <w:b w:val="0"/>
          <w:i w:val="0"/>
          <w:sz w:val="18"/>
        </w:rPr>
        <w:t xml:space="preserve"> [CrossRef]</w:t>
      </w:r>
    </w:p>
    <w:p>
      <w:pPr>
        <w:pStyle w:val="MDPI32textnoindent"/>
        <w:spacing w:line="240" w:lineRule="auto" w:before="0" w:after="40"/>
        <w:ind w:left="425" w:hanging="425"/>
        <w:tabs>
          <w:tab w:val="left" w:pos="425"/>
        </w:tabs>
      </w:pPr>
      <w:bookmarkStart w:id="1103" w:name="_Ref_103"/>
      <w:r>
        <w:rPr>
          <w:b w:val="0"/>
          <w:sz w:val="18"/>
        </w:rPr>
        <w:t>103</w:t>
      </w:r>
      <w:bookmarkEnd w:id="1103"/>
      <w:r>
        <w:rPr>
          <w:sz w:val="18"/>
        </w:rPr>
        <w:t>.</w:t>
        <w:tab/>
      </w:r>
      <w:r>
        <w:rPr>
          <w:b w:val="0"/>
          <w:i w:val="0"/>
          <w:sz w:val="18"/>
        </w:rPr>
        <w:t xml:space="preserve">World Economic Forum. </w:t>
      </w:r>
      <w:r>
        <w:rPr>
          <w:b w:val="0"/>
          <w:i/>
          <w:sz w:val="18"/>
        </w:rPr>
        <w:t xml:space="preserve">The Future of Jobs Report 2025; </w:t>
      </w:r>
      <w:r>
        <w:rPr>
          <w:b w:val="0"/>
          <w:i w:val="0"/>
          <w:sz w:val="18"/>
        </w:rPr>
        <w:t>World Economic Forum: Geneva, Switzerland, 2025.</w:t>
      </w:r>
    </w:p>
    <w:p>
      <w:pPr>
        <w:pStyle w:val="MDPI32textnoindent"/>
        <w:spacing w:line="240" w:lineRule="auto" w:before="0" w:after="40"/>
        <w:ind w:left="425" w:hanging="425"/>
        <w:tabs>
          <w:tab w:val="left" w:pos="425"/>
        </w:tabs>
      </w:pPr>
      <w:bookmarkStart w:id="1104" w:name="_Ref_104"/>
      <w:r>
        <w:rPr>
          <w:b w:val="0"/>
          <w:sz w:val="18"/>
        </w:rPr>
        <w:t>104</w:t>
      </w:r>
      <w:bookmarkEnd w:id="1104"/>
      <w:r>
        <w:rPr>
          <w:sz w:val="18"/>
        </w:rPr>
        <w:t>.</w:t>
        <w:tab/>
      </w:r>
      <w:r>
        <w:rPr>
          <w:b w:val="0"/>
          <w:i w:val="0"/>
          <w:sz w:val="18"/>
        </w:rPr>
        <w:t xml:space="preserve">Rahmandad, H.; Repenning, N. </w:t>
      </w:r>
      <w:r>
        <w:rPr>
          <w:b w:val="0"/>
          <w:i w:val="0"/>
          <w:sz w:val="18"/>
        </w:rPr>
        <w:t xml:space="preserve">Capability Erosion Dynamics. </w:t>
      </w:r>
      <w:r>
        <w:rPr>
          <w:b w:val="0"/>
          <w:i/>
          <w:sz w:val="18"/>
        </w:rPr>
        <w:t xml:space="preserve">Strateg. Manag. J. </w:t>
      </w:r>
      <w:r>
        <w:rPr>
          <w:b/>
          <w:i w:val="0"/>
          <w:sz w:val="18"/>
        </w:rPr>
        <w:t>2016</w:t>
      </w:r>
      <w:r>
        <w:rPr>
          <w:b w:val="0"/>
          <w:i w:val="0"/>
          <w:sz w:val="18"/>
        </w:rPr>
        <w:t xml:space="preserve">, </w:t>
      </w:r>
      <w:r>
        <w:rPr>
          <w:b w:val="0"/>
          <w:i/>
          <w:sz w:val="18"/>
        </w:rPr>
        <w:t>37</w:t>
      </w:r>
      <w:r>
        <w:rPr>
          <w:b w:val="0"/>
          <w:i w:val="0"/>
          <w:sz w:val="18"/>
        </w:rPr>
        <w:t>, 649–672.</w:t>
      </w:r>
      <w:r>
        <w:rPr>
          <w:b w:val="0"/>
          <w:i w:val="0"/>
          <w:sz w:val="18"/>
        </w:rPr>
        <w:t xml:space="preserve"> [CrossRef]</w:t>
      </w:r>
    </w:p>
    <w:sectPr w:rsidR="003D34A1" w:rsidRPr="00B86B71" w:rsidSect="00C245DC">
      <w:headerReference w:type="even" r:id="rId11"/>
      <w:headerReference w:type="default" r:id="rId12"/>
      <w:footerReference w:type="default" r:id="rId13"/>
      <w:headerReference w:type="first" r:id="rId14"/>
      <w:footerReference w:type="first" r:id="rId15"/>
      <w:footerReference w:type="even" r:id="rId20"/>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C0D8D" w14:textId="77777777" w:rsidR="00042A41" w:rsidRPr="00FA5AAF" w:rsidRDefault="00042A41">
      <w:pPr>
        <w:spacing w:line="240" w:lineRule="auto"/>
      </w:pPr>
      <w:r w:rsidRPr="00FA5AAF">
        <w:separator/>
      </w:r>
    </w:p>
  </w:endnote>
  <w:endnote w:type="continuationSeparator" w:id="0">
    <w:p w14:paraId="0A21264B" w14:textId="77777777" w:rsidR="00042A41" w:rsidRPr="00FA5AAF" w:rsidRDefault="00042A41">
      <w:pPr>
        <w:spacing w:line="240" w:lineRule="auto"/>
      </w:pPr>
      <w:r w:rsidRPr="00FA5A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23B7" w14:textId="77777777" w:rsidR="00697B5A" w:rsidRPr="00FA5AAF" w:rsidRDefault="00697B5A" w:rsidP="00697B5A">
    <w:pPr>
      <w:pStyle w:val="Footer"/>
      <w:spacing w:line="240" w:lineRule="auto"/>
      <w:suppressLineNumber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9B57" w14:textId="77777777" w:rsidR="00CF1526" w:rsidRPr="00FA5AAF" w:rsidRDefault="00CF1526" w:rsidP="00942152">
    <w:pPr>
      <w:pBdr>
        <w:top w:val="single" w:sz="4" w:space="0" w:color="000000"/>
      </w:pBdr>
      <w:tabs>
        <w:tab w:val="right" w:pos="8844"/>
      </w:tabs>
      <w:adjustRightInd w:val="0"/>
      <w:snapToGrid w:val="0"/>
      <w:spacing w:before="480" w:line="100" w:lineRule="exact"/>
      <w:jc w:val="left"/>
      <w:rPr>
        <w:i/>
        <w:sz w:val="16"/>
        <w:szCs w:val="16"/>
      </w:rPr>
      <w:suppressLineNumbers/>
    </w:pPr>
  </w:p>
  <w:p w14:paraId="2F5022B6" w14:textId="22010ACB" w:rsidR="00697B5A" w:rsidRPr="00FA5AAF" w:rsidRDefault="00697B5A" w:rsidP="007E21E9">
    <w:pPr>
      <w:tabs>
        <w:tab w:val="right" w:pos="10466"/>
      </w:tabs>
      <w:adjustRightInd w:val="0"/>
      <w:snapToGrid w:val="0"/>
      <w:spacing w:line="240" w:lineRule="auto"/>
      <w:rPr>
        <w:sz w:val="16"/>
        <w:szCs w:val="16"/>
      </w:rPr>
      <w:suppressLineNumbers/>
    </w:pPr>
    <w:r w:rsidRPr="00FA5AAF">
      <w:rPr>
        <w:i/>
        <w:sz w:val="16"/>
        <w:szCs w:val="16"/>
      </w:rPr>
      <w:t xml:space="preserve">Systems </w:t>
    </w:r>
    <w:r w:rsidR="00C245DC" w:rsidRPr="00FA5AAF">
      <w:rPr>
        <w:b/>
        <w:bCs/>
        <w:iCs/>
        <w:sz w:val="16"/>
        <w:szCs w:val="16"/>
      </w:rPr>
      <w:t>2025</w:t>
    </w:r>
    <w:r w:rsidR="00C047A0" w:rsidRPr="00FA5AAF">
      <w:rPr>
        <w:bCs/>
        <w:iCs/>
        <w:sz w:val="16"/>
        <w:szCs w:val="16"/>
      </w:rPr>
      <w:t>,</w:t>
    </w:r>
    <w:r w:rsidR="00C245DC" w:rsidRPr="00FA5AAF">
      <w:rPr>
        <w:bCs/>
        <w:i/>
        <w:iCs/>
        <w:sz w:val="16"/>
        <w:szCs w:val="16"/>
      </w:rPr>
      <w:t xml:space="preserve"> 13</w:t>
    </w:r>
    <w:r w:rsidR="00C047A0" w:rsidRPr="00FA5AAF">
      <w:rPr>
        <w:bCs/>
        <w:iCs/>
        <w:sz w:val="16"/>
        <w:szCs w:val="16"/>
      </w:rPr>
      <w:t xml:space="preserve">, </w:t>
    </w:r>
    <w:r w:rsidR="005F1025" w:rsidRPr="00FA5AAF">
      <w:rPr>
        <w:bCs/>
        <w:iCs/>
        <w:sz w:val="16"/>
        <w:szCs w:val="16"/>
      </w:rPr>
      <w:t>x</w:t>
    </w:r>
    <w:r w:rsidR="007E21E9" w:rsidRPr="00FA5AAF">
      <w:rPr>
        <w:sz w:val="16"/>
        <w:szCs w:val="16"/>
      </w:rPr>
      <w:tab/>
    </w:r>
    <w:r w:rsidR="00C245DC" w:rsidRPr="00FA5AAF">
      <w:rPr>
        <w:sz w:val="16"/>
        <w:szCs w:val="16"/>
      </w:rPr>
      <w:t>https://doi.org/10.3390/xxxxx</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28F93" w14:textId="77777777" w:rsidR="00042A41" w:rsidRPr="00FA5AAF" w:rsidRDefault="00042A41">
      <w:pPr>
        <w:spacing w:line="240" w:lineRule="auto"/>
      </w:pPr>
      <w:r w:rsidRPr="00FA5AAF">
        <w:separator/>
      </w:r>
    </w:p>
  </w:footnote>
  <w:footnote w:type="continuationSeparator" w:id="0">
    <w:p w14:paraId="571C0C7B" w14:textId="77777777" w:rsidR="00042A41" w:rsidRPr="00FA5AAF" w:rsidRDefault="00042A41">
      <w:pPr>
        <w:spacing w:line="240" w:lineRule="auto"/>
      </w:pPr>
      <w:r w:rsidRPr="00FA5A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9A58" w14:textId="77777777" w:rsidR="00697B5A" w:rsidRPr="00FA5AAF" w:rsidRDefault="00697B5A" w:rsidP="00697B5A">
    <w:pPr>
      <w:pStyle w:val="Header"/>
      <w:pBdr>
        <w:bottom w:val="none" w:sz="0" w:space="0" w:color="auto"/>
      </w:pBdr>
      <w:suppressLineNumber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740F5" w14:textId="333822ED" w:rsidR="00CF1526" w:rsidRPr="00FA5AAF" w:rsidRDefault="00697B5A" w:rsidP="007E21E9">
    <w:pPr>
      <w:tabs>
        <w:tab w:val="right" w:pos="10466"/>
      </w:tabs>
      <w:adjustRightInd w:val="0"/>
      <w:snapToGrid w:val="0"/>
      <w:spacing w:line="240" w:lineRule="auto"/>
      <w:rPr>
        <w:sz w:val="16"/>
      </w:rPr>
      <w:suppressLineNumbers/>
    </w:pPr>
    <w:r w:rsidRPr="00FA5AAF">
      <w:rPr>
        <w:i/>
        <w:sz w:val="16"/>
      </w:rPr>
      <w:t xml:space="preserve">Systems </w:t>
    </w:r>
    <w:r w:rsidR="00C245DC" w:rsidRPr="00FA5AAF">
      <w:rPr>
        <w:b/>
        <w:sz w:val="16"/>
      </w:rPr>
      <w:t>2025</w:t>
    </w:r>
    <w:r w:rsidR="00C047A0" w:rsidRPr="00FA5AAF">
      <w:rPr>
        <w:sz w:val="16"/>
      </w:rPr>
      <w:t>,</w:t>
    </w:r>
    <w:r w:rsidR="00C245DC" w:rsidRPr="00FA5AAF">
      <w:rPr>
        <w:i/>
        <w:sz w:val="16"/>
      </w:rPr>
      <w:t xml:space="preserve"> 13</w:t>
    </w:r>
    <w:r w:rsidR="005F1025" w:rsidRPr="00FA5AAF">
      <w:rPr>
        <w:sz w:val="16"/>
      </w:rPr>
      <w:t xml:space="preserve">, x </w:t>
    </w:r>
    <w:r w:rsidR="00C245DC" w:rsidRPr="00FA5AAF">
      <w:rPr>
        <w:sz w:val="16"/>
      </w:rPr>
      <w:t>FOR PEER REVIEW</w:t>
    </w:r>
    <w:r w:rsidR="00C245DC" w:rsidRPr="00FA5AAF">
      <w:rPr>
        <w:sz w:val="16"/>
      </w:rPr>
      <w:ptab w:relativeTo="margin" w:alignment="right" w:leader="none"/>
    </w:r>
    <w:r w:rsidR="00C245DC" w:rsidRPr="00FA5AAF">
      <w:rPr>
        <w:sz w:val="16"/>
      </w:rPr>
      <w:fldChar w:fldCharType="begin"/>
    </w:r>
    <w:r w:rsidR="00C245DC" w:rsidRPr="00FA5AAF">
      <w:rPr>
        <w:sz w:val="16"/>
      </w:rPr>
      <w:instrText xml:space="preserve"> PAGE   \* MERGEFORMAT </w:instrText>
    </w:r>
    <w:r w:rsidR="00C245DC" w:rsidRPr="00FA5AAF">
      <w:rPr>
        <w:sz w:val="16"/>
      </w:rPr>
      <w:fldChar w:fldCharType="separate"/>
    </w:r>
    <w:r w:rsidR="00C245DC" w:rsidRPr="00FA5AAF">
      <w:rPr>
        <w:sz w:val="16"/>
      </w:rPr>
      <w:t>2</w:t>
    </w:r>
    <w:r w:rsidR="00C245DC" w:rsidRPr="00FA5AAF">
      <w:rPr>
        <w:sz w:val="16"/>
      </w:rPr>
      <w:fldChar w:fldCharType="end"/>
    </w:r>
    <w:r w:rsidR="00C245DC" w:rsidRPr="00FA5AAF">
      <w:rPr>
        <w:sz w:val="16"/>
      </w:rPr>
      <w:t xml:space="preserve"> of </w:t>
    </w:r>
    <w:r w:rsidR="00C245DC" w:rsidRPr="00FA5AAF">
      <w:rPr>
        <w:sz w:val="16"/>
      </w:rPr>
      <w:fldChar w:fldCharType="begin"/>
    </w:r>
    <w:r w:rsidR="00C245DC" w:rsidRPr="00FA5AAF">
      <w:rPr>
        <w:sz w:val="16"/>
      </w:rPr>
      <w:instrText xml:space="preserve"> NUMPAGES   \* MERGEFORMAT </w:instrText>
    </w:r>
    <w:r w:rsidR="00C245DC" w:rsidRPr="00FA5AAF">
      <w:rPr>
        <w:sz w:val="16"/>
      </w:rPr>
      <w:fldChar w:fldCharType="separate"/>
    </w:r>
    <w:r w:rsidR="00C245DC" w:rsidRPr="00FA5AAF">
      <w:rPr>
        <w:sz w:val="16"/>
      </w:rPr>
      <w:t>8</w:t>
    </w:r>
    <w:r w:rsidR="00C245DC" w:rsidRPr="00FA5AAF">
      <w:rPr>
        <w:sz w:val="16"/>
      </w:rPr>
      <w:fldChar w:fldCharType="end"/>
    </w:r>
  </w:p>
  <w:p w14:paraId="2153CD40" w14:textId="77777777" w:rsidR="00697B5A" w:rsidRPr="00FA5AAF" w:rsidRDefault="00697B5A" w:rsidP="00942152">
    <w:pPr>
      <w:pBdr>
        <w:bottom w:val="single" w:sz="4" w:space="1" w:color="000000"/>
      </w:pBdr>
      <w:tabs>
        <w:tab w:val="right" w:pos="8844"/>
      </w:tabs>
      <w:adjustRightInd w:val="0"/>
      <w:snapToGrid w:val="0"/>
      <w:spacing w:after="480" w:line="100" w:lineRule="exact"/>
      <w:jc w:val="left"/>
      <w:rPr>
        <w:sz w:val="16"/>
      </w:rPr>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CF1526" w:rsidRPr="00FA5AAF" w14:paraId="64528AE3" w14:textId="77777777" w:rsidTr="003D5EB7">
      <w:trPr>
        <w:trHeight w:val="686"/>
      </w:trPr>
      <w:tc>
        <w:tcPr>
          <w:tcW w:w="3679" w:type="dxa"/>
          <w:shd w:val="clear" w:color="auto" w:fill="auto"/>
          <w:vAlign w:val="center"/>
        </w:tcPr>
        <w:p w14:paraId="17A05555" w14:textId="19B635A0" w:rsidR="00CF1526" w:rsidRPr="00FA5AAF" w:rsidRDefault="00686F99" w:rsidP="007E21E9">
          <w:pPr>
            <w:pStyle w:val="Header"/>
            <w:pBdr>
              <w:bottom w:val="none" w:sz="0" w:space="0" w:color="auto"/>
            </w:pBdr>
            <w:jc w:val="left"/>
            <w:rPr>
              <w:rFonts w:eastAsia="等线"/>
              <w:b/>
              <w:bCs/>
            </w:rPr>
            <w:suppressLineNumbers/>
          </w:pPr>
          <w:r w:rsidRPr="00FA5AAF">
            <w:rPr>
              <w:rFonts w:eastAsia="等线"/>
              <w:b/>
              <w:bCs/>
              <w:noProof/>
            </w:rPr>
            <w:drawing>
              <wp:inline distT="0" distB="0" distL="0" distR="0" wp14:anchorId="7E33E9A7" wp14:editId="320F0D53">
                <wp:extent cx="1210817" cy="4320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7CF66176" w14:textId="77777777" w:rsidR="00CF1526" w:rsidRPr="00FA5AAF" w:rsidRDefault="00CF1526" w:rsidP="007E21E9">
          <w:pPr>
            <w:pStyle w:val="Header"/>
            <w:pBdr>
              <w:bottom w:val="none" w:sz="0" w:space="0" w:color="auto"/>
            </w:pBdr>
            <w:rPr>
              <w:rFonts w:eastAsia="等线"/>
              <w:b/>
              <w:bCs/>
            </w:rPr>
            <w:suppressLineNumbers/>
          </w:pPr>
        </w:p>
      </w:tc>
      <w:tc>
        <w:tcPr>
          <w:tcW w:w="2273" w:type="dxa"/>
          <w:shd w:val="clear" w:color="auto" w:fill="auto"/>
          <w:vAlign w:val="center"/>
        </w:tcPr>
        <w:p w14:paraId="1305E5EE" w14:textId="25C19A66" w:rsidR="00CF1526" w:rsidRPr="00FA5AAF" w:rsidRDefault="003D5EB7" w:rsidP="003D5EB7">
          <w:pPr>
            <w:pStyle w:val="Header"/>
            <w:pBdr>
              <w:bottom w:val="none" w:sz="0" w:space="0" w:color="auto"/>
            </w:pBdr>
            <w:jc w:val="right"/>
            <w:rPr>
              <w:rFonts w:eastAsia="等线"/>
              <w:b/>
              <w:bCs/>
            </w:rPr>
            <w:suppressLineNumbers/>
          </w:pPr>
          <w:r w:rsidRPr="00FA5AAF">
            <w:rPr>
              <w:rFonts w:eastAsia="等线"/>
              <w:b/>
              <w:bCs/>
              <w:noProof/>
            </w:rPr>
            <w:drawing>
              <wp:inline distT="0" distB="0" distL="0" distR="0" wp14:anchorId="0F4CF8B9" wp14:editId="58D9554F">
                <wp:extent cx="540000" cy="36000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
                        <pic:cNvPicPr/>
                      </pic:nvPicPr>
                      <pic:blipFill>
                        <a:blip r:embed="rId2"/>
                        <a:stretch>
                          <a:fillRect/>
                        </a:stretch>
                      </pic:blipFill>
                      <pic:spPr>
                        <a:xfrm>
                          <a:off x="0" y="0"/>
                          <a:ext cx="540000" cy="360000"/>
                        </a:xfrm>
                        <a:prstGeom prst="rect">
                          <a:avLst/>
                        </a:prstGeom>
                      </pic:spPr>
                    </pic:pic>
                  </a:graphicData>
                </a:graphic>
              </wp:inline>
            </w:drawing>
          </w:r>
        </w:p>
      </w:tc>
    </w:tr>
  </w:tbl>
  <w:p w14:paraId="4DA725D8" w14:textId="77777777" w:rsidR="00697B5A" w:rsidRPr="00FA5AAF" w:rsidRDefault="00697B5A" w:rsidP="00C245DC">
    <w:pPr>
      <w:pBdr>
        <w:bottom w:val="single" w:sz="4" w:space="1" w:color="000000"/>
      </w:pBdr>
      <w:adjustRightInd w:val="0"/>
      <w:snapToGrid w:val="0"/>
      <w:spacing w:before="120" w:line="100" w:lineRule="exact"/>
      <w:jc w:val="left"/>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1431"/>
    <w:multiLevelType w:val="hybridMultilevel"/>
    <w:tmpl w:val="A61AAF98"/>
    <w:lvl w:ilvl="0" w:tplc="D848CE30">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E7903E34"/>
    <w:lvl w:ilvl="0" w:tplc="2A78C5D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42114A6C"/>
    <w:multiLevelType w:val="hybridMultilevel"/>
    <w:tmpl w:val="CC4E641A"/>
    <w:lvl w:ilvl="0" w:tplc="3F1A14D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DC474D"/>
    <w:multiLevelType w:val="hybridMultilevel"/>
    <w:tmpl w:val="92AEC3E0"/>
    <w:lvl w:ilvl="0" w:tplc="C7E4EB5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142891102">
    <w:abstractNumId w:val="4"/>
  </w:num>
  <w:num w:numId="2" w16cid:durableId="948045547">
    <w:abstractNumId w:val="6"/>
  </w:num>
  <w:num w:numId="3" w16cid:durableId="1557161254">
    <w:abstractNumId w:val="3"/>
  </w:num>
  <w:num w:numId="4" w16cid:durableId="20660993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01730135">
    <w:abstractNumId w:val="5"/>
  </w:num>
  <w:num w:numId="6" w16cid:durableId="685132415">
    <w:abstractNumId w:val="9"/>
  </w:num>
  <w:num w:numId="7" w16cid:durableId="1862694624">
    <w:abstractNumId w:val="2"/>
  </w:num>
  <w:num w:numId="8" w16cid:durableId="1063598598">
    <w:abstractNumId w:val="9"/>
  </w:num>
  <w:num w:numId="9" w16cid:durableId="1656185621">
    <w:abstractNumId w:val="2"/>
  </w:num>
  <w:num w:numId="10" w16cid:durableId="2055427729">
    <w:abstractNumId w:val="9"/>
  </w:num>
  <w:num w:numId="11" w16cid:durableId="589847698">
    <w:abstractNumId w:val="2"/>
  </w:num>
  <w:num w:numId="12" w16cid:durableId="1759599816">
    <w:abstractNumId w:val="10"/>
  </w:num>
  <w:num w:numId="13" w16cid:durableId="624196927">
    <w:abstractNumId w:val="9"/>
  </w:num>
  <w:num w:numId="14" w16cid:durableId="17394898">
    <w:abstractNumId w:val="2"/>
  </w:num>
  <w:num w:numId="15" w16cid:durableId="2087678822">
    <w:abstractNumId w:val="1"/>
  </w:num>
  <w:num w:numId="16" w16cid:durableId="1671523435">
    <w:abstractNumId w:val="8"/>
  </w:num>
  <w:num w:numId="17" w16cid:durableId="1772772747">
    <w:abstractNumId w:val="0"/>
  </w:num>
  <w:num w:numId="18" w16cid:durableId="146285709">
    <w:abstractNumId w:val="9"/>
  </w:num>
  <w:num w:numId="19" w16cid:durableId="773982015">
    <w:abstractNumId w:val="2"/>
  </w:num>
  <w:num w:numId="20" w16cid:durableId="2070960159">
    <w:abstractNumId w:val="1"/>
  </w:num>
  <w:num w:numId="21" w16cid:durableId="1475757333">
    <w:abstractNumId w:val="7"/>
  </w:num>
  <w:num w:numId="22" w16cid:durableId="577398895">
    <w:abstractNumId w:val="11"/>
  </w:num>
  <w:num w:numId="23" w16cid:durableId="189125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41"/>
    <w:rsid w:val="00024355"/>
    <w:rsid w:val="000273DF"/>
    <w:rsid w:val="00030C02"/>
    <w:rsid w:val="00042A41"/>
    <w:rsid w:val="00052E90"/>
    <w:rsid w:val="000724B2"/>
    <w:rsid w:val="00096207"/>
    <w:rsid w:val="000B02FD"/>
    <w:rsid w:val="000B1763"/>
    <w:rsid w:val="000E5122"/>
    <w:rsid w:val="000F06FD"/>
    <w:rsid w:val="00107006"/>
    <w:rsid w:val="001566B5"/>
    <w:rsid w:val="00173241"/>
    <w:rsid w:val="001807D0"/>
    <w:rsid w:val="001A3141"/>
    <w:rsid w:val="001A4946"/>
    <w:rsid w:val="001B15BB"/>
    <w:rsid w:val="001B1E4C"/>
    <w:rsid w:val="001B3476"/>
    <w:rsid w:val="001C4F5D"/>
    <w:rsid w:val="001D3F55"/>
    <w:rsid w:val="001E2AEB"/>
    <w:rsid w:val="001F333C"/>
    <w:rsid w:val="001F6B2A"/>
    <w:rsid w:val="00212227"/>
    <w:rsid w:val="0021537E"/>
    <w:rsid w:val="00217EE2"/>
    <w:rsid w:val="0024581C"/>
    <w:rsid w:val="00274866"/>
    <w:rsid w:val="00290CA2"/>
    <w:rsid w:val="00291165"/>
    <w:rsid w:val="00295161"/>
    <w:rsid w:val="002B4C82"/>
    <w:rsid w:val="002C420F"/>
    <w:rsid w:val="002D0DC4"/>
    <w:rsid w:val="003212F5"/>
    <w:rsid w:val="003234A8"/>
    <w:rsid w:val="00326141"/>
    <w:rsid w:val="0033365D"/>
    <w:rsid w:val="0033394C"/>
    <w:rsid w:val="00386F7E"/>
    <w:rsid w:val="003A5C3C"/>
    <w:rsid w:val="003C7481"/>
    <w:rsid w:val="003D34A1"/>
    <w:rsid w:val="003D5EB7"/>
    <w:rsid w:val="003E1CB9"/>
    <w:rsid w:val="003F37F7"/>
    <w:rsid w:val="00401D30"/>
    <w:rsid w:val="00402B74"/>
    <w:rsid w:val="00402BA1"/>
    <w:rsid w:val="00411E95"/>
    <w:rsid w:val="0042259B"/>
    <w:rsid w:val="00463FB0"/>
    <w:rsid w:val="004701FA"/>
    <w:rsid w:val="00473F73"/>
    <w:rsid w:val="0048675C"/>
    <w:rsid w:val="00491A38"/>
    <w:rsid w:val="004A44EE"/>
    <w:rsid w:val="004C2D9F"/>
    <w:rsid w:val="004D586B"/>
    <w:rsid w:val="004E1514"/>
    <w:rsid w:val="004E661E"/>
    <w:rsid w:val="0052050E"/>
    <w:rsid w:val="005352E0"/>
    <w:rsid w:val="00545B32"/>
    <w:rsid w:val="005546D2"/>
    <w:rsid w:val="00567F4C"/>
    <w:rsid w:val="005778BD"/>
    <w:rsid w:val="005944E0"/>
    <w:rsid w:val="00597CEF"/>
    <w:rsid w:val="005B6B9B"/>
    <w:rsid w:val="005C2797"/>
    <w:rsid w:val="005C4752"/>
    <w:rsid w:val="005D49F7"/>
    <w:rsid w:val="005E64C3"/>
    <w:rsid w:val="005F1025"/>
    <w:rsid w:val="00602843"/>
    <w:rsid w:val="006060F0"/>
    <w:rsid w:val="00621CD0"/>
    <w:rsid w:val="00631236"/>
    <w:rsid w:val="00662367"/>
    <w:rsid w:val="00667908"/>
    <w:rsid w:val="0068146A"/>
    <w:rsid w:val="00682756"/>
    <w:rsid w:val="0068346F"/>
    <w:rsid w:val="00686F99"/>
    <w:rsid w:val="00691935"/>
    <w:rsid w:val="00692393"/>
    <w:rsid w:val="00692EF9"/>
    <w:rsid w:val="00696B45"/>
    <w:rsid w:val="00696F7D"/>
    <w:rsid w:val="0069792F"/>
    <w:rsid w:val="00697B5A"/>
    <w:rsid w:val="006A501D"/>
    <w:rsid w:val="006A61B7"/>
    <w:rsid w:val="006C34CE"/>
    <w:rsid w:val="006F3EB8"/>
    <w:rsid w:val="00700834"/>
    <w:rsid w:val="00706180"/>
    <w:rsid w:val="00711C35"/>
    <w:rsid w:val="0072104A"/>
    <w:rsid w:val="007267C3"/>
    <w:rsid w:val="00726AE9"/>
    <w:rsid w:val="00745775"/>
    <w:rsid w:val="00746DB9"/>
    <w:rsid w:val="00752DC1"/>
    <w:rsid w:val="0075693E"/>
    <w:rsid w:val="00787A94"/>
    <w:rsid w:val="007A45A6"/>
    <w:rsid w:val="007A5599"/>
    <w:rsid w:val="007C63CB"/>
    <w:rsid w:val="007E21E9"/>
    <w:rsid w:val="008046B5"/>
    <w:rsid w:val="00825361"/>
    <w:rsid w:val="00826DC7"/>
    <w:rsid w:val="00844CCF"/>
    <w:rsid w:val="00852894"/>
    <w:rsid w:val="00853F7A"/>
    <w:rsid w:val="00855A5A"/>
    <w:rsid w:val="00860B4F"/>
    <w:rsid w:val="00862970"/>
    <w:rsid w:val="00865AC6"/>
    <w:rsid w:val="00880CDC"/>
    <w:rsid w:val="00894AF0"/>
    <w:rsid w:val="008B2F77"/>
    <w:rsid w:val="008B355C"/>
    <w:rsid w:val="00906CDA"/>
    <w:rsid w:val="00920CE2"/>
    <w:rsid w:val="00931D46"/>
    <w:rsid w:val="00933543"/>
    <w:rsid w:val="00942152"/>
    <w:rsid w:val="009711A9"/>
    <w:rsid w:val="00973C3F"/>
    <w:rsid w:val="00974BF0"/>
    <w:rsid w:val="00991250"/>
    <w:rsid w:val="0099645E"/>
    <w:rsid w:val="009F65D2"/>
    <w:rsid w:val="009F70E6"/>
    <w:rsid w:val="009F7EF7"/>
    <w:rsid w:val="00A0209A"/>
    <w:rsid w:val="00A0510E"/>
    <w:rsid w:val="00A27049"/>
    <w:rsid w:val="00A50BAC"/>
    <w:rsid w:val="00A62098"/>
    <w:rsid w:val="00A87F05"/>
    <w:rsid w:val="00A96919"/>
    <w:rsid w:val="00AB1C83"/>
    <w:rsid w:val="00AB2CFC"/>
    <w:rsid w:val="00AB7F9D"/>
    <w:rsid w:val="00AC011A"/>
    <w:rsid w:val="00AD0917"/>
    <w:rsid w:val="00AE3076"/>
    <w:rsid w:val="00AE78A6"/>
    <w:rsid w:val="00AF4572"/>
    <w:rsid w:val="00B227AE"/>
    <w:rsid w:val="00B3089C"/>
    <w:rsid w:val="00B44A3E"/>
    <w:rsid w:val="00B50D0A"/>
    <w:rsid w:val="00B5395F"/>
    <w:rsid w:val="00B619EF"/>
    <w:rsid w:val="00B70A81"/>
    <w:rsid w:val="00B831DB"/>
    <w:rsid w:val="00B86B71"/>
    <w:rsid w:val="00B97843"/>
    <w:rsid w:val="00BA0752"/>
    <w:rsid w:val="00BA697E"/>
    <w:rsid w:val="00BB4ECE"/>
    <w:rsid w:val="00BB65AA"/>
    <w:rsid w:val="00BC1DAF"/>
    <w:rsid w:val="00BD0190"/>
    <w:rsid w:val="00BD78F6"/>
    <w:rsid w:val="00BE46B3"/>
    <w:rsid w:val="00BF2449"/>
    <w:rsid w:val="00BF5B29"/>
    <w:rsid w:val="00BF72BA"/>
    <w:rsid w:val="00C047A0"/>
    <w:rsid w:val="00C12FD6"/>
    <w:rsid w:val="00C20ADD"/>
    <w:rsid w:val="00C245DC"/>
    <w:rsid w:val="00C2479E"/>
    <w:rsid w:val="00C51301"/>
    <w:rsid w:val="00C551F8"/>
    <w:rsid w:val="00C57C44"/>
    <w:rsid w:val="00C77DFC"/>
    <w:rsid w:val="00CB1365"/>
    <w:rsid w:val="00CD2C47"/>
    <w:rsid w:val="00CD4E06"/>
    <w:rsid w:val="00CE1FFF"/>
    <w:rsid w:val="00CE47B8"/>
    <w:rsid w:val="00CF1526"/>
    <w:rsid w:val="00D0346E"/>
    <w:rsid w:val="00D04039"/>
    <w:rsid w:val="00D21345"/>
    <w:rsid w:val="00D22698"/>
    <w:rsid w:val="00D42C10"/>
    <w:rsid w:val="00D474EE"/>
    <w:rsid w:val="00D552C0"/>
    <w:rsid w:val="00D63E61"/>
    <w:rsid w:val="00D802CB"/>
    <w:rsid w:val="00DD53BE"/>
    <w:rsid w:val="00DD6B43"/>
    <w:rsid w:val="00DE5229"/>
    <w:rsid w:val="00E03F3D"/>
    <w:rsid w:val="00E10DAA"/>
    <w:rsid w:val="00E2035E"/>
    <w:rsid w:val="00E56996"/>
    <w:rsid w:val="00E74221"/>
    <w:rsid w:val="00EA1995"/>
    <w:rsid w:val="00EA2E33"/>
    <w:rsid w:val="00EB578D"/>
    <w:rsid w:val="00EB627A"/>
    <w:rsid w:val="00EC3E5C"/>
    <w:rsid w:val="00ED31D0"/>
    <w:rsid w:val="00F06AB4"/>
    <w:rsid w:val="00F073E1"/>
    <w:rsid w:val="00F10D3F"/>
    <w:rsid w:val="00F147BC"/>
    <w:rsid w:val="00F179A9"/>
    <w:rsid w:val="00F34FEE"/>
    <w:rsid w:val="00F358F1"/>
    <w:rsid w:val="00F3641D"/>
    <w:rsid w:val="00F40B07"/>
    <w:rsid w:val="00F47333"/>
    <w:rsid w:val="00F50D7B"/>
    <w:rsid w:val="00F51ED6"/>
    <w:rsid w:val="00F5210F"/>
    <w:rsid w:val="00F8722C"/>
    <w:rsid w:val="00FA5AAF"/>
    <w:rsid w:val="00FD300C"/>
    <w:rsid w:val="00FD4B6A"/>
    <w:rsid w:val="00FE2998"/>
    <w:rsid w:val="00FE3D1A"/>
    <w:rsid w:val="00FF03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782C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4A1"/>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3D34A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3D34A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3D34A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3D34A1"/>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3D34A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3D34A1"/>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3D34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3D34A1"/>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173241"/>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3D34A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D34A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3D34A1"/>
    <w:rPr>
      <w:rFonts w:ascii="Palatino Linotype" w:hAnsi="Palatino Linotype"/>
      <w:noProof/>
      <w:color w:val="000000"/>
      <w:szCs w:val="18"/>
    </w:rPr>
  </w:style>
  <w:style w:type="paragraph" w:styleId="Header">
    <w:name w:val="header"/>
    <w:basedOn w:val="Normal"/>
    <w:link w:val="HeaderChar"/>
    <w:uiPriority w:val="99"/>
    <w:rsid w:val="003D34A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3D34A1"/>
    <w:rPr>
      <w:rFonts w:ascii="Palatino Linotype" w:hAnsi="Palatino Linotype"/>
      <w:noProof/>
      <w:color w:val="000000"/>
      <w:szCs w:val="18"/>
    </w:rPr>
  </w:style>
  <w:style w:type="paragraph" w:customStyle="1" w:styleId="MDPI32textnoindent">
    <w:name w:val="MDPI_3.2_text_no_indent"/>
    <w:basedOn w:val="MDPI31text"/>
    <w:qFormat/>
    <w:rsid w:val="003D34A1"/>
    <w:pPr>
      <w:ind w:firstLine="0"/>
    </w:pPr>
  </w:style>
  <w:style w:type="paragraph" w:customStyle="1" w:styleId="MDPI31text">
    <w:name w:val="MDPI_3.1_text"/>
    <w:qFormat/>
    <w:rsid w:val="00BA075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3D34A1"/>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3D34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3D34A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3D34A1"/>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96919"/>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96919"/>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3D34A1"/>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D34A1"/>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D34A1"/>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0B17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3D34A1"/>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3D34A1"/>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3D34A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3D34A1"/>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3D34A1"/>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3D34A1"/>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3D34A1"/>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3D34A1"/>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682756"/>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3D34A1"/>
    <w:rPr>
      <w:rFonts w:cs="Tahoma"/>
      <w:szCs w:val="18"/>
    </w:rPr>
  </w:style>
  <w:style w:type="character" w:customStyle="1" w:styleId="BalloonTextChar">
    <w:name w:val="Balloon Text Char"/>
    <w:link w:val="BalloonText"/>
    <w:uiPriority w:val="99"/>
    <w:rsid w:val="003D34A1"/>
    <w:rPr>
      <w:rFonts w:ascii="Palatino Linotype" w:hAnsi="Palatino Linotype" w:cs="Tahoma"/>
      <w:noProof/>
      <w:color w:val="000000"/>
      <w:szCs w:val="18"/>
    </w:rPr>
  </w:style>
  <w:style w:type="character" w:styleId="LineNumber">
    <w:name w:val="line number"/>
    <w:uiPriority w:val="99"/>
    <w:rsid w:val="00030C02"/>
    <w:rPr>
      <w:rFonts w:ascii="Palatino Linotype" w:hAnsi="Palatino Linotype"/>
      <w:sz w:val="16"/>
    </w:rPr>
  </w:style>
  <w:style w:type="table" w:customStyle="1" w:styleId="MDPI41threelinetable">
    <w:name w:val="MDPI_4.1_three_line_table"/>
    <w:basedOn w:val="TableNormal"/>
    <w:uiPriority w:val="99"/>
    <w:rsid w:val="003D34A1"/>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3D34A1"/>
    <w:rPr>
      <w:color w:val="0000FF"/>
      <w:u w:val="single"/>
    </w:rPr>
  </w:style>
  <w:style w:type="character" w:styleId="UnresolvedMention">
    <w:name w:val="Unresolved Mention"/>
    <w:uiPriority w:val="99"/>
    <w:semiHidden/>
    <w:unhideWhenUsed/>
    <w:rsid w:val="00EA2E33"/>
    <w:rPr>
      <w:color w:val="605E5C"/>
      <w:shd w:val="clear" w:color="auto" w:fill="E1DFDD"/>
    </w:rPr>
  </w:style>
  <w:style w:type="table" w:styleId="PlainTable4">
    <w:name w:val="Plain Table 4"/>
    <w:basedOn w:val="TableNormal"/>
    <w:uiPriority w:val="44"/>
    <w:rsid w:val="00C047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3D34A1"/>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3D34A1"/>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3D34A1"/>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1F6B2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3D34A1"/>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3D34A1"/>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E10DAA"/>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3D34A1"/>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3D34A1"/>
  </w:style>
  <w:style w:type="paragraph" w:styleId="Bibliography">
    <w:name w:val="Bibliography"/>
    <w:basedOn w:val="Normal"/>
    <w:next w:val="Normal"/>
    <w:uiPriority w:val="37"/>
    <w:semiHidden/>
    <w:unhideWhenUsed/>
    <w:rsid w:val="003D34A1"/>
  </w:style>
  <w:style w:type="paragraph" w:styleId="BodyText">
    <w:name w:val="Body Text"/>
    <w:link w:val="BodyTextChar"/>
    <w:rsid w:val="003D34A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3D34A1"/>
    <w:rPr>
      <w:rFonts w:ascii="Palatino Linotype" w:hAnsi="Palatino Linotype"/>
      <w:color w:val="000000"/>
      <w:sz w:val="24"/>
      <w:lang w:eastAsia="de-DE"/>
    </w:rPr>
  </w:style>
  <w:style w:type="character" w:styleId="CommentReference">
    <w:name w:val="annotation reference"/>
    <w:rsid w:val="003D34A1"/>
    <w:rPr>
      <w:sz w:val="21"/>
      <w:szCs w:val="21"/>
    </w:rPr>
  </w:style>
  <w:style w:type="paragraph" w:styleId="CommentText">
    <w:name w:val="annotation text"/>
    <w:basedOn w:val="Normal"/>
    <w:link w:val="CommentTextChar"/>
    <w:rsid w:val="003D34A1"/>
  </w:style>
  <w:style w:type="character" w:customStyle="1" w:styleId="CommentTextChar">
    <w:name w:val="Comment Text Char"/>
    <w:link w:val="CommentText"/>
    <w:rsid w:val="003D34A1"/>
    <w:rPr>
      <w:rFonts w:ascii="Palatino Linotype" w:hAnsi="Palatino Linotype"/>
      <w:noProof/>
      <w:color w:val="000000"/>
    </w:rPr>
  </w:style>
  <w:style w:type="paragraph" w:styleId="CommentSubject">
    <w:name w:val="annotation subject"/>
    <w:basedOn w:val="CommentText"/>
    <w:next w:val="CommentText"/>
    <w:link w:val="CommentSubjectChar"/>
    <w:rsid w:val="003D34A1"/>
    <w:rPr>
      <w:b/>
      <w:bCs/>
    </w:rPr>
  </w:style>
  <w:style w:type="character" w:customStyle="1" w:styleId="CommentSubjectChar">
    <w:name w:val="Comment Subject Char"/>
    <w:link w:val="CommentSubject"/>
    <w:rsid w:val="003D34A1"/>
    <w:rPr>
      <w:rFonts w:ascii="Palatino Linotype" w:hAnsi="Palatino Linotype"/>
      <w:b/>
      <w:bCs/>
      <w:noProof/>
      <w:color w:val="000000"/>
    </w:rPr>
  </w:style>
  <w:style w:type="character" w:styleId="EndnoteReference">
    <w:name w:val="endnote reference"/>
    <w:rsid w:val="003D34A1"/>
    <w:rPr>
      <w:vertAlign w:val="superscript"/>
    </w:rPr>
  </w:style>
  <w:style w:type="paragraph" w:styleId="EndnoteText">
    <w:name w:val="endnote text"/>
    <w:basedOn w:val="Normal"/>
    <w:link w:val="EndnoteTextChar"/>
    <w:semiHidden/>
    <w:unhideWhenUsed/>
    <w:rsid w:val="003D34A1"/>
    <w:pPr>
      <w:spacing w:line="240" w:lineRule="auto"/>
    </w:pPr>
  </w:style>
  <w:style w:type="character" w:customStyle="1" w:styleId="EndnoteTextChar">
    <w:name w:val="Endnote Text Char"/>
    <w:link w:val="EndnoteText"/>
    <w:semiHidden/>
    <w:rsid w:val="003D34A1"/>
    <w:rPr>
      <w:rFonts w:ascii="Palatino Linotype" w:hAnsi="Palatino Linotype"/>
      <w:noProof/>
      <w:color w:val="000000"/>
    </w:rPr>
  </w:style>
  <w:style w:type="character" w:styleId="FollowedHyperlink">
    <w:name w:val="FollowedHyperlink"/>
    <w:rsid w:val="003D34A1"/>
    <w:rPr>
      <w:color w:val="954F72"/>
      <w:u w:val="single"/>
    </w:rPr>
  </w:style>
  <w:style w:type="paragraph" w:styleId="FootnoteText">
    <w:name w:val="footnote text"/>
    <w:basedOn w:val="Normal"/>
    <w:link w:val="FootnoteTextChar"/>
    <w:semiHidden/>
    <w:unhideWhenUsed/>
    <w:rsid w:val="003D34A1"/>
    <w:pPr>
      <w:spacing w:line="240" w:lineRule="auto"/>
    </w:pPr>
  </w:style>
  <w:style w:type="character" w:customStyle="1" w:styleId="FootnoteTextChar">
    <w:name w:val="Footnote Text Char"/>
    <w:link w:val="FootnoteText"/>
    <w:semiHidden/>
    <w:rsid w:val="003D34A1"/>
    <w:rPr>
      <w:rFonts w:ascii="Palatino Linotype" w:hAnsi="Palatino Linotype"/>
      <w:noProof/>
      <w:color w:val="000000"/>
    </w:rPr>
  </w:style>
  <w:style w:type="paragraph" w:styleId="NormalWeb">
    <w:name w:val="Normal (Web)"/>
    <w:basedOn w:val="Normal"/>
    <w:uiPriority w:val="99"/>
    <w:rsid w:val="003D34A1"/>
    <w:rPr>
      <w:szCs w:val="24"/>
    </w:rPr>
  </w:style>
  <w:style w:type="paragraph" w:customStyle="1" w:styleId="MsoFootnoteText0">
    <w:name w:val="MsoFootnoteText"/>
    <w:basedOn w:val="NormalWeb"/>
    <w:qFormat/>
    <w:rsid w:val="003D34A1"/>
    <w:rPr>
      <w:rFonts w:ascii="Times New Roman" w:hAnsi="Times New Roman"/>
    </w:rPr>
  </w:style>
  <w:style w:type="character" w:styleId="PageNumber">
    <w:name w:val="page number"/>
    <w:rsid w:val="003D34A1"/>
  </w:style>
  <w:style w:type="character" w:styleId="PlaceholderText">
    <w:name w:val="Placeholder Text"/>
    <w:uiPriority w:val="99"/>
    <w:semiHidden/>
    <w:rsid w:val="003D34A1"/>
    <w:rPr>
      <w:color w:val="808080"/>
    </w:rPr>
  </w:style>
  <w:style w:type="paragraph" w:customStyle="1" w:styleId="MDPI71footnotes">
    <w:name w:val="MDPI_7.1_footnotes"/>
    <w:qFormat/>
    <w:rsid w:val="00F358F1"/>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1C4F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systems-template.dot</Template>
  <TotalTime>1</TotalTime>
  <Pages>6</Pages>
  <Words>2274</Words>
  <Characters>12077</Characters>
  <Application>Microsoft Office Word</Application>
  <DocSecurity>0</DocSecurity>
  <Lines>287</Lines>
  <Paragraphs>191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4</cp:revision>
  <dcterms:created xsi:type="dcterms:W3CDTF">2025-06-13T06:12:00Z</dcterms:created>
  <dcterms:modified xsi:type="dcterms:W3CDTF">2025-06-17T06:48:00Z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5470e00577bbcda9f6f0393045ea6a6a1d505038b62b8a58bba9ca28bce24e25</vt:lpwstr>
  </property>
</Properties>
</file>