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0" w:lineRule="auto" w:line="360"/>
        <w:ind w:firstLineChars="0" w:firstLine="0" w:leftChars="0" w:left="0"/>
        <w:snapToGrid w:val="0"/>
        <w:keepNext/>
      </w:pPr>
      <w:r>
        <w:rPr>
          <w:rFonts w:ascii="Times New Roman" w:hAnsi="Times New Roman" w:eastAsia="黑体" w:cs="Times New Roman" w:hint="eastAsia"/>
          <w:b w:val="0"/>
          <w:sz w:val="30"/>
        </w:rPr>
        <w:t>全链条创业落地方案</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项目名称：嘉兴云稿智能科技有限公司（拟）。业务定位：面向中小企业与高校用户的内容合规审核与智能分发平台。编制单位：禾创星创业智能体。本方案覆盖创业启蒙、商业模式打磨、工商注册、选址、开户行比选、税务社保、政策匹配、融资对接、企业成长复盘九个环节，所有金额与期限以公开政策文件表述为准，正式办理前请以属地主管部门最新公告为准。</w:t>
      </w:r>
    </w:p>
    <w:p>
      <w:pPr>
        <w:jc w:val="center"/>
        <w:spacing w:before="0" w:after="0" w:lineRule="auto" w:line="360"/>
        <w:ind w:firstLineChars="0" w:firstLine="0" w:leftChars="0" w:left="0"/>
        <w:snapToGrid w:val="0"/>
        <w:keepNext/>
      </w:pPr>
      <w:r>
        <w:rPr>
          <w:rFonts w:ascii="Times New Roman" w:hAnsi="Times New Roman" w:eastAsia="黑体" w:cs="Times New Roman" w:hint="eastAsia"/>
          <w:b w:val="0"/>
          <w:sz w:val="30"/>
        </w:rPr>
        <w:t>一、创业启蒙</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（一）动手之前先回答的五个问题</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第一，谁付钱。付钱的人和用产品的人是不是同一个人。本项目里用产品的是企业市场部专员，签字付钱的是市场负责人或老板，两者关注点不同，产品要同时满足专员的省事和老板的可交代。</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第二，一次还是长期。按篇收费是一次性买卖，按月订阅是长期关系。本方案的目标是把六成以上收入做成订阅制。</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第三，成本结构。人力成本、算力与平台成本、获客成本三项合计占收入的比例要控制在 70% 以内，超过这个数就没有利润空间去做研发。</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第四，合规红线。涉及新闻属性内容的业务不能做，理由见风险章节。</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第五，退出成本。注销一家公司比注册难得多，所以在模式没验证之前不要一次性开多家主体。</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（二）经营主体形式怎么选</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tblHeader/>
        </w:trPr>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主体形式</w:t>
            </w:r>
          </w:p>
        </w:tc>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责任承担</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注册资本</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税制</w:t>
            </w:r>
          </w:p>
        </w:tc>
        <w:tc>
          <w:tcPr>
            <w:tcW w:type="dxa" w:w="204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适合场景</w:t>
            </w:r>
          </w:p>
        </w:tc>
      </w:tr>
      <w:tr>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个体工商户</w:t>
            </w:r>
          </w:p>
        </w:tc>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无限责任</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无要求</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经营所得个税，可核定征收</w:t>
            </w:r>
          </w:p>
        </w:tc>
        <w:tc>
          <w:tcPr>
            <w:tcW w:type="dxa" w:w="204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单人试水，月流水几万元以内</w:t>
            </w:r>
          </w:p>
        </w:tc>
      </w:tr>
      <w:tr>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一人有限公司</w:t>
            </w:r>
          </w:p>
        </w:tc>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有限责任，须严格财产独立</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认缴，5 年内缴足</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企业所得税加分红个税</w:t>
            </w:r>
          </w:p>
        </w:tc>
        <w:tc>
          <w:tcPr>
            <w:tcW w:type="dxa" w:w="204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一人控股但要签正式合同、开专票</w:t>
            </w:r>
          </w:p>
        </w:tc>
      </w:tr>
      <w:tr>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有限责任公司</w:t>
            </w:r>
          </w:p>
        </w:tc>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有限责任</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认缴，5 年内缴足</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企业所得税加分红个税</w:t>
            </w:r>
          </w:p>
        </w:tc>
        <w:tc>
          <w:tcPr>
            <w:tcW w:type="dxa" w:w="204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有合伙人、要融资、要申报科技类资质</w:t>
            </w:r>
          </w:p>
        </w:tc>
      </w:tr>
      <w:tr>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合伙企业</w:t>
            </w:r>
          </w:p>
        </w:tc>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普通合伙人无限责任</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无最低要求</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先分后税</w:t>
            </w:r>
          </w:p>
        </w:tc>
        <w:tc>
          <w:tcPr>
            <w:tcW w:type="dxa" w:w="204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员工持股平台、专业服务</w:t>
            </w:r>
          </w:p>
        </w:tc>
      </w:tr>
    </w:tbl>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本项目建议直接设立有限责任公司。理由有三个：要申报科技型中小企业和高新技术企业，个体工商户不具备资格；要签订技术开发合同并办理技术合同认定登记，需要公司主体；未来要引入投资，股权结构必须清晰。</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（三）股权结构建议</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假设创始团队三人，分别负责产品与技术、市场与销售、运营与交付，建议按下表设置，并预留期权池。</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tblHeader/>
        </w:trPr>
        <w:tc>
          <w:tcPr>
            <w:tcW w:type="dxa" w:w="260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角色</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持股比例</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出资方式</w:t>
            </w:r>
          </w:p>
        </w:tc>
        <w:tc>
          <w:tcPr>
            <w:tcW w:type="dxa" w:w="30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说明</w:t>
            </w:r>
          </w:p>
        </w:tc>
      </w:tr>
      <w:tr>
        <w:tc>
          <w:tcPr>
            <w:tcW w:type="dxa" w:w="260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创始人兼 CEO（产品与技术）</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52%</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货币出资</w:t>
            </w:r>
          </w:p>
        </w:tc>
        <w:tc>
          <w:tcPr>
            <w:tcW w:type="dxa" w:w="30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保持绝对控制，避免决策僵局</w:t>
            </w:r>
          </w:p>
        </w:tc>
      </w:tr>
      <w:tr>
        <w:tc>
          <w:tcPr>
            <w:tcW w:type="dxa" w:w="260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联合创始人（市场销售）</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20%</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货币出资</w:t>
            </w:r>
          </w:p>
        </w:tc>
        <w:tc>
          <w:tcPr>
            <w:tcW w:type="dxa" w:w="30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按业绩里程碑分期成熟</w:t>
            </w:r>
          </w:p>
        </w:tc>
      </w:tr>
      <w:tr>
        <w:tc>
          <w:tcPr>
            <w:tcW w:type="dxa" w:w="260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联合创始人（运营交付）</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13%</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货币出资</w:t>
            </w:r>
          </w:p>
        </w:tc>
        <w:tc>
          <w:tcPr>
            <w:tcW w:type="dxa" w:w="30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按业绩里程碑分期成熟</w:t>
            </w:r>
          </w:p>
        </w:tc>
      </w:tr>
      <w:tr>
        <w:tc>
          <w:tcPr>
            <w:tcW w:type="dxa" w:w="260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期权池</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15%</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由创始人份额中预留</w:t>
            </w:r>
          </w:p>
        </w:tc>
        <w:tc>
          <w:tcPr>
            <w:tcW w:type="dxa" w:w="30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用于未来核心员工激励</w:t>
            </w:r>
          </w:p>
        </w:tc>
      </w:tr>
    </w:tbl>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三条底线要守住。第一，不要五五开，两人各占一半时任何分歧都会让公司停摆。第二，期权池从创始人份额里出，不要等融资时从投资人份额里出。第三，股权要有成熟期，通常四年成熟、第一年为考察期，中途退出的按已成熟部分保留，其余由公司回购，这一条要写进股东协议。</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（四）用红船精神做一次自检</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首创：这件事之前谁做过、做成什么样，我们做出来的哪一部分别人短期抄不走。本项目的答案是行业专属的合规规则库和沉淀在平台上的投放效果数据。奋斗：如果 12 个月不盈利靠什么活下去，这决定了启动资金的下限。奉献：客户为什么愿意持续付钱，而不是只买一次，这决定了续费率。这三个问题回答不了，商业模式就还没打磨完。</w:t>
      </w:r>
    </w:p>
    <w:p>
      <w:pPr>
        <w:jc w:val="center"/>
        <w:spacing w:before="0" w:after="0" w:lineRule="auto" w:line="360"/>
        <w:ind w:firstLineChars="0" w:firstLine="0" w:leftChars="0" w:left="0"/>
        <w:snapToGrid w:val="0"/>
        <w:keepNext/>
      </w:pPr>
      <w:r>
        <w:rPr>
          <w:rFonts w:ascii="Times New Roman" w:hAnsi="Times New Roman" w:eastAsia="黑体" w:cs="Times New Roman" w:hint="eastAsia"/>
          <w:b w:val="0"/>
          <w:sz w:val="30"/>
        </w:rPr>
        <w:t>二、商业模式打磨</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（一）客户是谁</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tblHeader/>
        </w:trPr>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客户类型</w:t>
            </w:r>
          </w:p>
        </w:tc>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典型画像</w:t>
            </w:r>
          </w:p>
        </w:tc>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核心痛点</w:t>
            </w:r>
          </w:p>
        </w:tc>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付费意愿</w:t>
            </w:r>
          </w:p>
        </w:tc>
      </w:tr>
      <w:tr>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本地中小企业市场部</w:t>
            </w:r>
          </w:p>
        </w:tc>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嘉兴制造业、消费品、服务业企业，市场团队 1 至 3 人</w:t>
            </w:r>
          </w:p>
        </w:tc>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内容要发但没人写，怕写错违反广告法</w:t>
            </w:r>
          </w:p>
        </w:tc>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高，愿意按月付费</w:t>
            </w:r>
          </w:p>
        </w:tc>
      </w:tr>
      <w:tr>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高校师生与科研团队</w:t>
            </w:r>
          </w:p>
        </w:tc>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嘉兴本地高校教师、研究生</w:t>
            </w:r>
          </w:p>
        </w:tc>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成果需要传播，不熟悉渠道</w:t>
            </w:r>
          </w:p>
        </w:tc>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中，单次付费为主</w:t>
            </w:r>
          </w:p>
        </w:tc>
      </w:tr>
      <w:tr>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广告与公关服务商</w:t>
            </w:r>
          </w:p>
        </w:tc>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本地代理公司</w:t>
            </w:r>
          </w:p>
        </w:tc>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人工审核效率低，想外包合规环节</w:t>
            </w:r>
          </w:p>
        </w:tc>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高，按量采购接口</w:t>
            </w:r>
          </w:p>
        </w:tc>
      </w:tr>
    </w:tbl>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第一年主攻第一类和第三类客户，因为这两类续费稳定、验收标准清楚。第二类客户单价低、决策周期长，作为品牌口碑来源即可。</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（二）怎么收费</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tblHeader/>
        </w:trPr>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产品</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计费方式</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定价</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毛利率</w:t>
            </w:r>
          </w:p>
        </w:tc>
      </w:tr>
      <w:tr>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合规预审标准版</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按年订阅</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6800 元每年，含 500 篇预审额度</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约 80%</w:t>
            </w:r>
          </w:p>
        </w:tc>
      </w:tr>
      <w:tr>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合规预审企业版</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按年订阅</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19800 元每年，含 2000 篇额度与团队账号</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约 78%</w:t>
            </w:r>
          </w:p>
        </w:tc>
      </w:tr>
      <w:tr>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渠道智能匹配</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按次计费</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50 元每次匹配报告</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约 70%</w:t>
            </w:r>
          </w:p>
        </w:tc>
      </w:tr>
      <w:tr>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内容代运营</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按月服务</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5000 元至 15000 元每月</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约 45%</w:t>
            </w:r>
          </w:p>
        </w:tc>
      </w:tr>
      <w:tr>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定制开发与接口</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按项目</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8 万元至 30 万元每项目</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约 55%</w:t>
            </w:r>
          </w:p>
        </w:tc>
      </w:tr>
    </w:tbl>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（三）单位经济模型测算</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在给投资人看总量之前，先算清楚一单赚多少。以企业版订阅客户为例。</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rPr>
          <w:tblHeader/>
        </w:trP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指标</w:t>
            </w:r>
          </w:p>
        </w:tc>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数值</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计算口径</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单客户年收入</w:t>
            </w:r>
          </w:p>
        </w:tc>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19800 元</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企业版订阅价</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单客户直接成本</w:t>
            </w:r>
          </w:p>
        </w:tc>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4400 元</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算力与云服务 1400 元加人工复核 3000 元</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单客户毛利</w:t>
            </w:r>
          </w:p>
        </w:tc>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15400 元</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年收入减直接成本</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毛利率</w:t>
            </w:r>
          </w:p>
        </w:tc>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77.8%</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毛利除以年收入</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获客成本</w:t>
            </w:r>
          </w:p>
        </w:tc>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3200 元</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市场费用除以新增付费客户数</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回本周期</w:t>
            </w:r>
          </w:p>
        </w:tc>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2.5 个月</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获客成本除以月毛利</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预计续费率</w:t>
            </w:r>
          </w:p>
        </w:tc>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65%</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首年目标值</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客户生命周期价值</w:t>
            </w:r>
          </w:p>
        </w:tc>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约 4.4 万元</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年毛利除以流失率</w:t>
            </w:r>
          </w:p>
        </w:tc>
      </w:tr>
    </w:tbl>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判断标准是回本周期不超过 12 个月、毛利率不低于 40%。本模型两项均达标，可以进入投放放大阶段。如果实际跑下来回本周期超过 12 个月，说明定价或获客方式有问题，应先改模式再谈融资。</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（四）增长的刹车条件</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给公司设三条硬规矩，写进股东会决议：第一，新增全职人员的前提是既有业务经营性现金流连续 6 个月为正。第二，单月市场费用不超过上月新增合同额的 30%。第三，账上可用资金低于 6 个月固定支出时，立即停止一切非必要支出。这三条是从海盐衬衫总厂扩张过快导致困境的教训里提炼出来的。</w:t>
      </w:r>
    </w:p>
    <w:p>
      <w:pPr>
        <w:jc w:val="center"/>
        <w:spacing w:before="0" w:after="0" w:lineRule="auto" w:line="360"/>
        <w:ind w:firstLineChars="0" w:firstLine="0" w:leftChars="0" w:left="0"/>
        <w:snapToGrid w:val="0"/>
        <w:keepNext/>
      </w:pPr>
      <w:r>
        <w:rPr>
          <w:rFonts w:ascii="Times New Roman" w:hAnsi="Times New Roman" w:eastAsia="黑体" w:cs="Times New Roman" w:hint="eastAsia"/>
          <w:b w:val="0"/>
          <w:sz w:val="30"/>
        </w:rPr>
        <w:t>三、工商注册</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（一）办理渠道</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线上走浙江省企业登记全程电子化登记平台（浙江企业在线）与浙江政务服务网企业开办一件事入口，可以一次性办完市场主体登记、公章刻制、发票申领、社保登记、公积金企业缴存登记和银行预约开户。线下到属地行政审批或市场监管窗口办理。</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（二）分步清单</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tblHeader/>
        </w:trPr>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步骤</w:t>
            </w:r>
          </w:p>
        </w:tc>
        <w:tc>
          <w:tcPr>
            <w:tcW w:type="dxa" w:w="30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要准备的材料</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耗时</w:t>
            </w:r>
          </w:p>
        </w:tc>
        <w:tc>
          <w:tcPr>
            <w:tcW w:type="dxa" w:w="238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提示</w:t>
            </w:r>
          </w:p>
        </w:tc>
      </w:tr>
      <w:tr>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1 名称申报</w:t>
            </w:r>
          </w:p>
        </w:tc>
        <w:tc>
          <w:tcPr>
            <w:tcW w:type="dxa" w:w="30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3 至 5 个备选字号</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即时至 1 个工作日</w:t>
            </w:r>
          </w:p>
        </w:tc>
        <w:tc>
          <w:tcPr>
            <w:tcW w:type="dxa" w:w="238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避开驰名商标与行政区划简称</w:t>
            </w:r>
          </w:p>
        </w:tc>
      </w:tr>
      <w:tr>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2 提交设立登记</w:t>
            </w:r>
          </w:p>
        </w:tc>
        <w:tc>
          <w:tcPr>
            <w:tcW w:type="dxa" w:w="30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股东与法定代表人身份证、公司章程、住所证明、经营范围</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1 个工作日内</w:t>
            </w:r>
          </w:p>
        </w:tc>
        <w:tc>
          <w:tcPr>
            <w:tcW w:type="dxa" w:w="238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全流程电子化需股东电子签名</w:t>
            </w:r>
          </w:p>
        </w:tc>
      </w:tr>
      <w:tr>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3 领取营业执照</w:t>
            </w:r>
          </w:p>
        </w:tc>
        <w:tc>
          <w:tcPr>
            <w:tcW w:type="dxa" w:w="30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电子执照即时下载</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当日</w:t>
            </w:r>
          </w:p>
        </w:tc>
        <w:tc>
          <w:tcPr>
            <w:tcW w:type="dxa" w:w="238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电子执照与纸质执照同等效力</w:t>
            </w:r>
          </w:p>
        </w:tc>
      </w:tr>
      <w:tr>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4 刻制印章</w:t>
            </w:r>
          </w:p>
        </w:tc>
        <w:tc>
          <w:tcPr>
            <w:tcW w:type="dxa" w:w="30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执照、法定代表人身份证</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半日至 1 日</w:t>
            </w:r>
          </w:p>
        </w:tc>
        <w:tc>
          <w:tcPr>
            <w:tcW w:type="dxa" w:w="238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公安备案刻章点办理</w:t>
            </w:r>
          </w:p>
        </w:tc>
      </w:tr>
      <w:tr>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5 银行开立基本户</w:t>
            </w:r>
          </w:p>
        </w:tc>
        <w:tc>
          <w:tcPr>
            <w:tcW w:type="dxa" w:w="30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执照正本、法定代表人身份证、三章、经办人身份证及授权书</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预约后 1 至 3 个工作日</w:t>
            </w:r>
          </w:p>
        </w:tc>
        <w:tc>
          <w:tcPr>
            <w:tcW w:type="dxa" w:w="238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见第五章比选</w:t>
            </w:r>
          </w:p>
        </w:tc>
      </w:tr>
      <w:tr>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6 税务登记与票种核定</w:t>
            </w:r>
          </w:p>
        </w:tc>
        <w:tc>
          <w:tcPr>
            <w:tcW w:type="dxa" w:w="30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执照、法定代表人与财务人员信息</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1 至 2 个工作日</w:t>
            </w:r>
          </w:p>
        </w:tc>
        <w:tc>
          <w:tcPr>
            <w:tcW w:type="dxa" w:w="238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同步确定纳税人身份</w:t>
            </w:r>
          </w:p>
        </w:tc>
      </w:tr>
      <w:tr>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7 社保与公积金开户</w:t>
            </w:r>
          </w:p>
        </w:tc>
        <w:tc>
          <w:tcPr>
            <w:tcW w:type="dxa" w:w="30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执照、经办人信息、员工名单</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1 个工作日</w:t>
            </w:r>
          </w:p>
        </w:tc>
        <w:tc>
          <w:tcPr>
            <w:tcW w:type="dxa" w:w="238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无雇员时也建议先开户</w:t>
            </w:r>
          </w:p>
        </w:tc>
      </w:tr>
    </w:tbl>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（三）经营范围建议文本</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把软件开发写在第一项，是让公司归到软件和信息技术服务业而不是商务服务业的关键动作，直接影响后续能进哪些政策名单。</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一般项目：软件开发；人工智能应用软件开发；人工智能基础软件开发；数据处理和存储支持服务；信息技术咨询服务；互联网数据服务；企业形象策划；广告设计、代理；市场营销策划；技术服务、技术开发、技术咨询、技术交流、技术转让、技术推广。（除依法须经批准的项目外，凭营业执照依法自主开展经营活动）</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许可项目：广告发布；第二类增值电信业务。（依法须经批准的项目，经相关部门批准后方可开展经营活动，具体经营项目以审批结果为准）</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（四）注册资本与住所</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注册资本建议填 100 万元。一方面新公司法要求全体股东认缴出资额自公司成立之日起 5 年内缴足，填高了是给自己挖坑；另一方面若第二年办理第二类增值电信业务经营许可证，省内经营的注册资本最低限额正好是 100 万元，省去一次增资。住所建议使用孵化器或众创空间提供的注册地址，需取得运营方出具的场地证明。</w:t>
      </w:r>
    </w:p>
    <w:p>
      <w:pPr>
        <w:jc w:val="center"/>
        <w:spacing w:before="0" w:after="0" w:lineRule="auto" w:line="360"/>
        <w:ind w:firstLineChars="0" w:firstLine="0" w:leftChars="0" w:left="0"/>
        <w:snapToGrid w:val="0"/>
        <w:keepNext/>
      </w:pPr>
      <w:r>
        <w:rPr>
          <w:rFonts w:ascii="Times New Roman" w:hAnsi="Times New Roman" w:eastAsia="黑体" w:cs="Times New Roman" w:hint="eastAsia"/>
          <w:b w:val="0"/>
          <w:sz w:val="30"/>
        </w:rPr>
        <w:t>四、选址推荐</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（一）选址的三层判断</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第一层是政策归属。注册地决定归口部门与可申报的政策池。做人工智能与数字内容，优先落在南湖区、秀洲区、桐乡市这三个省级数字经济创新发展试验区。第二层是成本。第三层是人流与场景匹配，本项目主要面向企业客户，不依赖自然人流，因此人流权重最低、政策与成本权重最高。</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（二）候选方案对比</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下表给出三个候选方案。租金为公开挂牌参考区间，实际成交通常低于挂牌价，孵化载体的减免幅度远大于议价空间。</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tblHeader/>
        </w:trPr>
        <w:tc>
          <w:tcPr>
            <w:tcW w:type="dxa" w:w="1020"/>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方案</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区域与载体</w:t>
            </w:r>
          </w:p>
        </w:tc>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租金参考</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人流特点</w:t>
            </w:r>
          </w:p>
        </w:tc>
        <w:tc>
          <w:tcPr>
            <w:tcW w:type="dxa" w:w="1020"/>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适配度</w:t>
            </w:r>
          </w:p>
        </w:tc>
      </w:tr>
      <w:tr>
        <w:tc>
          <w:tcPr>
            <w:tcW w:type="dxa" w:w="1020"/>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方案一</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南湖区科技类孵化器或众创空间工位</w:t>
            </w:r>
          </w:p>
        </w:tc>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每工位每月 200 至 600 元，首年常见减免</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无自然人流，园区内企业互访频繁</w:t>
            </w:r>
          </w:p>
        </w:tc>
        <w:tc>
          <w:tcPr>
            <w:tcW w:type="dxa" w:w="1020"/>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高</w:t>
            </w:r>
          </w:p>
        </w:tc>
      </w:tr>
      <w:tr>
        <w:tc>
          <w:tcPr>
            <w:tcW w:type="dxa" w:w="1020"/>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方案二</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秀洲区数字经济园区独立小办公室</w:t>
            </w:r>
          </w:p>
        </w:tc>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每平方米每月 20 至 45 元，配套梯度租金减免</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园区通勤人流为主，早晚高峰集中</w:t>
            </w:r>
          </w:p>
        </w:tc>
        <w:tc>
          <w:tcPr>
            <w:tcW w:type="dxa" w:w="1020"/>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高</w:t>
            </w:r>
          </w:p>
        </w:tc>
      </w:tr>
      <w:tr>
        <w:tc>
          <w:tcPr>
            <w:tcW w:type="dxa" w:w="1020"/>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方案三</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市区中端商务楼</w:t>
            </w:r>
          </w:p>
        </w:tc>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每平方米每月 50 至 100 元</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写字楼白领人流，工作日午晚高峰明显</w:t>
            </w:r>
          </w:p>
        </w:tc>
        <w:tc>
          <w:tcPr>
            <w:tcW w:type="dxa" w:w="1020"/>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中</w:t>
            </w:r>
          </w:p>
        </w:tc>
      </w:tr>
      <w:tr>
        <w:tc>
          <w:tcPr>
            <w:tcW w:type="dxa" w:w="1020"/>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方案四</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核心商务区高端写字楼</w:t>
            </w:r>
          </w:p>
        </w:tc>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每平方米每月 100 元以上</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商务人流密集，客户接待体面</w:t>
            </w:r>
          </w:p>
        </w:tc>
        <w:tc>
          <w:tcPr>
            <w:tcW w:type="dxa" w:w="1020"/>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低</w:t>
            </w:r>
          </w:p>
        </w:tc>
      </w:tr>
      <w:tr>
        <w:tc>
          <w:tcPr>
            <w:tcW w:type="dxa" w:w="1020"/>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方案五</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沿街商铺</w:t>
            </w:r>
          </w:p>
        </w:tc>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按日计租常见每平方米每天 3 至 4 元及以上</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步行人流为主，周末与傍晚为峰值</w:t>
            </w:r>
          </w:p>
        </w:tc>
        <w:tc>
          <w:tcPr>
            <w:tcW w:type="dxa" w:w="1020"/>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不适配</w:t>
            </w:r>
          </w:p>
        </w:tc>
      </w:tr>
    </w:tbl>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（三）推荐结论</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推荐方案一，第一年落在南湖区的科技类孵化器或众创空间。理由有四条。</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第一，成本最低。三人团队按工位计租，一年租金约 7200 元至 21600 元，比租一间 60 平方米的商务楼办公室（按每平方米每月 60 元计约 43200 元）低一半以上，且很多载体对大学生创业团队首年减免。</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第二，政策通道最短。嘉兴拥有省级以上科技企业孵化器 22 家、众创空间 37 家，南湖高新区启迪之星（嘉兴）、南湖创客家等为国家备案众创空间。孵化载体一般提供注册地址托管、政策辅导与代申报、路演与银企对接资源，这些服务如果自己找，成本远高于租金差额。</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第三，产业匹配。南湖区重点打造通讯智能终端制造产业集群、培育物联网产业链，同时是省级数字经济创新发展试验区，人工智能类项目在这里更容易被产业政策覆盖。</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第四，租金补贴能叠加。租用经营场地创业并正常经营满 1 年的，按年租金 50% 给予创业场地租金补贴，每年不超过 1 万元，补贴期限不超过 3 年。按方案一年租金 2 万元计，补贴后自付约 1 万元。</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什么时候搬走：当全职人数超过 8 人、需要独立接待客户、或者需要放置服务器与测试设备时，再迁往方案二的园区独立办公室。不要一开始就租体面的办公室，那笔钱应该花在产品上。</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（四）如果做的是线下门店型业务</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本项目不涉及门店，但同一套方法可用于门店选址，这里一并给出，供团队后续拓展线下体验点参考。</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rPr>
          <w:tblHeader/>
        </w:trP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业态</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人流要求</w:t>
            </w:r>
          </w:p>
        </w:tc>
        <w:tc>
          <w:tcPr>
            <w:tcW w:type="dxa" w:w="430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推荐区位逻辑</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面向学生的餐饮文创培训</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稳定步行人流</w:t>
            </w:r>
          </w:p>
        </w:tc>
        <w:tc>
          <w:tcPr>
            <w:tcW w:type="dxa" w:w="430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高校集聚区周边、住宅与学校之间的必经动线</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面向白领的消费</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工作日午晚高峰</w:t>
            </w:r>
          </w:p>
        </w:tc>
        <w:tc>
          <w:tcPr>
            <w:tcW w:type="dxa" w:w="430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写字楼集群底商、商务区连廊</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面向家庭的消费</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周末与傍晚人流</w:t>
            </w:r>
          </w:p>
        </w:tc>
        <w:tc>
          <w:tcPr>
            <w:tcW w:type="dxa" w:w="430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成熟社区商业、大型商业综合体次入口</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面向游客的文旅业态</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节假日峰值人流</w:t>
            </w:r>
          </w:p>
        </w:tc>
        <w:tc>
          <w:tcPr>
            <w:tcW w:type="dxa" w:w="430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南湖景区、月河历史街区、乌镇、西塘等旅游动线</w:t>
            </w:r>
          </w:p>
        </w:tc>
      </w:tr>
    </w:tbl>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定点之前必须做的一件事：连续 3 天（含 1 个周末）在早中晚三个时段各数 30 分钟人流，记录经过人数、进店率、停留时长。这个笨办法比任何二手数据都可靠。租金承受上限的经验公式是月租金不超过预计月营业额的 15%（餐饮零售）或月毛利的 20%（服务业）。</w:t>
      </w:r>
    </w:p>
    <w:p>
      <w:pPr>
        <w:jc w:val="center"/>
        <w:spacing w:before="0" w:after="0" w:lineRule="auto" w:line="360"/>
        <w:ind w:firstLineChars="0" w:firstLine="0" w:leftChars="0" w:left="0"/>
        <w:snapToGrid w:val="0"/>
        <w:keepNext/>
      </w:pPr>
      <w:r>
        <w:rPr>
          <w:rFonts w:ascii="Times New Roman" w:hAnsi="Times New Roman" w:eastAsia="黑体" w:cs="Times New Roman" w:hint="eastAsia"/>
          <w:b w:val="0"/>
          <w:sz w:val="30"/>
        </w:rPr>
        <w:t>五、开户行比选</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（一）开户成本由四部分组成</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一是开户手续费，二是账户管理费与年费，三是结算类费用即转账手续费与电子银行费用，四是硬件与服务费即数字证书、网银服务费、短信提醒。市场普遍情况是基本账户开户费用区间约 200 元至 2000 元，网银开户约 10 元至 50 元，数字证书约 50 元至 150 元，各项合计年支出常见在 1000 元至 2000 元左右，不同银行、同一银行不同网点差异明显。</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但这些显性费用其实不是选择的关键。自 2021 年支付降费措施实施以来，多家银行持续延续对小微企业和个体工商户的手续费减免，包括账户管理费、年费、人民币转账汇款手续费和电子银行服务费；建设银行嘉兴地区对小微企业开户手续费、账户管理费与年费、人民币转账手续费、电子银行服务实行延续三年的减免；嘉兴银行公告对小微企业开户实行免开户费、免年费、免账户管理费。费用差距已经被政策抹平，真正的差别在于能不能顺带把融资和政策通道打开。</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（二）比选打分表</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禾创星按五个维度给开户行打分，权重按初创企业的实际需要设定。</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rPr>
          <w:tblHeader/>
        </w:trP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维度</w:t>
            </w:r>
          </w:p>
        </w:tc>
        <w:tc>
          <w:tcPr>
            <w:tcW w:type="dxa" w:w="113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权重</w:t>
            </w:r>
          </w:p>
        </w:tc>
        <w:tc>
          <w:tcPr>
            <w:tcW w:type="dxa" w:w="5102"/>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看什么</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基础费用减免</w:t>
            </w:r>
          </w:p>
        </w:tc>
        <w:tc>
          <w:tcPr>
            <w:tcW w:type="dxa" w:w="113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20%</w:t>
            </w:r>
          </w:p>
        </w:tc>
        <w:tc>
          <w:tcPr>
            <w:tcW w:type="dxa" w:w="5102"/>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开户费、年费、账户管理费、转账手续费</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开户效率</w:t>
            </w:r>
          </w:p>
        </w:tc>
        <w:tc>
          <w:tcPr>
            <w:tcW w:type="dxa" w:w="113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15%</w:t>
            </w:r>
          </w:p>
        </w:tc>
        <w:tc>
          <w:tcPr>
            <w:tcW w:type="dxa" w:w="5102"/>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能否线上预约、上门核实、当日开立</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小微信贷可得性</w:t>
            </w:r>
          </w:p>
        </w:tc>
        <w:tc>
          <w:tcPr>
            <w:tcW w:type="dxa" w:w="113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30%</w:t>
            </w:r>
          </w:p>
        </w:tc>
        <w:tc>
          <w:tcPr>
            <w:tcW w:type="dxa" w:w="5102"/>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有无信用类产品、额度、是否接受轻资产企业</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政策通道</w:t>
            </w:r>
          </w:p>
        </w:tc>
        <w:tc>
          <w:tcPr>
            <w:tcW w:type="dxa" w:w="113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20%</w:t>
            </w:r>
          </w:p>
        </w:tc>
        <w:tc>
          <w:tcPr>
            <w:tcW w:type="dxa" w:w="5102"/>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是否为创业担保贷款经办行、是否对接政府性融资担保与贴息</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配套服务</w:t>
            </w:r>
          </w:p>
        </w:tc>
        <w:tc>
          <w:tcPr>
            <w:tcW w:type="dxa" w:w="113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15%</w:t>
            </w:r>
          </w:p>
        </w:tc>
        <w:tc>
          <w:tcPr>
            <w:tcW w:type="dxa" w:w="5102"/>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代发工资、开票联动、财务系统对接、园区驻点</w:t>
            </w:r>
          </w:p>
        </w:tc>
      </w:tr>
    </w:tbl>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（三）四类银行比选结果</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tblHeader/>
        </w:trPr>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银行类型</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代表机构</w:t>
            </w:r>
          </w:p>
        </w:tc>
        <w:tc>
          <w:tcPr>
            <w:tcW w:type="dxa" w:w="317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相对优势</w:t>
            </w:r>
          </w:p>
        </w:tc>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适合谁</w:t>
            </w:r>
          </w:p>
        </w:tc>
      </w:tr>
      <w:tr>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地方法人银行</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嘉兴银行</w:t>
            </w:r>
          </w:p>
        </w:tc>
        <w:tc>
          <w:tcPr>
            <w:tcW w:type="dxa" w:w="317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明确对小微免开户费、年费、账户管理费；本地审批链条短；网点密度高</w:t>
            </w:r>
          </w:p>
        </w:tc>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首次创业、流水小、需要客户经理常跑动的初创企业</w:t>
            </w:r>
          </w:p>
        </w:tc>
      </w:tr>
      <w:tr>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农村商业银行</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嘉兴各县市区农商银行</w:t>
            </w:r>
          </w:p>
        </w:tc>
        <w:tc>
          <w:tcPr>
            <w:tcW w:type="dxa" w:w="317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乡镇网点覆盖强，普惠小微贷款投放量大</w:t>
            </w:r>
          </w:p>
        </w:tc>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门店型、乡镇型、农业与文旅类项目</w:t>
            </w:r>
          </w:p>
        </w:tc>
      </w:tr>
      <w:tr>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国有大行</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建行、工行、农行、中行嘉兴分行</w:t>
            </w:r>
          </w:p>
        </w:tc>
        <w:tc>
          <w:tcPr>
            <w:tcW w:type="dxa" w:w="317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减免政策稳定，与电子税务局、社保、公积金对接顺畅，跨省结算方便</w:t>
            </w:r>
          </w:p>
        </w:tc>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有异地客户、开专票和对公结算量大的企业</w:t>
            </w:r>
          </w:p>
        </w:tc>
      </w:tr>
      <w:tr>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股份制银行</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招商、浦发、兴业等嘉兴分行</w:t>
            </w:r>
          </w:p>
        </w:tc>
        <w:tc>
          <w:tcPr>
            <w:tcW w:type="dxa" w:w="317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线上化程度高，信用类产品响应快</w:t>
            </w:r>
          </w:p>
        </w:tc>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现金流线上化、有电商或平台收款的企业</w:t>
            </w:r>
          </w:p>
        </w:tc>
      </w:tr>
    </w:tbl>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（四）推荐结论</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推荐基本户开在嘉兴银行，同时在建设银行或工商银行嘉兴分行开立一个一般结算户。这是一个双账户结构，理由如下。</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基本户选嘉兴银行的原因：一是费用明确免除，开户费、年费、账户管理费三项全免；二是本地法人银行审批链条短，初创企业的客户经理响应快；三是本地银行对本地政策的熟悉度高，创业担保贷款和政府性融资担保的对接更顺。</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一般户选国有大行的原因：客户付款习惯、跨省结算便利性、以及未来对接科创金融产品时更大的额度空间。</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（五）与政策挂钩的开户行怎么选</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这是本章最关键的一段。开户之前必须向拟选银行确认两件事：第一，是不是创业担保贷款的经办行。创业担保贷款需通过经办银行受理，不是经办行就用不上全额贴息政策，而在校大学生与毕业 5 年以内高校毕业生申请的个人创业担保贷款按规定给予全额贴息、贴息期限不超过 3 年，个人最高额度 50 万元，这笔钱的成本几乎为零，不能因为开错户而错过。第二，是不是政府性融资担保机构的合作行。嘉兴推出科技创新保等产品，担保费率最低至 0.5%。</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还有一层背景值得利用。嘉兴 2022 年 11 月获批国家级科创金融改革试验区，当地推出科 e 贷、科 e 贴等专项工具，惠及企业 1100 余家，节约融资成本近 3000 万元；建立科创企业贷款风险补偿池，给予企业最高 1% 的风险补偿，贷款贴息最高达 40%。截至 2024 年底，全市科创企业贷款余额 3114.7 亿元，同比增长 15.66%。这意味着，等公司拿到软件著作权、入库浙江省科技型中小企业之后，再去谈贷款，可以直接进入科创金融产品序列，利率和额度都明显优于普通小微贷款。开户行的选择要为这一步预留接口。</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（六）开户材料清单</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营业执照正本原件、法定代表人身份证原件、公章财务章法人章、公司章程、财务人员身份证及复印件；若由经办人代办，另需经办人身份证和法定代表人签字的授权书。建议提前电话预约并确认当日是否需要法定代表人到场。</w:t>
      </w:r>
    </w:p>
    <w:p>
      <w:pPr>
        <w:jc w:val="center"/>
        <w:spacing w:before="0" w:after="0" w:lineRule="auto" w:line="360"/>
        <w:ind w:firstLineChars="0" w:firstLine="0" w:leftChars="0" w:left="0"/>
        <w:snapToGrid w:val="0"/>
        <w:keepNext/>
      </w:pPr>
      <w:r>
        <w:rPr>
          <w:rFonts w:ascii="Times New Roman" w:hAnsi="Times New Roman" w:eastAsia="黑体" w:cs="Times New Roman" w:hint="eastAsia"/>
          <w:b w:val="0"/>
          <w:sz w:val="30"/>
        </w:rPr>
        <w:t>六、税务与社保</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（一）纳税人身份怎么选</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tblHeader/>
        </w:trPr>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身份</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适用情形</w:t>
            </w:r>
          </w:p>
        </w:tc>
        <w:tc>
          <w:tcPr>
            <w:tcW w:type="dxa" w:w="260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优点</w:t>
            </w:r>
          </w:p>
        </w:tc>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缺点</w:t>
            </w:r>
          </w:p>
        </w:tc>
      </w:tr>
      <w:tr>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小规模纳税人</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年销售额 500 万元以下、进项票少</w:t>
            </w:r>
          </w:p>
        </w:tc>
        <w:tc>
          <w:tcPr>
            <w:tcW w:type="dxa" w:w="260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月销售额 10 万元以下免征增值税；3% 征收率减按 1%</w:t>
            </w:r>
          </w:p>
        </w:tc>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不能享受软件产品即征即退；客户要 6% 专票时受限</w:t>
            </w:r>
          </w:p>
        </w:tc>
      </w:tr>
      <w:tr>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一般纳税人</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有大额进项、客户要专票、要做软件即征即退</w:t>
            </w:r>
          </w:p>
        </w:tc>
        <w:tc>
          <w:tcPr>
            <w:tcW w:type="dxa" w:w="260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可抵扣进项；可享软件产品增值税即征即退</w:t>
            </w:r>
          </w:p>
        </w:tc>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核算要求高，需专业记账</w:t>
            </w:r>
          </w:p>
        </w:tc>
      </w:tr>
    </w:tbl>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本项目建议第一年先做小规模纳税人，把免征增值税的额度用足；等软件著作权和软件产品登记办好、软件收入开始规模化时，再登记为一般纳税人启动即征即退。这个顺序不能反，因为即征即退的前提是一般纳税人身份。</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（二）可享税收优惠清单</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rPr>
          <w:tblHeader/>
        </w:trP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优惠项目</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内容</w:t>
            </w:r>
          </w:p>
        </w:tc>
        <w:tc>
          <w:tcPr>
            <w:tcW w:type="dxa" w:w="36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适用条件</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小规模纳税人免征增值税</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月销售额 10 万元以下、季度 30 万元以下免征，执行至 2027 年 12 月 31 日</w:t>
            </w:r>
          </w:p>
        </w:tc>
        <w:tc>
          <w:tcPr>
            <w:tcW w:type="dxa" w:w="36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增值税小规模纳税人</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3% 减按 1%</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适用 3% 征收率的应税销售收入减按 1% 征收</w:t>
            </w:r>
          </w:p>
        </w:tc>
        <w:tc>
          <w:tcPr>
            <w:tcW w:type="dxa" w:w="36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小规模纳税人，不含不动产销售出租与土地使用权转让</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小型微利企业所得税</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年应纳税所得额 300 万元以内部分实际税负 5%，执行至 2027 年 12 月 31 日</w:t>
            </w:r>
          </w:p>
        </w:tc>
        <w:tc>
          <w:tcPr>
            <w:tcW w:type="dxa" w:w="36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非限制禁止行业、应纳税所得额不超 300 万元、从业人数不超 300 人、资产总额不超 5000 万元</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六税两费减半</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城建税、房产税、印花税、教育费附加等在 50% 幅度内减征</w:t>
            </w:r>
          </w:p>
        </w:tc>
        <w:tc>
          <w:tcPr>
            <w:tcW w:type="dxa" w:w="36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小规模纳税人、小型微利企业或个体工商户</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研发费用加计扣除</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加计扣除比例 100%，形成无形资产按 200% 摊销</w:t>
            </w:r>
          </w:p>
        </w:tc>
        <w:tc>
          <w:tcPr>
            <w:tcW w:type="dxa" w:w="36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符合条件行业，须有研发项目台账与辅助账</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软件产品增值税即征即退</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按 13% 征收后，实际税负超过 3% 的部分退还</w:t>
            </w:r>
          </w:p>
        </w:tc>
        <w:tc>
          <w:tcPr>
            <w:tcW w:type="dxa" w:w="36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一般纳税人，自行开发销售，取得软著并办理软件产品登记，收入单独核算</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技术合同免征增值税</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技术转让、技术开发及相关技术咨询技术服务收入免征增值税</w:t>
            </w:r>
          </w:p>
        </w:tc>
        <w:tc>
          <w:tcPr>
            <w:tcW w:type="dxa" w:w="36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签订技术合同并到科技主管部门办理技术合同认定登记</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高新技术企业</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企业所得税减按 15%，有效期三年</w:t>
            </w:r>
          </w:p>
        </w:tc>
        <w:tc>
          <w:tcPr>
            <w:tcW w:type="dxa" w:w="36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成立满一年、有核心自主知识产权、研发费用与高新收入占比达标</w:t>
            </w:r>
          </w:p>
        </w:tc>
      </w:tr>
    </w:tbl>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有一点必须说清楚，避免走弯路。高新技术企业的所得税率是 15%，而小型微利企业年应纳税所得额 300 万元以内部分的实际税负只有 5%，两者不叠加、就低适用。所以在利润没超过 300 万元之前，高企身份不会让你少交所得税。冲高企的真正理由是进入科创金融白名单、政府项目与园区落地加分，以及利润突破 300 万元之后才开始发挥作用的税率优势。</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（三）社保与用工成本测算</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2025 年度嘉兴社保缴费基数上限 25299 元、下限 4986 元；养老保险单位缴费比例 16%、个人 8%，其余险种比例以当年度人社与医保部门公布口径为准。下表按 5 人团队、按下限申报测算年度社保成本，仅供预算参考。</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tblHeader/>
        </w:trPr>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项目</w:t>
            </w:r>
          </w:p>
        </w:tc>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月度金额</w:t>
            </w:r>
          </w:p>
        </w:tc>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年度金额</w:t>
            </w:r>
          </w:p>
        </w:tc>
        <w:tc>
          <w:tcPr>
            <w:tcW w:type="dxa" w:w="294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说明</w:t>
            </w:r>
          </w:p>
        </w:tc>
      </w:tr>
      <w:tr>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缴费基数（按下限）</w:t>
            </w:r>
          </w:p>
        </w:tc>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4986 元每人</w:t>
            </w:r>
          </w:p>
        </w:tc>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w:t>
            </w:r>
          </w:p>
        </w:tc>
        <w:tc>
          <w:tcPr>
            <w:tcW w:type="dxa" w:w="294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2025 年度嘉兴下限</w:t>
            </w:r>
          </w:p>
        </w:tc>
      </w:tr>
      <w:tr>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养老保险单位部分</w:t>
            </w:r>
          </w:p>
        </w:tc>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797.76 元每人</w:t>
            </w:r>
          </w:p>
        </w:tc>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9573 元每人</w:t>
            </w:r>
          </w:p>
        </w:tc>
        <w:tc>
          <w:tcPr>
            <w:tcW w:type="dxa" w:w="294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基数乘以 16%</w:t>
            </w:r>
          </w:p>
        </w:tc>
      </w:tr>
      <w:tr>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其余险种单位部分（估算）</w:t>
            </w:r>
          </w:p>
        </w:tc>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约 550 元每人</w:t>
            </w:r>
          </w:p>
        </w:tc>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约 6600 元每人</w:t>
            </w:r>
          </w:p>
        </w:tc>
        <w:tc>
          <w:tcPr>
            <w:tcW w:type="dxa" w:w="294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医疗、失业、工伤等，以公布口径为准</w:t>
            </w:r>
          </w:p>
        </w:tc>
      </w:tr>
      <w:tr>
        <w:tc>
          <w:tcPr>
            <w:tcW w:type="dxa" w:w="249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5 人合计单位成本</w:t>
            </w:r>
          </w:p>
        </w:tc>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约 6739 元</w:t>
            </w:r>
          </w:p>
        </w:tc>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约 80866 元</w:t>
            </w:r>
          </w:p>
        </w:tc>
        <w:tc>
          <w:tcPr>
            <w:tcW w:type="dxa" w:w="294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仅社保单位缴纳部分</w:t>
            </w:r>
          </w:p>
        </w:tc>
      </w:tr>
    </w:tbl>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两个提醒。第一，按下限申报是普遍做法，但如果实际工资高于申报基数，属于未足额缴纳，员工离职时可能引发补缴与赔偿争议。第二，不缴社保会直接丧失补贴资格：一次性创业社保补贴要求正常经营并依法缴纳社会保险费满 1 年，在校大学生与毕业 5 年内高校毕业生的补贴标准是 1 万元；创业带动就业补贴也以依法签订劳动合同并缴纳社保为前提。省下的社保钱大概率少于丢掉的补贴钱。</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（四）记账与票据管理</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第一个月就要把开票、收款、成本发票三条线建起来，不要等到年底汇算。公私账户必须分开，用法定代表人个人账户收公司款项既影响贷款审批，也可能被认定为抽逃出资。代理记账在嘉兴的市场价，小规模纳税人常见每年 2000 元至 4000 元，一般纳税人更高，相比补税与罚款这笔钱不该省。若后续要做研发费用加计扣除，从第一个月起就要求代理记账机构按研发项目设置辅助账。</w:t>
      </w:r>
    </w:p>
    <w:p>
      <w:pPr>
        <w:jc w:val="center"/>
        <w:spacing w:before="0" w:after="0" w:lineRule="auto" w:line="360"/>
        <w:ind w:firstLineChars="0" w:firstLine="0" w:leftChars="0" w:left="0"/>
        <w:snapToGrid w:val="0"/>
        <w:keepNext/>
      </w:pPr>
      <w:r>
        <w:rPr>
          <w:rFonts w:ascii="Times New Roman" w:hAnsi="Times New Roman" w:eastAsia="黑体" w:cs="Times New Roman" w:hint="eastAsia"/>
          <w:b w:val="0"/>
          <w:sz w:val="30"/>
        </w:rPr>
        <w:t>七、政策匹配与申报日历</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（一）可申报政策清单</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tblHeader/>
        </w:trP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政策名称</w:t>
            </w:r>
          </w:p>
        </w:tc>
        <w:tc>
          <w:tcPr>
            <w:tcW w:type="dxa" w:w="260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金额或力度</w:t>
            </w:r>
          </w:p>
        </w:tc>
        <w:tc>
          <w:tcPr>
            <w:tcW w:type="dxa" w:w="294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关键条件</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主管部门</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一次性创业补贴</w:t>
            </w:r>
          </w:p>
        </w:tc>
        <w:tc>
          <w:tcPr>
            <w:tcW w:type="dxa" w:w="260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不低于 5000 元</w:t>
            </w:r>
          </w:p>
        </w:tc>
        <w:tc>
          <w:tcPr>
            <w:tcW w:type="dxa" w:w="294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初次创业，正常经营满 6 个月</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人力社保</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一次性创业社保补贴</w:t>
            </w:r>
          </w:p>
        </w:tc>
        <w:tc>
          <w:tcPr>
            <w:tcW w:type="dxa" w:w="260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5000 元；在校大学生与毕业 5 年内高校毕业生 1 万元</w:t>
            </w:r>
          </w:p>
        </w:tc>
        <w:tc>
          <w:tcPr>
            <w:tcW w:type="dxa" w:w="294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正常经营并依法缴纳社保满 1 年</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人力社保</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创业场地租金补贴</w:t>
            </w:r>
          </w:p>
        </w:tc>
        <w:tc>
          <w:tcPr>
            <w:tcW w:type="dxa" w:w="260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年租金 50%，每年不超过 1 万元，最多 3 年</w:t>
            </w:r>
          </w:p>
        </w:tc>
        <w:tc>
          <w:tcPr>
            <w:tcW w:type="dxa" w:w="294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租用经营场地并正常经营满 1 年</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人力社保</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创业带动就业补贴</w:t>
            </w:r>
          </w:p>
        </w:tc>
        <w:tc>
          <w:tcPr>
            <w:tcW w:type="dxa" w:w="260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带动 3 人每年 2000 元，每多 1 人加 1000 元，每年不超过 2 万元，最多 3 年</w:t>
            </w:r>
          </w:p>
        </w:tc>
        <w:tc>
          <w:tcPr>
            <w:tcW w:type="dxa" w:w="294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依法签订劳动合同并缴纳社保</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人力社保</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创业担保贷款贴息</w:t>
            </w:r>
          </w:p>
        </w:tc>
        <w:tc>
          <w:tcPr>
            <w:tcW w:type="dxa" w:w="260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个人最高 50 万元，在校大学生与毕业 5 年内高校毕业生全额贴息，不超过 3 年</w:t>
            </w:r>
          </w:p>
        </w:tc>
        <w:tc>
          <w:tcPr>
            <w:tcW w:type="dxa" w:w="294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经办银行受理并提供担保</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人力社保、财政、经办银行</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大学生生活补贴</w:t>
            </w:r>
          </w:p>
        </w:tc>
        <w:tc>
          <w:tcPr>
            <w:tcW w:type="dxa" w:w="260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博士 6 万元、硕士 3 万元、双一流及 QS 前 300 本科 2 万元、其他本科 1 万元</w:t>
            </w:r>
          </w:p>
        </w:tc>
        <w:tc>
          <w:tcPr>
            <w:tcW w:type="dxa" w:w="294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2020 年后初次来嘉兴工作或自主创业，应届指毕业 12 个月内</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人才办、人力社保</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人才公寓租金减免</w:t>
            </w:r>
          </w:p>
        </w:tc>
        <w:tc>
          <w:tcPr>
            <w:tcW w:type="dxa" w:w="260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第一年减免 50%，第二年减免 30%</w:t>
            </w:r>
          </w:p>
        </w:tc>
        <w:tc>
          <w:tcPr>
            <w:tcW w:type="dxa" w:w="294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毕业 5 年以内自主创业高校毕业生</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人才办、住建</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浙江省科技型中小企业</w:t>
            </w:r>
          </w:p>
        </w:tc>
        <w:tc>
          <w:tcPr>
            <w:tcW w:type="dxa" w:w="260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资格类，打开贷款与后续认定通道</w:t>
            </w:r>
          </w:p>
        </w:tc>
        <w:tc>
          <w:tcPr>
            <w:tcW w:type="dxa" w:w="294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有知识产权、有研发投入、科技人员占比不低于 10%</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经信、科技</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科技创新券</w:t>
            </w:r>
          </w:p>
        </w:tc>
        <w:tc>
          <w:tcPr>
            <w:tcW w:type="dxa" w:w="260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每年最高 20 万元额度</w:t>
            </w:r>
          </w:p>
        </w:tc>
        <w:tc>
          <w:tcPr>
            <w:tcW w:type="dxa" w:w="294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向高校、科研机构、科技中介购买试验开发检验检测等服务</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科技局</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人工智能应用场景奖励</w:t>
            </w:r>
          </w:p>
        </w:tc>
        <w:tc>
          <w:tcPr>
            <w:tcW w:type="dxa" w:w="260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国家级 50 万元、省级 20 万元</w:t>
            </w:r>
          </w:p>
        </w:tc>
        <w:tc>
          <w:tcPr>
            <w:tcW w:type="dxa" w:w="294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入选国家或省级人工智能应用场景</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经信</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算力补贴</w:t>
            </w:r>
          </w:p>
        </w:tc>
        <w:tc>
          <w:tcPr>
            <w:tcW w:type="dxa" w:w="260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单家企业年度最高 200 万元</w:t>
            </w:r>
          </w:p>
        </w:tc>
        <w:tc>
          <w:tcPr>
            <w:tcW w:type="dxa" w:w="294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使用智算超算算力且符合条件</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经信、数据</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首版次软件产品</w:t>
            </w:r>
          </w:p>
        </w:tc>
        <w:tc>
          <w:tcPr>
            <w:tcW w:type="dxa" w:w="260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分档奖励</w:t>
            </w:r>
          </w:p>
        </w:tc>
        <w:tc>
          <w:tcPr>
            <w:tcW w:type="dxa" w:w="294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软著取得时间与测试报告出具时间符合当年度申报要求</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经信</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科创企业贷款贴息与风险补偿</w:t>
            </w:r>
          </w:p>
        </w:tc>
        <w:tc>
          <w:tcPr>
            <w:tcW w:type="dxa" w:w="260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贴息最高 40%，风险补偿最高 1%</w:t>
            </w:r>
          </w:p>
        </w:tc>
        <w:tc>
          <w:tcPr>
            <w:tcW w:type="dxa" w:w="294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属于科创企业范畴，通过合作银行融资</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财政、金融</w:t>
            </w:r>
          </w:p>
        </w:tc>
      </w:tr>
    </w:tbl>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（二）12 个月申报日历</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绝大多数补贴限时受理，错过窗口当年作废。下表以公司成立当月为第 1 个月排布，实际受理时间以属地公告为准，建议每月初集中核对一次人社、经信、科技三个部门的通知栏目。</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rPr>
          <w:tblHeader/>
        </w:trPr>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时间</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要办的事</w:t>
            </w:r>
          </w:p>
        </w:tc>
        <w:tc>
          <w:tcPr>
            <w:tcW w:type="dxa" w:w="272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经办部门</w:t>
            </w:r>
          </w:p>
        </w:tc>
      </w:tr>
      <w:tr>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第 1 个月</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完成注册、开户、税务登记、社保开户；建立研发项目台账</w:t>
            </w:r>
          </w:p>
        </w:tc>
        <w:tc>
          <w:tcPr>
            <w:tcW w:type="dxa" w:w="272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市场监管、税务、人社</w:t>
            </w:r>
          </w:p>
        </w:tc>
      </w:tr>
      <w:tr>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第 3 个月</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提交软件著作权登记；完成 ICP 备案</w:t>
            </w:r>
          </w:p>
        </w:tc>
        <w:tc>
          <w:tcPr>
            <w:tcW w:type="dxa" w:w="272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版权登记机构、通信管理局</w:t>
            </w:r>
          </w:p>
        </w:tc>
      </w:tr>
      <w:tr>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第 6 个月</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申报一次性创业补贴（经营满 6 个月）</w:t>
            </w:r>
          </w:p>
        </w:tc>
        <w:tc>
          <w:tcPr>
            <w:tcW w:type="dxa" w:w="272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人力社保</w:t>
            </w:r>
          </w:p>
        </w:tc>
      </w:tr>
      <w:tr>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第 7 至 9 个月</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申报浙江省科技型中小企业；申领科技创新券</w:t>
            </w:r>
          </w:p>
        </w:tc>
        <w:tc>
          <w:tcPr>
            <w:tcW w:type="dxa" w:w="272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经信、科技局</w:t>
            </w:r>
          </w:p>
        </w:tc>
      </w:tr>
      <w:tr>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第 12 个月</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申报一次性创业社保补贴、创业场地租金补贴（均需满 1 年）</w:t>
            </w:r>
          </w:p>
        </w:tc>
        <w:tc>
          <w:tcPr>
            <w:tcW w:type="dxa" w:w="272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人力社保</w:t>
            </w:r>
          </w:p>
        </w:tc>
      </w:tr>
      <w:tr>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每年 1 至 6 月</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工商年报公示</w:t>
            </w:r>
          </w:p>
        </w:tc>
        <w:tc>
          <w:tcPr>
            <w:tcW w:type="dxa" w:w="272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市场监管</w:t>
            </w:r>
          </w:p>
        </w:tc>
      </w:tr>
      <w:tr>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每年 5 月 31 日前</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企业所得税年度汇算清缴，同步落实研发费用加计扣除</w:t>
            </w:r>
          </w:p>
        </w:tc>
        <w:tc>
          <w:tcPr>
            <w:tcW w:type="dxa" w:w="272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税务</w:t>
            </w:r>
          </w:p>
        </w:tc>
      </w:tr>
      <w:tr>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每年上半年</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科技型中小企业年度评价入库（当年有效，需每年重新申报）</w:t>
            </w:r>
          </w:p>
        </w:tc>
        <w:tc>
          <w:tcPr>
            <w:tcW w:type="dxa" w:w="272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经信、科技</w:t>
            </w:r>
          </w:p>
        </w:tc>
      </w:tr>
      <w:tr>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每年 4 至 8 月</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高新技术企业认定申报（分批次）</w:t>
            </w:r>
          </w:p>
        </w:tc>
        <w:tc>
          <w:tcPr>
            <w:tcW w:type="dxa" w:w="272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科技、财政、税务</w:t>
            </w:r>
          </w:p>
        </w:tc>
      </w:tr>
      <w:tr>
        <w:tc>
          <w:tcPr>
            <w:tcW w:type="dxa" w:w="181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全年滚动</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人工智能应用场景、首版次软件、算力补贴等按公告申报</w:t>
            </w:r>
          </w:p>
        </w:tc>
        <w:tc>
          <w:tcPr>
            <w:tcW w:type="dxa" w:w="272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经信</w:t>
            </w:r>
          </w:p>
        </w:tc>
      </w:tr>
    </w:tbl>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（三）申报材料的佐证链</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所有补贴申报的核心都是一条能相互印证的证据链：合同、发票、银行流水、完税凭证、社保缴纳记录。举例来说，申报创业场地租金补贴，需要租赁合同、租金发票、银行转账记录三者金额与时间一致；如果租金是用个人账户转的，或者只有收据没有发票，审核大概率通不过。建议从第一天起就建立一个申报材料文件夹，按政策分子目录，随时归档。</w:t>
      </w:r>
    </w:p>
    <w:p>
      <w:pPr>
        <w:jc w:val="center"/>
        <w:spacing w:before="0" w:after="0" w:lineRule="auto" w:line="360"/>
        <w:ind w:firstLineChars="0" w:firstLine="0" w:leftChars="0" w:left="0"/>
        <w:snapToGrid w:val="0"/>
        <w:keepNext/>
      </w:pPr>
      <w:r>
        <w:rPr>
          <w:rFonts w:ascii="Times New Roman" w:hAnsi="Times New Roman" w:eastAsia="黑体" w:cs="Times New Roman" w:hint="eastAsia"/>
          <w:b w:val="0"/>
          <w:sz w:val="30"/>
        </w:rPr>
        <w:t>八、融资对接</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（一）按成本从低到高取钱</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第一顺位是政府补贴与奖励，不稀释股权也不用还。第二顺位是贴息贷款，创业担保贷款个人最高 50 万元，在校大学生与毕业 5 年以内高校毕业生按规定全额贴息、期限不超过 3 年，其他人员按贷款合同签订日的贷款市场报价利率减 150 个基点以上部分给予贴息。第三顺位是政府性融资担保加银行信贷。第四顺位才是股权融资，而且要在有收入、有数据之后再谈。</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（二）创业担保贷款办理路径</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rPr>
          <w:tblHeader/>
        </w:trPr>
        <w:tc>
          <w:tcPr>
            <w:tcW w:type="dxa" w:w="90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步骤</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动作</w:t>
            </w:r>
          </w:p>
        </w:tc>
        <w:tc>
          <w:tcPr>
            <w:tcW w:type="dxa" w:w="566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要点</w:t>
            </w:r>
          </w:p>
        </w:tc>
      </w:tr>
      <w:tr>
        <w:tc>
          <w:tcPr>
            <w:tcW w:type="dxa" w:w="90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1</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确认资格</w:t>
            </w:r>
          </w:p>
        </w:tc>
        <w:tc>
          <w:tcPr>
            <w:tcW w:type="dxa" w:w="566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在校大学生、毕业 5 年以内高校毕业生等重点群体</w:t>
            </w:r>
          </w:p>
        </w:tc>
      </w:tr>
      <w:tr>
        <w:tc>
          <w:tcPr>
            <w:tcW w:type="dxa" w:w="90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2</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确认经办行</w:t>
            </w:r>
          </w:p>
        </w:tc>
        <w:tc>
          <w:tcPr>
            <w:tcW w:type="dxa" w:w="566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开户前先问清楚是不是创业担保贷款经办行</w:t>
            </w:r>
          </w:p>
        </w:tc>
      </w:tr>
      <w:tr>
        <w:tc>
          <w:tcPr>
            <w:tcW w:type="dxa" w:w="90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3</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准备材料</w:t>
            </w:r>
          </w:p>
        </w:tc>
        <w:tc>
          <w:tcPr>
            <w:tcW w:type="dxa" w:w="566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营业执照、经营场所证明、经营流水、身份与学历证明</w:t>
            </w:r>
          </w:p>
        </w:tc>
      </w:tr>
      <w:tr>
        <w:tc>
          <w:tcPr>
            <w:tcW w:type="dxa" w:w="90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4</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提交申请</w:t>
            </w:r>
          </w:p>
        </w:tc>
        <w:tc>
          <w:tcPr>
            <w:tcW w:type="dxa" w:w="566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向创业地人社部门或其委托的经办机构提交</w:t>
            </w:r>
          </w:p>
        </w:tc>
      </w:tr>
      <w:tr>
        <w:tc>
          <w:tcPr>
            <w:tcW w:type="dxa" w:w="90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5</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担保与放款</w:t>
            </w:r>
          </w:p>
        </w:tc>
        <w:tc>
          <w:tcPr>
            <w:tcW w:type="dxa" w:w="566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由合作担保机构提供担保，经办银行放款</w:t>
            </w:r>
          </w:p>
        </w:tc>
      </w:tr>
      <w:tr>
        <w:tc>
          <w:tcPr>
            <w:tcW w:type="dxa" w:w="90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6</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贴息申领</w:t>
            </w:r>
          </w:p>
        </w:tc>
        <w:tc>
          <w:tcPr>
            <w:tcW w:type="dxa" w:w="566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按规定申领财政贴息</w:t>
            </w:r>
          </w:p>
        </w:tc>
      </w:tr>
    </w:tbl>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嘉兴设立了规模 1000 万元的就业创业贷款担保基金，为符合条件的贷款提供担保支持。这一条决定了没有抵押物的学生创业者也有机会拿到贷款。</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（三）股权融资准备清单</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投资人真正会看的只有六件事：你解决的是谁的问题、他现在花多少钱多少时间解决；你的解法与现有方案的差别能不能一句话说清；已经跑出来的数据即付费客户数、月收入、留存率、毛利率；单位经济模型即一单赚多少多久回本；团队为什么是你们；这轮融多少钱、花在哪、能达成什么可验证的里程碑。</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不要写的东西：市场规模千亿所以我们占百分之一就是十亿；对标某家独角兽；三年后收入曲线拉成直线上扬。这三样东西会让专业投资人直接关掉文档。</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估值的粗算方法有两种：按融资额与出让比例倒推，例如融 200 万元出让 10%，投前估值 1800 万元；或按年收入倍数，订阅类软件常见 6 至 12 倍年度经常性收入，服务类 1 至 3 倍收入。出让比例建议控制在 10% 至 20%，一次让掉 30% 以上会严重影响后续融资。</w:t>
      </w:r>
    </w:p>
    <w:p>
      <w:pPr>
        <w:jc w:val="center"/>
        <w:spacing w:before="0" w:after="0" w:lineRule="auto" w:line="360"/>
        <w:ind w:firstLineChars="0" w:firstLine="0" w:leftChars="0" w:left="0"/>
        <w:snapToGrid w:val="0"/>
        <w:keepNext/>
      </w:pPr>
      <w:r>
        <w:rPr>
          <w:rFonts w:ascii="Times New Roman" w:hAnsi="Times New Roman" w:eastAsia="黑体" w:cs="Times New Roman" w:hint="eastAsia"/>
          <w:b w:val="0"/>
          <w:sz w:val="30"/>
        </w:rPr>
        <w:t>九、企业成长复盘</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（一）月度必看的五个数</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rPr>
          <w:tblHeader/>
        </w:trP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指标</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健康线</w:t>
            </w:r>
          </w:p>
        </w:tc>
        <w:tc>
          <w:tcPr>
            <w:tcW w:type="dxa" w:w="430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为什么看它</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可用现金覆盖月数</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不低于 6 个月</w:t>
            </w:r>
          </w:p>
        </w:tc>
        <w:tc>
          <w:tcPr>
            <w:tcW w:type="dxa" w:w="430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现金流断裂是初创企业最主要死因</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新增付费客户数与流失数</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净增为正</w:t>
            </w:r>
          </w:p>
        </w:tc>
        <w:tc>
          <w:tcPr>
            <w:tcW w:type="dxa" w:w="430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判断增长是不是真的</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应收账款超 90 天占比</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低于 15%</w:t>
            </w:r>
          </w:p>
        </w:tc>
        <w:tc>
          <w:tcPr>
            <w:tcW w:type="dxa" w:w="430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收不回来的收入不是收入</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毛利率</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不低于 40% 且环比不降</w:t>
            </w:r>
          </w:p>
        </w:tc>
        <w:tc>
          <w:tcPr>
            <w:tcW w:type="dxa" w:w="430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毛利率下滑说明定价或成本失控</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人均产出</w:t>
            </w:r>
          </w:p>
        </w:tc>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逐季提升</w:t>
            </w:r>
          </w:p>
        </w:tc>
        <w:tc>
          <w:tcPr>
            <w:tcW w:type="dxa" w:w="430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验证软件是不是真的替代了人工</w:t>
            </w:r>
          </w:p>
        </w:tc>
      </w:tr>
    </w:tbl>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（二）季度三问</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首创：这个季度我们做出了什么别人做不了的东西，是新的软著、新的数据资产还是新的独家渠道。奋斗：如果下季度收入归零，账上的钱能撑多久，扩张动作有没有超出现金流承受能力。奉献：老客户续费率是多少，他们为什么留下来。这三问每季度末做一次，写成一页纸留档，一年之后回头看会非常清楚。</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（三）年度合规日历</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rPr>
          <w:tblHeader/>
        </w:trPr>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时间</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事项</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主管部门</w:t>
            </w:r>
          </w:p>
        </w:tc>
      </w:tr>
      <w:tr>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1 月</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上年度个税汇缴准备、财务决算</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税务</w:t>
            </w:r>
          </w:p>
        </w:tc>
      </w:tr>
      <w:tr>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1 至 6 月</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工商年报公示</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市场监管</w:t>
            </w:r>
          </w:p>
        </w:tc>
      </w:tr>
      <w:tr>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5 月 31 日前</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企业所得税年度汇算清缴</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税务</w:t>
            </w:r>
          </w:p>
        </w:tc>
      </w:tr>
      <w:tr>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每年上半年</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科技型中小企业评价入库</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经信、科技</w:t>
            </w:r>
          </w:p>
        </w:tc>
      </w:tr>
      <w:tr>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每年 4 至 8 月</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高新技术企业认定申报</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科技、财政、税务</w:t>
            </w:r>
          </w:p>
        </w:tc>
      </w:tr>
      <w:tr>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全年</w:t>
            </w:r>
          </w:p>
        </w:tc>
        <w:tc>
          <w:tcPr>
            <w:tcW w:type="dxa" w:w="45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各类补贴限时申报窗口</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人社、经信、科技、发改</w:t>
            </w:r>
          </w:p>
        </w:tc>
      </w:tr>
    </w:tbl>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（四）资质升级路线</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路线是清晰的四级台阶：先拿 1 至 2 项软件著作权，再入库浙江省科技型中小企业，再冲高新技术企业，最后争取省级专精特新中小企业乃至国家级专精特新小巨人。每上一级台阶，对应的是贷款进入科创金融白名单、政府采购与园区落地获得加分、地方一次性奖励，以及利润规模上来之后 15% 所得税率的实际价值。建议第一年就把软著和研发台账做起来，这是全链条上性价比最高的一步。</w:t>
      </w:r>
    </w:p>
    <w:p>
      <w:pPr>
        <w:jc w:val="center"/>
        <w:spacing w:before="0" w:after="0" w:lineRule="auto" w:line="360"/>
        <w:ind w:firstLineChars="0" w:firstLine="0" w:leftChars="0" w:left="0"/>
        <w:snapToGrid w:val="0"/>
        <w:keepNext/>
      </w:pPr>
      <w:r>
        <w:rPr>
          <w:rFonts w:ascii="Times New Roman" w:hAnsi="Times New Roman" w:eastAsia="黑体" w:cs="Times New Roman" w:hint="eastAsia"/>
          <w:b w:val="0"/>
          <w:sz w:val="30"/>
        </w:rPr>
        <w:t>十、启动预算与现金流</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（一）18 个月启动资金测算</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按 3 人起步、第 7 个月增至 5 人测算，所有数字均为预算口径，实际以合同为准。</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tblHeader/>
        </w:trP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支出项</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月均</w:t>
            </w:r>
          </w:p>
        </w:tc>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18 个月合计</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假设说明</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人员薪酬</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3.2 万元</w:t>
            </w:r>
          </w:p>
        </w:tc>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62.4 万元</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前 6 个月 3 人，之后 5 人，创始人按基本生活费计</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社保单位部分</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0.5 万元</w:t>
            </w:r>
          </w:p>
        </w:tc>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9.0 万元</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按嘉兴 2025 年度下限基数估算</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场地租金</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0.15 万元</w:t>
            </w:r>
          </w:p>
        </w:tc>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2.7 万元</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孵化器工位，未计入租金补贴</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算力与云服务</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0.6 万元</w:t>
            </w:r>
          </w:p>
        </w:tc>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10.8 万元</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模型调用与服务器</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软件与工具</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0.15 万元</w:t>
            </w:r>
          </w:p>
        </w:tc>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2.7 万元</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开发工具、协作软件</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市场与获客</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0.8 万元</w:t>
            </w:r>
          </w:p>
        </w:tc>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14.4 万元</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线下活动与内容投放</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财税与法律服务</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0.12 万元</w:t>
            </w:r>
          </w:p>
        </w:tc>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2.2 万元</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代理记账与合同审核</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资质与登记费用</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w:t>
            </w:r>
          </w:p>
        </w:tc>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3.0 万元</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软著登记、ICP 备案、软件产品登记等</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机动与备用</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w:t>
            </w:r>
          </w:p>
        </w:tc>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8.0 万元</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约占总额 8%</w:t>
            </w:r>
          </w:p>
        </w:tc>
      </w:tr>
      <w:tr>
        <w:tc>
          <w:tcPr>
            <w:tcW w:type="dxa" w:w="19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合计</w:t>
            </w:r>
          </w:p>
        </w:tc>
        <w:tc>
          <w:tcPr>
            <w:tcW w:type="dxa" w:w="136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w:t>
            </w:r>
          </w:p>
        </w:tc>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115.2 万元</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18 个月最低生存成本</w:t>
            </w:r>
          </w:p>
        </w:tc>
      </w:tr>
    </w:tbl>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（二）资金来源结构</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rPr>
          <w:tblHeader/>
        </w:trPr>
        <w:tc>
          <w:tcPr>
            <w:tcW w:type="dxa" w:w="204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来源</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金额</w:t>
            </w:r>
          </w:p>
        </w:tc>
        <w:tc>
          <w:tcPr>
            <w:tcW w:type="dxa" w:w="498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说明</w:t>
            </w:r>
          </w:p>
        </w:tc>
      </w:tr>
      <w:tr>
        <w:tc>
          <w:tcPr>
            <w:tcW w:type="dxa" w:w="204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创始团队自有资金</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30 万元</w:t>
            </w:r>
          </w:p>
        </w:tc>
        <w:tc>
          <w:tcPr>
            <w:tcW w:type="dxa" w:w="498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股东实缴出资</w:t>
            </w:r>
          </w:p>
        </w:tc>
      </w:tr>
      <w:tr>
        <w:tc>
          <w:tcPr>
            <w:tcW w:type="dxa" w:w="204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创业担保贷款</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50 万元</w:t>
            </w:r>
          </w:p>
        </w:tc>
        <w:tc>
          <w:tcPr>
            <w:tcW w:type="dxa" w:w="498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个人最高 50 万元，符合条件可全额贴息，期限不超过 3 年</w:t>
            </w:r>
          </w:p>
        </w:tc>
      </w:tr>
      <w:tr>
        <w:tc>
          <w:tcPr>
            <w:tcW w:type="dxa" w:w="204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就业创业类补贴</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约 4 万元</w:t>
            </w:r>
          </w:p>
        </w:tc>
        <w:tc>
          <w:tcPr>
            <w:tcW w:type="dxa" w:w="498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一次性创业补贴、创业社保补贴、场地租金补贴合计估算</w:t>
            </w:r>
          </w:p>
        </w:tc>
      </w:tr>
      <w:tr>
        <w:tc>
          <w:tcPr>
            <w:tcW w:type="dxa" w:w="204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首年经营性收入</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约 40 万元</w:t>
            </w:r>
          </w:p>
        </w:tc>
        <w:tc>
          <w:tcPr>
            <w:tcW w:type="dxa" w:w="498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第 4 个月起产生，按保守口径计</w:t>
            </w:r>
          </w:p>
        </w:tc>
      </w:tr>
      <w:tr>
        <w:tc>
          <w:tcPr>
            <w:tcW w:type="dxa" w:w="204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合计</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约 124 万元</w:t>
            </w:r>
          </w:p>
        </w:tc>
        <w:tc>
          <w:tcPr>
            <w:tcW w:type="dxa" w:w="498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覆盖 115.2 万元支出，留有余量</w:t>
            </w:r>
          </w:p>
        </w:tc>
      </w:tr>
    </w:tbl>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（三）现金流关键节点</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第 4 个月要跑通第一笔付费收入，验证有人愿意为这个产品掏钱。第 6 个月要申报一次性创业补贴，同时软著应当已经拿到。第 9 个月要完成科技型中小企业入库，这是打开科创金融通道的钥匙。第 12 个月要实现月度收支平衡，若未实现，应立即启动刹车条件，压缩市场费用并暂停增员。第 18 个月是决策点：达到平衡且续费率超过 60% 的，可以开始接触投资人；未达到的，应回到商业模式打磨环节重做单位经济模型，而不是靠融资续命。</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最后一句提醒。政策能帮你省钱、降成本、增加一点安全垫，但政策不能替你把产品做好，也不能替你找到愿意付钱的客户。把政策当顺风，把产品和客户当船，顺序不要搞反。</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jc w:val="center"/>
      <w:snapToGrid w:val="0"/>
      <w:ind w:firstLineChars="0" w:firstLine="0" w:leftChars="0" w:left="0"/>
    </w:pPr>
    <w:r>
      <w:rPr>
        <w:rFonts w:ascii="Times New Roman" w:hAnsi="Times New Roman" w:eastAsia="宋体" w:cs="Times New Roman" w:hint="eastAsia"/>
        <w:b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