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2</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Two changes affect the whole paper and are worth stating before the point-by-point replies. First, the entire experimental protocol has been re-run from a single public implementation, so every table in this version comes from the same set of runs and the numbers have changed. Second, following Reviewer 2, the paper has been repositioned on its application: the contribution is now the reproducible formulation of the two visual-design problems and the benchmark built on them, and the multi-strategy variant is reported as measured rather than advanced as the claim. Our point-by-point responses follow; every location is given by section and paragraph of the colour-marked revised manuscript, since page numbers shift once the new tables and figures are typeset. All changes made in response to your comments are marked in BLUE in the revised manuscript. Changes prompted by Reviewer 1 are in red and those prompted by Reviewer 3 are in green, so that the three sets of revisions can be told apart at a glance.</w:t>
      </w:r>
    </w:p>
    <w:p>
      <w:pPr>
        <w:spacing w:after="320" w:before="0"/>
      </w:pPr>
      <w:r>
        <w:rPr>
          <w:rFonts w:ascii="Times New Roman" w:hAnsi="Times New Roman"/>
          <w:b w:val="0"/>
          <w:i/>
          <w:color w:val="0070C0"/>
          <w:sz w:val="21"/>
        </w:rPr>
        <w:t>Colour key used in the revised manuscript: Reviewer 1 = red, Reviewer 2 = blue, Reviewer 3 = green. Your revisions are the ones in blue.</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Why do authors choose SBOA as the basis of this research? There are numerous MAs in recent decades, and the motivation for choosing SBOA is unclear.</w:t>
      </w:r>
    </w:p>
    <w:p>
      <w:pPr>
        <w:spacing w:after="60" w:before="0"/>
      </w:pPr>
      <w:r>
        <w:rPr>
          <w:rFonts w:ascii="Times New Roman" w:hAnsi="Times New Roman"/>
          <w:b/>
          <w:i w:val="0"/>
          <w:color w:val="0070C0"/>
          <w:sz w:val="21"/>
        </w:rPr>
        <w:t>Response 1:</w:t>
      </w:r>
    </w:p>
    <w:p>
      <w:pPr>
        <w:spacing w:after="120" w:before="0"/>
      </w:pPr>
      <w:r>
        <w:rPr>
          <w:rFonts w:ascii="Times New Roman" w:hAnsi="Times New Roman"/>
          <w:b w:val="0"/>
          <w:i w:val="0"/>
          <w:color w:val="0070C0"/>
          <w:sz w:val="21"/>
        </w:rPr>
        <w:t>Thank you for pointing this out. We agree that the submitted version asserted the choice rather than justified it. We have therefore added a paragraph to the Introduction, immediately after the paragraph reviewing the SBOA variants, giving three concrete reasons.</w:t>
      </w:r>
    </w:p>
    <w:p>
      <w:pPr>
        <w:spacing w:after="120" w:before="0"/>
      </w:pPr>
      <w:r>
        <w:rPr>
          <w:rFonts w:ascii="Times New Roman" w:hAnsi="Times New Roman"/>
          <w:b w:val="0"/>
          <w:i w:val="0"/>
          <w:color w:val="0070C0"/>
          <w:sz w:val="21"/>
        </w:rPr>
        <w:t>The first and most important is structural fit. Aesthetic objectives such as Equations (19) and (22) are sums of competing terms whose trade-off surface has many broad, shallow optima rather than one sharp optimum, so an optimizer must survey widely before committing. SBOA is one of the few recent metaheuristics whose exploration phase is split into three explicitly time-gated stages with qualitatively different step distributions - a differential perturbation, a Brownian move towards the elite and a Levy flight - which gives a scheduled and inspectable progression from survey to commitment and, equally important for this study, well-defined points at which further operators can be inserted.</w:t>
      </w:r>
    </w:p>
    <w:p>
      <w:pPr>
        <w:spacing w:after="320" w:before="0"/>
      </w:pPr>
      <w:r>
        <w:rPr>
          <w:rFonts w:ascii="Times New Roman" w:hAnsi="Times New Roman"/>
          <w:b w:val="0"/>
          <w:i w:val="0"/>
          <w:color w:val="0070C0"/>
          <w:sz w:val="21"/>
        </w:rPr>
        <w:t>The second is economy: SBOA has a single control parameter beyond the population size, so a study of added operators is not confounded by re-tuning of the base algorithm. The third is that SBOA is recent enough for its weaknesses to be documented but not yet addressed for this problem class, while having been shown competitive on standard suites [51], which makes it a meaningful baseline rather than a straw man.</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novelty of the new algorithm is limited. The authors combine well-known operators into SBOA to form MSSBOA, but the application is interesting.</w:t>
      </w:r>
    </w:p>
    <w:p>
      <w:pPr>
        <w:spacing w:after="60" w:before="0"/>
      </w:pPr>
      <w:r>
        <w:rPr>
          <w:rFonts w:ascii="Times New Roman" w:hAnsi="Times New Roman"/>
          <w:b/>
          <w:i w:val="0"/>
          <w:color w:val="0070C0"/>
          <w:sz w:val="21"/>
        </w:rPr>
        <w:t>Response 2:</w:t>
      </w:r>
    </w:p>
    <w:p>
      <w:pPr>
        <w:spacing w:after="120" w:before="0"/>
      </w:pPr>
      <w:r>
        <w:rPr>
          <w:rFonts w:ascii="Times New Roman" w:hAnsi="Times New Roman"/>
          <w:b w:val="0"/>
          <w:i w:val="0"/>
          <w:color w:val="0070C0"/>
          <w:sz w:val="21"/>
        </w:rPr>
        <w:t>We agree, and we have acted on both halves of your sentence rather than only the first. Taking the second half seriously has changed the paper more than any other single comment, and we are grateful for it.</w:t>
      </w:r>
    </w:p>
    <w:p>
      <w:pPr>
        <w:spacing w:after="120" w:before="0"/>
      </w:pPr>
      <w:r>
        <w:rPr>
          <w:rFonts w:ascii="Times New Roman" w:hAnsi="Times New Roman"/>
          <w:b w:val="0"/>
          <w:i w:val="0"/>
          <w:color w:val="0070C0"/>
          <w:sz w:val="21"/>
        </w:rPr>
        <w:t>On the first half: we accept it without reservation. None of the three operator families is novel, and we no longer claim otherwise. More than that, we re-ran the entire experimental protocol for this revision from a single public implementation - which you and Reviewer 3 both asked for - and under a strictly fair budget, in which every algorithm is charged for every function evaluation it performs including those consumed by auxiliary operators, the three strategies do not produce a statistically significant improvement over the basic SBOA. Against the basic SBOA the Wilcoxon rank-sum outcome is 1 wins, 51 ties and 6 losses over 58 cases, and by average Friedman rank the field orders as LSHADE &gt; SBOA &gt; MSSBOA &gt; QIO &gt; RIME &gt; SCA &gt; MRFO &gt; COA &gt; GKSO &gt; GWO &gt; SMA. We report this rather than omit it. A negative result obtained under a stated protocol, with the code released so that it can be checked, seemed to us more useful than an unreproducible positive one.</w:t>
      </w:r>
    </w:p>
    <w:p>
      <w:pPr>
        <w:spacing w:after="120" w:before="0"/>
      </w:pPr>
      <w:r>
        <w:rPr>
          <w:rFonts w:ascii="Times New Roman" w:hAnsi="Times New Roman"/>
          <w:b w:val="0"/>
          <w:i w:val="0"/>
          <w:color w:val="0070C0"/>
          <w:sz w:val="21"/>
        </w:rPr>
        <w:t>On the second half, which we think was the more valuable observation: the paper has been repositioned on the application. The title, the abstract, the contribution list and the framing of Sections 4 and 5 have all been rewritten so that the contribution is the reproducible formulation of the two design problems and the benchmark built on them, with MSSBOA presented as a variant developed in the course of the study and included in the comparison rather than as the claim of the paper.</w:t>
      </w:r>
    </w:p>
    <w:p>
      <w:pPr>
        <w:spacing w:after="120" w:before="0"/>
        <w:ind w:left="360"/>
      </w:pPr>
      <w:r>
        <w:rPr>
          <w:rFonts w:ascii="Times New Roman" w:hAnsi="Times New Roman"/>
          <w:b w:val="0"/>
          <w:i/>
          <w:color w:val="0070C0"/>
          <w:sz w:val="21"/>
        </w:rPr>
        <w:t>"This article contributes, first, a complete and openly implemented formulation of two such problems ... Second, it uses that formulation as a testbed ... Third, it reports how far the conclusions depend on the modelling choices." (Abstract)</w:t>
      </w:r>
    </w:p>
    <w:p>
      <w:pPr>
        <w:spacing w:after="320" w:before="0"/>
      </w:pPr>
      <w:r>
        <w:rPr>
          <w:rFonts w:ascii="Times New Roman" w:hAnsi="Times New Roman"/>
          <w:b w:val="0"/>
          <w:i w:val="0"/>
          <w:color w:val="0070C0"/>
          <w:sz w:val="21"/>
        </w:rPr>
        <w:t>Concretely, what the paper now offers is: closed-form statements of the hue-wheel geodesic, the saturation-weighted disharmony energy over Matsuda's seven chromatic templates, the hue-diversity and tonal-contrast terms, and the five Ngo layout measures with their canvas penalty; an argued rather than asserted choice of colour space; a comparison of eleven optimizers on those objectives, which we believe is the first of this breadth on explicitly stated computational-aesthetics objectives; a sensitivity analysis over the aesthetic weight vector; and a scalability study taking the layout problem from six to thirty elements. All of it is released as executable code with the raw results.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authors present a literature review of SBOA's variants, but do not compare their performance. I encourage authors to use some SBOA's variants for experimental comparison.</w:t>
      </w:r>
    </w:p>
    <w:p>
      <w:pPr>
        <w:spacing w:after="60" w:before="0"/>
      </w:pPr>
      <w:r>
        <w:rPr>
          <w:rFonts w:ascii="Times New Roman" w:hAnsi="Times New Roman"/>
          <w:b/>
          <w:i w:val="0"/>
          <w:color w:val="0070C0"/>
          <w:sz w:val="21"/>
        </w:rPr>
        <w:t>Response 3:</w:t>
      </w:r>
    </w:p>
    <w:p>
      <w:pPr>
        <w:spacing w:after="120" w:before="0"/>
      </w:pPr>
      <w:r>
        <w:rPr>
          <w:rFonts w:ascii="Times New Roman" w:hAnsi="Times New Roman"/>
          <w:b w:val="0"/>
          <w:i w:val="0"/>
          <w:color w:val="0070C0"/>
          <w:sz w:val="21"/>
        </w:rPr>
        <w:t>Agree, and this was a fair criticism: reviewing variants without comparing against them is not much of a comparison. We have added a new Section 4.5, "Comparison with recent SBOA variants and multi-strategy algorithms", in which MSSBOA is compared directly with three of the variants reviewed in the Introduction - MISBOA [53] with its incremental-PID feedback regulation and co-operative camouflage, CGSBOA [54] with its multi-strategy fusion and Cauchy-Gaussian crossover, and LTSBOA [55] with its logistic-tent chaotic initialization and crossover strategy. Following Reviewer 3 we have also included two recent multi-strategy algorithms from outside the SBOA family, MS-TSA and I-CPA, together with their base algorithms TSA and CPA so that the gain of each variant over its own base is visible rather than assumed.</w:t>
      </w:r>
    </w:p>
    <w:p>
      <w:pPr>
        <w:spacing w:after="320" w:before="0"/>
      </w:pPr>
      <w:r>
        <w:rPr>
          <w:rFonts w:ascii="Times New Roman" w:hAnsi="Times New Roman"/>
          <w:b w:val="0"/>
          <w:i w:val="0"/>
          <w:color w:val="0070C0"/>
          <w:sz w:val="21"/>
        </w:rPr>
        <w:t>We should be transparent about one methodological point. The source codes of these variants are not publicly distributed, so each was re-implemented from the equations, control parameters and pseudo-code given in the corresponding paper. To make that auditable, our implementations are released with the paper, and every algorithm is charged for every function evaluation it performs, including those consumed by auxiliary operators. New Table 12 reports the Friedman ranking and the pairwise Wilcoxon outcome.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