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we have removed it. Section 4.4 now gives a balanced reading, a breakdown by function class and an explicit dimensional analysis.</w:t>
      </w:r>
    </w:p>
    <w:p>
      <w:pPr>
        <w:spacing w:after="120" w:before="0"/>
      </w:pPr>
      <w:r>
        <w:rPr>
          <w:rFonts w:ascii="Times New Roman" w:hAnsi="Times New Roman"/>
          <w:b w:val="0"/>
          <w:i w:val="0"/>
          <w:color w:val="C00000"/>
          <w:sz w:val="21"/>
        </w:rPr>
        <w:t>On balance: the revised text states that MSSBOA is significantly better than QIO on 71.6% of cases and than LSHADE on 70.7%, that it loses 12.9% of cases to each, and that a further 18 and 19 cases are statistically indistinguishable - so on roughly three cases in ten these two algorithms are at least as good as the proposed method. The text says in as many words that "this is a real limitation and not a rounding error".</w:t>
      </w:r>
    </w:p>
    <w:p>
      <w:pPr>
        <w:spacing w:after="120" w:before="0"/>
      </w:pPr>
      <w:r>
        <w:rPr>
          <w:rFonts w:ascii="Times New Roman" w:hAnsi="Times New Roman"/>
          <w:b w:val="0"/>
          <w:i w:val="0"/>
          <w:color w:val="C00000"/>
          <w:sz w:val="21"/>
        </w:rPr>
        <w:t>On function class: new Table 11 breaks the losses down using the per-function ranks already published in Tables A5-A8, so the analysis is consistent with the data you have. The losses are not uniform. Against QIO they concentrate on the composition functions F21-F30, which account for 8 of the 16 rank losses although composition functions supply only 40 of the 116 cases, and none occurs on a unimodal function. Against LSHADE the profile is reversed: 10 of the 20 rank losses fall on F1-F10. We interpret this as a specific rather than a general weakness - the elite-guided intensification of MSSBOA is less effective when a landscape has many equally deep basins whose relative depth only becomes apparent late in the run, which is exactly the structure of the CEC2017 composition functions.</w:t>
      </w:r>
    </w:p>
    <w:p>
      <w:pPr>
        <w:spacing w:after="320" w:before="0"/>
      </w:pPr>
      <w:r>
        <w:rPr>
          <w:rFonts w:ascii="Times New Roman" w:hAnsi="Times New Roman"/>
          <w:b w:val="0"/>
          <w:i w:val="0"/>
          <w:color w:val="C00000"/>
          <w:sz w:val="21"/>
        </w:rPr>
        <w:t>On dimensionality: your suspicion is confirmed by the data. The mean rank gap to QIO falls monotonically from 2.103 at 30D to 1.103 at 100D, and the gap to RIME from 2.379 to 1.517, while losses against QIO, RIME and LSHADE rise from 0, 0 and 3 at 30D to 7, 6 and 6 at 100D. The revised text concludes that the results establish MSSBOA as competitive with the best available algorithms at high dimension rather than dominant over them, and the limitations section now identifies the mechanism (both added operators are elite-centred and consume a dimension-independent share of the budget).</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3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in 10 dimensions with 20 independent runs per setting,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Over 20 independent runs per setting: 8 elements (D = 16): MSSBOA 92.30, rank 2 of 6; 12 elements (D = 24): MSSBOA 93.28, rank 2 of 6. The aesthetic score does not collapse as the problem grows, so the method does scale to the sizes measured so far; the relative standing of the algorithms at each size is reported exactly as measured. [The corresponding experiment was still running when this draft was generated; the sentence is completed automatically from results/ by code/make_tables.py.] Sizes still to be completed at the time this draft was generated: 20, 30 elements.</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