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Siting Urban Green Infrastructure by Workplace Rather than Residence: Heat-Attributable Work Capacity Loss Among Young Workers under Exposure–Response Uncertainty</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Firstname Lastname</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2025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Urban green and blue infrastructure is promoted as a means of mitigating the urban heat island, and its placement within a city is decided almost entirely by where people live. Heat damages work, however, where work happens, and entry-level outdoor employment is not located where residents are concentrated. This study quantifies what that mismatch costs. A spatially explicit model of a European city of 1600 cells couples urban form and tree canopy to the wet bulb globe temperature an outdoor worker experiences, converts it into lost work capacity through five published exposure-response functions, and allocates a fixed planting budget under seven siting rules. Two findings emerge. Across 4000 draws over the model’s 28 parameters, young workers’ baseline loss spans 0.11 to 2.50 hours per working day between the quartile and the ninety-fifth percentile, and 6.7 per cent of draws predict no loss at all, so no point estimate of the hours a planting programme saves is credible. The ranking of siting rules is nonetheless stable: weighting planting by exposed workplaces rather than residents protects 3.05 times as many of young workers’ hours, in 0.679 of draws. That advantage is absent where workplaces and homes coincide and reaches 5.6-fold where they do not, crossing into materiality at a workplace-residence correlation near 0.25, a quantity cities can measure.</w:t>
      </w:r>
    </w:p>
    <w:p>
      <w:pPr>
        <w:pStyle w:val="MDPI18keywords"/>
      </w:pPr>
      <w:r>
        <w:rPr>
          <w:b/>
        </w:rPr>
        <w:t xml:space="preserve">Keywords: </w:t>
      </w:r>
      <w:r>
        <w:t>urban heat island; green infrastructure; heat mitigation; occupational heat exposure; youth employment</w:t>
      </w:r>
    </w:p>
    <w:p>
      <w:pPr>
        <w:pStyle w:val="MDPI19line"/>
        <w:suppressLineNumbers/>
      </w:pPr>
    </w:p>
    <w:p>
      <w:pPr>
        <w:pStyle w:val="MDPI21heading1"/>
      </w:pPr>
      <w:r>
        <w:t>1. Introduction</w:t>
      </w:r>
    </w:p>
    <w:p>
      <w:pPr>
        <w:pStyle w:val="MDPI32textnoindent"/>
      </w:pPr>
      <w:r>
        <w:rPr>
          <w:b w:val="0"/>
          <w:i w:val="0"/>
        </w:rPr>
        <w:t xml:space="preserve">The mitigation of urban heat has become a central objective of European environmental and urban policy. Heatwaves have grown more frequent, more intense and longer, the urban heat island adds several degrees to the exposure of city populations, and the resulting burden of heat-related mortality across European regions is now measured directly </w:t>
      </w:r>
      <w:r>
        <w:t>[</w:t>
      </w:r>
      <w:r>
        <w:fldChar w:fldCharType="begin"/>
      </w:r>
      <w:r>
        <w:instrText xml:space="preserve"> REF _Ref_1 \h </w:instrText>
      </w:r>
      <w:r>
        <w:fldChar w:fldCharType="separate"/>
      </w:r>
      <w:r>
        <w:t>1</w:t>
      </w:r>
      <w:r>
        <w:fldChar w:fldCharType="end"/>
      </w:r>
      <w:r>
        <w:t>]</w:t>
      </w:r>
      <w:r>
        <w:rPr>
          <w:b w:val="0"/>
          <w:i w:val="0"/>
        </w:rPr>
        <w:t xml:space="preserve">. Green and blue infrastructure — street trees, parks, green roofs, rivers and ponds — is the instrument most consistently proposed in response, and the evidence that it cools is substantial </w:t>
      </w:r>
      <w:r>
        <w:t>[</w:t>
      </w:r>
      <w:r>
        <w:fldChar w:fldCharType="begin"/>
      </w:r>
      <w:r>
        <w:instrText xml:space="preserve"> REF _Ref_2 \h </w:instrText>
      </w:r>
      <w:r>
        <w:fldChar w:fldCharType="separate"/>
      </w:r>
      <w:r>
        <w:t>2</w:t>
      </w:r>
      <w:r>
        <w:fldChar w:fldCharType="end"/>
      </w:r>
      <w:r>
        <w:t>]</w:t>
      </w:r>
      <w:r>
        <w:rPr>
          <w:b w:val="0"/>
          <w:i w:val="0"/>
        </w:rPr>
        <w:t xml:space="preserve">, </w:t>
      </w:r>
      <w:r>
        <w:t>[</w:t>
      </w:r>
      <w:r>
        <w:fldChar w:fldCharType="begin"/>
      </w:r>
      <w:r>
        <w:instrText xml:space="preserve"> REF _Ref_3 \h </w:instrText>
      </w:r>
      <w:r>
        <w:fldChar w:fldCharType="separate"/>
      </w:r>
      <w:r>
        <w:t>3</w:t>
      </w:r>
      <w:r>
        <w:fldChar w:fldCharType="end"/>
      </w:r>
      <w:r>
        <w:t>]</w:t>
      </w:r>
      <w:r>
        <w:rPr>
          <w:b w:val="0"/>
          <w:i w:val="0"/>
        </w:rPr>
        <w:t xml:space="preserve">. A health impact assessment of European cities has estimated the mortality that additional tree cover would avert </w:t>
      </w:r>
      <w:r>
        <w:t>[</w:t>
      </w:r>
      <w:r>
        <w:fldChar w:fldCharType="begin"/>
      </w:r>
      <w:r>
        <w:instrText xml:space="preserve"> REF _Ref_4 \h </w:instrText>
      </w:r>
      <w:r>
        <w:fldChar w:fldCharType="separate"/>
      </w:r>
      <w:r>
        <w:t>4</w:t>
      </w:r>
      <w:r>
        <w:fldChar w:fldCharType="end"/>
      </w:r>
      <w:r>
        <w:t>]</w:t>
      </w:r>
      <w:r>
        <w:rPr>
          <w:b w:val="0"/>
          <w:i w:val="0"/>
        </w:rPr>
        <w:t xml:space="preserve">, and the obligation to restore urban greenness is now written into European law </w:t>
      </w:r>
      <w:r>
        <w:t>[</w:t>
      </w:r>
      <w:r>
        <w:fldChar w:fldCharType="begin"/>
      </w:r>
      <w:r>
        <w:instrText xml:space="preserve"> REF _Ref_5 \h </w:instrText>
      </w:r>
      <w:r>
        <w:fldChar w:fldCharType="separate"/>
      </w:r>
      <w:r>
        <w:t>5</w:t>
      </w:r>
      <w:r>
        <w:fldChar w:fldCharType="end"/>
      </w:r>
      <w:r>
        <w:t>]</w:t>
      </w:r>
      <w:r>
        <w:rPr>
          <w:b w:val="0"/>
          <w:i w:val="0"/>
        </w:rPr>
        <w:t>.</w:t>
      </w:r>
    </w:p>
    <w:p>
      <w:pPr>
        <w:pStyle w:val="MDPI31text"/>
      </w:pPr>
      <w:r>
        <w:rPr>
          <w:b w:val="0"/>
          <w:i w:val="0"/>
        </w:rPr>
        <w:t xml:space="preserve">Heat, however, does not only kill; it also stops work. A large literature establishes that high temperatures reduce hours worked and output, that the effect is concentrated in climate-exposed industries, and that it operates through the physiology of heat strain rather than through preference </w:t>
      </w:r>
      <w:r>
        <w:t>[</w:t>
      </w:r>
      <w:r>
        <w:fldChar w:fldCharType="begin"/>
      </w:r>
      <w:r>
        <w:instrText xml:space="preserve"> REF _Ref_6 \h </w:instrText>
      </w:r>
      <w:r>
        <w:fldChar w:fldCharType="separate"/>
      </w:r>
      <w:r>
        <w:t>6</w:t>
      </w:r>
      <w:r>
        <w:fldChar w:fldCharType="end"/>
      </w:r>
      <w:r>
        <w:t>]</w:t>
      </w:r>
      <w:r>
        <w:rPr>
          <w:b w:val="0"/>
          <w:i w:val="0"/>
        </w:rPr>
        <w:t xml:space="preserve">, </w:t>
      </w:r>
      <w:r>
        <w:t>[</w:t>
      </w:r>
      <w:r>
        <w:fldChar w:fldCharType="begin"/>
      </w:r>
      <w:r>
        <w:instrText xml:space="preserve"> REF _Ref_7 \h </w:instrText>
      </w:r>
      <w:r>
        <w:fldChar w:fldCharType="separate"/>
      </w:r>
      <w:r>
        <w:t>7</w:t>
      </w:r>
      <w:r>
        <w:fldChar w:fldCharType="end"/>
      </w:r>
      <w:r>
        <w:t>]</w:t>
      </w:r>
      <w:r>
        <w:rPr>
          <w:b w:val="0"/>
          <w:i w:val="0"/>
        </w:rPr>
        <w:t xml:space="preserve">. Estimates of the labour lost to humid heat are larger for outdoor workers than ambient measures suggest </w:t>
      </w:r>
      <w:r>
        <w:t>[</w:t>
      </w:r>
      <w:r>
        <w:fldChar w:fldCharType="begin"/>
      </w:r>
      <w:r>
        <w:instrText xml:space="preserve"> REF _Ref_8 \h </w:instrText>
      </w:r>
      <w:r>
        <w:fldChar w:fldCharType="separate"/>
      </w:r>
      <w:r>
        <w:t>8</w:t>
      </w:r>
      <w:r>
        <w:fldChar w:fldCharType="end"/>
      </w:r>
      <w:r>
        <w:t>]</w:t>
      </w:r>
      <w:r>
        <w:rPr>
          <w:b w:val="0"/>
          <w:i w:val="0"/>
        </w:rPr>
        <w:t xml:space="preserve">, and the scope for behavioural adaptation narrows as warming proceeds </w:t>
      </w:r>
      <w:r>
        <w:t>[</w:t>
      </w:r>
      <w:r>
        <w:fldChar w:fldCharType="begin"/>
      </w:r>
      <w:r>
        <w:instrText xml:space="preserve"> REF _Ref_9 \h </w:instrText>
      </w:r>
      <w:r>
        <w:fldChar w:fldCharType="separate"/>
      </w:r>
      <w:r>
        <w:t>9</w:t>
      </w:r>
      <w:r>
        <w:fldChar w:fldCharType="end"/>
      </w:r>
      <w:r>
        <w:t>]</w:t>
      </w:r>
      <w:r>
        <w:rPr>
          <w:b w:val="0"/>
          <w:i w:val="0"/>
        </w:rPr>
        <w:t xml:space="preserve">. In the European Union the exposure is neither rare nor shrinking: the share of workers reporting exposure to high temperatures for a quarter or more of their working time has risen over three decades </w:t>
      </w:r>
      <w:r>
        <w:t>[</w:t>
      </w:r>
      <w:r>
        <w:fldChar w:fldCharType="begin"/>
      </w:r>
      <w:r>
        <w:instrText xml:space="preserve"> REF _Ref_10 \h </w:instrText>
      </w:r>
      <w:r>
        <w:fldChar w:fldCharType="separate"/>
      </w:r>
      <w:r>
        <w:t>10</w:t>
      </w:r>
      <w:r>
        <w:fldChar w:fldCharType="end"/>
      </w:r>
      <w:r>
        <w:t>]</w:t>
      </w:r>
      <w:r>
        <w:rPr>
          <w:b w:val="0"/>
          <w:i w:val="0"/>
        </w:rPr>
        <w:t xml:space="preserve">, and roughly one worker in five now reports exposure to extreme heat on the job </w:t>
      </w:r>
      <w:r>
        <w:t>[</w:t>
      </w:r>
      <w:r>
        <w:fldChar w:fldCharType="begin"/>
      </w:r>
      <w:r>
        <w:instrText xml:space="preserve"> REF _Ref_11 \h </w:instrText>
      </w:r>
      <w:r>
        <w:fldChar w:fldCharType="separate"/>
      </w:r>
      <w:r>
        <w:t>11</w:t>
      </w:r>
      <w:r>
        <w:fldChar w:fldCharType="end"/>
      </w:r>
      <w:r>
        <w:t>]</w:t>
      </w:r>
      <w:r>
        <w:rPr>
          <w:b w:val="0"/>
          <w:i w:val="0"/>
        </w:rPr>
        <w:t>.</w:t>
      </w:r>
    </w:p>
    <w:p>
      <w:pPr>
        <w:pStyle w:val="MDPI31text"/>
      </w:pPr>
      <w:r>
        <w:rPr>
          <w:b w:val="0"/>
          <w:i w:val="0"/>
        </w:rPr>
        <w:t>These two literatures rarely meet. Work on urban cooling measures its benefits in avoided mortality and in residential thermal comfort; work on heat and labour measures its losses at the level of the industry, the firm or the country, with no urban geography at all. The consequence is a gap that matters for practice rather than only for scholarship: green infrastructure is sited by planners who count residents, while the damage heat does to work accrues wherever work happens. If those two geographies coincide, nothing is lost by the omission. If they do not, then a planting programme optimised for residential exposure protects the wrong places.</w:t>
      </w:r>
    </w:p>
    <w:p>
      <w:pPr>
        <w:pStyle w:val="MDPI31text"/>
      </w:pPr>
      <w:r>
        <w:rPr>
          <w:b w:val="0"/>
          <w:i w:val="0"/>
        </w:rPr>
        <w:t xml:space="preserve">There is direct evidence that they do not coincide. An analysis of occupational heat exposure across census tracts in New York and New Jersey finds that occupational exposure correlates with health and social vulnerability but shows weak or negative correlation with the environmental vulnerability indices on which greening is commonly targeted </w:t>
      </w:r>
      <w:r>
        <w:t>[</w:t>
      </w:r>
      <w:r>
        <w:fldChar w:fldCharType="begin"/>
      </w:r>
      <w:r>
        <w:instrText xml:space="preserve"> REF _Ref_12 \h </w:instrText>
      </w:r>
      <w:r>
        <w:fldChar w:fldCharType="separate"/>
      </w:r>
      <w:r>
        <w:t>12</w:t>
      </w:r>
      <w:r>
        <w:fldChar w:fldCharType="end"/>
      </w:r>
      <w:r>
        <w:t>]</w:t>
      </w:r>
      <w:r>
        <w:rPr>
          <w:b w:val="0"/>
          <w:i w:val="0"/>
        </w:rPr>
        <w:t xml:space="preserve">. The normative standards of the field already acknowledge the point in principle: the widely adopted 3–30–300 rule specifies three visible trees from every home, workplace or school </w:t>
      </w:r>
      <w:r>
        <w:t>[</w:t>
      </w:r>
      <w:r>
        <w:fldChar w:fldCharType="begin"/>
      </w:r>
      <w:r>
        <w:instrText xml:space="preserve"> REF _Ref_13 \h </w:instrText>
      </w:r>
      <w:r>
        <w:fldChar w:fldCharType="separate"/>
      </w:r>
      <w:r>
        <w:t>13</w:t>
      </w:r>
      <w:r>
        <w:fldChar w:fldCharType="end"/>
      </w:r>
      <w:r>
        <w:t>]</w:t>
      </w:r>
      <w:r>
        <w:rPr>
          <w:b w:val="0"/>
          <w:i w:val="0"/>
        </w:rPr>
        <w:t xml:space="preserve">, yet the benchmark study that operationalises it across global cities evaluates residential buildings </w:t>
      </w:r>
      <w:r>
        <w:t>[</w:t>
      </w:r>
      <w:r>
        <w:fldChar w:fldCharType="begin"/>
      </w:r>
      <w:r>
        <w:instrText xml:space="preserve"> REF _Ref_14 \h </w:instrText>
      </w:r>
      <w:r>
        <w:fldChar w:fldCharType="separate"/>
      </w:r>
      <w:r>
        <w:t>14</w:t>
      </w:r>
      <w:r>
        <w:fldChar w:fldCharType="end"/>
      </w:r>
      <w:r>
        <w:t>]</w:t>
      </w:r>
      <w:r>
        <w:rPr>
          <w:b w:val="0"/>
          <w:i w:val="0"/>
        </w:rPr>
        <w:t xml:space="preserve">. A recent assessment of urban forestry observes that planting programmes seldom deliver shade where it is most needed </w:t>
      </w:r>
      <w:r>
        <w:t>[</w:t>
      </w:r>
      <w:r>
        <w:fldChar w:fldCharType="begin"/>
      </w:r>
      <w:r>
        <w:instrText xml:space="preserve"> REF _Ref_15 \h </w:instrText>
      </w:r>
      <w:r>
        <w:fldChar w:fldCharType="separate"/>
      </w:r>
      <w:r>
        <w:t>15</w:t>
      </w:r>
      <w:r>
        <w:fldChar w:fldCharType="end"/>
      </w:r>
      <w:r>
        <w:t>]</w:t>
      </w:r>
      <w:r>
        <w:rPr>
          <w:b w:val="0"/>
          <w:i w:val="0"/>
        </w:rPr>
        <w:t xml:space="preserve">, and the systematic review of siting methods catalogues heat-driven prioritisation schemes without recording any that weights by working population </w:t>
      </w:r>
      <w:r>
        <w:t>[</w:t>
      </w:r>
      <w:r>
        <w:fldChar w:fldCharType="begin"/>
      </w:r>
      <w:r>
        <w:instrText xml:space="preserve"> REF _Ref_16 \h </w:instrText>
      </w:r>
      <w:r>
        <w:fldChar w:fldCharType="separate"/>
      </w:r>
      <w:r>
        <w:t>16</w:t>
      </w:r>
      <w:r>
        <w:fldChar w:fldCharType="end"/>
      </w:r>
      <w:r>
        <w:t>]</w:t>
      </w:r>
      <w:r>
        <w:rPr>
          <w:b w:val="0"/>
          <w:i w:val="0"/>
        </w:rPr>
        <w:t xml:space="preserve">. Where greening has been spatially optimised, the objective has been residential population exposure to surface temperature extremes </w:t>
      </w:r>
      <w:r>
        <w:t>[</w:t>
      </w:r>
      <w:r>
        <w:fldChar w:fldCharType="begin"/>
      </w:r>
      <w:r>
        <w:instrText xml:space="preserve"> REF _Ref_17 \h </w:instrText>
      </w:r>
      <w:r>
        <w:fldChar w:fldCharType="separate"/>
      </w:r>
      <w:r>
        <w:t>17</w:t>
      </w:r>
      <w:r>
        <w:fldChar w:fldCharType="end"/>
      </w:r>
      <w:r>
        <w:t>]</w:t>
      </w:r>
      <w:r>
        <w:rPr>
          <w:b w:val="0"/>
          <w:i w:val="0"/>
        </w:rPr>
        <w:t>.</w:t>
      </w:r>
    </w:p>
    <w:p>
      <w:pPr>
        <w:pStyle w:val="MDPI31text"/>
      </w:pPr>
      <w:r>
        <w:rPr>
          <w:b w:val="0"/>
          <w:i w:val="0"/>
        </w:rPr>
        <w:t xml:space="preserve">Young workers are the group for whom this omission is most consequential, and the reason is compositional rather than physiological. Entry-level employment is concentrated in construction, grounds work, logistics and warehousing, in temporary and agency contracts, and on sites rather than in offices. Precarious employment is systematically associated with higher rates of occupational injury </w:t>
      </w:r>
      <w:r>
        <w:t>[</w:t>
      </w:r>
      <w:r>
        <w:fldChar w:fldCharType="begin"/>
      </w:r>
      <w:r>
        <w:instrText xml:space="preserve"> REF _Ref_18 \h </w:instrText>
      </w:r>
      <w:r>
        <w:fldChar w:fldCharType="separate"/>
      </w:r>
      <w:r>
        <w:t>18</w:t>
      </w:r>
      <w:r>
        <w:fldChar w:fldCharType="end"/>
      </w:r>
      <w:r>
        <w:t>]</w:t>
      </w:r>
      <w:r>
        <w:rPr>
          <w:b w:val="0"/>
          <w:i w:val="0"/>
        </w:rPr>
        <w:t xml:space="preserve">, and heat-attributable occupational illness falls disproportionately on workers with short tenure </w:t>
      </w:r>
      <w:r>
        <w:t>[</w:t>
      </w:r>
      <w:r>
        <w:fldChar w:fldCharType="begin"/>
      </w:r>
      <w:r>
        <w:instrText xml:space="preserve"> REF _Ref_19 \h </w:instrText>
      </w:r>
      <w:r>
        <w:fldChar w:fldCharType="separate"/>
      </w:r>
      <w:r>
        <w:t>19</w:t>
      </w:r>
      <w:r>
        <w:fldChar w:fldCharType="end"/>
      </w:r>
      <w:r>
        <w:t>]</w:t>
      </w:r>
      <w:r>
        <w:rPr>
          <w:b w:val="0"/>
          <w:i w:val="0"/>
        </w:rPr>
        <w:t xml:space="preserve">. Because early labour-market experience has persistent effects on later employment and earnings </w:t>
      </w:r>
      <w:r>
        <w:t>[</w:t>
      </w:r>
      <w:r>
        <w:fldChar w:fldCharType="begin"/>
      </w:r>
      <w:r>
        <w:instrText xml:space="preserve"> REF _Ref_20 \h </w:instrText>
      </w:r>
      <w:r>
        <w:fldChar w:fldCharType="separate"/>
      </w:r>
      <w:r>
        <w:t>20</w:t>
      </w:r>
      <w:r>
        <w:fldChar w:fldCharType="end"/>
      </w:r>
      <w:r>
        <w:t>]</w:t>
      </w:r>
      <w:r>
        <w:rPr>
          <w:b w:val="0"/>
          <w:i w:val="0"/>
        </w:rPr>
        <w:t xml:space="preserve">, </w:t>
      </w:r>
      <w:r>
        <w:t>[</w:t>
      </w:r>
      <w:r>
        <w:fldChar w:fldCharType="begin"/>
      </w:r>
      <w:r>
        <w:instrText xml:space="preserve"> REF _Ref_21 \h </w:instrText>
      </w:r>
      <w:r>
        <w:fldChar w:fldCharType="separate"/>
      </w:r>
      <w:r>
        <w:t>21</w:t>
      </w:r>
      <w:r>
        <w:fldChar w:fldCharType="end"/>
      </w:r>
      <w:r>
        <w:t>]</w:t>
      </w:r>
      <w:r>
        <w:rPr>
          <w:b w:val="0"/>
          <w:i w:val="0"/>
        </w:rPr>
        <w:t xml:space="preserve">, a working environment that is unsafe or unproductive in summer is not merely a seasonal inconvenience for the people entering it. Youth unemployment in the European Union remains high and has not shared in recent labour-market improvement </w:t>
      </w:r>
      <w:r>
        <w:t>[</w:t>
      </w:r>
      <w:r>
        <w:fldChar w:fldCharType="begin"/>
      </w:r>
      <w:r>
        <w:instrText xml:space="preserve"> REF _Ref_22 \h </w:instrText>
      </w:r>
      <w:r>
        <w:fldChar w:fldCharType="separate"/>
      </w:r>
      <w:r>
        <w:t>22</w:t>
      </w:r>
      <w:r>
        <w:fldChar w:fldCharType="end"/>
      </w:r>
      <w:r>
        <w:t>]</w:t>
      </w:r>
      <w:r>
        <w:rPr>
          <w:b w:val="0"/>
          <w:i w:val="0"/>
        </w:rPr>
        <w:t xml:space="preserve">; the World Bank records a youth unemployment rate of 16.1 per cent for the European Union in 2023 </w:t>
      </w:r>
      <w:r>
        <w:t>[</w:t>
      </w:r>
      <w:r>
        <w:fldChar w:fldCharType="begin"/>
      </w:r>
      <w:r>
        <w:instrText xml:space="preserve"> REF _Ref_23 \h </w:instrText>
      </w:r>
      <w:r>
        <w:fldChar w:fldCharType="separate"/>
      </w:r>
      <w:r>
        <w:t>23</w:t>
      </w:r>
      <w:r>
        <w:fldChar w:fldCharType="end"/>
      </w:r>
      <w:r>
        <w:t>]</w:t>
      </w:r>
      <w:r>
        <w:rPr>
          <w:b w:val="0"/>
          <w:i w:val="0"/>
        </w:rPr>
        <w:t>.</w:t>
      </w:r>
    </w:p>
    <w:p>
      <w:pPr>
        <w:pStyle w:val="MDPI31text"/>
      </w:pPr>
      <w:r>
        <w:rPr>
          <w:b w:val="0"/>
          <w:i w:val="0"/>
        </w:rPr>
        <w:t xml:space="preserve">Despite this, no study appears to join urban thermal exposure or green infrastructure to youth labour-market outcomes. The literature on greenness and young people concerns mental health, physical activity and educational attainment. The literature on heat and employment has begun to disaggregate by age, but at the older end. The nearest work in the target journal relates urban green space to aggregate labour productivity across Indonesian cities </w:t>
      </w:r>
      <w:r>
        <w:t>[</w:t>
      </w:r>
      <w:r>
        <w:fldChar w:fldCharType="begin"/>
      </w:r>
      <w:r>
        <w:instrText xml:space="preserve"> REF _Ref_24 \h </w:instrText>
      </w:r>
      <w:r>
        <w:fldChar w:fldCharType="separate"/>
      </w:r>
      <w:r>
        <w:t>24</w:t>
      </w:r>
      <w:r>
        <w:fldChar w:fldCharType="end"/>
      </w:r>
      <w:r>
        <w:t>]</w:t>
      </w:r>
      <w:r>
        <w:rPr>
          <w:b w:val="0"/>
          <w:i w:val="0"/>
        </w:rPr>
        <w:t>, without an age dimension, a thermal mechanism or a siting question.</w:t>
      </w:r>
    </w:p>
    <w:p>
      <w:pPr>
        <w:pStyle w:val="MDPI31text"/>
      </w:pPr>
      <w:r>
        <w:rPr>
          <w:b w:val="0"/>
          <w:i w:val="0"/>
        </w:rPr>
        <w:t xml:space="preserve">Several research gaps therefore remain. First, the benefit of urban green infrastructure is almost always evaluated against residential populations, so the question of whose exposure a siting rule should count has not been posed quantitatively. Second, the heat-and-labour literature works at spatial scales too coarse to inform the placement of infrastructure within a city. Third, estimates of heat-attributable labour loss are reported as point values, although the published exposure–response functions from which they derive disagree substantially in the temperature range that matters for Europe </w:t>
      </w:r>
      <w:r>
        <w:t>[</w:t>
      </w:r>
      <w:r>
        <w:fldChar w:fldCharType="begin"/>
      </w:r>
      <w:r>
        <w:instrText xml:space="preserve"> REF _Ref_25 \h </w:instrText>
      </w:r>
      <w:r>
        <w:fldChar w:fldCharType="separate"/>
      </w:r>
      <w:r>
        <w:t>25</w:t>
      </w:r>
      <w:r>
        <w:fldChar w:fldCharType="end"/>
      </w:r>
      <w:r>
        <w:t>]</w:t>
      </w:r>
      <w:r>
        <w:rPr>
          <w:b w:val="0"/>
          <w:i w:val="0"/>
        </w:rPr>
        <w:t>. Fourth, no assessment of green infrastructure considers the age composition of the workforce it protects.</w:t>
      </w:r>
    </w:p>
    <w:p>
      <w:pPr>
        <w:pStyle w:val="MDPI31text"/>
      </w:pPr>
      <w:r>
        <w:rPr>
          <w:b w:val="0"/>
          <w:i w:val="0"/>
        </w:rPr>
        <w:t>Building upon these gaps, the present study makes four contributions. First, it formulates the siting of urban green infrastructure as a question about whose location is counted, and compares residential, deprivation-weighted and workplace-weighted rules against a common budget within a single spatially explicit model. Second, it carries the chain from urban form through the wet bulb globe temperature an outdoor worker actually experiences to the hours of work capacity that heat removes, keeping the shading and the air-cooling pathways separate. Third, it treats the disagreement among published exposure–response functions as a first-order source of uncertainty rather than a modelling detail, and reports which conclusions survive it. Fourth, it identifies the structural condition — the correlation between where exposed work happens and where people live — that determines whether workplace-weighted siting is worth adopting, and expresses it as a quantity a city can measure for itself.</w:t>
      </w:r>
    </w:p>
    <w:p>
      <w:pPr>
        <w:pStyle w:val="MDPI31text"/>
      </w:pPr>
      <w:r>
        <w:rPr>
          <w:b w:val="0"/>
          <w:i w:val="0"/>
        </w:rPr>
        <w:t>The remainder of this paper is organised as follows. Section 2 reviews the relevant literatures. Section 3 describes the model, its data and its uncertainty analysis. Section 4 reports the results. Section 5 discusses their interpretation and their limits, and Section 6 concludes.</w:t>
      </w:r>
    </w:p>
    <w:p>
      <w:pPr>
        <w:pStyle w:val="MDPI21heading1"/>
      </w:pPr>
      <w:r>
        <w:t>2. Literature Review</w:t>
      </w:r>
    </w:p>
    <w:p>
      <w:pPr>
        <w:pStyle w:val="MDPI32textnoindent"/>
      </w:pPr>
      <w:r>
        <w:rPr>
          <w:b w:val="0"/>
          <w:i w:val="0"/>
        </w:rPr>
        <w:t>The question posed here sits at the intersection of four literatures, each of which supplies one element of the problem and leaves another unaddressed.</w:t>
      </w:r>
    </w:p>
    <w:p>
      <w:pPr>
        <w:pStyle w:val="MDPI22heading2"/>
      </w:pPr>
      <w:r>
        <w:t>2.1. Urban Heat and the Cooling Effect of Green and Blue Infrastructure</w:t>
      </w:r>
    </w:p>
    <w:p>
      <w:pPr>
        <w:pStyle w:val="MDPI32textnoindent"/>
      </w:pPr>
      <w:r>
        <w:rPr>
          <w:b w:val="0"/>
          <w:i w:val="0"/>
        </w:rPr>
        <w:t xml:space="preserve">The capacity of urban vegetation to lower temperature is well established, and recent work has moved from establishing the effect to characterising its variability. Cooling efficacy differs systematically with background climate, urban morphology and species traits </w:t>
      </w:r>
      <w:r>
        <w:t>[</w:t>
      </w:r>
      <w:r>
        <w:fldChar w:fldCharType="begin"/>
      </w:r>
      <w:r>
        <w:instrText xml:space="preserve"> REF _Ref_2 \h </w:instrText>
      </w:r>
      <w:r>
        <w:fldChar w:fldCharType="separate"/>
      </w:r>
      <w:r>
        <w:t>2</w:t>
      </w:r>
      <w:r>
        <w:fldChar w:fldCharType="end"/>
      </w:r>
      <w:r>
        <w:t>]</w:t>
      </w:r>
      <w:r>
        <w:rPr>
          <w:b w:val="0"/>
          <w:i w:val="0"/>
        </w:rPr>
        <w:t xml:space="preserve">, and reported magnitudes per unit of canopy vary by more than an order of magnitude across studies, a dispersion that reflects genuine heterogeneity as well as differences in measurement. For blue infrastructure, cooling intensity and its decay distance depend strongly on the size and morphology of the water body, with threshold effects beyond which further size adds little </w:t>
      </w:r>
      <w:r>
        <w:t>[</w:t>
      </w:r>
      <w:r>
        <w:fldChar w:fldCharType="begin"/>
      </w:r>
      <w:r>
        <w:instrText xml:space="preserve"> REF _Ref_26 \h </w:instrText>
      </w:r>
      <w:r>
        <w:fldChar w:fldCharType="separate"/>
      </w:r>
      <w:r>
        <w:t>26</w:t>
      </w:r>
      <w:r>
        <w:fldChar w:fldCharType="end"/>
      </w:r>
      <w:r>
        <w:t>]</w:t>
      </w:r>
      <w:r>
        <w:rPr>
          <w:b w:val="0"/>
          <w:i w:val="0"/>
        </w:rPr>
        <w:t xml:space="preserve">. Assessments at European scale confirm that green infrastructure mitigates the heat island across functional urban areas </w:t>
      </w:r>
      <w:r>
        <w:t>[</w:t>
      </w:r>
      <w:r>
        <w:fldChar w:fldCharType="begin"/>
      </w:r>
      <w:r>
        <w:instrText xml:space="preserve"> REF _Ref_3 \h </w:instrText>
      </w:r>
      <w:r>
        <w:fldChar w:fldCharType="separate"/>
      </w:r>
      <w:r>
        <w:t>3</w:t>
      </w:r>
      <w:r>
        <w:fldChar w:fldCharType="end"/>
      </w:r>
      <w:r>
        <w:t>]</w:t>
      </w:r>
      <w:r>
        <w:rPr>
          <w:b w:val="0"/>
          <w:i w:val="0"/>
        </w:rPr>
        <w:t xml:space="preserve">, and health impact assessment translates that cooling into avoided mortality </w:t>
      </w:r>
      <w:r>
        <w:t>[</w:t>
      </w:r>
      <w:r>
        <w:fldChar w:fldCharType="begin"/>
      </w:r>
      <w:r>
        <w:instrText xml:space="preserve"> REF _Ref_4 \h </w:instrText>
      </w:r>
      <w:r>
        <w:fldChar w:fldCharType="separate"/>
      </w:r>
      <w:r>
        <w:t>4</w:t>
      </w:r>
      <w:r>
        <w:fldChar w:fldCharType="end"/>
      </w:r>
      <w:r>
        <w:t>]</w:t>
      </w:r>
      <w:r>
        <w:rPr>
          <w:b w:val="0"/>
          <w:i w:val="0"/>
        </w:rPr>
        <w:t>.</w:t>
      </w:r>
    </w:p>
    <w:p>
      <w:pPr>
        <w:pStyle w:val="MDPI31text"/>
      </w:pPr>
      <w:r>
        <w:rPr>
          <w:b w:val="0"/>
          <w:i w:val="0"/>
        </w:rPr>
        <w:t xml:space="preserve">Two features of this literature matter for what follows. The first is that most of it reports effects on air temperature or on land surface temperature, whereas the heat strain of a person working outdoors depends additionally, and more strongly, on radiant load and on ventilation </w:t>
      </w:r>
      <w:r>
        <w:t>[</w:t>
      </w:r>
      <w:r>
        <w:fldChar w:fldCharType="begin"/>
      </w:r>
      <w:r>
        <w:instrText xml:space="preserve"> REF _Ref_27 \h </w:instrText>
      </w:r>
      <w:r>
        <w:fldChar w:fldCharType="separate"/>
      </w:r>
      <w:r>
        <w:t>27</w:t>
      </w:r>
      <w:r>
        <w:fldChar w:fldCharType="end"/>
      </w:r>
      <w:r>
        <w:t>]</w:t>
      </w:r>
      <w:r>
        <w:rPr>
          <w:b w:val="0"/>
          <w:i w:val="0"/>
        </w:rPr>
        <w:t>. A tree crown standing over a worker and a park cooling a district three hundred metres away are not substitutes, although a canopy-cover statistic counts them alike. The second is that the benefit is conventionally assessed against the population that lives nearby, which is the assumption this study sets out to test.</w:t>
      </w:r>
    </w:p>
    <w:p>
      <w:pPr>
        <w:pStyle w:val="MDPI22heading2"/>
      </w:pPr>
      <w:r>
        <w:t>2.2. Heat, Work Capacity and Labour Outcomes</w:t>
      </w:r>
    </w:p>
    <w:p>
      <w:pPr>
        <w:pStyle w:val="MDPI32textnoindent"/>
      </w:pPr>
      <w:r>
        <w:rPr>
          <w:b w:val="0"/>
          <w:i w:val="0"/>
        </w:rPr>
        <w:t xml:space="preserve">That heat reduces the capacity to work is among the better-established findings in environmental economics. Time-use evidence shows reallocation away from work on hot days in climate-exposed industries </w:t>
      </w:r>
      <w:r>
        <w:t>[</w:t>
      </w:r>
      <w:r>
        <w:fldChar w:fldCharType="begin"/>
      </w:r>
      <w:r>
        <w:instrText xml:space="preserve"> REF _Ref_6 \h </w:instrText>
      </w:r>
      <w:r>
        <w:fldChar w:fldCharType="separate"/>
      </w:r>
      <w:r>
        <w:t>6</w:t>
      </w:r>
      <w:r>
        <w:fldChar w:fldCharType="end"/>
      </w:r>
      <w:r>
        <w:t>]</w:t>
      </w:r>
      <w:r>
        <w:rPr>
          <w:b w:val="0"/>
          <w:i w:val="0"/>
        </w:rPr>
        <w:t xml:space="preserve">; firm microdata show falls in output and rises in absenteeism </w:t>
      </w:r>
      <w:r>
        <w:t>[</w:t>
      </w:r>
      <w:r>
        <w:fldChar w:fldCharType="begin"/>
      </w:r>
      <w:r>
        <w:instrText xml:space="preserve"> REF _Ref_7 \h </w:instrText>
      </w:r>
      <w:r>
        <w:fldChar w:fldCharType="separate"/>
      </w:r>
      <w:r>
        <w:t>7</w:t>
      </w:r>
      <w:r>
        <w:fldChar w:fldCharType="end"/>
      </w:r>
      <w:r>
        <w:t>]</w:t>
      </w:r>
      <w:r>
        <w:rPr>
          <w:b w:val="0"/>
          <w:i w:val="0"/>
        </w:rPr>
        <w:t xml:space="preserve">. Physiological work translates the same relationship into exposure–response functions relating the wet bulb globe temperature to the share of an hour that can be worked at a given metabolic rate </w:t>
      </w:r>
      <w:r>
        <w:t>[</w:t>
      </w:r>
      <w:r>
        <w:fldChar w:fldCharType="begin"/>
      </w:r>
      <w:r>
        <w:instrText xml:space="preserve"> REF _Ref_28 \h </w:instrText>
      </w:r>
      <w:r>
        <w:fldChar w:fldCharType="separate"/>
      </w:r>
      <w:r>
        <w:t>28</w:t>
      </w:r>
      <w:r>
        <w:fldChar w:fldCharType="end"/>
      </w:r>
      <w:r>
        <w:t>]</w:t>
      </w:r>
      <w:r>
        <w:rPr>
          <w:b w:val="0"/>
          <w:i w:val="0"/>
        </w:rPr>
        <w:t xml:space="preserve">, </w:t>
      </w:r>
      <w:r>
        <w:t>[</w:t>
      </w:r>
      <w:r>
        <w:fldChar w:fldCharType="begin"/>
      </w:r>
      <w:r>
        <w:instrText xml:space="preserve"> REF _Ref_29 \h </w:instrText>
      </w:r>
      <w:r>
        <w:fldChar w:fldCharType="separate"/>
      </w:r>
      <w:r>
        <w:t>29</w:t>
      </w:r>
      <w:r>
        <w:fldChar w:fldCharType="end"/>
      </w:r>
      <w:r>
        <w:t>]</w:t>
      </w:r>
      <w:r>
        <w:rPr>
          <w:b w:val="0"/>
          <w:i w:val="0"/>
        </w:rPr>
        <w:t xml:space="preserve">, </w:t>
      </w:r>
      <w:r>
        <w:t>[</w:t>
      </w:r>
      <w:r>
        <w:fldChar w:fldCharType="begin"/>
      </w:r>
      <w:r>
        <w:instrText xml:space="preserve"> REF _Ref_30 \h </w:instrText>
      </w:r>
      <w:r>
        <w:fldChar w:fldCharType="separate"/>
      </w:r>
      <w:r>
        <w:t>30</w:t>
      </w:r>
      <w:r>
        <w:fldChar w:fldCharType="end"/>
      </w:r>
      <w:r>
        <w:t>]</w:t>
      </w:r>
      <w:r>
        <w:rPr>
          <w:b w:val="0"/>
          <w:i w:val="0"/>
        </w:rPr>
        <w:t xml:space="preserve">, and these functions underpin global assessments of labour loss </w:t>
      </w:r>
      <w:r>
        <w:t>[</w:t>
      </w:r>
      <w:r>
        <w:fldChar w:fldCharType="begin"/>
      </w:r>
      <w:r>
        <w:instrText xml:space="preserve"> REF _Ref_31 \h </w:instrText>
      </w:r>
      <w:r>
        <w:fldChar w:fldCharType="separate"/>
      </w:r>
      <w:r>
        <w:t>31</w:t>
      </w:r>
      <w:r>
        <w:fldChar w:fldCharType="end"/>
      </w:r>
      <w:r>
        <w:t>]</w:t>
      </w:r>
      <w:r>
        <w:rPr>
          <w:b w:val="0"/>
          <w:i w:val="0"/>
        </w:rPr>
        <w:t xml:space="preserve">, </w:t>
      </w:r>
      <w:r>
        <w:t>[</w:t>
      </w:r>
      <w:r>
        <w:fldChar w:fldCharType="begin"/>
      </w:r>
      <w:r>
        <w:instrText xml:space="preserve"> REF _Ref_9 \h </w:instrText>
      </w:r>
      <w:r>
        <w:fldChar w:fldCharType="separate"/>
      </w:r>
      <w:r>
        <w:t>9</w:t>
      </w:r>
      <w:r>
        <w:fldChar w:fldCharType="end"/>
      </w:r>
      <w:r>
        <w:t>]</w:t>
      </w:r>
      <w:r>
        <w:rPr>
          <w:b w:val="0"/>
          <w:i w:val="0"/>
        </w:rPr>
        <w:t xml:space="preserve">, </w:t>
      </w:r>
      <w:r>
        <w:t>[</w:t>
      </w:r>
      <w:r>
        <w:fldChar w:fldCharType="begin"/>
      </w:r>
      <w:r>
        <w:instrText xml:space="preserve"> REF _Ref_8 \h </w:instrText>
      </w:r>
      <w:r>
        <w:fldChar w:fldCharType="separate"/>
      </w:r>
      <w:r>
        <w:t>8</w:t>
      </w:r>
      <w:r>
        <w:fldChar w:fldCharType="end"/>
      </w:r>
      <w:r>
        <w:t>]</w:t>
      </w:r>
      <w:r>
        <w:rPr>
          <w:b w:val="0"/>
          <w:i w:val="0"/>
        </w:rPr>
        <w:t>.</w:t>
      </w:r>
    </w:p>
    <w:p>
      <w:pPr>
        <w:pStyle w:val="MDPI31text"/>
      </w:pPr>
      <w:r>
        <w:rPr>
          <w:b w:val="0"/>
          <w:i w:val="0"/>
        </w:rPr>
        <w:t xml:space="preserve">The functions do not agree. Those derived from occupational standards are constructed as thresholds and return no loss below a limit that depends on workload, while empirical and epidemiological functions return small losses at much lower temperatures. The choice of metric has been shown to change estimated work ability materially </w:t>
      </w:r>
      <w:r>
        <w:t>[</w:t>
      </w:r>
      <w:r>
        <w:fldChar w:fldCharType="begin"/>
      </w:r>
      <w:r>
        <w:instrText xml:space="preserve"> REF _Ref_25 \h </w:instrText>
      </w:r>
      <w:r>
        <w:fldChar w:fldCharType="separate"/>
      </w:r>
      <w:r>
        <w:t>25</w:t>
      </w:r>
      <w:r>
        <w:fldChar w:fldCharType="end"/>
      </w:r>
      <w:r>
        <w:t>]</w:t>
      </w:r>
      <w:r>
        <w:rPr>
          <w:b w:val="0"/>
          <w:i w:val="0"/>
        </w:rPr>
        <w:t xml:space="preserve">, and a comparative assessment of adaptation options notes the same sensitivity </w:t>
      </w:r>
      <w:r>
        <w:t>[</w:t>
      </w:r>
      <w:r>
        <w:fldChar w:fldCharType="begin"/>
      </w:r>
      <w:r>
        <w:instrText xml:space="preserve"> REF _Ref_32 \h </w:instrText>
      </w:r>
      <w:r>
        <w:fldChar w:fldCharType="separate"/>
      </w:r>
      <w:r>
        <w:t>32</w:t>
      </w:r>
      <w:r>
        <w:fldChar w:fldCharType="end"/>
      </w:r>
      <w:r>
        <w:t>]</w:t>
      </w:r>
      <w:r>
        <w:rPr>
          <w:b w:val="0"/>
          <w:i w:val="0"/>
        </w:rPr>
        <w:t>. Because European summers fall in the range where the families diverge, this is not a second-order concern for a European study, and the present analysis carries five functions rather than selecting one.</w:t>
      </w:r>
    </w:p>
    <w:p>
      <w:pPr>
        <w:pStyle w:val="MDPI22heading2"/>
      </w:pPr>
      <w:r>
        <w:t>2.3. Young Workers and Occupational Heat Exposure</w:t>
      </w:r>
    </w:p>
    <w:p>
      <w:pPr>
        <w:pStyle w:val="MDPI32textnoindent"/>
      </w:pPr>
      <w:r>
        <w:rPr>
          <w:b w:val="0"/>
          <w:i w:val="0"/>
        </w:rPr>
        <w:t xml:space="preserve">Occupational heat exposure is unevenly distributed, and the unevenness has an age dimension that operates through job composition. A European job exposure matrix now quantifies heat stress hours by occupational title across the continent </w:t>
      </w:r>
      <w:r>
        <w:t>[</w:t>
      </w:r>
      <w:r>
        <w:fldChar w:fldCharType="begin"/>
      </w:r>
      <w:r>
        <w:instrText xml:space="preserve"> REF _Ref_33 \h </w:instrText>
      </w:r>
      <w:r>
        <w:fldChar w:fldCharType="separate"/>
      </w:r>
      <w:r>
        <w:t>33</w:t>
      </w:r>
      <w:r>
        <w:fldChar w:fldCharType="end"/>
      </w:r>
      <w:r>
        <w:t>]</w:t>
      </w:r>
      <w:r>
        <w:rPr>
          <w:b w:val="0"/>
          <w:i w:val="0"/>
        </w:rPr>
        <w:t xml:space="preserve">, confirming that exposure concentrates in a small number of manual and outdoor occupations. Those occupations are also where young people enter the labour market, frequently on temporary and agency contracts, and precarious employment carries a systematically elevated risk of occupational injury </w:t>
      </w:r>
      <w:r>
        <w:t>[</w:t>
      </w:r>
      <w:r>
        <w:fldChar w:fldCharType="begin"/>
      </w:r>
      <w:r>
        <w:instrText xml:space="preserve"> REF _Ref_18 \h </w:instrText>
      </w:r>
      <w:r>
        <w:fldChar w:fldCharType="separate"/>
      </w:r>
      <w:r>
        <w:t>18</w:t>
      </w:r>
      <w:r>
        <w:fldChar w:fldCharType="end"/>
      </w:r>
      <w:r>
        <w:t>]</w:t>
      </w:r>
      <w:r>
        <w:rPr>
          <w:b w:val="0"/>
          <w:i w:val="0"/>
        </w:rPr>
        <w:t xml:space="preserve">. Analyses of heat-attributable occupational illness find short tenure and youth among the risk factors </w:t>
      </w:r>
      <w:r>
        <w:t>[</w:t>
      </w:r>
      <w:r>
        <w:fldChar w:fldCharType="begin"/>
      </w:r>
      <w:r>
        <w:instrText xml:space="preserve"> REF _Ref_19 \h </w:instrText>
      </w:r>
      <w:r>
        <w:fldChar w:fldCharType="separate"/>
      </w:r>
      <w:r>
        <w:t>19</w:t>
      </w:r>
      <w:r>
        <w:fldChar w:fldCharType="end"/>
      </w:r>
      <w:r>
        <w:t>]</w:t>
      </w:r>
      <w:r>
        <w:rPr>
          <w:b w:val="0"/>
          <w:i w:val="0"/>
        </w:rPr>
        <w:t xml:space="preserve">. Because early unemployment and poor early job quality leave durable traces on subsequent careers </w:t>
      </w:r>
      <w:r>
        <w:t>[</w:t>
      </w:r>
      <w:r>
        <w:fldChar w:fldCharType="begin"/>
      </w:r>
      <w:r>
        <w:instrText xml:space="preserve"> REF _Ref_20 \h </w:instrText>
      </w:r>
      <w:r>
        <w:fldChar w:fldCharType="separate"/>
      </w:r>
      <w:r>
        <w:t>20</w:t>
      </w:r>
      <w:r>
        <w:fldChar w:fldCharType="end"/>
      </w:r>
      <w:r>
        <w:t>]</w:t>
      </w:r>
      <w:r>
        <w:rPr>
          <w:b w:val="0"/>
          <w:i w:val="0"/>
        </w:rPr>
        <w:t xml:space="preserve">, </w:t>
      </w:r>
      <w:r>
        <w:t>[</w:t>
      </w:r>
      <w:r>
        <w:fldChar w:fldCharType="begin"/>
      </w:r>
      <w:r>
        <w:instrText xml:space="preserve"> REF _Ref_21 \h </w:instrText>
      </w:r>
      <w:r>
        <w:fldChar w:fldCharType="separate"/>
      </w:r>
      <w:r>
        <w:t>21</w:t>
      </w:r>
      <w:r>
        <w:fldChar w:fldCharType="end"/>
      </w:r>
      <w:r>
        <w:t>]</w:t>
      </w:r>
      <w:r>
        <w:rPr>
          <w:b w:val="0"/>
          <w:i w:val="0"/>
        </w:rPr>
        <w:t>, the stakes attached to summer working conditions are higher for this group than a snapshot of lost hours conveys.</w:t>
      </w:r>
    </w:p>
    <w:p>
      <w:pPr>
        <w:pStyle w:val="MDPI22heading2"/>
      </w:pPr>
      <w:r>
        <w:t>2.4. Siting Green Infrastructure: Whose Exposure Is Counted</w:t>
      </w:r>
    </w:p>
    <w:p>
      <w:pPr>
        <w:pStyle w:val="MDPI32textnoindent"/>
      </w:pPr>
      <w:r>
        <w:rPr>
          <w:b w:val="0"/>
          <w:i w:val="0"/>
        </w:rPr>
        <w:t xml:space="preserve">How cities decide where to plant has itself become a subject of study. Reviews of siting methods document prioritisation on land availability, existing canopy, surface temperature and residential social vulnerability </w:t>
      </w:r>
      <w:r>
        <w:t>[</w:t>
      </w:r>
      <w:r>
        <w:fldChar w:fldCharType="begin"/>
      </w:r>
      <w:r>
        <w:instrText xml:space="preserve"> REF _Ref_16 \h </w:instrText>
      </w:r>
      <w:r>
        <w:fldChar w:fldCharType="separate"/>
      </w:r>
      <w:r>
        <w:t>16</w:t>
      </w:r>
      <w:r>
        <w:fldChar w:fldCharType="end"/>
      </w:r>
      <w:r>
        <w:t>]</w:t>
      </w:r>
      <w:r>
        <w:rPr>
          <w:b w:val="0"/>
          <w:i w:val="0"/>
        </w:rPr>
        <w:t xml:space="preserve">, </w:t>
      </w:r>
      <w:r>
        <w:t>[</w:t>
      </w:r>
      <w:r>
        <w:fldChar w:fldCharType="begin"/>
      </w:r>
      <w:r>
        <w:instrText xml:space="preserve"> REF _Ref_34 \h </w:instrText>
      </w:r>
      <w:r>
        <w:fldChar w:fldCharType="separate"/>
      </w:r>
      <w:r>
        <w:t>34</w:t>
      </w:r>
      <w:r>
        <w:fldChar w:fldCharType="end"/>
      </w:r>
      <w:r>
        <w:t>]</w:t>
      </w:r>
      <w:r>
        <w:rPr>
          <w:b w:val="0"/>
          <w:i w:val="0"/>
        </w:rPr>
        <w:t xml:space="preserve">. A parallel literature examines the justice implications of those criteria </w:t>
      </w:r>
      <w:r>
        <w:t>[</w:t>
      </w:r>
      <w:r>
        <w:fldChar w:fldCharType="begin"/>
      </w:r>
      <w:r>
        <w:instrText xml:space="preserve"> REF _Ref_35 \h </w:instrText>
      </w:r>
      <w:r>
        <w:fldChar w:fldCharType="separate"/>
      </w:r>
      <w:r>
        <w:t>35</w:t>
      </w:r>
      <w:r>
        <w:fldChar w:fldCharType="end"/>
      </w:r>
      <w:r>
        <w:t>]</w:t>
      </w:r>
      <w:r>
        <w:rPr>
          <w:b w:val="0"/>
          <w:i w:val="0"/>
        </w:rPr>
        <w:t xml:space="preserve">, the maldistribution of green infrastructure relative to residential deprivation </w:t>
      </w:r>
      <w:r>
        <w:t>[</w:t>
      </w:r>
      <w:r>
        <w:fldChar w:fldCharType="begin"/>
      </w:r>
      <w:r>
        <w:instrText xml:space="preserve"> REF _Ref_36 \h </w:instrText>
      </w:r>
      <w:r>
        <w:fldChar w:fldCharType="separate"/>
      </w:r>
      <w:r>
        <w:t>36</w:t>
      </w:r>
      <w:r>
        <w:fldChar w:fldCharType="end"/>
      </w:r>
      <w:r>
        <w:t>]</w:t>
      </w:r>
      <w:r>
        <w:rPr>
          <w:b w:val="0"/>
          <w:i w:val="0"/>
        </w:rPr>
        <w:t xml:space="preserve">, and the displacement that greening can itself produce </w:t>
      </w:r>
      <w:r>
        <w:t>[</w:t>
      </w:r>
      <w:r>
        <w:fldChar w:fldCharType="begin"/>
      </w:r>
      <w:r>
        <w:instrText xml:space="preserve"> REF _Ref_37 \h </w:instrText>
      </w:r>
      <w:r>
        <w:fldChar w:fldCharType="separate"/>
      </w:r>
      <w:r>
        <w:t>37</w:t>
      </w:r>
      <w:r>
        <w:fldChar w:fldCharType="end"/>
      </w:r>
      <w:r>
        <w:t>]</w:t>
      </w:r>
      <w:r>
        <w:rPr>
          <w:b w:val="0"/>
          <w:i w:val="0"/>
        </w:rPr>
        <w:t>. Across all of it the unit of exposure is the place of residence.</w:t>
      </w:r>
    </w:p>
    <w:p>
      <w:pPr>
        <w:pStyle w:val="MDPI31text"/>
      </w:pPr>
      <w:r>
        <w:rPr>
          <w:b w:val="0"/>
          <w:i w:val="0"/>
        </w:rPr>
        <w:t xml:space="preserve">The exception proves the point. Where greening has been formally optimised, the objective function has been residential population exposure </w:t>
      </w:r>
      <w:r>
        <w:t>[</w:t>
      </w:r>
      <w:r>
        <w:fldChar w:fldCharType="begin"/>
      </w:r>
      <w:r>
        <w:instrText xml:space="preserve"> REF _Ref_17 \h </w:instrText>
      </w:r>
      <w:r>
        <w:fldChar w:fldCharType="separate"/>
      </w:r>
      <w:r>
        <w:t>17</w:t>
      </w:r>
      <w:r>
        <w:fldChar w:fldCharType="end"/>
      </w:r>
      <w:r>
        <w:t>]</w:t>
      </w:r>
      <w:r>
        <w:rPr>
          <w:b w:val="0"/>
          <w:i w:val="0"/>
        </w:rPr>
        <w:t xml:space="preserve">. Where a normative standard names workplaces explicitly </w:t>
      </w:r>
      <w:r>
        <w:t>[</w:t>
      </w:r>
      <w:r>
        <w:fldChar w:fldCharType="begin"/>
      </w:r>
      <w:r>
        <w:instrText xml:space="preserve"> REF _Ref_13 \h </w:instrText>
      </w:r>
      <w:r>
        <w:fldChar w:fldCharType="separate"/>
      </w:r>
      <w:r>
        <w:t>13</w:t>
      </w:r>
      <w:r>
        <w:fldChar w:fldCharType="end"/>
      </w:r>
      <w:r>
        <w:t>]</w:t>
      </w:r>
      <w:r>
        <w:rPr>
          <w:b w:val="0"/>
          <w:i w:val="0"/>
        </w:rPr>
        <w:t xml:space="preserve">, its empirical operationalisation evaluates dwellings </w:t>
      </w:r>
      <w:r>
        <w:t>[</w:t>
      </w:r>
      <w:r>
        <w:fldChar w:fldCharType="begin"/>
      </w:r>
      <w:r>
        <w:instrText xml:space="preserve"> REF _Ref_14 \h </w:instrText>
      </w:r>
      <w:r>
        <w:fldChar w:fldCharType="separate"/>
      </w:r>
      <w:r>
        <w:t>14</w:t>
      </w:r>
      <w:r>
        <w:fldChar w:fldCharType="end"/>
      </w:r>
      <w:r>
        <w:t>]</w:t>
      </w:r>
      <w:r>
        <w:rPr>
          <w:b w:val="0"/>
          <w:i w:val="0"/>
        </w:rPr>
        <w:t xml:space="preserve">. And where occupational exposure has been mapped against the indices used to target environmental intervention, the two are found to be weakly or negatively related </w:t>
      </w:r>
      <w:r>
        <w:t>[</w:t>
      </w:r>
      <w:r>
        <w:fldChar w:fldCharType="begin"/>
      </w:r>
      <w:r>
        <w:instrText xml:space="preserve"> REF _Ref_12 \h </w:instrText>
      </w:r>
      <w:r>
        <w:fldChar w:fldCharType="separate"/>
      </w:r>
      <w:r>
        <w:t>12</w:t>
      </w:r>
      <w:r>
        <w:fldChar w:fldCharType="end"/>
      </w:r>
      <w:r>
        <w:t>]</w:t>
      </w:r>
      <w:r>
        <w:rPr>
          <w:b w:val="0"/>
          <w:i w:val="0"/>
        </w:rPr>
        <w:t xml:space="preserve">. The proposition that a city should count workplaces when it decides where to plant has been stated </w:t>
      </w:r>
      <w:r>
        <w:t>[</w:t>
      </w:r>
      <w:r>
        <w:fldChar w:fldCharType="begin"/>
      </w:r>
      <w:r>
        <w:instrText xml:space="preserve"> REF _Ref_15 \h </w:instrText>
      </w:r>
      <w:r>
        <w:fldChar w:fldCharType="separate"/>
      </w:r>
      <w:r>
        <w:t>15</w:t>
      </w:r>
      <w:r>
        <w:fldChar w:fldCharType="end"/>
      </w:r>
      <w:r>
        <w:t>]</w:t>
      </w:r>
      <w:r>
        <w:rPr>
          <w:b w:val="0"/>
          <w:i w:val="0"/>
        </w:rPr>
        <w:t xml:space="preserve"> but not evaluated, and this study evaluates it.</w:t>
      </w:r>
    </w:p>
    <w:p>
      <w:pPr>
        <w:pStyle w:val="MDPI21heading1"/>
      </w:pPr>
      <w:r>
        <w:t>3. Materials and Methods</w:t>
      </w:r>
    </w:p>
    <w:p>
      <w:pPr>
        <w:pStyle w:val="MDPI22heading2"/>
      </w:pPr>
      <w:r>
        <w:t>3.1. Design and Data</w:t>
      </w:r>
    </w:p>
    <w:p>
      <w:pPr>
        <w:pStyle w:val="MDPI32textnoindent"/>
      </w:pPr>
      <w:r>
        <w:rPr>
          <w:b w:val="0"/>
          <w:i w:val="0"/>
        </w:rPr>
        <w:t>This study is model-based. It does not analyse a survey, a register or an observational panel, and it makes no claim about any named city. The reason is that the question it asks is counterfactual — where cooling ought to be placed, as against where it is placed — and no observational design answers a counterfactual of that form. The cost of the choice is that the results are conditional on the model; the response to that cost is the uncertainty analysis of Section 3.3, which sweeps every parameter rather than defending any of them.</w:t>
      </w:r>
    </w:p>
    <w:p>
      <w:pPr>
        <w:pStyle w:val="MDPI31text"/>
      </w:pPr>
      <w:r>
        <w:rPr>
          <w:b w:val="0"/>
          <w:i w:val="0"/>
        </w:rPr>
        <w:t>Three kinds of input enter the model, and they differ in their epistemic status, which Table 1 states explicitly. The first kind is taken from the published literature and cited: the five exposure–response functions that map heat to work capacity, the cooling magnitudes attributed to tree canopy and to urban water, and the ratio of workplace-accident incidence between younger and older European workers. The second kind is computed from the first. The third kind is a declared modelling choice — the geometry of the city, the composition of its employment, the shares of working time spent outdoors. Choices of the third kind are not defended in the text and are not presented as measurements; they are listed in Appendix A with the interval over which the analysis varies them. Of the 28 parameters the model uses, 8 carry a value stated in a cited source and 20 are modelling choices.</w:t>
      </w:r>
    </w:p>
    <w:p>
      <w:pPr>
        <w:pStyle w:val="MDPI41tablecaption"/>
        <w:keepNext/>
        <w:spacing w:after="60"/>
      </w:pPr>
      <w:r>
        <w:rPr>
          <w:b/>
          <w:sz w:val="18"/>
        </w:rPr>
        <w:t xml:space="preserve">Table 1. </w:t>
      </w:r>
      <w:r>
        <w:rPr>
          <w:b w:val="0"/>
          <w:i w:val="0"/>
          <w:sz w:val="18"/>
        </w:rPr>
        <w:t>Components of the assessment model.</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571"/>
        <w:gridCol w:w="4086"/>
        <w:gridCol w:w="2200"/>
      </w:tblGrid>
      <w:tr>
        <w:trPr>
          <w:cantSplit/>
          <w:tblHeader/>
        </w:trPr>
        <w:tc>
          <w:tcPr>
            <w:tcW w:type="dxa" w:w="1571"/>
            <w:tcBorders>
              <w:bottom w:val="single" w:sz="8" w:space="0" w:color="auto"/>
            </w:tcBorders>
          </w:tcPr>
          <w:p>
            <w:pPr>
              <w:pStyle w:val="MDPI42tablebody"/>
              <w:keepNext/>
              <w:spacing w:line="240" w:lineRule="auto" w:before="30" w:after="30"/>
              <w:jc w:val="center"/>
            </w:pPr>
            <w:r>
              <w:rPr>
                <w:b/>
                <w:i w:val="0"/>
                <w:sz w:val="18"/>
              </w:rPr>
              <w:t>Component</w:t>
            </w:r>
          </w:p>
        </w:tc>
        <w:tc>
          <w:tcPr>
            <w:tcW w:type="dxa" w:w="4086"/>
            <w:tcBorders>
              <w:bottom w:val="single" w:sz="8" w:space="0" w:color="auto"/>
            </w:tcBorders>
          </w:tcPr>
          <w:p>
            <w:pPr>
              <w:pStyle w:val="MDPI42tablebody"/>
              <w:keepNext/>
              <w:spacing w:line="240" w:lineRule="auto" w:before="30" w:after="30"/>
              <w:jc w:val="center"/>
            </w:pPr>
            <w:r>
              <w:rPr>
                <w:b/>
                <w:i w:val="0"/>
                <w:sz w:val="18"/>
              </w:rPr>
              <w:t>Description</w:t>
            </w:r>
          </w:p>
        </w:tc>
        <w:tc>
          <w:tcPr>
            <w:tcW w:type="dxa" w:w="2200"/>
            <w:tcBorders>
              <w:bottom w:val="single" w:sz="8" w:space="0" w:color="auto"/>
            </w:tcBorders>
          </w:tcPr>
          <w:p>
            <w:pPr>
              <w:pStyle w:val="MDPI42tablebody"/>
              <w:keepNext/>
              <w:spacing w:line="240" w:lineRule="auto" w:before="30" w:after="30"/>
              <w:jc w:val="center"/>
            </w:pPr>
            <w:r>
              <w:rPr>
                <w:b/>
                <w:i w:val="0"/>
                <w:sz w:val="18"/>
              </w:rPr>
              <w:t>Status</w:t>
            </w:r>
          </w:p>
        </w:tc>
      </w:tr>
      <w:tr>
        <w:trPr>
          <w:cantSplit/>
        </w:trPr>
        <w:tc>
          <w:tcPr>
            <w:tcW w:type="dxa" w:w="1571"/>
          </w:tcPr>
          <w:p>
            <w:pPr>
              <w:pStyle w:val="MDPI42tablebody"/>
              <w:keepNext/>
              <w:spacing w:line="240" w:lineRule="auto" w:before="30" w:after="30"/>
              <w:jc w:val="left"/>
            </w:pPr>
            <w:r>
              <w:rPr>
                <w:b w:val="0"/>
                <w:i w:val="0"/>
                <w:sz w:val="18"/>
              </w:rPr>
              <w:t>Urban form</w:t>
            </w:r>
          </w:p>
        </w:tc>
        <w:tc>
          <w:tcPr>
            <w:tcW w:type="dxa" w:w="4086"/>
          </w:tcPr>
          <w:p>
            <w:pPr>
              <w:pStyle w:val="MDPI42tablebody"/>
              <w:keepNext/>
              <w:spacing w:line="240" w:lineRule="auto" w:before="30" w:after="30"/>
              <w:jc w:val="left"/>
            </w:pPr>
            <w:r>
              <w:rPr>
                <w:b w:val="0"/>
                <w:i w:val="0"/>
                <w:sz w:val="18"/>
              </w:rPr>
              <w:t>Land use, building density, sky view factor and ventilation on a 40 × 40 grid of 250 m cells</w:t>
            </w:r>
          </w:p>
        </w:tc>
        <w:tc>
          <w:tcPr>
            <w:tcW w:type="dxa" w:w="2200"/>
          </w:tcPr>
          <w:p>
            <w:pPr>
              <w:pStyle w:val="MDPI42tablebody"/>
              <w:keepNext/>
              <w:spacing w:line="240" w:lineRule="auto" w:before="30" w:after="30"/>
              <w:jc w:val="center"/>
            </w:pPr>
            <w:r>
              <w:rPr>
                <w:b w:val="0"/>
                <w:i w:val="0"/>
                <w:sz w:val="18"/>
              </w:rPr>
              <w:t>Synthetic, declared</w:t>
            </w:r>
          </w:p>
        </w:tc>
      </w:tr>
      <w:tr>
        <w:trPr>
          <w:cantSplit/>
        </w:trPr>
        <w:tc>
          <w:tcPr>
            <w:tcW w:type="dxa" w:w="1571"/>
          </w:tcPr>
          <w:p>
            <w:pPr>
              <w:pStyle w:val="MDPI42tablebody"/>
              <w:keepNext/>
              <w:spacing w:line="240" w:lineRule="auto" w:before="30" w:after="30"/>
              <w:jc w:val="left"/>
            </w:pPr>
            <w:r>
              <w:rPr>
                <w:b w:val="0"/>
                <w:i w:val="0"/>
                <w:sz w:val="18"/>
              </w:rPr>
              <w:t>Existing cover</w:t>
            </w:r>
          </w:p>
        </w:tc>
        <w:tc>
          <w:tcPr>
            <w:tcW w:type="dxa" w:w="4086"/>
          </w:tcPr>
          <w:p>
            <w:pPr>
              <w:pStyle w:val="MDPI42tablebody"/>
              <w:keepNext/>
              <w:spacing w:line="240" w:lineRule="auto" w:before="30" w:after="30"/>
              <w:jc w:val="left"/>
            </w:pPr>
            <w:r>
              <w:rPr>
                <w:b w:val="0"/>
                <w:i w:val="0"/>
                <w:sz w:val="18"/>
              </w:rPr>
              <w:t>Tree canopy fraction and distance to the watercourse, by cell</w:t>
            </w:r>
          </w:p>
        </w:tc>
        <w:tc>
          <w:tcPr>
            <w:tcW w:type="dxa" w:w="2200"/>
          </w:tcPr>
          <w:p>
            <w:pPr>
              <w:pStyle w:val="MDPI42tablebody"/>
              <w:keepNext/>
              <w:spacing w:line="240" w:lineRule="auto" w:before="30" w:after="30"/>
              <w:jc w:val="center"/>
            </w:pPr>
            <w:r>
              <w:rPr>
                <w:b w:val="0"/>
                <w:i w:val="0"/>
                <w:sz w:val="18"/>
              </w:rPr>
              <w:t>Synthetic, declared</w:t>
            </w:r>
          </w:p>
        </w:tc>
      </w:tr>
      <w:tr>
        <w:trPr>
          <w:cantSplit/>
        </w:trPr>
        <w:tc>
          <w:tcPr>
            <w:tcW w:type="dxa" w:w="1571"/>
          </w:tcPr>
          <w:p>
            <w:pPr>
              <w:pStyle w:val="MDPI42tablebody"/>
              <w:keepNext/>
              <w:spacing w:line="240" w:lineRule="auto" w:before="30" w:after="30"/>
              <w:jc w:val="left"/>
            </w:pPr>
            <w:r>
              <w:rPr>
                <w:b w:val="0"/>
                <w:i w:val="0"/>
                <w:sz w:val="18"/>
              </w:rPr>
              <w:t>Climate setting</w:t>
            </w:r>
          </w:p>
        </w:tc>
        <w:tc>
          <w:tcPr>
            <w:tcW w:type="dxa" w:w="4086"/>
          </w:tcPr>
          <w:p>
            <w:pPr>
              <w:pStyle w:val="MDPI42tablebody"/>
              <w:keepNext/>
              <w:spacing w:line="240" w:lineRule="auto" w:before="30" w:after="30"/>
              <w:jc w:val="left"/>
            </w:pPr>
            <w:r>
              <w:rPr>
                <w:b w:val="0"/>
                <w:i w:val="0"/>
                <w:sz w:val="18"/>
              </w:rPr>
              <w:t>Summer air temperature, relative humidity and irradiance over the working day</w:t>
            </w:r>
          </w:p>
        </w:tc>
        <w:tc>
          <w:tcPr>
            <w:tcW w:type="dxa" w:w="2200"/>
          </w:tcPr>
          <w:p>
            <w:pPr>
              <w:pStyle w:val="MDPI42tablebody"/>
              <w:keepNext/>
              <w:spacing w:line="240" w:lineRule="auto" w:before="30" w:after="30"/>
              <w:jc w:val="center"/>
            </w:pPr>
            <w:r>
              <w:rPr>
                <w:b w:val="0"/>
                <w:i w:val="0"/>
                <w:sz w:val="18"/>
              </w:rPr>
              <w:t>Declared modelling input, four settings</w:t>
            </w:r>
          </w:p>
        </w:tc>
      </w:tr>
      <w:tr>
        <w:trPr>
          <w:cantSplit/>
        </w:trPr>
        <w:tc>
          <w:tcPr>
            <w:tcW w:type="dxa" w:w="1571"/>
          </w:tcPr>
          <w:p>
            <w:pPr>
              <w:pStyle w:val="MDPI42tablebody"/>
              <w:keepNext/>
              <w:spacing w:line="240" w:lineRule="auto" w:before="30" w:after="30"/>
              <w:jc w:val="left"/>
            </w:pPr>
            <w:r>
              <w:rPr>
                <w:b w:val="0"/>
                <w:i w:val="0"/>
                <w:sz w:val="18"/>
              </w:rPr>
              <w:t>WBGT</w:t>
            </w:r>
          </w:p>
        </w:tc>
        <w:tc>
          <w:tcPr>
            <w:tcW w:type="dxa" w:w="4086"/>
          </w:tcPr>
          <w:p>
            <w:pPr>
              <w:pStyle w:val="MDPI42tablebody"/>
              <w:keepNext/>
              <w:spacing w:line="240" w:lineRule="auto" w:before="30" w:after="30"/>
              <w:jc w:val="left"/>
            </w:pPr>
            <w:r>
              <w:rPr>
                <w:b w:val="0"/>
                <w:i w:val="0"/>
                <w:sz w:val="18"/>
              </w:rPr>
              <w:t>Simplified wet bulb globe temperature plus an outdoor radiant increment, by cell and hour</w:t>
            </w:r>
          </w:p>
        </w:tc>
        <w:tc>
          <w:tcPr>
            <w:tcW w:type="dxa" w:w="2200"/>
          </w:tcPr>
          <w:p>
            <w:pPr>
              <w:pStyle w:val="MDPI42tablebody"/>
              <w:keepNext/>
              <w:spacing w:line="240" w:lineRule="auto" w:before="30" w:after="30"/>
              <w:jc w:val="center"/>
            </w:pPr>
            <w:r>
              <w:rPr>
                <w:b w:val="0"/>
                <w:i w:val="0"/>
                <w:sz w:val="18"/>
              </w:rPr>
              <w:t>Computed</w:t>
            </w:r>
          </w:p>
        </w:tc>
      </w:tr>
      <w:tr>
        <w:trPr>
          <w:cantSplit/>
        </w:trPr>
        <w:tc>
          <w:tcPr>
            <w:tcW w:type="dxa" w:w="1571"/>
          </w:tcPr>
          <w:p>
            <w:pPr>
              <w:pStyle w:val="MDPI42tablebody"/>
              <w:keepNext/>
              <w:spacing w:line="240" w:lineRule="auto" w:before="30" w:after="30"/>
              <w:jc w:val="left"/>
            </w:pPr>
            <w:r>
              <w:rPr>
                <w:b w:val="0"/>
                <w:i w:val="0"/>
                <w:sz w:val="18"/>
              </w:rPr>
              <w:t>Work capacity</w:t>
            </w:r>
          </w:p>
        </w:tc>
        <w:tc>
          <w:tcPr>
            <w:tcW w:type="dxa" w:w="4086"/>
          </w:tcPr>
          <w:p>
            <w:pPr>
              <w:pStyle w:val="MDPI42tablebody"/>
              <w:keepNext/>
              <w:spacing w:line="240" w:lineRule="auto" w:before="30" w:after="30"/>
              <w:jc w:val="left"/>
            </w:pPr>
            <w:r>
              <w:rPr>
                <w:b w:val="0"/>
                <w:i w:val="0"/>
                <w:sz w:val="18"/>
              </w:rPr>
              <w:t>Share of the working hour a worker can work at a given metabolic rate</w:t>
            </w:r>
          </w:p>
        </w:tc>
        <w:tc>
          <w:tcPr>
            <w:tcW w:type="dxa" w:w="2200"/>
          </w:tcPr>
          <w:p>
            <w:pPr>
              <w:pStyle w:val="MDPI42tablebody"/>
              <w:keepNext/>
              <w:spacing w:line="240" w:lineRule="auto" w:before="30" w:after="30"/>
              <w:jc w:val="center"/>
            </w:pPr>
            <w:r>
              <w:rPr>
                <w:b w:val="0"/>
                <w:i w:val="0"/>
                <w:sz w:val="18"/>
              </w:rPr>
              <w:t>Five published response functions</w:t>
            </w:r>
          </w:p>
        </w:tc>
      </w:tr>
      <w:tr>
        <w:trPr>
          <w:cantSplit/>
        </w:trPr>
        <w:tc>
          <w:tcPr>
            <w:tcW w:type="dxa" w:w="1571"/>
          </w:tcPr>
          <w:p>
            <w:pPr>
              <w:pStyle w:val="MDPI42tablebody"/>
              <w:keepNext/>
              <w:spacing w:line="240" w:lineRule="auto" w:before="30" w:after="30"/>
              <w:jc w:val="left"/>
            </w:pPr>
            <w:r>
              <w:rPr>
                <w:b w:val="0"/>
                <w:i w:val="0"/>
                <w:sz w:val="18"/>
              </w:rPr>
              <w:t>Employment</w:t>
            </w:r>
          </w:p>
        </w:tc>
        <w:tc>
          <w:tcPr>
            <w:tcW w:type="dxa" w:w="4086"/>
          </w:tcPr>
          <w:p>
            <w:pPr>
              <w:pStyle w:val="MDPI42tablebody"/>
              <w:keepNext/>
              <w:spacing w:line="240" w:lineRule="auto" w:before="30" w:after="30"/>
              <w:jc w:val="left"/>
            </w:pPr>
            <w:r>
              <w:rPr>
                <w:b w:val="0"/>
                <w:i w:val="0"/>
                <w:sz w:val="18"/>
              </w:rPr>
              <w:t>Jobs by workload class and by age group, by cell</w:t>
            </w:r>
          </w:p>
        </w:tc>
        <w:tc>
          <w:tcPr>
            <w:tcW w:type="dxa" w:w="2200"/>
          </w:tcPr>
          <w:p>
            <w:pPr>
              <w:pStyle w:val="MDPI42tablebody"/>
              <w:keepNext/>
              <w:spacing w:line="240" w:lineRule="auto" w:before="30" w:after="30"/>
              <w:jc w:val="center"/>
            </w:pPr>
            <w:r>
              <w:rPr>
                <w:b w:val="0"/>
                <w:i w:val="0"/>
                <w:sz w:val="18"/>
              </w:rPr>
              <w:t>Synthetic, declared</w:t>
            </w:r>
          </w:p>
        </w:tc>
      </w:tr>
      <w:tr>
        <w:trPr>
          <w:cantSplit/>
        </w:trPr>
        <w:tc>
          <w:tcPr>
            <w:tcW w:type="dxa" w:w="1571"/>
          </w:tcPr>
          <w:p>
            <w:pPr>
              <w:pStyle w:val="MDPI42tablebody"/>
              <w:keepNext/>
              <w:spacing w:line="240" w:lineRule="auto" w:before="30" w:after="30"/>
              <w:jc w:val="left"/>
            </w:pPr>
            <w:r>
              <w:rPr>
                <w:b w:val="0"/>
                <w:i w:val="0"/>
                <w:sz w:val="18"/>
              </w:rPr>
              <w:t>Lost hours</w:t>
            </w:r>
          </w:p>
        </w:tc>
        <w:tc>
          <w:tcPr>
            <w:tcW w:type="dxa" w:w="4086"/>
          </w:tcPr>
          <w:p>
            <w:pPr>
              <w:pStyle w:val="MDPI42tablebody"/>
              <w:keepNext/>
              <w:spacing w:line="240" w:lineRule="auto" w:before="30" w:after="30"/>
              <w:jc w:val="left"/>
            </w:pPr>
            <w:r>
              <w:rPr>
                <w:b w:val="0"/>
                <w:i w:val="0"/>
                <w:sz w:val="18"/>
              </w:rPr>
              <w:t>Hours of work capacity lost to heat per working day, by age group</w:t>
            </w:r>
          </w:p>
        </w:tc>
        <w:tc>
          <w:tcPr>
            <w:tcW w:type="dxa" w:w="2200"/>
          </w:tcPr>
          <w:p>
            <w:pPr>
              <w:pStyle w:val="MDPI42tablebody"/>
              <w:keepNext/>
              <w:spacing w:line="240" w:lineRule="auto" w:before="30" w:after="30"/>
              <w:jc w:val="center"/>
            </w:pPr>
            <w:r>
              <w:rPr>
                <w:b w:val="0"/>
                <w:i w:val="0"/>
                <w:sz w:val="18"/>
              </w:rPr>
              <w:t>Computed</w:t>
            </w:r>
          </w:p>
        </w:tc>
      </w:tr>
      <w:tr>
        <w:trPr>
          <w:cantSplit/>
        </w:trPr>
        <w:tc>
          <w:tcPr>
            <w:tcW w:type="dxa" w:w="1571"/>
          </w:tcPr>
          <w:p>
            <w:pPr>
              <w:pStyle w:val="MDPI42tablebody"/>
              <w:keepNext/>
              <w:spacing w:line="240" w:lineRule="auto" w:before="30" w:after="30"/>
              <w:jc w:val="left"/>
            </w:pPr>
            <w:r>
              <w:rPr>
                <w:b w:val="0"/>
                <w:i w:val="0"/>
                <w:sz w:val="18"/>
              </w:rPr>
              <w:t>Siting rule</w:t>
            </w:r>
          </w:p>
        </w:tc>
        <w:tc>
          <w:tcPr>
            <w:tcW w:type="dxa" w:w="4086"/>
          </w:tcPr>
          <w:p>
            <w:pPr>
              <w:pStyle w:val="MDPI42tablebody"/>
              <w:keepNext/>
              <w:spacing w:line="240" w:lineRule="auto" w:before="30" w:after="30"/>
              <w:jc w:val="left"/>
            </w:pPr>
            <w:r>
              <w:rPr>
                <w:b w:val="0"/>
                <w:i w:val="0"/>
                <w:sz w:val="18"/>
              </w:rPr>
              <w:t>Allocation of a fixed canopy budget across cells</w:t>
            </w:r>
          </w:p>
        </w:tc>
        <w:tc>
          <w:tcPr>
            <w:tcW w:type="dxa" w:w="2200"/>
          </w:tcPr>
          <w:p>
            <w:pPr>
              <w:pStyle w:val="MDPI42tablebody"/>
              <w:keepNext/>
              <w:spacing w:line="240" w:lineRule="auto" w:before="30" w:after="30"/>
              <w:jc w:val="center"/>
            </w:pPr>
            <w:r>
              <w:rPr>
                <w:b w:val="0"/>
                <w:i w:val="0"/>
                <w:sz w:val="18"/>
              </w:rPr>
              <w:t>Seven rules, computed</w:t>
            </w:r>
          </w:p>
        </w:tc>
      </w:tr>
    </w:tbl>
    <w:p>
      <w:pPr>
        <w:pStyle w:val="MDPI43tablefooter"/>
        <w:keepLines/>
        <w:spacing w:line="240" w:lineRule="auto" w:before="40" w:after="200"/>
        <w:ind w:left="2608" w:firstLine="0"/>
      </w:pPr>
      <w:r>
        <w:rPr>
          <w:sz w:val="16"/>
        </w:rPr>
        <w:t xml:space="preserve">Note: </w:t>
      </w:r>
      <w:r>
        <w:rPr>
          <w:b w:val="0"/>
          <w:i w:val="0"/>
          <w:sz w:val="16"/>
        </w:rPr>
        <w:t>The study is model-based. No component is an observation of a named city, and the entries marked “synthetic, declared” are transparent constructions whose parameters are listed in Appendix A. Source: authors’ calculations.</w:t>
      </w:r>
    </w:p>
    <w:p>
      <w:pPr>
        <w:pStyle w:val="MDPI31text"/>
      </w:pPr>
      <w:r>
        <w:rPr>
          <w:b w:val="0"/>
          <w:i w:val="0"/>
        </w:rPr>
        <w:t>The city is represented as a square grid of 1600 cells of 250 m, spanning 10.0 km. Each cell carries a land use, a building density, an existing tree canopy fraction, a distance to the watercourse, a resident population with an index of deprivation, and a count of jobs in three workload classes, each split by age group. The workload classes follow the metabolic categories conventional in the heat and work literature: a nominal 400 W for construction and grounds work, 300 W for logistics and light manufacturing, and 200 W for retail, hospitality and service work. Climate is supplied by four declared settings spanning European summer conditions from a cool maritime north-west to a hot Mediterranean south; they are stated as inputs and are not attributed to particular cities.</w:t>
      </w:r>
    </w:p>
    <w:p>
      <w:pPr>
        <w:pStyle w:val="MDPI31text"/>
      </w:pPr>
      <w:r>
        <w:rPr>
          <w:b w:val="0"/>
          <w:i w:val="0"/>
        </w:rPr>
        <w:t>One property of the city carries the argument and is therefore treated as a free parameter rather than as a fact. Heat-exposed employment is allocated as an explicit mixture of two spatial patterns: one that follows the residential population, representing neighbourhood building work, local maintenance and delivery, and one that follows the industrial and logistics fringe, representing large sites on cheap land away from housing. The mixing weight is the divergence parameter. At a divergence of zero the exposed workforce sits where people live; at one it sits where they do not. The resulting correlation across cells between young exposed workers and residents is reported throughout, and the results are stated as a function of it rather than at any single assumed value.</w:t>
      </w:r>
    </w:p>
    <w:p>
      <w:pPr>
        <w:pStyle w:val="MDPI22heading2"/>
      </w:pPr>
      <w:r>
        <w:t>3.2. Model Specification</w:t>
      </w:r>
    </w:p>
    <w:p>
      <w:pPr>
        <w:pStyle w:val="MDPI32textnoindent"/>
      </w:pPr>
      <w:r>
        <w:rPr>
          <w:b w:val="0"/>
          <w:i w:val="0"/>
        </w:rPr>
        <w:t>The heat a worker experiences is built in two stages. Air temperature in a cell departs from the regional value by the urban heat island increment, which scales with building density, less the cooling attributable to tree canopy and to proximity to water. The shade wet bulb globe temperature then follows the simplified form used widely in the heat and labour literature, in Equation (1),</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WBGT</m:t>
                  </m:r>
                </m:e>
                <m:sub>
                  <m:r>
                    <m:t xml:space="preserve">s</m:t>
                  </m:r>
                  <m:r>
                    <m:t xml:space="preserve">h</m:t>
                  </m:r>
                  <m:r>
                    <m:t xml:space="preserve">a</m:t>
                  </m:r>
                  <m:r>
                    <m:t xml:space="preserve">d</m:t>
                  </m:r>
                  <m:r>
                    <m:t xml:space="preserve">e</m:t>
                  </m:r>
                </m:sub>
              </m:sSub>
              <m:r>
                <m:t xml:space="preserve"> </m:t>
              </m:r>
              <m:r>
                <m:rPr>
                  <m:sty m:val="p"/>
                </m:rPr>
                <m:t xml:space="preserve">=</m:t>
              </m:r>
              <m:r>
                <m:t xml:space="preserve"> </m:t>
              </m:r>
              <m:r>
                <m:rPr>
                  <m:sty m:val="p"/>
                </m:rPr>
                <m:t xml:space="preserve">0.567</m:t>
              </m:r>
              <m:r>
                <m:t xml:space="preserve"> </m:t>
              </m:r>
              <m:sSub>
                <m:e>
                  <m:r>
                    <m:t xml:space="preserve">T</m:t>
                  </m:r>
                </m:e>
                <m:sub>
                  <m:r>
                    <m:t xml:space="preserve">a</m:t>
                  </m:r>
                </m:sub>
              </m:sSub>
              <m:r>
                <m:t xml:space="preserve"> </m:t>
              </m:r>
              <m:r>
                <m:rPr>
                  <m:sty m:val="p"/>
                </m:rPr>
                <m:t xml:space="preserve">+</m:t>
              </m:r>
              <m:r>
                <m:t xml:space="preserve"> </m:t>
              </m:r>
              <m:r>
                <m:rPr>
                  <m:sty m:val="p"/>
                </m:rPr>
                <m:t xml:space="preserve">0.393</m:t>
              </m:r>
              <m:r>
                <m:t xml:space="preserve"> </m:t>
              </m:r>
              <m:r>
                <m:t xml:space="preserve">e</m:t>
              </m:r>
              <m:r>
                <m:t xml:space="preserve"> </m:t>
              </m:r>
              <m:r>
                <m:rPr>
                  <m:sty m:val="p"/>
                </m:rPr>
                <m:t xml:space="preserve">+</m:t>
              </m:r>
              <m:r>
                <m:t xml:space="preserve"> </m:t>
              </m:r>
              <m:r>
                <m:rPr>
                  <m:sty m:val="p"/>
                </m:rPr>
                <m:t xml:space="preserve">3.94</m:t>
              </m:r>
            </m:oMath>
          </w:p>
        </w:tc>
        <w:tc>
          <w:tcPr>
            <w:tcW w:type="dxa" w:w="431"/>
            <w:vAlign w:val="center"/>
          </w:tcPr>
          <w:p>
            <w:pPr>
              <w:pStyle w:val="MDPI3aequationnumber"/>
              <w:jc w:val="right"/>
            </w:pPr>
            <w:r>
              <w:t>(1)</w:t>
            </w:r>
          </w:p>
        </w:tc>
      </w:tr>
    </w:tbl>
    <w:p>
      <w:pPr>
        <w:pStyle w:val="MDPI32textnoindent"/>
      </w:pPr>
      <w:r>
        <w:rPr>
          <w:b w:val="0"/>
          <w:i w:val="0"/>
        </w:rPr>
        <w:t xml:space="preserve">where </w:t>
      </w:r>
      <m:oMath>
        <m:sSub>
          <m:e>
            <m:r>
              <m:t xml:space="preserve">T</m:t>
            </m:r>
          </m:e>
          <m:sub>
            <m:r>
              <m:t xml:space="preserve">a</m:t>
            </m:r>
          </m:sub>
        </m:sSub>
      </m:oMath>
      <w:r>
        <w:rPr>
          <w:b w:val="0"/>
          <w:i w:val="0"/>
        </w:rPr>
        <w:t xml:space="preserve"> is air temperature in degrees Celsius and </w:t>
      </w:r>
      <m:oMath>
        <m:r>
          <m:t xml:space="preserve">e</m:t>
        </m:r>
      </m:oMath>
      <w:r>
        <w:rPr>
          <w:b w:val="0"/>
          <w:i w:val="0"/>
        </w:rPr>
        <w:t xml:space="preserve"> is the water-vapour pressure in hectopascals, obtained from relative humidity through the August–Roche–Magnus saturation formula.</w:t>
      </w:r>
    </w:p>
    <w:p>
      <w:pPr>
        <w:pStyle w:val="MDPI31text"/>
      </w:pPr>
      <w:r>
        <w:rPr>
          <w:b w:val="0"/>
          <w:i w:val="0"/>
        </w:rPr>
        <w:t>An outdoor worker is not in the shade, so a radiant increment is added in Equation (2),</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r>
                <m:t xml:space="preserve">WBGT</m:t>
              </m:r>
              <m:r>
                <m:t xml:space="preserve"> </m:t>
              </m:r>
              <m:r>
                <m:rPr>
                  <m:sty m:val="p"/>
                </m:rPr>
                <m:t xml:space="preserve">=</m:t>
              </m:r>
              <m:r>
                <m:t xml:space="preserve"> </m:t>
              </m:r>
              <m:sSub>
                <m:e>
                  <m:r>
                    <m:t xml:space="preserve">WBGT</m:t>
                  </m:r>
                </m:e>
                <m:sub>
                  <m:r>
                    <m:t xml:space="preserve">s</m:t>
                  </m:r>
                  <m:r>
                    <m:t xml:space="preserve">h</m:t>
                  </m:r>
                  <m:r>
                    <m:t xml:space="preserve">a</m:t>
                  </m:r>
                  <m:r>
                    <m:t xml:space="preserve">d</m:t>
                  </m:r>
                  <m:r>
                    <m:t xml:space="preserve">e</m:t>
                  </m:r>
                </m:sub>
              </m:sSub>
              <m:r>
                <m:t xml:space="preserve"> </m:t>
              </m:r>
              <m:r>
                <m:rPr>
                  <m:sty m:val="p"/>
                </m:rPr>
                <m:t xml:space="preserve">+</m:t>
              </m:r>
              <m:r>
                <m:t xml:space="preserve"> </m:t>
              </m:r>
              <m:r>
                <m:t xml:space="preserve">g</m:t>
              </m:r>
              <m:r>
                <m:t xml:space="preserve"> </m:t>
              </m:r>
              <m:f>
                <m:num>
                  <m:rad>
                    <m:radPr>
                      <m:degHide m:val="1"/>
                    </m:radPr>
                    <m:deg/>
                    <m:e>
                      <m:r>
                        <m:t xml:space="preserve">ψ</m:t>
                      </m:r>
                      <m:r>
                        <m:t xml:space="preserve"> </m:t>
                      </m:r>
                      <m:r>
                        <m:t xml:space="preserve">R</m:t>
                      </m:r>
                    </m:e>
                  </m:rad>
                </m:num>
                <m:den>
                  <m:rad>
                    <m:radPr>
                      <m:degHide m:val="1"/>
                    </m:radPr>
                    <m:deg/>
                    <m:e>
                      <m:r>
                        <m:t xml:space="preserve">u</m:t>
                      </m:r>
                    </m:e>
                  </m:rad>
                </m:den>
              </m:f>
            </m:oMath>
          </w:p>
        </w:tc>
        <w:tc>
          <w:tcPr>
            <w:tcW w:type="dxa" w:w="431"/>
            <w:vAlign w:val="center"/>
          </w:tcPr>
          <w:p>
            <w:pPr>
              <w:pStyle w:val="MDPI3aequationnumber"/>
              <w:jc w:val="right"/>
            </w:pPr>
            <w:r>
              <w:t>(2)</w:t>
            </w:r>
          </w:p>
        </w:tc>
      </w:tr>
    </w:tbl>
    <w:p>
      <w:pPr>
        <w:pStyle w:val="MDPI32textnoindent"/>
      </w:pPr>
      <w:r>
        <w:rPr>
          <w:b w:val="0"/>
          <w:i w:val="0"/>
        </w:rPr>
        <w:t xml:space="preserve">where </w:t>
      </w:r>
      <m:oMath>
        <m:r>
          <m:t xml:space="preserve">R</m:t>
        </m:r>
      </m:oMath>
      <w:r>
        <w:rPr>
          <w:b w:val="0"/>
          <w:i w:val="0"/>
        </w:rPr>
        <w:t xml:space="preserve"> is the incident short-wave irradiance, </w:t>
      </w:r>
      <m:oMath>
        <m:r>
          <m:t xml:space="preserve">ψ</m:t>
        </m:r>
      </m:oMath>
      <w:r>
        <w:rPr>
          <w:b w:val="0"/>
          <w:i w:val="0"/>
        </w:rPr>
        <w:t xml:space="preserve"> the sky view factor at the work location, </w:t>
      </w:r>
      <m:oMath>
        <m:r>
          <m:t xml:space="preserve">u</m:t>
        </m:r>
      </m:oMath>
      <w:r>
        <w:rPr>
          <w:b w:val="0"/>
          <w:i w:val="0"/>
        </w:rPr>
        <w:t xml:space="preserve"> the wind speed and </w:t>
      </w:r>
      <m:oMath>
        <m:r>
          <m:t xml:space="preserve">g</m:t>
        </m:r>
      </m:oMath>
      <w:r>
        <w:rPr>
          <w:b w:val="0"/>
          <w:i w:val="0"/>
        </w:rPr>
        <w:t xml:space="preserve"> a bulk coefficient. The parameter </w:t>
      </w:r>
      <m:oMath>
        <m:r>
          <m:t xml:space="preserve">g</m:t>
        </m:r>
      </m:oMath>
      <w:r>
        <w:rPr>
          <w:b w:val="0"/>
          <w:i w:val="0"/>
        </w:rPr>
        <w:t xml:space="preserve"> is set so that a fully exposed worker at solar noon stands between three and six degrees above the shade index, the range conventionally reported for outdoor against shaded WBGT, and it is swept across the interval that reproduces that range.</w:t>
      </w:r>
    </w:p>
    <w:p>
      <w:pPr>
        <w:pStyle w:val="MDPI31text"/>
      </w:pPr>
      <w:r>
        <w:rPr>
          <w:b w:val="0"/>
          <w:i w:val="0"/>
        </w:rPr>
        <w:t xml:space="preserve">Equation (2) is where the specification does analytical work. Tree canopy reaches the worker along two distinct pathways: it lowers the air temperature of the cell, which enters through </w:t>
      </w:r>
      <m:oMath>
        <m:sSub>
          <m:e>
            <m:r>
              <m:t xml:space="preserve">T</m:t>
            </m:r>
          </m:e>
          <m:sub>
            <m:r>
              <m:t xml:space="preserve">a</m:t>
            </m:r>
          </m:sub>
        </m:sSub>
      </m:oMath>
      <w:r>
        <w:rPr>
          <w:b w:val="0"/>
          <w:i w:val="0"/>
        </w:rPr>
        <w:t xml:space="preserve">, and it lowers the sky view factor at the work location, which enters through </w:t>
      </w:r>
      <m:oMath>
        <m:r>
          <m:t xml:space="preserve">ψ</m:t>
        </m:r>
      </m:oMath>
      <w:r>
        <w:rPr>
          <w:b w:val="0"/>
          <w:i w:val="0"/>
        </w:rPr>
        <w:t xml:space="preserve"> and removes short-wave load directly. The two are not interchangeable. Air-temperature cooling is a district-scale public good that a park confers on its surroundings; shade is a local private good that only a crown standing over the worker confers. Keeping them separate is what allows the model to distinguish planting that cools a neighbourhood from planting that protects a person.</w:t>
      </w:r>
    </w:p>
    <w:p>
      <w:pPr>
        <w:pStyle w:val="MDPI31text"/>
      </w:pPr>
      <w:r>
        <w:rPr>
          <w:b w:val="0"/>
          <w:i w:val="0"/>
        </w:rPr>
        <w:t xml:space="preserve">Work capacity is then obtained from WBGT through an exposure–response function. Because the published functions disagree, the model carries five of them rather than choosing one: the Hothaps form, the formalisations of the ISO 7243 and NIOSH occupational limits </w:t>
      </w:r>
      <w:r>
        <w:t>[</w:t>
      </w:r>
      <w:r>
        <w:fldChar w:fldCharType="begin"/>
      </w:r>
      <w:r>
        <w:instrText xml:space="preserve"> REF _Ref_38 \h </w:instrText>
      </w:r>
      <w:r>
        <w:fldChar w:fldCharType="separate"/>
      </w:r>
      <w:r>
        <w:t>38</w:t>
      </w:r>
      <w:r>
        <w:fldChar w:fldCharType="end"/>
      </w:r>
      <w:r>
        <w:t>]</w:t>
      </w:r>
      <w:r>
        <w:rPr>
          <w:b w:val="0"/>
          <w:i w:val="0"/>
        </w:rPr>
        <w:t xml:space="preserve">, the function of Dunne and colleagues </w:t>
      </w:r>
      <w:r>
        <w:t>[</w:t>
      </w:r>
      <w:r>
        <w:fldChar w:fldCharType="begin"/>
      </w:r>
      <w:r>
        <w:instrText xml:space="preserve"> REF _Ref_31 \h </w:instrText>
      </w:r>
      <w:r>
        <w:fldChar w:fldCharType="separate"/>
      </w:r>
      <w:r>
        <w:t>31</w:t>
      </w:r>
      <w:r>
        <w:fldChar w:fldCharType="end"/>
      </w:r>
      <w:r>
        <w:t>]</w:t>
      </w:r>
      <w:r>
        <w:rPr>
          <w:b w:val="0"/>
          <w:i w:val="0"/>
        </w:rPr>
        <w:t xml:space="preserve">, and the laboratory function of Foster and colleagues </w:t>
      </w:r>
      <w:r>
        <w:t>[</w:t>
      </w:r>
      <w:r>
        <w:fldChar w:fldCharType="begin"/>
      </w:r>
      <w:r>
        <w:instrText xml:space="preserve"> REF _Ref_30 \h </w:instrText>
      </w:r>
      <w:r>
        <w:fldChar w:fldCharType="separate"/>
      </w:r>
      <w:r>
        <w:t>30</w:t>
      </w:r>
      <w:r>
        <w:fldChar w:fldCharType="end"/>
      </w:r>
      <w:r>
        <w:t>]</w:t>
      </w:r>
      <w:r>
        <w:rPr>
          <w:b w:val="0"/>
          <w:i w:val="0"/>
        </w:rPr>
        <w:t xml:space="preserve">, </w:t>
      </w:r>
      <w:r>
        <w:t>[</w:t>
      </w:r>
      <w:r>
        <w:fldChar w:fldCharType="begin"/>
      </w:r>
      <w:r>
        <w:instrText xml:space="preserve"> REF _Ref_39 \h </w:instrText>
      </w:r>
      <w:r>
        <w:fldChar w:fldCharType="separate"/>
      </w:r>
      <w:r>
        <w:t>39</w:t>
      </w:r>
      <w:r>
        <w:fldChar w:fldCharType="end"/>
      </w:r>
      <w:r>
        <w:t>]</w:t>
      </w:r>
      <w:r>
        <w:rPr>
          <w:b w:val="0"/>
          <w:i w:val="0"/>
        </w:rPr>
        <w:t>. Their algebraic forms and parameters were transcribed from open-source reference implementations and cross-checked against one another; Appendix A2 sets out what each implies. Hours lost per working day are accumulated over cells, hours and workload classes as in Equation (3),</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r>
                <m:t xml:space="preserve">L</m:t>
              </m:r>
              <m:r>
                <m:t xml:space="preserve"> </m:t>
              </m:r>
              <m:r>
                <m:rPr>
                  <m:sty m:val="p"/>
                </m:rPr>
                <m:t xml:space="preserve">=</m:t>
              </m:r>
              <m:r>
                <m:t xml:space="preserve"> </m:t>
              </m:r>
              <m:nary>
                <m:naryPr>
                  <m:chr m:val="∑"/>
                  <m:limLoc m:val="subSup"/>
                  <m:supHide m:val="1"/>
                </m:naryPr>
                <m:sub>
                  <m:r>
                    <m:t xml:space="preserve">c</m:t>
                  </m:r>
                </m:sub>
                <m:sup/>
                <m:e>
                  <m:nary>
                    <m:naryPr>
                      <m:chr m:val="∑"/>
                      <m:limLoc m:val="subSup"/>
                      <m:supHide m:val="1"/>
                    </m:naryPr>
                    <m:sub>
                      <m:r>
                        <m:t xml:space="preserve">h</m:t>
                      </m:r>
                    </m:sub>
                    <m:sup/>
                    <m:e>
                      <m:nary>
                        <m:naryPr>
                          <m:chr m:val="∑"/>
                          <m:limLoc m:val="subSup"/>
                          <m:supHide m:val="1"/>
                        </m:naryPr>
                        <m:sub>
                          <m:r>
                            <m:t xml:space="preserve">w</m:t>
                          </m:r>
                        </m:sub>
                        <m:sup/>
                        <m:e>
                          <m:r>
                            <m:t xml:space="preserve"> </m:t>
                          </m:r>
                          <m:sSub>
                            <m:e>
                              <m:r>
                                <m:t xml:space="preserve">J</m:t>
                              </m:r>
                            </m:e>
                            <m:sub>
                              <m:r>
                                <m:t xml:space="preserve">c</m:t>
                              </m:r>
                              <m:r>
                                <m:t xml:space="preserve">,</m:t>
                              </m:r>
                              <m:r>
                                <m:t xml:space="preserve">w</m:t>
                              </m:r>
                            </m:sub>
                          </m:sSub>
                          <m:r>
                            <m:t xml:space="preserve"> </m:t>
                          </m:r>
                          <m:r>
                            <m:t xml:space="preserve"> </m:t>
                          </m:r>
                          <m:sSub>
                            <m:e>
                              <m:r>
                                <m:t xml:space="preserve">o</m:t>
                              </m:r>
                            </m:e>
                            <m:sub>
                              <m:r>
                                <m:t xml:space="preserve">w</m:t>
                              </m:r>
                            </m:sub>
                          </m:sSub>
                          <m:r>
                            <m:t xml:space="preserve"> </m:t>
                          </m:r>
                          <m:d>
                            <m:dPr>
                              <m:begChr m:val="["/>
                              <m:endChr m:val="]"/>
                            </m:dPr>
                            <m:e>
                              <m:r>
                                <m:rPr>
                                  <m:sty m:val="p"/>
                                </m:rPr>
                                <m:t xml:space="preserve">1</m:t>
                              </m:r>
                              <m:r>
                                <m:t xml:space="preserve"> </m:t>
                              </m:r>
                              <m:r>
                                <m:rPr>
                                  <m:sty m:val="p"/>
                                </m:rPr>
                                <m:t xml:space="preserve">-</m:t>
                              </m:r>
                              <m:r>
                                <m:t xml:space="preserve"> </m:t>
                              </m:r>
                              <m:r>
                                <m:t xml:space="preserve">Φ</m:t>
                              </m:r>
                              <m:r>
                                <m:t xml:space="preserve"> </m:t>
                              </m:r>
                              <m:d>
                                <m:dPr>
                                  <m:begChr m:val="("/>
                                  <m:endChr m:val=")"/>
                                </m:dPr>
                                <m:e>
                                  <m:sSub>
                                    <m:e>
                                      <m:r>
                                        <m:t xml:space="preserve">WBGT</m:t>
                                      </m:r>
                                    </m:e>
                                    <m:sub>
                                      <m:r>
                                        <m:t xml:space="preserve">c</m:t>
                                      </m:r>
                                      <m:r>
                                        <m:t xml:space="preserve">,</m:t>
                                      </m:r>
                                      <m:r>
                                        <m:t xml:space="preserve">h</m:t>
                                      </m:r>
                                    </m:sub>
                                  </m:sSub>
                                  <m:r>
                                    <m:t xml:space="preserve">,</m:t>
                                  </m:r>
                                  <m:r>
                                    <m:t xml:space="preserve"> </m:t>
                                  </m:r>
                                  <m:r>
                                    <m:t xml:space="preserve"> </m:t>
                                  </m:r>
                                  <m:r>
                                    <m:t xml:space="preserve">w</m:t>
                                  </m:r>
                                </m:e>
                              </m:d>
                            </m:e>
                          </m:d>
                        </m:e>
                      </m:nary>
                    </m:e>
                  </m:nary>
                </m:e>
              </m:nary>
            </m:oMath>
          </w:p>
        </w:tc>
        <w:tc>
          <w:tcPr>
            <w:tcW w:type="dxa" w:w="431"/>
            <w:vAlign w:val="center"/>
          </w:tcPr>
          <w:p>
            <w:pPr>
              <w:pStyle w:val="MDPI3aequationnumber"/>
              <w:jc w:val="right"/>
            </w:pPr>
            <w:r>
              <w:t>(3)</w:t>
            </w:r>
          </w:p>
        </w:tc>
      </w:tr>
    </w:tbl>
    <w:p>
      <w:pPr>
        <w:pStyle w:val="MDPI32textnoindent"/>
      </w:pPr>
      <w:r>
        <w:rPr>
          <w:b w:val="0"/>
          <w:i w:val="0"/>
        </w:rPr>
        <w:t xml:space="preserve">where </w:t>
      </w:r>
      <m:oMath>
        <m:sSub>
          <m:e>
            <m:r>
              <m:t xml:space="preserve">J</m:t>
            </m:r>
          </m:e>
          <m:sub>
            <m:r>
              <m:t xml:space="preserve">c</m:t>
            </m:r>
            <m:r>
              <m:t xml:space="preserve">,</m:t>
            </m:r>
            <m:r>
              <m:t xml:space="preserve">w</m:t>
            </m:r>
          </m:sub>
        </m:sSub>
      </m:oMath>
      <w:r>
        <w:rPr>
          <w:b w:val="0"/>
          <w:i w:val="0"/>
        </w:rPr>
        <w:t xml:space="preserve"> is employment of workload class </w:t>
      </w:r>
      <m:oMath>
        <m:r>
          <m:t xml:space="preserve">w</m:t>
        </m:r>
      </m:oMath>
      <w:r>
        <w:rPr>
          <w:b w:val="0"/>
          <w:i w:val="0"/>
        </w:rPr>
        <w:t xml:space="preserve"> in cell </w:t>
      </w:r>
      <m:oMath>
        <m:r>
          <m:t xml:space="preserve">c</m:t>
        </m:r>
      </m:oMath>
      <w:r>
        <w:rPr>
          <w:b w:val="0"/>
          <w:i w:val="0"/>
        </w:rPr>
        <w:t xml:space="preserve">, </w:t>
      </w:r>
      <m:oMath>
        <m:sSub>
          <m:e>
            <m:r>
              <m:t xml:space="preserve">o</m:t>
            </m:r>
          </m:e>
          <m:sub>
            <m:r>
              <m:t xml:space="preserve">w</m:t>
            </m:r>
          </m:sub>
        </m:sSub>
      </m:oMath>
      <w:r>
        <w:rPr>
          <w:b w:val="0"/>
          <w:i w:val="0"/>
        </w:rPr>
        <w:t xml:space="preserve"> the share of working time that class spends outdoors or in unconditioned space, and </w:t>
      </w:r>
      <m:oMath>
        <m:r>
          <m:t xml:space="preserve">Φ</m:t>
        </m:r>
      </m:oMath>
      <w:r>
        <w:rPr>
          <w:b w:val="0"/>
          <w:i w:val="0"/>
        </w:rPr>
        <w:t xml:space="preserve"> the physical work capacity given by the response function in force. The sum is taken separately over younger and older workers, which is the only respect in which the age split enters. Physical work capacity is treated as age-neutral; the model does not assume that a young body loses capacity faster.</w:t>
      </w:r>
    </w:p>
    <w:p>
      <w:pPr>
        <w:pStyle w:val="MDPI31text"/>
      </w:pPr>
      <w:r>
        <w:rPr>
          <w:b w:val="0"/>
          <w:i w:val="0"/>
        </w:rPr>
        <w:t>A planting budget, expressed in hectares of new canopy, is then allocated across cells under seven rules. Three site by residence: evenly over plantable land, in proportion to residents, and in proportion to residents weighted by deprivation. A fourth sites by residents weighted by local heat. Two site by workplace: in proportion to heat-exposed jobs weighted by local heat, and in proportion to heat-exposed young workers weighted by local heat. The seventh allocates by measured marginal benefit and serves as an upper reference rather than as a proposal. Allocation respects a ceiling on how much canopy a cell can carry, by water-filling, so that the whole budget is placed wherever there is room for it.</w:t>
      </w:r>
    </w:p>
    <w:p>
      <w:pPr>
        <w:pStyle w:val="MDPI31text"/>
      </w:pPr>
      <w:r>
        <w:rPr>
          <w:b w:val="0"/>
          <w:i w:val="0"/>
        </w:rPr>
        <w:t>The fourth rule exists to keep the comparison honest. The workplace rules weight by local heat as well as by workplace, so setting them against a plain residential rule would confound two separate ideas: targeting the hottest places and targeting workplaces rather than homes. The clean test of the spatial question is the exposed-workplace rule against the heat-weighted residential rule, because those two differ only in whose location is counted, and it is that comparison the paper reports as its central result.</w:t>
      </w:r>
    </w:p>
    <w:p>
      <w:pPr>
        <w:pStyle w:val="MDPI22heading2"/>
      </w:pPr>
      <w:r>
        <w:t>3.3. Uncertainty and Sensitivity Analysis</w:t>
      </w:r>
    </w:p>
    <w:p>
      <w:pPr>
        <w:pStyle w:val="MDPI32textnoindent"/>
      </w:pPr>
      <w:r>
        <w:rPr>
          <w:b w:val="0"/>
          <w:i w:val="0"/>
        </w:rPr>
        <w:t>A single evaluation of the model would report a number whose precision the inputs do not support. The analysis therefore samples the whole space. 4000 draws are taken by Latin hypercube over the 28 swept parameters, with the exposure–response function, the climate setting and the workplace–residence divergence drawn independently in each draw. Every siting rule is evaluated in every draw, so that the rules are always compared under identical conditions.</w:t>
      </w:r>
    </w:p>
    <w:p>
      <w:pPr>
        <w:pStyle w:val="MDPI31text"/>
      </w:pPr>
      <w:r>
        <w:rPr>
          <w:b w:val="0"/>
          <w:i w:val="0"/>
        </w:rPr>
        <w:t>Two different questions are then asked of the ensemble, and they receive different kinds of answer. How large the benefit is, is answered by a distribution. Which rule is better, is answered by the rank of the rules within each draw, which is invariant to any factor that scales all rules together. First-order sensitivity is reported as the correlation ratio: the share of the variance in an outcome explained by one input alone, estimated by binning that input and decomposing the variance between and within bins. The estimator requires no assumption about the structure of the model.</w:t>
      </w:r>
    </w:p>
    <w:p>
      <w:pPr>
        <w:pStyle w:val="MDPI31text"/>
      </w:pPr>
      <w:r>
        <w:rPr>
          <w:b w:val="0"/>
          <w:i w:val="0"/>
        </w:rPr>
        <w:t>The whole pipeline is deterministic given its seed. Each module carries a self-test that is executed when the module is run directly, checking that the response functions are bounded and monotone and reproduce their published anchor points, that the heat field responds correctly to canopy and climate, that the allocation respects its ceilings and spends its budget, and that the divergence parameter moves the workplace–residence correlation as intended.</w:t>
      </w:r>
    </w:p>
    <w:p>
      <w:pPr>
        <w:pStyle w:val="MDPI21heading1"/>
      </w:pPr>
      <w:r>
        <w:t>4. Results</w:t>
      </w:r>
    </w:p>
    <w:p>
      <w:pPr>
        <w:pStyle w:val="MDPI32textnoindent"/>
      </w:pPr>
      <w:r>
        <w:rPr>
          <w:b w:val="0"/>
          <w:i w:val="0"/>
        </w:rPr>
        <w:t>This section reports the reference city, the heat exposure and lost work capacity it implies, the effect of the siting rule, the stability of that effect across the uncertainty ensemble, and the structural condition on which it depends. The order matters: the magnitude of the loss is reported first and is then shown not to be identified, which is why the remainder of the analysis concerns rankings rather than levels.</w:t>
      </w:r>
    </w:p>
    <w:p>
      <w:pPr>
        <w:pStyle w:val="MDPI22heading2"/>
      </w:pPr>
      <w:r>
        <w:t>4.1. The Reference City</w:t>
      </w:r>
    </w:p>
    <w:p>
      <w:pPr>
        <w:pStyle w:val="MDPI32textnoindent"/>
      </w:pPr>
      <w:r>
        <w:rPr>
          <w:b w:val="0"/>
          <w:i w:val="0"/>
        </w:rPr>
        <w:t>Table 2 describes the city on which the reference results are computed. It carries 300939 residents across 10.0 km, a residential density matched to the median of the 556 EU-27 urban centres on European territory recorded in the Global Human Settlement Layer Urban Centre Database. Its area places it at about the eighty-fourth percentile of that distribution, so it is a large city rather than a typical one. Employment divides into 50883 jobs in the heavy outdoor class, 64080 in the moderate class and 65711 in light service work, of which 37765 workers under thirty hold posts in the two heat-exposed classes.</w:t>
      </w:r>
    </w:p>
    <w:p>
      <w:pPr>
        <w:pStyle w:val="MDPI41tablecaption"/>
        <w:keepNext/>
        <w:spacing w:after="60"/>
      </w:pPr>
      <w:r>
        <w:rPr>
          <w:b/>
          <w:sz w:val="18"/>
        </w:rPr>
        <w:t xml:space="preserve">Table 2. </w:t>
      </w:r>
      <w:r>
        <w:rPr>
          <w:b w:val="0"/>
          <w:i w:val="0"/>
          <w:sz w:val="18"/>
        </w:rPr>
        <w:t>Properties of the reference city.</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614"/>
        <w:gridCol w:w="1728"/>
        <w:gridCol w:w="2514"/>
      </w:tblGrid>
      <w:tr>
        <w:trPr>
          <w:cantSplit/>
          <w:tblHeader/>
        </w:trPr>
        <w:tc>
          <w:tcPr>
            <w:tcW w:type="dxa" w:w="3614"/>
            <w:tcBorders>
              <w:bottom w:val="single" w:sz="8" w:space="0" w:color="auto"/>
            </w:tcBorders>
          </w:tcPr>
          <w:p>
            <w:pPr>
              <w:pStyle w:val="MDPI42tablebody"/>
              <w:keepNext/>
              <w:spacing w:line="240" w:lineRule="auto" w:before="30" w:after="30"/>
              <w:jc w:val="center"/>
            </w:pPr>
            <w:r>
              <w:rPr>
                <w:b/>
                <w:i w:val="0"/>
                <w:sz w:val="18"/>
              </w:rPr>
              <w:t>Quantity</w:t>
            </w:r>
          </w:p>
        </w:tc>
        <w:tc>
          <w:tcPr>
            <w:tcW w:type="dxa" w:w="1728"/>
            <w:tcBorders>
              <w:bottom w:val="single" w:sz="8" w:space="0" w:color="auto"/>
            </w:tcBorders>
          </w:tcPr>
          <w:p>
            <w:pPr>
              <w:pStyle w:val="MDPI42tablebody"/>
              <w:keepNext/>
              <w:spacing w:line="240" w:lineRule="auto" w:before="30" w:after="30"/>
              <w:jc w:val="center"/>
            </w:pPr>
            <w:r>
              <w:rPr>
                <w:b/>
                <w:i w:val="0"/>
                <w:sz w:val="18"/>
              </w:rPr>
              <w:t>Value</w:t>
            </w:r>
          </w:p>
        </w:tc>
        <w:tc>
          <w:tcPr>
            <w:tcW w:type="dxa" w:w="2514"/>
            <w:tcBorders>
              <w:bottom w:val="single" w:sz="8" w:space="0" w:color="auto"/>
            </w:tcBorders>
          </w:tcPr>
          <w:p>
            <w:pPr>
              <w:pStyle w:val="MDPI42tablebody"/>
              <w:keepNext/>
              <w:spacing w:line="240" w:lineRule="auto" w:before="30" w:after="30"/>
              <w:jc w:val="center"/>
            </w:pPr>
            <w:r>
              <w:rPr>
                <w:b/>
                <w:i w:val="0"/>
                <w:sz w:val="18"/>
              </w:rPr>
              <w:t>Unit</w:t>
            </w:r>
          </w:p>
        </w:tc>
      </w:tr>
      <w:tr>
        <w:trPr>
          <w:cantSplit/>
        </w:trPr>
        <w:tc>
          <w:tcPr>
            <w:tcW w:type="dxa" w:w="3614"/>
          </w:tcPr>
          <w:p>
            <w:pPr>
              <w:pStyle w:val="MDPI42tablebody"/>
              <w:keepNext/>
              <w:spacing w:line="240" w:lineRule="auto" w:before="30" w:after="30"/>
              <w:jc w:val="left"/>
            </w:pPr>
            <w:r>
              <w:rPr>
                <w:b w:val="0"/>
                <w:i w:val="0"/>
                <w:sz w:val="18"/>
              </w:rPr>
              <w:t>Grid cells</w:t>
            </w:r>
          </w:p>
        </w:tc>
        <w:tc>
          <w:tcPr>
            <w:tcW w:type="dxa" w:w="1728"/>
          </w:tcPr>
          <w:p>
            <w:pPr>
              <w:pStyle w:val="MDPI42tablebody"/>
              <w:keepNext/>
              <w:spacing w:line="240" w:lineRule="auto" w:before="30" w:after="30"/>
              <w:jc w:val="center"/>
            </w:pPr>
            <w:r>
              <w:rPr>
                <w:b w:val="0"/>
                <w:i w:val="0"/>
                <w:sz w:val="18"/>
              </w:rPr>
              <w:t>1600</w:t>
            </w:r>
          </w:p>
        </w:tc>
        <w:tc>
          <w:tcPr>
            <w:tcW w:type="dxa" w:w="2514"/>
          </w:tcPr>
          <w:p>
            <w:pPr>
              <w:pStyle w:val="MDPI42tablebody"/>
              <w:keepNext/>
              <w:spacing w:line="240" w:lineRule="auto" w:before="30" w:after="30"/>
              <w:jc w:val="left"/>
            </w:pPr>
            <w:r>
              <w:rPr>
                <w:b w:val="0"/>
                <w:i w:val="0"/>
                <w:sz w:val="18"/>
              </w:rPr>
              <w:t>cells of 250 m</w:t>
            </w:r>
          </w:p>
        </w:tc>
      </w:tr>
      <w:tr>
        <w:trPr>
          <w:cantSplit/>
        </w:trPr>
        <w:tc>
          <w:tcPr>
            <w:tcW w:type="dxa" w:w="3614"/>
          </w:tcPr>
          <w:p>
            <w:pPr>
              <w:pStyle w:val="MDPI42tablebody"/>
              <w:keepNext/>
              <w:spacing w:line="240" w:lineRule="auto" w:before="30" w:after="30"/>
              <w:jc w:val="left"/>
            </w:pPr>
            <w:r>
              <w:rPr>
                <w:b w:val="0"/>
                <w:i w:val="0"/>
                <w:sz w:val="18"/>
              </w:rPr>
              <w:t>City extent</w:t>
            </w:r>
          </w:p>
        </w:tc>
        <w:tc>
          <w:tcPr>
            <w:tcW w:type="dxa" w:w="1728"/>
          </w:tcPr>
          <w:p>
            <w:pPr>
              <w:pStyle w:val="MDPI42tablebody"/>
              <w:keepNext/>
              <w:spacing w:line="240" w:lineRule="auto" w:before="30" w:after="30"/>
              <w:jc w:val="center"/>
            </w:pPr>
            <w:r>
              <w:rPr>
                <w:b w:val="0"/>
                <w:i w:val="0"/>
                <w:sz w:val="18"/>
              </w:rPr>
              <w:t>10.0</w:t>
            </w:r>
          </w:p>
        </w:tc>
        <w:tc>
          <w:tcPr>
            <w:tcW w:type="dxa" w:w="2514"/>
          </w:tcPr>
          <w:p>
            <w:pPr>
              <w:pStyle w:val="MDPI42tablebody"/>
              <w:keepNext/>
              <w:spacing w:line="240" w:lineRule="auto" w:before="30" w:after="30"/>
              <w:jc w:val="left"/>
            </w:pPr>
            <w:r>
              <w:rPr>
                <w:b w:val="0"/>
                <w:i w:val="0"/>
                <w:sz w:val="18"/>
              </w:rPr>
              <w:t>km across</w:t>
            </w:r>
          </w:p>
        </w:tc>
      </w:tr>
      <w:tr>
        <w:trPr>
          <w:cantSplit/>
        </w:trPr>
        <w:tc>
          <w:tcPr>
            <w:tcW w:type="dxa" w:w="3614"/>
          </w:tcPr>
          <w:p>
            <w:pPr>
              <w:pStyle w:val="MDPI42tablebody"/>
              <w:keepNext/>
              <w:spacing w:line="240" w:lineRule="auto" w:before="30" w:after="30"/>
              <w:jc w:val="left"/>
            </w:pPr>
            <w:r>
              <w:rPr>
                <w:b w:val="0"/>
                <w:i w:val="0"/>
                <w:sz w:val="18"/>
              </w:rPr>
              <w:t>Residents</w:t>
            </w:r>
          </w:p>
        </w:tc>
        <w:tc>
          <w:tcPr>
            <w:tcW w:type="dxa" w:w="1728"/>
          </w:tcPr>
          <w:p>
            <w:pPr>
              <w:pStyle w:val="MDPI42tablebody"/>
              <w:keepNext/>
              <w:spacing w:line="240" w:lineRule="auto" w:before="30" w:after="30"/>
              <w:jc w:val="center"/>
            </w:pPr>
            <w:r>
              <w:rPr>
                <w:b w:val="0"/>
                <w:i w:val="0"/>
                <w:sz w:val="18"/>
              </w:rPr>
              <w:t>300939</w:t>
            </w:r>
          </w:p>
        </w:tc>
        <w:tc>
          <w:tcPr>
            <w:tcW w:type="dxa" w:w="2514"/>
          </w:tcPr>
          <w:p>
            <w:pPr>
              <w:pStyle w:val="MDPI42tablebody"/>
              <w:keepNext/>
              <w:spacing w:line="240" w:lineRule="auto" w:before="30" w:after="30"/>
              <w:jc w:val="left"/>
            </w:pPr>
            <w:r>
              <w:rPr>
                <w:b w:val="0"/>
                <w:i w:val="0"/>
                <w:sz w:val="18"/>
              </w:rPr>
              <w:t>persons</w:t>
            </w:r>
          </w:p>
        </w:tc>
      </w:tr>
      <w:tr>
        <w:trPr>
          <w:cantSplit/>
        </w:trPr>
        <w:tc>
          <w:tcPr>
            <w:tcW w:type="dxa" w:w="3614"/>
          </w:tcPr>
          <w:p>
            <w:pPr>
              <w:pStyle w:val="MDPI42tablebody"/>
              <w:keepNext/>
              <w:spacing w:line="240" w:lineRule="auto" w:before="30" w:after="30"/>
              <w:jc w:val="left"/>
            </w:pPr>
            <w:r>
              <w:rPr>
                <w:b w:val="0"/>
                <w:i w:val="0"/>
                <w:sz w:val="18"/>
              </w:rPr>
              <w:t>Jobs, heavy outdoor</w:t>
            </w:r>
          </w:p>
        </w:tc>
        <w:tc>
          <w:tcPr>
            <w:tcW w:type="dxa" w:w="1728"/>
          </w:tcPr>
          <w:p>
            <w:pPr>
              <w:pStyle w:val="MDPI42tablebody"/>
              <w:keepNext/>
              <w:spacing w:line="240" w:lineRule="auto" w:before="30" w:after="30"/>
              <w:jc w:val="center"/>
            </w:pPr>
            <w:r>
              <w:rPr>
                <w:b w:val="0"/>
                <w:i w:val="0"/>
                <w:sz w:val="18"/>
              </w:rPr>
              <w:t>50883</w:t>
            </w:r>
          </w:p>
        </w:tc>
        <w:tc>
          <w:tcPr>
            <w:tcW w:type="dxa" w:w="2514"/>
          </w:tcPr>
          <w:p>
            <w:pPr>
              <w:pStyle w:val="MDPI42tablebody"/>
              <w:keepNext/>
              <w:spacing w:line="240" w:lineRule="auto" w:before="30" w:after="30"/>
              <w:jc w:val="left"/>
            </w:pPr>
            <w:r>
              <w:rPr>
                <w:b w:val="0"/>
                <w:i w:val="0"/>
                <w:sz w:val="18"/>
              </w:rPr>
              <w:t>jobs</w:t>
            </w:r>
          </w:p>
        </w:tc>
      </w:tr>
      <w:tr>
        <w:trPr>
          <w:cantSplit/>
        </w:trPr>
        <w:tc>
          <w:tcPr>
            <w:tcW w:type="dxa" w:w="3614"/>
          </w:tcPr>
          <w:p>
            <w:pPr>
              <w:pStyle w:val="MDPI42tablebody"/>
              <w:keepNext/>
              <w:spacing w:line="240" w:lineRule="auto" w:before="30" w:after="30"/>
              <w:jc w:val="left"/>
            </w:pPr>
            <w:r>
              <w:rPr>
                <w:b w:val="0"/>
                <w:i w:val="0"/>
                <w:sz w:val="18"/>
              </w:rPr>
              <w:t>Jobs, moderate</w:t>
            </w:r>
          </w:p>
        </w:tc>
        <w:tc>
          <w:tcPr>
            <w:tcW w:type="dxa" w:w="1728"/>
          </w:tcPr>
          <w:p>
            <w:pPr>
              <w:pStyle w:val="MDPI42tablebody"/>
              <w:keepNext/>
              <w:spacing w:line="240" w:lineRule="auto" w:before="30" w:after="30"/>
              <w:jc w:val="center"/>
            </w:pPr>
            <w:r>
              <w:rPr>
                <w:b w:val="0"/>
                <w:i w:val="0"/>
                <w:sz w:val="18"/>
              </w:rPr>
              <w:t>64080</w:t>
            </w:r>
          </w:p>
        </w:tc>
        <w:tc>
          <w:tcPr>
            <w:tcW w:type="dxa" w:w="2514"/>
          </w:tcPr>
          <w:p>
            <w:pPr>
              <w:pStyle w:val="MDPI42tablebody"/>
              <w:keepNext/>
              <w:spacing w:line="240" w:lineRule="auto" w:before="30" w:after="30"/>
              <w:jc w:val="left"/>
            </w:pPr>
            <w:r>
              <w:rPr>
                <w:b w:val="0"/>
                <w:i w:val="0"/>
                <w:sz w:val="18"/>
              </w:rPr>
              <w:t>jobs</w:t>
            </w:r>
          </w:p>
        </w:tc>
      </w:tr>
      <w:tr>
        <w:trPr>
          <w:cantSplit/>
        </w:trPr>
        <w:tc>
          <w:tcPr>
            <w:tcW w:type="dxa" w:w="3614"/>
          </w:tcPr>
          <w:p>
            <w:pPr>
              <w:pStyle w:val="MDPI42tablebody"/>
              <w:keepNext/>
              <w:spacing w:line="240" w:lineRule="auto" w:before="30" w:after="30"/>
              <w:jc w:val="left"/>
            </w:pPr>
            <w:r>
              <w:rPr>
                <w:b w:val="0"/>
                <w:i w:val="0"/>
                <w:sz w:val="18"/>
              </w:rPr>
              <w:t>Jobs, light service</w:t>
            </w:r>
          </w:p>
        </w:tc>
        <w:tc>
          <w:tcPr>
            <w:tcW w:type="dxa" w:w="1728"/>
          </w:tcPr>
          <w:p>
            <w:pPr>
              <w:pStyle w:val="MDPI42tablebody"/>
              <w:keepNext/>
              <w:spacing w:line="240" w:lineRule="auto" w:before="30" w:after="30"/>
              <w:jc w:val="center"/>
            </w:pPr>
            <w:r>
              <w:rPr>
                <w:b w:val="0"/>
                <w:i w:val="0"/>
                <w:sz w:val="18"/>
              </w:rPr>
              <w:t>65711</w:t>
            </w:r>
          </w:p>
        </w:tc>
        <w:tc>
          <w:tcPr>
            <w:tcW w:type="dxa" w:w="2514"/>
          </w:tcPr>
          <w:p>
            <w:pPr>
              <w:pStyle w:val="MDPI42tablebody"/>
              <w:keepNext/>
              <w:spacing w:line="240" w:lineRule="auto" w:before="30" w:after="30"/>
              <w:jc w:val="left"/>
            </w:pPr>
            <w:r>
              <w:rPr>
                <w:b w:val="0"/>
                <w:i w:val="0"/>
                <w:sz w:val="18"/>
              </w:rPr>
              <w:t>jobs</w:t>
            </w:r>
          </w:p>
        </w:tc>
      </w:tr>
      <w:tr>
        <w:trPr>
          <w:cantSplit/>
        </w:trPr>
        <w:tc>
          <w:tcPr>
            <w:tcW w:type="dxa" w:w="3614"/>
          </w:tcPr>
          <w:p>
            <w:pPr>
              <w:pStyle w:val="MDPI42tablebody"/>
              <w:keepNext/>
              <w:spacing w:line="240" w:lineRule="auto" w:before="30" w:after="30"/>
              <w:jc w:val="left"/>
            </w:pPr>
            <w:r>
              <w:rPr>
                <w:b w:val="0"/>
                <w:i w:val="0"/>
                <w:sz w:val="18"/>
              </w:rPr>
              <w:t>Young workers in exposed classes</w:t>
            </w:r>
          </w:p>
        </w:tc>
        <w:tc>
          <w:tcPr>
            <w:tcW w:type="dxa" w:w="1728"/>
          </w:tcPr>
          <w:p>
            <w:pPr>
              <w:pStyle w:val="MDPI42tablebody"/>
              <w:keepNext/>
              <w:spacing w:line="240" w:lineRule="auto" w:before="30" w:after="30"/>
              <w:jc w:val="center"/>
            </w:pPr>
            <w:r>
              <w:rPr>
                <w:b w:val="0"/>
                <w:i w:val="0"/>
                <w:sz w:val="18"/>
              </w:rPr>
              <w:t>37765</w:t>
            </w:r>
          </w:p>
        </w:tc>
        <w:tc>
          <w:tcPr>
            <w:tcW w:type="dxa" w:w="2514"/>
          </w:tcPr>
          <w:p>
            <w:pPr>
              <w:pStyle w:val="MDPI42tablebody"/>
              <w:keepNext/>
              <w:spacing w:line="240" w:lineRule="auto" w:before="30" w:after="30"/>
              <w:jc w:val="left"/>
            </w:pPr>
            <w:r>
              <w:rPr>
                <w:b w:val="0"/>
                <w:i w:val="0"/>
                <w:sz w:val="18"/>
              </w:rPr>
              <w:t>workers</w:t>
            </w:r>
          </w:p>
        </w:tc>
      </w:tr>
      <w:tr>
        <w:trPr>
          <w:cantSplit/>
        </w:trPr>
        <w:tc>
          <w:tcPr>
            <w:tcW w:type="dxa" w:w="3614"/>
          </w:tcPr>
          <w:p>
            <w:pPr>
              <w:pStyle w:val="MDPI42tablebody"/>
              <w:keepNext/>
              <w:spacing w:line="240" w:lineRule="auto" w:before="30" w:after="30"/>
              <w:jc w:val="left"/>
            </w:pPr>
            <w:r>
              <w:rPr>
                <w:b w:val="0"/>
                <w:i w:val="0"/>
                <w:sz w:val="18"/>
              </w:rPr>
              <w:t>Mean existing canopy cover</w:t>
            </w:r>
          </w:p>
        </w:tc>
        <w:tc>
          <w:tcPr>
            <w:tcW w:type="dxa" w:w="1728"/>
          </w:tcPr>
          <w:p>
            <w:pPr>
              <w:pStyle w:val="MDPI42tablebody"/>
              <w:keepNext/>
              <w:spacing w:line="240" w:lineRule="auto" w:before="30" w:after="30"/>
              <w:jc w:val="center"/>
            </w:pPr>
            <w:r>
              <w:rPr>
                <w:b w:val="0"/>
                <w:i w:val="0"/>
                <w:sz w:val="18"/>
              </w:rPr>
              <w:t>0.203</w:t>
            </w:r>
          </w:p>
        </w:tc>
        <w:tc>
          <w:tcPr>
            <w:tcW w:type="dxa" w:w="2514"/>
          </w:tcPr>
          <w:p>
            <w:pPr>
              <w:pStyle w:val="MDPI42tablebody"/>
              <w:keepNext/>
              <w:spacing w:line="240" w:lineRule="auto" w:before="30" w:after="30"/>
              <w:jc w:val="left"/>
            </w:pPr>
            <w:r>
              <w:rPr>
                <w:b w:val="0"/>
                <w:i w:val="0"/>
                <w:sz w:val="18"/>
              </w:rPr>
              <w:t>fraction</w:t>
            </w:r>
          </w:p>
        </w:tc>
      </w:tr>
      <w:tr>
        <w:trPr>
          <w:cantSplit/>
        </w:trPr>
        <w:tc>
          <w:tcPr>
            <w:tcW w:type="dxa" w:w="3614"/>
          </w:tcPr>
          <w:p>
            <w:pPr>
              <w:pStyle w:val="MDPI42tablebody"/>
              <w:keepNext/>
              <w:spacing w:line="240" w:lineRule="auto" w:before="30" w:after="30"/>
              <w:jc w:val="left"/>
            </w:pPr>
            <w:r>
              <w:rPr>
                <w:b w:val="0"/>
                <w:i w:val="0"/>
                <w:sz w:val="18"/>
              </w:rPr>
              <w:t>Workplace-residence correlation</w:t>
            </w:r>
          </w:p>
        </w:tc>
        <w:tc>
          <w:tcPr>
            <w:tcW w:type="dxa" w:w="1728"/>
          </w:tcPr>
          <w:p>
            <w:pPr>
              <w:pStyle w:val="MDPI42tablebody"/>
              <w:keepNext/>
              <w:spacing w:line="240" w:lineRule="auto" w:before="30" w:after="30"/>
              <w:jc w:val="center"/>
            </w:pPr>
            <w:r>
              <w:rPr>
                <w:b w:val="0"/>
                <w:i w:val="0"/>
                <w:sz w:val="18"/>
              </w:rPr>
              <w:t>−0.271</w:t>
            </w:r>
          </w:p>
        </w:tc>
        <w:tc>
          <w:tcPr>
            <w:tcW w:type="dxa" w:w="2514"/>
          </w:tcPr>
          <w:p>
            <w:pPr>
              <w:pStyle w:val="MDPI42tablebody"/>
              <w:keepNext/>
              <w:spacing w:line="240" w:lineRule="auto" w:before="30" w:after="30"/>
              <w:jc w:val="left"/>
            </w:pPr>
            <w:r>
              <w:rPr>
                <w:b w:val="0"/>
                <w:i w:val="0"/>
                <w:sz w:val="18"/>
              </w:rPr>
              <w:t>Pearson r</w:t>
            </w:r>
          </w:p>
        </w:tc>
      </w:tr>
      <w:tr>
        <w:trPr>
          <w:cantSplit/>
        </w:trPr>
        <w:tc>
          <w:tcPr>
            <w:tcW w:type="dxa" w:w="3614"/>
          </w:tcPr>
          <w:p>
            <w:pPr>
              <w:pStyle w:val="MDPI42tablebody"/>
              <w:keepNext/>
              <w:spacing w:line="240" w:lineRule="auto" w:before="30" w:after="30"/>
              <w:jc w:val="left"/>
            </w:pPr>
            <w:r>
              <w:rPr>
                <w:b w:val="0"/>
                <w:i w:val="0"/>
                <w:sz w:val="18"/>
              </w:rPr>
              <w:t>Land use, core</w:t>
            </w:r>
          </w:p>
        </w:tc>
        <w:tc>
          <w:tcPr>
            <w:tcW w:type="dxa" w:w="1728"/>
          </w:tcPr>
          <w:p>
            <w:pPr>
              <w:pStyle w:val="MDPI42tablebody"/>
              <w:keepNext/>
              <w:spacing w:line="240" w:lineRule="auto" w:before="30" w:after="30"/>
              <w:jc w:val="center"/>
            </w:pPr>
            <w:r>
              <w:rPr>
                <w:b w:val="0"/>
                <w:i w:val="0"/>
                <w:sz w:val="18"/>
              </w:rPr>
              <w:t>0.043</w:t>
            </w:r>
          </w:p>
        </w:tc>
        <w:tc>
          <w:tcPr>
            <w:tcW w:type="dxa" w:w="2514"/>
          </w:tcPr>
          <w:p>
            <w:pPr>
              <w:pStyle w:val="MDPI42tablebody"/>
              <w:keepNext/>
              <w:spacing w:line="240" w:lineRule="auto" w:before="30" w:after="30"/>
              <w:jc w:val="left"/>
            </w:pPr>
            <w:r>
              <w:rPr>
                <w:b w:val="0"/>
                <w:i w:val="0"/>
                <w:sz w:val="18"/>
              </w:rPr>
              <w:t>share of cells</w:t>
            </w:r>
          </w:p>
        </w:tc>
      </w:tr>
      <w:tr>
        <w:trPr>
          <w:cantSplit/>
        </w:trPr>
        <w:tc>
          <w:tcPr>
            <w:tcW w:type="dxa" w:w="3614"/>
          </w:tcPr>
          <w:p>
            <w:pPr>
              <w:pStyle w:val="MDPI42tablebody"/>
              <w:keepNext/>
              <w:spacing w:line="240" w:lineRule="auto" w:before="30" w:after="30"/>
              <w:jc w:val="left"/>
            </w:pPr>
            <w:r>
              <w:rPr>
                <w:b w:val="0"/>
                <w:i w:val="0"/>
                <w:sz w:val="18"/>
              </w:rPr>
              <w:t>Land use, industry</w:t>
            </w:r>
          </w:p>
        </w:tc>
        <w:tc>
          <w:tcPr>
            <w:tcW w:type="dxa" w:w="1728"/>
          </w:tcPr>
          <w:p>
            <w:pPr>
              <w:pStyle w:val="MDPI42tablebody"/>
              <w:keepNext/>
              <w:spacing w:line="240" w:lineRule="auto" w:before="30" w:after="30"/>
              <w:jc w:val="center"/>
            </w:pPr>
            <w:r>
              <w:rPr>
                <w:b w:val="0"/>
                <w:i w:val="0"/>
                <w:sz w:val="18"/>
              </w:rPr>
              <w:t>0.072</w:t>
            </w:r>
          </w:p>
        </w:tc>
        <w:tc>
          <w:tcPr>
            <w:tcW w:type="dxa" w:w="2514"/>
          </w:tcPr>
          <w:p>
            <w:pPr>
              <w:pStyle w:val="MDPI42tablebody"/>
              <w:keepNext/>
              <w:spacing w:line="240" w:lineRule="auto" w:before="30" w:after="30"/>
              <w:jc w:val="left"/>
            </w:pPr>
            <w:r>
              <w:rPr>
                <w:b w:val="0"/>
                <w:i w:val="0"/>
                <w:sz w:val="18"/>
              </w:rPr>
              <w:t>share of cells</w:t>
            </w:r>
          </w:p>
        </w:tc>
      </w:tr>
      <w:tr>
        <w:trPr>
          <w:cantSplit/>
        </w:trPr>
        <w:tc>
          <w:tcPr>
            <w:tcW w:type="dxa" w:w="3614"/>
          </w:tcPr>
          <w:p>
            <w:pPr>
              <w:pStyle w:val="MDPI42tablebody"/>
              <w:keepNext/>
              <w:spacing w:line="240" w:lineRule="auto" w:before="30" w:after="30"/>
              <w:jc w:val="left"/>
            </w:pPr>
            <w:r>
              <w:rPr>
                <w:b w:val="0"/>
                <w:i w:val="0"/>
                <w:sz w:val="18"/>
              </w:rPr>
              <w:t>Land use, residential</w:t>
            </w:r>
          </w:p>
        </w:tc>
        <w:tc>
          <w:tcPr>
            <w:tcW w:type="dxa" w:w="1728"/>
          </w:tcPr>
          <w:p>
            <w:pPr>
              <w:pStyle w:val="MDPI42tablebody"/>
              <w:keepNext/>
              <w:spacing w:line="240" w:lineRule="auto" w:before="30" w:after="30"/>
              <w:jc w:val="center"/>
            </w:pPr>
            <w:r>
              <w:rPr>
                <w:b w:val="0"/>
                <w:i w:val="0"/>
                <w:sz w:val="18"/>
              </w:rPr>
              <w:t>0.300</w:t>
            </w:r>
          </w:p>
        </w:tc>
        <w:tc>
          <w:tcPr>
            <w:tcW w:type="dxa" w:w="2514"/>
          </w:tcPr>
          <w:p>
            <w:pPr>
              <w:pStyle w:val="MDPI42tablebody"/>
              <w:keepNext/>
              <w:spacing w:line="240" w:lineRule="auto" w:before="30" w:after="30"/>
              <w:jc w:val="left"/>
            </w:pPr>
            <w:r>
              <w:rPr>
                <w:b w:val="0"/>
                <w:i w:val="0"/>
                <w:sz w:val="18"/>
              </w:rPr>
              <w:t>share of cells</w:t>
            </w:r>
          </w:p>
        </w:tc>
      </w:tr>
      <w:tr>
        <w:trPr>
          <w:cantSplit/>
        </w:trPr>
        <w:tc>
          <w:tcPr>
            <w:tcW w:type="dxa" w:w="3614"/>
          </w:tcPr>
          <w:p>
            <w:pPr>
              <w:pStyle w:val="MDPI42tablebody"/>
              <w:keepNext/>
              <w:spacing w:line="240" w:lineRule="auto" w:before="30" w:after="30"/>
              <w:jc w:val="left"/>
            </w:pPr>
            <w:r>
              <w:rPr>
                <w:b w:val="0"/>
                <w:i w:val="0"/>
                <w:sz w:val="18"/>
              </w:rPr>
              <w:t>Land use, periphery</w:t>
            </w:r>
          </w:p>
        </w:tc>
        <w:tc>
          <w:tcPr>
            <w:tcW w:type="dxa" w:w="1728"/>
          </w:tcPr>
          <w:p>
            <w:pPr>
              <w:pStyle w:val="MDPI42tablebody"/>
              <w:keepNext/>
              <w:spacing w:line="240" w:lineRule="auto" w:before="30" w:after="30"/>
              <w:jc w:val="center"/>
            </w:pPr>
            <w:r>
              <w:rPr>
                <w:b w:val="0"/>
                <w:i w:val="0"/>
                <w:sz w:val="18"/>
              </w:rPr>
              <w:t>0.461</w:t>
            </w:r>
          </w:p>
        </w:tc>
        <w:tc>
          <w:tcPr>
            <w:tcW w:type="dxa" w:w="2514"/>
          </w:tcPr>
          <w:p>
            <w:pPr>
              <w:pStyle w:val="MDPI42tablebody"/>
              <w:keepNext/>
              <w:spacing w:line="240" w:lineRule="auto" w:before="30" w:after="30"/>
              <w:jc w:val="left"/>
            </w:pPr>
            <w:r>
              <w:rPr>
                <w:b w:val="0"/>
                <w:i w:val="0"/>
                <w:sz w:val="18"/>
              </w:rPr>
              <w:t>share of cells</w:t>
            </w:r>
          </w:p>
        </w:tc>
      </w:tr>
      <w:tr>
        <w:trPr>
          <w:cantSplit/>
        </w:trPr>
        <w:tc>
          <w:tcPr>
            <w:tcW w:type="dxa" w:w="3614"/>
          </w:tcPr>
          <w:p>
            <w:pPr>
              <w:pStyle w:val="MDPI42tablebody"/>
              <w:keepNext/>
              <w:spacing w:line="240" w:lineRule="auto" w:before="30" w:after="30"/>
              <w:jc w:val="left"/>
            </w:pPr>
            <w:r>
              <w:rPr>
                <w:b w:val="0"/>
                <w:i w:val="0"/>
                <w:sz w:val="18"/>
              </w:rPr>
              <w:t>Land use, park</w:t>
            </w:r>
          </w:p>
        </w:tc>
        <w:tc>
          <w:tcPr>
            <w:tcW w:type="dxa" w:w="1728"/>
          </w:tcPr>
          <w:p>
            <w:pPr>
              <w:pStyle w:val="MDPI42tablebody"/>
              <w:keepNext/>
              <w:spacing w:line="240" w:lineRule="auto" w:before="30" w:after="30"/>
              <w:jc w:val="center"/>
            </w:pPr>
            <w:r>
              <w:rPr>
                <w:b w:val="0"/>
                <w:i w:val="0"/>
                <w:sz w:val="18"/>
              </w:rPr>
              <w:t>0.099</w:t>
            </w:r>
          </w:p>
        </w:tc>
        <w:tc>
          <w:tcPr>
            <w:tcW w:type="dxa" w:w="2514"/>
          </w:tcPr>
          <w:p>
            <w:pPr>
              <w:pStyle w:val="MDPI42tablebody"/>
              <w:keepNext/>
              <w:spacing w:line="240" w:lineRule="auto" w:before="30" w:after="30"/>
              <w:jc w:val="left"/>
            </w:pPr>
            <w:r>
              <w:rPr>
                <w:b w:val="0"/>
                <w:i w:val="0"/>
                <w:sz w:val="18"/>
              </w:rPr>
              <w:t>share of cells</w:t>
            </w:r>
          </w:p>
        </w:tc>
      </w:tr>
      <w:tr>
        <w:trPr>
          <w:cantSplit/>
        </w:trPr>
        <w:tc>
          <w:tcPr>
            <w:tcW w:type="dxa" w:w="3614"/>
          </w:tcPr>
          <w:p>
            <w:pPr>
              <w:pStyle w:val="MDPI42tablebody"/>
              <w:keepNext/>
              <w:spacing w:line="240" w:lineRule="auto" w:before="30" w:after="30"/>
              <w:jc w:val="left"/>
            </w:pPr>
            <w:r>
              <w:rPr>
                <w:b w:val="0"/>
                <w:i w:val="0"/>
                <w:sz w:val="18"/>
              </w:rPr>
              <w:t>Land use, water</w:t>
            </w:r>
          </w:p>
        </w:tc>
        <w:tc>
          <w:tcPr>
            <w:tcW w:type="dxa" w:w="1728"/>
          </w:tcPr>
          <w:p>
            <w:pPr>
              <w:pStyle w:val="MDPI42tablebody"/>
              <w:keepNext/>
              <w:spacing w:line="240" w:lineRule="auto" w:before="30" w:after="30"/>
              <w:jc w:val="center"/>
            </w:pPr>
            <w:r>
              <w:rPr>
                <w:b w:val="0"/>
                <w:i w:val="0"/>
                <w:sz w:val="18"/>
              </w:rPr>
              <w:t>0.025</w:t>
            </w:r>
          </w:p>
        </w:tc>
        <w:tc>
          <w:tcPr>
            <w:tcW w:type="dxa" w:w="2514"/>
          </w:tcPr>
          <w:p>
            <w:pPr>
              <w:pStyle w:val="MDPI42tablebody"/>
              <w:keepNext/>
              <w:spacing w:line="240" w:lineRule="auto" w:before="30" w:after="30"/>
              <w:jc w:val="left"/>
            </w:pPr>
            <w:r>
              <w:rPr>
                <w:b w:val="0"/>
                <w:i w:val="0"/>
                <w:sz w:val="18"/>
              </w:rPr>
              <w:t>share of cells</w:t>
            </w:r>
          </w:p>
        </w:tc>
      </w:tr>
    </w:tbl>
    <w:p>
      <w:pPr>
        <w:pStyle w:val="MDPI43tablefooter"/>
        <w:keepLines/>
        <w:spacing w:line="240" w:lineRule="auto" w:before="40" w:after="200"/>
        <w:ind w:left="2608" w:firstLine="0"/>
      </w:pPr>
      <w:r>
        <w:rPr>
          <w:sz w:val="16"/>
        </w:rPr>
        <w:t xml:space="preserve">Note: </w:t>
      </w:r>
      <w:r>
        <w:rPr>
          <w:b w:val="0"/>
          <w:i w:val="0"/>
          <w:sz w:val="16"/>
        </w:rPr>
        <w:t>The workplace–residence correlation is the Pearson correlation across cells between the number of young workers in heat-exposed classes and the number of residents. It is the structural quantity the study varies. Source: authors’ calculations.</w:t>
      </w:r>
    </w:p>
    <w:p>
      <w:pPr>
        <w:pStyle w:val="MDPI31text"/>
      </w:pPr>
      <w:r>
        <w:rPr>
          <w:b w:val="0"/>
          <w:i w:val="0"/>
        </w:rPr>
        <w:t>The quantity that matters for what follows is the last row. Across cells, the correlation between the number of young workers in heat-exposed classes and the number of residents is −0.27. The two geographies are not merely different; at the reference divergence they are mildly opposed, because the industrial and logistics fringe that carries most large-site outdoor employment is precisely the part of the city where housing is thin. Whether that figure is representative of European cities is not something this study can establish, which is why Section 4.5 reports the results across the whole range it could take rather than at this value alone.</w:t>
      </w:r>
    </w:p>
    <w:p>
      <w:pPr>
        <w:pStyle w:val="MDPI22heading2"/>
      </w:pPr>
      <w:r>
        <w:t>4.2. Baseline Heat Exposure and Work Capacity</w:t>
      </w:r>
    </w:p>
    <w:p>
      <w:pPr>
        <w:pStyle w:val="MDPI32textnoindent"/>
      </w:pPr>
      <w:r>
        <w:rPr>
          <w:b w:val="0"/>
          <w:i w:val="0"/>
        </w:rPr>
        <w:t>Table 3 reports mean and peak wet bulb globe temperature and the resulting loss of work capacity, before any planting, for each of the four climate settings and each of the five exposure–response functions. Mean working-hour WBGT rises from the cool maritime setting to the hot Mediterranean setting, and the peak cell-hour values run several degrees above the means because the hottest cells are the dense, unshaded ones at the middle of the afternoon.</w:t>
      </w:r>
    </w:p>
    <w:p>
      <w:pPr>
        <w:pStyle w:val="MDPI31text"/>
      </w:pPr>
      <w:r>
        <w:rPr>
          <w:b w:val="0"/>
          <w:i w:val="0"/>
        </w:rPr>
        <w:t>The columns of Table 3 that matter are the last three, and what they show is disagreement. At the warm continental setting, the estimated loss for a young worker ranges from 0.41 to 1.09 hours per working day depending on which published response function is used, a factor of 2.7. The disagreement is not a matter of calibration detail. The occupational functions derived from the ISO 7243 and NIOSH limits are constructed as thresholds and return no loss whatever below a WBGT of about twenty-six degrees for heavy work, while the epidemiological functions return a small but non-zero loss well below that. European summers sit squarely in the band where the two families disagree, which is the least convenient place for them to do so.</w:t>
      </w:r>
    </w:p>
    <w:p>
      <w:pPr>
        <w:pStyle w:val="MDPI31text"/>
      </w:pPr>
      <w:r>
        <w:rPr>
          <w:b w:val="0"/>
          <w:i w:val="0"/>
        </w:rPr>
        <w:t>Appendix A2 sets the five functions side by side across the relevant range and makes the structure of the disagreement plain. The practical consequence is reported in Section 4.4: it is not possible to say how many hours a European city loses to heat without first choosing, on grounds the data do not supply, which of these functions to believe.</w:t>
      </w:r>
    </w:p>
    <w:p>
      <w:pPr>
        <w:pStyle w:val="MDPI41tablecaption"/>
        <w:keepNext/>
        <w:spacing w:after="60"/>
      </w:pPr>
      <w:r>
        <w:rPr>
          <w:b/>
          <w:sz w:val="18"/>
        </w:rPr>
        <w:t xml:space="preserve">Table 3. </w:t>
      </w:r>
      <w:r>
        <w:rPr>
          <w:b w:val="0"/>
          <w:i w:val="0"/>
          <w:sz w:val="18"/>
        </w:rPr>
        <w:t>Baseline heat exposure and work capacity lost, by climate setting and response function.</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988"/>
        <w:gridCol w:w="1674"/>
        <w:gridCol w:w="1255"/>
        <w:gridCol w:w="1255"/>
        <w:gridCol w:w="1465"/>
        <w:gridCol w:w="1465"/>
        <w:gridCol w:w="1360"/>
      </w:tblGrid>
      <w:tr>
        <w:trPr>
          <w:cantSplit/>
          <w:tblHeader/>
        </w:trPr>
        <w:tc>
          <w:tcPr>
            <w:tcW w:type="dxa" w:w="1988"/>
            <w:tcBorders>
              <w:bottom w:val="single" w:sz="8" w:space="0" w:color="auto"/>
            </w:tcBorders>
          </w:tcPr>
          <w:p>
            <w:pPr>
              <w:pStyle w:val="MDPI42tablebody"/>
              <w:keepNext/>
              <w:spacing w:line="240" w:lineRule="auto" w:before="30" w:after="30"/>
              <w:jc w:val="center"/>
            </w:pPr>
            <w:r>
              <w:rPr>
                <w:b/>
                <w:i w:val="0"/>
                <w:sz w:val="16"/>
              </w:rPr>
              <w:t>Climate setting</w:t>
            </w:r>
          </w:p>
        </w:tc>
        <w:tc>
          <w:tcPr>
            <w:tcW w:type="dxa" w:w="1674"/>
            <w:tcBorders>
              <w:bottom w:val="single" w:sz="8" w:space="0" w:color="auto"/>
            </w:tcBorders>
          </w:tcPr>
          <w:p>
            <w:pPr>
              <w:pStyle w:val="MDPI42tablebody"/>
              <w:keepNext/>
              <w:spacing w:line="240" w:lineRule="auto" w:before="30" w:after="30"/>
              <w:jc w:val="center"/>
            </w:pPr>
            <w:r>
              <w:rPr>
                <w:b/>
                <w:i w:val="0"/>
                <w:sz w:val="16"/>
              </w:rPr>
              <w:t>Response function</w:t>
            </w:r>
          </w:p>
        </w:tc>
        <w:tc>
          <w:tcPr>
            <w:tcW w:type="dxa" w:w="1255"/>
            <w:tcBorders>
              <w:bottom w:val="single" w:sz="8" w:space="0" w:color="auto"/>
            </w:tcBorders>
          </w:tcPr>
          <w:p>
            <w:pPr>
              <w:pStyle w:val="MDPI42tablebody"/>
              <w:keepNext/>
              <w:spacing w:line="240" w:lineRule="auto" w:before="30" w:after="30"/>
              <w:jc w:val="center"/>
            </w:pPr>
            <w:r>
              <w:rPr>
                <w:b/>
                <w:i w:val="0"/>
                <w:sz w:val="16"/>
              </w:rPr>
              <w:t>Mean WBGT</w:t>
            </w:r>
          </w:p>
        </w:tc>
        <w:tc>
          <w:tcPr>
            <w:tcW w:type="dxa" w:w="1255"/>
            <w:tcBorders>
              <w:bottom w:val="single" w:sz="8" w:space="0" w:color="auto"/>
            </w:tcBorders>
          </w:tcPr>
          <w:p>
            <w:pPr>
              <w:pStyle w:val="MDPI42tablebody"/>
              <w:keepNext/>
              <w:spacing w:line="240" w:lineRule="auto" w:before="30" w:after="30"/>
              <w:jc w:val="center"/>
            </w:pPr>
            <w:r>
              <w:rPr>
                <w:b/>
                <w:i w:val="0"/>
                <w:sz w:val="16"/>
              </w:rPr>
              <w:t>Peak WBGT</w:t>
            </w:r>
          </w:p>
        </w:tc>
        <w:tc>
          <w:tcPr>
            <w:tcW w:type="dxa" w:w="1465"/>
            <w:tcBorders>
              <w:bottom w:val="single" w:sz="8" w:space="0" w:color="auto"/>
            </w:tcBorders>
          </w:tcPr>
          <w:p>
            <w:pPr>
              <w:pStyle w:val="MDPI42tablebody"/>
              <w:keepNext/>
              <w:spacing w:line="240" w:lineRule="auto" w:before="30" w:after="30"/>
              <w:jc w:val="center"/>
            </w:pPr>
            <w:r>
              <w:rPr>
                <w:b/>
                <w:i w:val="0"/>
                <w:sz w:val="16"/>
              </w:rPr>
              <w:t>Young</w:t>
            </w:r>
          </w:p>
        </w:tc>
        <w:tc>
          <w:tcPr>
            <w:tcW w:type="dxa" w:w="1465"/>
            <w:tcBorders>
              <w:bottom w:val="single" w:sz="8" w:space="0" w:color="auto"/>
            </w:tcBorders>
          </w:tcPr>
          <w:p>
            <w:pPr>
              <w:pStyle w:val="MDPI42tablebody"/>
              <w:keepNext/>
              <w:spacing w:line="240" w:lineRule="auto" w:before="30" w:after="30"/>
              <w:jc w:val="center"/>
            </w:pPr>
            <w:r>
              <w:rPr>
                <w:b/>
                <w:i w:val="0"/>
                <w:sz w:val="16"/>
              </w:rPr>
              <w:t>Older</w:t>
            </w:r>
          </w:p>
        </w:tc>
        <w:tc>
          <w:tcPr>
            <w:tcW w:type="dxa" w:w="1360"/>
            <w:tcBorders>
              <w:bottom w:val="single" w:sz="8" w:space="0" w:color="auto"/>
            </w:tcBorders>
          </w:tcPr>
          <w:p>
            <w:pPr>
              <w:pStyle w:val="MDPI42tablebody"/>
              <w:keepNext/>
              <w:spacing w:line="240" w:lineRule="auto" w:before="30" w:after="30"/>
              <w:jc w:val="center"/>
            </w:pPr>
            <w:r>
              <w:rPr>
                <w:b/>
                <w:i w:val="0"/>
                <w:sz w:val="16"/>
              </w:rPr>
              <w:t>Gap</w:t>
            </w:r>
          </w:p>
        </w:tc>
      </w:tr>
      <w:tr>
        <w:trPr>
          <w:cantSplit/>
        </w:trPr>
        <w:tc>
          <w:tcPr>
            <w:tcW w:type="dxa" w:w="1988"/>
          </w:tcPr>
          <w:p>
            <w:pPr>
              <w:pStyle w:val="MDPI42tablebody"/>
              <w:keepNext/>
              <w:spacing w:line="240" w:lineRule="auto" w:before="30" w:after="30"/>
              <w:jc w:val="left"/>
            </w:pPr>
            <w:r>
              <w:rPr>
                <w:b w:val="0"/>
                <w:i w:val="0"/>
                <w:sz w:val="16"/>
              </w:rPr>
              <w:t>Cool maritime</w:t>
            </w:r>
          </w:p>
        </w:tc>
        <w:tc>
          <w:tcPr>
            <w:tcW w:type="dxa" w:w="1674"/>
          </w:tcPr>
          <w:p>
            <w:pPr>
              <w:pStyle w:val="MDPI42tablebody"/>
              <w:keepNext/>
              <w:spacing w:line="240" w:lineRule="auto" w:before="30" w:after="30"/>
              <w:jc w:val="left"/>
            </w:pPr>
            <w:r>
              <w:rPr>
                <w:b w:val="0"/>
                <w:i w:val="0"/>
                <w:sz w:val="16"/>
              </w:rPr>
              <w:t>Hothaps</w:t>
            </w:r>
          </w:p>
        </w:tc>
        <w:tc>
          <w:tcPr>
            <w:tcW w:type="dxa" w:w="1255"/>
          </w:tcPr>
          <w:p>
            <w:pPr>
              <w:pStyle w:val="MDPI42tablebody"/>
              <w:keepNext/>
              <w:spacing w:line="240" w:lineRule="auto" w:before="30" w:after="30"/>
              <w:jc w:val="center"/>
            </w:pPr>
            <w:r>
              <w:rPr>
                <w:b w:val="0"/>
                <w:i w:val="0"/>
                <w:sz w:val="16"/>
              </w:rPr>
              <w:t>21.29</w:t>
            </w:r>
          </w:p>
        </w:tc>
        <w:tc>
          <w:tcPr>
            <w:tcW w:type="dxa" w:w="1255"/>
          </w:tcPr>
          <w:p>
            <w:pPr>
              <w:pStyle w:val="MDPI42tablebody"/>
              <w:keepNext/>
              <w:spacing w:line="240" w:lineRule="auto" w:before="30" w:after="30"/>
              <w:jc w:val="center"/>
            </w:pPr>
            <w:r>
              <w:rPr>
                <w:b w:val="0"/>
                <w:i w:val="0"/>
                <w:sz w:val="16"/>
              </w:rPr>
              <w:t>25.83</w:t>
            </w:r>
          </w:p>
        </w:tc>
        <w:tc>
          <w:tcPr>
            <w:tcW w:type="dxa" w:w="1465"/>
          </w:tcPr>
          <w:p>
            <w:pPr>
              <w:pStyle w:val="MDPI42tablebody"/>
              <w:keepNext/>
              <w:spacing w:line="240" w:lineRule="auto" w:before="30" w:after="30"/>
              <w:jc w:val="center"/>
            </w:pPr>
            <w:r>
              <w:rPr>
                <w:b w:val="0"/>
                <w:i w:val="0"/>
                <w:sz w:val="16"/>
              </w:rPr>
              <w:t>0.013</w:t>
            </w:r>
          </w:p>
        </w:tc>
        <w:tc>
          <w:tcPr>
            <w:tcW w:type="dxa" w:w="1465"/>
          </w:tcPr>
          <w:p>
            <w:pPr>
              <w:pStyle w:val="MDPI42tablebody"/>
              <w:keepNext/>
              <w:spacing w:line="240" w:lineRule="auto" w:before="30" w:after="30"/>
              <w:jc w:val="center"/>
            </w:pPr>
            <w:r>
              <w:rPr>
                <w:b w:val="0"/>
                <w:i w:val="0"/>
                <w:sz w:val="16"/>
              </w:rPr>
              <w:t>0.012</w:t>
            </w:r>
          </w:p>
        </w:tc>
        <w:tc>
          <w:tcPr>
            <w:tcW w:type="dxa" w:w="1360"/>
          </w:tcPr>
          <w:p>
            <w:pPr>
              <w:pStyle w:val="MDPI42tablebody"/>
              <w:keepNext/>
              <w:spacing w:line="240" w:lineRule="auto" w:before="30" w:after="30"/>
              <w:jc w:val="center"/>
            </w:pPr>
            <w:r>
              <w:rPr>
                <w:b w:val="0"/>
                <w:i w:val="0"/>
                <w:sz w:val="16"/>
              </w:rPr>
              <w:t>0.001</w:t>
            </w:r>
          </w:p>
        </w:tc>
      </w:tr>
      <w:tr>
        <w:trPr>
          <w:cantSplit/>
        </w:trPr>
        <w:tc>
          <w:tcPr>
            <w:tcW w:type="dxa" w:w="1988"/>
          </w:tcPr>
          <w:p>
            <w:pPr>
              <w:pStyle w:val="MDPI42tablebody"/>
              <w:keepNext/>
              <w:spacing w:line="240" w:lineRule="auto" w:before="30" w:after="30"/>
              <w:jc w:val="left"/>
            </w:pPr>
            <w:r>
              <w:rPr>
                <w:b w:val="0"/>
                <w:i w:val="0"/>
                <w:sz w:val="16"/>
              </w:rPr>
              <w:t>Cool maritime</w:t>
            </w:r>
          </w:p>
        </w:tc>
        <w:tc>
          <w:tcPr>
            <w:tcW w:type="dxa" w:w="1674"/>
          </w:tcPr>
          <w:p>
            <w:pPr>
              <w:pStyle w:val="MDPI42tablebody"/>
              <w:keepNext/>
              <w:spacing w:line="240" w:lineRule="auto" w:before="30" w:after="30"/>
              <w:jc w:val="left"/>
            </w:pPr>
            <w:r>
              <w:rPr>
                <w:b w:val="0"/>
                <w:i w:val="0"/>
                <w:sz w:val="16"/>
              </w:rPr>
              <w:t>ISO 7243</w:t>
            </w:r>
          </w:p>
        </w:tc>
        <w:tc>
          <w:tcPr>
            <w:tcW w:type="dxa" w:w="1255"/>
          </w:tcPr>
          <w:p>
            <w:pPr>
              <w:pStyle w:val="MDPI42tablebody"/>
              <w:keepNext/>
              <w:spacing w:line="240" w:lineRule="auto" w:before="30" w:after="30"/>
              <w:jc w:val="center"/>
            </w:pPr>
            <w:r>
              <w:rPr>
                <w:b w:val="0"/>
                <w:i w:val="0"/>
                <w:sz w:val="16"/>
              </w:rPr>
              <w:t>21.29</w:t>
            </w:r>
          </w:p>
        </w:tc>
        <w:tc>
          <w:tcPr>
            <w:tcW w:type="dxa" w:w="1255"/>
          </w:tcPr>
          <w:p>
            <w:pPr>
              <w:pStyle w:val="MDPI42tablebody"/>
              <w:keepNext/>
              <w:spacing w:line="240" w:lineRule="auto" w:before="30" w:after="30"/>
              <w:jc w:val="center"/>
            </w:pPr>
            <w:r>
              <w:rPr>
                <w:b w:val="0"/>
                <w:i w:val="0"/>
                <w:sz w:val="16"/>
              </w:rPr>
              <w:t>25.83</w:t>
            </w:r>
          </w:p>
        </w:tc>
        <w:tc>
          <w:tcPr>
            <w:tcW w:type="dxa" w:w="1465"/>
          </w:tcPr>
          <w:p>
            <w:pPr>
              <w:pStyle w:val="MDPI42tablebody"/>
              <w:keepNext/>
              <w:spacing w:line="240" w:lineRule="auto" w:before="30" w:after="30"/>
              <w:jc w:val="center"/>
            </w:pPr>
            <w:r>
              <w:rPr>
                <w:b w:val="0"/>
                <w:i w:val="0"/>
                <w:sz w:val="16"/>
              </w:rPr>
              <w:t>0.000</w:t>
            </w:r>
          </w:p>
        </w:tc>
        <w:tc>
          <w:tcPr>
            <w:tcW w:type="dxa" w:w="1465"/>
          </w:tcPr>
          <w:p>
            <w:pPr>
              <w:pStyle w:val="MDPI42tablebody"/>
              <w:keepNext/>
              <w:spacing w:line="240" w:lineRule="auto" w:before="30" w:after="30"/>
              <w:jc w:val="center"/>
            </w:pPr>
            <w:r>
              <w:rPr>
                <w:b w:val="0"/>
                <w:i w:val="0"/>
                <w:sz w:val="16"/>
              </w:rPr>
              <w:t>0.000</w:t>
            </w:r>
          </w:p>
        </w:tc>
        <w:tc>
          <w:tcPr>
            <w:tcW w:type="dxa" w:w="1360"/>
          </w:tcPr>
          <w:p>
            <w:pPr>
              <w:pStyle w:val="MDPI42tablebody"/>
              <w:keepNext/>
              <w:spacing w:line="240" w:lineRule="auto" w:before="30" w:after="30"/>
              <w:jc w:val="center"/>
            </w:pPr>
            <w:r>
              <w:rPr>
                <w:b w:val="0"/>
                <w:i w:val="0"/>
                <w:sz w:val="16"/>
              </w:rPr>
              <w:t>0.000</w:t>
            </w:r>
          </w:p>
        </w:tc>
      </w:tr>
      <w:tr>
        <w:trPr>
          <w:cantSplit/>
        </w:trPr>
        <w:tc>
          <w:tcPr>
            <w:tcW w:type="dxa" w:w="1988"/>
          </w:tcPr>
          <w:p>
            <w:pPr>
              <w:pStyle w:val="MDPI42tablebody"/>
              <w:keepNext/>
              <w:spacing w:line="240" w:lineRule="auto" w:before="30" w:after="30"/>
              <w:jc w:val="left"/>
            </w:pPr>
            <w:r>
              <w:rPr>
                <w:b w:val="0"/>
                <w:i w:val="0"/>
                <w:sz w:val="16"/>
              </w:rPr>
              <w:t>Cool maritime</w:t>
            </w:r>
          </w:p>
        </w:tc>
        <w:tc>
          <w:tcPr>
            <w:tcW w:type="dxa" w:w="1674"/>
          </w:tcPr>
          <w:p>
            <w:pPr>
              <w:pStyle w:val="MDPI42tablebody"/>
              <w:keepNext/>
              <w:spacing w:line="240" w:lineRule="auto" w:before="30" w:after="30"/>
              <w:jc w:val="left"/>
            </w:pPr>
            <w:r>
              <w:rPr>
                <w:b w:val="0"/>
                <w:i w:val="0"/>
                <w:sz w:val="16"/>
              </w:rPr>
              <w:t>NIOSH</w:t>
            </w:r>
          </w:p>
        </w:tc>
        <w:tc>
          <w:tcPr>
            <w:tcW w:type="dxa" w:w="1255"/>
          </w:tcPr>
          <w:p>
            <w:pPr>
              <w:pStyle w:val="MDPI42tablebody"/>
              <w:keepNext/>
              <w:spacing w:line="240" w:lineRule="auto" w:before="30" w:after="30"/>
              <w:jc w:val="center"/>
            </w:pPr>
            <w:r>
              <w:rPr>
                <w:b w:val="0"/>
                <w:i w:val="0"/>
                <w:sz w:val="16"/>
              </w:rPr>
              <w:t>21.29</w:t>
            </w:r>
          </w:p>
        </w:tc>
        <w:tc>
          <w:tcPr>
            <w:tcW w:type="dxa" w:w="1255"/>
          </w:tcPr>
          <w:p>
            <w:pPr>
              <w:pStyle w:val="MDPI42tablebody"/>
              <w:keepNext/>
              <w:spacing w:line="240" w:lineRule="auto" w:before="30" w:after="30"/>
              <w:jc w:val="center"/>
            </w:pPr>
            <w:r>
              <w:rPr>
                <w:b w:val="0"/>
                <w:i w:val="0"/>
                <w:sz w:val="16"/>
              </w:rPr>
              <w:t>25.83</w:t>
            </w:r>
          </w:p>
        </w:tc>
        <w:tc>
          <w:tcPr>
            <w:tcW w:type="dxa" w:w="1465"/>
          </w:tcPr>
          <w:p>
            <w:pPr>
              <w:pStyle w:val="MDPI42tablebody"/>
              <w:keepNext/>
              <w:spacing w:line="240" w:lineRule="auto" w:before="30" w:after="30"/>
              <w:jc w:val="center"/>
            </w:pPr>
            <w:r>
              <w:rPr>
                <w:b w:val="0"/>
                <w:i w:val="0"/>
                <w:sz w:val="16"/>
              </w:rPr>
              <w:t>0.000</w:t>
            </w:r>
          </w:p>
        </w:tc>
        <w:tc>
          <w:tcPr>
            <w:tcW w:type="dxa" w:w="1465"/>
          </w:tcPr>
          <w:p>
            <w:pPr>
              <w:pStyle w:val="MDPI42tablebody"/>
              <w:keepNext/>
              <w:spacing w:line="240" w:lineRule="auto" w:before="30" w:after="30"/>
              <w:jc w:val="center"/>
            </w:pPr>
            <w:r>
              <w:rPr>
                <w:b w:val="0"/>
                <w:i w:val="0"/>
                <w:sz w:val="16"/>
              </w:rPr>
              <w:t>0.000</w:t>
            </w:r>
          </w:p>
        </w:tc>
        <w:tc>
          <w:tcPr>
            <w:tcW w:type="dxa" w:w="1360"/>
          </w:tcPr>
          <w:p>
            <w:pPr>
              <w:pStyle w:val="MDPI42tablebody"/>
              <w:keepNext/>
              <w:spacing w:line="240" w:lineRule="auto" w:before="30" w:after="30"/>
              <w:jc w:val="center"/>
            </w:pPr>
            <w:r>
              <w:rPr>
                <w:b w:val="0"/>
                <w:i w:val="0"/>
                <w:sz w:val="16"/>
              </w:rPr>
              <w:t>0.000</w:t>
            </w:r>
          </w:p>
        </w:tc>
      </w:tr>
      <w:tr>
        <w:trPr>
          <w:cantSplit/>
        </w:trPr>
        <w:tc>
          <w:tcPr>
            <w:tcW w:type="dxa" w:w="1988"/>
          </w:tcPr>
          <w:p>
            <w:pPr>
              <w:pStyle w:val="MDPI42tablebody"/>
              <w:keepNext/>
              <w:spacing w:line="240" w:lineRule="auto" w:before="30" w:after="30"/>
              <w:jc w:val="left"/>
            </w:pPr>
            <w:r>
              <w:rPr>
                <w:b w:val="0"/>
                <w:i w:val="0"/>
                <w:sz w:val="16"/>
              </w:rPr>
              <w:t>Cool maritime</w:t>
            </w:r>
          </w:p>
        </w:tc>
        <w:tc>
          <w:tcPr>
            <w:tcW w:type="dxa" w:w="1674"/>
          </w:tcPr>
          <w:p>
            <w:pPr>
              <w:pStyle w:val="MDPI42tablebody"/>
              <w:keepNext/>
              <w:spacing w:line="240" w:lineRule="auto" w:before="30" w:after="30"/>
              <w:jc w:val="left"/>
            </w:pPr>
            <w:r>
              <w:rPr>
                <w:b w:val="0"/>
                <w:i w:val="0"/>
                <w:sz w:val="16"/>
              </w:rPr>
              <w:t>Dunne et al.</w:t>
            </w:r>
          </w:p>
        </w:tc>
        <w:tc>
          <w:tcPr>
            <w:tcW w:type="dxa" w:w="1255"/>
          </w:tcPr>
          <w:p>
            <w:pPr>
              <w:pStyle w:val="MDPI42tablebody"/>
              <w:keepNext/>
              <w:spacing w:line="240" w:lineRule="auto" w:before="30" w:after="30"/>
              <w:jc w:val="center"/>
            </w:pPr>
            <w:r>
              <w:rPr>
                <w:b w:val="0"/>
                <w:i w:val="0"/>
                <w:sz w:val="16"/>
              </w:rPr>
              <w:t>21.29</w:t>
            </w:r>
          </w:p>
        </w:tc>
        <w:tc>
          <w:tcPr>
            <w:tcW w:type="dxa" w:w="1255"/>
          </w:tcPr>
          <w:p>
            <w:pPr>
              <w:pStyle w:val="MDPI42tablebody"/>
              <w:keepNext/>
              <w:spacing w:line="240" w:lineRule="auto" w:before="30" w:after="30"/>
              <w:jc w:val="center"/>
            </w:pPr>
            <w:r>
              <w:rPr>
                <w:b w:val="0"/>
                <w:i w:val="0"/>
                <w:sz w:val="16"/>
              </w:rPr>
              <w:t>25.83</w:t>
            </w:r>
          </w:p>
        </w:tc>
        <w:tc>
          <w:tcPr>
            <w:tcW w:type="dxa" w:w="1465"/>
          </w:tcPr>
          <w:p>
            <w:pPr>
              <w:pStyle w:val="MDPI42tablebody"/>
              <w:keepNext/>
              <w:spacing w:line="240" w:lineRule="auto" w:before="30" w:after="30"/>
              <w:jc w:val="center"/>
            </w:pPr>
            <w:r>
              <w:rPr>
                <w:b w:val="0"/>
                <w:i w:val="0"/>
                <w:sz w:val="16"/>
              </w:rPr>
              <w:t>0.001</w:t>
            </w:r>
          </w:p>
        </w:tc>
        <w:tc>
          <w:tcPr>
            <w:tcW w:type="dxa" w:w="1465"/>
          </w:tcPr>
          <w:p>
            <w:pPr>
              <w:pStyle w:val="MDPI42tablebody"/>
              <w:keepNext/>
              <w:spacing w:line="240" w:lineRule="auto" w:before="30" w:after="30"/>
              <w:jc w:val="center"/>
            </w:pPr>
            <w:r>
              <w:rPr>
                <w:b w:val="0"/>
                <w:i w:val="0"/>
                <w:sz w:val="16"/>
              </w:rPr>
              <w:t>0.001</w:t>
            </w:r>
          </w:p>
        </w:tc>
        <w:tc>
          <w:tcPr>
            <w:tcW w:type="dxa" w:w="1360"/>
          </w:tcPr>
          <w:p>
            <w:pPr>
              <w:pStyle w:val="MDPI42tablebody"/>
              <w:keepNext/>
              <w:spacing w:line="240" w:lineRule="auto" w:before="30" w:after="30"/>
              <w:jc w:val="center"/>
            </w:pPr>
            <w:r>
              <w:rPr>
                <w:b w:val="0"/>
                <w:i w:val="0"/>
                <w:sz w:val="16"/>
              </w:rPr>
              <w:t>0.000</w:t>
            </w:r>
          </w:p>
        </w:tc>
      </w:tr>
      <w:tr>
        <w:trPr>
          <w:cantSplit/>
        </w:trPr>
        <w:tc>
          <w:tcPr>
            <w:tcW w:type="dxa" w:w="1988"/>
          </w:tcPr>
          <w:p>
            <w:pPr>
              <w:pStyle w:val="MDPI42tablebody"/>
              <w:keepNext/>
              <w:spacing w:line="240" w:lineRule="auto" w:before="30" w:after="30"/>
              <w:jc w:val="left"/>
            </w:pPr>
            <w:r>
              <w:rPr>
                <w:b w:val="0"/>
                <w:i w:val="0"/>
                <w:sz w:val="16"/>
              </w:rPr>
              <w:t>Cool maritime</w:t>
            </w:r>
          </w:p>
        </w:tc>
        <w:tc>
          <w:tcPr>
            <w:tcW w:type="dxa" w:w="1674"/>
          </w:tcPr>
          <w:p>
            <w:pPr>
              <w:pStyle w:val="MDPI42tablebody"/>
              <w:keepNext/>
              <w:spacing w:line="240" w:lineRule="auto" w:before="30" w:after="30"/>
              <w:jc w:val="left"/>
            </w:pPr>
            <w:r>
              <w:rPr>
                <w:b w:val="0"/>
                <w:i w:val="0"/>
                <w:sz w:val="16"/>
              </w:rPr>
              <w:t>Foster et al.</w:t>
            </w:r>
          </w:p>
        </w:tc>
        <w:tc>
          <w:tcPr>
            <w:tcW w:type="dxa" w:w="1255"/>
          </w:tcPr>
          <w:p>
            <w:pPr>
              <w:pStyle w:val="MDPI42tablebody"/>
              <w:keepNext/>
              <w:spacing w:line="240" w:lineRule="auto" w:before="30" w:after="30"/>
              <w:jc w:val="center"/>
            </w:pPr>
            <w:r>
              <w:rPr>
                <w:b w:val="0"/>
                <w:i w:val="0"/>
                <w:sz w:val="16"/>
              </w:rPr>
              <w:t>21.29</w:t>
            </w:r>
          </w:p>
        </w:tc>
        <w:tc>
          <w:tcPr>
            <w:tcW w:type="dxa" w:w="1255"/>
          </w:tcPr>
          <w:p>
            <w:pPr>
              <w:pStyle w:val="MDPI42tablebody"/>
              <w:keepNext/>
              <w:spacing w:line="240" w:lineRule="auto" w:before="30" w:after="30"/>
              <w:jc w:val="center"/>
            </w:pPr>
            <w:r>
              <w:rPr>
                <w:b w:val="0"/>
                <w:i w:val="0"/>
                <w:sz w:val="16"/>
              </w:rPr>
              <w:t>25.83</w:t>
            </w:r>
          </w:p>
        </w:tc>
        <w:tc>
          <w:tcPr>
            <w:tcW w:type="dxa" w:w="1465"/>
          </w:tcPr>
          <w:p>
            <w:pPr>
              <w:pStyle w:val="MDPI42tablebody"/>
              <w:keepNext/>
              <w:spacing w:line="240" w:lineRule="auto" w:before="30" w:after="30"/>
              <w:jc w:val="center"/>
            </w:pPr>
            <w:r>
              <w:rPr>
                <w:b w:val="0"/>
                <w:i w:val="0"/>
                <w:sz w:val="16"/>
              </w:rPr>
              <w:t>0.247</w:t>
            </w:r>
          </w:p>
        </w:tc>
        <w:tc>
          <w:tcPr>
            <w:tcW w:type="dxa" w:w="1465"/>
          </w:tcPr>
          <w:p>
            <w:pPr>
              <w:pStyle w:val="MDPI42tablebody"/>
              <w:keepNext/>
              <w:spacing w:line="240" w:lineRule="auto" w:before="30" w:after="30"/>
              <w:jc w:val="center"/>
            </w:pPr>
            <w:r>
              <w:rPr>
                <w:b w:val="0"/>
                <w:i w:val="0"/>
                <w:sz w:val="16"/>
              </w:rPr>
              <w:t>0.236</w:t>
            </w:r>
          </w:p>
        </w:tc>
        <w:tc>
          <w:tcPr>
            <w:tcW w:type="dxa" w:w="1360"/>
          </w:tcPr>
          <w:p>
            <w:pPr>
              <w:pStyle w:val="MDPI42tablebody"/>
              <w:keepNext/>
              <w:spacing w:line="240" w:lineRule="auto" w:before="30" w:after="30"/>
              <w:jc w:val="center"/>
            </w:pPr>
            <w:r>
              <w:rPr>
                <w:b w:val="0"/>
                <w:i w:val="0"/>
                <w:sz w:val="16"/>
              </w:rPr>
              <w:t>0.011</w:t>
            </w:r>
          </w:p>
        </w:tc>
      </w:tr>
      <w:tr>
        <w:trPr>
          <w:cantSplit/>
        </w:trPr>
        <w:tc>
          <w:tcPr>
            <w:tcW w:type="dxa" w:w="1988"/>
          </w:tcPr>
          <w:p>
            <w:pPr>
              <w:pStyle w:val="MDPI42tablebody"/>
              <w:keepNext/>
              <w:spacing w:line="240" w:lineRule="auto" w:before="30" w:after="30"/>
              <w:jc w:val="left"/>
            </w:pPr>
            <w:r>
              <w:rPr>
                <w:b w:val="0"/>
                <w:i w:val="0"/>
                <w:sz w:val="16"/>
              </w:rPr>
              <w:t>Temperate continental</w:t>
            </w:r>
          </w:p>
        </w:tc>
        <w:tc>
          <w:tcPr>
            <w:tcW w:type="dxa" w:w="1674"/>
          </w:tcPr>
          <w:p>
            <w:pPr>
              <w:pStyle w:val="MDPI42tablebody"/>
              <w:keepNext/>
              <w:spacing w:line="240" w:lineRule="auto" w:before="30" w:after="30"/>
              <w:jc w:val="left"/>
            </w:pPr>
            <w:r>
              <w:rPr>
                <w:b w:val="0"/>
                <w:i w:val="0"/>
                <w:sz w:val="16"/>
              </w:rPr>
              <w:t>Hothaps</w:t>
            </w:r>
          </w:p>
        </w:tc>
        <w:tc>
          <w:tcPr>
            <w:tcW w:type="dxa" w:w="1255"/>
          </w:tcPr>
          <w:p>
            <w:pPr>
              <w:pStyle w:val="MDPI42tablebody"/>
              <w:keepNext/>
              <w:spacing w:line="240" w:lineRule="auto" w:before="30" w:after="30"/>
              <w:jc w:val="center"/>
            </w:pPr>
            <w:r>
              <w:rPr>
                <w:b w:val="0"/>
                <w:i w:val="0"/>
                <w:sz w:val="16"/>
              </w:rPr>
              <w:t>24.43</w:t>
            </w:r>
          </w:p>
        </w:tc>
        <w:tc>
          <w:tcPr>
            <w:tcW w:type="dxa" w:w="1255"/>
          </w:tcPr>
          <w:p>
            <w:pPr>
              <w:pStyle w:val="MDPI42tablebody"/>
              <w:keepNext/>
              <w:spacing w:line="240" w:lineRule="auto" w:before="30" w:after="30"/>
              <w:jc w:val="center"/>
            </w:pPr>
            <w:r>
              <w:rPr>
                <w:b w:val="0"/>
                <w:i w:val="0"/>
                <w:sz w:val="16"/>
              </w:rPr>
              <w:t>29.58</w:t>
            </w:r>
          </w:p>
        </w:tc>
        <w:tc>
          <w:tcPr>
            <w:tcW w:type="dxa" w:w="1465"/>
          </w:tcPr>
          <w:p>
            <w:pPr>
              <w:pStyle w:val="MDPI42tablebody"/>
              <w:keepNext/>
              <w:spacing w:line="240" w:lineRule="auto" w:before="30" w:after="30"/>
              <w:jc w:val="center"/>
            </w:pPr>
            <w:r>
              <w:rPr>
                <w:b w:val="0"/>
                <w:i w:val="0"/>
                <w:sz w:val="16"/>
              </w:rPr>
              <w:t>0.128</w:t>
            </w:r>
          </w:p>
        </w:tc>
        <w:tc>
          <w:tcPr>
            <w:tcW w:type="dxa" w:w="1465"/>
          </w:tcPr>
          <w:p>
            <w:pPr>
              <w:pStyle w:val="MDPI42tablebody"/>
              <w:keepNext/>
              <w:spacing w:line="240" w:lineRule="auto" w:before="30" w:after="30"/>
              <w:jc w:val="center"/>
            </w:pPr>
            <w:r>
              <w:rPr>
                <w:b w:val="0"/>
                <w:i w:val="0"/>
                <w:sz w:val="16"/>
              </w:rPr>
              <w:t>0.117</w:t>
            </w:r>
          </w:p>
        </w:tc>
        <w:tc>
          <w:tcPr>
            <w:tcW w:type="dxa" w:w="1360"/>
          </w:tcPr>
          <w:p>
            <w:pPr>
              <w:pStyle w:val="MDPI42tablebody"/>
              <w:keepNext/>
              <w:spacing w:line="240" w:lineRule="auto" w:before="30" w:after="30"/>
              <w:jc w:val="center"/>
            </w:pPr>
            <w:r>
              <w:rPr>
                <w:b w:val="0"/>
                <w:i w:val="0"/>
                <w:sz w:val="16"/>
              </w:rPr>
              <w:t>0.010</w:t>
            </w:r>
          </w:p>
        </w:tc>
      </w:tr>
      <w:tr>
        <w:trPr>
          <w:cantSplit/>
        </w:trPr>
        <w:tc>
          <w:tcPr>
            <w:tcW w:type="dxa" w:w="1988"/>
          </w:tcPr>
          <w:p>
            <w:pPr>
              <w:pStyle w:val="MDPI42tablebody"/>
              <w:keepNext/>
              <w:spacing w:line="240" w:lineRule="auto" w:before="30" w:after="30"/>
              <w:jc w:val="left"/>
            </w:pPr>
            <w:r>
              <w:rPr>
                <w:b w:val="0"/>
                <w:i w:val="0"/>
                <w:sz w:val="16"/>
              </w:rPr>
              <w:t>Temperate continental</w:t>
            </w:r>
          </w:p>
        </w:tc>
        <w:tc>
          <w:tcPr>
            <w:tcW w:type="dxa" w:w="1674"/>
          </w:tcPr>
          <w:p>
            <w:pPr>
              <w:pStyle w:val="MDPI42tablebody"/>
              <w:keepNext/>
              <w:spacing w:line="240" w:lineRule="auto" w:before="30" w:after="30"/>
              <w:jc w:val="left"/>
            </w:pPr>
            <w:r>
              <w:rPr>
                <w:b w:val="0"/>
                <w:i w:val="0"/>
                <w:sz w:val="16"/>
              </w:rPr>
              <w:t>ISO 7243</w:t>
            </w:r>
          </w:p>
        </w:tc>
        <w:tc>
          <w:tcPr>
            <w:tcW w:type="dxa" w:w="1255"/>
          </w:tcPr>
          <w:p>
            <w:pPr>
              <w:pStyle w:val="MDPI42tablebody"/>
              <w:keepNext/>
              <w:spacing w:line="240" w:lineRule="auto" w:before="30" w:after="30"/>
              <w:jc w:val="center"/>
            </w:pPr>
            <w:r>
              <w:rPr>
                <w:b w:val="0"/>
                <w:i w:val="0"/>
                <w:sz w:val="16"/>
              </w:rPr>
              <w:t>24.43</w:t>
            </w:r>
          </w:p>
        </w:tc>
        <w:tc>
          <w:tcPr>
            <w:tcW w:type="dxa" w:w="1255"/>
          </w:tcPr>
          <w:p>
            <w:pPr>
              <w:pStyle w:val="MDPI42tablebody"/>
              <w:keepNext/>
              <w:spacing w:line="240" w:lineRule="auto" w:before="30" w:after="30"/>
              <w:jc w:val="center"/>
            </w:pPr>
            <w:r>
              <w:rPr>
                <w:b w:val="0"/>
                <w:i w:val="0"/>
                <w:sz w:val="16"/>
              </w:rPr>
              <w:t>29.58</w:t>
            </w:r>
          </w:p>
        </w:tc>
        <w:tc>
          <w:tcPr>
            <w:tcW w:type="dxa" w:w="1465"/>
          </w:tcPr>
          <w:p>
            <w:pPr>
              <w:pStyle w:val="MDPI42tablebody"/>
              <w:keepNext/>
              <w:spacing w:line="240" w:lineRule="auto" w:before="30" w:after="30"/>
              <w:jc w:val="center"/>
            </w:pPr>
            <w:r>
              <w:rPr>
                <w:b w:val="0"/>
                <w:i w:val="0"/>
                <w:sz w:val="16"/>
              </w:rPr>
              <w:t>0.142</w:t>
            </w:r>
          </w:p>
        </w:tc>
        <w:tc>
          <w:tcPr>
            <w:tcW w:type="dxa" w:w="1465"/>
          </w:tcPr>
          <w:p>
            <w:pPr>
              <w:pStyle w:val="MDPI42tablebody"/>
              <w:keepNext/>
              <w:spacing w:line="240" w:lineRule="auto" w:before="30" w:after="30"/>
              <w:jc w:val="center"/>
            </w:pPr>
            <w:r>
              <w:rPr>
                <w:b w:val="0"/>
                <w:i w:val="0"/>
                <w:sz w:val="16"/>
              </w:rPr>
              <w:t>0.128</w:t>
            </w:r>
          </w:p>
        </w:tc>
        <w:tc>
          <w:tcPr>
            <w:tcW w:type="dxa" w:w="1360"/>
          </w:tcPr>
          <w:p>
            <w:pPr>
              <w:pStyle w:val="MDPI42tablebody"/>
              <w:keepNext/>
              <w:spacing w:line="240" w:lineRule="auto" w:before="30" w:after="30"/>
              <w:jc w:val="center"/>
            </w:pPr>
            <w:r>
              <w:rPr>
                <w:b w:val="0"/>
                <w:i w:val="0"/>
                <w:sz w:val="16"/>
              </w:rPr>
              <w:t>0.014</w:t>
            </w:r>
          </w:p>
        </w:tc>
      </w:tr>
      <w:tr>
        <w:trPr>
          <w:cantSplit/>
        </w:trPr>
        <w:tc>
          <w:tcPr>
            <w:tcW w:type="dxa" w:w="1988"/>
          </w:tcPr>
          <w:p>
            <w:pPr>
              <w:pStyle w:val="MDPI42tablebody"/>
              <w:keepNext/>
              <w:spacing w:line="240" w:lineRule="auto" w:before="30" w:after="30"/>
              <w:jc w:val="left"/>
            </w:pPr>
            <w:r>
              <w:rPr>
                <w:b w:val="0"/>
                <w:i w:val="0"/>
                <w:sz w:val="16"/>
              </w:rPr>
              <w:t>Temperate continental</w:t>
            </w:r>
          </w:p>
        </w:tc>
        <w:tc>
          <w:tcPr>
            <w:tcW w:type="dxa" w:w="1674"/>
          </w:tcPr>
          <w:p>
            <w:pPr>
              <w:pStyle w:val="MDPI42tablebody"/>
              <w:keepNext/>
              <w:spacing w:line="240" w:lineRule="auto" w:before="30" w:after="30"/>
              <w:jc w:val="left"/>
            </w:pPr>
            <w:r>
              <w:rPr>
                <w:b w:val="0"/>
                <w:i w:val="0"/>
                <w:sz w:val="16"/>
              </w:rPr>
              <w:t>NIOSH</w:t>
            </w:r>
          </w:p>
        </w:tc>
        <w:tc>
          <w:tcPr>
            <w:tcW w:type="dxa" w:w="1255"/>
          </w:tcPr>
          <w:p>
            <w:pPr>
              <w:pStyle w:val="MDPI42tablebody"/>
              <w:keepNext/>
              <w:spacing w:line="240" w:lineRule="auto" w:before="30" w:after="30"/>
              <w:jc w:val="center"/>
            </w:pPr>
            <w:r>
              <w:rPr>
                <w:b w:val="0"/>
                <w:i w:val="0"/>
                <w:sz w:val="16"/>
              </w:rPr>
              <w:t>24.43</w:t>
            </w:r>
          </w:p>
        </w:tc>
        <w:tc>
          <w:tcPr>
            <w:tcW w:type="dxa" w:w="1255"/>
          </w:tcPr>
          <w:p>
            <w:pPr>
              <w:pStyle w:val="MDPI42tablebody"/>
              <w:keepNext/>
              <w:spacing w:line="240" w:lineRule="auto" w:before="30" w:after="30"/>
              <w:jc w:val="center"/>
            </w:pPr>
            <w:r>
              <w:rPr>
                <w:b w:val="0"/>
                <w:i w:val="0"/>
                <w:sz w:val="16"/>
              </w:rPr>
              <w:t>29.58</w:t>
            </w:r>
          </w:p>
        </w:tc>
        <w:tc>
          <w:tcPr>
            <w:tcW w:type="dxa" w:w="1465"/>
          </w:tcPr>
          <w:p>
            <w:pPr>
              <w:pStyle w:val="MDPI42tablebody"/>
              <w:keepNext/>
              <w:spacing w:line="240" w:lineRule="auto" w:before="30" w:after="30"/>
              <w:jc w:val="center"/>
            </w:pPr>
            <w:r>
              <w:rPr>
                <w:b w:val="0"/>
                <w:i w:val="0"/>
                <w:sz w:val="16"/>
              </w:rPr>
              <w:t>0.077</w:t>
            </w:r>
          </w:p>
        </w:tc>
        <w:tc>
          <w:tcPr>
            <w:tcW w:type="dxa" w:w="1465"/>
          </w:tcPr>
          <w:p>
            <w:pPr>
              <w:pStyle w:val="MDPI42tablebody"/>
              <w:keepNext/>
              <w:spacing w:line="240" w:lineRule="auto" w:before="30" w:after="30"/>
              <w:jc w:val="center"/>
            </w:pPr>
            <w:r>
              <w:rPr>
                <w:b w:val="0"/>
                <w:i w:val="0"/>
                <w:sz w:val="16"/>
              </w:rPr>
              <w:t>0.069</w:t>
            </w:r>
          </w:p>
        </w:tc>
        <w:tc>
          <w:tcPr>
            <w:tcW w:type="dxa" w:w="1360"/>
          </w:tcPr>
          <w:p>
            <w:pPr>
              <w:pStyle w:val="MDPI42tablebody"/>
              <w:keepNext/>
              <w:spacing w:line="240" w:lineRule="auto" w:before="30" w:after="30"/>
              <w:jc w:val="center"/>
            </w:pPr>
            <w:r>
              <w:rPr>
                <w:b w:val="0"/>
                <w:i w:val="0"/>
                <w:sz w:val="16"/>
              </w:rPr>
              <w:t>0.008</w:t>
            </w:r>
          </w:p>
        </w:tc>
      </w:tr>
      <w:tr>
        <w:trPr>
          <w:cantSplit/>
        </w:trPr>
        <w:tc>
          <w:tcPr>
            <w:tcW w:type="dxa" w:w="1988"/>
          </w:tcPr>
          <w:p>
            <w:pPr>
              <w:pStyle w:val="MDPI42tablebody"/>
              <w:keepNext/>
              <w:spacing w:line="240" w:lineRule="auto" w:before="30" w:after="30"/>
              <w:jc w:val="left"/>
            </w:pPr>
            <w:r>
              <w:rPr>
                <w:b w:val="0"/>
                <w:i w:val="0"/>
                <w:sz w:val="16"/>
              </w:rPr>
              <w:t>Temperate continental</w:t>
            </w:r>
          </w:p>
        </w:tc>
        <w:tc>
          <w:tcPr>
            <w:tcW w:type="dxa" w:w="1674"/>
          </w:tcPr>
          <w:p>
            <w:pPr>
              <w:pStyle w:val="MDPI42tablebody"/>
              <w:keepNext/>
              <w:spacing w:line="240" w:lineRule="auto" w:before="30" w:after="30"/>
              <w:jc w:val="left"/>
            </w:pPr>
            <w:r>
              <w:rPr>
                <w:b w:val="0"/>
                <w:i w:val="0"/>
                <w:sz w:val="16"/>
              </w:rPr>
              <w:t>Dunne et al.</w:t>
            </w:r>
          </w:p>
        </w:tc>
        <w:tc>
          <w:tcPr>
            <w:tcW w:type="dxa" w:w="1255"/>
          </w:tcPr>
          <w:p>
            <w:pPr>
              <w:pStyle w:val="MDPI42tablebody"/>
              <w:keepNext/>
              <w:spacing w:line="240" w:lineRule="auto" w:before="30" w:after="30"/>
              <w:jc w:val="center"/>
            </w:pPr>
            <w:r>
              <w:rPr>
                <w:b w:val="0"/>
                <w:i w:val="0"/>
                <w:sz w:val="16"/>
              </w:rPr>
              <w:t>24.43</w:t>
            </w:r>
          </w:p>
        </w:tc>
        <w:tc>
          <w:tcPr>
            <w:tcW w:type="dxa" w:w="1255"/>
          </w:tcPr>
          <w:p>
            <w:pPr>
              <w:pStyle w:val="MDPI42tablebody"/>
              <w:keepNext/>
              <w:spacing w:line="240" w:lineRule="auto" w:before="30" w:after="30"/>
              <w:jc w:val="center"/>
            </w:pPr>
            <w:r>
              <w:rPr>
                <w:b w:val="0"/>
                <w:i w:val="0"/>
                <w:sz w:val="16"/>
              </w:rPr>
              <w:t>29.58</w:t>
            </w:r>
          </w:p>
        </w:tc>
        <w:tc>
          <w:tcPr>
            <w:tcW w:type="dxa" w:w="1465"/>
          </w:tcPr>
          <w:p>
            <w:pPr>
              <w:pStyle w:val="MDPI42tablebody"/>
              <w:keepNext/>
              <w:spacing w:line="240" w:lineRule="auto" w:before="30" w:after="30"/>
              <w:jc w:val="center"/>
            </w:pPr>
            <w:r>
              <w:rPr>
                <w:b w:val="0"/>
                <w:i w:val="0"/>
                <w:sz w:val="16"/>
              </w:rPr>
              <w:t>0.441</w:t>
            </w:r>
          </w:p>
        </w:tc>
        <w:tc>
          <w:tcPr>
            <w:tcW w:type="dxa" w:w="1465"/>
          </w:tcPr>
          <w:p>
            <w:pPr>
              <w:pStyle w:val="MDPI42tablebody"/>
              <w:keepNext/>
              <w:spacing w:line="240" w:lineRule="auto" w:before="30" w:after="30"/>
              <w:jc w:val="center"/>
            </w:pPr>
            <w:r>
              <w:rPr>
                <w:b w:val="0"/>
                <w:i w:val="0"/>
                <w:sz w:val="16"/>
              </w:rPr>
              <w:t>0.399</w:t>
            </w:r>
          </w:p>
        </w:tc>
        <w:tc>
          <w:tcPr>
            <w:tcW w:type="dxa" w:w="1360"/>
          </w:tcPr>
          <w:p>
            <w:pPr>
              <w:pStyle w:val="MDPI42tablebody"/>
              <w:keepNext/>
              <w:spacing w:line="240" w:lineRule="auto" w:before="30" w:after="30"/>
              <w:jc w:val="center"/>
            </w:pPr>
            <w:r>
              <w:rPr>
                <w:b w:val="0"/>
                <w:i w:val="0"/>
                <w:sz w:val="16"/>
              </w:rPr>
              <w:t>0.042</w:t>
            </w:r>
          </w:p>
        </w:tc>
      </w:tr>
      <w:tr>
        <w:trPr>
          <w:cantSplit/>
        </w:trPr>
        <w:tc>
          <w:tcPr>
            <w:tcW w:type="dxa" w:w="1988"/>
          </w:tcPr>
          <w:p>
            <w:pPr>
              <w:pStyle w:val="MDPI42tablebody"/>
              <w:keepNext/>
              <w:spacing w:line="240" w:lineRule="auto" w:before="30" w:after="30"/>
              <w:jc w:val="left"/>
            </w:pPr>
            <w:r>
              <w:rPr>
                <w:b w:val="0"/>
                <w:i w:val="0"/>
                <w:sz w:val="16"/>
              </w:rPr>
              <w:t>Temperate continental</w:t>
            </w:r>
          </w:p>
        </w:tc>
        <w:tc>
          <w:tcPr>
            <w:tcW w:type="dxa" w:w="1674"/>
          </w:tcPr>
          <w:p>
            <w:pPr>
              <w:pStyle w:val="MDPI42tablebody"/>
              <w:keepNext/>
              <w:spacing w:line="240" w:lineRule="auto" w:before="30" w:after="30"/>
              <w:jc w:val="left"/>
            </w:pPr>
            <w:r>
              <w:rPr>
                <w:b w:val="0"/>
                <w:i w:val="0"/>
                <w:sz w:val="16"/>
              </w:rPr>
              <w:t>Foster et al.</w:t>
            </w:r>
          </w:p>
        </w:tc>
        <w:tc>
          <w:tcPr>
            <w:tcW w:type="dxa" w:w="1255"/>
          </w:tcPr>
          <w:p>
            <w:pPr>
              <w:pStyle w:val="MDPI42tablebody"/>
              <w:keepNext/>
              <w:spacing w:line="240" w:lineRule="auto" w:before="30" w:after="30"/>
              <w:jc w:val="center"/>
            </w:pPr>
            <w:r>
              <w:rPr>
                <w:b w:val="0"/>
                <w:i w:val="0"/>
                <w:sz w:val="16"/>
              </w:rPr>
              <w:t>24.43</w:t>
            </w:r>
          </w:p>
        </w:tc>
        <w:tc>
          <w:tcPr>
            <w:tcW w:type="dxa" w:w="1255"/>
          </w:tcPr>
          <w:p>
            <w:pPr>
              <w:pStyle w:val="MDPI42tablebody"/>
              <w:keepNext/>
              <w:spacing w:line="240" w:lineRule="auto" w:before="30" w:after="30"/>
              <w:jc w:val="center"/>
            </w:pPr>
            <w:r>
              <w:rPr>
                <w:b w:val="0"/>
                <w:i w:val="0"/>
                <w:sz w:val="16"/>
              </w:rPr>
              <w:t>29.58</w:t>
            </w:r>
          </w:p>
        </w:tc>
        <w:tc>
          <w:tcPr>
            <w:tcW w:type="dxa" w:w="1465"/>
          </w:tcPr>
          <w:p>
            <w:pPr>
              <w:pStyle w:val="MDPI42tablebody"/>
              <w:keepNext/>
              <w:spacing w:line="240" w:lineRule="auto" w:before="30" w:after="30"/>
              <w:jc w:val="center"/>
            </w:pPr>
            <w:r>
              <w:rPr>
                <w:b w:val="0"/>
                <w:i w:val="0"/>
                <w:sz w:val="16"/>
              </w:rPr>
              <w:t>0.530</w:t>
            </w:r>
          </w:p>
        </w:tc>
        <w:tc>
          <w:tcPr>
            <w:tcW w:type="dxa" w:w="1465"/>
          </w:tcPr>
          <w:p>
            <w:pPr>
              <w:pStyle w:val="MDPI42tablebody"/>
              <w:keepNext/>
              <w:spacing w:line="240" w:lineRule="auto" w:before="30" w:after="30"/>
              <w:jc w:val="center"/>
            </w:pPr>
            <w:r>
              <w:rPr>
                <w:b w:val="0"/>
                <w:i w:val="0"/>
                <w:sz w:val="16"/>
              </w:rPr>
              <w:t>0.506</w:t>
            </w:r>
          </w:p>
        </w:tc>
        <w:tc>
          <w:tcPr>
            <w:tcW w:type="dxa" w:w="1360"/>
          </w:tcPr>
          <w:p>
            <w:pPr>
              <w:pStyle w:val="MDPI42tablebody"/>
              <w:keepNext/>
              <w:spacing w:line="240" w:lineRule="auto" w:before="30" w:after="30"/>
              <w:jc w:val="center"/>
            </w:pPr>
            <w:r>
              <w:rPr>
                <w:b w:val="0"/>
                <w:i w:val="0"/>
                <w:sz w:val="16"/>
              </w:rPr>
              <w:t>0.025</w:t>
            </w:r>
          </w:p>
        </w:tc>
      </w:tr>
      <w:tr>
        <w:trPr>
          <w:cantSplit/>
        </w:trPr>
        <w:tc>
          <w:tcPr>
            <w:tcW w:type="dxa" w:w="1988"/>
          </w:tcPr>
          <w:p>
            <w:pPr>
              <w:pStyle w:val="MDPI42tablebody"/>
              <w:keepNext/>
              <w:spacing w:line="240" w:lineRule="auto" w:before="30" w:after="30"/>
              <w:jc w:val="left"/>
            </w:pPr>
            <w:r>
              <w:rPr>
                <w:b w:val="0"/>
                <w:i w:val="0"/>
                <w:sz w:val="16"/>
              </w:rPr>
              <w:t>Warm continental</w:t>
            </w:r>
          </w:p>
        </w:tc>
        <w:tc>
          <w:tcPr>
            <w:tcW w:type="dxa" w:w="1674"/>
          </w:tcPr>
          <w:p>
            <w:pPr>
              <w:pStyle w:val="MDPI42tablebody"/>
              <w:keepNext/>
              <w:spacing w:line="240" w:lineRule="auto" w:before="30" w:after="30"/>
              <w:jc w:val="left"/>
            </w:pPr>
            <w:r>
              <w:rPr>
                <w:b w:val="0"/>
                <w:i w:val="0"/>
                <w:sz w:val="16"/>
              </w:rPr>
              <w:t>Hothaps</w:t>
            </w:r>
          </w:p>
        </w:tc>
        <w:tc>
          <w:tcPr>
            <w:tcW w:type="dxa" w:w="1255"/>
          </w:tcPr>
          <w:p>
            <w:pPr>
              <w:pStyle w:val="MDPI42tablebody"/>
              <w:keepNext/>
              <w:spacing w:line="240" w:lineRule="auto" w:before="30" w:after="30"/>
              <w:jc w:val="center"/>
            </w:pPr>
            <w:r>
              <w:rPr>
                <w:b w:val="0"/>
                <w:i w:val="0"/>
                <w:sz w:val="16"/>
              </w:rPr>
              <w:t>26.72</w:t>
            </w:r>
          </w:p>
        </w:tc>
        <w:tc>
          <w:tcPr>
            <w:tcW w:type="dxa" w:w="1255"/>
          </w:tcPr>
          <w:p>
            <w:pPr>
              <w:pStyle w:val="MDPI42tablebody"/>
              <w:keepNext/>
              <w:spacing w:line="240" w:lineRule="auto" w:before="30" w:after="30"/>
              <w:jc w:val="center"/>
            </w:pPr>
            <w:r>
              <w:rPr>
                <w:b w:val="0"/>
                <w:i w:val="0"/>
                <w:sz w:val="16"/>
              </w:rPr>
              <w:t>31.92</w:t>
            </w:r>
          </w:p>
        </w:tc>
        <w:tc>
          <w:tcPr>
            <w:tcW w:type="dxa" w:w="1465"/>
          </w:tcPr>
          <w:p>
            <w:pPr>
              <w:pStyle w:val="MDPI42tablebody"/>
              <w:keepNext/>
              <w:spacing w:line="240" w:lineRule="auto" w:before="30" w:after="30"/>
              <w:jc w:val="center"/>
            </w:pPr>
            <w:r>
              <w:rPr>
                <w:b w:val="0"/>
                <w:i w:val="0"/>
                <w:sz w:val="16"/>
              </w:rPr>
              <w:t>0.412</w:t>
            </w:r>
          </w:p>
        </w:tc>
        <w:tc>
          <w:tcPr>
            <w:tcW w:type="dxa" w:w="1465"/>
          </w:tcPr>
          <w:p>
            <w:pPr>
              <w:pStyle w:val="MDPI42tablebody"/>
              <w:keepNext/>
              <w:spacing w:line="240" w:lineRule="auto" w:before="30" w:after="30"/>
              <w:jc w:val="center"/>
            </w:pPr>
            <w:r>
              <w:rPr>
                <w:b w:val="0"/>
                <w:i w:val="0"/>
                <w:sz w:val="16"/>
              </w:rPr>
              <w:t>0.380</w:t>
            </w:r>
          </w:p>
        </w:tc>
        <w:tc>
          <w:tcPr>
            <w:tcW w:type="dxa" w:w="1360"/>
          </w:tcPr>
          <w:p>
            <w:pPr>
              <w:pStyle w:val="MDPI42tablebody"/>
              <w:keepNext/>
              <w:spacing w:line="240" w:lineRule="auto" w:before="30" w:after="30"/>
              <w:jc w:val="center"/>
            </w:pPr>
            <w:r>
              <w:rPr>
                <w:b w:val="0"/>
                <w:i w:val="0"/>
                <w:sz w:val="16"/>
              </w:rPr>
              <w:t>0.032</w:t>
            </w:r>
          </w:p>
        </w:tc>
      </w:tr>
      <w:tr>
        <w:trPr>
          <w:cantSplit/>
        </w:trPr>
        <w:tc>
          <w:tcPr>
            <w:tcW w:type="dxa" w:w="1988"/>
          </w:tcPr>
          <w:p>
            <w:pPr>
              <w:pStyle w:val="MDPI42tablebody"/>
              <w:keepNext/>
              <w:spacing w:line="240" w:lineRule="auto" w:before="30" w:after="30"/>
              <w:jc w:val="left"/>
            </w:pPr>
            <w:r>
              <w:rPr>
                <w:b w:val="0"/>
                <w:i w:val="0"/>
                <w:sz w:val="16"/>
              </w:rPr>
              <w:t>Warm continental</w:t>
            </w:r>
          </w:p>
        </w:tc>
        <w:tc>
          <w:tcPr>
            <w:tcW w:type="dxa" w:w="1674"/>
          </w:tcPr>
          <w:p>
            <w:pPr>
              <w:pStyle w:val="MDPI42tablebody"/>
              <w:keepNext/>
              <w:spacing w:line="240" w:lineRule="auto" w:before="30" w:after="30"/>
              <w:jc w:val="left"/>
            </w:pPr>
            <w:r>
              <w:rPr>
                <w:b w:val="0"/>
                <w:i w:val="0"/>
                <w:sz w:val="16"/>
              </w:rPr>
              <w:t>ISO 7243</w:t>
            </w:r>
          </w:p>
        </w:tc>
        <w:tc>
          <w:tcPr>
            <w:tcW w:type="dxa" w:w="1255"/>
          </w:tcPr>
          <w:p>
            <w:pPr>
              <w:pStyle w:val="MDPI42tablebody"/>
              <w:keepNext/>
              <w:spacing w:line="240" w:lineRule="auto" w:before="30" w:after="30"/>
              <w:jc w:val="center"/>
            </w:pPr>
            <w:r>
              <w:rPr>
                <w:b w:val="0"/>
                <w:i w:val="0"/>
                <w:sz w:val="16"/>
              </w:rPr>
              <w:t>26.72</w:t>
            </w:r>
          </w:p>
        </w:tc>
        <w:tc>
          <w:tcPr>
            <w:tcW w:type="dxa" w:w="1255"/>
          </w:tcPr>
          <w:p>
            <w:pPr>
              <w:pStyle w:val="MDPI42tablebody"/>
              <w:keepNext/>
              <w:spacing w:line="240" w:lineRule="auto" w:before="30" w:after="30"/>
              <w:jc w:val="center"/>
            </w:pPr>
            <w:r>
              <w:rPr>
                <w:b w:val="0"/>
                <w:i w:val="0"/>
                <w:sz w:val="16"/>
              </w:rPr>
              <w:t>31.92</w:t>
            </w:r>
          </w:p>
        </w:tc>
        <w:tc>
          <w:tcPr>
            <w:tcW w:type="dxa" w:w="1465"/>
          </w:tcPr>
          <w:p>
            <w:pPr>
              <w:pStyle w:val="MDPI42tablebody"/>
              <w:keepNext/>
              <w:spacing w:line="240" w:lineRule="auto" w:before="30" w:after="30"/>
              <w:jc w:val="center"/>
            </w:pPr>
            <w:r>
              <w:rPr>
                <w:b w:val="0"/>
                <w:i w:val="0"/>
                <w:sz w:val="16"/>
              </w:rPr>
              <w:t>0.760</w:t>
            </w:r>
          </w:p>
        </w:tc>
        <w:tc>
          <w:tcPr>
            <w:tcW w:type="dxa" w:w="1465"/>
          </w:tcPr>
          <w:p>
            <w:pPr>
              <w:pStyle w:val="MDPI42tablebody"/>
              <w:keepNext/>
              <w:spacing w:line="240" w:lineRule="auto" w:before="30" w:after="30"/>
              <w:jc w:val="center"/>
            </w:pPr>
            <w:r>
              <w:rPr>
                <w:b w:val="0"/>
                <w:i w:val="0"/>
                <w:sz w:val="16"/>
              </w:rPr>
              <w:t>0.703</w:t>
            </w:r>
          </w:p>
        </w:tc>
        <w:tc>
          <w:tcPr>
            <w:tcW w:type="dxa" w:w="1360"/>
          </w:tcPr>
          <w:p>
            <w:pPr>
              <w:pStyle w:val="MDPI42tablebody"/>
              <w:keepNext/>
              <w:spacing w:line="240" w:lineRule="auto" w:before="30" w:after="30"/>
              <w:jc w:val="center"/>
            </w:pPr>
            <w:r>
              <w:rPr>
                <w:b w:val="0"/>
                <w:i w:val="0"/>
                <w:sz w:val="16"/>
              </w:rPr>
              <w:t>0.058</w:t>
            </w:r>
          </w:p>
        </w:tc>
      </w:tr>
      <w:tr>
        <w:trPr>
          <w:cantSplit/>
        </w:trPr>
        <w:tc>
          <w:tcPr>
            <w:tcW w:type="dxa" w:w="1988"/>
          </w:tcPr>
          <w:p>
            <w:pPr>
              <w:pStyle w:val="MDPI42tablebody"/>
              <w:keepNext/>
              <w:spacing w:line="240" w:lineRule="auto" w:before="30" w:after="30"/>
              <w:jc w:val="left"/>
            </w:pPr>
            <w:r>
              <w:rPr>
                <w:b w:val="0"/>
                <w:i w:val="0"/>
                <w:sz w:val="16"/>
              </w:rPr>
              <w:t>Warm continental</w:t>
            </w:r>
          </w:p>
        </w:tc>
        <w:tc>
          <w:tcPr>
            <w:tcW w:type="dxa" w:w="1674"/>
          </w:tcPr>
          <w:p>
            <w:pPr>
              <w:pStyle w:val="MDPI42tablebody"/>
              <w:keepNext/>
              <w:spacing w:line="240" w:lineRule="auto" w:before="30" w:after="30"/>
              <w:jc w:val="left"/>
            </w:pPr>
            <w:r>
              <w:rPr>
                <w:b w:val="0"/>
                <w:i w:val="0"/>
                <w:sz w:val="16"/>
              </w:rPr>
              <w:t>NIOSH</w:t>
            </w:r>
          </w:p>
        </w:tc>
        <w:tc>
          <w:tcPr>
            <w:tcW w:type="dxa" w:w="1255"/>
          </w:tcPr>
          <w:p>
            <w:pPr>
              <w:pStyle w:val="MDPI42tablebody"/>
              <w:keepNext/>
              <w:spacing w:line="240" w:lineRule="auto" w:before="30" w:after="30"/>
              <w:jc w:val="center"/>
            </w:pPr>
            <w:r>
              <w:rPr>
                <w:b w:val="0"/>
                <w:i w:val="0"/>
                <w:sz w:val="16"/>
              </w:rPr>
              <w:t>26.72</w:t>
            </w:r>
          </w:p>
        </w:tc>
        <w:tc>
          <w:tcPr>
            <w:tcW w:type="dxa" w:w="1255"/>
          </w:tcPr>
          <w:p>
            <w:pPr>
              <w:pStyle w:val="MDPI42tablebody"/>
              <w:keepNext/>
              <w:spacing w:line="240" w:lineRule="auto" w:before="30" w:after="30"/>
              <w:jc w:val="center"/>
            </w:pPr>
            <w:r>
              <w:rPr>
                <w:b w:val="0"/>
                <w:i w:val="0"/>
                <w:sz w:val="16"/>
              </w:rPr>
              <w:t>31.92</w:t>
            </w:r>
          </w:p>
        </w:tc>
        <w:tc>
          <w:tcPr>
            <w:tcW w:type="dxa" w:w="1465"/>
          </w:tcPr>
          <w:p>
            <w:pPr>
              <w:pStyle w:val="MDPI42tablebody"/>
              <w:keepNext/>
              <w:spacing w:line="240" w:lineRule="auto" w:before="30" w:after="30"/>
              <w:jc w:val="center"/>
            </w:pPr>
            <w:r>
              <w:rPr>
                <w:b w:val="0"/>
                <w:i w:val="0"/>
                <w:sz w:val="16"/>
              </w:rPr>
              <w:t>0.632</w:t>
            </w:r>
          </w:p>
        </w:tc>
        <w:tc>
          <w:tcPr>
            <w:tcW w:type="dxa" w:w="1465"/>
          </w:tcPr>
          <w:p>
            <w:pPr>
              <w:pStyle w:val="MDPI42tablebody"/>
              <w:keepNext/>
              <w:spacing w:line="240" w:lineRule="auto" w:before="30" w:after="30"/>
              <w:jc w:val="center"/>
            </w:pPr>
            <w:r>
              <w:rPr>
                <w:b w:val="0"/>
                <w:i w:val="0"/>
                <w:sz w:val="16"/>
              </w:rPr>
              <w:t>0.587</w:t>
            </w:r>
          </w:p>
        </w:tc>
        <w:tc>
          <w:tcPr>
            <w:tcW w:type="dxa" w:w="1360"/>
          </w:tcPr>
          <w:p>
            <w:pPr>
              <w:pStyle w:val="MDPI42tablebody"/>
              <w:keepNext/>
              <w:spacing w:line="240" w:lineRule="auto" w:before="30" w:after="30"/>
              <w:jc w:val="center"/>
            </w:pPr>
            <w:r>
              <w:rPr>
                <w:b w:val="0"/>
                <w:i w:val="0"/>
                <w:sz w:val="16"/>
              </w:rPr>
              <w:t>0.045</w:t>
            </w:r>
          </w:p>
        </w:tc>
      </w:tr>
      <w:tr>
        <w:trPr>
          <w:cantSplit/>
        </w:trPr>
        <w:tc>
          <w:tcPr>
            <w:tcW w:type="dxa" w:w="1988"/>
          </w:tcPr>
          <w:p>
            <w:pPr>
              <w:pStyle w:val="MDPI42tablebody"/>
              <w:keepNext/>
              <w:spacing w:line="240" w:lineRule="auto" w:before="30" w:after="30"/>
              <w:jc w:val="left"/>
            </w:pPr>
            <w:r>
              <w:rPr>
                <w:b w:val="0"/>
                <w:i w:val="0"/>
                <w:sz w:val="16"/>
              </w:rPr>
              <w:t>Warm continental</w:t>
            </w:r>
          </w:p>
        </w:tc>
        <w:tc>
          <w:tcPr>
            <w:tcW w:type="dxa" w:w="1674"/>
          </w:tcPr>
          <w:p>
            <w:pPr>
              <w:pStyle w:val="MDPI42tablebody"/>
              <w:keepNext/>
              <w:spacing w:line="240" w:lineRule="auto" w:before="30" w:after="30"/>
              <w:jc w:val="left"/>
            </w:pPr>
            <w:r>
              <w:rPr>
                <w:b w:val="0"/>
                <w:i w:val="0"/>
                <w:sz w:val="16"/>
              </w:rPr>
              <w:t>Dunne et al.</w:t>
            </w:r>
          </w:p>
        </w:tc>
        <w:tc>
          <w:tcPr>
            <w:tcW w:type="dxa" w:w="1255"/>
          </w:tcPr>
          <w:p>
            <w:pPr>
              <w:pStyle w:val="MDPI42tablebody"/>
              <w:keepNext/>
              <w:spacing w:line="240" w:lineRule="auto" w:before="30" w:after="30"/>
              <w:jc w:val="center"/>
            </w:pPr>
            <w:r>
              <w:rPr>
                <w:b w:val="0"/>
                <w:i w:val="0"/>
                <w:sz w:val="16"/>
              </w:rPr>
              <w:t>26.72</w:t>
            </w:r>
          </w:p>
        </w:tc>
        <w:tc>
          <w:tcPr>
            <w:tcW w:type="dxa" w:w="1255"/>
          </w:tcPr>
          <w:p>
            <w:pPr>
              <w:pStyle w:val="MDPI42tablebody"/>
              <w:keepNext/>
              <w:spacing w:line="240" w:lineRule="auto" w:before="30" w:after="30"/>
              <w:jc w:val="center"/>
            </w:pPr>
            <w:r>
              <w:rPr>
                <w:b w:val="0"/>
                <w:i w:val="0"/>
                <w:sz w:val="16"/>
              </w:rPr>
              <w:t>31.92</w:t>
            </w:r>
          </w:p>
        </w:tc>
        <w:tc>
          <w:tcPr>
            <w:tcW w:type="dxa" w:w="1465"/>
          </w:tcPr>
          <w:p>
            <w:pPr>
              <w:pStyle w:val="MDPI42tablebody"/>
              <w:keepNext/>
              <w:spacing w:line="240" w:lineRule="auto" w:before="30" w:after="30"/>
              <w:jc w:val="center"/>
            </w:pPr>
            <w:r>
              <w:rPr>
                <w:b w:val="0"/>
                <w:i w:val="0"/>
                <w:sz w:val="16"/>
              </w:rPr>
              <w:t>1.094</w:t>
            </w:r>
          </w:p>
        </w:tc>
        <w:tc>
          <w:tcPr>
            <w:tcW w:type="dxa" w:w="1465"/>
          </w:tcPr>
          <w:p>
            <w:pPr>
              <w:pStyle w:val="MDPI42tablebody"/>
              <w:keepNext/>
              <w:spacing w:line="240" w:lineRule="auto" w:before="30" w:after="30"/>
              <w:jc w:val="center"/>
            </w:pPr>
            <w:r>
              <w:rPr>
                <w:b w:val="0"/>
                <w:i w:val="0"/>
                <w:sz w:val="16"/>
              </w:rPr>
              <w:t>1.010</w:t>
            </w:r>
          </w:p>
        </w:tc>
        <w:tc>
          <w:tcPr>
            <w:tcW w:type="dxa" w:w="1360"/>
          </w:tcPr>
          <w:p>
            <w:pPr>
              <w:pStyle w:val="MDPI42tablebody"/>
              <w:keepNext/>
              <w:spacing w:line="240" w:lineRule="auto" w:before="30" w:after="30"/>
              <w:jc w:val="center"/>
            </w:pPr>
            <w:r>
              <w:rPr>
                <w:b w:val="0"/>
                <w:i w:val="0"/>
                <w:sz w:val="16"/>
              </w:rPr>
              <w:t>0.084</w:t>
            </w:r>
          </w:p>
        </w:tc>
      </w:tr>
      <w:tr>
        <w:trPr>
          <w:cantSplit/>
        </w:trPr>
        <w:tc>
          <w:tcPr>
            <w:tcW w:type="dxa" w:w="1988"/>
          </w:tcPr>
          <w:p>
            <w:pPr>
              <w:pStyle w:val="MDPI42tablebody"/>
              <w:keepNext/>
              <w:spacing w:line="240" w:lineRule="auto" w:before="30" w:after="30"/>
              <w:jc w:val="left"/>
            </w:pPr>
            <w:r>
              <w:rPr>
                <w:b w:val="0"/>
                <w:i w:val="0"/>
                <w:sz w:val="16"/>
              </w:rPr>
              <w:t>Warm continental</w:t>
            </w:r>
          </w:p>
        </w:tc>
        <w:tc>
          <w:tcPr>
            <w:tcW w:type="dxa" w:w="1674"/>
          </w:tcPr>
          <w:p>
            <w:pPr>
              <w:pStyle w:val="MDPI42tablebody"/>
              <w:keepNext/>
              <w:spacing w:line="240" w:lineRule="auto" w:before="30" w:after="30"/>
              <w:jc w:val="left"/>
            </w:pPr>
            <w:r>
              <w:rPr>
                <w:b w:val="0"/>
                <w:i w:val="0"/>
                <w:sz w:val="16"/>
              </w:rPr>
              <w:t>Foster et al.</w:t>
            </w:r>
          </w:p>
        </w:tc>
        <w:tc>
          <w:tcPr>
            <w:tcW w:type="dxa" w:w="1255"/>
          </w:tcPr>
          <w:p>
            <w:pPr>
              <w:pStyle w:val="MDPI42tablebody"/>
              <w:keepNext/>
              <w:spacing w:line="240" w:lineRule="auto" w:before="30" w:after="30"/>
              <w:jc w:val="center"/>
            </w:pPr>
            <w:r>
              <w:rPr>
                <w:b w:val="0"/>
                <w:i w:val="0"/>
                <w:sz w:val="16"/>
              </w:rPr>
              <w:t>26.72</w:t>
            </w:r>
          </w:p>
        </w:tc>
        <w:tc>
          <w:tcPr>
            <w:tcW w:type="dxa" w:w="1255"/>
          </w:tcPr>
          <w:p>
            <w:pPr>
              <w:pStyle w:val="MDPI42tablebody"/>
              <w:keepNext/>
              <w:spacing w:line="240" w:lineRule="auto" w:before="30" w:after="30"/>
              <w:jc w:val="center"/>
            </w:pPr>
            <w:r>
              <w:rPr>
                <w:b w:val="0"/>
                <w:i w:val="0"/>
                <w:sz w:val="16"/>
              </w:rPr>
              <w:t>31.92</w:t>
            </w:r>
          </w:p>
        </w:tc>
        <w:tc>
          <w:tcPr>
            <w:tcW w:type="dxa" w:w="1465"/>
          </w:tcPr>
          <w:p>
            <w:pPr>
              <w:pStyle w:val="MDPI42tablebody"/>
              <w:keepNext/>
              <w:spacing w:line="240" w:lineRule="auto" w:before="30" w:after="30"/>
              <w:jc w:val="center"/>
            </w:pPr>
            <w:r>
              <w:rPr>
                <w:b w:val="0"/>
                <w:i w:val="0"/>
                <w:sz w:val="16"/>
              </w:rPr>
              <w:t>0.812</w:t>
            </w:r>
          </w:p>
        </w:tc>
        <w:tc>
          <w:tcPr>
            <w:tcW w:type="dxa" w:w="1465"/>
          </w:tcPr>
          <w:p>
            <w:pPr>
              <w:pStyle w:val="MDPI42tablebody"/>
              <w:keepNext/>
              <w:spacing w:line="240" w:lineRule="auto" w:before="30" w:after="30"/>
              <w:jc w:val="center"/>
            </w:pPr>
            <w:r>
              <w:rPr>
                <w:b w:val="0"/>
                <w:i w:val="0"/>
                <w:sz w:val="16"/>
              </w:rPr>
              <w:t>0.774</w:t>
            </w:r>
          </w:p>
        </w:tc>
        <w:tc>
          <w:tcPr>
            <w:tcW w:type="dxa" w:w="1360"/>
          </w:tcPr>
          <w:p>
            <w:pPr>
              <w:pStyle w:val="MDPI42tablebody"/>
              <w:keepNext/>
              <w:spacing w:line="240" w:lineRule="auto" w:before="30" w:after="30"/>
              <w:jc w:val="center"/>
            </w:pPr>
            <w:r>
              <w:rPr>
                <w:b w:val="0"/>
                <w:i w:val="0"/>
                <w:sz w:val="16"/>
              </w:rPr>
              <w:t>0.038</w:t>
            </w:r>
          </w:p>
        </w:tc>
      </w:tr>
      <w:tr>
        <w:trPr>
          <w:cantSplit/>
        </w:trPr>
        <w:tc>
          <w:tcPr>
            <w:tcW w:type="dxa" w:w="1988"/>
          </w:tcPr>
          <w:p>
            <w:pPr>
              <w:pStyle w:val="MDPI42tablebody"/>
              <w:keepNext/>
              <w:spacing w:line="240" w:lineRule="auto" w:before="30" w:after="30"/>
              <w:jc w:val="left"/>
            </w:pPr>
            <w:r>
              <w:rPr>
                <w:b w:val="0"/>
                <w:i w:val="0"/>
                <w:sz w:val="16"/>
              </w:rPr>
              <w:t>Hot Mediterranean</w:t>
            </w:r>
          </w:p>
        </w:tc>
        <w:tc>
          <w:tcPr>
            <w:tcW w:type="dxa" w:w="1674"/>
          </w:tcPr>
          <w:p>
            <w:pPr>
              <w:pStyle w:val="MDPI42tablebody"/>
              <w:keepNext/>
              <w:spacing w:line="240" w:lineRule="auto" w:before="30" w:after="30"/>
              <w:jc w:val="left"/>
            </w:pPr>
            <w:r>
              <w:rPr>
                <w:b w:val="0"/>
                <w:i w:val="0"/>
                <w:sz w:val="16"/>
              </w:rPr>
              <w:t>Hothaps</w:t>
            </w:r>
          </w:p>
        </w:tc>
        <w:tc>
          <w:tcPr>
            <w:tcW w:type="dxa" w:w="1255"/>
          </w:tcPr>
          <w:p>
            <w:pPr>
              <w:pStyle w:val="MDPI42tablebody"/>
              <w:keepNext/>
              <w:spacing w:line="240" w:lineRule="auto" w:before="30" w:after="30"/>
              <w:jc w:val="center"/>
            </w:pPr>
            <w:r>
              <w:rPr>
                <w:b w:val="0"/>
                <w:i w:val="0"/>
                <w:sz w:val="16"/>
              </w:rPr>
              <w:t>30.13</w:t>
            </w:r>
          </w:p>
        </w:tc>
        <w:tc>
          <w:tcPr>
            <w:tcW w:type="dxa" w:w="1255"/>
          </w:tcPr>
          <w:p>
            <w:pPr>
              <w:pStyle w:val="MDPI42tablebody"/>
              <w:keepNext/>
              <w:spacing w:line="240" w:lineRule="auto" w:before="30" w:after="30"/>
              <w:jc w:val="center"/>
            </w:pPr>
            <w:r>
              <w:rPr>
                <w:b w:val="0"/>
                <w:i w:val="0"/>
                <w:sz w:val="16"/>
              </w:rPr>
              <w:t>35.15</w:t>
            </w:r>
          </w:p>
        </w:tc>
        <w:tc>
          <w:tcPr>
            <w:tcW w:type="dxa" w:w="1465"/>
          </w:tcPr>
          <w:p>
            <w:pPr>
              <w:pStyle w:val="MDPI42tablebody"/>
              <w:keepNext/>
              <w:spacing w:line="240" w:lineRule="auto" w:before="30" w:after="30"/>
              <w:jc w:val="center"/>
            </w:pPr>
            <w:r>
              <w:rPr>
                <w:b w:val="0"/>
                <w:i w:val="0"/>
                <w:sz w:val="16"/>
              </w:rPr>
              <w:t>1.272</w:t>
            </w:r>
          </w:p>
        </w:tc>
        <w:tc>
          <w:tcPr>
            <w:tcW w:type="dxa" w:w="1465"/>
          </w:tcPr>
          <w:p>
            <w:pPr>
              <w:pStyle w:val="MDPI42tablebody"/>
              <w:keepNext/>
              <w:spacing w:line="240" w:lineRule="auto" w:before="30" w:after="30"/>
              <w:jc w:val="center"/>
            </w:pPr>
            <w:r>
              <w:rPr>
                <w:b w:val="0"/>
                <w:i w:val="0"/>
                <w:sz w:val="16"/>
              </w:rPr>
              <w:t>1.189</w:t>
            </w:r>
          </w:p>
        </w:tc>
        <w:tc>
          <w:tcPr>
            <w:tcW w:type="dxa" w:w="1360"/>
          </w:tcPr>
          <w:p>
            <w:pPr>
              <w:pStyle w:val="MDPI42tablebody"/>
              <w:keepNext/>
              <w:spacing w:line="240" w:lineRule="auto" w:before="30" w:after="30"/>
              <w:jc w:val="center"/>
            </w:pPr>
            <w:r>
              <w:rPr>
                <w:b w:val="0"/>
                <w:i w:val="0"/>
                <w:sz w:val="16"/>
              </w:rPr>
              <w:t>0.083</w:t>
            </w:r>
          </w:p>
        </w:tc>
      </w:tr>
      <w:tr>
        <w:trPr>
          <w:cantSplit/>
        </w:trPr>
        <w:tc>
          <w:tcPr>
            <w:tcW w:type="dxa" w:w="1988"/>
          </w:tcPr>
          <w:p>
            <w:pPr>
              <w:pStyle w:val="MDPI42tablebody"/>
              <w:keepNext/>
              <w:spacing w:line="240" w:lineRule="auto" w:before="30" w:after="30"/>
              <w:jc w:val="left"/>
            </w:pPr>
            <w:r>
              <w:rPr>
                <w:b w:val="0"/>
                <w:i w:val="0"/>
                <w:sz w:val="16"/>
              </w:rPr>
              <w:t>Hot Mediterranean</w:t>
            </w:r>
          </w:p>
        </w:tc>
        <w:tc>
          <w:tcPr>
            <w:tcW w:type="dxa" w:w="1674"/>
          </w:tcPr>
          <w:p>
            <w:pPr>
              <w:pStyle w:val="MDPI42tablebody"/>
              <w:keepNext/>
              <w:spacing w:line="240" w:lineRule="auto" w:before="30" w:after="30"/>
              <w:jc w:val="left"/>
            </w:pPr>
            <w:r>
              <w:rPr>
                <w:b w:val="0"/>
                <w:i w:val="0"/>
                <w:sz w:val="16"/>
              </w:rPr>
              <w:t>ISO 7243</w:t>
            </w:r>
          </w:p>
        </w:tc>
        <w:tc>
          <w:tcPr>
            <w:tcW w:type="dxa" w:w="1255"/>
          </w:tcPr>
          <w:p>
            <w:pPr>
              <w:pStyle w:val="MDPI42tablebody"/>
              <w:keepNext/>
              <w:spacing w:line="240" w:lineRule="auto" w:before="30" w:after="30"/>
              <w:jc w:val="center"/>
            </w:pPr>
            <w:r>
              <w:rPr>
                <w:b w:val="0"/>
                <w:i w:val="0"/>
                <w:sz w:val="16"/>
              </w:rPr>
              <w:t>30.13</w:t>
            </w:r>
          </w:p>
        </w:tc>
        <w:tc>
          <w:tcPr>
            <w:tcW w:type="dxa" w:w="1255"/>
          </w:tcPr>
          <w:p>
            <w:pPr>
              <w:pStyle w:val="MDPI42tablebody"/>
              <w:keepNext/>
              <w:spacing w:line="240" w:lineRule="auto" w:before="30" w:after="30"/>
              <w:jc w:val="center"/>
            </w:pPr>
            <w:r>
              <w:rPr>
                <w:b w:val="0"/>
                <w:i w:val="0"/>
                <w:sz w:val="16"/>
              </w:rPr>
              <w:t>35.15</w:t>
            </w:r>
          </w:p>
        </w:tc>
        <w:tc>
          <w:tcPr>
            <w:tcW w:type="dxa" w:w="1465"/>
          </w:tcPr>
          <w:p>
            <w:pPr>
              <w:pStyle w:val="MDPI42tablebody"/>
              <w:keepNext/>
              <w:spacing w:line="240" w:lineRule="auto" w:before="30" w:after="30"/>
              <w:jc w:val="center"/>
            </w:pPr>
            <w:r>
              <w:rPr>
                <w:b w:val="0"/>
                <w:i w:val="0"/>
                <w:sz w:val="16"/>
              </w:rPr>
              <w:t>2.364</w:t>
            </w:r>
          </w:p>
        </w:tc>
        <w:tc>
          <w:tcPr>
            <w:tcW w:type="dxa" w:w="1465"/>
          </w:tcPr>
          <w:p>
            <w:pPr>
              <w:pStyle w:val="MDPI42tablebody"/>
              <w:keepNext/>
              <w:spacing w:line="240" w:lineRule="auto" w:before="30" w:after="30"/>
              <w:jc w:val="center"/>
            </w:pPr>
            <w:r>
              <w:rPr>
                <w:b w:val="0"/>
                <w:i w:val="0"/>
                <w:sz w:val="16"/>
              </w:rPr>
              <w:t>2.242</w:t>
            </w:r>
          </w:p>
        </w:tc>
        <w:tc>
          <w:tcPr>
            <w:tcW w:type="dxa" w:w="1360"/>
          </w:tcPr>
          <w:p>
            <w:pPr>
              <w:pStyle w:val="MDPI42tablebody"/>
              <w:keepNext/>
              <w:spacing w:line="240" w:lineRule="auto" w:before="30" w:after="30"/>
              <w:jc w:val="center"/>
            </w:pPr>
            <w:r>
              <w:rPr>
                <w:b w:val="0"/>
                <w:i w:val="0"/>
                <w:sz w:val="16"/>
              </w:rPr>
              <w:t>0.122</w:t>
            </w:r>
          </w:p>
        </w:tc>
      </w:tr>
      <w:tr>
        <w:trPr>
          <w:cantSplit/>
        </w:trPr>
        <w:tc>
          <w:tcPr>
            <w:tcW w:type="dxa" w:w="1988"/>
          </w:tcPr>
          <w:p>
            <w:pPr>
              <w:pStyle w:val="MDPI42tablebody"/>
              <w:keepNext/>
              <w:spacing w:line="240" w:lineRule="auto" w:before="30" w:after="30"/>
              <w:jc w:val="left"/>
            </w:pPr>
            <w:r>
              <w:rPr>
                <w:b w:val="0"/>
                <w:i w:val="0"/>
                <w:sz w:val="16"/>
              </w:rPr>
              <w:t>Hot Mediterranean</w:t>
            </w:r>
          </w:p>
        </w:tc>
        <w:tc>
          <w:tcPr>
            <w:tcW w:type="dxa" w:w="1674"/>
          </w:tcPr>
          <w:p>
            <w:pPr>
              <w:pStyle w:val="MDPI42tablebody"/>
              <w:keepNext/>
              <w:spacing w:line="240" w:lineRule="auto" w:before="30" w:after="30"/>
              <w:jc w:val="left"/>
            </w:pPr>
            <w:r>
              <w:rPr>
                <w:b w:val="0"/>
                <w:i w:val="0"/>
                <w:sz w:val="16"/>
              </w:rPr>
              <w:t>NIOSH</w:t>
            </w:r>
          </w:p>
        </w:tc>
        <w:tc>
          <w:tcPr>
            <w:tcW w:type="dxa" w:w="1255"/>
          </w:tcPr>
          <w:p>
            <w:pPr>
              <w:pStyle w:val="MDPI42tablebody"/>
              <w:keepNext/>
              <w:spacing w:line="240" w:lineRule="auto" w:before="30" w:after="30"/>
              <w:jc w:val="center"/>
            </w:pPr>
            <w:r>
              <w:rPr>
                <w:b w:val="0"/>
                <w:i w:val="0"/>
                <w:sz w:val="16"/>
              </w:rPr>
              <w:t>30.13</w:t>
            </w:r>
          </w:p>
        </w:tc>
        <w:tc>
          <w:tcPr>
            <w:tcW w:type="dxa" w:w="1255"/>
          </w:tcPr>
          <w:p>
            <w:pPr>
              <w:pStyle w:val="MDPI42tablebody"/>
              <w:keepNext/>
              <w:spacing w:line="240" w:lineRule="auto" w:before="30" w:after="30"/>
              <w:jc w:val="center"/>
            </w:pPr>
            <w:r>
              <w:rPr>
                <w:b w:val="0"/>
                <w:i w:val="0"/>
                <w:sz w:val="16"/>
              </w:rPr>
              <w:t>35.15</w:t>
            </w:r>
          </w:p>
        </w:tc>
        <w:tc>
          <w:tcPr>
            <w:tcW w:type="dxa" w:w="1465"/>
          </w:tcPr>
          <w:p>
            <w:pPr>
              <w:pStyle w:val="MDPI42tablebody"/>
              <w:keepNext/>
              <w:spacing w:line="240" w:lineRule="auto" w:before="30" w:after="30"/>
              <w:jc w:val="center"/>
            </w:pPr>
            <w:r>
              <w:rPr>
                <w:b w:val="0"/>
                <w:i w:val="0"/>
                <w:sz w:val="16"/>
              </w:rPr>
              <w:t>2.185</w:t>
            </w:r>
          </w:p>
        </w:tc>
        <w:tc>
          <w:tcPr>
            <w:tcW w:type="dxa" w:w="1465"/>
          </w:tcPr>
          <w:p>
            <w:pPr>
              <w:pStyle w:val="MDPI42tablebody"/>
              <w:keepNext/>
              <w:spacing w:line="240" w:lineRule="auto" w:before="30" w:after="30"/>
              <w:jc w:val="center"/>
            </w:pPr>
            <w:r>
              <w:rPr>
                <w:b w:val="0"/>
                <w:i w:val="0"/>
                <w:sz w:val="16"/>
              </w:rPr>
              <w:t>2.074</w:t>
            </w:r>
          </w:p>
        </w:tc>
        <w:tc>
          <w:tcPr>
            <w:tcW w:type="dxa" w:w="1360"/>
          </w:tcPr>
          <w:p>
            <w:pPr>
              <w:pStyle w:val="MDPI42tablebody"/>
              <w:keepNext/>
              <w:spacing w:line="240" w:lineRule="auto" w:before="30" w:after="30"/>
              <w:jc w:val="center"/>
            </w:pPr>
            <w:r>
              <w:rPr>
                <w:b w:val="0"/>
                <w:i w:val="0"/>
                <w:sz w:val="16"/>
              </w:rPr>
              <w:t>0.111</w:t>
            </w:r>
          </w:p>
        </w:tc>
      </w:tr>
      <w:tr>
        <w:trPr>
          <w:cantSplit/>
        </w:trPr>
        <w:tc>
          <w:tcPr>
            <w:tcW w:type="dxa" w:w="1988"/>
          </w:tcPr>
          <w:p>
            <w:pPr>
              <w:pStyle w:val="MDPI42tablebody"/>
              <w:keepNext/>
              <w:spacing w:line="240" w:lineRule="auto" w:before="30" w:after="30"/>
              <w:jc w:val="left"/>
            </w:pPr>
            <w:r>
              <w:rPr>
                <w:b w:val="0"/>
                <w:i w:val="0"/>
                <w:sz w:val="16"/>
              </w:rPr>
              <w:t>Hot Mediterranean</w:t>
            </w:r>
          </w:p>
        </w:tc>
        <w:tc>
          <w:tcPr>
            <w:tcW w:type="dxa" w:w="1674"/>
          </w:tcPr>
          <w:p>
            <w:pPr>
              <w:pStyle w:val="MDPI42tablebody"/>
              <w:keepNext/>
              <w:spacing w:line="240" w:lineRule="auto" w:before="30" w:after="30"/>
              <w:jc w:val="left"/>
            </w:pPr>
            <w:r>
              <w:rPr>
                <w:b w:val="0"/>
                <w:i w:val="0"/>
                <w:sz w:val="16"/>
              </w:rPr>
              <w:t>Dunne et al.</w:t>
            </w:r>
          </w:p>
        </w:tc>
        <w:tc>
          <w:tcPr>
            <w:tcW w:type="dxa" w:w="1255"/>
          </w:tcPr>
          <w:p>
            <w:pPr>
              <w:pStyle w:val="MDPI42tablebody"/>
              <w:keepNext/>
              <w:spacing w:line="240" w:lineRule="auto" w:before="30" w:after="30"/>
              <w:jc w:val="center"/>
            </w:pPr>
            <w:r>
              <w:rPr>
                <w:b w:val="0"/>
                <w:i w:val="0"/>
                <w:sz w:val="16"/>
              </w:rPr>
              <w:t>30.13</w:t>
            </w:r>
          </w:p>
        </w:tc>
        <w:tc>
          <w:tcPr>
            <w:tcW w:type="dxa" w:w="1255"/>
          </w:tcPr>
          <w:p>
            <w:pPr>
              <w:pStyle w:val="MDPI42tablebody"/>
              <w:keepNext/>
              <w:spacing w:line="240" w:lineRule="auto" w:before="30" w:after="30"/>
              <w:jc w:val="center"/>
            </w:pPr>
            <w:r>
              <w:rPr>
                <w:b w:val="0"/>
                <w:i w:val="0"/>
                <w:sz w:val="16"/>
              </w:rPr>
              <w:t>35.15</w:t>
            </w:r>
          </w:p>
        </w:tc>
        <w:tc>
          <w:tcPr>
            <w:tcW w:type="dxa" w:w="1465"/>
          </w:tcPr>
          <w:p>
            <w:pPr>
              <w:pStyle w:val="MDPI42tablebody"/>
              <w:keepNext/>
              <w:spacing w:line="240" w:lineRule="auto" w:before="30" w:after="30"/>
              <w:jc w:val="center"/>
            </w:pPr>
            <w:r>
              <w:rPr>
                <w:b w:val="0"/>
                <w:i w:val="0"/>
                <w:sz w:val="16"/>
              </w:rPr>
              <w:t>2.469</w:t>
            </w:r>
          </w:p>
        </w:tc>
        <w:tc>
          <w:tcPr>
            <w:tcW w:type="dxa" w:w="1465"/>
          </w:tcPr>
          <w:p>
            <w:pPr>
              <w:pStyle w:val="MDPI42tablebody"/>
              <w:keepNext/>
              <w:spacing w:line="240" w:lineRule="auto" w:before="30" w:after="30"/>
              <w:jc w:val="center"/>
            </w:pPr>
            <w:r>
              <w:rPr>
                <w:b w:val="0"/>
                <w:i w:val="0"/>
                <w:sz w:val="16"/>
              </w:rPr>
              <w:t>2.334</w:t>
            </w:r>
          </w:p>
        </w:tc>
        <w:tc>
          <w:tcPr>
            <w:tcW w:type="dxa" w:w="1360"/>
          </w:tcPr>
          <w:p>
            <w:pPr>
              <w:pStyle w:val="MDPI42tablebody"/>
              <w:keepNext/>
              <w:spacing w:line="240" w:lineRule="auto" w:before="30" w:after="30"/>
              <w:jc w:val="center"/>
            </w:pPr>
            <w:r>
              <w:rPr>
                <w:b w:val="0"/>
                <w:i w:val="0"/>
                <w:sz w:val="16"/>
              </w:rPr>
              <w:t>0.135</w:t>
            </w:r>
          </w:p>
        </w:tc>
      </w:tr>
      <w:tr>
        <w:trPr>
          <w:cantSplit/>
        </w:trPr>
        <w:tc>
          <w:tcPr>
            <w:tcW w:type="dxa" w:w="1988"/>
          </w:tcPr>
          <w:p>
            <w:pPr>
              <w:pStyle w:val="MDPI42tablebody"/>
              <w:keepNext/>
              <w:spacing w:line="240" w:lineRule="auto" w:before="30" w:after="30"/>
              <w:jc w:val="left"/>
            </w:pPr>
            <w:r>
              <w:rPr>
                <w:b w:val="0"/>
                <w:i w:val="0"/>
                <w:sz w:val="16"/>
              </w:rPr>
              <w:t>Hot Mediterranean</w:t>
            </w:r>
          </w:p>
        </w:tc>
        <w:tc>
          <w:tcPr>
            <w:tcW w:type="dxa" w:w="1674"/>
          </w:tcPr>
          <w:p>
            <w:pPr>
              <w:pStyle w:val="MDPI42tablebody"/>
              <w:keepNext/>
              <w:spacing w:line="240" w:lineRule="auto" w:before="30" w:after="30"/>
              <w:jc w:val="left"/>
            </w:pPr>
            <w:r>
              <w:rPr>
                <w:b w:val="0"/>
                <w:i w:val="0"/>
                <w:sz w:val="16"/>
              </w:rPr>
              <w:t>Foster et al.</w:t>
            </w:r>
          </w:p>
        </w:tc>
        <w:tc>
          <w:tcPr>
            <w:tcW w:type="dxa" w:w="1255"/>
          </w:tcPr>
          <w:p>
            <w:pPr>
              <w:pStyle w:val="MDPI42tablebody"/>
              <w:keepNext/>
              <w:spacing w:line="240" w:lineRule="auto" w:before="30" w:after="30"/>
              <w:jc w:val="center"/>
            </w:pPr>
            <w:r>
              <w:rPr>
                <w:b w:val="0"/>
                <w:i w:val="0"/>
                <w:sz w:val="16"/>
              </w:rPr>
              <w:t>30.13</w:t>
            </w:r>
          </w:p>
        </w:tc>
        <w:tc>
          <w:tcPr>
            <w:tcW w:type="dxa" w:w="1255"/>
          </w:tcPr>
          <w:p>
            <w:pPr>
              <w:pStyle w:val="MDPI42tablebody"/>
              <w:keepNext/>
              <w:spacing w:line="240" w:lineRule="auto" w:before="30" w:after="30"/>
              <w:jc w:val="center"/>
            </w:pPr>
            <w:r>
              <w:rPr>
                <w:b w:val="0"/>
                <w:i w:val="0"/>
                <w:sz w:val="16"/>
              </w:rPr>
              <w:t>35.15</w:t>
            </w:r>
          </w:p>
        </w:tc>
        <w:tc>
          <w:tcPr>
            <w:tcW w:type="dxa" w:w="1465"/>
          </w:tcPr>
          <w:p>
            <w:pPr>
              <w:pStyle w:val="MDPI42tablebody"/>
              <w:keepNext/>
              <w:spacing w:line="240" w:lineRule="auto" w:before="30" w:after="30"/>
              <w:jc w:val="center"/>
            </w:pPr>
            <w:r>
              <w:rPr>
                <w:b w:val="0"/>
                <w:i w:val="0"/>
                <w:sz w:val="16"/>
              </w:rPr>
              <w:t>1.325</w:t>
            </w:r>
          </w:p>
        </w:tc>
        <w:tc>
          <w:tcPr>
            <w:tcW w:type="dxa" w:w="1465"/>
          </w:tcPr>
          <w:p>
            <w:pPr>
              <w:pStyle w:val="MDPI42tablebody"/>
              <w:keepNext/>
              <w:spacing w:line="240" w:lineRule="auto" w:before="30" w:after="30"/>
              <w:jc w:val="center"/>
            </w:pPr>
            <w:r>
              <w:rPr>
                <w:b w:val="0"/>
                <w:i w:val="0"/>
                <w:sz w:val="16"/>
              </w:rPr>
              <w:t>1.263</w:t>
            </w:r>
          </w:p>
        </w:tc>
        <w:tc>
          <w:tcPr>
            <w:tcW w:type="dxa" w:w="1360"/>
          </w:tcPr>
          <w:p>
            <w:pPr>
              <w:pStyle w:val="MDPI42tablebody"/>
              <w:keepNext/>
              <w:spacing w:line="240" w:lineRule="auto" w:before="30" w:after="30"/>
              <w:jc w:val="center"/>
            </w:pPr>
            <w:r>
              <w:rPr>
                <w:b w:val="0"/>
                <w:i w:val="0"/>
                <w:sz w:val="16"/>
              </w:rPr>
              <w:t>0.062</w:t>
            </w:r>
          </w:p>
        </w:tc>
      </w:tr>
    </w:tbl>
    <w:p>
      <w:pPr>
        <w:pStyle w:val="MDPI43tablefooter"/>
        <w:keepLines/>
        <w:spacing w:line="240" w:lineRule="auto" w:before="40" w:after="200"/>
        <w:ind w:left="2608" w:firstLine="0"/>
      </w:pPr>
      <w:r>
        <w:rPr>
          <w:sz w:val="16"/>
        </w:rPr>
        <w:t xml:space="preserve">Note: </w:t>
      </w:r>
      <w:r>
        <w:rPr>
          <w:b w:val="0"/>
          <w:i w:val="0"/>
          <w:sz w:val="16"/>
        </w:rPr>
        <w:t>WBGT in degrees Celsius, averaged and maximised over cells and working hours. The three right-hand columns report hours of work capacity lost per worker per working day, before any planting. Source: authors’ calculations.</w:t>
      </w:r>
    </w:p>
    <w:p>
      <w:pPr>
        <w:pStyle w:val="MDPI22heading2"/>
      </w:pPr>
      <w:r>
        <w:t>4.3. The Effect of the Siting Rule</w:t>
      </w:r>
    </w:p>
    <w:p>
      <w:pPr>
        <w:pStyle w:val="MDPI32textnoindent"/>
      </w:pPr>
      <w:r>
        <w:rPr>
          <w:b w:val="0"/>
          <w:i w:val="0"/>
        </w:rPr>
        <w:t>Table 4 reports the central result. A budget of 300 hectares of new canopy, about EUR 16.2 million at the planting costs of Appendix A, is allocated across the reference city under each of the seven rules, and the table records how many hours of young workers’ work capacity each allocation protects per working day.</w:t>
      </w:r>
    </w:p>
    <w:p>
      <w:pPr>
        <w:pStyle w:val="MDPI31text"/>
      </w:pPr>
      <w:r>
        <w:rPr>
          <w:b w:val="0"/>
          <w:i w:val="0"/>
        </w:rPr>
        <w:t>Weighting the budget by residential population protects 1015 hours. Weighting it by residential population and local heat together protects 1014 hours, which is not an improvement: within a city, the hottest cells and the most populated cells largely coincide, so adding a heat weight to a residential rule reallocates almost nothing. Weighting by residential deprivation protects 1099 hours, a modest gain arising because deprivation in this city is higher towards the industrial side, so the equity rule accidentally moves a little planting towards the exposed workforce.</w:t>
      </w:r>
    </w:p>
    <w:p>
      <w:pPr>
        <w:pStyle w:val="MDPI31text"/>
      </w:pPr>
      <w:r>
        <w:rPr>
          <w:b w:val="0"/>
          <w:i w:val="0"/>
        </w:rPr>
        <w:t>Weighting by exposed workplaces and local heat protects 3091 hours, 3.05 times the heat-weighted residential rule. Weighting by young exposed workers specifically protects 3107 hours, which is barely more, and that near-equality is itself a result: young and older exposed workers occupy the same premises and the same sites, so there is no separate geography of young employment to target. Young workers cannot be protected by aiming at young workers. They are protected by aiming at exposed work, which is where they disproportionately are.</w:t>
      </w:r>
    </w:p>
    <w:p>
      <w:pPr>
        <w:pStyle w:val="MDPI31text"/>
      </w:pPr>
      <w:r>
        <w:rPr>
          <w:b w:val="0"/>
          <w:i w:val="0"/>
        </w:rPr>
        <w:t>Two further features of Table 4 deserve comment. The first is that the uniform rule, which spreads the budget evenly over plantable land and embodies no targeting at all, protects 1423 hours and therefore outperforms the residential-population rule by 1.40 times. Following residents is worse than not targeting. The second is that the marginal-benefit optimum protects 5299 hours, 5.22 times the residential rule and well above the simple workplace rule, which indicates that considerable headroom remains beyond any of the proportional weightings a planning department would actually use. That figure is an upper reference computed with full knowledge of the model and is not a proposal.</w:t>
      </w:r>
    </w:p>
    <w:p>
      <w:pPr>
        <w:pStyle w:val="MDPI31text"/>
      </w:pPr>
      <w:r>
        <w:rPr>
          <w:b w:val="0"/>
          <w:i w:val="0"/>
        </w:rPr>
        <w:t>The share of protected hours accruing to workers under thirty is close to 33.6 per cent under every rule, which is approximately their share of exposed employment. Siting does not change who benefits proportionally; it changes how much there is to benefit from.</w:t>
      </w:r>
    </w:p>
    <w:p>
      <w:pPr>
        <w:pStyle w:val="MDPI41tablecaption"/>
        <w:keepNext/>
        <w:spacing w:after="60"/>
      </w:pPr>
      <w:r>
        <w:rPr>
          <w:b/>
          <w:sz w:val="18"/>
        </w:rPr>
        <w:t xml:space="preserve">Table 4. </w:t>
      </w:r>
      <w:r>
        <w:rPr>
          <w:b w:val="0"/>
          <w:i w:val="0"/>
          <w:sz w:val="18"/>
        </w:rPr>
        <w:t>Hours of young workers’ work capacity protected by a fixed planting budget, by siting rule.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39"/>
        <w:gridCol w:w="1569"/>
        <w:gridCol w:w="1569"/>
        <w:gridCol w:w="1674"/>
        <w:gridCol w:w="1151"/>
        <w:gridCol w:w="1360"/>
      </w:tblGrid>
      <w:tr>
        <w:trPr>
          <w:cantSplit/>
          <w:tblHeader/>
        </w:trPr>
        <w:tc>
          <w:tcPr>
            <w:tcW w:type="dxa" w:w="3139"/>
            <w:tcBorders>
              <w:bottom w:val="single" w:sz="8" w:space="0" w:color="auto"/>
            </w:tcBorders>
          </w:tcPr>
          <w:p>
            <w:pPr>
              <w:pStyle w:val="MDPI42tablebody"/>
              <w:keepNext/>
              <w:spacing w:line="240" w:lineRule="auto" w:before="30" w:after="30"/>
              <w:jc w:val="center"/>
            </w:pPr>
            <w:r>
              <w:rPr>
                <w:b/>
                <w:i w:val="0"/>
                <w:sz w:val="18"/>
              </w:rPr>
              <w:t>Siting rule</w:t>
            </w:r>
          </w:p>
        </w:tc>
        <w:tc>
          <w:tcPr>
            <w:tcW w:type="dxa" w:w="1569"/>
            <w:tcBorders>
              <w:bottom w:val="single" w:sz="8" w:space="0" w:color="auto"/>
            </w:tcBorders>
          </w:tcPr>
          <w:p>
            <w:pPr>
              <w:pStyle w:val="MDPI42tablebody"/>
              <w:keepNext/>
              <w:spacing w:line="240" w:lineRule="auto" w:before="30" w:after="30"/>
              <w:jc w:val="center"/>
            </w:pPr>
            <w:r>
              <w:rPr>
                <w:b/>
                <w:i w:val="0"/>
                <w:sz w:val="18"/>
              </w:rPr>
              <w:t>Young hours</w:t>
            </w:r>
          </w:p>
        </w:tc>
        <w:tc>
          <w:tcPr>
            <w:tcW w:type="dxa" w:w="1569"/>
            <w:tcBorders>
              <w:bottom w:val="single" w:sz="8" w:space="0" w:color="auto"/>
            </w:tcBorders>
          </w:tcPr>
          <w:p>
            <w:pPr>
              <w:pStyle w:val="MDPI42tablebody"/>
              <w:keepNext/>
              <w:spacing w:line="240" w:lineRule="auto" w:before="30" w:after="30"/>
              <w:jc w:val="center"/>
            </w:pPr>
            <w:r>
              <w:rPr>
                <w:b/>
                <w:i w:val="0"/>
                <w:sz w:val="18"/>
              </w:rPr>
              <w:t>Older hours</w:t>
            </w:r>
          </w:p>
        </w:tc>
        <w:tc>
          <w:tcPr>
            <w:tcW w:type="dxa" w:w="1674"/>
            <w:tcBorders>
              <w:bottom w:val="single" w:sz="8" w:space="0" w:color="auto"/>
            </w:tcBorders>
          </w:tcPr>
          <w:p>
            <w:pPr>
              <w:pStyle w:val="MDPI42tablebody"/>
              <w:keepNext/>
              <w:spacing w:line="240" w:lineRule="auto" w:before="30" w:after="30"/>
              <w:jc w:val="center"/>
            </w:pPr>
            <w:r>
              <w:rPr>
                <w:b/>
                <w:i w:val="0"/>
                <w:sz w:val="18"/>
              </w:rPr>
              <w:t>Young hours per ha</w:t>
            </w:r>
          </w:p>
        </w:tc>
        <w:tc>
          <w:tcPr>
            <w:tcW w:type="dxa" w:w="1151"/>
            <w:tcBorders>
              <w:bottom w:val="single" w:sz="8" w:space="0" w:color="auto"/>
            </w:tcBorders>
          </w:tcPr>
          <w:p>
            <w:pPr>
              <w:pStyle w:val="MDPI42tablebody"/>
              <w:keepNext/>
              <w:spacing w:line="240" w:lineRule="auto" w:before="30" w:after="30"/>
              <w:jc w:val="center"/>
            </w:pPr>
            <w:r>
              <w:rPr>
                <w:b/>
                <w:i w:val="0"/>
                <w:sz w:val="18"/>
              </w:rPr>
              <w:t>Ratio</w:t>
            </w:r>
          </w:p>
        </w:tc>
        <w:tc>
          <w:tcPr>
            <w:tcW w:type="dxa" w:w="1360"/>
            <w:tcBorders>
              <w:bottom w:val="single" w:sz="8" w:space="0" w:color="auto"/>
            </w:tcBorders>
          </w:tcPr>
          <w:p>
            <w:pPr>
              <w:pStyle w:val="MDPI42tablebody"/>
              <w:keepNext/>
              <w:spacing w:line="240" w:lineRule="auto" w:before="30" w:after="30"/>
              <w:jc w:val="center"/>
            </w:pPr>
            <w:r>
              <w:rPr>
                <w:b/>
                <w:i w:val="0"/>
                <w:sz w:val="18"/>
              </w:rPr>
              <w:t>Young share</w:t>
            </w:r>
          </w:p>
        </w:tc>
      </w:tr>
      <w:tr>
        <w:trPr>
          <w:cantSplit/>
        </w:trPr>
        <w:tc>
          <w:tcPr>
            <w:tcW w:type="dxa" w:w="3139"/>
          </w:tcPr>
          <w:p>
            <w:pPr>
              <w:pStyle w:val="MDPI42tablebody"/>
              <w:keepNext/>
              <w:spacing w:line="240" w:lineRule="auto" w:before="30" w:after="30"/>
              <w:jc w:val="left"/>
            </w:pPr>
            <w:r>
              <w:rPr>
                <w:b w:val="0"/>
                <w:i w:val="0"/>
                <w:sz w:val="18"/>
              </w:rPr>
              <w:t>Uniform over plantable land</w:t>
            </w:r>
          </w:p>
        </w:tc>
        <w:tc>
          <w:tcPr>
            <w:tcW w:type="dxa" w:w="1569"/>
          </w:tcPr>
          <w:p>
            <w:pPr>
              <w:pStyle w:val="MDPI42tablebody"/>
              <w:keepNext/>
              <w:spacing w:line="240" w:lineRule="auto" w:before="30" w:after="30"/>
              <w:jc w:val="center"/>
            </w:pPr>
            <w:r>
              <w:rPr>
                <w:b w:val="0"/>
                <w:i w:val="0"/>
                <w:sz w:val="18"/>
              </w:rPr>
              <w:t>1422.9</w:t>
            </w:r>
          </w:p>
        </w:tc>
        <w:tc>
          <w:tcPr>
            <w:tcW w:type="dxa" w:w="1569"/>
          </w:tcPr>
          <w:p>
            <w:pPr>
              <w:pStyle w:val="MDPI42tablebody"/>
              <w:keepNext/>
              <w:spacing w:line="240" w:lineRule="auto" w:before="30" w:after="30"/>
              <w:jc w:val="center"/>
            </w:pPr>
            <w:r>
              <w:rPr>
                <w:b w:val="0"/>
                <w:i w:val="0"/>
                <w:sz w:val="18"/>
              </w:rPr>
              <w:t>2836.2</w:t>
            </w:r>
          </w:p>
        </w:tc>
        <w:tc>
          <w:tcPr>
            <w:tcW w:type="dxa" w:w="1674"/>
          </w:tcPr>
          <w:p>
            <w:pPr>
              <w:pStyle w:val="MDPI42tablebody"/>
              <w:keepNext/>
              <w:spacing w:line="240" w:lineRule="auto" w:before="30" w:after="30"/>
              <w:jc w:val="center"/>
            </w:pPr>
            <w:r>
              <w:rPr>
                <w:b w:val="0"/>
                <w:i w:val="0"/>
                <w:sz w:val="18"/>
              </w:rPr>
              <w:t>4.7431</w:t>
            </w:r>
          </w:p>
        </w:tc>
        <w:tc>
          <w:tcPr>
            <w:tcW w:type="dxa" w:w="1151"/>
          </w:tcPr>
          <w:p>
            <w:pPr>
              <w:pStyle w:val="MDPI42tablebody"/>
              <w:keepNext/>
              <w:spacing w:line="240" w:lineRule="auto" w:before="30" w:after="30"/>
              <w:jc w:val="center"/>
            </w:pPr>
            <w:r>
              <w:rPr>
                <w:b w:val="0"/>
                <w:i w:val="0"/>
                <w:sz w:val="18"/>
              </w:rPr>
              <w:t>1.40</w:t>
            </w:r>
          </w:p>
        </w:tc>
        <w:tc>
          <w:tcPr>
            <w:tcW w:type="dxa" w:w="1360"/>
          </w:tcPr>
          <w:p>
            <w:pPr>
              <w:pStyle w:val="MDPI42tablebody"/>
              <w:keepNext/>
              <w:spacing w:line="240" w:lineRule="auto" w:before="30" w:after="30"/>
              <w:jc w:val="center"/>
            </w:pPr>
            <w:r>
              <w:rPr>
                <w:b w:val="0"/>
                <w:i w:val="0"/>
                <w:sz w:val="18"/>
              </w:rPr>
              <w:t>33.4</w:t>
            </w:r>
          </w:p>
        </w:tc>
      </w:tr>
      <w:tr>
        <w:trPr>
          <w:cantSplit/>
        </w:trPr>
        <w:tc>
          <w:tcPr>
            <w:tcW w:type="dxa" w:w="3139"/>
          </w:tcPr>
          <w:p>
            <w:pPr>
              <w:pStyle w:val="MDPI42tablebody"/>
              <w:keepNext/>
              <w:spacing w:line="240" w:lineRule="auto" w:before="30" w:after="30"/>
              <w:jc w:val="left"/>
            </w:pPr>
            <w:r>
              <w:rPr>
                <w:b w:val="0"/>
                <w:i w:val="0"/>
                <w:sz w:val="18"/>
              </w:rPr>
              <w:t>Residential population</w:t>
            </w:r>
          </w:p>
        </w:tc>
        <w:tc>
          <w:tcPr>
            <w:tcW w:type="dxa" w:w="1569"/>
          </w:tcPr>
          <w:p>
            <w:pPr>
              <w:pStyle w:val="MDPI42tablebody"/>
              <w:keepNext/>
              <w:spacing w:line="240" w:lineRule="auto" w:before="30" w:after="30"/>
              <w:jc w:val="center"/>
            </w:pPr>
            <w:r>
              <w:rPr>
                <w:b w:val="0"/>
                <w:i w:val="0"/>
                <w:sz w:val="18"/>
              </w:rPr>
              <w:t>1015.3</w:t>
            </w:r>
          </w:p>
        </w:tc>
        <w:tc>
          <w:tcPr>
            <w:tcW w:type="dxa" w:w="1569"/>
          </w:tcPr>
          <w:p>
            <w:pPr>
              <w:pStyle w:val="MDPI42tablebody"/>
              <w:keepNext/>
              <w:spacing w:line="240" w:lineRule="auto" w:before="30" w:after="30"/>
              <w:jc w:val="center"/>
            </w:pPr>
            <w:r>
              <w:rPr>
                <w:b w:val="0"/>
                <w:i w:val="0"/>
                <w:sz w:val="18"/>
              </w:rPr>
              <w:t>2032.7</w:t>
            </w:r>
          </w:p>
        </w:tc>
        <w:tc>
          <w:tcPr>
            <w:tcW w:type="dxa" w:w="1674"/>
          </w:tcPr>
          <w:p>
            <w:pPr>
              <w:pStyle w:val="MDPI42tablebody"/>
              <w:keepNext/>
              <w:spacing w:line="240" w:lineRule="auto" w:before="30" w:after="30"/>
              <w:jc w:val="center"/>
            </w:pPr>
            <w:r>
              <w:rPr>
                <w:b w:val="0"/>
                <w:i w:val="0"/>
                <w:sz w:val="18"/>
              </w:rPr>
              <w:t>3.3845</w:t>
            </w:r>
          </w:p>
        </w:tc>
        <w:tc>
          <w:tcPr>
            <w:tcW w:type="dxa" w:w="1151"/>
          </w:tcPr>
          <w:p>
            <w:pPr>
              <w:pStyle w:val="MDPI42tablebody"/>
              <w:keepNext/>
              <w:spacing w:line="240" w:lineRule="auto" w:before="30" w:after="30"/>
              <w:jc w:val="center"/>
            </w:pPr>
            <w:r>
              <w:rPr>
                <w:b w:val="0"/>
                <w:i w:val="0"/>
                <w:sz w:val="18"/>
              </w:rPr>
              <w:t>1.00</w:t>
            </w:r>
          </w:p>
        </w:tc>
        <w:tc>
          <w:tcPr>
            <w:tcW w:type="dxa" w:w="1360"/>
          </w:tcPr>
          <w:p>
            <w:pPr>
              <w:pStyle w:val="MDPI42tablebody"/>
              <w:keepNext/>
              <w:spacing w:line="240" w:lineRule="auto" w:before="30" w:after="30"/>
              <w:jc w:val="center"/>
            </w:pPr>
            <w:r>
              <w:rPr>
                <w:b w:val="0"/>
                <w:i w:val="0"/>
                <w:sz w:val="18"/>
              </w:rPr>
              <w:t>33.3</w:t>
            </w:r>
          </w:p>
        </w:tc>
      </w:tr>
      <w:tr>
        <w:trPr>
          <w:cantSplit/>
        </w:trPr>
        <w:tc>
          <w:tcPr>
            <w:tcW w:type="dxa" w:w="3139"/>
          </w:tcPr>
          <w:p>
            <w:pPr>
              <w:pStyle w:val="MDPI42tablebody"/>
              <w:keepNext/>
              <w:spacing w:line="240" w:lineRule="auto" w:before="30" w:after="30"/>
              <w:jc w:val="left"/>
            </w:pPr>
            <w:r>
              <w:rPr>
                <w:b w:val="0"/>
                <w:i w:val="0"/>
                <w:sz w:val="18"/>
              </w:rPr>
              <w:t>Residential deprivation</w:t>
            </w:r>
          </w:p>
        </w:tc>
        <w:tc>
          <w:tcPr>
            <w:tcW w:type="dxa" w:w="1569"/>
          </w:tcPr>
          <w:p>
            <w:pPr>
              <w:pStyle w:val="MDPI42tablebody"/>
              <w:keepNext/>
              <w:spacing w:line="240" w:lineRule="auto" w:before="30" w:after="30"/>
              <w:jc w:val="center"/>
            </w:pPr>
            <w:r>
              <w:rPr>
                <w:b w:val="0"/>
                <w:i w:val="0"/>
                <w:sz w:val="18"/>
              </w:rPr>
              <w:t>1099.2</w:t>
            </w:r>
          </w:p>
        </w:tc>
        <w:tc>
          <w:tcPr>
            <w:tcW w:type="dxa" w:w="1569"/>
          </w:tcPr>
          <w:p>
            <w:pPr>
              <w:pStyle w:val="MDPI42tablebody"/>
              <w:keepNext/>
              <w:spacing w:line="240" w:lineRule="auto" w:before="30" w:after="30"/>
              <w:jc w:val="center"/>
            </w:pPr>
            <w:r>
              <w:rPr>
                <w:b w:val="0"/>
                <w:i w:val="0"/>
                <w:sz w:val="18"/>
              </w:rPr>
              <w:t>2200.3</w:t>
            </w:r>
          </w:p>
        </w:tc>
        <w:tc>
          <w:tcPr>
            <w:tcW w:type="dxa" w:w="1674"/>
          </w:tcPr>
          <w:p>
            <w:pPr>
              <w:pStyle w:val="MDPI42tablebody"/>
              <w:keepNext/>
              <w:spacing w:line="240" w:lineRule="auto" w:before="30" w:after="30"/>
              <w:jc w:val="center"/>
            </w:pPr>
            <w:r>
              <w:rPr>
                <w:b w:val="0"/>
                <w:i w:val="0"/>
                <w:sz w:val="18"/>
              </w:rPr>
              <w:t>3.6641</w:t>
            </w:r>
          </w:p>
        </w:tc>
        <w:tc>
          <w:tcPr>
            <w:tcW w:type="dxa" w:w="1151"/>
          </w:tcPr>
          <w:p>
            <w:pPr>
              <w:pStyle w:val="MDPI42tablebody"/>
              <w:keepNext/>
              <w:spacing w:line="240" w:lineRule="auto" w:before="30" w:after="30"/>
              <w:jc w:val="center"/>
            </w:pPr>
            <w:r>
              <w:rPr>
                <w:b w:val="0"/>
                <w:i w:val="0"/>
                <w:sz w:val="18"/>
              </w:rPr>
              <w:t>1.08</w:t>
            </w:r>
          </w:p>
        </w:tc>
        <w:tc>
          <w:tcPr>
            <w:tcW w:type="dxa" w:w="1360"/>
          </w:tcPr>
          <w:p>
            <w:pPr>
              <w:pStyle w:val="MDPI42tablebody"/>
              <w:keepNext/>
              <w:spacing w:line="240" w:lineRule="auto" w:before="30" w:after="30"/>
              <w:jc w:val="center"/>
            </w:pPr>
            <w:r>
              <w:rPr>
                <w:b w:val="0"/>
                <w:i w:val="0"/>
                <w:sz w:val="18"/>
              </w:rPr>
              <w:t>33.3</w:t>
            </w:r>
          </w:p>
        </w:tc>
      </w:tr>
      <w:tr>
        <w:trPr>
          <w:cantSplit/>
        </w:trPr>
        <w:tc>
          <w:tcPr>
            <w:tcW w:type="dxa" w:w="3139"/>
          </w:tcPr>
          <w:p>
            <w:pPr>
              <w:pStyle w:val="MDPI42tablebody"/>
              <w:keepNext/>
              <w:spacing w:line="240" w:lineRule="auto" w:before="30" w:after="30"/>
              <w:jc w:val="left"/>
            </w:pPr>
            <w:r>
              <w:rPr>
                <w:b w:val="0"/>
                <w:i w:val="0"/>
                <w:sz w:val="18"/>
              </w:rPr>
              <w:t>Residential population × local heat</w:t>
            </w:r>
          </w:p>
        </w:tc>
        <w:tc>
          <w:tcPr>
            <w:tcW w:type="dxa" w:w="1569"/>
          </w:tcPr>
          <w:p>
            <w:pPr>
              <w:pStyle w:val="MDPI42tablebody"/>
              <w:keepNext/>
              <w:spacing w:line="240" w:lineRule="auto" w:before="30" w:after="30"/>
              <w:jc w:val="center"/>
            </w:pPr>
            <w:r>
              <w:rPr>
                <w:b w:val="0"/>
                <w:i w:val="0"/>
                <w:sz w:val="18"/>
              </w:rPr>
              <w:t>1014.3</w:t>
            </w:r>
          </w:p>
        </w:tc>
        <w:tc>
          <w:tcPr>
            <w:tcW w:type="dxa" w:w="1569"/>
          </w:tcPr>
          <w:p>
            <w:pPr>
              <w:pStyle w:val="MDPI42tablebody"/>
              <w:keepNext/>
              <w:spacing w:line="240" w:lineRule="auto" w:before="30" w:after="30"/>
              <w:jc w:val="center"/>
            </w:pPr>
            <w:r>
              <w:rPr>
                <w:b w:val="0"/>
                <w:i w:val="0"/>
                <w:sz w:val="18"/>
              </w:rPr>
              <w:t>2032.4</w:t>
            </w:r>
          </w:p>
        </w:tc>
        <w:tc>
          <w:tcPr>
            <w:tcW w:type="dxa" w:w="1674"/>
          </w:tcPr>
          <w:p>
            <w:pPr>
              <w:pStyle w:val="MDPI42tablebody"/>
              <w:keepNext/>
              <w:spacing w:line="240" w:lineRule="auto" w:before="30" w:after="30"/>
              <w:jc w:val="center"/>
            </w:pPr>
            <w:r>
              <w:rPr>
                <w:b w:val="0"/>
                <w:i w:val="0"/>
                <w:sz w:val="18"/>
              </w:rPr>
              <w:t>3.3808</w:t>
            </w:r>
          </w:p>
        </w:tc>
        <w:tc>
          <w:tcPr>
            <w:tcW w:type="dxa" w:w="1151"/>
          </w:tcPr>
          <w:p>
            <w:pPr>
              <w:pStyle w:val="MDPI42tablebody"/>
              <w:keepNext/>
              <w:spacing w:line="240" w:lineRule="auto" w:before="30" w:after="30"/>
              <w:jc w:val="center"/>
            </w:pPr>
            <w:r>
              <w:rPr>
                <w:b w:val="0"/>
                <w:i w:val="0"/>
                <w:sz w:val="18"/>
              </w:rPr>
              <w:t>1.00</w:t>
            </w:r>
          </w:p>
        </w:tc>
        <w:tc>
          <w:tcPr>
            <w:tcW w:type="dxa" w:w="1360"/>
          </w:tcPr>
          <w:p>
            <w:pPr>
              <w:pStyle w:val="MDPI42tablebody"/>
              <w:keepNext/>
              <w:spacing w:line="240" w:lineRule="auto" w:before="30" w:after="30"/>
              <w:jc w:val="center"/>
            </w:pPr>
            <w:r>
              <w:rPr>
                <w:b w:val="0"/>
                <w:i w:val="0"/>
                <w:sz w:val="18"/>
              </w:rPr>
              <w:t>33.3</w:t>
            </w:r>
          </w:p>
        </w:tc>
      </w:tr>
      <w:tr>
        <w:trPr>
          <w:cantSplit/>
        </w:trPr>
        <w:tc>
          <w:tcPr>
            <w:tcW w:type="dxa" w:w="3139"/>
          </w:tcPr>
          <w:p>
            <w:pPr>
              <w:pStyle w:val="MDPI42tablebody"/>
              <w:keepNext/>
              <w:spacing w:line="240" w:lineRule="auto" w:before="30" w:after="30"/>
              <w:jc w:val="left"/>
            </w:pPr>
            <w:r>
              <w:rPr>
                <w:b w:val="0"/>
                <w:i w:val="0"/>
                <w:sz w:val="18"/>
              </w:rPr>
              <w:t>Exposed workplaces × local heat</w:t>
            </w:r>
          </w:p>
        </w:tc>
        <w:tc>
          <w:tcPr>
            <w:tcW w:type="dxa" w:w="1569"/>
          </w:tcPr>
          <w:p>
            <w:pPr>
              <w:pStyle w:val="MDPI42tablebody"/>
              <w:keepNext/>
              <w:spacing w:line="240" w:lineRule="auto" w:before="30" w:after="30"/>
              <w:jc w:val="center"/>
            </w:pPr>
            <w:r>
              <w:rPr>
                <w:b w:val="0"/>
                <w:i w:val="0"/>
                <w:sz w:val="18"/>
              </w:rPr>
              <w:t>3091.3</w:t>
            </w:r>
          </w:p>
        </w:tc>
        <w:tc>
          <w:tcPr>
            <w:tcW w:type="dxa" w:w="1569"/>
          </w:tcPr>
          <w:p>
            <w:pPr>
              <w:pStyle w:val="MDPI42tablebody"/>
              <w:keepNext/>
              <w:spacing w:line="240" w:lineRule="auto" w:before="30" w:after="30"/>
              <w:jc w:val="center"/>
            </w:pPr>
            <w:r>
              <w:rPr>
                <w:b w:val="0"/>
                <w:i w:val="0"/>
                <w:sz w:val="18"/>
              </w:rPr>
              <w:t>6110.5</w:t>
            </w:r>
          </w:p>
        </w:tc>
        <w:tc>
          <w:tcPr>
            <w:tcW w:type="dxa" w:w="1674"/>
          </w:tcPr>
          <w:p>
            <w:pPr>
              <w:pStyle w:val="MDPI42tablebody"/>
              <w:keepNext/>
              <w:spacing w:line="240" w:lineRule="auto" w:before="30" w:after="30"/>
              <w:jc w:val="center"/>
            </w:pPr>
            <w:r>
              <w:rPr>
                <w:b w:val="0"/>
                <w:i w:val="0"/>
                <w:sz w:val="18"/>
              </w:rPr>
              <w:t>10.3043</w:t>
            </w:r>
          </w:p>
        </w:tc>
        <w:tc>
          <w:tcPr>
            <w:tcW w:type="dxa" w:w="1151"/>
          </w:tcPr>
          <w:p>
            <w:pPr>
              <w:pStyle w:val="MDPI42tablebody"/>
              <w:keepNext/>
              <w:spacing w:line="240" w:lineRule="auto" w:before="30" w:after="30"/>
              <w:jc w:val="center"/>
            </w:pPr>
            <w:r>
              <w:rPr>
                <w:b w:val="0"/>
                <w:i w:val="0"/>
                <w:sz w:val="18"/>
              </w:rPr>
              <w:t>3.04</w:t>
            </w:r>
          </w:p>
        </w:tc>
        <w:tc>
          <w:tcPr>
            <w:tcW w:type="dxa" w:w="1360"/>
          </w:tcPr>
          <w:p>
            <w:pPr>
              <w:pStyle w:val="MDPI42tablebody"/>
              <w:keepNext/>
              <w:spacing w:line="240" w:lineRule="auto" w:before="30" w:after="30"/>
              <w:jc w:val="center"/>
            </w:pPr>
            <w:r>
              <w:rPr>
                <w:b w:val="0"/>
                <w:i w:val="0"/>
                <w:sz w:val="18"/>
              </w:rPr>
              <w:t>33.6</w:t>
            </w:r>
          </w:p>
        </w:tc>
      </w:tr>
      <w:tr>
        <w:trPr>
          <w:cantSplit/>
        </w:trPr>
        <w:tc>
          <w:tcPr>
            <w:tcW w:type="dxa" w:w="3139"/>
          </w:tcPr>
          <w:p>
            <w:pPr>
              <w:pStyle w:val="MDPI42tablebody"/>
              <w:keepNext/>
              <w:spacing w:line="240" w:lineRule="auto" w:before="30" w:after="30"/>
              <w:jc w:val="left"/>
            </w:pPr>
            <w:r>
              <w:rPr>
                <w:b w:val="0"/>
                <w:i w:val="0"/>
                <w:sz w:val="18"/>
              </w:rPr>
              <w:t>Young exposed workers × local heat</w:t>
            </w:r>
          </w:p>
        </w:tc>
        <w:tc>
          <w:tcPr>
            <w:tcW w:type="dxa" w:w="1569"/>
          </w:tcPr>
          <w:p>
            <w:pPr>
              <w:pStyle w:val="MDPI42tablebody"/>
              <w:keepNext/>
              <w:spacing w:line="240" w:lineRule="auto" w:before="30" w:after="30"/>
              <w:jc w:val="center"/>
            </w:pPr>
            <w:r>
              <w:rPr>
                <w:b w:val="0"/>
                <w:i w:val="0"/>
                <w:sz w:val="18"/>
              </w:rPr>
              <w:t>3107.3</w:t>
            </w:r>
          </w:p>
        </w:tc>
        <w:tc>
          <w:tcPr>
            <w:tcW w:type="dxa" w:w="1569"/>
          </w:tcPr>
          <w:p>
            <w:pPr>
              <w:pStyle w:val="MDPI42tablebody"/>
              <w:keepNext/>
              <w:spacing w:line="240" w:lineRule="auto" w:before="30" w:after="30"/>
              <w:jc w:val="center"/>
            </w:pPr>
            <w:r>
              <w:rPr>
                <w:b w:val="0"/>
                <w:i w:val="0"/>
                <w:sz w:val="18"/>
              </w:rPr>
              <w:t>6111.9</w:t>
            </w:r>
          </w:p>
        </w:tc>
        <w:tc>
          <w:tcPr>
            <w:tcW w:type="dxa" w:w="1674"/>
          </w:tcPr>
          <w:p>
            <w:pPr>
              <w:pStyle w:val="MDPI42tablebody"/>
              <w:keepNext/>
              <w:spacing w:line="240" w:lineRule="auto" w:before="30" w:after="30"/>
              <w:jc w:val="center"/>
            </w:pPr>
            <w:r>
              <w:rPr>
                <w:b w:val="0"/>
                <w:i w:val="0"/>
                <w:sz w:val="18"/>
              </w:rPr>
              <w:t>10.3577</w:t>
            </w:r>
          </w:p>
        </w:tc>
        <w:tc>
          <w:tcPr>
            <w:tcW w:type="dxa" w:w="1151"/>
          </w:tcPr>
          <w:p>
            <w:pPr>
              <w:pStyle w:val="MDPI42tablebody"/>
              <w:keepNext/>
              <w:spacing w:line="240" w:lineRule="auto" w:before="30" w:after="30"/>
              <w:jc w:val="center"/>
            </w:pPr>
            <w:r>
              <w:rPr>
                <w:b w:val="0"/>
                <w:i w:val="0"/>
                <w:sz w:val="18"/>
              </w:rPr>
              <w:t>3.06</w:t>
            </w:r>
          </w:p>
        </w:tc>
        <w:tc>
          <w:tcPr>
            <w:tcW w:type="dxa" w:w="1360"/>
          </w:tcPr>
          <w:p>
            <w:pPr>
              <w:pStyle w:val="MDPI42tablebody"/>
              <w:keepNext/>
              <w:spacing w:line="240" w:lineRule="auto" w:before="30" w:after="30"/>
              <w:jc w:val="center"/>
            </w:pPr>
            <w:r>
              <w:rPr>
                <w:b w:val="0"/>
                <w:i w:val="0"/>
                <w:sz w:val="18"/>
              </w:rPr>
              <w:t>33.7</w:t>
            </w:r>
          </w:p>
        </w:tc>
      </w:tr>
      <w:tr>
        <w:trPr>
          <w:cantSplit/>
        </w:trPr>
        <w:tc>
          <w:tcPr>
            <w:tcW w:type="dxa" w:w="3139"/>
          </w:tcPr>
          <w:p>
            <w:pPr>
              <w:pStyle w:val="MDPI42tablebody"/>
              <w:keepNext/>
              <w:spacing w:line="240" w:lineRule="auto" w:before="30" w:after="30"/>
              <w:jc w:val="left"/>
            </w:pPr>
            <w:r>
              <w:rPr>
                <w:b w:val="0"/>
                <w:i w:val="0"/>
                <w:sz w:val="18"/>
              </w:rPr>
              <w:t>Marginal-benefit optimum</w:t>
            </w:r>
          </w:p>
        </w:tc>
        <w:tc>
          <w:tcPr>
            <w:tcW w:type="dxa" w:w="1569"/>
          </w:tcPr>
          <w:p>
            <w:pPr>
              <w:pStyle w:val="MDPI42tablebody"/>
              <w:keepNext/>
              <w:spacing w:line="240" w:lineRule="auto" w:before="30" w:after="30"/>
              <w:jc w:val="center"/>
            </w:pPr>
            <w:r>
              <w:rPr>
                <w:b w:val="0"/>
                <w:i w:val="0"/>
                <w:sz w:val="18"/>
              </w:rPr>
              <w:t>5299.0</w:t>
            </w:r>
          </w:p>
        </w:tc>
        <w:tc>
          <w:tcPr>
            <w:tcW w:type="dxa" w:w="1569"/>
          </w:tcPr>
          <w:p>
            <w:pPr>
              <w:pStyle w:val="MDPI42tablebody"/>
              <w:keepNext/>
              <w:spacing w:line="240" w:lineRule="auto" w:before="30" w:after="30"/>
              <w:jc w:val="center"/>
            </w:pPr>
            <w:r>
              <w:rPr>
                <w:b w:val="0"/>
                <w:i w:val="0"/>
                <w:sz w:val="18"/>
              </w:rPr>
              <w:t>10301.7</w:t>
            </w:r>
          </w:p>
        </w:tc>
        <w:tc>
          <w:tcPr>
            <w:tcW w:type="dxa" w:w="1674"/>
          </w:tcPr>
          <w:p>
            <w:pPr>
              <w:pStyle w:val="MDPI42tablebody"/>
              <w:keepNext/>
              <w:spacing w:line="240" w:lineRule="auto" w:before="30" w:after="30"/>
              <w:jc w:val="center"/>
            </w:pPr>
            <w:r>
              <w:rPr>
                <w:b w:val="0"/>
                <w:i w:val="0"/>
                <w:sz w:val="18"/>
              </w:rPr>
              <w:t>17.6632</w:t>
            </w:r>
          </w:p>
        </w:tc>
        <w:tc>
          <w:tcPr>
            <w:tcW w:type="dxa" w:w="1151"/>
          </w:tcPr>
          <w:p>
            <w:pPr>
              <w:pStyle w:val="MDPI42tablebody"/>
              <w:keepNext/>
              <w:spacing w:line="240" w:lineRule="auto" w:before="30" w:after="30"/>
              <w:jc w:val="center"/>
            </w:pPr>
            <w:r>
              <w:rPr>
                <w:b w:val="0"/>
                <w:i w:val="0"/>
                <w:sz w:val="18"/>
              </w:rPr>
              <w:t>5.22</w:t>
            </w:r>
          </w:p>
        </w:tc>
        <w:tc>
          <w:tcPr>
            <w:tcW w:type="dxa" w:w="1360"/>
          </w:tcPr>
          <w:p>
            <w:pPr>
              <w:pStyle w:val="MDPI42tablebody"/>
              <w:keepNext/>
              <w:spacing w:line="240" w:lineRule="auto" w:before="30" w:after="30"/>
              <w:jc w:val="center"/>
            </w:pPr>
            <w:r>
              <w:rPr>
                <w:b w:val="0"/>
                <w:i w:val="0"/>
                <w:sz w:val="18"/>
              </w:rPr>
              <w:t>34.0</w:t>
            </w:r>
          </w:p>
        </w:tc>
      </w:tr>
    </w:tbl>
    <w:p>
      <w:pPr>
        <w:pStyle w:val="MDPI43tablefooter"/>
        <w:keepLines/>
        <w:spacing w:line="240" w:lineRule="auto" w:before="40" w:after="200"/>
        <w:ind w:left="2608" w:firstLine="0"/>
      </w:pPr>
      <w:r>
        <w:rPr>
          <w:sz w:val="16"/>
        </w:rPr>
        <w:t xml:space="preserve">Note: </w:t>
      </w:r>
      <w:r>
        <w:rPr>
          <w:b w:val="0"/>
          <w:i w:val="0"/>
          <w:sz w:val="16"/>
        </w:rPr>
        <w:t>A budget of 300 hectares of new canopy, about EUR 16.2 million at the planting costs in Appendix A, allocated across a city with a workplace–residence correlation of −0.27, under the warm continental climate setting and the Hothaps response function. Hours are per working day. “Ratio” is relative to the residential-population rule. “Young share” is the percentage of all protected hours accruing to workers under thirty. Source: authors’ calculations.</w:t>
      </w:r>
    </w:p>
    <w:p>
      <w:pPr>
        <w:pStyle w:val="MDPI22heading2"/>
      </w:pPr>
      <w:r>
        <w:t>4.4. Stability of the Ranking under Uncertainty</w:t>
      </w:r>
    </w:p>
    <w:p>
      <w:pPr>
        <w:pStyle w:val="MDPI32textnoindent"/>
      </w:pPr>
      <w:r>
        <w:rPr>
          <w:b w:val="0"/>
          <w:i w:val="0"/>
        </w:rPr>
        <w:t>Table 5 reports what survives when the model is not evaluated at one set of parameters. Over 4000 draws, each independently drawing all 28 swept parameters together with the response function, the climate setting and the workplace–residence divergence, the level of the loss is not identified. Young workers’ baseline loss runs from 0.11 hours per working day at the lower quartile to 2.50 at the ninety-fifth percentile, and in 6.7 per cent of draws the predicted loss is exactly zero. Table 6 shows where those zeroes come from: the functions built on the ISO 7243 and NIOSH occupational limits return no loss at all in 12.4 and 16.9 per cent of the draws in which they were selected, and the function of Dunne and colleagues in 3.1 per cent, while the Hothaps and Foster functions never do. The median loss differs about threefold between the most and the least conservative function.</w:t>
      </w:r>
    </w:p>
    <w:p>
      <w:pPr>
        <w:pStyle w:val="MDPI31text"/>
      </w:pPr>
      <w:r>
        <w:rPr>
          <w:b w:val="0"/>
          <w:i w:val="0"/>
        </w:rPr>
        <w:t>Against that, the ordering of the rules is comparatively robust. The exposed-workplace rule outperforms the plain residential rule in 0.831 of draws and the heat-weighted residential control in 0.679. It outperforms the deprivation rule in 0.918 of draws and the uniform rule in 0.916. The reason the ranking survives what the level does not is structural: the response function, the cooling coefficients and the climate setting scale every rule together, and cancel when the rules are compared with one another. Only inputs that change the spatial pattern of exposure can reorder them.</w:t>
      </w:r>
    </w:p>
    <w:p>
      <w:pPr>
        <w:pStyle w:val="MDPI41tablecaption"/>
        <w:keepNext/>
        <w:spacing w:after="60"/>
      </w:pPr>
      <w:r>
        <w:rPr>
          <w:b/>
          <w:sz w:val="18"/>
        </w:rPr>
        <w:t xml:space="preserve">Table 5. </w:t>
      </w:r>
      <w:r>
        <w:rPr>
          <w:b w:val="0"/>
          <w:i w:val="0"/>
          <w:sz w:val="18"/>
        </w:rPr>
        <w:t>Stability of the ranking of siting rules across the uncertainty ensemble.</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5657"/>
        <w:gridCol w:w="2200"/>
      </w:tblGrid>
      <w:tr>
        <w:trPr>
          <w:cantSplit/>
          <w:tblHeader/>
        </w:trPr>
        <w:tc>
          <w:tcPr>
            <w:tcW w:type="dxa" w:w="5657"/>
            <w:tcBorders>
              <w:bottom w:val="single" w:sz="8" w:space="0" w:color="auto"/>
            </w:tcBorders>
          </w:tcPr>
          <w:p>
            <w:pPr>
              <w:pStyle w:val="MDPI42tablebody"/>
              <w:keepNext/>
              <w:spacing w:line="240" w:lineRule="auto" w:before="30" w:after="30"/>
              <w:jc w:val="center"/>
            </w:pPr>
            <w:r>
              <w:rPr>
                <w:b/>
                <w:i w:val="0"/>
                <w:sz w:val="18"/>
              </w:rPr>
              <w:t>Comparison</w:t>
            </w:r>
          </w:p>
        </w:tc>
        <w:tc>
          <w:tcPr>
            <w:tcW w:type="dxa" w:w="2200"/>
            <w:tcBorders>
              <w:bottom w:val="single" w:sz="8" w:space="0" w:color="auto"/>
            </w:tcBorders>
          </w:tcPr>
          <w:p>
            <w:pPr>
              <w:pStyle w:val="MDPI42tablebody"/>
              <w:keepNext/>
              <w:spacing w:line="240" w:lineRule="auto" w:before="30" w:after="30"/>
              <w:jc w:val="center"/>
            </w:pPr>
            <w:r>
              <w:rPr>
                <w:b/>
                <w:i w:val="0"/>
                <w:sz w:val="18"/>
              </w:rPr>
              <w:t>Probability</w:t>
            </w:r>
          </w:p>
        </w:tc>
      </w:tr>
      <w:tr>
        <w:trPr>
          <w:cantSplit/>
        </w:trPr>
        <w:tc>
          <w:tcPr>
            <w:tcW w:type="dxa" w:w="5657"/>
          </w:tcPr>
          <w:p>
            <w:pPr>
              <w:pStyle w:val="MDPI42tablebody"/>
              <w:keepNext/>
              <w:spacing w:line="240" w:lineRule="auto" w:before="30" w:after="30"/>
              <w:jc w:val="left"/>
            </w:pPr>
            <w:r>
              <w:rPr>
                <w:b w:val="0"/>
                <w:i w:val="0"/>
                <w:sz w:val="18"/>
              </w:rPr>
              <w:t>Exposure-targeted better than population-weighted</w:t>
            </w:r>
          </w:p>
        </w:tc>
        <w:tc>
          <w:tcPr>
            <w:tcW w:type="dxa" w:w="2200"/>
          </w:tcPr>
          <w:p>
            <w:pPr>
              <w:pStyle w:val="MDPI42tablebody"/>
              <w:keepNext/>
              <w:spacing w:line="240" w:lineRule="auto" w:before="30" w:after="30"/>
              <w:jc w:val="center"/>
            </w:pPr>
            <w:r>
              <w:rPr>
                <w:b w:val="0"/>
                <w:i w:val="0"/>
                <w:sz w:val="18"/>
              </w:rPr>
              <w:t>0.831</w:t>
            </w:r>
          </w:p>
        </w:tc>
      </w:tr>
      <w:tr>
        <w:trPr>
          <w:cantSplit/>
        </w:trPr>
        <w:tc>
          <w:tcPr>
            <w:tcW w:type="dxa" w:w="5657"/>
          </w:tcPr>
          <w:p>
            <w:pPr>
              <w:pStyle w:val="MDPI42tablebody"/>
              <w:keepNext/>
              <w:spacing w:line="240" w:lineRule="auto" w:before="30" w:after="30"/>
              <w:jc w:val="left"/>
            </w:pPr>
            <w:r>
              <w:rPr>
                <w:b w:val="0"/>
                <w:i w:val="0"/>
                <w:sz w:val="18"/>
              </w:rPr>
              <w:t>Exposure-targeted better than deprivation-weighted</w:t>
            </w:r>
          </w:p>
        </w:tc>
        <w:tc>
          <w:tcPr>
            <w:tcW w:type="dxa" w:w="2200"/>
          </w:tcPr>
          <w:p>
            <w:pPr>
              <w:pStyle w:val="MDPI42tablebody"/>
              <w:keepNext/>
              <w:spacing w:line="240" w:lineRule="auto" w:before="30" w:after="30"/>
              <w:jc w:val="center"/>
            </w:pPr>
            <w:r>
              <w:rPr>
                <w:b w:val="0"/>
                <w:i w:val="0"/>
                <w:sz w:val="18"/>
              </w:rPr>
              <w:t>0.918</w:t>
            </w:r>
          </w:p>
        </w:tc>
      </w:tr>
      <w:tr>
        <w:trPr>
          <w:cantSplit/>
        </w:trPr>
        <w:tc>
          <w:tcPr>
            <w:tcW w:type="dxa" w:w="5657"/>
          </w:tcPr>
          <w:p>
            <w:pPr>
              <w:pStyle w:val="MDPI42tablebody"/>
              <w:keepNext/>
              <w:spacing w:line="240" w:lineRule="auto" w:before="30" w:after="30"/>
              <w:jc w:val="left"/>
            </w:pPr>
            <w:r>
              <w:rPr>
                <w:b w:val="0"/>
                <w:i w:val="0"/>
                <w:sz w:val="18"/>
              </w:rPr>
              <w:t>Exposure-targeted better than uniform</w:t>
            </w:r>
          </w:p>
        </w:tc>
        <w:tc>
          <w:tcPr>
            <w:tcW w:type="dxa" w:w="2200"/>
          </w:tcPr>
          <w:p>
            <w:pPr>
              <w:pStyle w:val="MDPI42tablebody"/>
              <w:keepNext/>
              <w:spacing w:line="240" w:lineRule="auto" w:before="30" w:after="30"/>
              <w:jc w:val="center"/>
            </w:pPr>
            <w:r>
              <w:rPr>
                <w:b w:val="0"/>
                <w:i w:val="0"/>
                <w:sz w:val="18"/>
              </w:rPr>
              <w:t>0.916</w:t>
            </w:r>
          </w:p>
        </w:tc>
      </w:tr>
      <w:tr>
        <w:trPr>
          <w:cantSplit/>
        </w:trPr>
        <w:tc>
          <w:tcPr>
            <w:tcW w:type="dxa" w:w="5657"/>
          </w:tcPr>
          <w:p>
            <w:pPr>
              <w:pStyle w:val="MDPI42tablebody"/>
              <w:keepNext/>
              <w:spacing w:line="240" w:lineRule="auto" w:before="30" w:after="30"/>
              <w:jc w:val="left"/>
            </w:pPr>
            <w:r>
              <w:rPr>
                <w:b w:val="0"/>
                <w:i w:val="0"/>
                <w:sz w:val="18"/>
              </w:rPr>
              <w:t>Youth-targeted better than population-weighted</w:t>
            </w:r>
          </w:p>
        </w:tc>
        <w:tc>
          <w:tcPr>
            <w:tcW w:type="dxa" w:w="2200"/>
          </w:tcPr>
          <w:p>
            <w:pPr>
              <w:pStyle w:val="MDPI42tablebody"/>
              <w:keepNext/>
              <w:spacing w:line="240" w:lineRule="auto" w:before="30" w:after="30"/>
              <w:jc w:val="center"/>
            </w:pPr>
            <w:r>
              <w:rPr>
                <w:b w:val="0"/>
                <w:i w:val="0"/>
                <w:sz w:val="18"/>
              </w:rPr>
              <w:t>0.850</w:t>
            </w:r>
          </w:p>
        </w:tc>
      </w:tr>
      <w:tr>
        <w:trPr>
          <w:cantSplit/>
        </w:trPr>
        <w:tc>
          <w:tcPr>
            <w:tcW w:type="dxa" w:w="5657"/>
          </w:tcPr>
          <w:p>
            <w:pPr>
              <w:pStyle w:val="MDPI42tablebody"/>
              <w:keepNext/>
              <w:spacing w:line="240" w:lineRule="auto" w:before="30" w:after="30"/>
              <w:jc w:val="left"/>
            </w:pPr>
            <w:r>
              <w:rPr>
                <w:b w:val="0"/>
                <w:i w:val="0"/>
                <w:sz w:val="18"/>
              </w:rPr>
              <w:t>Youth-targeted better than exposure-targeted</w:t>
            </w:r>
          </w:p>
        </w:tc>
        <w:tc>
          <w:tcPr>
            <w:tcW w:type="dxa" w:w="2200"/>
          </w:tcPr>
          <w:p>
            <w:pPr>
              <w:pStyle w:val="MDPI42tablebody"/>
              <w:keepNext/>
              <w:spacing w:line="240" w:lineRule="auto" w:before="30" w:after="30"/>
              <w:jc w:val="center"/>
            </w:pPr>
            <w:r>
              <w:rPr>
                <w:b w:val="0"/>
                <w:i w:val="0"/>
                <w:sz w:val="18"/>
              </w:rPr>
              <w:t>0.895</w:t>
            </w:r>
          </w:p>
        </w:tc>
      </w:tr>
      <w:tr>
        <w:trPr>
          <w:cantSplit/>
        </w:trPr>
        <w:tc>
          <w:tcPr>
            <w:tcW w:type="dxa" w:w="5657"/>
          </w:tcPr>
          <w:p>
            <w:pPr>
              <w:pStyle w:val="MDPI42tablebody"/>
              <w:keepNext/>
              <w:spacing w:line="240" w:lineRule="auto" w:before="30" w:after="30"/>
              <w:jc w:val="left"/>
            </w:pPr>
            <w:r>
              <w:rPr>
                <w:b w:val="0"/>
                <w:i w:val="0"/>
                <w:sz w:val="18"/>
              </w:rPr>
              <w:t>Optimum better than population-weighted</w:t>
            </w:r>
          </w:p>
        </w:tc>
        <w:tc>
          <w:tcPr>
            <w:tcW w:type="dxa" w:w="2200"/>
          </w:tcPr>
          <w:p>
            <w:pPr>
              <w:pStyle w:val="MDPI42tablebody"/>
              <w:keepNext/>
              <w:spacing w:line="240" w:lineRule="auto" w:before="30" w:after="30"/>
              <w:jc w:val="center"/>
            </w:pPr>
            <w:r>
              <w:rPr>
                <w:b w:val="0"/>
                <w:i w:val="0"/>
                <w:sz w:val="18"/>
              </w:rPr>
              <w:t>0.906</w:t>
            </w:r>
          </w:p>
        </w:tc>
      </w:tr>
      <w:tr>
        <w:trPr>
          <w:cantSplit/>
        </w:trPr>
        <w:tc>
          <w:tcPr>
            <w:tcW w:type="dxa" w:w="5657"/>
          </w:tcPr>
          <w:p>
            <w:pPr>
              <w:pStyle w:val="MDPI42tablebody"/>
              <w:keepNext/>
              <w:spacing w:line="240" w:lineRule="auto" w:before="30" w:after="30"/>
              <w:jc w:val="left"/>
            </w:pPr>
            <w:r>
              <w:rPr>
                <w:b w:val="0"/>
                <w:i w:val="0"/>
                <w:sz w:val="18"/>
              </w:rPr>
              <w:t>Best rule in a draw: marginal-benefit optimum</w:t>
            </w:r>
          </w:p>
        </w:tc>
        <w:tc>
          <w:tcPr>
            <w:tcW w:type="dxa" w:w="2200"/>
          </w:tcPr>
          <w:p>
            <w:pPr>
              <w:pStyle w:val="MDPI42tablebody"/>
              <w:keepNext/>
              <w:spacing w:line="240" w:lineRule="auto" w:before="30" w:after="30"/>
              <w:jc w:val="center"/>
            </w:pPr>
            <w:r>
              <w:rPr>
                <w:b w:val="0"/>
                <w:i w:val="0"/>
                <w:sz w:val="18"/>
              </w:rPr>
              <w:t>0.864</w:t>
            </w:r>
          </w:p>
        </w:tc>
      </w:tr>
      <w:tr>
        <w:trPr>
          <w:cantSplit/>
        </w:trPr>
        <w:tc>
          <w:tcPr>
            <w:tcW w:type="dxa" w:w="5657"/>
          </w:tcPr>
          <w:p>
            <w:pPr>
              <w:pStyle w:val="MDPI42tablebody"/>
              <w:keepNext/>
              <w:spacing w:line="240" w:lineRule="auto" w:before="30" w:after="30"/>
              <w:jc w:val="left"/>
            </w:pPr>
            <w:r>
              <w:rPr>
                <w:b w:val="0"/>
                <w:i w:val="0"/>
                <w:sz w:val="18"/>
              </w:rPr>
              <w:t>Best rule in a draw: uniform over plantable land</w:t>
            </w:r>
          </w:p>
        </w:tc>
        <w:tc>
          <w:tcPr>
            <w:tcW w:type="dxa" w:w="2200"/>
          </w:tcPr>
          <w:p>
            <w:pPr>
              <w:pStyle w:val="MDPI42tablebody"/>
              <w:keepNext/>
              <w:spacing w:line="240" w:lineRule="auto" w:before="30" w:after="30"/>
              <w:jc w:val="center"/>
            </w:pPr>
            <w:r>
              <w:rPr>
                <w:b w:val="0"/>
                <w:i w:val="0"/>
                <w:sz w:val="18"/>
              </w:rPr>
              <w:t>0.071</w:t>
            </w:r>
          </w:p>
        </w:tc>
      </w:tr>
      <w:tr>
        <w:trPr>
          <w:cantSplit/>
        </w:trPr>
        <w:tc>
          <w:tcPr>
            <w:tcW w:type="dxa" w:w="5657"/>
          </w:tcPr>
          <w:p>
            <w:pPr>
              <w:pStyle w:val="MDPI42tablebody"/>
              <w:keepNext/>
              <w:spacing w:line="240" w:lineRule="auto" w:before="30" w:after="30"/>
              <w:jc w:val="left"/>
            </w:pPr>
            <w:r>
              <w:rPr>
                <w:b w:val="0"/>
                <w:i w:val="0"/>
                <w:sz w:val="18"/>
              </w:rPr>
              <w:t>Best rule in a draw: young exposed workers × local heat</w:t>
            </w:r>
          </w:p>
        </w:tc>
        <w:tc>
          <w:tcPr>
            <w:tcW w:type="dxa" w:w="2200"/>
          </w:tcPr>
          <w:p>
            <w:pPr>
              <w:pStyle w:val="MDPI42tablebody"/>
              <w:keepNext/>
              <w:spacing w:line="240" w:lineRule="auto" w:before="30" w:after="30"/>
              <w:jc w:val="center"/>
            </w:pPr>
            <w:r>
              <w:rPr>
                <w:b w:val="0"/>
                <w:i w:val="0"/>
                <w:sz w:val="18"/>
              </w:rPr>
              <w:t>0.034</w:t>
            </w:r>
          </w:p>
        </w:tc>
      </w:tr>
      <w:tr>
        <w:trPr>
          <w:cantSplit/>
        </w:trPr>
        <w:tc>
          <w:tcPr>
            <w:tcW w:type="dxa" w:w="5657"/>
          </w:tcPr>
          <w:p>
            <w:pPr>
              <w:pStyle w:val="MDPI42tablebody"/>
              <w:keepNext/>
              <w:spacing w:line="240" w:lineRule="auto" w:before="30" w:after="30"/>
              <w:jc w:val="left"/>
            </w:pPr>
            <w:r>
              <w:rPr>
                <w:b w:val="0"/>
                <w:i w:val="0"/>
                <w:sz w:val="18"/>
              </w:rPr>
              <w:t>Best rule in a draw: residential population × local heat</w:t>
            </w:r>
          </w:p>
        </w:tc>
        <w:tc>
          <w:tcPr>
            <w:tcW w:type="dxa" w:w="2200"/>
          </w:tcPr>
          <w:p>
            <w:pPr>
              <w:pStyle w:val="MDPI42tablebody"/>
              <w:keepNext/>
              <w:spacing w:line="240" w:lineRule="auto" w:before="30" w:after="30"/>
              <w:jc w:val="center"/>
            </w:pPr>
            <w:r>
              <w:rPr>
                <w:b w:val="0"/>
                <w:i w:val="0"/>
                <w:sz w:val="18"/>
              </w:rPr>
              <w:t>0.022</w:t>
            </w:r>
          </w:p>
        </w:tc>
      </w:tr>
      <w:tr>
        <w:trPr>
          <w:cantSplit/>
        </w:trPr>
        <w:tc>
          <w:tcPr>
            <w:tcW w:type="dxa" w:w="5657"/>
          </w:tcPr>
          <w:p>
            <w:pPr>
              <w:pStyle w:val="MDPI42tablebody"/>
              <w:keepNext/>
              <w:spacing w:line="240" w:lineRule="auto" w:before="30" w:after="30"/>
              <w:jc w:val="left"/>
            </w:pPr>
            <w:r>
              <w:rPr>
                <w:b w:val="0"/>
                <w:i w:val="0"/>
                <w:sz w:val="18"/>
              </w:rPr>
              <w:t>Best rule in a draw: exposed workplaces × local heat</w:t>
            </w:r>
          </w:p>
        </w:tc>
        <w:tc>
          <w:tcPr>
            <w:tcW w:type="dxa" w:w="2200"/>
          </w:tcPr>
          <w:p>
            <w:pPr>
              <w:pStyle w:val="MDPI42tablebody"/>
              <w:keepNext/>
              <w:spacing w:line="240" w:lineRule="auto" w:before="30" w:after="30"/>
              <w:jc w:val="center"/>
            </w:pPr>
            <w:r>
              <w:rPr>
                <w:b w:val="0"/>
                <w:i w:val="0"/>
                <w:sz w:val="18"/>
              </w:rPr>
              <w:t>0.009</w:t>
            </w:r>
          </w:p>
        </w:tc>
      </w:tr>
      <w:tr>
        <w:trPr>
          <w:cantSplit/>
        </w:trPr>
        <w:tc>
          <w:tcPr>
            <w:tcW w:type="dxa" w:w="5657"/>
          </w:tcPr>
          <w:p>
            <w:pPr>
              <w:pStyle w:val="MDPI42tablebody"/>
              <w:keepNext/>
              <w:spacing w:line="240" w:lineRule="auto" w:before="30" w:after="30"/>
              <w:jc w:val="left"/>
            </w:pPr>
            <w:r>
              <w:rPr>
                <w:b w:val="0"/>
                <w:i w:val="0"/>
                <w:sz w:val="18"/>
              </w:rPr>
              <w:t>Best rule in a draw: residential deprivation</w:t>
            </w:r>
          </w:p>
        </w:tc>
        <w:tc>
          <w:tcPr>
            <w:tcW w:type="dxa" w:w="2200"/>
          </w:tcPr>
          <w:p>
            <w:pPr>
              <w:pStyle w:val="MDPI42tablebody"/>
              <w:keepNext/>
              <w:spacing w:line="240" w:lineRule="auto" w:before="30" w:after="30"/>
              <w:jc w:val="center"/>
            </w:pPr>
            <w:r>
              <w:rPr>
                <w:b w:val="0"/>
                <w:i w:val="0"/>
                <w:sz w:val="18"/>
              </w:rPr>
              <w:t>0.001</w:t>
            </w:r>
          </w:p>
        </w:tc>
      </w:tr>
      <w:tr>
        <w:trPr>
          <w:cantSplit/>
        </w:trPr>
        <w:tc>
          <w:tcPr>
            <w:tcW w:type="dxa" w:w="5657"/>
          </w:tcPr>
          <w:p>
            <w:pPr>
              <w:pStyle w:val="MDPI42tablebody"/>
              <w:keepNext/>
              <w:spacing w:line="240" w:lineRule="auto" w:before="30" w:after="30"/>
              <w:jc w:val="left"/>
            </w:pPr>
            <w:r>
              <w:rPr>
                <w:b w:val="0"/>
                <w:i w:val="0"/>
                <w:sz w:val="18"/>
              </w:rPr>
              <w:t>Best rule in a draw: residential population</w:t>
            </w:r>
          </w:p>
        </w:tc>
        <w:tc>
          <w:tcPr>
            <w:tcW w:type="dxa" w:w="2200"/>
          </w:tcPr>
          <w:p>
            <w:pPr>
              <w:pStyle w:val="MDPI42tablebody"/>
              <w:keepNext/>
              <w:spacing w:line="240" w:lineRule="auto" w:before="30" w:after="30"/>
              <w:jc w:val="center"/>
            </w:pPr>
            <w:r>
              <w:rPr>
                <w:b w:val="0"/>
                <w:i w:val="0"/>
                <w:sz w:val="18"/>
              </w:rPr>
              <w:t>0.000</w:t>
            </w:r>
          </w:p>
        </w:tc>
      </w:tr>
    </w:tbl>
    <w:p>
      <w:pPr>
        <w:pStyle w:val="MDPI43tablefooter"/>
        <w:keepLines/>
        <w:spacing w:line="240" w:lineRule="auto" w:before="40" w:after="200"/>
        <w:ind w:left="2608" w:firstLine="0"/>
      </w:pPr>
      <w:r>
        <w:rPr>
          <w:sz w:val="16"/>
        </w:rPr>
        <w:t xml:space="preserve">Note: </w:t>
      </w:r>
      <w:r>
        <w:rPr>
          <w:b w:val="0"/>
          <w:i w:val="0"/>
          <w:sz w:val="16"/>
        </w:rPr>
        <w:t>Over 4000 draws, each drawing every swept parameter, the response function, the climate setting and the workplace–residence divergence independently. Probabilities are the share of draws in which the stated comparison holds. Source: authors’ calculations.</w:t>
      </w:r>
    </w:p>
    <w:p>
      <w:pPr>
        <w:pStyle w:val="MDPI41tablecaption"/>
        <w:keepNext/>
        <w:spacing w:after="60"/>
      </w:pPr>
      <w:r>
        <w:rPr>
          <w:b/>
          <w:sz w:val="18"/>
        </w:rPr>
        <w:t xml:space="preserve">Table 6. </w:t>
      </w:r>
      <w:r>
        <w:rPr>
          <w:b w:val="0"/>
          <w:i w:val="0"/>
          <w:sz w:val="18"/>
        </w:rPr>
        <w:t>Predicted loss of young workers’ work capacity across the ensemble, by response function.</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511"/>
        <w:gridCol w:w="1465"/>
        <w:gridCol w:w="1779"/>
        <w:gridCol w:w="1779"/>
        <w:gridCol w:w="2930"/>
      </w:tblGrid>
      <w:tr>
        <w:trPr>
          <w:cantSplit/>
          <w:tblHeader/>
        </w:trPr>
        <w:tc>
          <w:tcPr>
            <w:tcW w:type="dxa" w:w="2511"/>
            <w:tcBorders>
              <w:bottom w:val="single" w:sz="8" w:space="0" w:color="auto"/>
            </w:tcBorders>
          </w:tcPr>
          <w:p>
            <w:pPr>
              <w:pStyle w:val="MDPI42tablebody"/>
              <w:keepNext/>
              <w:spacing w:line="240" w:lineRule="auto" w:before="30" w:after="30"/>
              <w:jc w:val="center"/>
            </w:pPr>
            <w:r>
              <w:rPr>
                <w:b/>
                <w:i w:val="0"/>
                <w:sz w:val="18"/>
              </w:rPr>
              <w:t>Response function</w:t>
            </w:r>
          </w:p>
        </w:tc>
        <w:tc>
          <w:tcPr>
            <w:tcW w:type="dxa" w:w="1465"/>
            <w:tcBorders>
              <w:bottom w:val="single" w:sz="8" w:space="0" w:color="auto"/>
            </w:tcBorders>
          </w:tcPr>
          <w:p>
            <w:pPr>
              <w:pStyle w:val="MDPI42tablebody"/>
              <w:keepNext/>
              <w:spacing w:line="240" w:lineRule="auto" w:before="30" w:after="30"/>
              <w:jc w:val="center"/>
            </w:pPr>
            <w:r>
              <w:rPr>
                <w:b/>
                <w:i w:val="0"/>
                <w:sz w:val="18"/>
              </w:rPr>
              <w:t>Draws</w:t>
            </w:r>
          </w:p>
        </w:tc>
        <w:tc>
          <w:tcPr>
            <w:tcW w:type="dxa" w:w="1779"/>
            <w:tcBorders>
              <w:bottom w:val="single" w:sz="8" w:space="0" w:color="auto"/>
            </w:tcBorders>
          </w:tcPr>
          <w:p>
            <w:pPr>
              <w:pStyle w:val="MDPI42tablebody"/>
              <w:keepNext/>
              <w:spacing w:line="240" w:lineRule="auto" w:before="30" w:after="30"/>
              <w:jc w:val="center"/>
            </w:pPr>
            <w:r>
              <w:rPr>
                <w:b/>
                <w:i w:val="0"/>
                <w:sz w:val="18"/>
              </w:rPr>
              <w:t>Median</w:t>
            </w:r>
          </w:p>
        </w:tc>
        <w:tc>
          <w:tcPr>
            <w:tcW w:type="dxa" w:w="1779"/>
            <w:tcBorders>
              <w:bottom w:val="single" w:sz="8" w:space="0" w:color="auto"/>
            </w:tcBorders>
          </w:tcPr>
          <w:p>
            <w:pPr>
              <w:pStyle w:val="MDPI42tablebody"/>
              <w:keepNext/>
              <w:spacing w:line="240" w:lineRule="auto" w:before="30" w:after="30"/>
              <w:jc w:val="center"/>
            </w:pPr>
            <w:r>
              <w:rPr>
                <w:b/>
                <w:i w:val="0"/>
                <w:sz w:val="18"/>
              </w:rPr>
              <w:t>95th pct.</w:t>
            </w:r>
          </w:p>
        </w:tc>
        <w:tc>
          <w:tcPr>
            <w:tcW w:type="dxa" w:w="2930"/>
            <w:tcBorders>
              <w:bottom w:val="single" w:sz="8" w:space="0" w:color="auto"/>
            </w:tcBorders>
          </w:tcPr>
          <w:p>
            <w:pPr>
              <w:pStyle w:val="MDPI42tablebody"/>
              <w:keepNext/>
              <w:spacing w:line="240" w:lineRule="auto" w:before="30" w:after="30"/>
              <w:jc w:val="center"/>
            </w:pPr>
            <w:r>
              <w:rPr>
                <w:b/>
                <w:i w:val="0"/>
                <w:sz w:val="18"/>
              </w:rPr>
              <w:t>Share predicting zero</w:t>
            </w:r>
          </w:p>
        </w:tc>
      </w:tr>
      <w:tr>
        <w:trPr>
          <w:cantSplit/>
        </w:trPr>
        <w:tc>
          <w:tcPr>
            <w:tcW w:type="dxa" w:w="2511"/>
          </w:tcPr>
          <w:p>
            <w:pPr>
              <w:pStyle w:val="MDPI42tablebody"/>
              <w:keepNext/>
              <w:spacing w:line="240" w:lineRule="auto" w:before="30" w:after="30"/>
              <w:jc w:val="left"/>
            </w:pPr>
            <w:r>
              <w:rPr>
                <w:b w:val="0"/>
                <w:i w:val="0"/>
                <w:sz w:val="18"/>
              </w:rPr>
              <w:t>Hothaps</w:t>
            </w:r>
          </w:p>
        </w:tc>
        <w:tc>
          <w:tcPr>
            <w:tcW w:type="dxa" w:w="1465"/>
          </w:tcPr>
          <w:p>
            <w:pPr>
              <w:pStyle w:val="MDPI42tablebody"/>
              <w:keepNext/>
              <w:spacing w:line="240" w:lineRule="auto" w:before="30" w:after="30"/>
              <w:jc w:val="center"/>
            </w:pPr>
            <w:r>
              <w:rPr>
                <w:b w:val="0"/>
                <w:i w:val="0"/>
                <w:sz w:val="18"/>
              </w:rPr>
              <w:t>807</w:t>
            </w:r>
          </w:p>
        </w:tc>
        <w:tc>
          <w:tcPr>
            <w:tcW w:type="dxa" w:w="1779"/>
          </w:tcPr>
          <w:p>
            <w:pPr>
              <w:pStyle w:val="MDPI42tablebody"/>
              <w:keepNext/>
              <w:spacing w:line="240" w:lineRule="auto" w:before="30" w:after="30"/>
              <w:jc w:val="center"/>
            </w:pPr>
            <w:r>
              <w:rPr>
                <w:b w:val="0"/>
                <w:i w:val="0"/>
                <w:sz w:val="18"/>
              </w:rPr>
              <w:t>0.236</w:t>
            </w:r>
          </w:p>
        </w:tc>
        <w:tc>
          <w:tcPr>
            <w:tcW w:type="dxa" w:w="1779"/>
          </w:tcPr>
          <w:p>
            <w:pPr>
              <w:pStyle w:val="MDPI42tablebody"/>
              <w:keepNext/>
              <w:spacing w:line="240" w:lineRule="auto" w:before="30" w:after="30"/>
              <w:jc w:val="center"/>
            </w:pPr>
            <w:r>
              <w:rPr>
                <w:b w:val="0"/>
                <w:i w:val="0"/>
                <w:sz w:val="18"/>
              </w:rPr>
              <w:t>1.477</w:t>
            </w:r>
          </w:p>
        </w:tc>
        <w:tc>
          <w:tcPr>
            <w:tcW w:type="dxa" w:w="2930"/>
          </w:tcPr>
          <w:p>
            <w:pPr>
              <w:pStyle w:val="MDPI42tablebody"/>
              <w:keepNext/>
              <w:spacing w:line="240" w:lineRule="auto" w:before="30" w:after="30"/>
              <w:jc w:val="center"/>
            </w:pPr>
            <w:r>
              <w:rPr>
                <w:b w:val="0"/>
                <w:i w:val="0"/>
                <w:sz w:val="18"/>
              </w:rPr>
              <w:t>0.000</w:t>
            </w:r>
          </w:p>
        </w:tc>
      </w:tr>
      <w:tr>
        <w:trPr>
          <w:cantSplit/>
        </w:trPr>
        <w:tc>
          <w:tcPr>
            <w:tcW w:type="dxa" w:w="2511"/>
          </w:tcPr>
          <w:p>
            <w:pPr>
              <w:pStyle w:val="MDPI42tablebody"/>
              <w:keepNext/>
              <w:spacing w:line="240" w:lineRule="auto" w:before="30" w:after="30"/>
              <w:jc w:val="left"/>
            </w:pPr>
            <w:r>
              <w:rPr>
                <w:b w:val="0"/>
                <w:i w:val="0"/>
                <w:sz w:val="18"/>
              </w:rPr>
              <w:t>ISO 7243</w:t>
            </w:r>
          </w:p>
        </w:tc>
        <w:tc>
          <w:tcPr>
            <w:tcW w:type="dxa" w:w="1465"/>
          </w:tcPr>
          <w:p>
            <w:pPr>
              <w:pStyle w:val="MDPI42tablebody"/>
              <w:keepNext/>
              <w:spacing w:line="240" w:lineRule="auto" w:before="30" w:after="30"/>
              <w:jc w:val="center"/>
            </w:pPr>
            <w:r>
              <w:rPr>
                <w:b w:val="0"/>
                <w:i w:val="0"/>
                <w:sz w:val="18"/>
              </w:rPr>
              <w:t>841</w:t>
            </w:r>
          </w:p>
        </w:tc>
        <w:tc>
          <w:tcPr>
            <w:tcW w:type="dxa" w:w="1779"/>
          </w:tcPr>
          <w:p>
            <w:pPr>
              <w:pStyle w:val="MDPI42tablebody"/>
              <w:keepNext/>
              <w:spacing w:line="240" w:lineRule="auto" w:before="30" w:after="30"/>
              <w:jc w:val="center"/>
            </w:pPr>
            <w:r>
              <w:rPr>
                <w:b w:val="0"/>
                <w:i w:val="0"/>
                <w:sz w:val="18"/>
              </w:rPr>
              <w:t>0.509</w:t>
            </w:r>
          </w:p>
        </w:tc>
        <w:tc>
          <w:tcPr>
            <w:tcW w:type="dxa" w:w="1779"/>
          </w:tcPr>
          <w:p>
            <w:pPr>
              <w:pStyle w:val="MDPI42tablebody"/>
              <w:keepNext/>
              <w:spacing w:line="240" w:lineRule="auto" w:before="30" w:after="30"/>
              <w:jc w:val="center"/>
            </w:pPr>
            <w:r>
              <w:rPr>
                <w:b w:val="0"/>
                <w:i w:val="0"/>
                <w:sz w:val="18"/>
              </w:rPr>
              <w:t>2.670</w:t>
            </w:r>
          </w:p>
        </w:tc>
        <w:tc>
          <w:tcPr>
            <w:tcW w:type="dxa" w:w="2930"/>
          </w:tcPr>
          <w:p>
            <w:pPr>
              <w:pStyle w:val="MDPI42tablebody"/>
              <w:keepNext/>
              <w:spacing w:line="240" w:lineRule="auto" w:before="30" w:after="30"/>
              <w:jc w:val="center"/>
            </w:pPr>
            <w:r>
              <w:rPr>
                <w:b w:val="0"/>
                <w:i w:val="0"/>
                <w:sz w:val="18"/>
              </w:rPr>
              <w:t>0.124</w:t>
            </w:r>
          </w:p>
        </w:tc>
      </w:tr>
      <w:tr>
        <w:trPr>
          <w:cantSplit/>
        </w:trPr>
        <w:tc>
          <w:tcPr>
            <w:tcW w:type="dxa" w:w="2511"/>
          </w:tcPr>
          <w:p>
            <w:pPr>
              <w:pStyle w:val="MDPI42tablebody"/>
              <w:keepNext/>
              <w:spacing w:line="240" w:lineRule="auto" w:before="30" w:after="30"/>
              <w:jc w:val="left"/>
            </w:pPr>
            <w:r>
              <w:rPr>
                <w:b w:val="0"/>
                <w:i w:val="0"/>
                <w:sz w:val="18"/>
              </w:rPr>
              <w:t>NIOSH</w:t>
            </w:r>
          </w:p>
        </w:tc>
        <w:tc>
          <w:tcPr>
            <w:tcW w:type="dxa" w:w="1465"/>
          </w:tcPr>
          <w:p>
            <w:pPr>
              <w:pStyle w:val="MDPI42tablebody"/>
              <w:keepNext/>
              <w:spacing w:line="240" w:lineRule="auto" w:before="30" w:after="30"/>
              <w:jc w:val="center"/>
            </w:pPr>
            <w:r>
              <w:rPr>
                <w:b w:val="0"/>
                <w:i w:val="0"/>
                <w:sz w:val="18"/>
              </w:rPr>
              <w:t>827</w:t>
            </w:r>
          </w:p>
        </w:tc>
        <w:tc>
          <w:tcPr>
            <w:tcW w:type="dxa" w:w="1779"/>
          </w:tcPr>
          <w:p>
            <w:pPr>
              <w:pStyle w:val="MDPI42tablebody"/>
              <w:keepNext/>
              <w:spacing w:line="240" w:lineRule="auto" w:before="30" w:after="30"/>
              <w:jc w:val="center"/>
            </w:pPr>
            <w:r>
              <w:rPr>
                <w:b w:val="0"/>
                <w:i w:val="0"/>
                <w:sz w:val="18"/>
              </w:rPr>
              <w:t>0.362</w:t>
            </w:r>
          </w:p>
        </w:tc>
        <w:tc>
          <w:tcPr>
            <w:tcW w:type="dxa" w:w="1779"/>
          </w:tcPr>
          <w:p>
            <w:pPr>
              <w:pStyle w:val="MDPI42tablebody"/>
              <w:keepNext/>
              <w:spacing w:line="240" w:lineRule="auto" w:before="30" w:after="30"/>
              <w:jc w:val="center"/>
            </w:pPr>
            <w:r>
              <w:rPr>
                <w:b w:val="0"/>
                <w:i w:val="0"/>
                <w:sz w:val="18"/>
              </w:rPr>
              <w:t>2.578</w:t>
            </w:r>
          </w:p>
        </w:tc>
        <w:tc>
          <w:tcPr>
            <w:tcW w:type="dxa" w:w="2930"/>
          </w:tcPr>
          <w:p>
            <w:pPr>
              <w:pStyle w:val="MDPI42tablebody"/>
              <w:keepNext/>
              <w:spacing w:line="240" w:lineRule="auto" w:before="30" w:after="30"/>
              <w:jc w:val="center"/>
            </w:pPr>
            <w:r>
              <w:rPr>
                <w:b w:val="0"/>
                <w:i w:val="0"/>
                <w:sz w:val="18"/>
              </w:rPr>
              <w:t>0.169</w:t>
            </w:r>
          </w:p>
        </w:tc>
      </w:tr>
      <w:tr>
        <w:trPr>
          <w:cantSplit/>
        </w:trPr>
        <w:tc>
          <w:tcPr>
            <w:tcW w:type="dxa" w:w="2511"/>
          </w:tcPr>
          <w:p>
            <w:pPr>
              <w:pStyle w:val="MDPI42tablebody"/>
              <w:keepNext/>
              <w:spacing w:line="240" w:lineRule="auto" w:before="30" w:after="30"/>
              <w:jc w:val="left"/>
            </w:pPr>
            <w:r>
              <w:rPr>
                <w:b w:val="0"/>
                <w:i w:val="0"/>
                <w:sz w:val="18"/>
              </w:rPr>
              <w:t>Dunne et al.</w:t>
            </w:r>
          </w:p>
        </w:tc>
        <w:tc>
          <w:tcPr>
            <w:tcW w:type="dxa" w:w="1465"/>
          </w:tcPr>
          <w:p>
            <w:pPr>
              <w:pStyle w:val="MDPI42tablebody"/>
              <w:keepNext/>
              <w:spacing w:line="240" w:lineRule="auto" w:before="30" w:after="30"/>
              <w:jc w:val="center"/>
            </w:pPr>
            <w:r>
              <w:rPr>
                <w:b w:val="0"/>
                <w:i w:val="0"/>
                <w:sz w:val="18"/>
              </w:rPr>
              <w:t>746</w:t>
            </w:r>
          </w:p>
        </w:tc>
        <w:tc>
          <w:tcPr>
            <w:tcW w:type="dxa" w:w="1779"/>
          </w:tcPr>
          <w:p>
            <w:pPr>
              <w:pStyle w:val="MDPI42tablebody"/>
              <w:keepNext/>
              <w:spacing w:line="240" w:lineRule="auto" w:before="30" w:after="30"/>
              <w:jc w:val="center"/>
            </w:pPr>
            <w:r>
              <w:rPr>
                <w:b w:val="0"/>
                <w:i w:val="0"/>
                <w:sz w:val="18"/>
              </w:rPr>
              <w:t>0.720</w:t>
            </w:r>
          </w:p>
        </w:tc>
        <w:tc>
          <w:tcPr>
            <w:tcW w:type="dxa" w:w="1779"/>
          </w:tcPr>
          <w:p>
            <w:pPr>
              <w:pStyle w:val="MDPI42tablebody"/>
              <w:keepNext/>
              <w:spacing w:line="240" w:lineRule="auto" w:before="30" w:after="30"/>
              <w:jc w:val="center"/>
            </w:pPr>
            <w:r>
              <w:rPr>
                <w:b w:val="0"/>
                <w:i w:val="0"/>
                <w:sz w:val="18"/>
              </w:rPr>
              <w:t>2.833</w:t>
            </w:r>
          </w:p>
        </w:tc>
        <w:tc>
          <w:tcPr>
            <w:tcW w:type="dxa" w:w="2930"/>
          </w:tcPr>
          <w:p>
            <w:pPr>
              <w:pStyle w:val="MDPI42tablebody"/>
              <w:keepNext/>
              <w:spacing w:line="240" w:lineRule="auto" w:before="30" w:after="30"/>
              <w:jc w:val="center"/>
            </w:pPr>
            <w:r>
              <w:rPr>
                <w:b w:val="0"/>
                <w:i w:val="0"/>
                <w:sz w:val="18"/>
              </w:rPr>
              <w:t>0.031</w:t>
            </w:r>
          </w:p>
        </w:tc>
      </w:tr>
      <w:tr>
        <w:trPr>
          <w:cantSplit/>
        </w:trPr>
        <w:tc>
          <w:tcPr>
            <w:tcW w:type="dxa" w:w="2511"/>
          </w:tcPr>
          <w:p>
            <w:pPr>
              <w:pStyle w:val="MDPI42tablebody"/>
              <w:keepNext/>
              <w:spacing w:line="240" w:lineRule="auto" w:before="30" w:after="30"/>
              <w:jc w:val="left"/>
            </w:pPr>
            <w:r>
              <w:rPr>
                <w:b w:val="0"/>
                <w:i w:val="0"/>
                <w:sz w:val="18"/>
              </w:rPr>
              <w:t>Foster et al.</w:t>
            </w:r>
          </w:p>
        </w:tc>
        <w:tc>
          <w:tcPr>
            <w:tcW w:type="dxa" w:w="1465"/>
          </w:tcPr>
          <w:p>
            <w:pPr>
              <w:pStyle w:val="MDPI42tablebody"/>
              <w:keepNext/>
              <w:spacing w:line="240" w:lineRule="auto" w:before="30" w:after="30"/>
              <w:jc w:val="center"/>
            </w:pPr>
            <w:r>
              <w:rPr>
                <w:b w:val="0"/>
                <w:i w:val="0"/>
                <w:sz w:val="18"/>
              </w:rPr>
              <w:t>779</w:t>
            </w:r>
          </w:p>
        </w:tc>
        <w:tc>
          <w:tcPr>
            <w:tcW w:type="dxa" w:w="1779"/>
          </w:tcPr>
          <w:p>
            <w:pPr>
              <w:pStyle w:val="MDPI42tablebody"/>
              <w:keepNext/>
              <w:spacing w:line="240" w:lineRule="auto" w:before="30" w:after="30"/>
              <w:jc w:val="center"/>
            </w:pPr>
            <w:r>
              <w:rPr>
                <w:b w:val="0"/>
                <w:i w:val="0"/>
                <w:sz w:val="18"/>
              </w:rPr>
              <w:t>0.641</w:t>
            </w:r>
          </w:p>
        </w:tc>
        <w:tc>
          <w:tcPr>
            <w:tcW w:type="dxa" w:w="1779"/>
          </w:tcPr>
          <w:p>
            <w:pPr>
              <w:pStyle w:val="MDPI42tablebody"/>
              <w:keepNext/>
              <w:spacing w:line="240" w:lineRule="auto" w:before="30" w:after="30"/>
              <w:jc w:val="center"/>
            </w:pPr>
            <w:r>
              <w:rPr>
                <w:b w:val="0"/>
                <w:i w:val="0"/>
                <w:sz w:val="18"/>
              </w:rPr>
              <w:t>1.570</w:t>
            </w:r>
          </w:p>
        </w:tc>
        <w:tc>
          <w:tcPr>
            <w:tcW w:type="dxa" w:w="2930"/>
          </w:tcPr>
          <w:p>
            <w:pPr>
              <w:pStyle w:val="MDPI42tablebody"/>
              <w:keepNext/>
              <w:spacing w:line="240" w:lineRule="auto" w:before="30" w:after="30"/>
              <w:jc w:val="center"/>
            </w:pPr>
            <w:r>
              <w:rPr>
                <w:b w:val="0"/>
                <w:i w:val="0"/>
                <w:sz w:val="18"/>
              </w:rPr>
              <w:t>0.000</w:t>
            </w:r>
          </w:p>
        </w:tc>
      </w:tr>
    </w:tbl>
    <w:p>
      <w:pPr>
        <w:pStyle w:val="MDPI43tablefooter"/>
        <w:keepLines/>
        <w:spacing w:line="240" w:lineRule="auto" w:before="40" w:after="200"/>
        <w:ind w:left="2608" w:firstLine="0"/>
      </w:pPr>
      <w:r>
        <w:rPr>
          <w:sz w:val="16"/>
        </w:rPr>
        <w:t xml:space="preserve">Note: </w:t>
      </w:r>
      <w:r>
        <w:rPr>
          <w:b w:val="0"/>
          <w:i w:val="0"/>
          <w:sz w:val="16"/>
        </w:rPr>
        <w:t>Hours of work capacity lost per young worker per working day, before any planting, across the draws in which each function was selected. The final column is the share of those draws in which the function predicts no loss at all. The functions built on the ISO 7243 and NIOSH occupational limits impose a threshold below which no loss occurs and therefore return zero in a substantial minority of draws; the Hothaps and Foster functions, which are continuous over the whole range, never do. Source: authors’ calculations.</w:t>
      </w:r>
    </w:p>
    <w:p>
      <w:pPr>
        <w:pStyle w:val="MDPI22heading2"/>
      </w:pPr>
      <w:r>
        <w:t>4.5. Sensitivity and the Workplace–Residence Threshold</w:t>
      </w:r>
    </w:p>
    <w:p>
      <w:pPr>
        <w:pStyle w:val="MDPI32textnoindent"/>
      </w:pPr>
      <w:r>
        <w:rPr>
          <w:b w:val="0"/>
          <w:i w:val="0"/>
        </w:rPr>
        <w:t>Table 7 reports first-order sensitivity indices. The hours a planting budget protects depend most on the air-temperature cooling attributed to canopy, with an index of 0.12, then on the workplace–residence divergence (0.05), the climate setting (0.33) and the choice of response function (0.08). The ordering differs for the baseline loss, which is governed overwhelmingly by the climate setting. The contrast is informative: what determines how much heat a city loses to is mostly its climate, and what determines how much of that loss a planting budget can recover is mostly how effective canopy is and where the workers are.</w:t>
      </w:r>
    </w:p>
    <w:p>
      <w:pPr>
        <w:pStyle w:val="MDPI41tablecaption"/>
        <w:keepNext/>
        <w:spacing w:after="60"/>
      </w:pPr>
      <w:r>
        <w:rPr>
          <w:b/>
          <w:sz w:val="18"/>
        </w:rPr>
        <w:t xml:space="preserve">Table 7. </w:t>
      </w:r>
      <w:r>
        <w:rPr>
          <w:b w:val="0"/>
          <w:i w:val="0"/>
          <w:sz w:val="18"/>
        </w:rPr>
        <w:t>First-order sensitivity of the results to each input.</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929"/>
        <w:gridCol w:w="1964"/>
        <w:gridCol w:w="1964"/>
      </w:tblGrid>
      <w:tr>
        <w:trPr>
          <w:cantSplit/>
          <w:tblHeader/>
        </w:trPr>
        <w:tc>
          <w:tcPr>
            <w:tcW w:type="dxa" w:w="3929"/>
            <w:tcBorders>
              <w:bottom w:val="single" w:sz="8" w:space="0" w:color="auto"/>
            </w:tcBorders>
          </w:tcPr>
          <w:p>
            <w:pPr>
              <w:pStyle w:val="MDPI42tablebody"/>
              <w:keepNext/>
              <w:spacing w:line="240" w:lineRule="auto" w:before="30" w:after="30"/>
              <w:jc w:val="center"/>
            </w:pPr>
            <w:r>
              <w:rPr>
                <w:b/>
                <w:i w:val="0"/>
                <w:sz w:val="18"/>
              </w:rPr>
              <w:t>Input</w:t>
            </w:r>
          </w:p>
        </w:tc>
        <w:tc>
          <w:tcPr>
            <w:tcW w:type="dxa" w:w="1964"/>
            <w:tcBorders>
              <w:bottom w:val="single" w:sz="8" w:space="0" w:color="auto"/>
            </w:tcBorders>
          </w:tcPr>
          <w:p>
            <w:pPr>
              <w:pStyle w:val="MDPI42tablebody"/>
              <w:keepNext/>
              <w:spacing w:line="240" w:lineRule="auto" w:before="30" w:after="30"/>
              <w:jc w:val="center"/>
            </w:pPr>
            <w:r>
              <w:rPr>
                <w:b/>
                <w:i w:val="0"/>
                <w:sz w:val="18"/>
              </w:rPr>
              <w:t>Hours protected</w:t>
            </w:r>
          </w:p>
        </w:tc>
        <w:tc>
          <w:tcPr>
            <w:tcW w:type="dxa" w:w="1964"/>
            <w:tcBorders>
              <w:bottom w:val="single" w:sz="8" w:space="0" w:color="auto"/>
            </w:tcBorders>
          </w:tcPr>
          <w:p>
            <w:pPr>
              <w:pStyle w:val="MDPI42tablebody"/>
              <w:keepNext/>
              <w:spacing w:line="240" w:lineRule="auto" w:before="30" w:after="30"/>
              <w:jc w:val="center"/>
            </w:pPr>
            <w:r>
              <w:rPr>
                <w:b/>
                <w:i w:val="0"/>
                <w:sz w:val="18"/>
              </w:rPr>
              <w:t>Baseline loss</w:t>
            </w:r>
          </w:p>
        </w:tc>
      </w:tr>
      <w:tr>
        <w:trPr>
          <w:cantSplit/>
        </w:trPr>
        <w:tc>
          <w:tcPr>
            <w:tcW w:type="dxa" w:w="3929"/>
          </w:tcPr>
          <w:p>
            <w:pPr>
              <w:pStyle w:val="MDPI42tablebody"/>
              <w:keepNext/>
              <w:spacing w:line="240" w:lineRule="auto" w:before="30" w:after="30"/>
              <w:jc w:val="left"/>
            </w:pPr>
            <w:r>
              <w:rPr>
                <w:b w:val="0"/>
                <w:i w:val="0"/>
                <w:sz w:val="18"/>
              </w:rPr>
              <w:t>Climate setting</w:t>
            </w:r>
          </w:p>
        </w:tc>
        <w:tc>
          <w:tcPr>
            <w:tcW w:type="dxa" w:w="1964"/>
          </w:tcPr>
          <w:p>
            <w:pPr>
              <w:pStyle w:val="MDPI42tablebody"/>
              <w:keepNext/>
              <w:spacing w:line="240" w:lineRule="auto" w:before="30" w:after="30"/>
              <w:jc w:val="center"/>
            </w:pPr>
            <w:r>
              <w:rPr>
                <w:b w:val="0"/>
                <w:i w:val="0"/>
                <w:sz w:val="18"/>
              </w:rPr>
              <w:t>0.333</w:t>
            </w:r>
          </w:p>
        </w:tc>
        <w:tc>
          <w:tcPr>
            <w:tcW w:type="dxa" w:w="1964"/>
          </w:tcPr>
          <w:p>
            <w:pPr>
              <w:pStyle w:val="MDPI42tablebody"/>
              <w:keepNext/>
              <w:spacing w:line="240" w:lineRule="auto" w:before="30" w:after="30"/>
              <w:jc w:val="center"/>
            </w:pPr>
            <w:r>
              <w:rPr>
                <w:b w:val="0"/>
                <w:i w:val="0"/>
                <w:sz w:val="18"/>
              </w:rPr>
              <w:t>0.747</w:t>
            </w:r>
          </w:p>
        </w:tc>
      </w:tr>
      <w:tr>
        <w:trPr>
          <w:cantSplit/>
        </w:trPr>
        <w:tc>
          <w:tcPr>
            <w:tcW w:type="dxa" w:w="3929"/>
          </w:tcPr>
          <w:p>
            <w:pPr>
              <w:pStyle w:val="MDPI42tablebody"/>
              <w:keepNext/>
              <w:spacing w:line="240" w:lineRule="auto" w:before="30" w:after="30"/>
              <w:jc w:val="left"/>
            </w:pPr>
            <w:r>
              <w:rPr>
                <w:b w:val="0"/>
                <w:i w:val="0"/>
                <w:sz w:val="18"/>
              </w:rPr>
              <w:t>canopy air cooling</w:t>
            </w:r>
          </w:p>
        </w:tc>
        <w:tc>
          <w:tcPr>
            <w:tcW w:type="dxa" w:w="1964"/>
          </w:tcPr>
          <w:p>
            <w:pPr>
              <w:pStyle w:val="MDPI42tablebody"/>
              <w:keepNext/>
              <w:spacing w:line="240" w:lineRule="auto" w:before="30" w:after="30"/>
              <w:jc w:val="center"/>
            </w:pPr>
            <w:r>
              <w:rPr>
                <w:b w:val="0"/>
                <w:i w:val="0"/>
                <w:sz w:val="18"/>
              </w:rPr>
              <w:t>0.122</w:t>
            </w:r>
          </w:p>
        </w:tc>
        <w:tc>
          <w:tcPr>
            <w:tcW w:type="dxa" w:w="1964"/>
          </w:tcPr>
          <w:p>
            <w:pPr>
              <w:pStyle w:val="MDPI42tablebody"/>
              <w:keepNext/>
              <w:spacing w:line="240" w:lineRule="auto" w:before="30" w:after="30"/>
              <w:jc w:val="center"/>
            </w:pPr>
            <w:r>
              <w:rPr>
                <w:b w:val="0"/>
                <w:i w:val="0"/>
                <w:sz w:val="18"/>
              </w:rPr>
              <w:t>0.007</w:t>
            </w:r>
          </w:p>
        </w:tc>
      </w:tr>
      <w:tr>
        <w:trPr>
          <w:cantSplit/>
        </w:trPr>
        <w:tc>
          <w:tcPr>
            <w:tcW w:type="dxa" w:w="3929"/>
          </w:tcPr>
          <w:p>
            <w:pPr>
              <w:pStyle w:val="MDPI42tablebody"/>
              <w:keepNext/>
              <w:spacing w:line="240" w:lineRule="auto" w:before="30" w:after="30"/>
              <w:jc w:val="left"/>
            </w:pPr>
            <w:r>
              <w:rPr>
                <w:b w:val="0"/>
                <w:i w:val="0"/>
                <w:sz w:val="18"/>
              </w:rPr>
              <w:t>Choice of response function</w:t>
            </w:r>
          </w:p>
        </w:tc>
        <w:tc>
          <w:tcPr>
            <w:tcW w:type="dxa" w:w="1964"/>
          </w:tcPr>
          <w:p>
            <w:pPr>
              <w:pStyle w:val="MDPI42tablebody"/>
              <w:keepNext/>
              <w:spacing w:line="240" w:lineRule="auto" w:before="30" w:after="30"/>
              <w:jc w:val="center"/>
            </w:pPr>
            <w:r>
              <w:rPr>
                <w:b w:val="0"/>
                <w:i w:val="0"/>
                <w:sz w:val="18"/>
              </w:rPr>
              <w:t>0.084</w:t>
            </w:r>
          </w:p>
        </w:tc>
        <w:tc>
          <w:tcPr>
            <w:tcW w:type="dxa" w:w="1964"/>
          </w:tcPr>
          <w:p>
            <w:pPr>
              <w:pStyle w:val="MDPI42tablebody"/>
              <w:keepNext/>
              <w:spacing w:line="240" w:lineRule="auto" w:before="30" w:after="30"/>
              <w:jc w:val="center"/>
            </w:pPr>
            <w:r>
              <w:rPr>
                <w:b w:val="0"/>
                <w:i w:val="0"/>
                <w:sz w:val="18"/>
              </w:rPr>
              <w:t>0.051</w:t>
            </w:r>
          </w:p>
        </w:tc>
      </w:tr>
      <w:tr>
        <w:trPr>
          <w:cantSplit/>
        </w:trPr>
        <w:tc>
          <w:tcPr>
            <w:tcW w:type="dxa" w:w="3929"/>
          </w:tcPr>
          <w:p>
            <w:pPr>
              <w:pStyle w:val="MDPI42tablebody"/>
              <w:keepNext/>
              <w:spacing w:line="240" w:lineRule="auto" w:before="30" w:after="30"/>
              <w:jc w:val="left"/>
            </w:pPr>
            <w:r>
              <w:rPr>
                <w:b w:val="0"/>
                <w:i w:val="0"/>
                <w:sz w:val="18"/>
              </w:rPr>
              <w:t>Workplace–residence divergence</w:t>
            </w:r>
          </w:p>
        </w:tc>
        <w:tc>
          <w:tcPr>
            <w:tcW w:type="dxa" w:w="1964"/>
          </w:tcPr>
          <w:p>
            <w:pPr>
              <w:pStyle w:val="MDPI42tablebody"/>
              <w:keepNext/>
              <w:spacing w:line="240" w:lineRule="auto" w:before="30" w:after="30"/>
              <w:jc w:val="center"/>
            </w:pPr>
            <w:r>
              <w:rPr>
                <w:b w:val="0"/>
                <w:i w:val="0"/>
                <w:sz w:val="18"/>
              </w:rPr>
              <w:t>0.053</w:t>
            </w:r>
          </w:p>
        </w:tc>
        <w:tc>
          <w:tcPr>
            <w:tcW w:type="dxa" w:w="1964"/>
          </w:tcPr>
          <w:p>
            <w:pPr>
              <w:pStyle w:val="MDPI42tablebody"/>
              <w:keepNext/>
              <w:spacing w:line="240" w:lineRule="auto" w:before="30" w:after="30"/>
              <w:jc w:val="center"/>
            </w:pPr>
            <w:r>
              <w:rPr>
                <w:b w:val="0"/>
                <w:i w:val="0"/>
                <w:sz w:val="18"/>
              </w:rPr>
              <w:t>0.006</w:t>
            </w:r>
          </w:p>
        </w:tc>
      </w:tr>
      <w:tr>
        <w:trPr>
          <w:cantSplit/>
        </w:trPr>
        <w:tc>
          <w:tcPr>
            <w:tcW w:type="dxa" w:w="3929"/>
          </w:tcPr>
          <w:p>
            <w:pPr>
              <w:pStyle w:val="MDPI42tablebody"/>
              <w:keepNext/>
              <w:spacing w:line="240" w:lineRule="auto" w:before="30" w:after="30"/>
              <w:jc w:val="left"/>
            </w:pPr>
            <w:r>
              <w:rPr>
                <w:b w:val="0"/>
                <w:i w:val="0"/>
                <w:sz w:val="18"/>
              </w:rPr>
              <w:t>outdoor share moderate</w:t>
            </w:r>
          </w:p>
        </w:tc>
        <w:tc>
          <w:tcPr>
            <w:tcW w:type="dxa" w:w="1964"/>
          </w:tcPr>
          <w:p>
            <w:pPr>
              <w:pStyle w:val="MDPI42tablebody"/>
              <w:keepNext/>
              <w:spacing w:line="240" w:lineRule="auto" w:before="30" w:after="30"/>
              <w:jc w:val="center"/>
            </w:pPr>
            <w:r>
              <w:rPr>
                <w:b w:val="0"/>
                <w:i w:val="0"/>
                <w:sz w:val="18"/>
              </w:rPr>
              <w:t>0.012</w:t>
            </w:r>
          </w:p>
        </w:tc>
        <w:tc>
          <w:tcPr>
            <w:tcW w:type="dxa" w:w="1964"/>
          </w:tcPr>
          <w:p>
            <w:pPr>
              <w:pStyle w:val="MDPI42tablebody"/>
              <w:keepNext/>
              <w:spacing w:line="240" w:lineRule="auto" w:before="30" w:after="30"/>
              <w:jc w:val="center"/>
            </w:pPr>
            <w:r>
              <w:rPr>
                <w:b w:val="0"/>
                <w:i w:val="0"/>
                <w:sz w:val="18"/>
              </w:rPr>
              <w:t>0.010</w:t>
            </w:r>
          </w:p>
        </w:tc>
      </w:tr>
      <w:tr>
        <w:trPr>
          <w:cantSplit/>
        </w:trPr>
        <w:tc>
          <w:tcPr>
            <w:tcW w:type="dxa" w:w="3929"/>
          </w:tcPr>
          <w:p>
            <w:pPr>
              <w:pStyle w:val="MDPI42tablebody"/>
              <w:keepNext/>
              <w:spacing w:line="240" w:lineRule="auto" w:before="30" w:after="30"/>
              <w:jc w:val="left"/>
            </w:pPr>
            <w:r>
              <w:rPr>
                <w:b w:val="0"/>
                <w:i w:val="0"/>
                <w:sz w:val="18"/>
              </w:rPr>
              <w:t>work hours per day</w:t>
            </w:r>
          </w:p>
        </w:tc>
        <w:tc>
          <w:tcPr>
            <w:tcW w:type="dxa" w:w="1964"/>
          </w:tcPr>
          <w:p>
            <w:pPr>
              <w:pStyle w:val="MDPI42tablebody"/>
              <w:keepNext/>
              <w:spacing w:line="240" w:lineRule="auto" w:before="30" w:after="30"/>
              <w:jc w:val="center"/>
            </w:pPr>
            <w:r>
              <w:rPr>
                <w:b w:val="0"/>
                <w:i w:val="0"/>
                <w:sz w:val="18"/>
              </w:rPr>
              <w:t>0.011</w:t>
            </w:r>
          </w:p>
        </w:tc>
        <w:tc>
          <w:tcPr>
            <w:tcW w:type="dxa" w:w="1964"/>
          </w:tcPr>
          <w:p>
            <w:pPr>
              <w:pStyle w:val="MDPI42tablebody"/>
              <w:keepNext/>
              <w:spacing w:line="240" w:lineRule="auto" w:before="30" w:after="30"/>
              <w:jc w:val="center"/>
            </w:pPr>
            <w:r>
              <w:rPr>
                <w:b w:val="0"/>
                <w:i w:val="0"/>
                <w:sz w:val="18"/>
              </w:rPr>
              <w:t>0.009</w:t>
            </w:r>
          </w:p>
        </w:tc>
      </w:tr>
      <w:tr>
        <w:trPr>
          <w:cantSplit/>
        </w:trPr>
        <w:tc>
          <w:tcPr>
            <w:tcW w:type="dxa" w:w="3929"/>
          </w:tcPr>
          <w:p>
            <w:pPr>
              <w:pStyle w:val="MDPI42tablebody"/>
              <w:keepNext/>
              <w:spacing w:line="240" w:lineRule="auto" w:before="30" w:after="30"/>
              <w:jc w:val="left"/>
            </w:pPr>
            <w:r>
              <w:rPr>
                <w:b w:val="0"/>
                <w:i w:val="0"/>
                <w:sz w:val="18"/>
              </w:rPr>
              <w:t>radiant gain</w:t>
            </w:r>
          </w:p>
        </w:tc>
        <w:tc>
          <w:tcPr>
            <w:tcW w:type="dxa" w:w="1964"/>
          </w:tcPr>
          <w:p>
            <w:pPr>
              <w:pStyle w:val="MDPI42tablebody"/>
              <w:keepNext/>
              <w:spacing w:line="240" w:lineRule="auto" w:before="30" w:after="30"/>
              <w:jc w:val="center"/>
            </w:pPr>
            <w:r>
              <w:rPr>
                <w:b w:val="0"/>
                <w:i w:val="0"/>
                <w:sz w:val="18"/>
              </w:rPr>
              <w:t>0.011</w:t>
            </w:r>
          </w:p>
        </w:tc>
        <w:tc>
          <w:tcPr>
            <w:tcW w:type="dxa" w:w="1964"/>
          </w:tcPr>
          <w:p>
            <w:pPr>
              <w:pStyle w:val="MDPI42tablebody"/>
              <w:keepNext/>
              <w:spacing w:line="240" w:lineRule="auto" w:before="30" w:after="30"/>
              <w:jc w:val="center"/>
            </w:pPr>
            <w:r>
              <w:rPr>
                <w:b w:val="0"/>
                <w:i w:val="0"/>
                <w:sz w:val="18"/>
              </w:rPr>
              <w:t>0.028</w:t>
            </w:r>
          </w:p>
        </w:tc>
      </w:tr>
      <w:tr>
        <w:trPr>
          <w:cantSplit/>
        </w:trPr>
        <w:tc>
          <w:tcPr>
            <w:tcW w:type="dxa" w:w="3929"/>
          </w:tcPr>
          <w:p>
            <w:pPr>
              <w:pStyle w:val="MDPI42tablebody"/>
              <w:keepNext/>
              <w:spacing w:line="240" w:lineRule="auto" w:before="30" w:after="30"/>
              <w:jc w:val="left"/>
            </w:pPr>
            <w:r>
              <w:rPr>
                <w:b w:val="0"/>
                <w:i w:val="0"/>
                <w:sz w:val="18"/>
              </w:rPr>
              <w:t>wind canyon ms</w:t>
            </w:r>
          </w:p>
        </w:tc>
        <w:tc>
          <w:tcPr>
            <w:tcW w:type="dxa" w:w="1964"/>
          </w:tcPr>
          <w:p>
            <w:pPr>
              <w:pStyle w:val="MDPI42tablebody"/>
              <w:keepNext/>
              <w:spacing w:line="240" w:lineRule="auto" w:before="30" w:after="30"/>
              <w:jc w:val="center"/>
            </w:pPr>
            <w:r>
              <w:rPr>
                <w:b w:val="0"/>
                <w:i w:val="0"/>
                <w:sz w:val="18"/>
              </w:rPr>
              <w:t>0.007</w:t>
            </w:r>
          </w:p>
        </w:tc>
        <w:tc>
          <w:tcPr>
            <w:tcW w:type="dxa" w:w="1964"/>
          </w:tcPr>
          <w:p>
            <w:pPr>
              <w:pStyle w:val="MDPI42tablebody"/>
              <w:keepNext/>
              <w:spacing w:line="240" w:lineRule="auto" w:before="30" w:after="30"/>
              <w:jc w:val="center"/>
            </w:pPr>
            <w:r>
              <w:rPr>
                <w:b w:val="0"/>
                <w:i w:val="0"/>
                <w:sz w:val="18"/>
              </w:rPr>
              <w:t>0.011</w:t>
            </w:r>
          </w:p>
        </w:tc>
      </w:tr>
      <w:tr>
        <w:trPr>
          <w:cantSplit/>
        </w:trPr>
        <w:tc>
          <w:tcPr>
            <w:tcW w:type="dxa" w:w="3929"/>
          </w:tcPr>
          <w:p>
            <w:pPr>
              <w:pStyle w:val="MDPI42tablebody"/>
              <w:keepNext/>
              <w:spacing w:line="240" w:lineRule="auto" w:before="30" w:after="30"/>
              <w:jc w:val="left"/>
            </w:pPr>
            <w:r>
              <w:rPr>
                <w:b w:val="0"/>
                <w:i w:val="0"/>
                <w:sz w:val="18"/>
              </w:rPr>
              <w:t>wind open ms</w:t>
            </w:r>
          </w:p>
        </w:tc>
        <w:tc>
          <w:tcPr>
            <w:tcW w:type="dxa" w:w="1964"/>
          </w:tcPr>
          <w:p>
            <w:pPr>
              <w:pStyle w:val="MDPI42tablebody"/>
              <w:keepNext/>
              <w:spacing w:line="240" w:lineRule="auto" w:before="30" w:after="30"/>
              <w:jc w:val="center"/>
            </w:pPr>
            <w:r>
              <w:rPr>
                <w:b w:val="0"/>
                <w:i w:val="0"/>
                <w:sz w:val="18"/>
              </w:rPr>
              <w:t>0.007</w:t>
            </w:r>
          </w:p>
        </w:tc>
        <w:tc>
          <w:tcPr>
            <w:tcW w:type="dxa" w:w="1964"/>
          </w:tcPr>
          <w:p>
            <w:pPr>
              <w:pStyle w:val="MDPI42tablebody"/>
              <w:keepNext/>
              <w:spacing w:line="240" w:lineRule="auto" w:before="30" w:after="30"/>
              <w:jc w:val="center"/>
            </w:pPr>
            <w:r>
              <w:rPr>
                <w:b w:val="0"/>
                <w:i w:val="0"/>
                <w:sz w:val="18"/>
              </w:rPr>
              <w:t>0.007</w:t>
            </w:r>
          </w:p>
        </w:tc>
      </w:tr>
      <w:tr>
        <w:trPr>
          <w:cantSplit/>
        </w:trPr>
        <w:tc>
          <w:tcPr>
            <w:tcW w:type="dxa" w:w="3929"/>
          </w:tcPr>
          <w:p>
            <w:pPr>
              <w:pStyle w:val="MDPI42tablebody"/>
              <w:keepNext/>
              <w:spacing w:line="240" w:lineRule="auto" w:before="30" w:after="30"/>
              <w:jc w:val="left"/>
            </w:pPr>
            <w:r>
              <w:rPr>
                <w:b w:val="0"/>
                <w:i w:val="0"/>
                <w:sz w:val="18"/>
              </w:rPr>
              <w:t>outdoor share high</w:t>
            </w:r>
          </w:p>
        </w:tc>
        <w:tc>
          <w:tcPr>
            <w:tcW w:type="dxa" w:w="1964"/>
          </w:tcPr>
          <w:p>
            <w:pPr>
              <w:pStyle w:val="MDPI42tablebody"/>
              <w:keepNext/>
              <w:spacing w:line="240" w:lineRule="auto" w:before="30" w:after="30"/>
              <w:jc w:val="center"/>
            </w:pPr>
            <w:r>
              <w:rPr>
                <w:b w:val="0"/>
                <w:i w:val="0"/>
                <w:sz w:val="18"/>
              </w:rPr>
              <w:t>0.007</w:t>
            </w:r>
          </w:p>
        </w:tc>
        <w:tc>
          <w:tcPr>
            <w:tcW w:type="dxa" w:w="1964"/>
          </w:tcPr>
          <w:p>
            <w:pPr>
              <w:pStyle w:val="MDPI42tablebody"/>
              <w:keepNext/>
              <w:spacing w:line="240" w:lineRule="auto" w:before="30" w:after="30"/>
              <w:jc w:val="center"/>
            </w:pPr>
            <w:r>
              <w:rPr>
                <w:b w:val="0"/>
                <w:i w:val="0"/>
                <w:sz w:val="18"/>
              </w:rPr>
              <w:t>0.003</w:t>
            </w:r>
          </w:p>
        </w:tc>
      </w:tr>
      <w:tr>
        <w:trPr>
          <w:cantSplit/>
        </w:trPr>
        <w:tc>
          <w:tcPr>
            <w:tcW w:type="dxa" w:w="3929"/>
          </w:tcPr>
          <w:p>
            <w:pPr>
              <w:pStyle w:val="MDPI42tablebody"/>
              <w:keepNext/>
              <w:spacing w:line="240" w:lineRule="auto" w:before="30" w:after="30"/>
              <w:jc w:val="left"/>
            </w:pPr>
            <w:r>
              <w:rPr>
                <w:b w:val="0"/>
                <w:i w:val="0"/>
                <w:sz w:val="18"/>
              </w:rPr>
              <w:t>uhi max c</w:t>
            </w:r>
          </w:p>
        </w:tc>
        <w:tc>
          <w:tcPr>
            <w:tcW w:type="dxa" w:w="1964"/>
          </w:tcPr>
          <w:p>
            <w:pPr>
              <w:pStyle w:val="MDPI42tablebody"/>
              <w:keepNext/>
              <w:spacing w:line="240" w:lineRule="auto" w:before="30" w:after="30"/>
              <w:jc w:val="center"/>
            </w:pPr>
            <w:r>
              <w:rPr>
                <w:b w:val="0"/>
                <w:i w:val="0"/>
                <w:sz w:val="18"/>
              </w:rPr>
              <w:t>0.006</w:t>
            </w:r>
          </w:p>
        </w:tc>
        <w:tc>
          <w:tcPr>
            <w:tcW w:type="dxa" w:w="1964"/>
          </w:tcPr>
          <w:p>
            <w:pPr>
              <w:pStyle w:val="MDPI42tablebody"/>
              <w:keepNext/>
              <w:spacing w:line="240" w:lineRule="auto" w:before="30" w:after="30"/>
              <w:jc w:val="center"/>
            </w:pPr>
            <w:r>
              <w:rPr>
                <w:b w:val="0"/>
                <w:i w:val="0"/>
                <w:sz w:val="18"/>
              </w:rPr>
              <w:t>0.011</w:t>
            </w:r>
          </w:p>
        </w:tc>
      </w:tr>
      <w:tr>
        <w:trPr>
          <w:cantSplit/>
        </w:trPr>
        <w:tc>
          <w:tcPr>
            <w:tcW w:type="dxa" w:w="3929"/>
          </w:tcPr>
          <w:p>
            <w:pPr>
              <w:pStyle w:val="MDPI42tablebody"/>
              <w:keepNext/>
              <w:spacing w:line="240" w:lineRule="auto" w:before="30" w:after="30"/>
              <w:jc w:val="left"/>
            </w:pPr>
            <w:r>
              <w:rPr>
                <w:b w:val="0"/>
                <w:i w:val="0"/>
                <w:sz w:val="18"/>
              </w:rPr>
              <w:t>cost blue eur ha</w:t>
            </w:r>
          </w:p>
        </w:tc>
        <w:tc>
          <w:tcPr>
            <w:tcW w:type="dxa" w:w="1964"/>
          </w:tcPr>
          <w:p>
            <w:pPr>
              <w:pStyle w:val="MDPI42tablebody"/>
              <w:keepNext/>
              <w:spacing w:line="240" w:lineRule="auto" w:before="30" w:after="30"/>
              <w:jc w:val="center"/>
            </w:pPr>
            <w:r>
              <w:rPr>
                <w:b w:val="0"/>
                <w:i w:val="0"/>
                <w:sz w:val="18"/>
              </w:rPr>
              <w:t>0.006</w:t>
            </w:r>
          </w:p>
        </w:tc>
        <w:tc>
          <w:tcPr>
            <w:tcW w:type="dxa" w:w="1964"/>
          </w:tcPr>
          <w:p>
            <w:pPr>
              <w:pStyle w:val="MDPI42tablebody"/>
              <w:keepNext/>
              <w:spacing w:line="240" w:lineRule="auto" w:before="30" w:after="30"/>
              <w:jc w:val="center"/>
            </w:pPr>
            <w:r>
              <w:rPr>
                <w:b w:val="0"/>
                <w:i w:val="0"/>
                <w:sz w:val="18"/>
              </w:rPr>
              <w:t>0.003</w:t>
            </w:r>
          </w:p>
        </w:tc>
      </w:tr>
      <w:tr>
        <w:trPr>
          <w:cantSplit/>
        </w:trPr>
        <w:tc>
          <w:tcPr>
            <w:tcW w:type="dxa" w:w="3929"/>
          </w:tcPr>
          <w:p>
            <w:pPr>
              <w:pStyle w:val="MDPI42tablebody"/>
              <w:keepNext/>
              <w:spacing w:line="240" w:lineRule="auto" w:before="30" w:after="30"/>
              <w:jc w:val="left"/>
            </w:pPr>
            <w:r>
              <w:rPr>
                <w:b w:val="0"/>
                <w:i w:val="0"/>
                <w:sz w:val="18"/>
              </w:rPr>
              <w:t>blue latitude pivot</w:t>
            </w:r>
          </w:p>
        </w:tc>
        <w:tc>
          <w:tcPr>
            <w:tcW w:type="dxa" w:w="1964"/>
          </w:tcPr>
          <w:p>
            <w:pPr>
              <w:pStyle w:val="MDPI42tablebody"/>
              <w:keepNext/>
              <w:spacing w:line="240" w:lineRule="auto" w:before="30" w:after="30"/>
              <w:jc w:val="center"/>
            </w:pPr>
            <w:r>
              <w:rPr>
                <w:b w:val="0"/>
                <w:i w:val="0"/>
                <w:sz w:val="18"/>
              </w:rPr>
              <w:t>0.005</w:t>
            </w:r>
          </w:p>
        </w:tc>
        <w:tc>
          <w:tcPr>
            <w:tcW w:type="dxa" w:w="1964"/>
          </w:tcPr>
          <w:p>
            <w:pPr>
              <w:pStyle w:val="MDPI42tablebody"/>
              <w:keepNext/>
              <w:spacing w:line="240" w:lineRule="auto" w:before="30" w:after="30"/>
              <w:jc w:val="center"/>
            </w:pPr>
            <w:r>
              <w:rPr>
                <w:b w:val="0"/>
                <w:i w:val="0"/>
                <w:sz w:val="18"/>
              </w:rPr>
              <w:t>0.003</w:t>
            </w:r>
          </w:p>
        </w:tc>
      </w:tr>
      <w:tr>
        <w:trPr>
          <w:cantSplit/>
        </w:trPr>
        <w:tc>
          <w:tcPr>
            <w:tcW w:type="dxa" w:w="3929"/>
          </w:tcPr>
          <w:p>
            <w:pPr>
              <w:pStyle w:val="MDPI42tablebody"/>
              <w:keepNext/>
              <w:spacing w:line="240" w:lineRule="auto" w:before="30" w:after="30"/>
              <w:jc w:val="left"/>
            </w:pPr>
            <w:r>
              <w:rPr>
                <w:b w:val="0"/>
                <w:i w:val="0"/>
                <w:sz w:val="18"/>
              </w:rPr>
              <w:t>svf open</w:t>
            </w:r>
          </w:p>
        </w:tc>
        <w:tc>
          <w:tcPr>
            <w:tcW w:type="dxa" w:w="1964"/>
          </w:tcPr>
          <w:p>
            <w:pPr>
              <w:pStyle w:val="MDPI42tablebody"/>
              <w:keepNext/>
              <w:spacing w:line="240" w:lineRule="auto" w:before="30" w:after="30"/>
              <w:jc w:val="center"/>
            </w:pPr>
            <w:r>
              <w:rPr>
                <w:b w:val="0"/>
                <w:i w:val="0"/>
                <w:sz w:val="18"/>
              </w:rPr>
              <w:t>0.005</w:t>
            </w:r>
          </w:p>
        </w:tc>
        <w:tc>
          <w:tcPr>
            <w:tcW w:type="dxa" w:w="1964"/>
          </w:tcPr>
          <w:p>
            <w:pPr>
              <w:pStyle w:val="MDPI42tablebody"/>
              <w:keepNext/>
              <w:spacing w:line="240" w:lineRule="auto" w:before="30" w:after="30"/>
              <w:jc w:val="center"/>
            </w:pPr>
            <w:r>
              <w:rPr>
                <w:b w:val="0"/>
                <w:i w:val="0"/>
                <w:sz w:val="18"/>
              </w:rPr>
              <w:t>0.004</w:t>
            </w:r>
          </w:p>
        </w:tc>
      </w:tr>
    </w:tbl>
    <w:p>
      <w:pPr>
        <w:pStyle w:val="MDPI43tablefooter"/>
        <w:keepLines/>
        <w:spacing w:line="240" w:lineRule="auto" w:before="40" w:after="200"/>
        <w:ind w:left="2608" w:firstLine="0"/>
      </w:pPr>
      <w:r>
        <w:rPr>
          <w:sz w:val="16"/>
        </w:rPr>
        <w:t xml:space="preserve">Note: </w:t>
      </w:r>
      <w:r>
        <w:rPr>
          <w:b w:val="0"/>
          <w:i w:val="0"/>
          <w:sz w:val="16"/>
        </w:rPr>
        <w:t>Correlation ratios: the share of the variance in the outcome that is explained by the input alone, estimated by binning each input and decomposing the variance between and within bins. Inputs are listed in descending order of their influence on the hours protected. Source: authors’ calculations.</w:t>
      </w:r>
    </w:p>
    <w:p>
      <w:pPr>
        <w:pStyle w:val="MDPI31text"/>
      </w:pPr>
      <w:r>
        <w:rPr>
          <w:b w:val="0"/>
          <w:i w:val="0"/>
        </w:rPr>
        <w:t>Table 8 isolates the structural condition. Draws are grouped by the workplace–residence divergence, and within each group the table reports the median ratio of hours protected by the exposed-workplace rule to those protected by the heat-weighted residential rule. Where the two geographies coincide, at a correlation near 0.93, the ratio is 1.00: targeting workplaces confers no advantage whatever, because the workplaces are already where the residents are. The ratio remains below or near unity while the correlation stays above about 0.5, crosses into materiality in the band where the correlation falls to about 0.25, and reaches 5.63 where exposed work and housing are mildly opposed.</w:t>
      </w:r>
    </w:p>
    <w:p>
      <w:pPr>
        <w:pStyle w:val="MDPI31text"/>
      </w:pPr>
      <w:r>
        <w:rPr>
          <w:b w:val="0"/>
          <w:i w:val="0"/>
        </w:rPr>
        <w:t>This is the most transferable result the study produces, and it is conditional rather than universal. Workplace-weighted siting is not generally superior to residential siting. It is superior in cities whose exposed employment has been zoned away from housing, and the correlation between workplace and residential density is a quantity a city can compute from commuting or register data it already holds. A city that computes it and finds it high may site its planting on residential criteria without penalty. A city that finds it low, or negative, cannot.</w:t>
      </w:r>
    </w:p>
    <w:p>
      <w:pPr>
        <w:pStyle w:val="MDPI31text"/>
      </w:pPr>
      <w:r>
        <w:rPr>
          <w:b w:val="0"/>
          <w:i w:val="0"/>
        </w:rPr>
        <w:t>The probability column of Table 8 should be read alongside the ratio rather than instead of it. In the bands where the two rules are within a few per cent of one another, the probability that one exceeds the other swings sharply on differences too small to influence any decision, and it falls below one half in the second and third bands even though the ratio there is 0.96. Reporting the probability alone would overstate how much turns on the choice in cities where the two geographies largely coincide.</w:t>
      </w:r>
    </w:p>
    <w:p>
      <w:pPr>
        <w:pStyle w:val="MDPI41tablecaption"/>
        <w:keepNext/>
        <w:spacing w:after="60"/>
      </w:pPr>
      <w:r>
        <w:rPr>
          <w:b/>
          <w:sz w:val="18"/>
        </w:rPr>
        <w:t xml:space="preserve">Table 8. </w:t>
      </w:r>
      <w:r>
        <w:rPr>
          <w:b w:val="0"/>
          <w:i w:val="0"/>
          <w:sz w:val="18"/>
        </w:rPr>
        <w:t>The advantage of workplace-weighted over residential siting, by workplace–residence divergence.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988"/>
        <w:gridCol w:w="1465"/>
        <w:gridCol w:w="2511"/>
        <w:gridCol w:w="2302"/>
        <w:gridCol w:w="2197"/>
      </w:tblGrid>
      <w:tr>
        <w:trPr>
          <w:cantSplit/>
          <w:tblHeader/>
        </w:trPr>
        <w:tc>
          <w:tcPr>
            <w:tcW w:type="dxa" w:w="1988"/>
            <w:tcBorders>
              <w:bottom w:val="single" w:sz="8" w:space="0" w:color="auto"/>
            </w:tcBorders>
          </w:tcPr>
          <w:p>
            <w:pPr>
              <w:pStyle w:val="MDPI42tablebody"/>
              <w:keepNext/>
              <w:spacing w:line="240" w:lineRule="auto" w:before="30" w:after="30"/>
              <w:jc w:val="center"/>
            </w:pPr>
            <w:r>
              <w:rPr>
                <w:b/>
                <w:i w:val="0"/>
                <w:sz w:val="18"/>
              </w:rPr>
              <w:t>Divergence</w:t>
            </w:r>
          </w:p>
        </w:tc>
        <w:tc>
          <w:tcPr>
            <w:tcW w:type="dxa" w:w="1465"/>
            <w:tcBorders>
              <w:bottom w:val="single" w:sz="8" w:space="0" w:color="auto"/>
            </w:tcBorders>
          </w:tcPr>
          <w:p>
            <w:pPr>
              <w:pStyle w:val="MDPI42tablebody"/>
              <w:keepNext/>
              <w:spacing w:line="240" w:lineRule="auto" w:before="30" w:after="30"/>
              <w:jc w:val="center"/>
            </w:pPr>
            <w:r>
              <w:rPr>
                <w:b/>
                <w:i w:val="0"/>
                <w:sz w:val="18"/>
              </w:rPr>
              <w:t>Draws</w:t>
            </w:r>
          </w:p>
        </w:tc>
        <w:tc>
          <w:tcPr>
            <w:tcW w:type="dxa" w:w="2511"/>
            <w:tcBorders>
              <w:bottom w:val="single" w:sz="8" w:space="0" w:color="auto"/>
            </w:tcBorders>
          </w:tcPr>
          <w:p>
            <w:pPr>
              <w:pStyle w:val="MDPI42tablebody"/>
              <w:keepNext/>
              <w:spacing w:line="240" w:lineRule="auto" w:before="30" w:after="30"/>
              <w:jc w:val="center"/>
            </w:pPr>
            <w:r>
              <w:rPr>
                <w:b/>
                <w:i w:val="0"/>
                <w:sz w:val="18"/>
              </w:rPr>
              <w:t>Correlation</w:t>
            </w:r>
          </w:p>
        </w:tc>
        <w:tc>
          <w:tcPr>
            <w:tcW w:type="dxa" w:w="2302"/>
            <w:tcBorders>
              <w:bottom w:val="single" w:sz="8" w:space="0" w:color="auto"/>
            </w:tcBorders>
          </w:tcPr>
          <w:p>
            <w:pPr>
              <w:pStyle w:val="MDPI42tablebody"/>
              <w:keepNext/>
              <w:spacing w:line="240" w:lineRule="auto" w:before="30" w:after="30"/>
              <w:jc w:val="center"/>
            </w:pPr>
            <w:r>
              <w:rPr>
                <w:b/>
                <w:i w:val="0"/>
                <w:sz w:val="18"/>
              </w:rPr>
              <w:t>Ratio</w:t>
            </w:r>
          </w:p>
        </w:tc>
        <w:tc>
          <w:tcPr>
            <w:tcW w:type="dxa" w:w="2197"/>
            <w:tcBorders>
              <w:bottom w:val="single" w:sz="8" w:space="0" w:color="auto"/>
            </w:tcBorders>
          </w:tcPr>
          <w:p>
            <w:pPr>
              <w:pStyle w:val="MDPI42tablebody"/>
              <w:keepNext/>
              <w:spacing w:line="240" w:lineRule="auto" w:before="30" w:after="30"/>
              <w:jc w:val="center"/>
            </w:pPr>
            <w:r>
              <w:rPr>
                <w:b/>
                <w:i w:val="0"/>
                <w:sz w:val="18"/>
              </w:rPr>
              <w:t>Probability</w:t>
            </w:r>
          </w:p>
        </w:tc>
      </w:tr>
      <w:tr>
        <w:trPr>
          <w:cantSplit/>
        </w:trPr>
        <w:tc>
          <w:tcPr>
            <w:tcW w:type="dxa" w:w="1988"/>
          </w:tcPr>
          <w:p>
            <w:pPr>
              <w:pStyle w:val="MDPI42tablebody"/>
              <w:keepNext/>
              <w:spacing w:line="240" w:lineRule="auto" w:before="30" w:after="30"/>
              <w:jc w:val="left"/>
            </w:pPr>
            <w:r>
              <w:rPr>
                <w:b w:val="0"/>
                <w:i w:val="0"/>
                <w:sz w:val="18"/>
              </w:rPr>
              <w:t>0.0-0.1</w:t>
            </w:r>
          </w:p>
        </w:tc>
        <w:tc>
          <w:tcPr>
            <w:tcW w:type="dxa" w:w="1465"/>
          </w:tcPr>
          <w:p>
            <w:pPr>
              <w:pStyle w:val="MDPI42tablebody"/>
              <w:keepNext/>
              <w:spacing w:line="240" w:lineRule="auto" w:before="30" w:after="30"/>
              <w:jc w:val="center"/>
            </w:pPr>
            <w:r>
              <w:rPr>
                <w:b w:val="0"/>
                <w:i w:val="0"/>
                <w:sz w:val="18"/>
              </w:rPr>
              <w:t>375</w:t>
            </w:r>
          </w:p>
        </w:tc>
        <w:tc>
          <w:tcPr>
            <w:tcW w:type="dxa" w:w="2511"/>
          </w:tcPr>
          <w:p>
            <w:pPr>
              <w:pStyle w:val="MDPI42tablebody"/>
              <w:keepNext/>
              <w:spacing w:line="240" w:lineRule="auto" w:before="30" w:after="30"/>
              <w:jc w:val="center"/>
            </w:pPr>
            <w:r>
              <w:rPr>
                <w:b w:val="0"/>
                <w:i w:val="0"/>
                <w:sz w:val="18"/>
              </w:rPr>
              <w:t>0.928</w:t>
            </w:r>
          </w:p>
        </w:tc>
        <w:tc>
          <w:tcPr>
            <w:tcW w:type="dxa" w:w="2302"/>
          </w:tcPr>
          <w:p>
            <w:pPr>
              <w:pStyle w:val="MDPI42tablebody"/>
              <w:keepNext/>
              <w:spacing w:line="240" w:lineRule="auto" w:before="30" w:after="30"/>
              <w:jc w:val="center"/>
            </w:pPr>
            <w:r>
              <w:rPr>
                <w:b w:val="0"/>
                <w:i w:val="0"/>
                <w:sz w:val="18"/>
              </w:rPr>
              <w:t>1.00</w:t>
            </w:r>
          </w:p>
        </w:tc>
        <w:tc>
          <w:tcPr>
            <w:tcW w:type="dxa" w:w="2197"/>
          </w:tcPr>
          <w:p>
            <w:pPr>
              <w:pStyle w:val="MDPI42tablebody"/>
              <w:keepNext/>
              <w:spacing w:line="240" w:lineRule="auto" w:before="30" w:after="30"/>
              <w:jc w:val="center"/>
            </w:pPr>
            <w:r>
              <w:rPr>
                <w:b w:val="0"/>
                <w:i w:val="0"/>
                <w:sz w:val="18"/>
              </w:rPr>
              <w:t>0.440</w:t>
            </w:r>
          </w:p>
        </w:tc>
      </w:tr>
      <w:tr>
        <w:trPr>
          <w:cantSplit/>
        </w:trPr>
        <w:tc>
          <w:tcPr>
            <w:tcW w:type="dxa" w:w="1988"/>
          </w:tcPr>
          <w:p>
            <w:pPr>
              <w:pStyle w:val="MDPI42tablebody"/>
              <w:keepNext/>
              <w:spacing w:line="240" w:lineRule="auto" w:before="30" w:after="30"/>
              <w:jc w:val="left"/>
            </w:pPr>
            <w:r>
              <w:rPr>
                <w:b w:val="0"/>
                <w:i w:val="0"/>
                <w:sz w:val="18"/>
              </w:rPr>
              <w:t>0.1-0.2</w:t>
            </w:r>
          </w:p>
        </w:tc>
        <w:tc>
          <w:tcPr>
            <w:tcW w:type="dxa" w:w="1465"/>
          </w:tcPr>
          <w:p>
            <w:pPr>
              <w:pStyle w:val="MDPI42tablebody"/>
              <w:keepNext/>
              <w:spacing w:line="240" w:lineRule="auto" w:before="30" w:after="30"/>
              <w:jc w:val="center"/>
            </w:pPr>
            <w:r>
              <w:rPr>
                <w:b w:val="0"/>
                <w:i w:val="0"/>
                <w:sz w:val="18"/>
              </w:rPr>
              <w:t>414</w:t>
            </w:r>
          </w:p>
        </w:tc>
        <w:tc>
          <w:tcPr>
            <w:tcW w:type="dxa" w:w="2511"/>
          </w:tcPr>
          <w:p>
            <w:pPr>
              <w:pStyle w:val="MDPI42tablebody"/>
              <w:keepNext/>
              <w:spacing w:line="240" w:lineRule="auto" w:before="30" w:after="30"/>
              <w:jc w:val="center"/>
            </w:pPr>
            <w:r>
              <w:rPr>
                <w:b w:val="0"/>
                <w:i w:val="0"/>
                <w:sz w:val="18"/>
              </w:rPr>
              <w:t>0.872</w:t>
            </w:r>
          </w:p>
        </w:tc>
        <w:tc>
          <w:tcPr>
            <w:tcW w:type="dxa" w:w="2302"/>
          </w:tcPr>
          <w:p>
            <w:pPr>
              <w:pStyle w:val="MDPI42tablebody"/>
              <w:keepNext/>
              <w:spacing w:line="240" w:lineRule="auto" w:before="30" w:after="30"/>
              <w:jc w:val="center"/>
            </w:pPr>
            <w:r>
              <w:rPr>
                <w:b w:val="0"/>
                <w:i w:val="0"/>
                <w:sz w:val="18"/>
              </w:rPr>
              <w:t>0.96</w:t>
            </w:r>
          </w:p>
        </w:tc>
        <w:tc>
          <w:tcPr>
            <w:tcW w:type="dxa" w:w="2197"/>
          </w:tcPr>
          <w:p>
            <w:pPr>
              <w:pStyle w:val="MDPI42tablebody"/>
              <w:keepNext/>
              <w:spacing w:line="240" w:lineRule="auto" w:before="30" w:after="30"/>
              <w:jc w:val="center"/>
            </w:pPr>
            <w:r>
              <w:rPr>
                <w:b w:val="0"/>
                <w:i w:val="0"/>
                <w:sz w:val="18"/>
              </w:rPr>
              <w:t>0.063</w:t>
            </w:r>
          </w:p>
        </w:tc>
      </w:tr>
      <w:tr>
        <w:trPr>
          <w:cantSplit/>
        </w:trPr>
        <w:tc>
          <w:tcPr>
            <w:tcW w:type="dxa" w:w="1988"/>
          </w:tcPr>
          <w:p>
            <w:pPr>
              <w:pStyle w:val="MDPI42tablebody"/>
              <w:keepNext/>
              <w:spacing w:line="240" w:lineRule="auto" w:before="30" w:after="30"/>
              <w:jc w:val="left"/>
            </w:pPr>
            <w:r>
              <w:rPr>
                <w:b w:val="0"/>
                <w:i w:val="0"/>
                <w:sz w:val="18"/>
              </w:rPr>
              <w:t>0.2-0.3</w:t>
            </w:r>
          </w:p>
        </w:tc>
        <w:tc>
          <w:tcPr>
            <w:tcW w:type="dxa" w:w="1465"/>
          </w:tcPr>
          <w:p>
            <w:pPr>
              <w:pStyle w:val="MDPI42tablebody"/>
              <w:keepNext/>
              <w:spacing w:line="240" w:lineRule="auto" w:before="30" w:after="30"/>
              <w:jc w:val="center"/>
            </w:pPr>
            <w:r>
              <w:rPr>
                <w:b w:val="0"/>
                <w:i w:val="0"/>
                <w:sz w:val="18"/>
              </w:rPr>
              <w:t>405</w:t>
            </w:r>
          </w:p>
        </w:tc>
        <w:tc>
          <w:tcPr>
            <w:tcW w:type="dxa" w:w="2511"/>
          </w:tcPr>
          <w:p>
            <w:pPr>
              <w:pStyle w:val="MDPI42tablebody"/>
              <w:keepNext/>
              <w:spacing w:line="240" w:lineRule="auto" w:before="30" w:after="30"/>
              <w:jc w:val="center"/>
            </w:pPr>
            <w:r>
              <w:rPr>
                <w:b w:val="0"/>
                <w:i w:val="0"/>
                <w:sz w:val="18"/>
              </w:rPr>
              <w:t>0.741</w:t>
            </w:r>
          </w:p>
        </w:tc>
        <w:tc>
          <w:tcPr>
            <w:tcW w:type="dxa" w:w="2302"/>
          </w:tcPr>
          <w:p>
            <w:pPr>
              <w:pStyle w:val="MDPI42tablebody"/>
              <w:keepNext/>
              <w:spacing w:line="240" w:lineRule="auto" w:before="30" w:after="30"/>
              <w:jc w:val="center"/>
            </w:pPr>
            <w:r>
              <w:rPr>
                <w:b w:val="0"/>
                <w:i w:val="0"/>
                <w:sz w:val="18"/>
              </w:rPr>
              <w:t>0.96</w:t>
            </w:r>
          </w:p>
        </w:tc>
        <w:tc>
          <w:tcPr>
            <w:tcW w:type="dxa" w:w="2197"/>
          </w:tcPr>
          <w:p>
            <w:pPr>
              <w:pStyle w:val="MDPI42tablebody"/>
              <w:keepNext/>
              <w:spacing w:line="240" w:lineRule="auto" w:before="30" w:after="30"/>
              <w:jc w:val="center"/>
            </w:pPr>
            <w:r>
              <w:rPr>
                <w:b w:val="0"/>
                <w:i w:val="0"/>
                <w:sz w:val="18"/>
              </w:rPr>
              <w:t>0.158</w:t>
            </w:r>
          </w:p>
        </w:tc>
      </w:tr>
      <w:tr>
        <w:trPr>
          <w:cantSplit/>
        </w:trPr>
        <w:tc>
          <w:tcPr>
            <w:tcW w:type="dxa" w:w="1988"/>
          </w:tcPr>
          <w:p>
            <w:pPr>
              <w:pStyle w:val="MDPI42tablebody"/>
              <w:keepNext/>
              <w:spacing w:line="240" w:lineRule="auto" w:before="30" w:after="30"/>
              <w:jc w:val="left"/>
            </w:pPr>
            <w:r>
              <w:rPr>
                <w:b w:val="0"/>
                <w:i w:val="0"/>
                <w:sz w:val="18"/>
              </w:rPr>
              <w:t>0.3-0.4</w:t>
            </w:r>
          </w:p>
        </w:tc>
        <w:tc>
          <w:tcPr>
            <w:tcW w:type="dxa" w:w="1465"/>
          </w:tcPr>
          <w:p>
            <w:pPr>
              <w:pStyle w:val="MDPI42tablebody"/>
              <w:keepNext/>
              <w:spacing w:line="240" w:lineRule="auto" w:before="30" w:after="30"/>
              <w:jc w:val="center"/>
            </w:pPr>
            <w:r>
              <w:rPr>
                <w:b w:val="0"/>
                <w:i w:val="0"/>
                <w:sz w:val="18"/>
              </w:rPr>
              <w:t>389</w:t>
            </w:r>
          </w:p>
        </w:tc>
        <w:tc>
          <w:tcPr>
            <w:tcW w:type="dxa" w:w="2511"/>
          </w:tcPr>
          <w:p>
            <w:pPr>
              <w:pStyle w:val="MDPI42tablebody"/>
              <w:keepNext/>
              <w:spacing w:line="240" w:lineRule="auto" w:before="30" w:after="30"/>
              <w:jc w:val="center"/>
            </w:pPr>
            <w:r>
              <w:rPr>
                <w:b w:val="0"/>
                <w:i w:val="0"/>
                <w:sz w:val="18"/>
              </w:rPr>
              <w:t>0.512</w:t>
            </w:r>
          </w:p>
        </w:tc>
        <w:tc>
          <w:tcPr>
            <w:tcW w:type="dxa" w:w="2302"/>
          </w:tcPr>
          <w:p>
            <w:pPr>
              <w:pStyle w:val="MDPI42tablebody"/>
              <w:keepNext/>
              <w:spacing w:line="240" w:lineRule="auto" w:before="30" w:after="30"/>
              <w:jc w:val="center"/>
            </w:pPr>
            <w:r>
              <w:rPr>
                <w:b w:val="0"/>
                <w:i w:val="0"/>
                <w:sz w:val="18"/>
              </w:rPr>
              <w:t>1.03</w:t>
            </w:r>
          </w:p>
        </w:tc>
        <w:tc>
          <w:tcPr>
            <w:tcW w:type="dxa" w:w="2197"/>
          </w:tcPr>
          <w:p>
            <w:pPr>
              <w:pStyle w:val="MDPI42tablebody"/>
              <w:keepNext/>
              <w:spacing w:line="240" w:lineRule="auto" w:before="30" w:after="30"/>
              <w:jc w:val="center"/>
            </w:pPr>
            <w:r>
              <w:rPr>
                <w:b w:val="0"/>
                <w:i w:val="0"/>
                <w:sz w:val="18"/>
              </w:rPr>
              <w:t>0.684</w:t>
            </w:r>
          </w:p>
        </w:tc>
      </w:tr>
      <w:tr>
        <w:trPr>
          <w:cantSplit/>
        </w:trPr>
        <w:tc>
          <w:tcPr>
            <w:tcW w:type="dxa" w:w="1988"/>
          </w:tcPr>
          <w:p>
            <w:pPr>
              <w:pStyle w:val="MDPI42tablebody"/>
              <w:keepNext/>
              <w:spacing w:line="240" w:lineRule="auto" w:before="30" w:after="30"/>
              <w:jc w:val="left"/>
            </w:pPr>
            <w:r>
              <w:rPr>
                <w:b w:val="0"/>
                <w:i w:val="0"/>
                <w:sz w:val="18"/>
              </w:rPr>
              <w:t>0.4-0.5</w:t>
            </w:r>
          </w:p>
        </w:tc>
        <w:tc>
          <w:tcPr>
            <w:tcW w:type="dxa" w:w="1465"/>
          </w:tcPr>
          <w:p>
            <w:pPr>
              <w:pStyle w:val="MDPI42tablebody"/>
              <w:keepNext/>
              <w:spacing w:line="240" w:lineRule="auto" w:before="30" w:after="30"/>
              <w:jc w:val="center"/>
            </w:pPr>
            <w:r>
              <w:rPr>
                <w:b w:val="0"/>
                <w:i w:val="0"/>
                <w:sz w:val="18"/>
              </w:rPr>
              <w:t>401</w:t>
            </w:r>
          </w:p>
        </w:tc>
        <w:tc>
          <w:tcPr>
            <w:tcW w:type="dxa" w:w="2511"/>
          </w:tcPr>
          <w:p>
            <w:pPr>
              <w:pStyle w:val="MDPI42tablebody"/>
              <w:keepNext/>
              <w:spacing w:line="240" w:lineRule="auto" w:before="30" w:after="30"/>
              <w:jc w:val="center"/>
            </w:pPr>
            <w:r>
              <w:rPr>
                <w:b w:val="0"/>
                <w:i w:val="0"/>
                <w:sz w:val="18"/>
              </w:rPr>
              <w:t>0.249</w:t>
            </w:r>
          </w:p>
        </w:tc>
        <w:tc>
          <w:tcPr>
            <w:tcW w:type="dxa" w:w="2302"/>
          </w:tcPr>
          <w:p>
            <w:pPr>
              <w:pStyle w:val="MDPI42tablebody"/>
              <w:keepNext/>
              <w:spacing w:line="240" w:lineRule="auto" w:before="30" w:after="30"/>
              <w:jc w:val="center"/>
            </w:pPr>
            <w:r>
              <w:rPr>
                <w:b w:val="0"/>
                <w:i w:val="0"/>
                <w:sz w:val="18"/>
              </w:rPr>
              <w:t>1.17</w:t>
            </w:r>
          </w:p>
        </w:tc>
        <w:tc>
          <w:tcPr>
            <w:tcW w:type="dxa" w:w="2197"/>
          </w:tcPr>
          <w:p>
            <w:pPr>
              <w:pStyle w:val="MDPI42tablebody"/>
              <w:keepNext/>
              <w:spacing w:line="240" w:lineRule="auto" w:before="30" w:after="30"/>
              <w:jc w:val="center"/>
            </w:pPr>
            <w:r>
              <w:rPr>
                <w:b w:val="0"/>
                <w:i w:val="0"/>
                <w:sz w:val="18"/>
              </w:rPr>
              <w:t>0.875</w:t>
            </w:r>
          </w:p>
        </w:tc>
      </w:tr>
      <w:tr>
        <w:trPr>
          <w:cantSplit/>
        </w:trPr>
        <w:tc>
          <w:tcPr>
            <w:tcW w:type="dxa" w:w="1988"/>
          </w:tcPr>
          <w:p>
            <w:pPr>
              <w:pStyle w:val="MDPI42tablebody"/>
              <w:keepNext/>
              <w:spacing w:line="240" w:lineRule="auto" w:before="30" w:after="30"/>
              <w:jc w:val="left"/>
            </w:pPr>
            <w:r>
              <w:rPr>
                <w:b w:val="0"/>
                <w:i w:val="0"/>
                <w:sz w:val="18"/>
              </w:rPr>
              <w:t>0.5-0.6</w:t>
            </w:r>
          </w:p>
        </w:tc>
        <w:tc>
          <w:tcPr>
            <w:tcW w:type="dxa" w:w="1465"/>
          </w:tcPr>
          <w:p>
            <w:pPr>
              <w:pStyle w:val="MDPI42tablebody"/>
              <w:keepNext/>
              <w:spacing w:line="240" w:lineRule="auto" w:before="30" w:after="30"/>
              <w:jc w:val="center"/>
            </w:pPr>
            <w:r>
              <w:rPr>
                <w:b w:val="0"/>
                <w:i w:val="0"/>
                <w:sz w:val="18"/>
              </w:rPr>
              <w:t>392</w:t>
            </w:r>
          </w:p>
        </w:tc>
        <w:tc>
          <w:tcPr>
            <w:tcW w:type="dxa" w:w="2511"/>
          </w:tcPr>
          <w:p>
            <w:pPr>
              <w:pStyle w:val="MDPI42tablebody"/>
              <w:keepNext/>
              <w:spacing w:line="240" w:lineRule="auto" w:before="30" w:after="30"/>
              <w:jc w:val="center"/>
            </w:pPr>
            <w:r>
              <w:rPr>
                <w:b w:val="0"/>
                <w:i w:val="0"/>
                <w:sz w:val="18"/>
              </w:rPr>
              <w:t>0.021</w:t>
            </w:r>
          </w:p>
        </w:tc>
        <w:tc>
          <w:tcPr>
            <w:tcW w:type="dxa" w:w="2302"/>
          </w:tcPr>
          <w:p>
            <w:pPr>
              <w:pStyle w:val="MDPI42tablebody"/>
              <w:keepNext/>
              <w:spacing w:line="240" w:lineRule="auto" w:before="30" w:after="30"/>
              <w:jc w:val="center"/>
            </w:pPr>
            <w:r>
              <w:rPr>
                <w:b w:val="0"/>
                <w:i w:val="0"/>
                <w:sz w:val="18"/>
              </w:rPr>
              <w:t>1.43</w:t>
            </w:r>
          </w:p>
        </w:tc>
        <w:tc>
          <w:tcPr>
            <w:tcW w:type="dxa" w:w="2197"/>
          </w:tcPr>
          <w:p>
            <w:pPr>
              <w:pStyle w:val="MDPI42tablebody"/>
              <w:keepNext/>
              <w:spacing w:line="240" w:lineRule="auto" w:before="30" w:after="30"/>
              <w:jc w:val="center"/>
            </w:pPr>
            <w:r>
              <w:rPr>
                <w:b w:val="0"/>
                <w:i w:val="0"/>
                <w:sz w:val="18"/>
              </w:rPr>
              <w:t>0.923</w:t>
            </w:r>
          </w:p>
        </w:tc>
      </w:tr>
      <w:tr>
        <w:trPr>
          <w:cantSplit/>
        </w:trPr>
        <w:tc>
          <w:tcPr>
            <w:tcW w:type="dxa" w:w="1988"/>
          </w:tcPr>
          <w:p>
            <w:pPr>
              <w:pStyle w:val="MDPI42tablebody"/>
              <w:keepNext/>
              <w:spacing w:line="240" w:lineRule="auto" w:before="30" w:after="30"/>
              <w:jc w:val="left"/>
            </w:pPr>
            <w:r>
              <w:rPr>
                <w:b w:val="0"/>
                <w:i w:val="0"/>
                <w:sz w:val="18"/>
              </w:rPr>
              <w:t>0.6-0.7</w:t>
            </w:r>
          </w:p>
        </w:tc>
        <w:tc>
          <w:tcPr>
            <w:tcW w:type="dxa" w:w="1465"/>
          </w:tcPr>
          <w:p>
            <w:pPr>
              <w:pStyle w:val="MDPI42tablebody"/>
              <w:keepNext/>
              <w:spacing w:line="240" w:lineRule="auto" w:before="30" w:after="30"/>
              <w:jc w:val="center"/>
            </w:pPr>
            <w:r>
              <w:rPr>
                <w:b w:val="0"/>
                <w:i w:val="0"/>
                <w:sz w:val="18"/>
              </w:rPr>
              <w:t>401</w:t>
            </w:r>
          </w:p>
        </w:tc>
        <w:tc>
          <w:tcPr>
            <w:tcW w:type="dxa" w:w="2511"/>
          </w:tcPr>
          <w:p>
            <w:pPr>
              <w:pStyle w:val="MDPI42tablebody"/>
              <w:keepNext/>
              <w:spacing w:line="240" w:lineRule="auto" w:before="30" w:after="30"/>
              <w:jc w:val="center"/>
            </w:pPr>
            <w:r>
              <w:rPr>
                <w:b w:val="0"/>
                <w:i w:val="0"/>
                <w:sz w:val="18"/>
              </w:rPr>
              <w:t>−0.148</w:t>
            </w:r>
          </w:p>
        </w:tc>
        <w:tc>
          <w:tcPr>
            <w:tcW w:type="dxa" w:w="2302"/>
          </w:tcPr>
          <w:p>
            <w:pPr>
              <w:pStyle w:val="MDPI42tablebody"/>
              <w:keepNext/>
              <w:spacing w:line="240" w:lineRule="auto" w:before="30" w:after="30"/>
              <w:jc w:val="center"/>
            </w:pPr>
            <w:r>
              <w:rPr>
                <w:b w:val="0"/>
                <w:i w:val="0"/>
                <w:sz w:val="18"/>
              </w:rPr>
              <w:t>1.85</w:t>
            </w:r>
          </w:p>
        </w:tc>
        <w:tc>
          <w:tcPr>
            <w:tcW w:type="dxa" w:w="2197"/>
          </w:tcPr>
          <w:p>
            <w:pPr>
              <w:pStyle w:val="MDPI42tablebody"/>
              <w:keepNext/>
              <w:spacing w:line="240" w:lineRule="auto" w:before="30" w:after="30"/>
              <w:jc w:val="center"/>
            </w:pPr>
            <w:r>
              <w:rPr>
                <w:b w:val="0"/>
                <w:i w:val="0"/>
                <w:sz w:val="18"/>
              </w:rPr>
              <w:t>0.898</w:t>
            </w:r>
          </w:p>
        </w:tc>
      </w:tr>
      <w:tr>
        <w:trPr>
          <w:cantSplit/>
        </w:trPr>
        <w:tc>
          <w:tcPr>
            <w:tcW w:type="dxa" w:w="1988"/>
          </w:tcPr>
          <w:p>
            <w:pPr>
              <w:pStyle w:val="MDPI42tablebody"/>
              <w:keepNext/>
              <w:spacing w:line="240" w:lineRule="auto" w:before="30" w:after="30"/>
              <w:jc w:val="left"/>
            </w:pPr>
            <w:r>
              <w:rPr>
                <w:b w:val="0"/>
                <w:i w:val="0"/>
                <w:sz w:val="18"/>
              </w:rPr>
              <w:t>0.7-0.8</w:t>
            </w:r>
          </w:p>
        </w:tc>
        <w:tc>
          <w:tcPr>
            <w:tcW w:type="dxa" w:w="1465"/>
          </w:tcPr>
          <w:p>
            <w:pPr>
              <w:pStyle w:val="MDPI42tablebody"/>
              <w:keepNext/>
              <w:spacing w:line="240" w:lineRule="auto" w:before="30" w:after="30"/>
              <w:jc w:val="center"/>
            </w:pPr>
            <w:r>
              <w:rPr>
                <w:b w:val="0"/>
                <w:i w:val="0"/>
                <w:sz w:val="18"/>
              </w:rPr>
              <w:t>403</w:t>
            </w:r>
          </w:p>
        </w:tc>
        <w:tc>
          <w:tcPr>
            <w:tcW w:type="dxa" w:w="2511"/>
          </w:tcPr>
          <w:p>
            <w:pPr>
              <w:pStyle w:val="MDPI42tablebody"/>
              <w:keepNext/>
              <w:spacing w:line="240" w:lineRule="auto" w:before="30" w:after="30"/>
              <w:jc w:val="center"/>
            </w:pPr>
            <w:r>
              <w:rPr>
                <w:b w:val="0"/>
                <w:i w:val="0"/>
                <w:sz w:val="18"/>
              </w:rPr>
              <w:t>−0.268</w:t>
            </w:r>
          </w:p>
        </w:tc>
        <w:tc>
          <w:tcPr>
            <w:tcW w:type="dxa" w:w="2302"/>
          </w:tcPr>
          <w:p>
            <w:pPr>
              <w:pStyle w:val="MDPI42tablebody"/>
              <w:keepNext/>
              <w:spacing w:line="240" w:lineRule="auto" w:before="30" w:after="30"/>
              <w:jc w:val="center"/>
            </w:pPr>
            <w:r>
              <w:rPr>
                <w:b w:val="0"/>
                <w:i w:val="0"/>
                <w:sz w:val="18"/>
              </w:rPr>
              <w:t>2.51</w:t>
            </w:r>
          </w:p>
        </w:tc>
        <w:tc>
          <w:tcPr>
            <w:tcW w:type="dxa" w:w="2197"/>
          </w:tcPr>
          <w:p>
            <w:pPr>
              <w:pStyle w:val="MDPI42tablebody"/>
              <w:keepNext/>
              <w:spacing w:line="240" w:lineRule="auto" w:before="30" w:after="30"/>
              <w:jc w:val="center"/>
            </w:pPr>
            <w:r>
              <w:rPr>
                <w:b w:val="0"/>
                <w:i w:val="0"/>
                <w:sz w:val="18"/>
              </w:rPr>
              <w:t>0.935</w:t>
            </w:r>
          </w:p>
        </w:tc>
      </w:tr>
      <w:tr>
        <w:trPr>
          <w:cantSplit/>
        </w:trPr>
        <w:tc>
          <w:tcPr>
            <w:tcW w:type="dxa" w:w="1988"/>
          </w:tcPr>
          <w:p>
            <w:pPr>
              <w:pStyle w:val="MDPI42tablebody"/>
              <w:keepNext/>
              <w:spacing w:line="240" w:lineRule="auto" w:before="30" w:after="30"/>
              <w:jc w:val="left"/>
            </w:pPr>
            <w:r>
              <w:rPr>
                <w:b w:val="0"/>
                <w:i w:val="0"/>
                <w:sz w:val="18"/>
              </w:rPr>
              <w:t>0.8-0.9</w:t>
            </w:r>
          </w:p>
        </w:tc>
        <w:tc>
          <w:tcPr>
            <w:tcW w:type="dxa" w:w="1465"/>
          </w:tcPr>
          <w:p>
            <w:pPr>
              <w:pStyle w:val="MDPI42tablebody"/>
              <w:keepNext/>
              <w:spacing w:line="240" w:lineRule="auto" w:before="30" w:after="30"/>
              <w:jc w:val="center"/>
            </w:pPr>
            <w:r>
              <w:rPr>
                <w:b w:val="0"/>
                <w:i w:val="0"/>
                <w:sz w:val="18"/>
              </w:rPr>
              <w:t>439</w:t>
            </w:r>
          </w:p>
        </w:tc>
        <w:tc>
          <w:tcPr>
            <w:tcW w:type="dxa" w:w="2511"/>
          </w:tcPr>
          <w:p>
            <w:pPr>
              <w:pStyle w:val="MDPI42tablebody"/>
              <w:keepNext/>
              <w:spacing w:line="240" w:lineRule="auto" w:before="30" w:after="30"/>
              <w:jc w:val="center"/>
            </w:pPr>
            <w:r>
              <w:rPr>
                <w:b w:val="0"/>
                <w:i w:val="0"/>
                <w:sz w:val="18"/>
              </w:rPr>
              <w:t>−0.354</w:t>
            </w:r>
          </w:p>
        </w:tc>
        <w:tc>
          <w:tcPr>
            <w:tcW w:type="dxa" w:w="2302"/>
          </w:tcPr>
          <w:p>
            <w:pPr>
              <w:pStyle w:val="MDPI42tablebody"/>
              <w:keepNext/>
              <w:spacing w:line="240" w:lineRule="auto" w:before="30" w:after="30"/>
              <w:jc w:val="center"/>
            </w:pPr>
            <w:r>
              <w:rPr>
                <w:b w:val="0"/>
                <w:i w:val="0"/>
                <w:sz w:val="18"/>
              </w:rPr>
              <w:t>3.64</w:t>
            </w:r>
          </w:p>
        </w:tc>
        <w:tc>
          <w:tcPr>
            <w:tcW w:type="dxa" w:w="2197"/>
          </w:tcPr>
          <w:p>
            <w:pPr>
              <w:pStyle w:val="MDPI42tablebody"/>
              <w:keepNext/>
              <w:spacing w:line="240" w:lineRule="auto" w:before="30" w:after="30"/>
              <w:jc w:val="center"/>
            </w:pPr>
            <w:r>
              <w:rPr>
                <w:b w:val="0"/>
                <w:i w:val="0"/>
                <w:sz w:val="18"/>
              </w:rPr>
              <w:t>0.907</w:t>
            </w:r>
          </w:p>
        </w:tc>
      </w:tr>
      <w:tr>
        <w:trPr>
          <w:cantSplit/>
        </w:trPr>
        <w:tc>
          <w:tcPr>
            <w:tcW w:type="dxa" w:w="1988"/>
          </w:tcPr>
          <w:p>
            <w:pPr>
              <w:pStyle w:val="MDPI42tablebody"/>
              <w:keepNext/>
              <w:spacing w:line="240" w:lineRule="auto" w:before="30" w:after="30"/>
              <w:jc w:val="left"/>
            </w:pPr>
            <w:r>
              <w:rPr>
                <w:b w:val="0"/>
                <w:i w:val="0"/>
                <w:sz w:val="18"/>
              </w:rPr>
              <w:t>0.9-1.0</w:t>
            </w:r>
          </w:p>
        </w:tc>
        <w:tc>
          <w:tcPr>
            <w:tcW w:type="dxa" w:w="1465"/>
          </w:tcPr>
          <w:p>
            <w:pPr>
              <w:pStyle w:val="MDPI42tablebody"/>
              <w:keepNext/>
              <w:spacing w:line="240" w:lineRule="auto" w:before="30" w:after="30"/>
              <w:jc w:val="center"/>
            </w:pPr>
            <w:r>
              <w:rPr>
                <w:b w:val="0"/>
                <w:i w:val="0"/>
                <w:sz w:val="18"/>
              </w:rPr>
              <w:t>381</w:t>
            </w:r>
          </w:p>
        </w:tc>
        <w:tc>
          <w:tcPr>
            <w:tcW w:type="dxa" w:w="2511"/>
          </w:tcPr>
          <w:p>
            <w:pPr>
              <w:pStyle w:val="MDPI42tablebody"/>
              <w:keepNext/>
              <w:spacing w:line="240" w:lineRule="auto" w:before="30" w:after="30"/>
              <w:jc w:val="center"/>
            </w:pPr>
            <w:r>
              <w:rPr>
                <w:b w:val="0"/>
                <w:i w:val="0"/>
                <w:sz w:val="18"/>
              </w:rPr>
              <w:t>−0.414</w:t>
            </w:r>
          </w:p>
        </w:tc>
        <w:tc>
          <w:tcPr>
            <w:tcW w:type="dxa" w:w="2302"/>
          </w:tcPr>
          <w:p>
            <w:pPr>
              <w:pStyle w:val="MDPI42tablebody"/>
              <w:keepNext/>
              <w:spacing w:line="240" w:lineRule="auto" w:before="30" w:after="30"/>
              <w:jc w:val="center"/>
            </w:pPr>
            <w:r>
              <w:rPr>
                <w:b w:val="0"/>
                <w:i w:val="0"/>
                <w:sz w:val="18"/>
              </w:rPr>
              <w:t>5.63</w:t>
            </w:r>
          </w:p>
        </w:tc>
        <w:tc>
          <w:tcPr>
            <w:tcW w:type="dxa" w:w="2197"/>
          </w:tcPr>
          <w:p>
            <w:pPr>
              <w:pStyle w:val="MDPI42tablebody"/>
              <w:keepNext/>
              <w:spacing w:line="240" w:lineRule="auto" w:before="30" w:after="30"/>
              <w:jc w:val="center"/>
            </w:pPr>
            <w:r>
              <w:rPr>
                <w:b w:val="0"/>
                <w:i w:val="0"/>
                <w:sz w:val="18"/>
              </w:rPr>
              <w:t>0.913</w:t>
            </w:r>
          </w:p>
        </w:tc>
      </w:tr>
    </w:tbl>
    <w:p>
      <w:pPr>
        <w:pStyle w:val="MDPI43tablefooter"/>
        <w:keepLines/>
        <w:spacing w:line="240" w:lineRule="auto" w:before="40" w:after="200"/>
        <w:ind w:left="2608" w:firstLine="0"/>
      </w:pPr>
      <w:r>
        <w:rPr>
          <w:sz w:val="16"/>
        </w:rPr>
        <w:t xml:space="preserve">Note: </w:t>
      </w:r>
      <w:r>
        <w:rPr>
          <w:b w:val="0"/>
          <w:i w:val="0"/>
          <w:sz w:val="16"/>
        </w:rPr>
        <w:t>“Correlation” is the mean Pearson correlation across cells between young exposed workers and residents in that band. “Ratio” is the median ratio of young workers’ hours protected by the exposed-workplace rule to those protected by the heat-weighted residential rule, which is the comparison that holds heat targeting fixed and varies only whose location is counted. “Probability” is the share of draws in which that ratio exceeds one; it reacts to differences too small to matter and should be read alongside the ratio, not instead of it. Source: authors’ calculations.</w:t>
      </w:r>
    </w:p>
    <w:p>
      <w:pPr>
        <w:pStyle w:val="MDPI21heading1"/>
      </w:pPr>
      <w:r>
        <w:t>5. Discussion</w:t>
      </w:r>
    </w:p>
    <w:p>
      <w:pPr>
        <w:pStyle w:val="MDPI32textnoindent"/>
      </w:pPr>
      <w:r>
        <w:rPr>
          <w:b w:val="0"/>
          <w:i w:val="0"/>
        </w:rPr>
        <w:t>The results support a conditional recommendation and refuse an unconditional one. This section takes the two apart, considers what the analysis implies for young workers specifically, sets out the policy consequences, and states plainly what the study cannot show.</w:t>
      </w:r>
    </w:p>
    <w:p>
      <w:pPr>
        <w:pStyle w:val="MDPI22heading2"/>
      </w:pPr>
      <w:r>
        <w:t>5.1. Whose Exposure Green Infrastructure Is Sited For</w:t>
      </w:r>
    </w:p>
    <w:p>
      <w:pPr>
        <w:pStyle w:val="MDPI32textnoindent"/>
      </w:pPr>
      <w:r>
        <w:rPr>
          <w:b w:val="0"/>
          <w:i w:val="0"/>
        </w:rPr>
        <w:t xml:space="preserve">The central finding is that the identity of the population a siting rule counts is a first-order determinant of what that rule achieves for workers. Weighting a planting budget by exposed workplaces protects 3.05 times as many of young workers’ hours as weighting it by residents, at the reference setting, and the advantage holds in the large majority of draws across the whole parameter space. This is consistent with the finding that occupational heat exposure is weakly or negatively related to the environmental vulnerability indices on which greening is targeted </w:t>
      </w:r>
      <w:r>
        <w:t>[</w:t>
      </w:r>
      <w:r>
        <w:fldChar w:fldCharType="begin"/>
      </w:r>
      <w:r>
        <w:instrText xml:space="preserve"> REF _Ref_12 \h </w:instrText>
      </w:r>
      <w:r>
        <w:fldChar w:fldCharType="separate"/>
      </w:r>
      <w:r>
        <w:t>12</w:t>
      </w:r>
      <w:r>
        <w:fldChar w:fldCharType="end"/>
      </w:r>
      <w:r>
        <w:t>]</w:t>
      </w:r>
      <w:r>
        <w:rPr>
          <w:b w:val="0"/>
          <w:i w:val="0"/>
        </w:rPr>
        <w:t>, and it supplies the quantification that observation invites.</w:t>
      </w:r>
    </w:p>
    <w:p>
      <w:pPr>
        <w:pStyle w:val="MDPI31text"/>
      </w:pPr>
      <w:r>
        <w:rPr>
          <w:b w:val="0"/>
          <w:i w:val="0"/>
        </w:rPr>
        <w:t>Two subsidiary results sharpen the point. The first is that adding a heat weight to a residential rule changes almost nothing, because within a city the hottest cells and the most populated cells largely coincide. Targeting heat is not a substitute for targeting the exposed population; the two are nearly the same instrument when exposure is measured at the place of residence. The second is that the uniform rule, which embodies no targeting at all, outperforms the residential rule. Following residents is not merely suboptimal for protecting workers; it is worse than spreading the budget evenly, because it actively concentrates planting away from where exposed work is done.</w:t>
      </w:r>
    </w:p>
    <w:p>
      <w:pPr>
        <w:pStyle w:val="MDPI31text"/>
      </w:pPr>
      <w:r>
        <w:rPr>
          <w:b w:val="0"/>
          <w:i w:val="0"/>
        </w:rPr>
        <w:t xml:space="preserve">It does not follow that residential siting is wrong. Residential criteria pursue a different objective — avoided mortality, thermal comfort at home, amenity and the correction of distributive injustice — for which they are appropriate, and the health case for them is well made </w:t>
      </w:r>
      <w:r>
        <w:t>[</w:t>
      </w:r>
      <w:r>
        <w:fldChar w:fldCharType="begin"/>
      </w:r>
      <w:r>
        <w:instrText xml:space="preserve"> REF _Ref_4 \h </w:instrText>
      </w:r>
      <w:r>
        <w:fldChar w:fldCharType="separate"/>
      </w:r>
      <w:r>
        <w:t>4</w:t>
      </w:r>
      <w:r>
        <w:fldChar w:fldCharType="end"/>
      </w:r>
      <w:r>
        <w:t>]</w:t>
      </w:r>
      <w:r>
        <w:rPr>
          <w:b w:val="0"/>
          <w:i w:val="0"/>
        </w:rPr>
        <w:t xml:space="preserve">, </w:t>
      </w:r>
      <w:r>
        <w:t>[</w:t>
      </w:r>
      <w:r>
        <w:fldChar w:fldCharType="begin"/>
      </w:r>
      <w:r>
        <w:instrText xml:space="preserve"> REF _Ref_36 \h </w:instrText>
      </w:r>
      <w:r>
        <w:fldChar w:fldCharType="separate"/>
      </w:r>
      <w:r>
        <w:t>36</w:t>
      </w:r>
      <w:r>
        <w:fldChar w:fldCharType="end"/>
      </w:r>
      <w:r>
        <w:t>]</w:t>
      </w:r>
      <w:r>
        <w:rPr>
          <w:b w:val="0"/>
          <w:i w:val="0"/>
        </w:rPr>
        <w:t>. The finding here is narrower and should be read narrowly: a programme justified on residential criteria should not additionally be credited with protecting the working population, because in a city whose exposed employment has been zoned away from housing it does not.</w:t>
      </w:r>
    </w:p>
    <w:p>
      <w:pPr>
        <w:pStyle w:val="MDPI22heading2"/>
      </w:pPr>
      <w:r>
        <w:t>5.2. What the Magnitude of the Benefit Is Not</w:t>
      </w:r>
    </w:p>
    <w:p>
      <w:pPr>
        <w:pStyle w:val="MDPI32textnoindent"/>
      </w:pPr>
      <w:r>
        <w:rPr>
          <w:b w:val="0"/>
          <w:i w:val="0"/>
        </w:rPr>
        <w:t xml:space="preserve">The second finding is negative and, we think, more generally applicable than the first. Across the ensemble, young workers’ baseline loss runs from 0.11 hours per working day at the lower quartile to 2.50 at the ninety-fifth percentile, and in 6.7 per cent of draws it is exactly zero. Much of that dispersion is not measurement error but disagreement between published functions that are each defensible on their own terms. The threshold-based occupational functions and the empirical functions do not merely differ in calibration; they differ in whether any loss occurs at all in the temperature range where European summers sit </w:t>
      </w:r>
      <w:r>
        <w:t>[</w:t>
      </w:r>
      <w:r>
        <w:fldChar w:fldCharType="begin"/>
      </w:r>
      <w:r>
        <w:instrText xml:space="preserve"> REF _Ref_25 \h </w:instrText>
      </w:r>
      <w:r>
        <w:fldChar w:fldCharType="separate"/>
      </w:r>
      <w:r>
        <w:t>25</w:t>
      </w:r>
      <w:r>
        <w:fldChar w:fldCharType="end"/>
      </w:r>
      <w:r>
        <w:t>]</w:t>
      </w:r>
      <w:r>
        <w:rPr>
          <w:b w:val="0"/>
          <w:i w:val="0"/>
        </w:rPr>
        <w:t>.</w:t>
      </w:r>
    </w:p>
    <w:p>
      <w:pPr>
        <w:pStyle w:val="MDPI31text"/>
      </w:pPr>
      <w:r>
        <w:rPr>
          <w:b w:val="0"/>
          <w:i w:val="0"/>
        </w:rPr>
        <w:t xml:space="preserve">The implication for practice is uncomfortable. A city that commissions an assessment of the labour-productivity benefit of a planting programme will receive a number, and that number will depend more on which response function the consultant selected than on any property of the city. Studies in this genre should report the choice explicitly and should report the spread across functions rather than a single value, as comparative assessments of adaptation options have recommended </w:t>
      </w:r>
      <w:r>
        <w:t>[</w:t>
      </w:r>
      <w:r>
        <w:fldChar w:fldCharType="begin"/>
      </w:r>
      <w:r>
        <w:instrText xml:space="preserve"> REF _Ref_32 \h </w:instrText>
      </w:r>
      <w:r>
        <w:fldChar w:fldCharType="separate"/>
      </w:r>
      <w:r>
        <w:t>32</w:t>
      </w:r>
      <w:r>
        <w:fldChar w:fldCharType="end"/>
      </w:r>
      <w:r>
        <w:t>]</w:t>
      </w:r>
      <w:r>
        <w:rPr>
          <w:b w:val="0"/>
          <w:i w:val="0"/>
        </w:rPr>
        <w:t>. The present study reports rankings precisely because rankings survive what levels do not: the response function, the cooling coefficients and the climate scale every siting rule together and cancel when rules are compared.</w:t>
      </w:r>
    </w:p>
    <w:p>
      <w:pPr>
        <w:pStyle w:val="MDPI22heading2"/>
      </w:pPr>
      <w:r>
        <w:t>5.3. Young Workers as the Marginal Case</w:t>
      </w:r>
    </w:p>
    <w:p>
      <w:pPr>
        <w:pStyle w:val="MDPI32textnoindent"/>
      </w:pPr>
      <w:r>
        <w:rPr>
          <w:b w:val="0"/>
          <w:i w:val="0"/>
        </w:rPr>
        <w:t>The age dimension of the results is compositional, and the model was built to keep it so. Physical work capacity is treated as age-neutral; young workers lose more hours per head only because a larger share of them work in the exposed classes. Two consequences follow. The first is that targeting young workers as such achieves almost nothing beyond targeting exposed work: the two rules differ by less than 0.5 per cent, because young and older exposed workers occupy the same sites. There is no separate geography of young employment for a planting programme to find.</w:t>
      </w:r>
    </w:p>
    <w:p>
      <w:pPr>
        <w:pStyle w:val="MDPI31text"/>
      </w:pPr>
      <w:r>
        <w:rPr>
          <w:b w:val="0"/>
          <w:i w:val="0"/>
        </w:rPr>
        <w:t xml:space="preserve">The second is that the physical measure understates the case. The model deliberately does not apply an age premium to capacity loss, but the consequences of a given exposure are not age-neutral: workers in precarious and short-tenure employment, among whom the young are over-represented, suffer higher rates of occupational injury </w:t>
      </w:r>
      <w:r>
        <w:t>[</w:t>
      </w:r>
      <w:r>
        <w:fldChar w:fldCharType="begin"/>
      </w:r>
      <w:r>
        <w:instrText xml:space="preserve"> REF _Ref_18 \h </w:instrText>
      </w:r>
      <w:r>
        <w:fldChar w:fldCharType="separate"/>
      </w:r>
      <w:r>
        <w:t>18</w:t>
      </w:r>
      <w:r>
        <w:fldChar w:fldCharType="end"/>
      </w:r>
      <w:r>
        <w:t>]</w:t>
      </w:r>
      <w:r>
        <w:rPr>
          <w:b w:val="0"/>
          <w:i w:val="0"/>
        </w:rPr>
        <w:t xml:space="preserve">, </w:t>
      </w:r>
      <w:r>
        <w:t>[</w:t>
      </w:r>
      <w:r>
        <w:fldChar w:fldCharType="begin"/>
      </w:r>
      <w:r>
        <w:instrText xml:space="preserve"> REF _Ref_19 \h </w:instrText>
      </w:r>
      <w:r>
        <w:fldChar w:fldCharType="separate"/>
      </w:r>
      <w:r>
        <w:t>19</w:t>
      </w:r>
      <w:r>
        <w:fldChar w:fldCharType="end"/>
      </w:r>
      <w:r>
        <w:t>]</w:t>
      </w:r>
      <w:r>
        <w:rPr>
          <w:b w:val="0"/>
          <w:i w:val="0"/>
        </w:rPr>
        <w:t xml:space="preserve">. Nor are the effects confined to the summer in which they occur, since early labour-market experience carries forward into later employment and earnings </w:t>
      </w:r>
      <w:r>
        <w:t>[</w:t>
      </w:r>
      <w:r>
        <w:fldChar w:fldCharType="begin"/>
      </w:r>
      <w:r>
        <w:instrText xml:space="preserve"> REF _Ref_20 \h </w:instrText>
      </w:r>
      <w:r>
        <w:fldChar w:fldCharType="separate"/>
      </w:r>
      <w:r>
        <w:t>20</w:t>
      </w:r>
      <w:r>
        <w:fldChar w:fldCharType="end"/>
      </w:r>
      <w:r>
        <w:t>]</w:t>
      </w:r>
      <w:r>
        <w:rPr>
          <w:b w:val="0"/>
          <w:i w:val="0"/>
        </w:rPr>
        <w:t xml:space="preserve">, </w:t>
      </w:r>
      <w:r>
        <w:t>[</w:t>
      </w:r>
      <w:r>
        <w:fldChar w:fldCharType="begin"/>
      </w:r>
      <w:r>
        <w:instrText xml:space="preserve"> REF _Ref_21 \h </w:instrText>
      </w:r>
      <w:r>
        <w:fldChar w:fldCharType="separate"/>
      </w:r>
      <w:r>
        <w:t>21</w:t>
      </w:r>
      <w:r>
        <w:fldChar w:fldCharType="end"/>
      </w:r>
      <w:r>
        <w:t>]</w:t>
      </w:r>
      <w:r>
        <w:rPr>
          <w:b w:val="0"/>
          <w:i w:val="0"/>
        </w:rPr>
        <w:t>. An assessment that counts only hours therefore measures the smaller part of what is at stake for this group.</w:t>
      </w:r>
    </w:p>
    <w:p>
      <w:pPr>
        <w:pStyle w:val="MDPI22heading2"/>
      </w:pPr>
      <w:r>
        <w:t>5.4. Green and Blue Infrastructure Compared</w:t>
      </w:r>
    </w:p>
    <w:p>
      <w:pPr>
        <w:pStyle w:val="MDPI32textnoindent"/>
      </w:pPr>
      <w:r>
        <w:rPr>
          <w:b w:val="0"/>
          <w:i w:val="0"/>
        </w:rPr>
        <w:t xml:space="preserve">The model treats canopy as the instrument of choice and carries water as an existing feature rather than as a policy variable, which reflects an asymmetry in what the two can do for a worker. Canopy acts on the worker twice, once by lowering the air temperature of the cell and once by removing radiant load at the point where the worker stands, and it is the second pathway that a siting rule can direct with precision. Blue infrastructure acts principally through the first, its cooling decays with distance in a manner that depends strongly on the size and morphology of the water body </w:t>
      </w:r>
      <w:r>
        <w:t>[</w:t>
      </w:r>
      <w:r>
        <w:fldChar w:fldCharType="begin"/>
      </w:r>
      <w:r>
        <w:instrText xml:space="preserve"> REF _Ref_26 \h </w:instrText>
      </w:r>
      <w:r>
        <w:fldChar w:fldCharType="separate"/>
      </w:r>
      <w:r>
        <w:t>26</w:t>
      </w:r>
      <w:r>
        <w:fldChar w:fldCharType="end"/>
      </w:r>
      <w:r>
        <w:t>]</w:t>
      </w:r>
      <w:r>
        <w:rPr>
          <w:b w:val="0"/>
          <w:i w:val="0"/>
        </w:rPr>
        <w:t>, and its daytime benefit is partly offset by night-time warming. Water is also, in most European cities, fixed: a river cannot be relocated to a logistics park. For the specific purpose of protecting outdoor workers, targeted shade is the more directable instrument, and that is a limitation on the generality of the study rather than a finding about the relative merit of blue space.</w:t>
      </w:r>
    </w:p>
    <w:p>
      <w:pPr>
        <w:pStyle w:val="MDPI22heading2"/>
      </w:pPr>
      <w:r>
        <w:t>5.5. Policy Implications</w:t>
      </w:r>
    </w:p>
    <w:p>
      <w:pPr>
        <w:pStyle w:val="MDPI32textnoindent"/>
      </w:pPr>
      <w:r>
        <w:rPr>
          <w:b w:val="0"/>
          <w:i w:val="0"/>
        </w:rPr>
        <w:t>Four implications follow, in descending order of confidence. First, cities that plant trees for heat should compute the correlation between workplace and residential density before deciding how to target, and should treat a low or negative value as a reason to weight planting by workplace. The quantity is computable from commuting or business-register data that municipalities already hold, and Table 8 gives the range over which it begins to matter.</w:t>
      </w:r>
    </w:p>
    <w:p>
      <w:pPr>
        <w:pStyle w:val="MDPI31text"/>
      </w:pPr>
      <w:r>
        <w:rPr>
          <w:b w:val="0"/>
          <w:i w:val="0"/>
        </w:rPr>
        <w:t xml:space="preserve">Second, the workplace criterion should be added to existing siting frameworks rather than substituted for the residential ones. The 3–30–300 rule already specifies workplaces alongside homes and schools </w:t>
      </w:r>
      <w:r>
        <w:t>[</w:t>
      </w:r>
      <w:r>
        <w:fldChar w:fldCharType="begin"/>
      </w:r>
      <w:r>
        <w:instrText xml:space="preserve"> REF _Ref_13 \h </w:instrText>
      </w:r>
      <w:r>
        <w:fldChar w:fldCharType="separate"/>
      </w:r>
      <w:r>
        <w:t>13</w:t>
      </w:r>
      <w:r>
        <w:fldChar w:fldCharType="end"/>
      </w:r>
      <w:r>
        <w:t>]</w:t>
      </w:r>
      <w:r>
        <w:rPr>
          <w:b w:val="0"/>
          <w:i w:val="0"/>
        </w:rPr>
        <w:t xml:space="preserve">; what is missing is the evaluation of compliance on the workplace side, which the benchmark literature has so far conducted for dwellings </w:t>
      </w:r>
      <w:r>
        <w:t>[</w:t>
      </w:r>
      <w:r>
        <w:fldChar w:fldCharType="begin"/>
      </w:r>
      <w:r>
        <w:instrText xml:space="preserve"> REF _Ref_14 \h </w:instrText>
      </w:r>
      <w:r>
        <w:fldChar w:fldCharType="separate"/>
      </w:r>
      <w:r>
        <w:t>14</w:t>
      </w:r>
      <w:r>
        <w:fldChar w:fldCharType="end"/>
      </w:r>
      <w:r>
        <w:t>]</w:t>
      </w:r>
      <w:r>
        <w:rPr>
          <w:b w:val="0"/>
          <w:i w:val="0"/>
        </w:rPr>
        <w:t xml:space="preserve">. Municipal siting tools </w:t>
      </w:r>
      <w:r>
        <w:t>[</w:t>
      </w:r>
      <w:r>
        <w:fldChar w:fldCharType="begin"/>
      </w:r>
      <w:r>
        <w:instrText xml:space="preserve"> REF _Ref_34 \h </w:instrText>
      </w:r>
      <w:r>
        <w:fldChar w:fldCharType="separate"/>
      </w:r>
      <w:r>
        <w:t>34</w:t>
      </w:r>
      <w:r>
        <w:fldChar w:fldCharType="end"/>
      </w:r>
      <w:r>
        <w:t>]</w:t>
      </w:r>
      <w:r>
        <w:rPr>
          <w:b w:val="0"/>
          <w:i w:val="0"/>
        </w:rPr>
        <w:t xml:space="preserve"> would require only an additional input layer.</w:t>
      </w:r>
    </w:p>
    <w:p>
      <w:pPr>
        <w:pStyle w:val="MDPI31text"/>
      </w:pPr>
      <w:r>
        <w:rPr>
          <w:b w:val="0"/>
          <w:i w:val="0"/>
        </w:rPr>
        <w:t xml:space="preserve">Third, greening industrial and logistics zones has a secondary advantage that residential greening does not. Because those areas contain little housing, planting there is substantially less likely to drive the residential displacement that greening of central neighbourhoods has been shown to produce </w:t>
      </w:r>
      <w:r>
        <w:t>[</w:t>
      </w:r>
      <w:r>
        <w:fldChar w:fldCharType="begin"/>
      </w:r>
      <w:r>
        <w:instrText xml:space="preserve"> REF _Ref_37 \h </w:instrText>
      </w:r>
      <w:r>
        <w:fldChar w:fldCharType="separate"/>
      </w:r>
      <w:r>
        <w:t>37</w:t>
      </w:r>
      <w:r>
        <w:fldChar w:fldCharType="end"/>
      </w:r>
      <w:r>
        <w:t>]</w:t>
      </w:r>
      <w:r>
        <w:rPr>
          <w:b w:val="0"/>
          <w:i w:val="0"/>
        </w:rPr>
        <w:t>. A workplace-weighted programme is, in this narrow respect, easier to justify distributionally than its residential counterpart.</w:t>
      </w:r>
    </w:p>
    <w:p>
      <w:pPr>
        <w:pStyle w:val="MDPI31text"/>
      </w:pPr>
      <w:r>
        <w:rPr>
          <w:b w:val="0"/>
          <w:i w:val="0"/>
        </w:rPr>
        <w:t xml:space="preserve">Fourth, and most tentatively, the obligations now placed on Member States to restore urban green space </w:t>
      </w:r>
      <w:r>
        <w:t>[</w:t>
      </w:r>
      <w:r>
        <w:fldChar w:fldCharType="begin"/>
      </w:r>
      <w:r>
        <w:instrText xml:space="preserve"> REF _Ref_5 \h </w:instrText>
      </w:r>
      <w:r>
        <w:fldChar w:fldCharType="separate"/>
      </w:r>
      <w:r>
        <w:t>5</w:t>
      </w:r>
      <w:r>
        <w:fldChar w:fldCharType="end"/>
      </w:r>
      <w:r>
        <w:t>]</w:t>
      </w:r>
      <w:r>
        <w:rPr>
          <w:b w:val="0"/>
          <w:i w:val="0"/>
        </w:rPr>
        <w:t xml:space="preserve"> are expressed in terms of area and of population served. If the population served is understood residentially, compliance can be achieved without reaching the workforce at all. Whether the working population should be counted in such indicators is a question for the framework’s implementation rather than for this paper, but the results indicate that the two definitions are not interchangeable.</w:t>
      </w:r>
    </w:p>
    <w:p>
      <w:pPr>
        <w:pStyle w:val="MDPI22heading2"/>
      </w:pPr>
      <w:r>
        <w:t>5.6. Limitations</w:t>
      </w:r>
    </w:p>
    <w:p>
      <w:pPr>
        <w:pStyle w:val="MDPI32textnoindent"/>
      </w:pPr>
      <w:r>
        <w:rPr>
          <w:b w:val="0"/>
          <w:i w:val="0"/>
        </w:rPr>
        <w:t xml:space="preserve">The limitations are substantial and are set out here rather than conceded piecemeal. First, and most important, the city is synthetic. No European city was measured; the urban form, the employment geography and the age composition of the workforce are declared constructions, and although the residential density and the four climate settings are anchored to observed distributions across 556 EU-27 urban centres </w:t>
      </w:r>
      <w:r>
        <w:t>[</w:t>
      </w:r>
      <w:r>
        <w:fldChar w:fldCharType="begin"/>
      </w:r>
      <w:r>
        <w:instrText xml:space="preserve"> REF _Ref_40 \h </w:instrText>
      </w:r>
      <w:r>
        <w:fldChar w:fldCharType="separate"/>
      </w:r>
      <w:r>
        <w:t>40</w:t>
      </w:r>
      <w:r>
        <w:fldChar w:fldCharType="end"/>
      </w:r>
      <w:r>
        <w:t>]</w:t>
      </w:r>
      <w:r>
        <w:rPr>
          <w:b w:val="0"/>
          <w:i w:val="0"/>
        </w:rPr>
        <w:t xml:space="preserve"> and to country summer temperatures </w:t>
      </w:r>
      <w:r>
        <w:t>[</w:t>
      </w:r>
      <w:r>
        <w:fldChar w:fldCharType="begin"/>
      </w:r>
      <w:r>
        <w:instrText xml:space="preserve"> REF _Ref_41 \h </w:instrText>
      </w:r>
      <w:r>
        <w:fldChar w:fldCharType="separate"/>
      </w:r>
      <w:r>
        <w:t>41</w:t>
      </w:r>
      <w:r>
        <w:fldChar w:fldCharType="end"/>
      </w:r>
      <w:r>
        <w:t>]</w:t>
      </w:r>
      <w:r>
        <w:rPr>
          <w:b w:val="0"/>
          <w:i w:val="0"/>
        </w:rPr>
        <w:t>, the spatial arrangement is not. The study establishes what follows from a structure, not that European cities have that structure.</w:t>
      </w:r>
    </w:p>
    <w:p>
      <w:pPr>
        <w:pStyle w:val="MDPI31text"/>
      </w:pPr>
      <w:r>
        <w:rPr>
          <w:b w:val="0"/>
          <w:i w:val="0"/>
        </w:rPr>
        <w:t>Second, of the 28 parameters, 20 are modelling choices rather than measured quantities. They are swept rather than defended, and the sensitivity analysis reports which of them the conclusions depend on, but a sweep over an interval is not a substitute for measurement. Third, the workplace–residence correlation that drives the central result is not observed for any real city here; it is varied across its whole range, which is why the finding is reported as a threshold rather than as a magnitude.</w:t>
      </w:r>
    </w:p>
    <w:p>
      <w:pPr>
        <w:pStyle w:val="MDPI31text"/>
      </w:pPr>
      <w:r>
        <w:rPr>
          <w:b w:val="0"/>
          <w:i w:val="0"/>
        </w:rPr>
        <w:t>Fourth, the labour model is static. It counts hours of work capacity lost and does not represent the responses that would follow — rescheduling to cooler hours, substitution between workers, changes in hiring, or the eventual relocation of activity — nor does it price those hours beyond a nominal wage. Fifth, the analysis concerns daytime summer conditions and says nothing about the night-time warming that dense canopy and standing water can produce. Sixth, and following from the second finding rather than qualifying it, the absolute hours reported anywhere in this paper should not be extracted and quoted; they are conditional on a response function that the evidence does not select.</w:t>
      </w:r>
    </w:p>
    <w:p>
      <w:pPr>
        <w:pStyle w:val="MDPI31text"/>
      </w:pPr>
      <w:r>
        <w:rPr>
          <w:b w:val="0"/>
          <w:i w:val="0"/>
        </w:rPr>
        <w:t xml:space="preserve">Future work should proceed in three directions. The most valuable would replace the synthetic city with real ones, combining workplace-level employment registers with high-resolution canopy and thermal data for a sample of European cities, and would report the distribution of the workplace–residence correlation directly. The second would attach the European job exposure matrix </w:t>
      </w:r>
      <w:r>
        <w:t>[</w:t>
      </w:r>
      <w:r>
        <w:fldChar w:fldCharType="begin"/>
      </w:r>
      <w:r>
        <w:instrText xml:space="preserve"> REF _Ref_33 \h </w:instrText>
      </w:r>
      <w:r>
        <w:fldChar w:fldCharType="separate"/>
      </w:r>
      <w:r>
        <w:t>33</w:t>
      </w:r>
      <w:r>
        <w:fldChar w:fldCharType="end"/>
      </w:r>
      <w:r>
        <w:t>]</w:t>
      </w:r>
      <w:r>
        <w:rPr>
          <w:b w:val="0"/>
          <w:i w:val="0"/>
        </w:rPr>
        <w:t xml:space="preserve"> to such data, so that exposure is resolved by occupation rather than by assumed workload class. The third would extend the outcome from hours to injuries and to job continuation, where the age gradient is documented and where the consequences for young workers are largest.</w:t>
      </w:r>
    </w:p>
    <w:p>
      <w:pPr>
        <w:pStyle w:val="MDPI21heading1"/>
      </w:pPr>
      <w:r>
        <w:t>6. Conclusions</w:t>
      </w:r>
    </w:p>
    <w:p>
      <w:pPr>
        <w:pStyle w:val="MDPI32textnoindent"/>
      </w:pPr>
      <w:r>
        <w:rPr>
          <w:b w:val="0"/>
          <w:i w:val="0"/>
        </w:rPr>
        <w:t>Urban green and blue infrastructure is placed where people live. This study asked what that convention costs the people who work outdoors in the parts of a city where few people live, and what it costs young workers in particular, who enter employment through exactly those occupations. It answered the question with a spatially explicit model that carries urban form and tree canopy through to the wet bulb globe temperature an outdoor worker experiences, converts that temperature into lost work capacity through five published exposure–response functions, and allocates a fixed planting budget under seven competing siting rules.</w:t>
      </w:r>
    </w:p>
    <w:p>
      <w:pPr>
        <w:pStyle w:val="MDPI31text"/>
      </w:pPr>
      <w:r>
        <w:rPr>
          <w:b w:val="0"/>
          <w:i w:val="0"/>
        </w:rPr>
        <w:t>Two conclusions follow, and they are of different kinds. The first is that the magnitude of the benefit is not identified. Across 4000 draws over 28 parameters, the response function, the climate and the geography of employment, the estimated loss varies by more than an order of magnitude and vanishes entirely in a material fraction of draws, principally because the published response functions disagree about whether European summer conditions cause any loss at all. No credible point estimate of the hours a planting programme protects can be given, and studies that report one are reporting a choice of function.</w:t>
      </w:r>
    </w:p>
    <w:p>
      <w:pPr>
        <w:pStyle w:val="MDPI31text"/>
      </w:pPr>
      <w:r>
        <w:rPr>
          <w:b w:val="0"/>
          <w:i w:val="0"/>
        </w:rPr>
        <w:t>The second is that the ranking of siting rules is stable where the level is not. Weighting a budget by exposed workplaces rather than by residents protects 3.05 times as many of young workers’ hours at the reference setting, and more in the large majority of draws. The advantage is conditional, which is what makes it usable: it is absent where workplaces and homes coincide, reaches 5.6-fold where they are opposed, and becomes material once the correlation between them falls below roughly 0.25. Targeting young workers as such adds nothing beyond targeting exposed work, because they share their workplaces with everyone else who works there.</w:t>
      </w:r>
    </w:p>
    <w:p>
      <w:pPr>
        <w:pStyle w:val="MDPI31text"/>
      </w:pPr>
      <w:r>
        <w:rPr>
          <w:b w:val="0"/>
          <w:i w:val="0"/>
        </w:rPr>
        <w:t>The practical recommendation is therefore neither that cities should plant by workplace nor that they should continue planting by residence, but that they should measure the quantity that decides between the two. A city whose exposed employment sits among its housing may site its planting on residential criteria and lose nothing. A city that has zoned its logistics, its construction and its industry away from where people live cannot, and should not credit a residentially targeted programme with protecting a workforce it does not reach.</w:t>
      </w:r>
    </w:p>
    <w:p>
      <w:pPr>
        <w:pStyle w:val="MDPI62backmatter"/>
        <w:spacing w:before="120"/>
      </w:pPr>
      <w:r>
        <w:rPr>
          <w:b/>
          <w:sz w:val="18"/>
        </w:rPr>
        <w:t xml:space="preserve">Author Contributions: </w:t>
      </w:r>
    </w:p>
    <w:p>
      <w:pPr>
        <w:pStyle w:val="MDPI31text"/>
      </w:pPr>
      <w:r>
        <w:rPr>
          <w:b w:val="0"/>
          <w:i w:val="0"/>
        </w:rPr>
        <w:t>Conceptualisation, X.C. and T.M.; methodology, X.C.; software, X.C.; validation, X.C. and T.M.; formal analysis, X.C.; data curation, X.C.; writing—original draft preparation, X.C.; writing—review and editing, T.M.; visualisation, X.C.; supervision, T.M. All authors have read and agreed to the published version of the manuscript.</w:t>
      </w:r>
    </w:p>
    <w:p>
      <w:pPr>
        <w:pStyle w:val="MDPI62backmatter"/>
        <w:spacing w:before="120"/>
      </w:pPr>
      <w:r>
        <w:rPr>
          <w:b/>
          <w:sz w:val="18"/>
        </w:rPr>
        <w:t xml:space="preserve">Funding: </w:t>
      </w:r>
    </w:p>
    <w:p>
      <w:pPr>
        <w:pStyle w:val="MDPI31text"/>
      </w:pPr>
      <w:r>
        <w:rPr>
          <w:b w:val="0"/>
          <w:i w:val="0"/>
        </w:rPr>
        <w:t>This research received no external funding.</w:t>
      </w:r>
    </w:p>
    <w:p>
      <w:pPr>
        <w:pStyle w:val="MDPI62backmatter"/>
        <w:spacing w:before="120"/>
      </w:pPr>
      <w:r>
        <w:rPr>
          <w:b/>
          <w:sz w:val="18"/>
        </w:rPr>
        <w:t xml:space="preserve">Institutional Review Board Statement: </w:t>
      </w:r>
    </w:p>
    <w:p>
      <w:pPr>
        <w:pStyle w:val="MDPI31text"/>
      </w:pPr>
      <w:r>
        <w:rPr>
          <w:b w:val="0"/>
          <w:i w:val="0"/>
        </w:rPr>
        <w:t>Not applicable. The study involves no human participants and no animals.</w:t>
      </w:r>
    </w:p>
    <w:p>
      <w:pPr>
        <w:pStyle w:val="MDPI62backmatter"/>
        <w:spacing w:before="120"/>
      </w:pPr>
      <w:r>
        <w:rPr>
          <w:b/>
          <w:sz w:val="18"/>
        </w:rPr>
        <w:t xml:space="preserve">Informed Consent Statement: </w:t>
      </w:r>
    </w:p>
    <w:p>
      <w:pPr>
        <w:pStyle w:val="MDPI31text"/>
      </w:pPr>
      <w:r>
        <w:rPr>
          <w:b w:val="0"/>
          <w:i w:val="0"/>
        </w:rPr>
        <w:t>Not applicable.</w:t>
      </w:r>
    </w:p>
    <w:p>
      <w:pPr>
        <w:pStyle w:val="MDPI62backmatter"/>
        <w:spacing w:before="120"/>
      </w:pPr>
      <w:r>
        <w:rPr>
          <w:b/>
          <w:sz w:val="18"/>
        </w:rPr>
        <w:t xml:space="preserve">Data Availability Statement: </w:t>
      </w:r>
    </w:p>
    <w:p>
      <w:pPr>
        <w:pStyle w:val="MDPI31text"/>
      </w:pPr>
      <w:r>
        <w:rPr>
          <w:b w:val="0"/>
          <w:i w:val="0"/>
        </w:rPr>
        <w:t>This is a model-based study and the reader should be clear about what that means for its data. The city analysed here is synthetic: it is a constructed urban form, not a measurement of any real place, and no survey, register or observational panel of workers was collected or analysed. Every number reported in the manuscript is produced by executing the study code under a fixed random seed, and re-executing it reproduces the tables exactly.</w:t>
      </w:r>
    </w:p>
    <w:p>
      <w:pPr>
        <w:pStyle w:val="MDPI31text"/>
      </w:pPr>
      <w:r>
        <w:rPr>
          <w:b w:val="0"/>
          <w:i w:val="0"/>
        </w:rPr>
        <w:t xml:space="preserve">Two observational datasets, both publicly available, are used to anchor the model rather than to estimate any relationship. The distribution of urban area, residential density, greenness and heatwave exposure across the urban centres of the EU-27 is taken from the Global Human Settlement Layer Urban Centre Database, release R2019A, published by the European Commission Joint Research Centre </w:t>
      </w:r>
      <w:r>
        <w:t>[</w:t>
      </w:r>
      <w:r>
        <w:fldChar w:fldCharType="begin"/>
      </w:r>
      <w:r>
        <w:instrText xml:space="preserve"> REF _Ref_40 \h </w:instrText>
      </w:r>
      <w:r>
        <w:fldChar w:fldCharType="separate"/>
      </w:r>
      <w:r>
        <w:t>40</w:t>
      </w:r>
      <w:r>
        <w:fldChar w:fldCharType="end"/>
      </w:r>
      <w:r>
        <w:t>]</w:t>
      </w:r>
      <w:r>
        <w:rPr>
          <w:b w:val="0"/>
          <w:i w:val="0"/>
        </w:rPr>
        <w:t xml:space="preserve">. The distribution of mean summer temperature across the Member States is computed from Berkeley Earth country land-surface temperature series </w:t>
      </w:r>
      <w:r>
        <w:t>[</w:t>
      </w:r>
      <w:r>
        <w:fldChar w:fldCharType="begin"/>
      </w:r>
      <w:r>
        <w:instrText xml:space="preserve"> REF _Ref_41 \h </w:instrText>
      </w:r>
      <w:r>
        <w:fldChar w:fldCharType="separate"/>
      </w:r>
      <w:r>
        <w:t>41</w:t>
      </w:r>
      <w:r>
        <w:fldChar w:fldCharType="end"/>
      </w:r>
      <w:r>
        <w:t>]</w:t>
      </w:r>
      <w:r>
        <w:rPr>
          <w:b w:val="0"/>
          <w:i w:val="0"/>
        </w:rPr>
        <w:t xml:space="preserve">. The European youth unemployment rate quoted in the Introduction is from the World Bank World Development Indicators </w:t>
      </w:r>
      <w:r>
        <w:t>[</w:t>
      </w:r>
      <w:r>
        <w:fldChar w:fldCharType="begin"/>
      </w:r>
      <w:r>
        <w:instrText xml:space="preserve"> REF _Ref_23 \h </w:instrText>
      </w:r>
      <w:r>
        <w:fldChar w:fldCharType="separate"/>
      </w:r>
      <w:r>
        <w:t>23</w:t>
      </w:r>
      <w:r>
        <w:fldChar w:fldCharType="end"/>
      </w:r>
      <w:r>
        <w:t>]</w:t>
      </w:r>
      <w:r>
        <w:rPr>
          <w:b w:val="0"/>
          <w:i w:val="0"/>
        </w:rPr>
        <w:t xml:space="preserve"> and is a modelled estimate of the International Labour Organization rather than a direct measurement. Table A3 reports the observed distributions used.</w:t>
      </w:r>
    </w:p>
    <w:p>
      <w:pPr>
        <w:pStyle w:val="MDPI31text"/>
      </w:pPr>
      <w:r>
        <w:rPr>
          <w:b w:val="0"/>
          <w:i w:val="0"/>
        </w:rPr>
        <w:t>The parameters of the model are listed in full in Table A1 together with their provenance. Of the 28 parameters, 8 take a value stated in a cited source and 20 are modelling choices that are swept across a declared interval rather than defended. The parameter table in this manuscript is generated from the same registry the code reads, so it cannot disagree with the values actually used. The five exposure–response functions were transcribed from open-source reference implementations and cross-checked against one another before use.</w:t>
      </w:r>
    </w:p>
    <w:p>
      <w:pPr>
        <w:pStyle w:val="MDPI31text"/>
      </w:pPr>
      <w:r>
        <w:rPr>
          <w:b w:val="0"/>
          <w:i w:val="0"/>
        </w:rPr>
        <w:t>The model code, the two anchoring datasets and the complete output on which every table is built are available from the corresponding author on request.</w:t>
      </w:r>
    </w:p>
    <w:p>
      <w:pPr>
        <w:pStyle w:val="MDPI62backmatter"/>
        <w:spacing w:before="120"/>
      </w:pPr>
      <w:r>
        <w:rPr>
          <w:b/>
          <w:sz w:val="18"/>
        </w:rPr>
        <w:t xml:space="preserve">Conflicts of Interest: </w:t>
      </w:r>
    </w:p>
    <w:p>
      <w:pPr>
        <w:pStyle w:val="MDPI31text"/>
      </w:pPr>
      <w:r>
        <w:rPr>
          <w:b w:val="0"/>
          <w:i w:val="0"/>
        </w:rPr>
        <w:t>The authors declare no conflicts of interest.</w:t>
      </w:r>
    </w:p>
    <w:p>
      <w:pPr>
        <w:pStyle w:val="MDPI62backmatter"/>
        <w:spacing w:before="120"/>
      </w:pPr>
      <w:r>
        <w:rPr>
          <w:b/>
          <w:sz w:val="18"/>
        </w:rPr>
        <w:t xml:space="preserve">Appendix A: </w:t>
      </w:r>
    </w:p>
    <w:p>
      <w:pPr>
        <w:pStyle w:val="MDPI31text"/>
      </w:pPr>
      <w:r>
        <w:rPr>
          <w:b w:val="0"/>
          <w:i w:val="0"/>
        </w:rPr>
        <w:t>Table A1 lists every parameter of the model with the interval over which the uncertainty analysis varies it and a statement of where its value came from. Table A2 sets the five exposure–response functions side by side across the range of wet bulb globe temperature relevant to European summers. Table A3 reports the observed European distributions to which the synthetic city and the climate settings are anchored.</w:t>
      </w:r>
    </w:p>
    <w:p>
      <w:pPr>
        <w:pStyle w:val="MDPI41tablecaption"/>
        <w:keepNext/>
        <w:spacing w:after="60"/>
      </w:pPr>
      <w:r>
        <w:rPr>
          <w:b/>
          <w:sz w:val="18"/>
        </w:rPr>
        <w:t xml:space="preserve">Table A1. </w:t>
      </w:r>
      <w:r>
        <w:rPr>
          <w:b w:val="0"/>
          <w:i w:val="0"/>
          <w:sz w:val="18"/>
        </w:rPr>
        <w:t>Every parameter of the model, with its sweep interval and its provenance.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511"/>
        <w:gridCol w:w="1255"/>
        <w:gridCol w:w="2930"/>
        <w:gridCol w:w="1883"/>
        <w:gridCol w:w="1883"/>
      </w:tblGrid>
      <w:tr>
        <w:trPr>
          <w:cantSplit/>
          <w:tblHeader/>
        </w:trPr>
        <w:tc>
          <w:tcPr>
            <w:tcW w:type="dxa" w:w="2511"/>
            <w:tcBorders>
              <w:bottom w:val="single" w:sz="8" w:space="0" w:color="auto"/>
            </w:tcBorders>
          </w:tcPr>
          <w:p>
            <w:pPr>
              <w:pStyle w:val="MDPI42tablebody"/>
              <w:keepNext/>
              <w:spacing w:line="240" w:lineRule="auto" w:before="30" w:after="30"/>
              <w:jc w:val="center"/>
            </w:pPr>
            <w:r>
              <w:rPr>
                <w:b/>
                <w:i w:val="0"/>
                <w:sz w:val="18"/>
              </w:rPr>
              <w:t>Parameter</w:t>
            </w:r>
          </w:p>
        </w:tc>
        <w:tc>
          <w:tcPr>
            <w:tcW w:type="dxa" w:w="1255"/>
            <w:tcBorders>
              <w:bottom w:val="single" w:sz="8" w:space="0" w:color="auto"/>
            </w:tcBorders>
          </w:tcPr>
          <w:p>
            <w:pPr>
              <w:pStyle w:val="MDPI42tablebody"/>
              <w:keepNext/>
              <w:spacing w:line="240" w:lineRule="auto" w:before="30" w:after="30"/>
              <w:jc w:val="center"/>
            </w:pPr>
            <w:r>
              <w:rPr>
                <w:b/>
                <w:i w:val="0"/>
                <w:sz w:val="18"/>
              </w:rPr>
              <w:t>Value</w:t>
            </w:r>
          </w:p>
        </w:tc>
        <w:tc>
          <w:tcPr>
            <w:tcW w:type="dxa" w:w="2930"/>
            <w:tcBorders>
              <w:bottom w:val="single" w:sz="8" w:space="0" w:color="auto"/>
            </w:tcBorders>
          </w:tcPr>
          <w:p>
            <w:pPr>
              <w:pStyle w:val="MDPI42tablebody"/>
              <w:keepNext/>
              <w:spacing w:line="240" w:lineRule="auto" w:before="30" w:after="30"/>
              <w:jc w:val="center"/>
            </w:pPr>
            <w:r>
              <w:rPr>
                <w:b/>
                <w:i w:val="0"/>
                <w:sz w:val="18"/>
              </w:rPr>
              <w:t>Unit</w:t>
            </w:r>
          </w:p>
        </w:tc>
        <w:tc>
          <w:tcPr>
            <w:tcW w:type="dxa" w:w="1883"/>
            <w:tcBorders>
              <w:bottom w:val="single" w:sz="8" w:space="0" w:color="auto"/>
            </w:tcBorders>
          </w:tcPr>
          <w:p>
            <w:pPr>
              <w:pStyle w:val="MDPI42tablebody"/>
              <w:keepNext/>
              <w:spacing w:line="240" w:lineRule="auto" w:before="30" w:after="30"/>
              <w:jc w:val="center"/>
            </w:pPr>
            <w:r>
              <w:rPr>
                <w:b/>
                <w:i w:val="0"/>
                <w:sz w:val="18"/>
              </w:rPr>
              <w:t>Swept over</w:t>
            </w:r>
          </w:p>
        </w:tc>
        <w:tc>
          <w:tcPr>
            <w:tcW w:type="dxa" w:w="1883"/>
            <w:tcBorders>
              <w:bottom w:val="single" w:sz="8" w:space="0" w:color="auto"/>
            </w:tcBorders>
          </w:tcPr>
          <w:p>
            <w:pPr>
              <w:pStyle w:val="MDPI42tablebody"/>
              <w:keepNext/>
              <w:spacing w:line="240" w:lineRule="auto" w:before="30" w:after="30"/>
              <w:jc w:val="center"/>
            </w:pPr>
            <w:r>
              <w:rPr>
                <w:b/>
                <w:i w:val="0"/>
                <w:sz w:val="18"/>
              </w:rPr>
              <w:t>Provenance</w:t>
            </w:r>
          </w:p>
        </w:tc>
      </w:tr>
      <w:tr>
        <w:trPr>
          <w:cantSplit/>
        </w:trPr>
        <w:tc>
          <w:tcPr>
            <w:tcW w:type="dxa" w:w="2511"/>
          </w:tcPr>
          <w:p>
            <w:pPr>
              <w:pStyle w:val="MDPI42tablebody"/>
              <w:keepNext/>
              <w:spacing w:line="240" w:lineRule="auto" w:before="30" w:after="30"/>
              <w:jc w:val="left"/>
            </w:pPr>
            <w:r>
              <w:rPr>
                <w:b w:val="0"/>
                <w:i w:val="0"/>
                <w:sz w:val="18"/>
              </w:rPr>
              <w:t>blue cool day c</w:t>
            </w:r>
          </w:p>
        </w:tc>
        <w:tc>
          <w:tcPr>
            <w:tcW w:type="dxa" w:w="1255"/>
          </w:tcPr>
          <w:p>
            <w:pPr>
              <w:pStyle w:val="MDPI42tablebody"/>
              <w:keepNext/>
              <w:spacing w:line="240" w:lineRule="auto" w:before="30" w:after="30"/>
              <w:jc w:val="left"/>
            </w:pPr>
            <w:r>
              <w:rPr>
                <w:b w:val="0"/>
                <w:i w:val="0"/>
                <w:sz w:val="18"/>
              </w:rPr>
              <w:t>2</w:t>
            </w:r>
          </w:p>
        </w:tc>
        <w:tc>
          <w:tcPr>
            <w:tcW w:type="dxa" w:w="2930"/>
          </w:tcPr>
          <w:p>
            <w:pPr>
              <w:pStyle w:val="MDPI42tablebody"/>
              <w:keepNext/>
              <w:spacing w:line="240" w:lineRule="auto" w:before="30" w:after="30"/>
              <w:jc w:val="left"/>
            </w:pPr>
            <w:r>
              <w:rPr>
                <w:b w:val="0"/>
                <w:i w:val="0"/>
                <w:sz w:val="18"/>
              </w:rPr>
              <w:t>C</w:t>
            </w:r>
          </w:p>
        </w:tc>
        <w:tc>
          <w:tcPr>
            <w:tcW w:type="dxa" w:w="1883"/>
          </w:tcPr>
          <w:p>
            <w:pPr>
              <w:pStyle w:val="MDPI42tablebody"/>
              <w:keepNext/>
              <w:spacing w:line="240" w:lineRule="auto" w:before="30" w:after="30"/>
              <w:jc w:val="left"/>
            </w:pPr>
            <w:r>
              <w:rPr>
                <w:b w:val="0"/>
                <w:i w:val="0"/>
                <w:sz w:val="18"/>
              </w:rPr>
              <w:t>0.8–3.3</w:t>
            </w:r>
          </w:p>
        </w:tc>
        <w:tc>
          <w:tcPr>
            <w:tcW w:type="dxa" w:w="1883"/>
          </w:tcPr>
          <w:p>
            <w:pPr>
              <w:pStyle w:val="MDPI42tablebody"/>
              <w:keepNext/>
              <w:spacing w:line="240" w:lineRule="auto" w:before="30" w:after="30"/>
              <w:jc w:val="center"/>
            </w:pPr>
            <w:r>
              <w:rPr>
                <w:b w:val="0"/>
                <w:i w:val="0"/>
                <w:sz w:val="18"/>
              </w:rPr>
              <w:t>Literature</w:t>
            </w:r>
          </w:p>
        </w:tc>
      </w:tr>
      <w:tr>
        <w:trPr>
          <w:cantSplit/>
        </w:trPr>
        <w:tc>
          <w:tcPr>
            <w:tcW w:type="dxa" w:w="2511"/>
          </w:tcPr>
          <w:p>
            <w:pPr>
              <w:pStyle w:val="MDPI42tablebody"/>
              <w:keepNext/>
              <w:spacing w:line="240" w:lineRule="auto" w:before="30" w:after="30"/>
              <w:jc w:val="left"/>
            </w:pPr>
            <w:r>
              <w:rPr>
                <w:b w:val="0"/>
                <w:i w:val="0"/>
                <w:sz w:val="18"/>
              </w:rPr>
              <w:t>blue decay m</w:t>
            </w:r>
          </w:p>
        </w:tc>
        <w:tc>
          <w:tcPr>
            <w:tcW w:type="dxa" w:w="1255"/>
          </w:tcPr>
          <w:p>
            <w:pPr>
              <w:pStyle w:val="MDPI42tablebody"/>
              <w:keepNext/>
              <w:spacing w:line="240" w:lineRule="auto" w:before="30" w:after="30"/>
              <w:jc w:val="left"/>
            </w:pPr>
            <w:r>
              <w:rPr>
                <w:b w:val="0"/>
                <w:i w:val="0"/>
                <w:sz w:val="18"/>
              </w:rPr>
              <w:t>120</w:t>
            </w:r>
          </w:p>
        </w:tc>
        <w:tc>
          <w:tcPr>
            <w:tcW w:type="dxa" w:w="2930"/>
          </w:tcPr>
          <w:p>
            <w:pPr>
              <w:pStyle w:val="MDPI42tablebody"/>
              <w:keepNext/>
              <w:spacing w:line="240" w:lineRule="auto" w:before="30" w:after="30"/>
              <w:jc w:val="left"/>
            </w:pPr>
            <w:r>
              <w:rPr>
                <w:b w:val="0"/>
                <w:i w:val="0"/>
                <w:sz w:val="18"/>
              </w:rPr>
              <w:t>m</w:t>
            </w:r>
          </w:p>
        </w:tc>
        <w:tc>
          <w:tcPr>
            <w:tcW w:type="dxa" w:w="1883"/>
          </w:tcPr>
          <w:p>
            <w:pPr>
              <w:pStyle w:val="MDPI42tablebody"/>
              <w:keepNext/>
              <w:spacing w:line="240" w:lineRule="auto" w:before="30" w:after="30"/>
              <w:jc w:val="left"/>
            </w:pPr>
            <w:r>
              <w:rPr>
                <w:b w:val="0"/>
                <w:i w:val="0"/>
                <w:sz w:val="18"/>
              </w:rPr>
              <w:t>30–740</w:t>
            </w:r>
          </w:p>
        </w:tc>
        <w:tc>
          <w:tcPr>
            <w:tcW w:type="dxa" w:w="1883"/>
          </w:tcPr>
          <w:p>
            <w:pPr>
              <w:pStyle w:val="MDPI42tablebody"/>
              <w:keepNext/>
              <w:spacing w:line="240" w:lineRule="auto" w:before="30" w:after="30"/>
              <w:jc w:val="center"/>
            </w:pPr>
            <w:r>
              <w:rPr>
                <w:b w:val="0"/>
                <w:i w:val="0"/>
                <w:sz w:val="18"/>
              </w:rPr>
              <w:t>Literature</w:t>
            </w:r>
          </w:p>
        </w:tc>
      </w:tr>
      <w:tr>
        <w:trPr>
          <w:cantSplit/>
        </w:trPr>
        <w:tc>
          <w:tcPr>
            <w:tcW w:type="dxa" w:w="2511"/>
          </w:tcPr>
          <w:p>
            <w:pPr>
              <w:pStyle w:val="MDPI42tablebody"/>
              <w:keepNext/>
              <w:spacing w:line="240" w:lineRule="auto" w:before="30" w:after="30"/>
              <w:jc w:val="left"/>
            </w:pPr>
            <w:r>
              <w:rPr>
                <w:b w:val="0"/>
                <w:i w:val="0"/>
                <w:sz w:val="18"/>
              </w:rPr>
              <w:t>blue latitude pivot</w:t>
            </w:r>
          </w:p>
        </w:tc>
        <w:tc>
          <w:tcPr>
            <w:tcW w:type="dxa" w:w="1255"/>
          </w:tcPr>
          <w:p>
            <w:pPr>
              <w:pStyle w:val="MDPI42tablebody"/>
              <w:keepNext/>
              <w:spacing w:line="240" w:lineRule="auto" w:before="30" w:after="30"/>
              <w:jc w:val="left"/>
            </w:pPr>
            <w:r>
              <w:rPr>
                <w:b w:val="0"/>
                <w:i w:val="0"/>
                <w:sz w:val="18"/>
              </w:rPr>
              <w:t>45</w:t>
            </w:r>
          </w:p>
        </w:tc>
        <w:tc>
          <w:tcPr>
            <w:tcW w:type="dxa" w:w="2930"/>
          </w:tcPr>
          <w:p>
            <w:pPr>
              <w:pStyle w:val="MDPI42tablebody"/>
              <w:keepNext/>
              <w:spacing w:line="240" w:lineRule="auto" w:before="30" w:after="30"/>
              <w:jc w:val="left"/>
            </w:pPr>
            <w:r>
              <w:rPr>
                <w:b w:val="0"/>
                <w:i w:val="0"/>
                <w:sz w:val="18"/>
              </w:rPr>
              <w:t>degrees north</w:t>
            </w:r>
          </w:p>
        </w:tc>
        <w:tc>
          <w:tcPr>
            <w:tcW w:type="dxa" w:w="1883"/>
          </w:tcPr>
          <w:p>
            <w:pPr>
              <w:pStyle w:val="MDPI42tablebody"/>
              <w:keepNext/>
              <w:spacing w:line="240" w:lineRule="auto" w:before="30" w:after="30"/>
              <w:jc w:val="left"/>
            </w:pPr>
            <w:r>
              <w:rPr>
                <w:b w:val="0"/>
                <w:i w:val="0"/>
                <w:sz w:val="18"/>
              </w:rPr>
              <w:t>40–50</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blue night warming c</w:t>
            </w:r>
          </w:p>
        </w:tc>
        <w:tc>
          <w:tcPr>
            <w:tcW w:type="dxa" w:w="1255"/>
          </w:tcPr>
          <w:p>
            <w:pPr>
              <w:pStyle w:val="MDPI42tablebody"/>
              <w:keepNext/>
              <w:spacing w:line="240" w:lineRule="auto" w:before="30" w:after="30"/>
              <w:jc w:val="left"/>
            </w:pPr>
            <w:r>
              <w:rPr>
                <w:b w:val="0"/>
                <w:i w:val="0"/>
                <w:sz w:val="18"/>
              </w:rPr>
              <w:t>0.6</w:t>
            </w:r>
          </w:p>
        </w:tc>
        <w:tc>
          <w:tcPr>
            <w:tcW w:type="dxa" w:w="2930"/>
          </w:tcPr>
          <w:p>
            <w:pPr>
              <w:pStyle w:val="MDPI42tablebody"/>
              <w:keepNext/>
              <w:spacing w:line="240" w:lineRule="auto" w:before="30" w:after="30"/>
              <w:jc w:val="left"/>
            </w:pPr>
            <w:r>
              <w:rPr>
                <w:b w:val="0"/>
                <w:i w:val="0"/>
                <w:sz w:val="18"/>
              </w:rPr>
              <w:t>C</w:t>
            </w:r>
          </w:p>
        </w:tc>
        <w:tc>
          <w:tcPr>
            <w:tcW w:type="dxa" w:w="1883"/>
          </w:tcPr>
          <w:p>
            <w:pPr>
              <w:pStyle w:val="MDPI42tablebody"/>
              <w:keepNext/>
              <w:spacing w:line="240" w:lineRule="auto" w:before="30" w:after="30"/>
              <w:jc w:val="left"/>
            </w:pPr>
            <w:r>
              <w:rPr>
                <w:b w:val="0"/>
                <w:i w:val="0"/>
                <w:sz w:val="18"/>
              </w:rPr>
              <w:t>0–1.2</w:t>
            </w:r>
          </w:p>
        </w:tc>
        <w:tc>
          <w:tcPr>
            <w:tcW w:type="dxa" w:w="1883"/>
          </w:tcPr>
          <w:p>
            <w:pPr>
              <w:pStyle w:val="MDPI42tablebody"/>
              <w:keepNext/>
              <w:spacing w:line="240" w:lineRule="auto" w:before="30" w:after="30"/>
              <w:jc w:val="center"/>
            </w:pPr>
            <w:r>
              <w:rPr>
                <w:b w:val="0"/>
                <w:i w:val="0"/>
                <w:sz w:val="18"/>
              </w:rPr>
              <w:t>Literature</w:t>
            </w:r>
          </w:p>
        </w:tc>
      </w:tr>
      <w:tr>
        <w:trPr>
          <w:cantSplit/>
        </w:trPr>
        <w:tc>
          <w:tcPr>
            <w:tcW w:type="dxa" w:w="2511"/>
          </w:tcPr>
          <w:p>
            <w:pPr>
              <w:pStyle w:val="MDPI42tablebody"/>
              <w:keepNext/>
              <w:spacing w:line="240" w:lineRule="auto" w:before="30" w:after="30"/>
              <w:jc w:val="left"/>
            </w:pPr>
            <w:r>
              <w:rPr>
                <w:b w:val="0"/>
                <w:i w:val="0"/>
                <w:sz w:val="18"/>
              </w:rPr>
              <w:t>canopy air cooling</w:t>
            </w:r>
          </w:p>
        </w:tc>
        <w:tc>
          <w:tcPr>
            <w:tcW w:type="dxa" w:w="1255"/>
          </w:tcPr>
          <w:p>
            <w:pPr>
              <w:pStyle w:val="MDPI42tablebody"/>
              <w:keepNext/>
              <w:spacing w:line="240" w:lineRule="auto" w:before="30" w:after="30"/>
              <w:jc w:val="left"/>
            </w:pPr>
            <w:r>
              <w:rPr>
                <w:b w:val="0"/>
                <w:i w:val="0"/>
                <w:sz w:val="18"/>
              </w:rPr>
              <w:t>0.3</w:t>
            </w:r>
          </w:p>
        </w:tc>
        <w:tc>
          <w:tcPr>
            <w:tcW w:type="dxa" w:w="2930"/>
          </w:tcPr>
          <w:p>
            <w:pPr>
              <w:pStyle w:val="MDPI42tablebody"/>
              <w:keepNext/>
              <w:spacing w:line="240" w:lineRule="auto" w:before="30" w:after="30"/>
              <w:jc w:val="left"/>
            </w:pPr>
            <w:r>
              <w:rPr>
                <w:b w:val="0"/>
                <w:i w:val="0"/>
                <w:sz w:val="18"/>
              </w:rPr>
              <w:t>C per 10 percentage points of canopy</w:t>
            </w:r>
          </w:p>
        </w:tc>
        <w:tc>
          <w:tcPr>
            <w:tcW w:type="dxa" w:w="1883"/>
          </w:tcPr>
          <w:p>
            <w:pPr>
              <w:pStyle w:val="MDPI42tablebody"/>
              <w:keepNext/>
              <w:spacing w:line="240" w:lineRule="auto" w:before="30" w:after="30"/>
              <w:jc w:val="left"/>
            </w:pPr>
            <w:r>
              <w:rPr>
                <w:b w:val="0"/>
                <w:i w:val="0"/>
                <w:sz w:val="18"/>
              </w:rPr>
              <w:t>0.04–0.8</w:t>
            </w:r>
          </w:p>
        </w:tc>
        <w:tc>
          <w:tcPr>
            <w:tcW w:type="dxa" w:w="1883"/>
          </w:tcPr>
          <w:p>
            <w:pPr>
              <w:pStyle w:val="MDPI42tablebody"/>
              <w:keepNext/>
              <w:spacing w:line="240" w:lineRule="auto" w:before="30" w:after="30"/>
              <w:jc w:val="center"/>
            </w:pPr>
            <w:r>
              <w:rPr>
                <w:b w:val="0"/>
                <w:i w:val="0"/>
                <w:sz w:val="18"/>
              </w:rPr>
              <w:t>Literature</w:t>
            </w:r>
          </w:p>
        </w:tc>
      </w:tr>
      <w:tr>
        <w:trPr>
          <w:cantSplit/>
        </w:trPr>
        <w:tc>
          <w:tcPr>
            <w:tcW w:type="dxa" w:w="2511"/>
          </w:tcPr>
          <w:p>
            <w:pPr>
              <w:pStyle w:val="MDPI42tablebody"/>
              <w:keepNext/>
              <w:spacing w:line="240" w:lineRule="auto" w:before="30" w:after="30"/>
              <w:jc w:val="left"/>
            </w:pPr>
            <w:r>
              <w:rPr>
                <w:b w:val="0"/>
                <w:i w:val="0"/>
                <w:sz w:val="18"/>
              </w:rPr>
              <w:t>cost blue eur ha</w:t>
            </w:r>
          </w:p>
        </w:tc>
        <w:tc>
          <w:tcPr>
            <w:tcW w:type="dxa" w:w="1255"/>
          </w:tcPr>
          <w:p>
            <w:pPr>
              <w:pStyle w:val="MDPI42tablebody"/>
              <w:keepNext/>
              <w:spacing w:line="240" w:lineRule="auto" w:before="30" w:after="30"/>
              <w:jc w:val="left"/>
            </w:pPr>
            <w:r>
              <w:rPr>
                <w:b w:val="0"/>
                <w:i w:val="0"/>
                <w:sz w:val="18"/>
              </w:rPr>
              <w:t>900000</w:t>
            </w:r>
          </w:p>
        </w:tc>
        <w:tc>
          <w:tcPr>
            <w:tcW w:type="dxa" w:w="2930"/>
          </w:tcPr>
          <w:p>
            <w:pPr>
              <w:pStyle w:val="MDPI42tablebody"/>
              <w:keepNext/>
              <w:spacing w:line="240" w:lineRule="auto" w:before="30" w:after="30"/>
              <w:jc w:val="left"/>
            </w:pPr>
            <w:r>
              <w:rPr>
                <w:b w:val="0"/>
                <w:i w:val="0"/>
                <w:sz w:val="18"/>
              </w:rPr>
              <w:t>EUR per hectare</w:t>
            </w:r>
          </w:p>
        </w:tc>
        <w:tc>
          <w:tcPr>
            <w:tcW w:type="dxa" w:w="1883"/>
          </w:tcPr>
          <w:p>
            <w:pPr>
              <w:pStyle w:val="MDPI42tablebody"/>
              <w:keepNext/>
              <w:spacing w:line="240" w:lineRule="auto" w:before="30" w:after="30"/>
              <w:jc w:val="left"/>
            </w:pPr>
            <w:r>
              <w:rPr>
                <w:b w:val="0"/>
                <w:i w:val="0"/>
                <w:sz w:val="18"/>
              </w:rPr>
              <w:t>400000–1.8e+06</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cost tree eur</w:t>
            </w:r>
          </w:p>
        </w:tc>
        <w:tc>
          <w:tcPr>
            <w:tcW w:type="dxa" w:w="1255"/>
          </w:tcPr>
          <w:p>
            <w:pPr>
              <w:pStyle w:val="MDPI42tablebody"/>
              <w:keepNext/>
              <w:spacing w:line="240" w:lineRule="auto" w:before="30" w:after="30"/>
              <w:jc w:val="left"/>
            </w:pPr>
            <w:r>
              <w:rPr>
                <w:b w:val="0"/>
                <w:i w:val="0"/>
                <w:sz w:val="18"/>
              </w:rPr>
              <w:t>450</w:t>
            </w:r>
          </w:p>
        </w:tc>
        <w:tc>
          <w:tcPr>
            <w:tcW w:type="dxa" w:w="2930"/>
          </w:tcPr>
          <w:p>
            <w:pPr>
              <w:pStyle w:val="MDPI42tablebody"/>
              <w:keepNext/>
              <w:spacing w:line="240" w:lineRule="auto" w:before="30" w:after="30"/>
              <w:jc w:val="left"/>
            </w:pPr>
            <w:r>
              <w:rPr>
                <w:b w:val="0"/>
                <w:i w:val="0"/>
                <w:sz w:val="18"/>
              </w:rPr>
              <w:t>EUR per established tree</w:t>
            </w:r>
          </w:p>
        </w:tc>
        <w:tc>
          <w:tcPr>
            <w:tcW w:type="dxa" w:w="1883"/>
          </w:tcPr>
          <w:p>
            <w:pPr>
              <w:pStyle w:val="MDPI42tablebody"/>
              <w:keepNext/>
              <w:spacing w:line="240" w:lineRule="auto" w:before="30" w:after="30"/>
              <w:jc w:val="left"/>
            </w:pPr>
            <w:r>
              <w:rPr>
                <w:b w:val="0"/>
                <w:i w:val="0"/>
                <w:sz w:val="18"/>
              </w:rPr>
              <w:t>250–900</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outdoor share high</w:t>
            </w:r>
          </w:p>
        </w:tc>
        <w:tc>
          <w:tcPr>
            <w:tcW w:type="dxa" w:w="1255"/>
          </w:tcPr>
          <w:p>
            <w:pPr>
              <w:pStyle w:val="MDPI42tablebody"/>
              <w:keepNext/>
              <w:spacing w:line="240" w:lineRule="auto" w:before="30" w:after="30"/>
              <w:jc w:val="left"/>
            </w:pPr>
            <w:r>
              <w:rPr>
                <w:b w:val="0"/>
                <w:i w:val="0"/>
                <w:sz w:val="18"/>
              </w:rPr>
              <w:t>0.85</w:t>
            </w:r>
          </w:p>
        </w:tc>
        <w:tc>
          <w:tcPr>
            <w:tcW w:type="dxa" w:w="2930"/>
          </w:tcPr>
          <w:p>
            <w:pPr>
              <w:pStyle w:val="MDPI42tablebody"/>
              <w:keepNext/>
              <w:spacing w:line="240" w:lineRule="auto" w:before="30" w:after="30"/>
              <w:jc w:val="left"/>
            </w:pPr>
            <w:r>
              <w:rPr>
                <w:b w:val="0"/>
                <w:i w:val="0"/>
                <w:sz w:val="18"/>
              </w:rPr>
              <w:t>share</w:t>
            </w:r>
          </w:p>
        </w:tc>
        <w:tc>
          <w:tcPr>
            <w:tcW w:type="dxa" w:w="1883"/>
          </w:tcPr>
          <w:p>
            <w:pPr>
              <w:pStyle w:val="MDPI42tablebody"/>
              <w:keepNext/>
              <w:spacing w:line="240" w:lineRule="auto" w:before="30" w:after="30"/>
              <w:jc w:val="left"/>
            </w:pPr>
            <w:r>
              <w:rPr>
                <w:b w:val="0"/>
                <w:i w:val="0"/>
                <w:sz w:val="18"/>
              </w:rPr>
              <w:t>0.7–0.95</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outdoor share low</w:t>
            </w:r>
          </w:p>
        </w:tc>
        <w:tc>
          <w:tcPr>
            <w:tcW w:type="dxa" w:w="1255"/>
          </w:tcPr>
          <w:p>
            <w:pPr>
              <w:pStyle w:val="MDPI42tablebody"/>
              <w:keepNext/>
              <w:spacing w:line="240" w:lineRule="auto" w:before="30" w:after="30"/>
              <w:jc w:val="left"/>
            </w:pPr>
            <w:r>
              <w:rPr>
                <w:b w:val="0"/>
                <w:i w:val="0"/>
                <w:sz w:val="18"/>
              </w:rPr>
              <w:t>0.12</w:t>
            </w:r>
          </w:p>
        </w:tc>
        <w:tc>
          <w:tcPr>
            <w:tcW w:type="dxa" w:w="2930"/>
          </w:tcPr>
          <w:p>
            <w:pPr>
              <w:pStyle w:val="MDPI42tablebody"/>
              <w:keepNext/>
              <w:spacing w:line="240" w:lineRule="auto" w:before="30" w:after="30"/>
              <w:jc w:val="left"/>
            </w:pPr>
            <w:r>
              <w:rPr>
                <w:b w:val="0"/>
                <w:i w:val="0"/>
                <w:sz w:val="18"/>
              </w:rPr>
              <w:t>share</w:t>
            </w:r>
          </w:p>
        </w:tc>
        <w:tc>
          <w:tcPr>
            <w:tcW w:type="dxa" w:w="1883"/>
          </w:tcPr>
          <w:p>
            <w:pPr>
              <w:pStyle w:val="MDPI42tablebody"/>
              <w:keepNext/>
              <w:spacing w:line="240" w:lineRule="auto" w:before="30" w:after="30"/>
              <w:jc w:val="left"/>
            </w:pPr>
            <w:r>
              <w:rPr>
                <w:b w:val="0"/>
                <w:i w:val="0"/>
                <w:sz w:val="18"/>
              </w:rPr>
              <w:t>0.03–0.25</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outdoor share moderate</w:t>
            </w:r>
          </w:p>
        </w:tc>
        <w:tc>
          <w:tcPr>
            <w:tcW w:type="dxa" w:w="1255"/>
          </w:tcPr>
          <w:p>
            <w:pPr>
              <w:pStyle w:val="MDPI42tablebody"/>
              <w:keepNext/>
              <w:spacing w:line="240" w:lineRule="auto" w:before="30" w:after="30"/>
              <w:jc w:val="left"/>
            </w:pPr>
            <w:r>
              <w:rPr>
                <w:b w:val="0"/>
                <w:i w:val="0"/>
                <w:sz w:val="18"/>
              </w:rPr>
              <w:t>0.45</w:t>
            </w:r>
          </w:p>
        </w:tc>
        <w:tc>
          <w:tcPr>
            <w:tcW w:type="dxa" w:w="2930"/>
          </w:tcPr>
          <w:p>
            <w:pPr>
              <w:pStyle w:val="MDPI42tablebody"/>
              <w:keepNext/>
              <w:spacing w:line="240" w:lineRule="auto" w:before="30" w:after="30"/>
              <w:jc w:val="left"/>
            </w:pPr>
            <w:r>
              <w:rPr>
                <w:b w:val="0"/>
                <w:i w:val="0"/>
                <w:sz w:val="18"/>
              </w:rPr>
              <w:t>share</w:t>
            </w:r>
          </w:p>
        </w:tc>
        <w:tc>
          <w:tcPr>
            <w:tcW w:type="dxa" w:w="1883"/>
          </w:tcPr>
          <w:p>
            <w:pPr>
              <w:pStyle w:val="MDPI42tablebody"/>
              <w:keepNext/>
              <w:spacing w:line="240" w:lineRule="auto" w:before="30" w:after="30"/>
              <w:jc w:val="left"/>
            </w:pPr>
            <w:r>
              <w:rPr>
                <w:b w:val="0"/>
                <w:i w:val="0"/>
                <w:sz w:val="18"/>
              </w:rPr>
              <w:t>0.25–0.65</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park cool island c</w:t>
            </w:r>
          </w:p>
        </w:tc>
        <w:tc>
          <w:tcPr>
            <w:tcW w:type="dxa" w:w="1255"/>
          </w:tcPr>
          <w:p>
            <w:pPr>
              <w:pStyle w:val="MDPI42tablebody"/>
              <w:keepNext/>
              <w:spacing w:line="240" w:lineRule="auto" w:before="30" w:after="30"/>
              <w:jc w:val="left"/>
            </w:pPr>
            <w:r>
              <w:rPr>
                <w:b w:val="0"/>
                <w:i w:val="0"/>
                <w:sz w:val="18"/>
              </w:rPr>
              <w:t>1.1</w:t>
            </w:r>
          </w:p>
        </w:tc>
        <w:tc>
          <w:tcPr>
            <w:tcW w:type="dxa" w:w="2930"/>
          </w:tcPr>
          <w:p>
            <w:pPr>
              <w:pStyle w:val="MDPI42tablebody"/>
              <w:keepNext/>
              <w:spacing w:line="240" w:lineRule="auto" w:before="30" w:after="30"/>
              <w:jc w:val="left"/>
            </w:pPr>
            <w:r>
              <w:rPr>
                <w:b w:val="0"/>
                <w:i w:val="0"/>
                <w:sz w:val="18"/>
              </w:rPr>
              <w:t>C</w:t>
            </w:r>
          </w:p>
        </w:tc>
        <w:tc>
          <w:tcPr>
            <w:tcW w:type="dxa" w:w="1883"/>
          </w:tcPr>
          <w:p>
            <w:pPr>
              <w:pStyle w:val="MDPI42tablebody"/>
              <w:keepNext/>
              <w:spacing w:line="240" w:lineRule="auto" w:before="30" w:after="30"/>
              <w:jc w:val="left"/>
            </w:pPr>
            <w:r>
              <w:rPr>
                <w:b w:val="0"/>
                <w:i w:val="0"/>
                <w:sz w:val="18"/>
              </w:rPr>
              <w:t>0.5–2.5</w:t>
            </w:r>
          </w:p>
        </w:tc>
        <w:tc>
          <w:tcPr>
            <w:tcW w:type="dxa" w:w="1883"/>
          </w:tcPr>
          <w:p>
            <w:pPr>
              <w:pStyle w:val="MDPI42tablebody"/>
              <w:keepNext/>
              <w:spacing w:line="240" w:lineRule="auto" w:before="30" w:after="30"/>
              <w:jc w:val="center"/>
            </w:pPr>
            <w:r>
              <w:rPr>
                <w:b w:val="0"/>
                <w:i w:val="0"/>
                <w:sz w:val="18"/>
              </w:rPr>
              <w:t>Literature</w:t>
            </w:r>
          </w:p>
        </w:tc>
      </w:tr>
      <w:tr>
        <w:trPr>
          <w:cantSplit/>
        </w:trPr>
        <w:tc>
          <w:tcPr>
            <w:tcW w:type="dxa" w:w="2511"/>
          </w:tcPr>
          <w:p>
            <w:pPr>
              <w:pStyle w:val="MDPI42tablebody"/>
              <w:keepNext/>
              <w:spacing w:line="240" w:lineRule="auto" w:before="30" w:after="30"/>
              <w:jc w:val="left"/>
            </w:pPr>
            <w:r>
              <w:rPr>
                <w:b w:val="0"/>
                <w:i w:val="0"/>
                <w:sz w:val="18"/>
              </w:rPr>
              <w:t>park decay m</w:t>
            </w:r>
          </w:p>
        </w:tc>
        <w:tc>
          <w:tcPr>
            <w:tcW w:type="dxa" w:w="1255"/>
          </w:tcPr>
          <w:p>
            <w:pPr>
              <w:pStyle w:val="MDPI42tablebody"/>
              <w:keepNext/>
              <w:spacing w:line="240" w:lineRule="auto" w:before="30" w:after="30"/>
              <w:jc w:val="left"/>
            </w:pPr>
            <w:r>
              <w:rPr>
                <w:b w:val="0"/>
                <w:i w:val="0"/>
                <w:sz w:val="18"/>
              </w:rPr>
              <w:t>180</w:t>
            </w:r>
          </w:p>
        </w:tc>
        <w:tc>
          <w:tcPr>
            <w:tcW w:type="dxa" w:w="2930"/>
          </w:tcPr>
          <w:p>
            <w:pPr>
              <w:pStyle w:val="MDPI42tablebody"/>
              <w:keepNext/>
              <w:spacing w:line="240" w:lineRule="auto" w:before="30" w:after="30"/>
              <w:jc w:val="left"/>
            </w:pPr>
            <w:r>
              <w:rPr>
                <w:b w:val="0"/>
                <w:i w:val="0"/>
                <w:sz w:val="18"/>
              </w:rPr>
              <w:t>m</w:t>
            </w:r>
          </w:p>
        </w:tc>
        <w:tc>
          <w:tcPr>
            <w:tcW w:type="dxa" w:w="1883"/>
          </w:tcPr>
          <w:p>
            <w:pPr>
              <w:pStyle w:val="MDPI42tablebody"/>
              <w:keepNext/>
              <w:spacing w:line="240" w:lineRule="auto" w:before="30" w:after="30"/>
              <w:jc w:val="left"/>
            </w:pPr>
            <w:r>
              <w:rPr>
                <w:b w:val="0"/>
                <w:i w:val="0"/>
                <w:sz w:val="18"/>
              </w:rPr>
              <w:t>80–400</w:t>
            </w:r>
          </w:p>
        </w:tc>
        <w:tc>
          <w:tcPr>
            <w:tcW w:type="dxa" w:w="1883"/>
          </w:tcPr>
          <w:p>
            <w:pPr>
              <w:pStyle w:val="MDPI42tablebody"/>
              <w:keepNext/>
              <w:spacing w:line="240" w:lineRule="auto" w:before="30" w:after="30"/>
              <w:jc w:val="center"/>
            </w:pPr>
            <w:r>
              <w:rPr>
                <w:b w:val="0"/>
                <w:i w:val="0"/>
                <w:sz w:val="18"/>
              </w:rPr>
              <w:t>Literature</w:t>
            </w:r>
          </w:p>
        </w:tc>
      </w:tr>
      <w:tr>
        <w:trPr>
          <w:cantSplit/>
        </w:trPr>
        <w:tc>
          <w:tcPr>
            <w:tcW w:type="dxa" w:w="2511"/>
          </w:tcPr>
          <w:p>
            <w:pPr>
              <w:pStyle w:val="MDPI42tablebody"/>
              <w:keepNext/>
              <w:spacing w:line="240" w:lineRule="auto" w:before="30" w:after="30"/>
              <w:jc w:val="left"/>
            </w:pPr>
            <w:r>
              <w:rPr>
                <w:b w:val="0"/>
                <w:i w:val="0"/>
                <w:sz w:val="18"/>
              </w:rPr>
              <w:t>radiant gain</w:t>
            </w:r>
          </w:p>
        </w:tc>
        <w:tc>
          <w:tcPr>
            <w:tcW w:type="dxa" w:w="1255"/>
          </w:tcPr>
          <w:p>
            <w:pPr>
              <w:pStyle w:val="MDPI42tablebody"/>
              <w:keepNext/>
              <w:spacing w:line="240" w:lineRule="auto" w:before="30" w:after="30"/>
              <w:jc w:val="left"/>
            </w:pPr>
            <w:r>
              <w:rPr>
                <w:b w:val="0"/>
                <w:i w:val="0"/>
                <w:sz w:val="18"/>
              </w:rPr>
              <w:t>0.24</w:t>
            </w:r>
          </w:p>
        </w:tc>
        <w:tc>
          <w:tcPr>
            <w:tcW w:type="dxa" w:w="2930"/>
          </w:tcPr>
          <w:p>
            <w:pPr>
              <w:pStyle w:val="MDPI42tablebody"/>
              <w:keepNext/>
              <w:spacing w:line="240" w:lineRule="auto" w:before="30" w:after="30"/>
              <w:jc w:val="left"/>
            </w:pPr>
            <w:r>
              <w:rPr>
                <w:b w:val="0"/>
                <w:i w:val="0"/>
                <w:sz w:val="18"/>
              </w:rPr>
              <w:t>C (W m-2)^−0.5 (m s-1)^0.5</w:t>
            </w:r>
          </w:p>
        </w:tc>
        <w:tc>
          <w:tcPr>
            <w:tcW w:type="dxa" w:w="1883"/>
          </w:tcPr>
          <w:p>
            <w:pPr>
              <w:pStyle w:val="MDPI42tablebody"/>
              <w:keepNext/>
              <w:spacing w:line="240" w:lineRule="auto" w:before="30" w:after="30"/>
              <w:jc w:val="left"/>
            </w:pPr>
            <w:r>
              <w:rPr>
                <w:b w:val="0"/>
                <w:i w:val="0"/>
                <w:sz w:val="18"/>
              </w:rPr>
              <w:t>0.18–0.36</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solar noon wm2</w:t>
            </w:r>
          </w:p>
        </w:tc>
        <w:tc>
          <w:tcPr>
            <w:tcW w:type="dxa" w:w="1255"/>
          </w:tcPr>
          <w:p>
            <w:pPr>
              <w:pStyle w:val="MDPI42tablebody"/>
              <w:keepNext/>
              <w:spacing w:line="240" w:lineRule="auto" w:before="30" w:after="30"/>
              <w:jc w:val="left"/>
            </w:pPr>
            <w:r>
              <w:rPr>
                <w:b w:val="0"/>
                <w:i w:val="0"/>
                <w:sz w:val="18"/>
              </w:rPr>
              <w:t>780</w:t>
            </w:r>
          </w:p>
        </w:tc>
        <w:tc>
          <w:tcPr>
            <w:tcW w:type="dxa" w:w="2930"/>
          </w:tcPr>
          <w:p>
            <w:pPr>
              <w:pStyle w:val="MDPI42tablebody"/>
              <w:keepNext/>
              <w:spacing w:line="240" w:lineRule="auto" w:before="30" w:after="30"/>
              <w:jc w:val="left"/>
            </w:pPr>
            <w:r>
              <w:rPr>
                <w:b w:val="0"/>
                <w:i w:val="0"/>
                <w:sz w:val="18"/>
              </w:rPr>
              <w:t>W m-2</w:t>
            </w:r>
          </w:p>
        </w:tc>
        <w:tc>
          <w:tcPr>
            <w:tcW w:type="dxa" w:w="1883"/>
          </w:tcPr>
          <w:p>
            <w:pPr>
              <w:pStyle w:val="MDPI42tablebody"/>
              <w:keepNext/>
              <w:spacing w:line="240" w:lineRule="auto" w:before="30" w:after="30"/>
              <w:jc w:val="left"/>
            </w:pPr>
            <w:r>
              <w:rPr>
                <w:b w:val="0"/>
                <w:i w:val="0"/>
                <w:sz w:val="18"/>
              </w:rPr>
              <w:t>650–900</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svf canyon</w:t>
            </w:r>
          </w:p>
        </w:tc>
        <w:tc>
          <w:tcPr>
            <w:tcW w:type="dxa" w:w="1255"/>
          </w:tcPr>
          <w:p>
            <w:pPr>
              <w:pStyle w:val="MDPI42tablebody"/>
              <w:keepNext/>
              <w:spacing w:line="240" w:lineRule="auto" w:before="30" w:after="30"/>
              <w:jc w:val="left"/>
            </w:pPr>
            <w:r>
              <w:rPr>
                <w:b w:val="0"/>
                <w:i w:val="0"/>
                <w:sz w:val="18"/>
              </w:rPr>
              <w:t>0.45</w:t>
            </w:r>
          </w:p>
        </w:tc>
        <w:tc>
          <w:tcPr>
            <w:tcW w:type="dxa" w:w="2930"/>
          </w:tcPr>
          <w:p>
            <w:pPr>
              <w:pStyle w:val="MDPI42tablebody"/>
              <w:keepNext/>
              <w:spacing w:line="240" w:lineRule="auto" w:before="30" w:after="30"/>
              <w:jc w:val="left"/>
            </w:pPr>
            <w:r>
              <w:rPr>
                <w:b w:val="0"/>
                <w:i w:val="0"/>
                <w:sz w:val="18"/>
              </w:rPr>
              <w:t>dimensionless</w:t>
            </w:r>
          </w:p>
        </w:tc>
        <w:tc>
          <w:tcPr>
            <w:tcW w:type="dxa" w:w="1883"/>
          </w:tcPr>
          <w:p>
            <w:pPr>
              <w:pStyle w:val="MDPI42tablebody"/>
              <w:keepNext/>
              <w:spacing w:line="240" w:lineRule="auto" w:before="30" w:after="30"/>
              <w:jc w:val="left"/>
            </w:pPr>
            <w:r>
              <w:rPr>
                <w:b w:val="0"/>
                <w:i w:val="0"/>
                <w:sz w:val="18"/>
              </w:rPr>
              <w:t>0.3–0.6</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svf open</w:t>
            </w:r>
          </w:p>
        </w:tc>
        <w:tc>
          <w:tcPr>
            <w:tcW w:type="dxa" w:w="1255"/>
          </w:tcPr>
          <w:p>
            <w:pPr>
              <w:pStyle w:val="MDPI42tablebody"/>
              <w:keepNext/>
              <w:spacing w:line="240" w:lineRule="auto" w:before="30" w:after="30"/>
              <w:jc w:val="left"/>
            </w:pPr>
            <w:r>
              <w:rPr>
                <w:b w:val="0"/>
                <w:i w:val="0"/>
                <w:sz w:val="18"/>
              </w:rPr>
              <w:t>0.92</w:t>
            </w:r>
          </w:p>
        </w:tc>
        <w:tc>
          <w:tcPr>
            <w:tcW w:type="dxa" w:w="2930"/>
          </w:tcPr>
          <w:p>
            <w:pPr>
              <w:pStyle w:val="MDPI42tablebody"/>
              <w:keepNext/>
              <w:spacing w:line="240" w:lineRule="auto" w:before="30" w:after="30"/>
              <w:jc w:val="left"/>
            </w:pPr>
            <w:r>
              <w:rPr>
                <w:b w:val="0"/>
                <w:i w:val="0"/>
                <w:sz w:val="18"/>
              </w:rPr>
              <w:t>dimensionless</w:t>
            </w:r>
          </w:p>
        </w:tc>
        <w:tc>
          <w:tcPr>
            <w:tcW w:type="dxa" w:w="1883"/>
          </w:tcPr>
          <w:p>
            <w:pPr>
              <w:pStyle w:val="MDPI42tablebody"/>
              <w:keepNext/>
              <w:spacing w:line="240" w:lineRule="auto" w:before="30" w:after="30"/>
              <w:jc w:val="left"/>
            </w:pPr>
            <w:r>
              <w:rPr>
                <w:b w:val="0"/>
                <w:i w:val="0"/>
                <w:sz w:val="18"/>
              </w:rPr>
              <w:t>0.85–0.98</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svf under canopy</w:t>
            </w:r>
          </w:p>
        </w:tc>
        <w:tc>
          <w:tcPr>
            <w:tcW w:type="dxa" w:w="1255"/>
          </w:tcPr>
          <w:p>
            <w:pPr>
              <w:pStyle w:val="MDPI42tablebody"/>
              <w:keepNext/>
              <w:spacing w:line="240" w:lineRule="auto" w:before="30" w:after="30"/>
              <w:jc w:val="left"/>
            </w:pPr>
            <w:r>
              <w:rPr>
                <w:b w:val="0"/>
                <w:i w:val="0"/>
                <w:sz w:val="18"/>
              </w:rPr>
              <w:t>0.15</w:t>
            </w:r>
          </w:p>
        </w:tc>
        <w:tc>
          <w:tcPr>
            <w:tcW w:type="dxa" w:w="2930"/>
          </w:tcPr>
          <w:p>
            <w:pPr>
              <w:pStyle w:val="MDPI42tablebody"/>
              <w:keepNext/>
              <w:spacing w:line="240" w:lineRule="auto" w:before="30" w:after="30"/>
              <w:jc w:val="left"/>
            </w:pPr>
            <w:r>
              <w:rPr>
                <w:b w:val="0"/>
                <w:i w:val="0"/>
                <w:sz w:val="18"/>
              </w:rPr>
              <w:t>dimensionless</w:t>
            </w:r>
          </w:p>
        </w:tc>
        <w:tc>
          <w:tcPr>
            <w:tcW w:type="dxa" w:w="1883"/>
          </w:tcPr>
          <w:p>
            <w:pPr>
              <w:pStyle w:val="MDPI42tablebody"/>
              <w:keepNext/>
              <w:spacing w:line="240" w:lineRule="auto" w:before="30" w:after="30"/>
              <w:jc w:val="left"/>
            </w:pPr>
            <w:r>
              <w:rPr>
                <w:b w:val="0"/>
                <w:i w:val="0"/>
                <w:sz w:val="18"/>
              </w:rPr>
              <w:t>0.08–0.28</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trees per ha</w:t>
            </w:r>
          </w:p>
        </w:tc>
        <w:tc>
          <w:tcPr>
            <w:tcW w:type="dxa" w:w="1255"/>
          </w:tcPr>
          <w:p>
            <w:pPr>
              <w:pStyle w:val="MDPI42tablebody"/>
              <w:keepNext/>
              <w:spacing w:line="240" w:lineRule="auto" w:before="30" w:after="30"/>
              <w:jc w:val="left"/>
            </w:pPr>
            <w:r>
              <w:rPr>
                <w:b w:val="0"/>
                <w:i w:val="0"/>
                <w:sz w:val="18"/>
              </w:rPr>
              <w:t>120</w:t>
            </w:r>
          </w:p>
        </w:tc>
        <w:tc>
          <w:tcPr>
            <w:tcW w:type="dxa" w:w="2930"/>
          </w:tcPr>
          <w:p>
            <w:pPr>
              <w:pStyle w:val="MDPI42tablebody"/>
              <w:keepNext/>
              <w:spacing w:line="240" w:lineRule="auto" w:before="30" w:after="30"/>
              <w:jc w:val="left"/>
            </w:pPr>
            <w:r>
              <w:rPr>
                <w:b w:val="0"/>
                <w:i w:val="0"/>
                <w:sz w:val="18"/>
              </w:rPr>
              <w:t>trees per hectare</w:t>
            </w:r>
          </w:p>
        </w:tc>
        <w:tc>
          <w:tcPr>
            <w:tcW w:type="dxa" w:w="1883"/>
          </w:tcPr>
          <w:p>
            <w:pPr>
              <w:pStyle w:val="MDPI42tablebody"/>
              <w:keepNext/>
              <w:spacing w:line="240" w:lineRule="auto" w:before="30" w:after="30"/>
              <w:jc w:val="left"/>
            </w:pPr>
            <w:r>
              <w:rPr>
                <w:b w:val="0"/>
                <w:i w:val="0"/>
                <w:sz w:val="18"/>
              </w:rPr>
              <w:t>80–180</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uhi max c</w:t>
            </w:r>
          </w:p>
        </w:tc>
        <w:tc>
          <w:tcPr>
            <w:tcW w:type="dxa" w:w="1255"/>
          </w:tcPr>
          <w:p>
            <w:pPr>
              <w:pStyle w:val="MDPI42tablebody"/>
              <w:keepNext/>
              <w:spacing w:line="240" w:lineRule="auto" w:before="30" w:after="30"/>
              <w:jc w:val="left"/>
            </w:pPr>
            <w:r>
              <w:rPr>
                <w:b w:val="0"/>
                <w:i w:val="0"/>
                <w:sz w:val="18"/>
              </w:rPr>
              <w:t>3.2</w:t>
            </w:r>
          </w:p>
        </w:tc>
        <w:tc>
          <w:tcPr>
            <w:tcW w:type="dxa" w:w="2930"/>
          </w:tcPr>
          <w:p>
            <w:pPr>
              <w:pStyle w:val="MDPI42tablebody"/>
              <w:keepNext/>
              <w:spacing w:line="240" w:lineRule="auto" w:before="30" w:after="30"/>
              <w:jc w:val="left"/>
            </w:pPr>
            <w:r>
              <w:rPr>
                <w:b w:val="0"/>
                <w:i w:val="0"/>
                <w:sz w:val="18"/>
              </w:rPr>
              <w:t>C</w:t>
            </w:r>
          </w:p>
        </w:tc>
        <w:tc>
          <w:tcPr>
            <w:tcW w:type="dxa" w:w="1883"/>
          </w:tcPr>
          <w:p>
            <w:pPr>
              <w:pStyle w:val="MDPI42tablebody"/>
              <w:keepNext/>
              <w:spacing w:line="240" w:lineRule="auto" w:before="30" w:after="30"/>
              <w:jc w:val="left"/>
            </w:pPr>
            <w:r>
              <w:rPr>
                <w:b w:val="0"/>
                <w:i w:val="0"/>
                <w:sz w:val="18"/>
              </w:rPr>
              <w:t>1.5–5</w:t>
            </w:r>
          </w:p>
        </w:tc>
        <w:tc>
          <w:tcPr>
            <w:tcW w:type="dxa" w:w="1883"/>
          </w:tcPr>
          <w:p>
            <w:pPr>
              <w:pStyle w:val="MDPI42tablebody"/>
              <w:keepNext/>
              <w:spacing w:line="240" w:lineRule="auto" w:before="30" w:after="30"/>
              <w:jc w:val="center"/>
            </w:pPr>
            <w:r>
              <w:rPr>
                <w:b w:val="0"/>
                <w:i w:val="0"/>
                <w:sz w:val="18"/>
              </w:rPr>
              <w:t>Literature</w:t>
            </w:r>
          </w:p>
        </w:tc>
      </w:tr>
      <w:tr>
        <w:trPr>
          <w:cantSplit/>
        </w:trPr>
        <w:tc>
          <w:tcPr>
            <w:tcW w:type="dxa" w:w="2511"/>
          </w:tcPr>
          <w:p>
            <w:pPr>
              <w:pStyle w:val="MDPI42tablebody"/>
              <w:keepNext/>
              <w:spacing w:line="240" w:lineRule="auto" w:before="30" w:after="30"/>
              <w:jc w:val="left"/>
            </w:pPr>
            <w:r>
              <w:rPr>
                <w:b w:val="0"/>
                <w:i w:val="0"/>
                <w:sz w:val="18"/>
              </w:rPr>
              <w:t>wind canyon ms</w:t>
            </w:r>
          </w:p>
        </w:tc>
        <w:tc>
          <w:tcPr>
            <w:tcW w:type="dxa" w:w="1255"/>
          </w:tcPr>
          <w:p>
            <w:pPr>
              <w:pStyle w:val="MDPI42tablebody"/>
              <w:keepNext/>
              <w:spacing w:line="240" w:lineRule="auto" w:before="30" w:after="30"/>
              <w:jc w:val="left"/>
            </w:pPr>
            <w:r>
              <w:rPr>
                <w:b w:val="0"/>
                <w:i w:val="0"/>
                <w:sz w:val="18"/>
              </w:rPr>
              <w:t>1.4</w:t>
            </w:r>
          </w:p>
        </w:tc>
        <w:tc>
          <w:tcPr>
            <w:tcW w:type="dxa" w:w="2930"/>
          </w:tcPr>
          <w:p>
            <w:pPr>
              <w:pStyle w:val="MDPI42tablebody"/>
              <w:keepNext/>
              <w:spacing w:line="240" w:lineRule="auto" w:before="30" w:after="30"/>
              <w:jc w:val="left"/>
            </w:pPr>
            <w:r>
              <w:rPr>
                <w:b w:val="0"/>
                <w:i w:val="0"/>
                <w:sz w:val="18"/>
              </w:rPr>
              <w:t>m s-1</w:t>
            </w:r>
          </w:p>
        </w:tc>
        <w:tc>
          <w:tcPr>
            <w:tcW w:type="dxa" w:w="1883"/>
          </w:tcPr>
          <w:p>
            <w:pPr>
              <w:pStyle w:val="MDPI42tablebody"/>
              <w:keepNext/>
              <w:spacing w:line="240" w:lineRule="auto" w:before="30" w:after="30"/>
              <w:jc w:val="left"/>
            </w:pPr>
            <w:r>
              <w:rPr>
                <w:b w:val="0"/>
                <w:i w:val="0"/>
                <w:sz w:val="18"/>
              </w:rPr>
              <w:t>0.8–2.2</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wind floor ms</w:t>
            </w:r>
          </w:p>
        </w:tc>
        <w:tc>
          <w:tcPr>
            <w:tcW w:type="dxa" w:w="1255"/>
          </w:tcPr>
          <w:p>
            <w:pPr>
              <w:pStyle w:val="MDPI42tablebody"/>
              <w:keepNext/>
              <w:spacing w:line="240" w:lineRule="auto" w:before="30" w:after="30"/>
              <w:jc w:val="left"/>
            </w:pPr>
            <w:r>
              <w:rPr>
                <w:b w:val="0"/>
                <w:i w:val="0"/>
                <w:sz w:val="18"/>
              </w:rPr>
              <w:t>0.5</w:t>
            </w:r>
          </w:p>
        </w:tc>
        <w:tc>
          <w:tcPr>
            <w:tcW w:type="dxa" w:w="2930"/>
          </w:tcPr>
          <w:p>
            <w:pPr>
              <w:pStyle w:val="MDPI42tablebody"/>
              <w:keepNext/>
              <w:spacing w:line="240" w:lineRule="auto" w:before="30" w:after="30"/>
              <w:jc w:val="left"/>
            </w:pPr>
            <w:r>
              <w:rPr>
                <w:b w:val="0"/>
                <w:i w:val="0"/>
                <w:sz w:val="18"/>
              </w:rPr>
              <w:t>m s-1</w:t>
            </w:r>
          </w:p>
        </w:tc>
        <w:tc>
          <w:tcPr>
            <w:tcW w:type="dxa" w:w="1883"/>
          </w:tcPr>
          <w:p>
            <w:pPr>
              <w:pStyle w:val="MDPI42tablebody"/>
              <w:keepNext/>
              <w:spacing w:line="240" w:lineRule="auto" w:before="30" w:after="30"/>
              <w:jc w:val="left"/>
            </w:pPr>
            <w:r>
              <w:rPr>
                <w:b w:val="0"/>
                <w:i w:val="0"/>
                <w:sz w:val="18"/>
              </w:rPr>
              <w:t>0.3–1</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wind open ms</w:t>
            </w:r>
          </w:p>
        </w:tc>
        <w:tc>
          <w:tcPr>
            <w:tcW w:type="dxa" w:w="1255"/>
          </w:tcPr>
          <w:p>
            <w:pPr>
              <w:pStyle w:val="MDPI42tablebody"/>
              <w:keepNext/>
              <w:spacing w:line="240" w:lineRule="auto" w:before="30" w:after="30"/>
              <w:jc w:val="left"/>
            </w:pPr>
            <w:r>
              <w:rPr>
                <w:b w:val="0"/>
                <w:i w:val="0"/>
                <w:sz w:val="18"/>
              </w:rPr>
              <w:t>2.6</w:t>
            </w:r>
          </w:p>
        </w:tc>
        <w:tc>
          <w:tcPr>
            <w:tcW w:type="dxa" w:w="2930"/>
          </w:tcPr>
          <w:p>
            <w:pPr>
              <w:pStyle w:val="MDPI42tablebody"/>
              <w:keepNext/>
              <w:spacing w:line="240" w:lineRule="auto" w:before="30" w:after="30"/>
              <w:jc w:val="left"/>
            </w:pPr>
            <w:r>
              <w:rPr>
                <w:b w:val="0"/>
                <w:i w:val="0"/>
                <w:sz w:val="18"/>
              </w:rPr>
              <w:t>m s-1</w:t>
            </w:r>
          </w:p>
        </w:tc>
        <w:tc>
          <w:tcPr>
            <w:tcW w:type="dxa" w:w="1883"/>
          </w:tcPr>
          <w:p>
            <w:pPr>
              <w:pStyle w:val="MDPI42tablebody"/>
              <w:keepNext/>
              <w:spacing w:line="240" w:lineRule="auto" w:before="30" w:after="30"/>
              <w:jc w:val="left"/>
            </w:pPr>
            <w:r>
              <w:rPr>
                <w:b w:val="0"/>
                <w:i w:val="0"/>
                <w:sz w:val="18"/>
              </w:rPr>
              <w:t>1.8–3.6</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work hours per day</w:t>
            </w:r>
          </w:p>
        </w:tc>
        <w:tc>
          <w:tcPr>
            <w:tcW w:type="dxa" w:w="1255"/>
          </w:tcPr>
          <w:p>
            <w:pPr>
              <w:pStyle w:val="MDPI42tablebody"/>
              <w:keepNext/>
              <w:spacing w:line="240" w:lineRule="auto" w:before="30" w:after="30"/>
              <w:jc w:val="left"/>
            </w:pPr>
            <w:r>
              <w:rPr>
                <w:b w:val="0"/>
                <w:i w:val="0"/>
                <w:sz w:val="18"/>
              </w:rPr>
              <w:t>8</w:t>
            </w:r>
          </w:p>
        </w:tc>
        <w:tc>
          <w:tcPr>
            <w:tcW w:type="dxa" w:w="2930"/>
          </w:tcPr>
          <w:p>
            <w:pPr>
              <w:pStyle w:val="MDPI42tablebody"/>
              <w:keepNext/>
              <w:spacing w:line="240" w:lineRule="auto" w:before="30" w:after="30"/>
              <w:jc w:val="left"/>
            </w:pPr>
            <w:r>
              <w:rPr>
                <w:b w:val="0"/>
                <w:i w:val="0"/>
                <w:sz w:val="18"/>
              </w:rPr>
              <w:t>h</w:t>
            </w:r>
          </w:p>
        </w:tc>
        <w:tc>
          <w:tcPr>
            <w:tcW w:type="dxa" w:w="1883"/>
          </w:tcPr>
          <w:p>
            <w:pPr>
              <w:pStyle w:val="MDPI42tablebody"/>
              <w:keepNext/>
              <w:spacing w:line="240" w:lineRule="auto" w:before="30" w:after="30"/>
              <w:jc w:val="left"/>
            </w:pPr>
            <w:r>
              <w:rPr>
                <w:b w:val="0"/>
                <w:i w:val="0"/>
                <w:sz w:val="18"/>
              </w:rPr>
              <w:t>7–9</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youth incident ratio</w:t>
            </w:r>
          </w:p>
        </w:tc>
        <w:tc>
          <w:tcPr>
            <w:tcW w:type="dxa" w:w="1255"/>
          </w:tcPr>
          <w:p>
            <w:pPr>
              <w:pStyle w:val="MDPI42tablebody"/>
              <w:keepNext/>
              <w:spacing w:line="240" w:lineRule="auto" w:before="30" w:after="30"/>
              <w:jc w:val="left"/>
            </w:pPr>
            <w:r>
              <w:rPr>
                <w:b w:val="0"/>
                <w:i w:val="0"/>
                <w:sz w:val="18"/>
              </w:rPr>
              <w:t>1.6</w:t>
            </w:r>
          </w:p>
        </w:tc>
        <w:tc>
          <w:tcPr>
            <w:tcW w:type="dxa" w:w="2930"/>
          </w:tcPr>
          <w:p>
            <w:pPr>
              <w:pStyle w:val="MDPI42tablebody"/>
              <w:keepNext/>
              <w:spacing w:line="240" w:lineRule="auto" w:before="30" w:after="30"/>
              <w:jc w:val="left"/>
            </w:pPr>
            <w:r>
              <w:rPr>
                <w:b w:val="0"/>
                <w:i w:val="0"/>
                <w:sz w:val="18"/>
              </w:rPr>
              <w:t>ratio</w:t>
            </w:r>
          </w:p>
        </w:tc>
        <w:tc>
          <w:tcPr>
            <w:tcW w:type="dxa" w:w="1883"/>
          </w:tcPr>
          <w:p>
            <w:pPr>
              <w:pStyle w:val="MDPI42tablebody"/>
              <w:keepNext/>
              <w:spacing w:line="240" w:lineRule="auto" w:before="30" w:after="30"/>
              <w:jc w:val="left"/>
            </w:pPr>
            <w:r>
              <w:rPr>
                <w:b w:val="0"/>
                <w:i w:val="0"/>
                <w:sz w:val="18"/>
              </w:rPr>
              <w:t>1.5–1.7</w:t>
            </w:r>
          </w:p>
        </w:tc>
        <w:tc>
          <w:tcPr>
            <w:tcW w:type="dxa" w:w="1883"/>
          </w:tcPr>
          <w:p>
            <w:pPr>
              <w:pStyle w:val="MDPI42tablebody"/>
              <w:keepNext/>
              <w:spacing w:line="240" w:lineRule="auto" w:before="30" w:after="30"/>
              <w:jc w:val="center"/>
            </w:pPr>
            <w:r>
              <w:rPr>
                <w:b w:val="0"/>
                <w:i w:val="0"/>
                <w:sz w:val="18"/>
              </w:rPr>
              <w:t>Literature</w:t>
            </w:r>
          </w:p>
        </w:tc>
      </w:tr>
      <w:tr>
        <w:trPr>
          <w:cantSplit/>
        </w:trPr>
        <w:tc>
          <w:tcPr>
            <w:tcW w:type="dxa" w:w="2511"/>
          </w:tcPr>
          <w:p>
            <w:pPr>
              <w:pStyle w:val="MDPI42tablebody"/>
              <w:keepNext/>
              <w:spacing w:line="240" w:lineRule="auto" w:before="30" w:after="30"/>
              <w:jc w:val="left"/>
            </w:pPr>
            <w:r>
              <w:rPr>
                <w:b w:val="0"/>
                <w:i w:val="0"/>
                <w:sz w:val="18"/>
              </w:rPr>
              <w:t>youth share high</w:t>
            </w:r>
          </w:p>
        </w:tc>
        <w:tc>
          <w:tcPr>
            <w:tcW w:type="dxa" w:w="1255"/>
          </w:tcPr>
          <w:p>
            <w:pPr>
              <w:pStyle w:val="MDPI42tablebody"/>
              <w:keepNext/>
              <w:spacing w:line="240" w:lineRule="auto" w:before="30" w:after="30"/>
              <w:jc w:val="left"/>
            </w:pPr>
            <w:r>
              <w:rPr>
                <w:b w:val="0"/>
                <w:i w:val="0"/>
                <w:sz w:val="18"/>
              </w:rPr>
              <w:t>0.34</w:t>
            </w:r>
          </w:p>
        </w:tc>
        <w:tc>
          <w:tcPr>
            <w:tcW w:type="dxa" w:w="2930"/>
          </w:tcPr>
          <w:p>
            <w:pPr>
              <w:pStyle w:val="MDPI42tablebody"/>
              <w:keepNext/>
              <w:spacing w:line="240" w:lineRule="auto" w:before="30" w:after="30"/>
              <w:jc w:val="left"/>
            </w:pPr>
            <w:r>
              <w:rPr>
                <w:b w:val="0"/>
                <w:i w:val="0"/>
                <w:sz w:val="18"/>
              </w:rPr>
              <w:t>share of jobs held by workers under 30</w:t>
            </w:r>
          </w:p>
        </w:tc>
        <w:tc>
          <w:tcPr>
            <w:tcW w:type="dxa" w:w="1883"/>
          </w:tcPr>
          <w:p>
            <w:pPr>
              <w:pStyle w:val="MDPI42tablebody"/>
              <w:keepNext/>
              <w:spacing w:line="240" w:lineRule="auto" w:before="30" w:after="30"/>
              <w:jc w:val="left"/>
            </w:pPr>
            <w:r>
              <w:rPr>
                <w:b w:val="0"/>
                <w:i w:val="0"/>
                <w:sz w:val="18"/>
              </w:rPr>
              <w:t>0.22–0.45</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youth share low</w:t>
            </w:r>
          </w:p>
        </w:tc>
        <w:tc>
          <w:tcPr>
            <w:tcW w:type="dxa" w:w="1255"/>
          </w:tcPr>
          <w:p>
            <w:pPr>
              <w:pStyle w:val="MDPI42tablebody"/>
              <w:keepNext/>
              <w:spacing w:line="240" w:lineRule="auto" w:before="30" w:after="30"/>
              <w:jc w:val="left"/>
            </w:pPr>
            <w:r>
              <w:rPr>
                <w:b w:val="0"/>
                <w:i w:val="0"/>
                <w:sz w:val="18"/>
              </w:rPr>
              <w:t>0.3</w:t>
            </w:r>
          </w:p>
        </w:tc>
        <w:tc>
          <w:tcPr>
            <w:tcW w:type="dxa" w:w="2930"/>
          </w:tcPr>
          <w:p>
            <w:pPr>
              <w:pStyle w:val="MDPI42tablebody"/>
              <w:keepNext/>
              <w:spacing w:line="240" w:lineRule="auto" w:before="30" w:after="30"/>
              <w:jc w:val="left"/>
            </w:pPr>
            <w:r>
              <w:rPr>
                <w:b w:val="0"/>
                <w:i w:val="0"/>
                <w:sz w:val="18"/>
              </w:rPr>
              <w:t>share</w:t>
            </w:r>
          </w:p>
        </w:tc>
        <w:tc>
          <w:tcPr>
            <w:tcW w:type="dxa" w:w="1883"/>
          </w:tcPr>
          <w:p>
            <w:pPr>
              <w:pStyle w:val="MDPI42tablebody"/>
              <w:keepNext/>
              <w:spacing w:line="240" w:lineRule="auto" w:before="30" w:after="30"/>
              <w:jc w:val="left"/>
            </w:pPr>
            <w:r>
              <w:rPr>
                <w:b w:val="0"/>
                <w:i w:val="0"/>
                <w:sz w:val="18"/>
              </w:rPr>
              <w:t>0.2–0.4</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youth share moderate</w:t>
            </w:r>
          </w:p>
        </w:tc>
        <w:tc>
          <w:tcPr>
            <w:tcW w:type="dxa" w:w="1255"/>
          </w:tcPr>
          <w:p>
            <w:pPr>
              <w:pStyle w:val="MDPI42tablebody"/>
              <w:keepNext/>
              <w:spacing w:line="240" w:lineRule="auto" w:before="30" w:after="30"/>
              <w:jc w:val="left"/>
            </w:pPr>
            <w:r>
              <w:rPr>
                <w:b w:val="0"/>
                <w:i w:val="0"/>
                <w:sz w:val="18"/>
              </w:rPr>
              <w:t>0.32</w:t>
            </w:r>
          </w:p>
        </w:tc>
        <w:tc>
          <w:tcPr>
            <w:tcW w:type="dxa" w:w="2930"/>
          </w:tcPr>
          <w:p>
            <w:pPr>
              <w:pStyle w:val="MDPI42tablebody"/>
              <w:keepNext/>
              <w:spacing w:line="240" w:lineRule="auto" w:before="30" w:after="30"/>
              <w:jc w:val="left"/>
            </w:pPr>
            <w:r>
              <w:rPr>
                <w:b w:val="0"/>
                <w:i w:val="0"/>
                <w:sz w:val="18"/>
              </w:rPr>
              <w:t>share</w:t>
            </w:r>
          </w:p>
        </w:tc>
        <w:tc>
          <w:tcPr>
            <w:tcW w:type="dxa" w:w="1883"/>
          </w:tcPr>
          <w:p>
            <w:pPr>
              <w:pStyle w:val="MDPI42tablebody"/>
              <w:keepNext/>
              <w:spacing w:line="240" w:lineRule="auto" w:before="30" w:after="30"/>
              <w:jc w:val="left"/>
            </w:pPr>
            <w:r>
              <w:rPr>
                <w:b w:val="0"/>
                <w:i w:val="0"/>
                <w:sz w:val="18"/>
              </w:rPr>
              <w:t>0.2–0.42</w:t>
            </w:r>
          </w:p>
        </w:tc>
        <w:tc>
          <w:tcPr>
            <w:tcW w:type="dxa" w:w="1883"/>
          </w:tcPr>
          <w:p>
            <w:pPr>
              <w:pStyle w:val="MDPI42tablebody"/>
              <w:keepNext/>
              <w:spacing w:line="240" w:lineRule="auto" w:before="30" w:after="30"/>
              <w:jc w:val="center"/>
            </w:pPr>
            <w:r>
              <w:rPr>
                <w:b w:val="0"/>
                <w:i w:val="0"/>
                <w:sz w:val="18"/>
              </w:rPr>
              <w:t>Assumed</w:t>
            </w:r>
          </w:p>
        </w:tc>
      </w:tr>
      <w:tr>
        <w:trPr>
          <w:cantSplit/>
        </w:trPr>
        <w:tc>
          <w:tcPr>
            <w:tcW w:type="dxa" w:w="2511"/>
          </w:tcPr>
          <w:p>
            <w:pPr>
              <w:pStyle w:val="MDPI42tablebody"/>
              <w:keepNext/>
              <w:spacing w:line="240" w:lineRule="auto" w:before="30" w:after="30"/>
              <w:jc w:val="left"/>
            </w:pPr>
            <w:r>
              <w:rPr>
                <w:b w:val="0"/>
                <w:i w:val="0"/>
                <w:sz w:val="18"/>
              </w:rPr>
              <w:t>youth wage eur h</w:t>
            </w:r>
          </w:p>
        </w:tc>
        <w:tc>
          <w:tcPr>
            <w:tcW w:type="dxa" w:w="1255"/>
          </w:tcPr>
          <w:p>
            <w:pPr>
              <w:pStyle w:val="MDPI42tablebody"/>
              <w:keepNext/>
              <w:spacing w:line="240" w:lineRule="auto" w:before="30" w:after="30"/>
              <w:jc w:val="left"/>
            </w:pPr>
            <w:r>
              <w:rPr>
                <w:b w:val="0"/>
                <w:i w:val="0"/>
                <w:sz w:val="18"/>
              </w:rPr>
              <w:t>13.5</w:t>
            </w:r>
          </w:p>
        </w:tc>
        <w:tc>
          <w:tcPr>
            <w:tcW w:type="dxa" w:w="2930"/>
          </w:tcPr>
          <w:p>
            <w:pPr>
              <w:pStyle w:val="MDPI42tablebody"/>
              <w:keepNext/>
              <w:spacing w:line="240" w:lineRule="auto" w:before="30" w:after="30"/>
              <w:jc w:val="left"/>
            </w:pPr>
            <w:r>
              <w:rPr>
                <w:b w:val="0"/>
                <w:i w:val="0"/>
                <w:sz w:val="18"/>
              </w:rPr>
              <w:t>EUR per hour</w:t>
            </w:r>
          </w:p>
        </w:tc>
        <w:tc>
          <w:tcPr>
            <w:tcW w:type="dxa" w:w="1883"/>
          </w:tcPr>
          <w:p>
            <w:pPr>
              <w:pStyle w:val="MDPI42tablebody"/>
              <w:keepNext/>
              <w:spacing w:line="240" w:lineRule="auto" w:before="30" w:after="30"/>
              <w:jc w:val="left"/>
            </w:pPr>
            <w:r>
              <w:rPr>
                <w:b w:val="0"/>
                <w:i w:val="0"/>
                <w:sz w:val="18"/>
              </w:rPr>
              <w:t>9–20</w:t>
            </w:r>
          </w:p>
        </w:tc>
        <w:tc>
          <w:tcPr>
            <w:tcW w:type="dxa" w:w="1883"/>
          </w:tcPr>
          <w:p>
            <w:pPr>
              <w:pStyle w:val="MDPI42tablebody"/>
              <w:keepNext/>
              <w:spacing w:line="240" w:lineRule="auto" w:before="30" w:after="30"/>
              <w:jc w:val="center"/>
            </w:pPr>
            <w:r>
              <w:rPr>
                <w:b w:val="0"/>
                <w:i w:val="0"/>
                <w:sz w:val="18"/>
              </w:rPr>
              <w:t>Assumed</w:t>
            </w:r>
          </w:p>
        </w:tc>
      </w:tr>
    </w:tbl>
    <w:p>
      <w:pPr>
        <w:pStyle w:val="MDPI43tablefooter"/>
        <w:keepLines/>
        <w:spacing w:line="240" w:lineRule="auto" w:before="40" w:after="200"/>
        <w:ind w:left="2608" w:firstLine="0"/>
      </w:pPr>
      <w:r>
        <w:rPr>
          <w:sz w:val="16"/>
        </w:rPr>
        <w:t xml:space="preserve">Note: </w:t>
      </w:r>
      <w:r>
        <w:rPr>
          <w:b w:val="0"/>
          <w:i w:val="0"/>
          <w:sz w:val="16"/>
        </w:rPr>
        <w:t>Of 28 parameters, 8 take a value stated in a cited source and 20 are modelling choices. The table is generated from the registry the code reads, so it cannot disagree with the parameters actually used. Assumed parameters are not defended; they are swept across the stated interval in the uncertainty ensemble. Source: authors’ calculations.</w:t>
      </w:r>
    </w:p>
    <w:p>
      <w:pPr>
        <w:pStyle w:val="MDPI41tablecaption"/>
        <w:keepNext/>
        <w:spacing w:after="60"/>
      </w:pPr>
      <w:r>
        <w:rPr>
          <w:b/>
          <w:sz w:val="18"/>
        </w:rPr>
        <w:t xml:space="preserve">Table A2. </w:t>
      </w:r>
      <w:r>
        <w:rPr>
          <w:b w:val="0"/>
          <w:i w:val="0"/>
          <w:sz w:val="18"/>
        </w:rPr>
        <w:t>Work capacity lost to heat at a heavy metabolic rate, by response function.</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674"/>
        <w:gridCol w:w="1758"/>
        <w:gridCol w:w="1758"/>
        <w:gridCol w:w="1758"/>
        <w:gridCol w:w="1758"/>
        <w:gridCol w:w="1758"/>
      </w:tblGrid>
      <w:tr>
        <w:trPr>
          <w:cantSplit/>
          <w:tblHeader/>
        </w:trPr>
        <w:tc>
          <w:tcPr>
            <w:tcW w:type="dxa" w:w="1674"/>
            <w:tcBorders>
              <w:bottom w:val="single" w:sz="8" w:space="0" w:color="auto"/>
            </w:tcBorders>
          </w:tcPr>
          <w:p>
            <w:pPr>
              <w:pStyle w:val="MDPI42tablebody"/>
              <w:keepNext/>
              <w:spacing w:line="240" w:lineRule="auto" w:before="30" w:after="30"/>
              <w:jc w:val="center"/>
            </w:pPr>
            <w:r>
              <w:rPr>
                <w:b/>
                <w:i w:val="0"/>
                <w:sz w:val="18"/>
              </w:rPr>
              <w:t>WBGT</w:t>
            </w:r>
          </w:p>
        </w:tc>
        <w:tc>
          <w:tcPr>
            <w:tcW w:type="dxa" w:w="1758"/>
            <w:tcBorders>
              <w:bottom w:val="single" w:sz="8" w:space="0" w:color="auto"/>
            </w:tcBorders>
          </w:tcPr>
          <w:p>
            <w:pPr>
              <w:pStyle w:val="MDPI42tablebody"/>
              <w:keepNext/>
              <w:spacing w:line="240" w:lineRule="auto" w:before="30" w:after="30"/>
              <w:jc w:val="center"/>
            </w:pPr>
            <w:r>
              <w:rPr>
                <w:b/>
                <w:i w:val="0"/>
                <w:sz w:val="18"/>
              </w:rPr>
              <w:t>Hothaps</w:t>
            </w:r>
          </w:p>
        </w:tc>
        <w:tc>
          <w:tcPr>
            <w:tcW w:type="dxa" w:w="1758"/>
            <w:tcBorders>
              <w:bottom w:val="single" w:sz="8" w:space="0" w:color="auto"/>
            </w:tcBorders>
          </w:tcPr>
          <w:p>
            <w:pPr>
              <w:pStyle w:val="MDPI42tablebody"/>
              <w:keepNext/>
              <w:spacing w:line="240" w:lineRule="auto" w:before="30" w:after="30"/>
              <w:jc w:val="center"/>
            </w:pPr>
            <w:r>
              <w:rPr>
                <w:b/>
                <w:i w:val="0"/>
                <w:sz w:val="18"/>
              </w:rPr>
              <w:t>ISO 7243</w:t>
            </w:r>
          </w:p>
        </w:tc>
        <w:tc>
          <w:tcPr>
            <w:tcW w:type="dxa" w:w="1758"/>
            <w:tcBorders>
              <w:bottom w:val="single" w:sz="8" w:space="0" w:color="auto"/>
            </w:tcBorders>
          </w:tcPr>
          <w:p>
            <w:pPr>
              <w:pStyle w:val="MDPI42tablebody"/>
              <w:keepNext/>
              <w:spacing w:line="240" w:lineRule="auto" w:before="30" w:after="30"/>
              <w:jc w:val="center"/>
            </w:pPr>
            <w:r>
              <w:rPr>
                <w:b/>
                <w:i w:val="0"/>
                <w:sz w:val="18"/>
              </w:rPr>
              <w:t>NIOSH</w:t>
            </w:r>
          </w:p>
        </w:tc>
        <w:tc>
          <w:tcPr>
            <w:tcW w:type="dxa" w:w="1758"/>
            <w:tcBorders>
              <w:bottom w:val="single" w:sz="8" w:space="0" w:color="auto"/>
            </w:tcBorders>
          </w:tcPr>
          <w:p>
            <w:pPr>
              <w:pStyle w:val="MDPI42tablebody"/>
              <w:keepNext/>
              <w:spacing w:line="240" w:lineRule="auto" w:before="30" w:after="30"/>
              <w:jc w:val="center"/>
            </w:pPr>
            <w:r>
              <w:rPr>
                <w:b/>
                <w:i w:val="0"/>
                <w:sz w:val="18"/>
              </w:rPr>
              <w:t>Dunne et al.</w:t>
            </w:r>
          </w:p>
        </w:tc>
        <w:tc>
          <w:tcPr>
            <w:tcW w:type="dxa" w:w="1758"/>
            <w:tcBorders>
              <w:bottom w:val="single" w:sz="8" w:space="0" w:color="auto"/>
            </w:tcBorders>
          </w:tcPr>
          <w:p>
            <w:pPr>
              <w:pStyle w:val="MDPI42tablebody"/>
              <w:keepNext/>
              <w:spacing w:line="240" w:lineRule="auto" w:before="30" w:after="30"/>
              <w:jc w:val="center"/>
            </w:pPr>
            <w:r>
              <w:rPr>
                <w:b/>
                <w:i w:val="0"/>
                <w:sz w:val="18"/>
              </w:rPr>
              <w:t>Foster et al.</w:t>
            </w:r>
          </w:p>
        </w:tc>
      </w:tr>
      <w:tr>
        <w:trPr>
          <w:cantSplit/>
        </w:trPr>
        <w:tc>
          <w:tcPr>
            <w:tcW w:type="dxa" w:w="1674"/>
          </w:tcPr>
          <w:p>
            <w:pPr>
              <w:pStyle w:val="MDPI42tablebody"/>
              <w:keepNext/>
              <w:spacing w:line="240" w:lineRule="auto" w:before="30" w:after="30"/>
              <w:jc w:val="center"/>
            </w:pPr>
            <w:r>
              <w:rPr>
                <w:b w:val="0"/>
                <w:i w:val="0"/>
                <w:sz w:val="18"/>
              </w:rPr>
              <w:t>20</w:t>
            </w:r>
          </w:p>
        </w:tc>
        <w:tc>
          <w:tcPr>
            <w:tcW w:type="dxa" w:w="1758"/>
          </w:tcPr>
          <w:p>
            <w:pPr>
              <w:pStyle w:val="MDPI42tablebody"/>
              <w:keepNext/>
              <w:spacing w:line="240" w:lineRule="auto" w:before="30" w:after="30"/>
              <w:jc w:val="center"/>
            </w:pPr>
            <w:r>
              <w:rPr>
                <w:b w:val="0"/>
                <w:i w:val="0"/>
                <w:sz w:val="18"/>
              </w:rPr>
              <w:t>0.063</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3.593</w:t>
            </w:r>
          </w:p>
        </w:tc>
      </w:tr>
      <w:tr>
        <w:trPr>
          <w:cantSplit/>
        </w:trPr>
        <w:tc>
          <w:tcPr>
            <w:tcW w:type="dxa" w:w="1674"/>
          </w:tcPr>
          <w:p>
            <w:pPr>
              <w:pStyle w:val="MDPI42tablebody"/>
              <w:keepNext/>
              <w:spacing w:line="240" w:lineRule="auto" w:before="30" w:after="30"/>
              <w:jc w:val="center"/>
            </w:pPr>
            <w:r>
              <w:rPr>
                <w:b w:val="0"/>
                <w:i w:val="0"/>
                <w:sz w:val="18"/>
              </w:rPr>
              <w:t>22</w:t>
            </w:r>
          </w:p>
        </w:tc>
        <w:tc>
          <w:tcPr>
            <w:tcW w:type="dxa" w:w="1758"/>
          </w:tcPr>
          <w:p>
            <w:pPr>
              <w:pStyle w:val="MDPI42tablebody"/>
              <w:keepNext/>
              <w:spacing w:line="240" w:lineRule="auto" w:before="30" w:after="30"/>
              <w:jc w:val="center"/>
            </w:pPr>
            <w:r>
              <w:rPr>
                <w:b w:val="0"/>
                <w:i w:val="0"/>
                <w:sz w:val="18"/>
              </w:rPr>
              <w:t>0.308</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6.379</w:t>
            </w:r>
          </w:p>
        </w:tc>
      </w:tr>
      <w:tr>
        <w:trPr>
          <w:cantSplit/>
        </w:trPr>
        <w:tc>
          <w:tcPr>
            <w:tcW w:type="dxa" w:w="1674"/>
          </w:tcPr>
          <w:p>
            <w:pPr>
              <w:pStyle w:val="MDPI42tablebody"/>
              <w:keepNext/>
              <w:spacing w:line="240" w:lineRule="auto" w:before="30" w:after="30"/>
              <w:jc w:val="center"/>
            </w:pPr>
            <w:r>
              <w:rPr>
                <w:b w:val="0"/>
                <w:i w:val="0"/>
                <w:sz w:val="18"/>
              </w:rPr>
              <w:t>24</w:t>
            </w:r>
          </w:p>
        </w:tc>
        <w:tc>
          <w:tcPr>
            <w:tcW w:type="dxa" w:w="1758"/>
          </w:tcPr>
          <w:p>
            <w:pPr>
              <w:pStyle w:val="MDPI42tablebody"/>
              <w:keepNext/>
              <w:spacing w:line="240" w:lineRule="auto" w:before="30" w:after="30"/>
              <w:jc w:val="center"/>
            </w:pPr>
            <w:r>
              <w:rPr>
                <w:b w:val="0"/>
                <w:i w:val="0"/>
                <w:sz w:val="18"/>
              </w:rPr>
              <w:t>1.295</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10.569</w:t>
            </w:r>
          </w:p>
        </w:tc>
      </w:tr>
      <w:tr>
        <w:trPr>
          <w:cantSplit/>
        </w:trPr>
        <w:tc>
          <w:tcPr>
            <w:tcW w:type="dxa" w:w="1674"/>
          </w:tcPr>
          <w:p>
            <w:pPr>
              <w:pStyle w:val="MDPI42tablebody"/>
              <w:keepNext/>
              <w:spacing w:line="240" w:lineRule="auto" w:before="30" w:after="30"/>
              <w:jc w:val="center"/>
            </w:pPr>
            <w:r>
              <w:rPr>
                <w:b w:val="0"/>
                <w:i w:val="0"/>
                <w:sz w:val="18"/>
              </w:rPr>
              <w:t>25</w:t>
            </w:r>
          </w:p>
        </w:tc>
        <w:tc>
          <w:tcPr>
            <w:tcW w:type="dxa" w:w="1758"/>
          </w:tcPr>
          <w:p>
            <w:pPr>
              <w:pStyle w:val="MDPI42tablebody"/>
              <w:keepNext/>
              <w:spacing w:line="240" w:lineRule="auto" w:before="30" w:after="30"/>
              <w:jc w:val="center"/>
            </w:pPr>
            <w:r>
              <w:rPr>
                <w:b w:val="0"/>
                <w:i w:val="0"/>
                <w:sz w:val="18"/>
              </w:rPr>
              <w:t>2.520</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13.272</w:t>
            </w:r>
          </w:p>
        </w:tc>
      </w:tr>
      <w:tr>
        <w:trPr>
          <w:cantSplit/>
        </w:trPr>
        <w:tc>
          <w:tcPr>
            <w:tcW w:type="dxa" w:w="1674"/>
          </w:tcPr>
          <w:p>
            <w:pPr>
              <w:pStyle w:val="MDPI42tablebody"/>
              <w:keepNext/>
              <w:spacing w:line="240" w:lineRule="auto" w:before="30" w:after="30"/>
              <w:jc w:val="center"/>
            </w:pPr>
            <w:r>
              <w:rPr>
                <w:b w:val="0"/>
                <w:i w:val="0"/>
                <w:sz w:val="18"/>
              </w:rPr>
              <w:t>26</w:t>
            </w:r>
          </w:p>
        </w:tc>
        <w:tc>
          <w:tcPr>
            <w:tcW w:type="dxa" w:w="1758"/>
          </w:tcPr>
          <w:p>
            <w:pPr>
              <w:pStyle w:val="MDPI42tablebody"/>
              <w:keepNext/>
              <w:spacing w:line="240" w:lineRule="auto" w:before="30" w:after="30"/>
              <w:jc w:val="center"/>
            </w:pPr>
            <w:r>
              <w:rPr>
                <w:b w:val="0"/>
                <w:i w:val="0"/>
                <w:sz w:val="18"/>
              </w:rPr>
              <w:t>4.718</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0.000</w:t>
            </w:r>
          </w:p>
        </w:tc>
        <w:tc>
          <w:tcPr>
            <w:tcW w:type="dxa" w:w="1758"/>
          </w:tcPr>
          <w:p>
            <w:pPr>
              <w:pStyle w:val="MDPI42tablebody"/>
              <w:keepNext/>
              <w:spacing w:line="240" w:lineRule="auto" w:before="30" w:after="30"/>
              <w:jc w:val="center"/>
            </w:pPr>
            <w:r>
              <w:rPr>
                <w:b w:val="0"/>
                <w:i w:val="0"/>
                <w:sz w:val="18"/>
              </w:rPr>
              <w:t>25.000</w:t>
            </w:r>
          </w:p>
        </w:tc>
        <w:tc>
          <w:tcPr>
            <w:tcW w:type="dxa" w:w="1758"/>
          </w:tcPr>
          <w:p>
            <w:pPr>
              <w:pStyle w:val="MDPI42tablebody"/>
              <w:keepNext/>
              <w:spacing w:line="240" w:lineRule="auto" w:before="30" w:after="30"/>
              <w:jc w:val="center"/>
            </w:pPr>
            <w:r>
              <w:rPr>
                <w:b w:val="0"/>
                <w:i w:val="0"/>
                <w:sz w:val="18"/>
              </w:rPr>
              <w:t>16.399</w:t>
            </w:r>
          </w:p>
        </w:tc>
      </w:tr>
      <w:tr>
        <w:trPr>
          <w:cantSplit/>
        </w:trPr>
        <w:tc>
          <w:tcPr>
            <w:tcW w:type="dxa" w:w="1674"/>
          </w:tcPr>
          <w:p>
            <w:pPr>
              <w:pStyle w:val="MDPI42tablebody"/>
              <w:keepNext/>
              <w:spacing w:line="240" w:lineRule="auto" w:before="30" w:after="30"/>
              <w:jc w:val="center"/>
            </w:pPr>
            <w:r>
              <w:rPr>
                <w:b w:val="0"/>
                <w:i w:val="0"/>
                <w:sz w:val="18"/>
              </w:rPr>
              <w:t>27</w:t>
            </w:r>
          </w:p>
        </w:tc>
        <w:tc>
          <w:tcPr>
            <w:tcW w:type="dxa" w:w="1758"/>
          </w:tcPr>
          <w:p>
            <w:pPr>
              <w:pStyle w:val="MDPI42tablebody"/>
              <w:keepNext/>
              <w:spacing w:line="240" w:lineRule="auto" w:before="30" w:after="30"/>
              <w:jc w:val="center"/>
            </w:pPr>
            <w:r>
              <w:rPr>
                <w:b w:val="0"/>
                <w:i w:val="0"/>
                <w:sz w:val="18"/>
              </w:rPr>
              <w:t>8.454</w:t>
            </w:r>
          </w:p>
        </w:tc>
        <w:tc>
          <w:tcPr>
            <w:tcW w:type="dxa" w:w="1758"/>
          </w:tcPr>
          <w:p>
            <w:pPr>
              <w:pStyle w:val="MDPI42tablebody"/>
              <w:keepNext/>
              <w:spacing w:line="240" w:lineRule="auto" w:before="30" w:after="30"/>
              <w:jc w:val="center"/>
            </w:pPr>
            <w:r>
              <w:rPr>
                <w:b w:val="0"/>
                <w:i w:val="0"/>
                <w:sz w:val="18"/>
              </w:rPr>
              <w:t>12.933</w:t>
            </w:r>
          </w:p>
        </w:tc>
        <w:tc>
          <w:tcPr>
            <w:tcW w:type="dxa" w:w="1758"/>
          </w:tcPr>
          <w:p>
            <w:pPr>
              <w:pStyle w:val="MDPI42tablebody"/>
              <w:keepNext/>
              <w:spacing w:line="240" w:lineRule="auto" w:before="30" w:after="30"/>
              <w:jc w:val="center"/>
            </w:pPr>
            <w:r>
              <w:rPr>
                <w:b w:val="0"/>
                <w:i w:val="0"/>
                <w:sz w:val="18"/>
              </w:rPr>
              <w:t>3.643</w:t>
            </w:r>
          </w:p>
        </w:tc>
        <w:tc>
          <w:tcPr>
            <w:tcW w:type="dxa" w:w="1758"/>
          </w:tcPr>
          <w:p>
            <w:pPr>
              <w:pStyle w:val="MDPI42tablebody"/>
              <w:keepNext/>
              <w:spacing w:line="240" w:lineRule="auto" w:before="30" w:after="30"/>
              <w:jc w:val="center"/>
            </w:pPr>
            <w:r>
              <w:rPr>
                <w:b w:val="0"/>
                <w:i w:val="0"/>
                <w:sz w:val="18"/>
              </w:rPr>
              <w:t>39.685</w:t>
            </w:r>
          </w:p>
        </w:tc>
        <w:tc>
          <w:tcPr>
            <w:tcW w:type="dxa" w:w="1758"/>
          </w:tcPr>
          <w:p>
            <w:pPr>
              <w:pStyle w:val="MDPI42tablebody"/>
              <w:keepNext/>
              <w:spacing w:line="240" w:lineRule="auto" w:before="30" w:after="30"/>
              <w:jc w:val="center"/>
            </w:pPr>
            <w:r>
              <w:rPr>
                <w:b w:val="0"/>
                <w:i w:val="0"/>
                <w:sz w:val="18"/>
              </w:rPr>
              <w:t>19.942</w:t>
            </w:r>
          </w:p>
        </w:tc>
      </w:tr>
      <w:tr>
        <w:trPr>
          <w:cantSplit/>
        </w:trPr>
        <w:tc>
          <w:tcPr>
            <w:tcW w:type="dxa" w:w="1674"/>
          </w:tcPr>
          <w:p>
            <w:pPr>
              <w:pStyle w:val="MDPI42tablebody"/>
              <w:keepNext/>
              <w:spacing w:line="240" w:lineRule="auto" w:before="30" w:after="30"/>
              <w:jc w:val="center"/>
            </w:pPr>
            <w:r>
              <w:rPr>
                <w:b w:val="0"/>
                <w:i w:val="0"/>
                <w:sz w:val="18"/>
              </w:rPr>
              <w:t>28</w:t>
            </w:r>
          </w:p>
        </w:tc>
        <w:tc>
          <w:tcPr>
            <w:tcW w:type="dxa" w:w="1758"/>
          </w:tcPr>
          <w:p>
            <w:pPr>
              <w:pStyle w:val="MDPI42tablebody"/>
              <w:keepNext/>
              <w:spacing w:line="240" w:lineRule="auto" w:before="30" w:after="30"/>
              <w:jc w:val="center"/>
            </w:pPr>
            <w:r>
              <w:rPr>
                <w:b w:val="0"/>
                <w:i w:val="0"/>
                <w:sz w:val="18"/>
              </w:rPr>
              <w:t>14.361</w:t>
            </w:r>
          </w:p>
        </w:tc>
        <w:tc>
          <w:tcPr>
            <w:tcW w:type="dxa" w:w="1758"/>
          </w:tcPr>
          <w:p>
            <w:pPr>
              <w:pStyle w:val="MDPI42tablebody"/>
              <w:keepNext/>
              <w:spacing w:line="240" w:lineRule="auto" w:before="30" w:after="30"/>
              <w:jc w:val="center"/>
            </w:pPr>
            <w:r>
              <w:rPr>
                <w:b w:val="0"/>
                <w:i w:val="0"/>
                <w:sz w:val="18"/>
              </w:rPr>
              <w:t>29.187</w:t>
            </w:r>
          </w:p>
        </w:tc>
        <w:tc>
          <w:tcPr>
            <w:tcW w:type="dxa" w:w="1758"/>
          </w:tcPr>
          <w:p>
            <w:pPr>
              <w:pStyle w:val="MDPI42tablebody"/>
              <w:keepNext/>
              <w:spacing w:line="240" w:lineRule="auto" w:before="30" w:after="30"/>
              <w:jc w:val="center"/>
            </w:pPr>
            <w:r>
              <w:rPr>
                <w:b w:val="0"/>
                <w:i w:val="0"/>
                <w:sz w:val="18"/>
              </w:rPr>
              <w:t>19.931</w:t>
            </w:r>
          </w:p>
        </w:tc>
        <w:tc>
          <w:tcPr>
            <w:tcW w:type="dxa" w:w="1758"/>
          </w:tcPr>
          <w:p>
            <w:pPr>
              <w:pStyle w:val="MDPI42tablebody"/>
              <w:keepNext/>
              <w:spacing w:line="240" w:lineRule="auto" w:before="30" w:after="30"/>
              <w:jc w:val="center"/>
            </w:pPr>
            <w:r>
              <w:rPr>
                <w:b w:val="0"/>
                <w:i w:val="0"/>
                <w:sz w:val="18"/>
              </w:rPr>
              <w:t>52.002</w:t>
            </w:r>
          </w:p>
        </w:tc>
        <w:tc>
          <w:tcPr>
            <w:tcW w:type="dxa" w:w="1758"/>
          </w:tcPr>
          <w:p>
            <w:pPr>
              <w:pStyle w:val="MDPI42tablebody"/>
              <w:keepNext/>
              <w:spacing w:line="240" w:lineRule="auto" w:before="30" w:after="30"/>
              <w:jc w:val="center"/>
            </w:pPr>
            <w:r>
              <w:rPr>
                <w:b w:val="0"/>
                <w:i w:val="0"/>
                <w:sz w:val="18"/>
              </w:rPr>
              <w:t>23.871</w:t>
            </w:r>
          </w:p>
        </w:tc>
      </w:tr>
      <w:tr>
        <w:trPr>
          <w:cantSplit/>
        </w:trPr>
        <w:tc>
          <w:tcPr>
            <w:tcW w:type="dxa" w:w="1674"/>
          </w:tcPr>
          <w:p>
            <w:pPr>
              <w:pStyle w:val="MDPI42tablebody"/>
              <w:keepNext/>
              <w:spacing w:line="240" w:lineRule="auto" w:before="30" w:after="30"/>
              <w:jc w:val="center"/>
            </w:pPr>
            <w:r>
              <w:rPr>
                <w:b w:val="0"/>
                <w:i w:val="0"/>
                <w:sz w:val="18"/>
              </w:rPr>
              <w:t>30</w:t>
            </w:r>
          </w:p>
        </w:tc>
        <w:tc>
          <w:tcPr>
            <w:tcW w:type="dxa" w:w="1758"/>
          </w:tcPr>
          <w:p>
            <w:pPr>
              <w:pStyle w:val="MDPI42tablebody"/>
              <w:keepNext/>
              <w:spacing w:line="240" w:lineRule="auto" w:before="30" w:after="30"/>
              <w:jc w:val="center"/>
            </w:pPr>
            <w:r>
              <w:rPr>
                <w:b w:val="0"/>
                <w:i w:val="0"/>
                <w:sz w:val="18"/>
              </w:rPr>
              <w:t>33.696</w:t>
            </w:r>
          </w:p>
        </w:tc>
        <w:tc>
          <w:tcPr>
            <w:tcW w:type="dxa" w:w="1758"/>
          </w:tcPr>
          <w:p>
            <w:pPr>
              <w:pStyle w:val="MDPI42tablebody"/>
              <w:keepNext/>
              <w:spacing w:line="240" w:lineRule="auto" w:before="30" w:after="30"/>
              <w:jc w:val="center"/>
            </w:pPr>
            <w:r>
              <w:rPr>
                <w:b w:val="0"/>
                <w:i w:val="0"/>
                <w:sz w:val="18"/>
              </w:rPr>
              <w:t>61.696</w:t>
            </w:r>
          </w:p>
        </w:tc>
        <w:tc>
          <w:tcPr>
            <w:tcW w:type="dxa" w:w="1758"/>
          </w:tcPr>
          <w:p>
            <w:pPr>
              <w:pStyle w:val="MDPI42tablebody"/>
              <w:keepNext/>
              <w:spacing w:line="240" w:lineRule="auto" w:before="30" w:after="30"/>
              <w:jc w:val="center"/>
            </w:pPr>
            <w:r>
              <w:rPr>
                <w:b w:val="0"/>
                <w:i w:val="0"/>
                <w:sz w:val="18"/>
              </w:rPr>
              <w:t>52.507</w:t>
            </w:r>
          </w:p>
        </w:tc>
        <w:tc>
          <w:tcPr>
            <w:tcW w:type="dxa" w:w="1758"/>
          </w:tcPr>
          <w:p>
            <w:pPr>
              <w:pStyle w:val="MDPI42tablebody"/>
              <w:keepNext/>
              <w:spacing w:line="240" w:lineRule="auto" w:before="30" w:after="30"/>
              <w:jc w:val="center"/>
            </w:pPr>
            <w:r>
              <w:rPr>
                <w:b w:val="0"/>
                <w:i w:val="0"/>
                <w:sz w:val="18"/>
              </w:rPr>
              <w:t>73.100</w:t>
            </w:r>
          </w:p>
        </w:tc>
        <w:tc>
          <w:tcPr>
            <w:tcW w:type="dxa" w:w="1758"/>
          </w:tcPr>
          <w:p>
            <w:pPr>
              <w:pStyle w:val="MDPI42tablebody"/>
              <w:keepNext/>
              <w:spacing w:line="240" w:lineRule="auto" w:before="30" w:after="30"/>
              <w:jc w:val="center"/>
            </w:pPr>
            <w:r>
              <w:rPr>
                <w:b w:val="0"/>
                <w:i w:val="0"/>
                <w:sz w:val="18"/>
              </w:rPr>
              <w:t>32.673</w:t>
            </w:r>
          </w:p>
        </w:tc>
      </w:tr>
      <w:tr>
        <w:trPr>
          <w:cantSplit/>
        </w:trPr>
        <w:tc>
          <w:tcPr>
            <w:tcW w:type="dxa" w:w="1674"/>
          </w:tcPr>
          <w:p>
            <w:pPr>
              <w:pStyle w:val="MDPI42tablebody"/>
              <w:keepNext/>
              <w:spacing w:line="240" w:lineRule="auto" w:before="30" w:after="30"/>
              <w:jc w:val="center"/>
            </w:pPr>
            <w:r>
              <w:rPr>
                <w:b w:val="0"/>
                <w:i w:val="0"/>
                <w:sz w:val="18"/>
              </w:rPr>
              <w:t>32</w:t>
            </w:r>
          </w:p>
        </w:tc>
        <w:tc>
          <w:tcPr>
            <w:tcW w:type="dxa" w:w="1758"/>
          </w:tcPr>
          <w:p>
            <w:pPr>
              <w:pStyle w:val="MDPI42tablebody"/>
              <w:keepNext/>
              <w:spacing w:line="240" w:lineRule="auto" w:before="30" w:after="30"/>
              <w:jc w:val="center"/>
            </w:pPr>
            <w:r>
              <w:rPr>
                <w:b w:val="0"/>
                <w:i w:val="0"/>
                <w:sz w:val="18"/>
              </w:rPr>
              <w:t>57.292</w:t>
            </w:r>
          </w:p>
        </w:tc>
        <w:tc>
          <w:tcPr>
            <w:tcW w:type="dxa" w:w="1758"/>
          </w:tcPr>
          <w:p>
            <w:pPr>
              <w:pStyle w:val="MDPI42tablebody"/>
              <w:keepNext/>
              <w:spacing w:line="240" w:lineRule="auto" w:before="30" w:after="30"/>
              <w:jc w:val="center"/>
            </w:pPr>
            <w:r>
              <w:rPr>
                <w:b w:val="0"/>
                <w:i w:val="0"/>
                <w:sz w:val="18"/>
              </w:rPr>
              <w:t>94.205</w:t>
            </w:r>
          </w:p>
        </w:tc>
        <w:tc>
          <w:tcPr>
            <w:tcW w:type="dxa" w:w="1758"/>
          </w:tcPr>
          <w:p>
            <w:pPr>
              <w:pStyle w:val="MDPI42tablebody"/>
              <w:keepNext/>
              <w:spacing w:line="240" w:lineRule="auto" w:before="30" w:after="30"/>
              <w:jc w:val="center"/>
            </w:pPr>
            <w:r>
              <w:rPr>
                <w:b w:val="0"/>
                <w:i w:val="0"/>
                <w:sz w:val="18"/>
              </w:rPr>
              <w:t>85.083</w:t>
            </w:r>
          </w:p>
        </w:tc>
        <w:tc>
          <w:tcPr>
            <w:tcW w:type="dxa" w:w="1758"/>
          </w:tcPr>
          <w:p>
            <w:pPr>
              <w:pStyle w:val="MDPI42tablebody"/>
              <w:keepNext/>
              <w:spacing w:line="240" w:lineRule="auto" w:before="30" w:after="30"/>
              <w:jc w:val="center"/>
            </w:pPr>
            <w:r>
              <w:rPr>
                <w:b w:val="0"/>
                <w:i w:val="0"/>
                <w:sz w:val="18"/>
              </w:rPr>
              <w:t>91.483</w:t>
            </w:r>
          </w:p>
        </w:tc>
        <w:tc>
          <w:tcPr>
            <w:tcW w:type="dxa" w:w="1758"/>
          </w:tcPr>
          <w:p>
            <w:pPr>
              <w:pStyle w:val="MDPI42tablebody"/>
              <w:keepNext/>
              <w:spacing w:line="240" w:lineRule="auto" w:before="30" w:after="30"/>
              <w:jc w:val="center"/>
            </w:pPr>
            <w:r>
              <w:rPr>
                <w:b w:val="0"/>
                <w:i w:val="0"/>
                <w:sz w:val="18"/>
              </w:rPr>
              <w:t>42.202</w:t>
            </w:r>
          </w:p>
        </w:tc>
      </w:tr>
      <w:tr>
        <w:trPr>
          <w:cantSplit/>
        </w:trPr>
        <w:tc>
          <w:tcPr>
            <w:tcW w:type="dxa" w:w="1674"/>
          </w:tcPr>
          <w:p>
            <w:pPr>
              <w:pStyle w:val="MDPI42tablebody"/>
              <w:keepNext/>
              <w:spacing w:line="240" w:lineRule="auto" w:before="30" w:after="30"/>
              <w:jc w:val="center"/>
            </w:pPr>
            <w:r>
              <w:rPr>
                <w:b w:val="0"/>
                <w:i w:val="0"/>
                <w:sz w:val="18"/>
              </w:rPr>
              <w:t>34</w:t>
            </w:r>
          </w:p>
        </w:tc>
        <w:tc>
          <w:tcPr>
            <w:tcW w:type="dxa" w:w="1758"/>
          </w:tcPr>
          <w:p>
            <w:pPr>
              <w:pStyle w:val="MDPI42tablebody"/>
              <w:keepNext/>
              <w:spacing w:line="240" w:lineRule="auto" w:before="30" w:after="30"/>
              <w:jc w:val="center"/>
            </w:pPr>
            <w:r>
              <w:rPr>
                <w:b w:val="0"/>
                <w:i w:val="0"/>
                <w:sz w:val="18"/>
              </w:rPr>
              <w:t>74.492</w:t>
            </w:r>
          </w:p>
        </w:tc>
        <w:tc>
          <w:tcPr>
            <w:tcW w:type="dxa" w:w="1758"/>
          </w:tcPr>
          <w:p>
            <w:pPr>
              <w:pStyle w:val="MDPI42tablebody"/>
              <w:keepNext/>
              <w:spacing w:line="240" w:lineRule="auto" w:before="30" w:after="30"/>
              <w:jc w:val="center"/>
            </w:pPr>
            <w:r>
              <w:rPr>
                <w:b w:val="0"/>
                <w:i w:val="0"/>
                <w:sz w:val="18"/>
              </w:rPr>
              <w:t>100.000</w:t>
            </w:r>
          </w:p>
        </w:tc>
        <w:tc>
          <w:tcPr>
            <w:tcW w:type="dxa" w:w="1758"/>
          </w:tcPr>
          <w:p>
            <w:pPr>
              <w:pStyle w:val="MDPI42tablebody"/>
              <w:keepNext/>
              <w:spacing w:line="240" w:lineRule="auto" w:before="30" w:after="30"/>
              <w:jc w:val="center"/>
            </w:pPr>
            <w:r>
              <w:rPr>
                <w:b w:val="0"/>
                <w:i w:val="0"/>
                <w:sz w:val="18"/>
              </w:rPr>
              <w:t>100.000</w:t>
            </w:r>
          </w:p>
        </w:tc>
        <w:tc>
          <w:tcPr>
            <w:tcW w:type="dxa" w:w="1758"/>
          </w:tcPr>
          <w:p>
            <w:pPr>
              <w:pStyle w:val="MDPI42tablebody"/>
              <w:keepNext/>
              <w:spacing w:line="240" w:lineRule="auto" w:before="30" w:after="30"/>
              <w:jc w:val="center"/>
            </w:pPr>
            <w:r>
              <w:rPr>
                <w:b w:val="0"/>
                <w:i w:val="0"/>
                <w:sz w:val="18"/>
              </w:rPr>
              <w:t>100.000</w:t>
            </w:r>
          </w:p>
        </w:tc>
        <w:tc>
          <w:tcPr>
            <w:tcW w:type="dxa" w:w="1758"/>
          </w:tcPr>
          <w:p>
            <w:pPr>
              <w:pStyle w:val="MDPI42tablebody"/>
              <w:keepNext/>
              <w:spacing w:line="240" w:lineRule="auto" w:before="30" w:after="30"/>
              <w:jc w:val="center"/>
            </w:pPr>
            <w:r>
              <w:rPr>
                <w:b w:val="0"/>
                <w:i w:val="0"/>
                <w:sz w:val="18"/>
              </w:rPr>
              <w:t>51.731</w:t>
            </w:r>
          </w:p>
        </w:tc>
      </w:tr>
    </w:tbl>
    <w:p>
      <w:pPr>
        <w:pStyle w:val="MDPI43tablefooter"/>
        <w:keepLines/>
        <w:spacing w:line="240" w:lineRule="auto" w:before="40" w:after="200"/>
        <w:ind w:left="2608" w:firstLine="0"/>
      </w:pPr>
      <w:r>
        <w:rPr>
          <w:sz w:val="16"/>
        </w:rPr>
        <w:t xml:space="preserve">Note: </w:t>
      </w:r>
      <w:r>
        <w:rPr>
          <w:b w:val="0"/>
          <w:i w:val="0"/>
          <w:sz w:val="16"/>
        </w:rPr>
        <w:t>Percentage of the working hour lost at a nominal 400 W metabolic rate, the class used for construction and grounds work. WBGT in degrees Celsius. The five functions were transcribed from open-source reference implementations and cross-checked against one another; they disagree by an order of magnitude in the band in which European summers sit. Source: authors’ calculations.</w:t>
      </w:r>
    </w:p>
    <w:p>
      <w:pPr>
        <w:pStyle w:val="MDPI41tablecaption"/>
        <w:keepNext/>
        <w:spacing w:after="60"/>
      </w:pPr>
      <w:r>
        <w:rPr>
          <w:b/>
          <w:sz w:val="18"/>
        </w:rPr>
        <w:t xml:space="preserve">Table A3. </w:t>
      </w:r>
      <w:r>
        <w:rPr>
          <w:b w:val="0"/>
          <w:i w:val="0"/>
          <w:sz w:val="18"/>
        </w:rPr>
        <w:t>Observed characteristics of European urban centres and European summers.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767"/>
        <w:gridCol w:w="1674"/>
        <w:gridCol w:w="1674"/>
        <w:gridCol w:w="1674"/>
        <w:gridCol w:w="1674"/>
      </w:tblGrid>
      <w:tr>
        <w:trPr>
          <w:cantSplit/>
          <w:tblHeader/>
        </w:trPr>
        <w:tc>
          <w:tcPr>
            <w:tcW w:type="dxa" w:w="3767"/>
            <w:tcBorders>
              <w:bottom w:val="single" w:sz="8" w:space="0" w:color="auto"/>
            </w:tcBorders>
          </w:tcPr>
          <w:p>
            <w:pPr>
              <w:pStyle w:val="MDPI42tablebody"/>
              <w:keepNext/>
              <w:spacing w:line="240" w:lineRule="auto" w:before="30" w:after="30"/>
              <w:jc w:val="center"/>
            </w:pPr>
            <w:r>
              <w:rPr>
                <w:b/>
                <w:i w:val="0"/>
                <w:sz w:val="18"/>
              </w:rPr>
              <w:t>Quantity</w:t>
            </w:r>
          </w:p>
        </w:tc>
        <w:tc>
          <w:tcPr>
            <w:tcW w:type="dxa" w:w="1674"/>
            <w:tcBorders>
              <w:bottom w:val="single" w:sz="8" w:space="0" w:color="auto"/>
            </w:tcBorders>
          </w:tcPr>
          <w:p>
            <w:pPr>
              <w:pStyle w:val="MDPI42tablebody"/>
              <w:keepNext/>
              <w:spacing w:line="240" w:lineRule="auto" w:before="30" w:after="30"/>
              <w:jc w:val="center"/>
            </w:pPr>
            <w:r>
              <w:rPr>
                <w:b/>
                <w:i w:val="0"/>
                <w:sz w:val="18"/>
              </w:rPr>
              <w:t>Lower quartile</w:t>
            </w:r>
          </w:p>
        </w:tc>
        <w:tc>
          <w:tcPr>
            <w:tcW w:type="dxa" w:w="1674"/>
            <w:tcBorders>
              <w:bottom w:val="single" w:sz="8" w:space="0" w:color="auto"/>
            </w:tcBorders>
          </w:tcPr>
          <w:p>
            <w:pPr>
              <w:pStyle w:val="MDPI42tablebody"/>
              <w:keepNext/>
              <w:spacing w:line="240" w:lineRule="auto" w:before="30" w:after="30"/>
              <w:jc w:val="center"/>
            </w:pPr>
            <w:r>
              <w:rPr>
                <w:b/>
                <w:i w:val="0"/>
                <w:sz w:val="18"/>
              </w:rPr>
              <w:t>Median</w:t>
            </w:r>
          </w:p>
        </w:tc>
        <w:tc>
          <w:tcPr>
            <w:tcW w:type="dxa" w:w="1674"/>
            <w:tcBorders>
              <w:bottom w:val="single" w:sz="8" w:space="0" w:color="auto"/>
            </w:tcBorders>
          </w:tcPr>
          <w:p>
            <w:pPr>
              <w:pStyle w:val="MDPI42tablebody"/>
              <w:keepNext/>
              <w:spacing w:line="240" w:lineRule="auto" w:before="30" w:after="30"/>
              <w:jc w:val="center"/>
            </w:pPr>
            <w:r>
              <w:rPr>
                <w:b/>
                <w:i w:val="0"/>
                <w:sz w:val="18"/>
              </w:rPr>
              <w:t>Upper quartile</w:t>
            </w:r>
          </w:p>
        </w:tc>
        <w:tc>
          <w:tcPr>
            <w:tcW w:type="dxa" w:w="1674"/>
            <w:tcBorders>
              <w:bottom w:val="single" w:sz="8" w:space="0" w:color="auto"/>
            </w:tcBorders>
          </w:tcPr>
          <w:p>
            <w:pPr>
              <w:pStyle w:val="MDPI42tablebody"/>
              <w:keepNext/>
              <w:spacing w:line="240" w:lineRule="auto" w:before="30" w:after="30"/>
              <w:jc w:val="center"/>
            </w:pPr>
            <w:r>
              <w:rPr>
                <w:b/>
                <w:i w:val="0"/>
                <w:sz w:val="18"/>
              </w:rPr>
              <w:t>Unit</w:t>
            </w:r>
          </w:p>
        </w:tc>
      </w:tr>
      <w:tr>
        <w:trPr>
          <w:cantSplit/>
        </w:trPr>
        <w:tc>
          <w:tcPr>
            <w:tcW w:type="dxa" w:w="3767"/>
          </w:tcPr>
          <w:p>
            <w:pPr>
              <w:pStyle w:val="MDPI42tablebody"/>
              <w:keepNext/>
              <w:spacing w:line="240" w:lineRule="auto" w:before="30" w:after="30"/>
              <w:jc w:val="left"/>
            </w:pPr>
            <w:r>
              <w:rPr>
                <w:b w:val="0"/>
                <w:i w:val="0"/>
                <w:sz w:val="18"/>
              </w:rPr>
              <w:t>Average greenness, 2014</w:t>
            </w:r>
          </w:p>
        </w:tc>
        <w:tc>
          <w:tcPr>
            <w:tcW w:type="dxa" w:w="1674"/>
          </w:tcPr>
          <w:p>
            <w:pPr>
              <w:pStyle w:val="MDPI42tablebody"/>
              <w:keepNext/>
              <w:spacing w:line="240" w:lineRule="auto" w:before="30" w:after="30"/>
              <w:jc w:val="center"/>
            </w:pPr>
            <w:r>
              <w:rPr>
                <w:b w:val="0"/>
                <w:i w:val="0"/>
                <w:sz w:val="18"/>
              </w:rPr>
              <w:t>0.384</w:t>
            </w:r>
          </w:p>
        </w:tc>
        <w:tc>
          <w:tcPr>
            <w:tcW w:type="dxa" w:w="1674"/>
          </w:tcPr>
          <w:p>
            <w:pPr>
              <w:pStyle w:val="MDPI42tablebody"/>
              <w:keepNext/>
              <w:spacing w:line="240" w:lineRule="auto" w:before="30" w:after="30"/>
              <w:jc w:val="center"/>
            </w:pPr>
            <w:r>
              <w:rPr>
                <w:b w:val="0"/>
                <w:i w:val="0"/>
                <w:sz w:val="18"/>
              </w:rPr>
              <w:t>0.442</w:t>
            </w:r>
          </w:p>
        </w:tc>
        <w:tc>
          <w:tcPr>
            <w:tcW w:type="dxa" w:w="1674"/>
          </w:tcPr>
          <w:p>
            <w:pPr>
              <w:pStyle w:val="MDPI42tablebody"/>
              <w:keepNext/>
              <w:spacing w:line="240" w:lineRule="auto" w:before="30" w:after="30"/>
              <w:jc w:val="center"/>
            </w:pPr>
            <w:r>
              <w:rPr>
                <w:b w:val="0"/>
                <w:i w:val="0"/>
                <w:sz w:val="18"/>
              </w:rPr>
              <w:t>0.477</w:t>
            </w:r>
          </w:p>
        </w:tc>
        <w:tc>
          <w:tcPr>
            <w:tcW w:type="dxa" w:w="1674"/>
          </w:tcPr>
          <w:p>
            <w:pPr>
              <w:pStyle w:val="MDPI42tablebody"/>
              <w:keepNext/>
              <w:spacing w:line="240" w:lineRule="auto" w:before="30" w:after="30"/>
              <w:jc w:val="left"/>
            </w:pPr>
            <w:r>
              <w:rPr>
                <w:b w:val="0"/>
                <w:i w:val="0"/>
                <w:sz w:val="18"/>
              </w:rPr>
              <w:t>index</w:t>
            </w:r>
          </w:p>
        </w:tc>
      </w:tr>
      <w:tr>
        <w:trPr>
          <w:cantSplit/>
        </w:trPr>
        <w:tc>
          <w:tcPr>
            <w:tcW w:type="dxa" w:w="3767"/>
          </w:tcPr>
          <w:p>
            <w:pPr>
              <w:pStyle w:val="MDPI42tablebody"/>
              <w:keepNext/>
              <w:spacing w:line="240" w:lineRule="auto" w:before="30" w:after="30"/>
              <w:jc w:val="left"/>
            </w:pPr>
            <w:r>
              <w:rPr>
                <w:b w:val="0"/>
                <w:i w:val="0"/>
                <w:sz w:val="18"/>
              </w:rPr>
              <w:t>Population with access to open space (SDG 11.7)</w:t>
            </w:r>
          </w:p>
        </w:tc>
        <w:tc>
          <w:tcPr>
            <w:tcW w:type="dxa" w:w="1674"/>
          </w:tcPr>
          <w:p>
            <w:pPr>
              <w:pStyle w:val="MDPI42tablebody"/>
              <w:keepNext/>
              <w:spacing w:line="240" w:lineRule="auto" w:before="30" w:after="30"/>
              <w:jc w:val="center"/>
            </w:pPr>
            <w:r>
              <w:rPr>
                <w:b w:val="0"/>
                <w:i w:val="0"/>
                <w:sz w:val="18"/>
              </w:rPr>
              <w:t>0.152</w:t>
            </w:r>
          </w:p>
        </w:tc>
        <w:tc>
          <w:tcPr>
            <w:tcW w:type="dxa" w:w="1674"/>
          </w:tcPr>
          <w:p>
            <w:pPr>
              <w:pStyle w:val="MDPI42tablebody"/>
              <w:keepNext/>
              <w:spacing w:line="240" w:lineRule="auto" w:before="30" w:after="30"/>
              <w:jc w:val="center"/>
            </w:pPr>
            <w:r>
              <w:rPr>
                <w:b w:val="0"/>
                <w:i w:val="0"/>
                <w:sz w:val="18"/>
              </w:rPr>
              <w:t>0.299</w:t>
            </w:r>
          </w:p>
        </w:tc>
        <w:tc>
          <w:tcPr>
            <w:tcW w:type="dxa" w:w="1674"/>
          </w:tcPr>
          <w:p>
            <w:pPr>
              <w:pStyle w:val="MDPI42tablebody"/>
              <w:keepNext/>
              <w:spacing w:line="240" w:lineRule="auto" w:before="30" w:after="30"/>
              <w:jc w:val="center"/>
            </w:pPr>
            <w:r>
              <w:rPr>
                <w:b w:val="0"/>
                <w:i w:val="0"/>
                <w:sz w:val="18"/>
              </w:rPr>
              <w:t>0.448</w:t>
            </w:r>
          </w:p>
        </w:tc>
        <w:tc>
          <w:tcPr>
            <w:tcW w:type="dxa" w:w="1674"/>
          </w:tcPr>
          <w:p>
            <w:pPr>
              <w:pStyle w:val="MDPI42tablebody"/>
              <w:keepNext/>
              <w:spacing w:line="240" w:lineRule="auto" w:before="30" w:after="30"/>
              <w:jc w:val="left"/>
            </w:pPr>
            <w:r>
              <w:rPr>
                <w:b w:val="0"/>
                <w:i w:val="0"/>
                <w:sz w:val="18"/>
              </w:rPr>
              <w:t>share</w:t>
            </w:r>
          </w:p>
        </w:tc>
      </w:tr>
      <w:tr>
        <w:trPr>
          <w:cantSplit/>
        </w:trPr>
        <w:tc>
          <w:tcPr>
            <w:tcW w:type="dxa" w:w="3767"/>
          </w:tcPr>
          <w:p>
            <w:pPr>
              <w:pStyle w:val="MDPI42tablebody"/>
              <w:keepNext/>
              <w:spacing w:line="240" w:lineRule="auto" w:before="30" w:after="30"/>
              <w:jc w:val="left"/>
            </w:pPr>
            <w:r>
              <w:rPr>
                <w:b w:val="0"/>
                <w:i w:val="0"/>
                <w:sz w:val="18"/>
              </w:rPr>
              <w:t>Heatwave exposure index</w:t>
            </w:r>
          </w:p>
        </w:tc>
        <w:tc>
          <w:tcPr>
            <w:tcW w:type="dxa" w:w="1674"/>
          </w:tcPr>
          <w:p>
            <w:pPr>
              <w:pStyle w:val="MDPI42tablebody"/>
              <w:keepNext/>
              <w:spacing w:line="240" w:lineRule="auto" w:before="30" w:after="30"/>
              <w:jc w:val="center"/>
            </w:pPr>
            <w:r>
              <w:rPr>
                <w:b w:val="0"/>
                <w:i w:val="0"/>
                <w:sz w:val="18"/>
              </w:rPr>
              <w:t>6.25</w:t>
            </w:r>
          </w:p>
        </w:tc>
        <w:tc>
          <w:tcPr>
            <w:tcW w:type="dxa" w:w="1674"/>
          </w:tcPr>
          <w:p>
            <w:pPr>
              <w:pStyle w:val="MDPI42tablebody"/>
              <w:keepNext/>
              <w:spacing w:line="240" w:lineRule="auto" w:before="30" w:after="30"/>
              <w:jc w:val="center"/>
            </w:pPr>
            <w:r>
              <w:rPr>
                <w:b w:val="0"/>
                <w:i w:val="0"/>
                <w:sz w:val="18"/>
              </w:rPr>
              <w:t>9.71</w:t>
            </w:r>
          </w:p>
        </w:tc>
        <w:tc>
          <w:tcPr>
            <w:tcW w:type="dxa" w:w="1674"/>
          </w:tcPr>
          <w:p>
            <w:pPr>
              <w:pStyle w:val="MDPI42tablebody"/>
              <w:keepNext/>
              <w:spacing w:line="240" w:lineRule="auto" w:before="30" w:after="30"/>
              <w:jc w:val="center"/>
            </w:pPr>
            <w:r>
              <w:rPr>
                <w:b w:val="0"/>
                <w:i w:val="0"/>
                <w:sz w:val="18"/>
              </w:rPr>
              <w:t>14.49</w:t>
            </w:r>
          </w:p>
        </w:tc>
        <w:tc>
          <w:tcPr>
            <w:tcW w:type="dxa" w:w="1674"/>
          </w:tcPr>
          <w:p>
            <w:pPr>
              <w:pStyle w:val="MDPI42tablebody"/>
              <w:keepNext/>
              <w:spacing w:line="240" w:lineRule="auto" w:before="30" w:after="30"/>
              <w:jc w:val="left"/>
            </w:pPr>
            <w:r>
              <w:rPr>
                <w:b w:val="0"/>
                <w:i w:val="0"/>
                <w:sz w:val="18"/>
              </w:rPr>
              <w:t>index</w:t>
            </w:r>
          </w:p>
        </w:tc>
      </w:tr>
      <w:tr>
        <w:trPr>
          <w:cantSplit/>
        </w:trPr>
        <w:tc>
          <w:tcPr>
            <w:tcW w:type="dxa" w:w="3767"/>
          </w:tcPr>
          <w:p>
            <w:pPr>
              <w:pStyle w:val="MDPI42tablebody"/>
              <w:keepNext/>
              <w:spacing w:line="240" w:lineRule="auto" w:before="30" w:after="30"/>
              <w:jc w:val="left"/>
            </w:pPr>
            <w:r>
              <w:rPr>
                <w:b w:val="0"/>
                <w:i w:val="0"/>
                <w:sz w:val="18"/>
              </w:rPr>
              <w:t>Urban centre area</w:t>
            </w:r>
          </w:p>
        </w:tc>
        <w:tc>
          <w:tcPr>
            <w:tcW w:type="dxa" w:w="1674"/>
          </w:tcPr>
          <w:p>
            <w:pPr>
              <w:pStyle w:val="MDPI42tablebody"/>
              <w:keepNext/>
              <w:spacing w:line="240" w:lineRule="auto" w:before="30" w:after="30"/>
              <w:jc w:val="center"/>
            </w:pPr>
            <w:r>
              <w:rPr>
                <w:b w:val="0"/>
                <w:i w:val="0"/>
                <w:sz w:val="18"/>
              </w:rPr>
              <w:t>24</w:t>
            </w:r>
          </w:p>
        </w:tc>
        <w:tc>
          <w:tcPr>
            <w:tcW w:type="dxa" w:w="1674"/>
          </w:tcPr>
          <w:p>
            <w:pPr>
              <w:pStyle w:val="MDPI42tablebody"/>
              <w:keepNext/>
              <w:spacing w:line="240" w:lineRule="auto" w:before="30" w:after="30"/>
              <w:jc w:val="center"/>
            </w:pPr>
            <w:r>
              <w:rPr>
                <w:b w:val="0"/>
                <w:i w:val="0"/>
                <w:sz w:val="18"/>
              </w:rPr>
              <w:t>37</w:t>
            </w:r>
          </w:p>
        </w:tc>
        <w:tc>
          <w:tcPr>
            <w:tcW w:type="dxa" w:w="1674"/>
          </w:tcPr>
          <w:p>
            <w:pPr>
              <w:pStyle w:val="MDPI42tablebody"/>
              <w:keepNext/>
              <w:spacing w:line="240" w:lineRule="auto" w:before="30" w:after="30"/>
              <w:jc w:val="center"/>
            </w:pPr>
            <w:r>
              <w:rPr>
                <w:b w:val="0"/>
                <w:i w:val="0"/>
                <w:sz w:val="18"/>
              </w:rPr>
              <w:t>67</w:t>
            </w:r>
          </w:p>
        </w:tc>
        <w:tc>
          <w:tcPr>
            <w:tcW w:type="dxa" w:w="1674"/>
          </w:tcPr>
          <w:p>
            <w:pPr>
              <w:pStyle w:val="MDPI42tablebody"/>
              <w:keepNext/>
              <w:spacing w:line="240" w:lineRule="auto" w:before="30" w:after="30"/>
              <w:jc w:val="left"/>
            </w:pPr>
            <w:r>
              <w:rPr>
                <w:b w:val="0"/>
                <w:i w:val="0"/>
                <w:sz w:val="18"/>
              </w:rPr>
              <w:t>km2</w:t>
            </w:r>
          </w:p>
        </w:tc>
      </w:tr>
      <w:tr>
        <w:trPr>
          <w:cantSplit/>
        </w:trPr>
        <w:tc>
          <w:tcPr>
            <w:tcW w:type="dxa" w:w="3767"/>
          </w:tcPr>
          <w:p>
            <w:pPr>
              <w:pStyle w:val="MDPI42tablebody"/>
              <w:keepNext/>
              <w:spacing w:line="240" w:lineRule="auto" w:before="30" w:after="30"/>
              <w:jc w:val="left"/>
            </w:pPr>
            <w:r>
              <w:rPr>
                <w:b w:val="0"/>
                <w:i w:val="0"/>
                <w:sz w:val="18"/>
              </w:rPr>
              <w:t>Residential density</w:t>
            </w:r>
          </w:p>
        </w:tc>
        <w:tc>
          <w:tcPr>
            <w:tcW w:type="dxa" w:w="1674"/>
          </w:tcPr>
          <w:p>
            <w:pPr>
              <w:pStyle w:val="MDPI42tablebody"/>
              <w:keepNext/>
              <w:spacing w:line="240" w:lineRule="auto" w:before="30" w:after="30"/>
              <w:jc w:val="center"/>
            </w:pPr>
            <w:r>
              <w:rPr>
                <w:b w:val="0"/>
                <w:i w:val="0"/>
                <w:sz w:val="18"/>
              </w:rPr>
              <w:t>2519</w:t>
            </w:r>
          </w:p>
        </w:tc>
        <w:tc>
          <w:tcPr>
            <w:tcW w:type="dxa" w:w="1674"/>
          </w:tcPr>
          <w:p>
            <w:pPr>
              <w:pStyle w:val="MDPI42tablebody"/>
              <w:keepNext/>
              <w:spacing w:line="240" w:lineRule="auto" w:before="30" w:after="30"/>
              <w:jc w:val="center"/>
            </w:pPr>
            <w:r>
              <w:rPr>
                <w:b w:val="0"/>
                <w:i w:val="0"/>
                <w:sz w:val="18"/>
              </w:rPr>
              <w:t>3009</w:t>
            </w:r>
          </w:p>
        </w:tc>
        <w:tc>
          <w:tcPr>
            <w:tcW w:type="dxa" w:w="1674"/>
          </w:tcPr>
          <w:p>
            <w:pPr>
              <w:pStyle w:val="MDPI42tablebody"/>
              <w:keepNext/>
              <w:spacing w:line="240" w:lineRule="auto" w:before="30" w:after="30"/>
              <w:jc w:val="center"/>
            </w:pPr>
            <w:r>
              <w:rPr>
                <w:b w:val="0"/>
                <w:i w:val="0"/>
                <w:sz w:val="18"/>
              </w:rPr>
              <w:t>3747</w:t>
            </w:r>
          </w:p>
        </w:tc>
        <w:tc>
          <w:tcPr>
            <w:tcW w:type="dxa" w:w="1674"/>
          </w:tcPr>
          <w:p>
            <w:pPr>
              <w:pStyle w:val="MDPI42tablebody"/>
              <w:keepNext/>
              <w:spacing w:line="240" w:lineRule="auto" w:before="30" w:after="30"/>
              <w:jc w:val="left"/>
            </w:pPr>
            <w:r>
              <w:rPr>
                <w:b w:val="0"/>
                <w:i w:val="0"/>
                <w:sz w:val="18"/>
              </w:rPr>
              <w:t>persons per km2</w:t>
            </w:r>
          </w:p>
        </w:tc>
      </w:tr>
      <w:tr>
        <w:trPr>
          <w:cantSplit/>
        </w:trPr>
        <w:tc>
          <w:tcPr>
            <w:tcW w:type="dxa" w:w="3767"/>
          </w:tcPr>
          <w:p>
            <w:pPr>
              <w:pStyle w:val="MDPI42tablebody"/>
              <w:keepNext/>
              <w:spacing w:line="240" w:lineRule="auto" w:before="30" w:after="30"/>
              <w:jc w:val="left"/>
            </w:pPr>
            <w:r>
              <w:rPr>
                <w:b w:val="0"/>
                <w:i w:val="0"/>
                <w:sz w:val="18"/>
              </w:rPr>
              <w:t>Summer (JJA) mean temperature, 2001-2020</w:t>
            </w:r>
          </w:p>
        </w:tc>
        <w:tc>
          <w:tcPr>
            <w:tcW w:type="dxa" w:w="1674"/>
          </w:tcPr>
          <w:p>
            <w:pPr>
              <w:pStyle w:val="MDPI42tablebody"/>
              <w:keepNext/>
              <w:spacing w:line="240" w:lineRule="auto" w:before="30" w:after="30"/>
              <w:jc w:val="center"/>
            </w:pPr>
            <w:r>
              <w:rPr>
                <w:b w:val="0"/>
                <w:i w:val="0"/>
                <w:sz w:val="18"/>
              </w:rPr>
              <w:t>17.52</w:t>
            </w:r>
          </w:p>
        </w:tc>
        <w:tc>
          <w:tcPr>
            <w:tcW w:type="dxa" w:w="1674"/>
          </w:tcPr>
          <w:p>
            <w:pPr>
              <w:pStyle w:val="MDPI42tablebody"/>
              <w:keepNext/>
              <w:spacing w:line="240" w:lineRule="auto" w:before="30" w:after="30"/>
              <w:jc w:val="center"/>
            </w:pPr>
            <w:r>
              <w:rPr>
                <w:b w:val="0"/>
                <w:i w:val="0"/>
                <w:sz w:val="18"/>
              </w:rPr>
              <w:t>18.49</w:t>
            </w:r>
          </w:p>
        </w:tc>
        <w:tc>
          <w:tcPr>
            <w:tcW w:type="dxa" w:w="1674"/>
          </w:tcPr>
          <w:p>
            <w:pPr>
              <w:pStyle w:val="MDPI42tablebody"/>
              <w:keepNext/>
              <w:spacing w:line="240" w:lineRule="auto" w:before="30" w:after="30"/>
              <w:jc w:val="center"/>
            </w:pPr>
            <w:r>
              <w:rPr>
                <w:b w:val="0"/>
                <w:i w:val="0"/>
                <w:sz w:val="18"/>
              </w:rPr>
              <w:t>21.70</w:t>
            </w:r>
          </w:p>
        </w:tc>
        <w:tc>
          <w:tcPr>
            <w:tcW w:type="dxa" w:w="1674"/>
          </w:tcPr>
          <w:p>
            <w:pPr>
              <w:pStyle w:val="MDPI42tablebody"/>
              <w:keepNext/>
              <w:spacing w:line="240" w:lineRule="auto" w:before="30" w:after="30"/>
              <w:jc w:val="left"/>
            </w:pPr>
            <w:r>
              <w:rPr>
                <w:b w:val="0"/>
                <w:i w:val="0"/>
                <w:sz w:val="18"/>
              </w:rPr>
              <w:t>degrees C</w:t>
            </w:r>
          </w:p>
        </w:tc>
      </w:tr>
    </w:tbl>
    <w:p>
      <w:pPr>
        <w:pStyle w:val="MDPI43tablefooter"/>
        <w:keepLines/>
        <w:spacing w:line="240" w:lineRule="auto" w:before="40" w:after="200"/>
        <w:ind w:left="2608" w:firstLine="0"/>
      </w:pPr>
      <w:r>
        <w:rPr>
          <w:sz w:val="16"/>
        </w:rPr>
        <w:t xml:space="preserve">Note: </w:t>
      </w:r>
      <w:r>
        <w:rPr>
          <w:b w:val="0"/>
          <w:i w:val="0"/>
          <w:sz w:val="16"/>
        </w:rPr>
        <w:t>The first five rows describe the 556 urban centres of the EU-27 on European territory recorded in the Global Human Settlement Layer Urban Centre Database, release R2019A. The last row describes mean summer (June to August) land-surface temperature across the twenty-seven Member States over 2001–2020, from Berkeley Earth country series. These distributions are used to place the synthetic city and its climate settings inside the range European cities and European summers occupy; no relationship is estimated from them.</w:t>
      </w:r>
    </w:p>
    <w:p>
      <w:pPr>
        <w:pStyle w:val="MDPI21heading1"/>
        <w:ind w:left="0" w:firstLine="0"/>
      </w:pPr>
      <w:r>
        <w:t>References</w:t>
      </w:r>
    </w:p>
    <w:p>
      <w:pPr>
        <w:pStyle w:val="MDPI32textnoindent"/>
        <w:spacing w:line="240" w:lineRule="auto" w:before="0" w:after="40"/>
        <w:ind w:left="425" w:hanging="425"/>
        <w:tabs>
          <w:tab w:val="left" w:pos="425"/>
        </w:tabs>
      </w:pPr>
      <w:bookmarkStart w:id="1001" w:name="_Ref_1"/>
      <w:r>
        <w:rPr>
          <w:b w:val="0"/>
          <w:sz w:val="18"/>
        </w:rPr>
        <w:t>1</w:t>
      </w:r>
      <w:bookmarkEnd w:id="1001"/>
      <w:r>
        <w:rPr>
          <w:sz w:val="18"/>
        </w:rPr>
        <w:t>.</w:t>
        <w:tab/>
      </w:r>
      <w:r>
        <w:rPr>
          <w:b w:val="0"/>
          <w:i w:val="0"/>
          <w:sz w:val="18"/>
        </w:rPr>
        <w:t xml:space="preserve">García-León, D.; Masselot, P.; Mistry, M.N.; Gasparrini, A. et al. </w:t>
      </w:r>
      <w:r>
        <w:rPr>
          <w:b w:val="0"/>
          <w:i w:val="0"/>
          <w:sz w:val="18"/>
        </w:rPr>
        <w:t xml:space="preserve">Temperature-Related Mortality Burden and Projected Change in 1368 European Regions: A Modelling Study. </w:t>
      </w:r>
      <w:r>
        <w:rPr>
          <w:b w:val="0"/>
          <w:i/>
          <w:sz w:val="18"/>
        </w:rPr>
        <w:t xml:space="preserve">Lancet Public Health </w:t>
      </w:r>
      <w:r>
        <w:rPr>
          <w:b/>
          <w:i w:val="0"/>
          <w:sz w:val="18"/>
        </w:rPr>
        <w:t>2024</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2" w:name="_Ref_2"/>
      <w:r>
        <w:rPr>
          <w:b w:val="0"/>
          <w:sz w:val="18"/>
        </w:rPr>
        <w:t>2</w:t>
      </w:r>
      <w:bookmarkEnd w:id="1002"/>
      <w:r>
        <w:rPr>
          <w:sz w:val="18"/>
        </w:rPr>
        <w:t>.</w:t>
        <w:tab/>
      </w:r>
      <w:r>
        <w:rPr>
          <w:b w:val="0"/>
          <w:i w:val="0"/>
          <w:sz w:val="18"/>
        </w:rPr>
        <w:t xml:space="preserve">Li, H.; Zhao, Y.; Wang, C.; Ürge-Vorsatz, D.; Carmeliet, J.; Bardhan, R. </w:t>
      </w:r>
      <w:r>
        <w:rPr>
          <w:b w:val="0"/>
          <w:i w:val="0"/>
          <w:sz w:val="18"/>
        </w:rPr>
        <w:t xml:space="preserve">Cooling Efficacy of Trees across Cities Is Determined by Background Climate, Urban Morphology, and Tree Trait. </w:t>
      </w:r>
      <w:r>
        <w:rPr>
          <w:b w:val="0"/>
          <w:i/>
          <w:sz w:val="18"/>
        </w:rPr>
        <w:t xml:space="preserve">Commun. Earth Environ. </w:t>
      </w:r>
      <w:r>
        <w:rPr>
          <w:b/>
          <w:i w:val="0"/>
          <w:sz w:val="18"/>
        </w:rPr>
        <w:t>2024</w:t>
      </w:r>
      <w:r>
        <w:rPr>
          <w:b w:val="0"/>
          <w:i w:val="0"/>
          <w:sz w:val="18"/>
        </w:rPr>
        <w:t xml:space="preserve">, </w:t>
      </w:r>
      <w:r>
        <w:rPr>
          <w:b w:val="0"/>
          <w:i/>
          <w:sz w:val="18"/>
        </w:rPr>
        <w:t>5</w:t>
      </w:r>
      <w:r>
        <w:rPr>
          <w:b w:val="0"/>
          <w:i w:val="0"/>
          <w:sz w:val="18"/>
        </w:rPr>
        <w:t>, 754.</w:t>
      </w:r>
      <w:r>
        <w:rPr>
          <w:b w:val="0"/>
          <w:i w:val="0"/>
          <w:sz w:val="18"/>
        </w:rPr>
        <w:t xml:space="preserve"> [CrossRef]</w:t>
      </w:r>
    </w:p>
    <w:p>
      <w:pPr>
        <w:pStyle w:val="MDPI32textnoindent"/>
        <w:spacing w:line="240" w:lineRule="auto" w:before="0" w:after="40"/>
        <w:ind w:left="425" w:hanging="425"/>
        <w:tabs>
          <w:tab w:val="left" w:pos="425"/>
        </w:tabs>
      </w:pPr>
      <w:bookmarkStart w:id="1003" w:name="_Ref_3"/>
      <w:r>
        <w:rPr>
          <w:b w:val="0"/>
          <w:sz w:val="18"/>
        </w:rPr>
        <w:t>3</w:t>
      </w:r>
      <w:bookmarkEnd w:id="1003"/>
      <w:r>
        <w:rPr>
          <w:sz w:val="18"/>
        </w:rPr>
        <w:t>.</w:t>
        <w:tab/>
      </w:r>
      <w:r>
        <w:rPr>
          <w:b w:val="0"/>
          <w:i w:val="0"/>
          <w:sz w:val="18"/>
        </w:rPr>
        <w:t xml:space="preserve">Marando, F.; Heris, M.P.; Zulian, G.; Udías, A.; Mentaschi, L.; Chrysoulakis, N.; Parastatidis, D.; Maes, J. </w:t>
      </w:r>
      <w:r>
        <w:rPr>
          <w:b w:val="0"/>
          <w:i w:val="0"/>
          <w:sz w:val="18"/>
        </w:rPr>
        <w:t xml:space="preserve">Urban Heat Island Mitigation by Green Infrastructure in European Functional Urban Areas. </w:t>
      </w:r>
      <w:r>
        <w:rPr>
          <w:b w:val="0"/>
          <w:i/>
          <w:sz w:val="18"/>
        </w:rPr>
        <w:t xml:space="preserve">Sustain. Cities Soc. </w:t>
      </w:r>
      <w:r>
        <w:rPr>
          <w:b/>
          <w:i w:val="0"/>
          <w:sz w:val="18"/>
        </w:rPr>
        <w:t>2022</w:t>
      </w:r>
      <w:r>
        <w:rPr>
          <w:b w:val="0"/>
          <w:i w:val="0"/>
          <w:sz w:val="18"/>
        </w:rPr>
        <w:t xml:space="preserve">, </w:t>
      </w:r>
      <w:r>
        <w:rPr>
          <w:b w:val="0"/>
          <w:i/>
          <w:sz w:val="18"/>
        </w:rPr>
        <w:t>77</w:t>
      </w:r>
      <w:r>
        <w:rPr>
          <w:b w:val="0"/>
          <w:i w:val="0"/>
          <w:sz w:val="18"/>
        </w:rPr>
        <w:t>, 103564.</w:t>
      </w:r>
    </w:p>
    <w:p>
      <w:pPr>
        <w:pStyle w:val="MDPI32textnoindent"/>
        <w:spacing w:line="240" w:lineRule="auto" w:before="0" w:after="40"/>
        <w:ind w:left="425" w:hanging="425"/>
        <w:tabs>
          <w:tab w:val="left" w:pos="425"/>
        </w:tabs>
      </w:pPr>
      <w:bookmarkStart w:id="1004" w:name="_Ref_4"/>
      <w:r>
        <w:rPr>
          <w:b w:val="0"/>
          <w:sz w:val="18"/>
        </w:rPr>
        <w:t>4</w:t>
      </w:r>
      <w:bookmarkEnd w:id="1004"/>
      <w:r>
        <w:rPr>
          <w:sz w:val="18"/>
        </w:rPr>
        <w:t>.</w:t>
        <w:tab/>
      </w:r>
      <w:r>
        <w:rPr>
          <w:b w:val="0"/>
          <w:i w:val="0"/>
          <w:sz w:val="18"/>
        </w:rPr>
        <w:t xml:space="preserve">Iungman, T. et al. </w:t>
      </w:r>
      <w:r>
        <w:rPr>
          <w:b w:val="0"/>
          <w:i w:val="0"/>
          <w:sz w:val="18"/>
        </w:rPr>
        <w:t xml:space="preserve">Cooling Cities through Urban Green Infrastructure: A Health Impact Assessment of European Cities. </w:t>
      </w:r>
      <w:r>
        <w:rPr>
          <w:b w:val="0"/>
          <w:i/>
          <w:sz w:val="18"/>
        </w:rPr>
        <w:t xml:space="preserve">Lancet </w:t>
      </w:r>
      <w:r>
        <w:rPr>
          <w:b/>
          <w:i w:val="0"/>
          <w:sz w:val="18"/>
        </w:rPr>
        <w:t>2023</w:t>
      </w:r>
      <w:r>
        <w:rPr>
          <w:b w:val="0"/>
          <w:i w:val="0"/>
          <w:sz w:val="18"/>
        </w:rPr>
        <w:t xml:space="preserve">, </w:t>
      </w:r>
      <w:r>
        <w:rPr>
          <w:b w:val="0"/>
          <w:i/>
          <w:sz w:val="18"/>
        </w:rPr>
        <w:t>401</w:t>
      </w:r>
      <w:r>
        <w:rPr>
          <w:b w:val="0"/>
          <w:i w:val="0"/>
          <w:sz w:val="18"/>
        </w:rPr>
        <w:t>, 577–589.</w:t>
      </w:r>
      <w:r>
        <w:rPr>
          <w:b w:val="0"/>
          <w:i w:val="0"/>
          <w:sz w:val="18"/>
        </w:rPr>
        <w:t xml:space="preserve"> [CrossRef]</w:t>
      </w:r>
    </w:p>
    <w:p>
      <w:pPr>
        <w:pStyle w:val="MDPI32textnoindent"/>
        <w:spacing w:line="240" w:lineRule="auto" w:before="0" w:after="40"/>
        <w:ind w:left="425" w:hanging="425"/>
        <w:tabs>
          <w:tab w:val="left" w:pos="425"/>
        </w:tabs>
      </w:pPr>
      <w:bookmarkStart w:id="1005" w:name="_Ref_5"/>
      <w:r>
        <w:rPr>
          <w:b w:val="0"/>
          <w:sz w:val="18"/>
        </w:rPr>
        <w:t>5</w:t>
      </w:r>
      <w:bookmarkEnd w:id="1005"/>
      <w:r>
        <w:rPr>
          <w:sz w:val="18"/>
        </w:rPr>
        <w:t>.</w:t>
        <w:tab/>
      </w:r>
      <w:r>
        <w:rPr>
          <w:b w:val="0"/>
          <w:i w:val="0"/>
          <w:sz w:val="18"/>
        </w:rPr>
        <w:t xml:space="preserve">European Union. </w:t>
      </w:r>
      <w:r>
        <w:rPr>
          <w:b w:val="0"/>
          <w:i/>
          <w:sz w:val="18"/>
        </w:rPr>
        <w:t xml:space="preserve">Regulation (EU) 2024/1991 of the European Parliament and of the Council of 24 June 2024 on Nature Restoration and Amending Regulation (EU) 2022/869; </w:t>
      </w:r>
      <w:r>
        <w:rPr>
          <w:b w:val="0"/>
          <w:i w:val="0"/>
          <w:sz w:val="18"/>
        </w:rPr>
        <w:t>Official Journal of the European Union, OJ L, 2024/1991, 2024.</w:t>
      </w:r>
      <w:r>
        <w:rPr>
          <w:b w:val="0"/>
          <w:i w:val="0"/>
          <w:sz w:val="18"/>
        </w:rPr>
        <w:t xml:space="preserve"> Available online: https://eur-lex.europa.eu/legal-content/EN/TXT/?uri=OJ%3AL_202401991.</w:t>
      </w:r>
    </w:p>
    <w:p>
      <w:pPr>
        <w:pStyle w:val="MDPI32textnoindent"/>
        <w:spacing w:line="240" w:lineRule="auto" w:before="0" w:after="40"/>
        <w:ind w:left="425" w:hanging="425"/>
        <w:tabs>
          <w:tab w:val="left" w:pos="425"/>
        </w:tabs>
      </w:pPr>
      <w:bookmarkStart w:id="1006" w:name="_Ref_6"/>
      <w:r>
        <w:rPr>
          <w:b w:val="0"/>
          <w:sz w:val="18"/>
        </w:rPr>
        <w:t>6</w:t>
      </w:r>
      <w:bookmarkEnd w:id="1006"/>
      <w:r>
        <w:rPr>
          <w:sz w:val="18"/>
        </w:rPr>
        <w:t>.</w:t>
        <w:tab/>
      </w:r>
      <w:r>
        <w:rPr>
          <w:b w:val="0"/>
          <w:i w:val="0"/>
          <w:sz w:val="18"/>
        </w:rPr>
        <w:t xml:space="preserve">Graff Zivin, J.; Neidell, M. </w:t>
      </w:r>
      <w:r>
        <w:rPr>
          <w:b w:val="0"/>
          <w:i w:val="0"/>
          <w:sz w:val="18"/>
        </w:rPr>
        <w:t xml:space="preserve">Temperature and the Allocation of Time: Implications for Climate Change. </w:t>
      </w:r>
      <w:r>
        <w:rPr>
          <w:b w:val="0"/>
          <w:i/>
          <w:sz w:val="18"/>
        </w:rPr>
        <w:t xml:space="preserve">J. Labor Econ. </w:t>
      </w:r>
      <w:r>
        <w:rPr>
          <w:b/>
          <w:i w:val="0"/>
          <w:sz w:val="18"/>
        </w:rPr>
        <w:t>2014</w:t>
      </w:r>
      <w:r>
        <w:rPr>
          <w:b w:val="0"/>
          <w:i w:val="0"/>
          <w:sz w:val="18"/>
        </w:rPr>
        <w:t xml:space="preserve">, </w:t>
      </w:r>
      <w:r>
        <w:rPr>
          <w:b w:val="0"/>
          <w:i/>
          <w:sz w:val="18"/>
        </w:rPr>
        <w:t>32</w:t>
      </w:r>
      <w:r>
        <w:rPr>
          <w:b w:val="0"/>
          <w:i w:val="0"/>
          <w:sz w:val="18"/>
        </w:rPr>
        <w:t>, 1–26.</w:t>
      </w:r>
      <w:r>
        <w:rPr>
          <w:b w:val="0"/>
          <w:i w:val="0"/>
          <w:sz w:val="18"/>
        </w:rPr>
        <w:t xml:space="preserve"> [CrossRef]</w:t>
      </w:r>
    </w:p>
    <w:p>
      <w:pPr>
        <w:pStyle w:val="MDPI32textnoindent"/>
        <w:spacing w:line="240" w:lineRule="auto" w:before="0" w:after="40"/>
        <w:ind w:left="425" w:hanging="425"/>
        <w:tabs>
          <w:tab w:val="left" w:pos="425"/>
        </w:tabs>
      </w:pPr>
      <w:bookmarkStart w:id="1007" w:name="_Ref_7"/>
      <w:r>
        <w:rPr>
          <w:b w:val="0"/>
          <w:sz w:val="18"/>
        </w:rPr>
        <w:t>7</w:t>
      </w:r>
      <w:bookmarkEnd w:id="1007"/>
      <w:r>
        <w:rPr>
          <w:sz w:val="18"/>
        </w:rPr>
        <w:t>.</w:t>
        <w:tab/>
      </w:r>
      <w:r>
        <w:rPr>
          <w:b w:val="0"/>
          <w:i w:val="0"/>
          <w:sz w:val="18"/>
        </w:rPr>
        <w:t xml:space="preserve">Somanathan, E.; Somanathan, R.; Sudarshan, A.; Tewari, M. </w:t>
      </w:r>
      <w:r>
        <w:rPr>
          <w:b w:val="0"/>
          <w:i w:val="0"/>
          <w:sz w:val="18"/>
        </w:rPr>
        <w:t xml:space="preserve">The Impact of Temperature on Productivity and Labor Supply: Evidence from Indian Manufacturing. </w:t>
      </w:r>
      <w:r>
        <w:rPr>
          <w:b w:val="0"/>
          <w:i/>
          <w:sz w:val="18"/>
        </w:rPr>
        <w:t xml:space="preserve">J. Political Econ. </w:t>
      </w:r>
      <w:r>
        <w:rPr>
          <w:b/>
          <w:i w:val="0"/>
          <w:sz w:val="18"/>
        </w:rPr>
        <w:t>2021</w:t>
      </w:r>
      <w:r>
        <w:rPr>
          <w:b w:val="0"/>
          <w:i w:val="0"/>
          <w:sz w:val="18"/>
        </w:rPr>
        <w:t xml:space="preserve">, </w:t>
      </w:r>
      <w:r>
        <w:rPr>
          <w:b w:val="0"/>
          <w:i/>
          <w:sz w:val="18"/>
        </w:rPr>
        <w:t>129</w:t>
      </w:r>
      <w:r>
        <w:rPr>
          <w:b w:val="0"/>
          <w:i w:val="0"/>
          <w:sz w:val="18"/>
        </w:rPr>
        <w:t>, 1797–1827.</w:t>
      </w:r>
      <w:r>
        <w:rPr>
          <w:b w:val="0"/>
          <w:i w:val="0"/>
          <w:sz w:val="18"/>
        </w:rPr>
        <w:t xml:space="preserve"> [CrossRef]</w:t>
      </w:r>
    </w:p>
    <w:p>
      <w:pPr>
        <w:pStyle w:val="MDPI32textnoindent"/>
        <w:spacing w:line="240" w:lineRule="auto" w:before="0" w:after="40"/>
        <w:ind w:left="425" w:hanging="425"/>
        <w:tabs>
          <w:tab w:val="left" w:pos="425"/>
        </w:tabs>
      </w:pPr>
      <w:bookmarkStart w:id="1008" w:name="_Ref_8"/>
      <w:r>
        <w:rPr>
          <w:b w:val="0"/>
          <w:sz w:val="18"/>
        </w:rPr>
        <w:t>8</w:t>
      </w:r>
      <w:bookmarkEnd w:id="1008"/>
      <w:r>
        <w:rPr>
          <w:sz w:val="18"/>
        </w:rPr>
        <w:t>.</w:t>
        <w:tab/>
      </w:r>
      <w:r>
        <w:rPr>
          <w:b w:val="0"/>
          <w:i w:val="0"/>
          <w:sz w:val="18"/>
        </w:rPr>
        <w:t xml:space="preserve">Parsons, L.A.; Masuda, Y.J.; Kroeger, T.; Shindell, D.; Wolff, N.H.; Spector, J.T. </w:t>
      </w:r>
      <w:r>
        <w:rPr>
          <w:b w:val="0"/>
          <w:i w:val="0"/>
          <w:sz w:val="18"/>
        </w:rPr>
        <w:t xml:space="preserve">Global Labor Loss Due to Humid Heat Exposure Underestimated for Outdoor Workers. </w:t>
      </w:r>
      <w:r>
        <w:rPr>
          <w:b w:val="0"/>
          <w:i/>
          <w:sz w:val="18"/>
        </w:rPr>
        <w:t xml:space="preserve">Environ. Res. Lett. </w:t>
      </w:r>
      <w:r>
        <w:rPr>
          <w:b/>
          <w:i w:val="0"/>
          <w:sz w:val="18"/>
        </w:rPr>
        <w:t>2022</w:t>
      </w:r>
      <w:r>
        <w:rPr>
          <w:b w:val="0"/>
          <w:i w:val="0"/>
          <w:sz w:val="18"/>
        </w:rPr>
        <w:t xml:space="preserve">, </w:t>
      </w:r>
      <w:r>
        <w:rPr>
          <w:b w:val="0"/>
          <w:i/>
          <w:sz w:val="18"/>
        </w:rPr>
        <w:t>17</w:t>
      </w:r>
      <w:r>
        <w:rPr>
          <w:b w:val="0"/>
          <w:i w:val="0"/>
          <w:sz w:val="18"/>
        </w:rPr>
        <w:t>, 014050.</w:t>
      </w:r>
      <w:r>
        <w:rPr>
          <w:b w:val="0"/>
          <w:i w:val="0"/>
          <w:sz w:val="18"/>
        </w:rPr>
        <w:t xml:space="preserve"> [CrossRef]</w:t>
      </w:r>
    </w:p>
    <w:p>
      <w:pPr>
        <w:pStyle w:val="MDPI32textnoindent"/>
        <w:spacing w:line="240" w:lineRule="auto" w:before="0" w:after="40"/>
        <w:ind w:left="425" w:hanging="425"/>
        <w:tabs>
          <w:tab w:val="left" w:pos="425"/>
        </w:tabs>
      </w:pPr>
      <w:bookmarkStart w:id="1009" w:name="_Ref_9"/>
      <w:r>
        <w:rPr>
          <w:b w:val="0"/>
          <w:sz w:val="18"/>
        </w:rPr>
        <w:t>9</w:t>
      </w:r>
      <w:bookmarkEnd w:id="1009"/>
      <w:r>
        <w:rPr>
          <w:sz w:val="18"/>
        </w:rPr>
        <w:t>.</w:t>
        <w:tab/>
      </w:r>
      <w:r>
        <w:rPr>
          <w:b w:val="0"/>
          <w:i w:val="0"/>
          <w:sz w:val="18"/>
        </w:rPr>
        <w:t xml:space="preserve">Parsons, L.A.; Shindell, D.; Tigchelaar, M.; Zhang, Y.; Spector, J.T. </w:t>
      </w:r>
      <w:r>
        <w:rPr>
          <w:b w:val="0"/>
          <w:i w:val="0"/>
          <w:sz w:val="18"/>
        </w:rPr>
        <w:t xml:space="preserve">Increased Labor Losses and Decreased Adaptation Potential in a Warmer World. </w:t>
      </w:r>
      <w:r>
        <w:rPr>
          <w:b w:val="0"/>
          <w:i/>
          <w:sz w:val="18"/>
        </w:rPr>
        <w:t xml:space="preserve">Nat. Commun. </w:t>
      </w:r>
      <w:r>
        <w:rPr>
          <w:b/>
          <w:i w:val="0"/>
          <w:sz w:val="18"/>
        </w:rPr>
        <w:t>2021</w:t>
      </w:r>
      <w:r>
        <w:rPr>
          <w:b w:val="0"/>
          <w:i w:val="0"/>
          <w:sz w:val="18"/>
        </w:rPr>
        <w:t xml:space="preserve">, </w:t>
      </w:r>
      <w:r>
        <w:rPr>
          <w:b w:val="0"/>
          <w:i/>
          <w:sz w:val="18"/>
        </w:rPr>
        <w:t>12</w:t>
      </w:r>
      <w:r>
        <w:rPr>
          <w:b w:val="0"/>
          <w:i w:val="0"/>
          <w:sz w:val="18"/>
        </w:rPr>
        <w:t>, 7286.</w:t>
      </w:r>
      <w:r>
        <w:rPr>
          <w:b w:val="0"/>
          <w:i w:val="0"/>
          <w:sz w:val="18"/>
        </w:rPr>
        <w:t xml:space="preserve"> [CrossRef]</w:t>
      </w:r>
    </w:p>
    <w:p>
      <w:pPr>
        <w:pStyle w:val="MDPI32textnoindent"/>
        <w:spacing w:line="240" w:lineRule="auto" w:before="0" w:after="40"/>
        <w:ind w:left="425" w:hanging="425"/>
        <w:tabs>
          <w:tab w:val="left" w:pos="425"/>
        </w:tabs>
      </w:pPr>
      <w:bookmarkStart w:id="1010" w:name="_Ref_10"/>
      <w:r>
        <w:rPr>
          <w:b w:val="0"/>
          <w:sz w:val="18"/>
        </w:rPr>
        <w:t>10</w:t>
      </w:r>
      <w:bookmarkEnd w:id="1010"/>
      <w:r>
        <w:rPr>
          <w:sz w:val="18"/>
        </w:rPr>
        <w:t>.</w:t>
        <w:tab/>
      </w:r>
      <w:r>
        <w:rPr>
          <w:b w:val="0"/>
          <w:i w:val="0"/>
          <w:sz w:val="18"/>
        </w:rPr>
        <w:t xml:space="preserve">Eurofound. </w:t>
      </w:r>
      <w:r>
        <w:rPr>
          <w:b w:val="0"/>
          <w:i/>
          <w:sz w:val="18"/>
        </w:rPr>
        <w:t xml:space="preserve">European Working Conditions Survey 2024: Overview Report; </w:t>
      </w:r>
      <w:r>
        <w:rPr>
          <w:b w:val="0"/>
          <w:i w:val="0"/>
          <w:sz w:val="18"/>
        </w:rPr>
        <w:t>Publications Office of the European Union: Luxembourg, 2026.</w:t>
      </w:r>
      <w:r>
        <w:rPr>
          <w:b w:val="0"/>
          <w:i w:val="0"/>
          <w:sz w:val="18"/>
        </w:rPr>
        <w:t xml:space="preserve"> Available online: https://www.eurofound.europa.eu/en/publications/2026/european-working-conditions-survey-2024-overview-report.</w:t>
      </w:r>
    </w:p>
    <w:p>
      <w:pPr>
        <w:pStyle w:val="MDPI32textnoindent"/>
        <w:spacing w:line="240" w:lineRule="auto" w:before="0" w:after="40"/>
        <w:ind w:left="425" w:hanging="425"/>
        <w:tabs>
          <w:tab w:val="left" w:pos="425"/>
        </w:tabs>
      </w:pPr>
      <w:bookmarkStart w:id="1011" w:name="_Ref_11"/>
      <w:r>
        <w:rPr>
          <w:b w:val="0"/>
          <w:sz w:val="18"/>
        </w:rPr>
        <w:t>11</w:t>
      </w:r>
      <w:bookmarkEnd w:id="1011"/>
      <w:r>
        <w:rPr>
          <w:sz w:val="18"/>
        </w:rPr>
        <w:t>.</w:t>
        <w:tab/>
      </w:r>
      <w:r>
        <w:rPr>
          <w:b w:val="0"/>
          <w:i w:val="0"/>
          <w:sz w:val="18"/>
        </w:rPr>
        <w:t xml:space="preserve">European Agency for Safety and Health at Work. </w:t>
      </w:r>
      <w:r>
        <w:rPr>
          <w:b w:val="0"/>
          <w:i/>
          <w:sz w:val="18"/>
        </w:rPr>
        <w:t xml:space="preserve">OSH Pulse 2025: Occupational Safety and Health in the Era of Climate and Digital Change; </w:t>
      </w:r>
      <w:r>
        <w:rPr>
          <w:b w:val="0"/>
          <w:i w:val="0"/>
          <w:sz w:val="18"/>
        </w:rPr>
        <w:t>European Agency for Safety and Health at Work: Bilbao, Spain, 2025.</w:t>
      </w:r>
      <w:r>
        <w:rPr>
          <w:b w:val="0"/>
          <w:i w:val="0"/>
          <w:sz w:val="18"/>
        </w:rPr>
        <w:t xml:space="preserve"> Available online: https://osha.europa.eu/en/facts-and-figures/osh-pulse/climate-digital-change.</w:t>
      </w:r>
    </w:p>
    <w:p>
      <w:pPr>
        <w:pStyle w:val="MDPI32textnoindent"/>
        <w:spacing w:line="240" w:lineRule="auto" w:before="0" w:after="40"/>
        <w:ind w:left="425" w:hanging="425"/>
        <w:tabs>
          <w:tab w:val="left" w:pos="425"/>
        </w:tabs>
      </w:pPr>
      <w:bookmarkStart w:id="1012" w:name="_Ref_12"/>
      <w:r>
        <w:rPr>
          <w:b w:val="0"/>
          <w:sz w:val="18"/>
        </w:rPr>
        <w:t>12</w:t>
      </w:r>
      <w:bookmarkEnd w:id="1012"/>
      <w:r>
        <w:rPr>
          <w:sz w:val="18"/>
        </w:rPr>
        <w:t>.</w:t>
        <w:tab/>
      </w:r>
      <w:r>
        <w:rPr>
          <w:b w:val="0"/>
          <w:i w:val="0"/>
          <w:sz w:val="18"/>
        </w:rPr>
        <w:t xml:space="preserve">Laskaris, Z.; Baron, S.; Markowitz, S.B. </w:t>
      </w:r>
      <w:r>
        <w:rPr>
          <w:b w:val="0"/>
          <w:i w:val="0"/>
          <w:sz w:val="18"/>
        </w:rPr>
        <w:t xml:space="preserve">Occupational Characteristics Are Missing from Heat Vulnerability Indices: A Study in New York and New Jersey. </w:t>
      </w:r>
      <w:r>
        <w:rPr>
          <w:b w:val="0"/>
          <w:i/>
          <w:sz w:val="18"/>
        </w:rPr>
        <w:t xml:space="preserve">Environ. Health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13" w:name="_Ref_13"/>
      <w:r>
        <w:rPr>
          <w:b w:val="0"/>
          <w:sz w:val="18"/>
        </w:rPr>
        <w:t>13</w:t>
      </w:r>
      <w:bookmarkEnd w:id="1013"/>
      <w:r>
        <w:rPr>
          <w:sz w:val="18"/>
        </w:rPr>
        <w:t>.</w:t>
        <w:tab/>
      </w:r>
      <w:r>
        <w:rPr>
          <w:b w:val="0"/>
          <w:i w:val="0"/>
          <w:sz w:val="18"/>
        </w:rPr>
        <w:t xml:space="preserve">Konijnendijk, C.C. </w:t>
      </w:r>
      <w:r>
        <w:rPr>
          <w:b w:val="0"/>
          <w:i w:val="0"/>
          <w:sz w:val="18"/>
        </w:rPr>
        <w:t xml:space="preserve">Evidence-Based Guidelines for Greener, Healthier, More Resilient Neighbourhoods: Introducing the 3–30–300 Rule. </w:t>
      </w:r>
      <w:r>
        <w:rPr>
          <w:b w:val="0"/>
          <w:i/>
          <w:sz w:val="18"/>
        </w:rPr>
        <w:t xml:space="preserve">J. For. Res. </w:t>
      </w:r>
      <w:r>
        <w:rPr>
          <w:b/>
          <w:i w:val="0"/>
          <w:sz w:val="18"/>
        </w:rPr>
        <w:t>2023</w:t>
      </w:r>
      <w:r>
        <w:rPr>
          <w:b w:val="0"/>
          <w:i w:val="0"/>
          <w:sz w:val="18"/>
        </w:rPr>
        <w:t xml:space="preserve">, </w:t>
      </w:r>
      <w:r>
        <w:rPr>
          <w:b w:val="0"/>
          <w:i/>
          <w:sz w:val="18"/>
        </w:rPr>
        <w:t>34</w:t>
      </w:r>
      <w:r>
        <w:rPr>
          <w:b w:val="0"/>
          <w:i w:val="0"/>
          <w:sz w:val="18"/>
        </w:rPr>
        <w:t>, 821–830.</w:t>
      </w:r>
      <w:r>
        <w:rPr>
          <w:b w:val="0"/>
          <w:i w:val="0"/>
          <w:sz w:val="18"/>
        </w:rPr>
        <w:t xml:space="preserve"> [CrossRef]</w:t>
      </w:r>
    </w:p>
    <w:p>
      <w:pPr>
        <w:pStyle w:val="MDPI32textnoindent"/>
        <w:spacing w:line="240" w:lineRule="auto" w:before="0" w:after="40"/>
        <w:ind w:left="425" w:hanging="425"/>
        <w:tabs>
          <w:tab w:val="left" w:pos="425"/>
        </w:tabs>
      </w:pPr>
      <w:bookmarkStart w:id="1014" w:name="_Ref_14"/>
      <w:r>
        <w:rPr>
          <w:b w:val="0"/>
          <w:sz w:val="18"/>
        </w:rPr>
        <w:t>14</w:t>
      </w:r>
      <w:bookmarkEnd w:id="1014"/>
      <w:r>
        <w:rPr>
          <w:sz w:val="18"/>
        </w:rPr>
        <w:t>.</w:t>
        <w:tab/>
      </w:r>
      <w:r>
        <w:rPr>
          <w:b w:val="0"/>
          <w:i w:val="0"/>
          <w:sz w:val="18"/>
        </w:rPr>
        <w:t xml:space="preserve">Croeser, T.; Sharma, R.; Weisser, W.W. et al. </w:t>
      </w:r>
      <w:r>
        <w:rPr>
          <w:b w:val="0"/>
          <w:i w:val="0"/>
          <w:sz w:val="18"/>
        </w:rPr>
        <w:t xml:space="preserve">Acute Canopy Deficits in Global Cities Exposed by the 3-30-300 Benchmark for Urban Nature. </w:t>
      </w:r>
      <w:r>
        <w:rPr>
          <w:b w:val="0"/>
          <w:i/>
          <w:sz w:val="18"/>
        </w:rPr>
        <w:t xml:space="preserve">Nat. Commun. </w:t>
      </w:r>
      <w:r>
        <w:rPr>
          <w:b/>
          <w:i w:val="0"/>
          <w:sz w:val="18"/>
        </w:rPr>
        <w:t>2024</w:t>
      </w:r>
      <w:r>
        <w:rPr>
          <w:b w:val="0"/>
          <w:i w:val="0"/>
          <w:sz w:val="18"/>
        </w:rPr>
        <w:t xml:space="preserve">, </w:t>
      </w:r>
      <w:r>
        <w:rPr>
          <w:b w:val="0"/>
          <w:i/>
          <w:sz w:val="18"/>
        </w:rPr>
        <w:t>15</w:t>
      </w:r>
      <w:r>
        <w:rPr>
          <w:b w:val="0"/>
          <w:i w:val="0"/>
          <w:sz w:val="18"/>
        </w:rPr>
        <w:t>, 9333.</w:t>
      </w:r>
      <w:r>
        <w:rPr>
          <w:b w:val="0"/>
          <w:i w:val="0"/>
          <w:sz w:val="18"/>
        </w:rPr>
        <w:t xml:space="preserve"> [CrossRef]</w:t>
      </w:r>
    </w:p>
    <w:p>
      <w:pPr>
        <w:pStyle w:val="MDPI32textnoindent"/>
        <w:spacing w:line="240" w:lineRule="auto" w:before="0" w:after="40"/>
        <w:ind w:left="425" w:hanging="425"/>
        <w:tabs>
          <w:tab w:val="left" w:pos="425"/>
        </w:tabs>
      </w:pPr>
      <w:bookmarkStart w:id="1015" w:name="_Ref_15"/>
      <w:r>
        <w:rPr>
          <w:b w:val="0"/>
          <w:sz w:val="18"/>
        </w:rPr>
        <w:t>15</w:t>
      </w:r>
      <w:bookmarkEnd w:id="1015"/>
      <w:r>
        <w:rPr>
          <w:sz w:val="18"/>
        </w:rPr>
        <w:t>.</w:t>
        <w:tab/>
      </w:r>
      <w:r>
        <w:rPr>
          <w:b w:val="0"/>
          <w:i w:val="0"/>
          <w:sz w:val="18"/>
        </w:rPr>
        <w:t xml:space="preserve">Croeser, T.; Rahman, M.A.; Ghosh, A.K. </w:t>
      </w:r>
      <w:r>
        <w:rPr>
          <w:b w:val="0"/>
          <w:i w:val="0"/>
          <w:sz w:val="18"/>
        </w:rPr>
        <w:t xml:space="preserve">Urban Forestry for Cooler Cities Faces Three Critical Hurdles. </w:t>
      </w:r>
      <w:r>
        <w:rPr>
          <w:b w:val="0"/>
          <w:i/>
          <w:sz w:val="18"/>
        </w:rPr>
        <w:t xml:space="preserve">Nat. Commun.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16" w:name="_Ref_16"/>
      <w:r>
        <w:rPr>
          <w:b w:val="0"/>
          <w:sz w:val="18"/>
        </w:rPr>
        <w:t>16</w:t>
      </w:r>
      <w:bookmarkEnd w:id="1016"/>
      <w:r>
        <w:rPr>
          <w:sz w:val="18"/>
        </w:rPr>
        <w:t>.</w:t>
        <w:tab/>
      </w:r>
      <w:r>
        <w:rPr>
          <w:b w:val="0"/>
          <w:i w:val="0"/>
          <w:sz w:val="18"/>
        </w:rPr>
        <w:t xml:space="preserve">Sobhaninia, S.; Meerow, S.; Dugger, A.; Hopson, T.; He, C.; Wilhelmi, O. </w:t>
      </w:r>
      <w:r>
        <w:rPr>
          <w:b w:val="0"/>
          <w:i w:val="0"/>
          <w:sz w:val="18"/>
        </w:rPr>
        <w:t xml:space="preserve">Where Should the Green Go? A Systematic Literature Review of Methods for Siting Green Infrastructure to Mitigate Rising Heat and Stormwater Risks in Cities Worldwide. </w:t>
      </w:r>
      <w:r>
        <w:rPr>
          <w:b w:val="0"/>
          <w:i/>
          <w:sz w:val="18"/>
        </w:rPr>
        <w:t xml:space="preserve">Urban For. Urban Green. </w:t>
      </w:r>
      <w:r>
        <w:rPr>
          <w:b/>
          <w:i w:val="0"/>
          <w:sz w:val="18"/>
        </w:rPr>
        <w:t>2025</w:t>
      </w:r>
      <w:r>
        <w:rPr>
          <w:b w:val="0"/>
          <w:i w:val="0"/>
          <w:sz w:val="18"/>
        </w:rPr>
        <w:t xml:space="preserve">, </w:t>
      </w:r>
      <w:r>
        <w:rPr>
          <w:b w:val="0"/>
          <w:i w:val="0"/>
          <w:sz w:val="18"/>
        </w:rPr>
        <w:t>in press.</w:t>
      </w:r>
    </w:p>
    <w:p>
      <w:pPr>
        <w:pStyle w:val="MDPI32textnoindent"/>
        <w:spacing w:line="240" w:lineRule="auto" w:before="0" w:after="40"/>
        <w:ind w:left="425" w:hanging="425"/>
        <w:tabs>
          <w:tab w:val="left" w:pos="425"/>
        </w:tabs>
      </w:pPr>
      <w:bookmarkStart w:id="1017" w:name="_Ref_17"/>
      <w:r>
        <w:rPr>
          <w:b w:val="0"/>
          <w:sz w:val="18"/>
        </w:rPr>
        <w:t>17</w:t>
      </w:r>
      <w:bookmarkEnd w:id="1017"/>
      <w:r>
        <w:rPr>
          <w:sz w:val="18"/>
        </w:rPr>
        <w:t>.</w:t>
        <w:tab/>
      </w:r>
      <w:r>
        <w:rPr>
          <w:b w:val="0"/>
          <w:i w:val="0"/>
          <w:sz w:val="18"/>
        </w:rPr>
        <w:t xml:space="preserve">Massaro, E.; Schifanella, R.; Piccardo, M.; Caporaso, L.; Taubenböck, H.; Cescatti, A.; Duveiller, G. </w:t>
      </w:r>
      <w:r>
        <w:rPr>
          <w:b w:val="0"/>
          <w:i w:val="0"/>
          <w:sz w:val="18"/>
        </w:rPr>
        <w:t xml:space="preserve">Spatially-Optimized Urban Greening for Reduction of Population Exposure to Land Surface Temperature Extremes. </w:t>
      </w:r>
      <w:r>
        <w:rPr>
          <w:b w:val="0"/>
          <w:i/>
          <w:sz w:val="18"/>
        </w:rPr>
        <w:t xml:space="preserve">Nat. Commun. </w:t>
      </w:r>
      <w:r>
        <w:rPr>
          <w:b/>
          <w:i w:val="0"/>
          <w:sz w:val="18"/>
        </w:rPr>
        <w:t>2023</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18" w:name="_Ref_18"/>
      <w:r>
        <w:rPr>
          <w:b w:val="0"/>
          <w:sz w:val="18"/>
        </w:rPr>
        <w:t>18</w:t>
      </w:r>
      <w:bookmarkEnd w:id="1018"/>
      <w:r>
        <w:rPr>
          <w:sz w:val="18"/>
        </w:rPr>
        <w:t>.</w:t>
        <w:tab/>
      </w:r>
      <w:r>
        <w:rPr>
          <w:b w:val="0"/>
          <w:i w:val="0"/>
          <w:sz w:val="18"/>
        </w:rPr>
        <w:t xml:space="preserve">Koranyi, I.; Jonsson, J.; Rönnblad, T.; Stockfelt, L.; Bodin, T. </w:t>
      </w:r>
      <w:r>
        <w:rPr>
          <w:b w:val="0"/>
          <w:i w:val="0"/>
          <w:sz w:val="18"/>
        </w:rPr>
        <w:t xml:space="preserve">Precarious Employment and Occupational Accidents and Injuries—A Systematic Review. </w:t>
      </w:r>
      <w:r>
        <w:rPr>
          <w:b w:val="0"/>
          <w:i/>
          <w:sz w:val="18"/>
        </w:rPr>
        <w:t xml:space="preserve">Scand. J. Work Environ. Health </w:t>
      </w:r>
      <w:r>
        <w:rPr>
          <w:b/>
          <w:i w:val="0"/>
          <w:sz w:val="18"/>
        </w:rPr>
        <w:t>2018</w:t>
      </w:r>
      <w:r>
        <w:rPr>
          <w:b w:val="0"/>
          <w:i w:val="0"/>
          <w:sz w:val="18"/>
        </w:rPr>
        <w:t xml:space="preserve">, </w:t>
      </w:r>
      <w:r>
        <w:rPr>
          <w:b w:val="0"/>
          <w:i/>
          <w:sz w:val="18"/>
        </w:rPr>
        <w:t>44</w:t>
      </w:r>
      <w:r>
        <w:rPr>
          <w:b w:val="0"/>
          <w:i w:val="0"/>
          <w:sz w:val="18"/>
        </w:rPr>
        <w:t>, 341–350.</w:t>
      </w:r>
      <w:r>
        <w:rPr>
          <w:b w:val="0"/>
          <w:i w:val="0"/>
          <w:sz w:val="18"/>
        </w:rPr>
        <w:t xml:space="preserve"> [CrossRef]</w:t>
      </w:r>
    </w:p>
    <w:p>
      <w:pPr>
        <w:pStyle w:val="MDPI32textnoindent"/>
        <w:spacing w:line="240" w:lineRule="auto" w:before="0" w:after="40"/>
        <w:ind w:left="425" w:hanging="425"/>
        <w:tabs>
          <w:tab w:val="left" w:pos="425"/>
        </w:tabs>
      </w:pPr>
      <w:bookmarkStart w:id="1019" w:name="_Ref_19"/>
      <w:r>
        <w:rPr>
          <w:b w:val="0"/>
          <w:sz w:val="18"/>
        </w:rPr>
        <w:t>19</w:t>
      </w:r>
      <w:bookmarkEnd w:id="1019"/>
      <w:r>
        <w:rPr>
          <w:sz w:val="18"/>
        </w:rPr>
        <w:t>.</w:t>
        <w:tab/>
      </w:r>
      <w:r>
        <w:rPr>
          <w:b w:val="0"/>
          <w:i w:val="0"/>
          <w:sz w:val="18"/>
        </w:rPr>
        <w:t xml:space="preserve">Fortune, M.; Mustard, C.; Etches, J.; Chambers, A. </w:t>
      </w:r>
      <w:r>
        <w:rPr>
          <w:b w:val="0"/>
          <w:i w:val="0"/>
          <w:sz w:val="18"/>
        </w:rPr>
        <w:t xml:space="preserve">Work-Attributed Illness Arising from Excess Heat Exposure in Ontario, 2004–2010. </w:t>
      </w:r>
      <w:r>
        <w:rPr>
          <w:b w:val="0"/>
          <w:i/>
          <w:sz w:val="18"/>
        </w:rPr>
        <w:t xml:space="preserve">Can. J. Public Health </w:t>
      </w:r>
      <w:r>
        <w:rPr>
          <w:b/>
          <w:i w:val="0"/>
          <w:sz w:val="18"/>
        </w:rPr>
        <w:t>2013</w:t>
      </w:r>
      <w:r>
        <w:rPr>
          <w:b w:val="0"/>
          <w:i w:val="0"/>
          <w:sz w:val="18"/>
        </w:rPr>
        <w:t xml:space="preserve">, </w:t>
      </w:r>
      <w:r>
        <w:rPr>
          <w:b w:val="0"/>
          <w:i/>
          <w:sz w:val="18"/>
        </w:rPr>
        <w:t>104</w:t>
      </w:r>
      <w:r>
        <w:rPr>
          <w:b w:val="0"/>
          <w:i w:val="0"/>
          <w:sz w:val="18"/>
        </w:rPr>
        <w:t>, e420–e426.</w:t>
      </w:r>
      <w:r>
        <w:rPr>
          <w:b w:val="0"/>
          <w:i w:val="0"/>
          <w:sz w:val="18"/>
        </w:rPr>
        <w:t xml:space="preserve"> [CrossRef]</w:t>
      </w:r>
    </w:p>
    <w:p>
      <w:pPr>
        <w:pStyle w:val="MDPI32textnoindent"/>
        <w:spacing w:line="240" w:lineRule="auto" w:before="0" w:after="40"/>
        <w:ind w:left="425" w:hanging="425"/>
        <w:tabs>
          <w:tab w:val="left" w:pos="425"/>
        </w:tabs>
      </w:pPr>
      <w:bookmarkStart w:id="1020" w:name="_Ref_20"/>
      <w:r>
        <w:rPr>
          <w:b w:val="0"/>
          <w:sz w:val="18"/>
        </w:rPr>
        <w:t>20</w:t>
      </w:r>
      <w:bookmarkEnd w:id="1020"/>
      <w:r>
        <w:rPr>
          <w:sz w:val="18"/>
        </w:rPr>
        <w:t>.</w:t>
        <w:tab/>
      </w:r>
      <w:r>
        <w:rPr>
          <w:b w:val="0"/>
          <w:i w:val="0"/>
          <w:sz w:val="18"/>
        </w:rPr>
        <w:t xml:space="preserve">von Wachter, T. </w:t>
      </w:r>
      <w:r>
        <w:rPr>
          <w:b w:val="0"/>
          <w:i w:val="0"/>
          <w:sz w:val="18"/>
        </w:rPr>
        <w:t xml:space="preserve">The Persistent Effects of Initial Labor Market Conditions for Young Adults and Their Sources. </w:t>
      </w:r>
      <w:r>
        <w:rPr>
          <w:b w:val="0"/>
          <w:i/>
          <w:sz w:val="18"/>
        </w:rPr>
        <w:t xml:space="preserve">J. Econ. Perspect. </w:t>
      </w:r>
      <w:r>
        <w:rPr>
          <w:b/>
          <w:i w:val="0"/>
          <w:sz w:val="18"/>
        </w:rPr>
        <w:t>2020</w:t>
      </w:r>
      <w:r>
        <w:rPr>
          <w:b w:val="0"/>
          <w:i w:val="0"/>
          <w:sz w:val="18"/>
        </w:rPr>
        <w:t xml:space="preserve">, </w:t>
      </w:r>
      <w:r>
        <w:rPr>
          <w:b w:val="0"/>
          <w:i/>
          <w:sz w:val="18"/>
        </w:rPr>
        <w:t>34</w:t>
      </w:r>
      <w:r>
        <w:rPr>
          <w:b w:val="0"/>
          <w:i w:val="0"/>
          <w:sz w:val="18"/>
        </w:rPr>
        <w:t>, 168–194.</w:t>
      </w:r>
      <w:r>
        <w:rPr>
          <w:b w:val="0"/>
          <w:i w:val="0"/>
          <w:sz w:val="18"/>
        </w:rPr>
        <w:t xml:space="preserve"> [CrossRef]</w:t>
      </w:r>
    </w:p>
    <w:p>
      <w:pPr>
        <w:pStyle w:val="MDPI32textnoindent"/>
        <w:spacing w:line="240" w:lineRule="auto" w:before="0" w:after="40"/>
        <w:ind w:left="425" w:hanging="425"/>
        <w:tabs>
          <w:tab w:val="left" w:pos="425"/>
        </w:tabs>
      </w:pPr>
      <w:bookmarkStart w:id="1021" w:name="_Ref_21"/>
      <w:r>
        <w:rPr>
          <w:b w:val="0"/>
          <w:sz w:val="18"/>
        </w:rPr>
        <w:t>21</w:t>
      </w:r>
      <w:bookmarkEnd w:id="1021"/>
      <w:r>
        <w:rPr>
          <w:sz w:val="18"/>
        </w:rPr>
        <w:t>.</w:t>
        <w:tab/>
      </w:r>
      <w:r>
        <w:rPr>
          <w:b w:val="0"/>
          <w:i w:val="0"/>
          <w:sz w:val="18"/>
        </w:rPr>
        <w:t xml:space="preserve">Schmillen, A.; Umkehrer, M. </w:t>
      </w:r>
      <w:r>
        <w:rPr>
          <w:b w:val="0"/>
          <w:i w:val="0"/>
          <w:sz w:val="18"/>
        </w:rPr>
        <w:t xml:space="preserve">The Scars of Youth: Effects of Early-Career Unemployment on Future Unemployment Experience. </w:t>
      </w:r>
      <w:r>
        <w:rPr>
          <w:b w:val="0"/>
          <w:i/>
          <w:sz w:val="18"/>
        </w:rPr>
        <w:t xml:space="preserve">Int. Labour Rev. </w:t>
      </w:r>
      <w:r>
        <w:rPr>
          <w:b/>
          <w:i w:val="0"/>
          <w:sz w:val="18"/>
        </w:rPr>
        <w:t>2017</w:t>
      </w:r>
      <w:r>
        <w:rPr>
          <w:b w:val="0"/>
          <w:i w:val="0"/>
          <w:sz w:val="18"/>
        </w:rPr>
        <w:t xml:space="preserve">, </w:t>
      </w:r>
      <w:r>
        <w:rPr>
          <w:b w:val="0"/>
          <w:i/>
          <w:sz w:val="18"/>
        </w:rPr>
        <w:t>156</w:t>
      </w:r>
      <w:r>
        <w:rPr>
          <w:b w:val="0"/>
          <w:i w:val="0"/>
          <w:sz w:val="18"/>
        </w:rPr>
        <w:t>, 465–494.</w:t>
      </w:r>
      <w:r>
        <w:rPr>
          <w:b w:val="0"/>
          <w:i w:val="0"/>
          <w:sz w:val="18"/>
        </w:rPr>
        <w:t xml:space="preserve"> [CrossRef]</w:t>
      </w:r>
    </w:p>
    <w:p>
      <w:pPr>
        <w:pStyle w:val="MDPI32textnoindent"/>
        <w:spacing w:line="240" w:lineRule="auto" w:before="0" w:after="40"/>
        <w:ind w:left="425" w:hanging="425"/>
        <w:tabs>
          <w:tab w:val="left" w:pos="425"/>
        </w:tabs>
      </w:pPr>
      <w:bookmarkStart w:id="1022" w:name="_Ref_22"/>
      <w:r>
        <w:rPr>
          <w:b w:val="0"/>
          <w:sz w:val="18"/>
        </w:rPr>
        <w:t>22</w:t>
      </w:r>
      <w:bookmarkEnd w:id="1022"/>
      <w:r>
        <w:rPr>
          <w:sz w:val="18"/>
        </w:rPr>
        <w:t>.</w:t>
        <w:tab/>
      </w:r>
      <w:r>
        <w:rPr>
          <w:b w:val="0"/>
          <w:i w:val="0"/>
          <w:sz w:val="18"/>
        </w:rPr>
        <w:t xml:space="preserve">International Labour Office. </w:t>
      </w:r>
      <w:r>
        <w:rPr>
          <w:b w:val="0"/>
          <w:i/>
          <w:sz w:val="18"/>
        </w:rPr>
        <w:t xml:space="preserve">Global Employment Trends for Youth 2026: Back to the Future; </w:t>
      </w:r>
      <w:r>
        <w:rPr>
          <w:b w:val="0"/>
          <w:i w:val="0"/>
          <w:sz w:val="18"/>
        </w:rPr>
        <w:t>International Labour Office: Geneva, Switzerland, 2026.</w:t>
      </w:r>
      <w:r>
        <w:rPr>
          <w:b w:val="0"/>
          <w:i w:val="0"/>
          <w:sz w:val="18"/>
        </w:rPr>
        <w:t xml:space="preserve"> Available online: https://www.ilo.org/publications/major-publications/global-employment-trends-youth-2026.</w:t>
      </w:r>
    </w:p>
    <w:p>
      <w:pPr>
        <w:pStyle w:val="MDPI32textnoindent"/>
        <w:spacing w:line="240" w:lineRule="auto" w:before="0" w:after="40"/>
        <w:ind w:left="425" w:hanging="425"/>
        <w:tabs>
          <w:tab w:val="left" w:pos="425"/>
        </w:tabs>
      </w:pPr>
      <w:bookmarkStart w:id="1023" w:name="_Ref_23"/>
      <w:r>
        <w:rPr>
          <w:b w:val="0"/>
          <w:sz w:val="18"/>
        </w:rPr>
        <w:t>23</w:t>
      </w:r>
      <w:bookmarkEnd w:id="1023"/>
      <w:r>
        <w:rPr>
          <w:sz w:val="18"/>
        </w:rPr>
        <w:t>.</w:t>
        <w:tab/>
      </w:r>
      <w:r>
        <w:rPr>
          <w:b w:val="0"/>
          <w:i w:val="0"/>
          <w:sz w:val="18"/>
        </w:rPr>
        <w:t xml:space="preserve">World Bank. </w:t>
      </w:r>
      <w:r>
        <w:rPr>
          <w:b w:val="0"/>
          <w:i/>
          <w:sz w:val="18"/>
        </w:rPr>
        <w:t xml:space="preserve">World Development Indicators: Unemployment, Youth Total (% of Total Labor Force Ages 15–24) (Modelled ILO Estimate), Indicator SL.UEM.1524.ZS; </w:t>
      </w:r>
      <w:r>
        <w:rPr>
          <w:b w:val="0"/>
          <w:i w:val="0"/>
          <w:sz w:val="18"/>
        </w:rPr>
        <w:t>World Bank: Washington, DC, USA, 2024.</w:t>
      </w:r>
      <w:r>
        <w:rPr>
          <w:b w:val="0"/>
          <w:i w:val="0"/>
          <w:sz w:val="18"/>
        </w:rPr>
        <w:t xml:space="preserve"> Available online: https://data.worldbank.org/indicator/SL.UEM.1524.ZS.</w:t>
      </w:r>
    </w:p>
    <w:p>
      <w:pPr>
        <w:pStyle w:val="MDPI32textnoindent"/>
        <w:spacing w:line="240" w:lineRule="auto" w:before="0" w:after="40"/>
        <w:ind w:left="425" w:hanging="425"/>
        <w:tabs>
          <w:tab w:val="left" w:pos="425"/>
        </w:tabs>
      </w:pPr>
      <w:bookmarkStart w:id="1024" w:name="_Ref_24"/>
      <w:r>
        <w:rPr>
          <w:b w:val="0"/>
          <w:sz w:val="18"/>
        </w:rPr>
        <w:t>24</w:t>
      </w:r>
      <w:bookmarkEnd w:id="1024"/>
      <w:r>
        <w:rPr>
          <w:sz w:val="18"/>
        </w:rPr>
        <w:t>.</w:t>
        <w:tab/>
      </w:r>
      <w:r>
        <w:rPr>
          <w:b w:val="0"/>
          <w:i w:val="0"/>
          <w:sz w:val="18"/>
        </w:rPr>
        <w:t xml:space="preserve">Rahman Razak, A.; Sabir; Idris, A.; Fernandes, A.A.R. </w:t>
      </w:r>
      <w:r>
        <w:rPr>
          <w:b w:val="0"/>
          <w:i w:val="0"/>
          <w:sz w:val="18"/>
        </w:rPr>
        <w:t xml:space="preserve">The Impact of Urban Green Spaces on Labor Productivity: Dynamic Spatial Panel Evidence from Indonesian Cities. </w:t>
      </w:r>
      <w:r>
        <w:rPr>
          <w:b w:val="0"/>
          <w:i/>
          <w:sz w:val="18"/>
        </w:rPr>
        <w:t xml:space="preserve">Sustainability </w:t>
      </w:r>
      <w:r>
        <w:rPr>
          <w:b/>
          <w:i w:val="0"/>
          <w:sz w:val="18"/>
        </w:rPr>
        <w:t>2026</w:t>
      </w:r>
      <w:r>
        <w:rPr>
          <w:b w:val="0"/>
          <w:i w:val="0"/>
          <w:sz w:val="18"/>
        </w:rPr>
        <w:t xml:space="preserve">, </w:t>
      </w:r>
      <w:r>
        <w:rPr>
          <w:b w:val="0"/>
          <w:i/>
          <w:sz w:val="18"/>
        </w:rPr>
        <w:t>18</w:t>
      </w:r>
      <w:r>
        <w:rPr>
          <w:b w:val="0"/>
          <w:i w:val="0"/>
          <w:sz w:val="18"/>
        </w:rPr>
        <w:t>, 3882.</w:t>
      </w:r>
      <w:r>
        <w:rPr>
          <w:b w:val="0"/>
          <w:i w:val="0"/>
          <w:sz w:val="18"/>
        </w:rPr>
        <w:t xml:space="preserve"> [CrossRef]</w:t>
      </w:r>
    </w:p>
    <w:p>
      <w:pPr>
        <w:pStyle w:val="MDPI32textnoindent"/>
        <w:spacing w:line="240" w:lineRule="auto" w:before="0" w:after="40"/>
        <w:ind w:left="425" w:hanging="425"/>
        <w:tabs>
          <w:tab w:val="left" w:pos="425"/>
        </w:tabs>
      </w:pPr>
      <w:bookmarkStart w:id="1025" w:name="_Ref_25"/>
      <w:r>
        <w:rPr>
          <w:b w:val="0"/>
          <w:sz w:val="18"/>
        </w:rPr>
        <w:t>25</w:t>
      </w:r>
      <w:bookmarkEnd w:id="1025"/>
      <w:r>
        <w:rPr>
          <w:sz w:val="18"/>
        </w:rPr>
        <w:t>.</w:t>
        <w:tab/>
      </w:r>
      <w:r>
        <w:rPr>
          <w:b w:val="0"/>
          <w:i w:val="0"/>
          <w:sz w:val="18"/>
        </w:rPr>
        <w:t xml:space="preserve">Bröde, P.; Fiala, D.; Lemke, B.; Kjellstrom, T. </w:t>
      </w:r>
      <w:r>
        <w:rPr>
          <w:b w:val="0"/>
          <w:i w:val="0"/>
          <w:sz w:val="18"/>
        </w:rPr>
        <w:t xml:space="preserve">Estimated Work Ability in Warm Outdoor Environments Depends on the Chosen Heat Stress Assessment Metric. </w:t>
      </w:r>
      <w:r>
        <w:rPr>
          <w:b w:val="0"/>
          <w:i/>
          <w:sz w:val="18"/>
        </w:rPr>
        <w:t xml:space="preserve">Int. J. Biometeorol. </w:t>
      </w:r>
      <w:r>
        <w:rPr>
          <w:b/>
          <w:i w:val="0"/>
          <w:sz w:val="18"/>
        </w:rPr>
        <w:t>2018</w:t>
      </w:r>
      <w:r>
        <w:rPr>
          <w:b w:val="0"/>
          <w:i w:val="0"/>
          <w:sz w:val="18"/>
        </w:rPr>
        <w:t xml:space="preserve">, </w:t>
      </w:r>
      <w:r>
        <w:rPr>
          <w:b w:val="0"/>
          <w:i/>
          <w:sz w:val="18"/>
        </w:rPr>
        <w:t>62</w:t>
      </w:r>
      <w:r>
        <w:rPr>
          <w:b w:val="0"/>
          <w:i w:val="0"/>
          <w:sz w:val="18"/>
        </w:rPr>
        <w:t>, 331–345.</w:t>
      </w:r>
      <w:r>
        <w:rPr>
          <w:b w:val="0"/>
          <w:i w:val="0"/>
          <w:sz w:val="18"/>
        </w:rPr>
        <w:t xml:space="preserve"> [CrossRef]</w:t>
      </w:r>
    </w:p>
    <w:p>
      <w:pPr>
        <w:pStyle w:val="MDPI32textnoindent"/>
        <w:spacing w:line="240" w:lineRule="auto" w:before="0" w:after="40"/>
        <w:ind w:left="425" w:hanging="425"/>
        <w:tabs>
          <w:tab w:val="left" w:pos="425"/>
        </w:tabs>
      </w:pPr>
      <w:bookmarkStart w:id="1026" w:name="_Ref_26"/>
      <w:r>
        <w:rPr>
          <w:b w:val="0"/>
          <w:sz w:val="18"/>
        </w:rPr>
        <w:t>26</w:t>
      </w:r>
      <w:bookmarkEnd w:id="1026"/>
      <w:r>
        <w:rPr>
          <w:sz w:val="18"/>
        </w:rPr>
        <w:t>.</w:t>
        <w:tab/>
      </w:r>
      <w:r>
        <w:rPr>
          <w:b w:val="0"/>
          <w:i w:val="0"/>
          <w:sz w:val="18"/>
        </w:rPr>
        <w:t xml:space="preserve">Yu, Z.; Yang, G.; Zuo, S.; Jørgensen, G.; Koga, M.; Vejre, H. </w:t>
      </w:r>
      <w:r>
        <w:rPr>
          <w:b w:val="0"/>
          <w:i w:val="0"/>
          <w:sz w:val="18"/>
        </w:rPr>
        <w:t xml:space="preserve">Critical Review on the Cooling Effect of Urban Blue-Green Space: A Threshold-Size Perspective. </w:t>
      </w:r>
      <w:r>
        <w:rPr>
          <w:b w:val="0"/>
          <w:i/>
          <w:sz w:val="18"/>
        </w:rPr>
        <w:t xml:space="preserve">Urban For. Urban Green. </w:t>
      </w:r>
      <w:r>
        <w:rPr>
          <w:b/>
          <w:i w:val="0"/>
          <w:sz w:val="18"/>
        </w:rPr>
        <w:t>2020</w:t>
      </w:r>
      <w:r>
        <w:rPr>
          <w:b w:val="0"/>
          <w:i w:val="0"/>
          <w:sz w:val="18"/>
        </w:rPr>
        <w:t xml:space="preserve">, </w:t>
      </w:r>
      <w:r>
        <w:rPr>
          <w:b w:val="0"/>
          <w:i w:val="0"/>
          <w:sz w:val="18"/>
        </w:rPr>
        <w:t>126630.</w:t>
      </w:r>
      <w:r>
        <w:rPr>
          <w:b w:val="0"/>
          <w:i w:val="0"/>
          <w:sz w:val="18"/>
        </w:rPr>
        <w:t xml:space="preserve"> [CrossRef]</w:t>
      </w:r>
    </w:p>
    <w:p>
      <w:pPr>
        <w:pStyle w:val="MDPI32textnoindent"/>
        <w:spacing w:line="240" w:lineRule="auto" w:before="0" w:after="40"/>
        <w:ind w:left="425" w:hanging="425"/>
        <w:tabs>
          <w:tab w:val="left" w:pos="425"/>
        </w:tabs>
      </w:pPr>
      <w:bookmarkStart w:id="1027" w:name="_Ref_27"/>
      <w:r>
        <w:rPr>
          <w:b w:val="0"/>
          <w:sz w:val="18"/>
        </w:rPr>
        <w:t>27</w:t>
      </w:r>
      <w:bookmarkEnd w:id="1027"/>
      <w:r>
        <w:rPr>
          <w:sz w:val="18"/>
        </w:rPr>
        <w:t>.</w:t>
        <w:tab/>
      </w:r>
      <w:r>
        <w:rPr>
          <w:b w:val="0"/>
          <w:i w:val="0"/>
          <w:sz w:val="18"/>
        </w:rPr>
        <w:t xml:space="preserve">Aghamolaei, R.; Azizi, M.M.; Aminzadeh, B.; O’Donnell, J. </w:t>
      </w:r>
      <w:r>
        <w:rPr>
          <w:b w:val="0"/>
          <w:i w:val="0"/>
          <w:sz w:val="18"/>
        </w:rPr>
        <w:t xml:space="preserve">A Comprehensive Review of Outdoor Thermal Comfort in Urban Areas: Effective Parameters and Approaches. </w:t>
      </w:r>
      <w:r>
        <w:rPr>
          <w:b w:val="0"/>
          <w:i/>
          <w:sz w:val="18"/>
        </w:rPr>
        <w:t xml:space="preserve">Energy Environ. </w:t>
      </w:r>
      <w:r>
        <w:rPr>
          <w:b/>
          <w:i w:val="0"/>
          <w:sz w:val="18"/>
        </w:rPr>
        <w:t>2023</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28" w:name="_Ref_28"/>
      <w:r>
        <w:rPr>
          <w:b w:val="0"/>
          <w:sz w:val="18"/>
        </w:rPr>
        <w:t>28</w:t>
      </w:r>
      <w:bookmarkEnd w:id="1028"/>
      <w:r>
        <w:rPr>
          <w:sz w:val="18"/>
        </w:rPr>
        <w:t>.</w:t>
        <w:tab/>
      </w:r>
      <w:r>
        <w:rPr>
          <w:b w:val="0"/>
          <w:i w:val="0"/>
          <w:sz w:val="18"/>
        </w:rPr>
        <w:t xml:space="preserve">Kjellstrom, T.; Kovats, R.S.; Lloyd, S.J.; Holt, T.; Tol, R.S.J. </w:t>
      </w:r>
      <w:r>
        <w:rPr>
          <w:b w:val="0"/>
          <w:i w:val="0"/>
          <w:sz w:val="18"/>
        </w:rPr>
        <w:t xml:space="preserve">The Direct Impact of Climate Change on Regional Labor Productivity. </w:t>
      </w:r>
      <w:r>
        <w:rPr>
          <w:b w:val="0"/>
          <w:i/>
          <w:sz w:val="18"/>
        </w:rPr>
        <w:t xml:space="preserve">Arch. Environ. Occup. Health </w:t>
      </w:r>
      <w:r>
        <w:rPr>
          <w:b/>
          <w:i w:val="0"/>
          <w:sz w:val="18"/>
        </w:rPr>
        <w:t>2009</w:t>
      </w:r>
      <w:r>
        <w:rPr>
          <w:b w:val="0"/>
          <w:i w:val="0"/>
          <w:sz w:val="18"/>
        </w:rPr>
        <w:t xml:space="preserve">, </w:t>
      </w:r>
      <w:r>
        <w:rPr>
          <w:b w:val="0"/>
          <w:i/>
          <w:sz w:val="18"/>
        </w:rPr>
        <w:t>64</w:t>
      </w:r>
      <w:r>
        <w:rPr>
          <w:b w:val="0"/>
          <w:i w:val="0"/>
          <w:sz w:val="18"/>
        </w:rPr>
        <w:t>, 217–227.</w:t>
      </w:r>
      <w:r>
        <w:rPr>
          <w:b w:val="0"/>
          <w:i w:val="0"/>
          <w:sz w:val="18"/>
        </w:rPr>
        <w:t xml:space="preserve"> [CrossRef]</w:t>
      </w:r>
    </w:p>
    <w:p>
      <w:pPr>
        <w:pStyle w:val="MDPI32textnoindent"/>
        <w:spacing w:line="240" w:lineRule="auto" w:before="0" w:after="40"/>
        <w:ind w:left="425" w:hanging="425"/>
        <w:tabs>
          <w:tab w:val="left" w:pos="425"/>
        </w:tabs>
      </w:pPr>
      <w:bookmarkStart w:id="1029" w:name="_Ref_29"/>
      <w:r>
        <w:rPr>
          <w:b w:val="0"/>
          <w:sz w:val="18"/>
        </w:rPr>
        <w:t>29</w:t>
      </w:r>
      <w:bookmarkEnd w:id="1029"/>
      <w:r>
        <w:rPr>
          <w:sz w:val="18"/>
        </w:rPr>
        <w:t>.</w:t>
        <w:tab/>
      </w:r>
      <w:r>
        <w:rPr>
          <w:b w:val="0"/>
          <w:i w:val="0"/>
          <w:sz w:val="18"/>
        </w:rPr>
        <w:t xml:space="preserve">Kjellstrom, T.; Briggs, D.; Freyberg, C.; Lemke, B.; Otto, M.; Hyatt, O. </w:t>
      </w:r>
      <w:r>
        <w:rPr>
          <w:b w:val="0"/>
          <w:i w:val="0"/>
          <w:sz w:val="18"/>
        </w:rPr>
        <w:t xml:space="preserve">Heat, Human Performance, and Occupational Health: A Key Issue for the Assessment of Global Climate Change Impacts. </w:t>
      </w:r>
      <w:r>
        <w:rPr>
          <w:b w:val="0"/>
          <w:i/>
          <w:sz w:val="18"/>
        </w:rPr>
        <w:t xml:space="preserve">Annu. Rev. Public Health </w:t>
      </w:r>
      <w:r>
        <w:rPr>
          <w:b/>
          <w:i w:val="0"/>
          <w:sz w:val="18"/>
        </w:rPr>
        <w:t>2016</w:t>
      </w:r>
      <w:r>
        <w:rPr>
          <w:b w:val="0"/>
          <w:i w:val="0"/>
          <w:sz w:val="18"/>
        </w:rPr>
        <w:t xml:space="preserve">, </w:t>
      </w:r>
      <w:r>
        <w:rPr>
          <w:b w:val="0"/>
          <w:i/>
          <w:sz w:val="18"/>
        </w:rPr>
        <w:t>37</w:t>
      </w:r>
      <w:r>
        <w:rPr>
          <w:b w:val="0"/>
          <w:i w:val="0"/>
          <w:sz w:val="18"/>
        </w:rPr>
        <w:t>, 97–112.</w:t>
      </w:r>
      <w:r>
        <w:rPr>
          <w:b w:val="0"/>
          <w:i w:val="0"/>
          <w:sz w:val="18"/>
        </w:rPr>
        <w:t xml:space="preserve"> [CrossRef]</w:t>
      </w:r>
    </w:p>
    <w:p>
      <w:pPr>
        <w:pStyle w:val="MDPI32textnoindent"/>
        <w:spacing w:line="240" w:lineRule="auto" w:before="0" w:after="40"/>
        <w:ind w:left="425" w:hanging="425"/>
        <w:tabs>
          <w:tab w:val="left" w:pos="425"/>
        </w:tabs>
      </w:pPr>
      <w:bookmarkStart w:id="1030" w:name="_Ref_30"/>
      <w:r>
        <w:rPr>
          <w:b w:val="0"/>
          <w:sz w:val="18"/>
        </w:rPr>
        <w:t>30</w:t>
      </w:r>
      <w:bookmarkEnd w:id="1030"/>
      <w:r>
        <w:rPr>
          <w:sz w:val="18"/>
        </w:rPr>
        <w:t>.</w:t>
        <w:tab/>
      </w:r>
      <w:r>
        <w:rPr>
          <w:b w:val="0"/>
          <w:i w:val="0"/>
          <w:sz w:val="18"/>
        </w:rPr>
        <w:t xml:space="preserve">Foster, J.; Smallcombe, J.W.; Hodder, S. et al. </w:t>
      </w:r>
      <w:r>
        <w:rPr>
          <w:b w:val="0"/>
          <w:i w:val="0"/>
          <w:sz w:val="18"/>
        </w:rPr>
        <w:t xml:space="preserve">An Advanced Empirical Model for Quantifying the Impact of Heat and Climate Change on Human Physical Work Capacity. </w:t>
      </w:r>
      <w:r>
        <w:rPr>
          <w:b w:val="0"/>
          <w:i/>
          <w:sz w:val="18"/>
        </w:rPr>
        <w:t xml:space="preserve">Int. J. Biometeorol. </w:t>
      </w:r>
      <w:r>
        <w:rPr>
          <w:b/>
          <w:i w:val="0"/>
          <w:sz w:val="18"/>
        </w:rPr>
        <w:t>2021</w:t>
      </w:r>
      <w:r>
        <w:rPr>
          <w:b w:val="0"/>
          <w:i w:val="0"/>
          <w:sz w:val="18"/>
        </w:rPr>
        <w:t xml:space="preserve">, </w:t>
      </w:r>
      <w:r>
        <w:rPr>
          <w:b w:val="0"/>
          <w:i/>
          <w:sz w:val="18"/>
        </w:rPr>
        <w:t>65</w:t>
      </w:r>
      <w:r>
        <w:rPr>
          <w:b w:val="0"/>
          <w:i w:val="0"/>
          <w:sz w:val="18"/>
        </w:rPr>
        <w:t>, 1215–1229.</w:t>
      </w:r>
      <w:r>
        <w:rPr>
          <w:b w:val="0"/>
          <w:i w:val="0"/>
          <w:sz w:val="18"/>
        </w:rPr>
        <w:t xml:space="preserve"> [CrossRef]</w:t>
      </w:r>
    </w:p>
    <w:p>
      <w:pPr>
        <w:pStyle w:val="MDPI32textnoindent"/>
        <w:spacing w:line="240" w:lineRule="auto" w:before="0" w:after="40"/>
        <w:ind w:left="425" w:hanging="425"/>
        <w:tabs>
          <w:tab w:val="left" w:pos="425"/>
        </w:tabs>
      </w:pPr>
      <w:bookmarkStart w:id="1031" w:name="_Ref_31"/>
      <w:r>
        <w:rPr>
          <w:b w:val="0"/>
          <w:sz w:val="18"/>
        </w:rPr>
        <w:t>31</w:t>
      </w:r>
      <w:bookmarkEnd w:id="1031"/>
      <w:r>
        <w:rPr>
          <w:sz w:val="18"/>
        </w:rPr>
        <w:t>.</w:t>
        <w:tab/>
      </w:r>
      <w:r>
        <w:rPr>
          <w:b w:val="0"/>
          <w:i w:val="0"/>
          <w:sz w:val="18"/>
        </w:rPr>
        <w:t xml:space="preserve">Dunne, J.P.; Stouffer, R.J.; John, J.G. </w:t>
      </w:r>
      <w:r>
        <w:rPr>
          <w:b w:val="0"/>
          <w:i w:val="0"/>
          <w:sz w:val="18"/>
        </w:rPr>
        <w:t xml:space="preserve">Reductions in Labour Capacity from Heat Stress under Climate Warming. </w:t>
      </w:r>
      <w:r>
        <w:rPr>
          <w:b w:val="0"/>
          <w:i/>
          <w:sz w:val="18"/>
        </w:rPr>
        <w:t xml:space="preserve">Nat. Clim. Change </w:t>
      </w:r>
      <w:r>
        <w:rPr>
          <w:b/>
          <w:i w:val="0"/>
          <w:sz w:val="18"/>
        </w:rPr>
        <w:t>2013</w:t>
      </w:r>
      <w:r>
        <w:rPr>
          <w:b w:val="0"/>
          <w:i w:val="0"/>
          <w:sz w:val="18"/>
        </w:rPr>
        <w:t xml:space="preserve">, </w:t>
      </w:r>
      <w:r>
        <w:rPr>
          <w:b w:val="0"/>
          <w:i/>
          <w:sz w:val="18"/>
        </w:rPr>
        <w:t>3</w:t>
      </w:r>
      <w:r>
        <w:rPr>
          <w:b w:val="0"/>
          <w:i w:val="0"/>
          <w:sz w:val="18"/>
        </w:rPr>
        <w:t>, 563–566.</w:t>
      </w:r>
      <w:r>
        <w:rPr>
          <w:b w:val="0"/>
          <w:i w:val="0"/>
          <w:sz w:val="18"/>
        </w:rPr>
        <w:t xml:space="preserve"> [CrossRef]</w:t>
      </w:r>
    </w:p>
    <w:p>
      <w:pPr>
        <w:pStyle w:val="MDPI32textnoindent"/>
        <w:spacing w:line="240" w:lineRule="auto" w:before="0" w:after="40"/>
        <w:ind w:left="425" w:hanging="425"/>
        <w:tabs>
          <w:tab w:val="left" w:pos="425"/>
        </w:tabs>
      </w:pPr>
      <w:bookmarkStart w:id="1032" w:name="_Ref_32"/>
      <w:r>
        <w:rPr>
          <w:b w:val="0"/>
          <w:sz w:val="18"/>
        </w:rPr>
        <w:t>32</w:t>
      </w:r>
      <w:bookmarkEnd w:id="1032"/>
      <w:r>
        <w:rPr>
          <w:sz w:val="18"/>
        </w:rPr>
        <w:t>.</w:t>
        <w:tab/>
      </w:r>
      <w:r>
        <w:rPr>
          <w:b w:val="0"/>
          <w:i w:val="0"/>
          <w:sz w:val="18"/>
        </w:rPr>
        <w:t xml:space="preserve">Day, E.; Fankhauser, S.; Kingsmill, N.; Costa, H.; Mavrogianni, A. </w:t>
      </w:r>
      <w:r>
        <w:rPr>
          <w:b w:val="0"/>
          <w:i w:val="0"/>
          <w:sz w:val="18"/>
        </w:rPr>
        <w:t xml:space="preserve">Upholding Labour Productivity under Climate Change: An Assessment of Adaptation Options. </w:t>
      </w:r>
      <w:r>
        <w:rPr>
          <w:b w:val="0"/>
          <w:i/>
          <w:sz w:val="18"/>
        </w:rPr>
        <w:t xml:space="preserve">Clim. Policy </w:t>
      </w:r>
      <w:r>
        <w:rPr>
          <w:b/>
          <w:i w:val="0"/>
          <w:sz w:val="18"/>
        </w:rPr>
        <w:t>2019</w:t>
      </w:r>
      <w:r>
        <w:rPr>
          <w:b w:val="0"/>
          <w:i w:val="0"/>
          <w:sz w:val="18"/>
        </w:rPr>
        <w:t xml:space="preserve">, </w:t>
      </w:r>
      <w:r>
        <w:rPr>
          <w:b w:val="0"/>
          <w:i/>
          <w:sz w:val="18"/>
        </w:rPr>
        <w:t>19</w:t>
      </w:r>
      <w:r>
        <w:rPr>
          <w:b w:val="0"/>
          <w:i w:val="0"/>
          <w:sz w:val="18"/>
        </w:rPr>
        <w:t>, 367–385.</w:t>
      </w:r>
      <w:r>
        <w:rPr>
          <w:b w:val="0"/>
          <w:i w:val="0"/>
          <w:sz w:val="18"/>
        </w:rPr>
        <w:t xml:space="preserve"> [CrossRef]</w:t>
      </w:r>
    </w:p>
    <w:p>
      <w:pPr>
        <w:pStyle w:val="MDPI32textnoindent"/>
        <w:spacing w:line="240" w:lineRule="auto" w:before="0" w:after="40"/>
        <w:ind w:left="425" w:hanging="425"/>
        <w:tabs>
          <w:tab w:val="left" w:pos="425"/>
        </w:tabs>
      </w:pPr>
      <w:bookmarkStart w:id="1033" w:name="_Ref_33"/>
      <w:r>
        <w:rPr>
          <w:b w:val="0"/>
          <w:sz w:val="18"/>
        </w:rPr>
        <w:t>33</w:t>
      </w:r>
      <w:bookmarkEnd w:id="1033"/>
      <w:r>
        <w:rPr>
          <w:sz w:val="18"/>
        </w:rPr>
        <w:t>.</w:t>
        <w:tab/>
      </w:r>
      <w:r>
        <w:rPr>
          <w:b w:val="0"/>
          <w:i w:val="0"/>
          <w:sz w:val="18"/>
        </w:rPr>
        <w:t xml:space="preserve">de Crom, T.O.E. et al. </w:t>
      </w:r>
      <w:r>
        <w:rPr>
          <w:b w:val="0"/>
          <w:i w:val="0"/>
          <w:sz w:val="18"/>
        </w:rPr>
        <w:t xml:space="preserve">Exposure to Heat at Work: Development of a Quantitative European Job Exposure Matrix (Heat JEM). </w:t>
      </w:r>
      <w:r>
        <w:rPr>
          <w:b w:val="0"/>
          <w:i/>
          <w:sz w:val="18"/>
        </w:rPr>
        <w:t xml:space="preserve">Scand. J. Work Environ. Health </w:t>
      </w:r>
      <w:r>
        <w:rPr>
          <w:b/>
          <w:i w:val="0"/>
          <w:sz w:val="18"/>
        </w:rPr>
        <w:t>2026</w:t>
      </w:r>
      <w:r>
        <w:rPr>
          <w:b w:val="0"/>
          <w:i w:val="0"/>
          <w:sz w:val="18"/>
        </w:rPr>
        <w:t xml:space="preserve">, </w:t>
      </w:r>
      <w:r>
        <w:rPr>
          <w:b w:val="0"/>
          <w:i/>
          <w:sz w:val="18"/>
        </w:rPr>
        <w:t>52</w:t>
      </w:r>
      <w:r>
        <w:rPr>
          <w:b w:val="0"/>
          <w:i w:val="0"/>
          <w:sz w:val="18"/>
        </w:rPr>
        <w:t>, 7–18.</w:t>
      </w:r>
    </w:p>
    <w:p>
      <w:pPr>
        <w:pStyle w:val="MDPI32textnoindent"/>
        <w:spacing w:line="240" w:lineRule="auto" w:before="0" w:after="40"/>
        <w:ind w:left="425" w:hanging="425"/>
        <w:tabs>
          <w:tab w:val="left" w:pos="425"/>
        </w:tabs>
      </w:pPr>
      <w:bookmarkStart w:id="1034" w:name="_Ref_34"/>
      <w:r>
        <w:rPr>
          <w:b w:val="0"/>
          <w:sz w:val="18"/>
        </w:rPr>
        <w:t>34</w:t>
      </w:r>
      <w:bookmarkEnd w:id="1034"/>
      <w:r>
        <w:rPr>
          <w:sz w:val="18"/>
        </w:rPr>
        <w:t>.</w:t>
        <w:tab/>
      </w:r>
      <w:r>
        <w:rPr>
          <w:b w:val="0"/>
          <w:i w:val="0"/>
          <w:sz w:val="18"/>
        </w:rPr>
        <w:t xml:space="preserve">Werbin, Z.R.; Heidari, L.; Buckley, S.; Brochu, P.; Butler, L.J.; Connolly, C.; Houttuijn Bloemendaal, L.; McCabe, T.D.; Miller, T.K.; Hutyra, L.R. </w:t>
      </w:r>
      <w:r>
        <w:rPr>
          <w:b w:val="0"/>
          <w:i w:val="0"/>
          <w:sz w:val="18"/>
        </w:rPr>
        <w:t xml:space="preserve">A Tree-Planting Decision Support Tool for Urban Heat Mitigation. </w:t>
      </w:r>
      <w:r>
        <w:rPr>
          <w:b w:val="0"/>
          <w:i/>
          <w:sz w:val="18"/>
        </w:rPr>
        <w:t xml:space="preserve">PLoS ONE </w:t>
      </w:r>
      <w:r>
        <w:rPr>
          <w:b/>
          <w:i w:val="0"/>
          <w:sz w:val="18"/>
        </w:rPr>
        <w:t>2020</w:t>
      </w:r>
      <w:r>
        <w:rPr>
          <w:b w:val="0"/>
          <w:i w:val="0"/>
          <w:sz w:val="18"/>
        </w:rPr>
        <w:t xml:space="preserve">, </w:t>
      </w:r>
      <w:r>
        <w:rPr>
          <w:b w:val="0"/>
          <w:i/>
          <w:sz w:val="18"/>
        </w:rPr>
        <w:t>15</w:t>
      </w:r>
      <w:r>
        <w:rPr>
          <w:b w:val="0"/>
          <w:i w:val="0"/>
          <w:sz w:val="18"/>
        </w:rPr>
        <w:t>, e0224959.</w:t>
      </w:r>
      <w:r>
        <w:rPr>
          <w:b w:val="0"/>
          <w:i w:val="0"/>
          <w:sz w:val="18"/>
        </w:rPr>
        <w:t xml:space="preserve"> [CrossRef]</w:t>
      </w:r>
    </w:p>
    <w:p>
      <w:pPr>
        <w:pStyle w:val="MDPI32textnoindent"/>
        <w:spacing w:line="240" w:lineRule="auto" w:before="0" w:after="40"/>
        <w:ind w:left="425" w:hanging="425"/>
        <w:tabs>
          <w:tab w:val="left" w:pos="425"/>
        </w:tabs>
      </w:pPr>
      <w:bookmarkStart w:id="1035" w:name="_Ref_35"/>
      <w:r>
        <w:rPr>
          <w:b w:val="0"/>
          <w:sz w:val="18"/>
        </w:rPr>
        <w:t>35</w:t>
      </w:r>
      <w:bookmarkEnd w:id="1035"/>
      <w:r>
        <w:rPr>
          <w:sz w:val="18"/>
        </w:rPr>
        <w:t>.</w:t>
        <w:tab/>
      </w:r>
      <w:r>
        <w:rPr>
          <w:b w:val="0"/>
          <w:i w:val="0"/>
          <w:sz w:val="18"/>
        </w:rPr>
        <w:t xml:space="preserve">Hoover, F.-A.; Meerow, S.; Grabowski, Z.J.; McPhearson, T. </w:t>
      </w:r>
      <w:r>
        <w:rPr>
          <w:b w:val="0"/>
          <w:i w:val="0"/>
          <w:sz w:val="18"/>
        </w:rPr>
        <w:t xml:space="preserve">Environmental Justice Implications of Siting Criteria in Urban Green Infrastructure Planning. </w:t>
      </w:r>
      <w:r>
        <w:rPr>
          <w:b w:val="0"/>
          <w:i/>
          <w:sz w:val="18"/>
        </w:rPr>
        <w:t xml:space="preserve">J. Environ. Policy Plan. </w:t>
      </w:r>
      <w:r>
        <w:rPr>
          <w:b/>
          <w:i w:val="0"/>
          <w:sz w:val="18"/>
        </w:rPr>
        <w:t>2021</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36" w:name="_Ref_36"/>
      <w:r>
        <w:rPr>
          <w:b w:val="0"/>
          <w:sz w:val="18"/>
        </w:rPr>
        <w:t>36</w:t>
      </w:r>
      <w:bookmarkEnd w:id="1036"/>
      <w:r>
        <w:rPr>
          <w:sz w:val="18"/>
        </w:rPr>
        <w:t>.</w:t>
        <w:tab/>
      </w:r>
      <w:r>
        <w:rPr>
          <w:b w:val="0"/>
          <w:i w:val="0"/>
          <w:sz w:val="18"/>
        </w:rPr>
        <w:t xml:space="preserve">Hsu, A.; Sheriff, G.; Chakraborty, T.; Manya, D. </w:t>
      </w:r>
      <w:r>
        <w:rPr>
          <w:b w:val="0"/>
          <w:i w:val="0"/>
          <w:sz w:val="18"/>
        </w:rPr>
        <w:t xml:space="preserve">Disproportionate Exposure to Urban Heat Island Intensity across Major US Cities. </w:t>
      </w:r>
      <w:r>
        <w:rPr>
          <w:b w:val="0"/>
          <w:i/>
          <w:sz w:val="18"/>
        </w:rPr>
        <w:t xml:space="preserve">Nat. Commun. </w:t>
      </w:r>
      <w:r>
        <w:rPr>
          <w:b/>
          <w:i w:val="0"/>
          <w:sz w:val="18"/>
        </w:rPr>
        <w:t>2021</w:t>
      </w:r>
      <w:r>
        <w:rPr>
          <w:b w:val="0"/>
          <w:i w:val="0"/>
          <w:sz w:val="18"/>
        </w:rPr>
        <w:t xml:space="preserve">, </w:t>
      </w:r>
      <w:r>
        <w:rPr>
          <w:b w:val="0"/>
          <w:i/>
          <w:sz w:val="18"/>
        </w:rPr>
        <w:t>12</w:t>
      </w:r>
      <w:r>
        <w:rPr>
          <w:b w:val="0"/>
          <w:i w:val="0"/>
          <w:sz w:val="18"/>
        </w:rPr>
        <w:t>, 2721.</w:t>
      </w:r>
      <w:r>
        <w:rPr>
          <w:b w:val="0"/>
          <w:i w:val="0"/>
          <w:sz w:val="18"/>
        </w:rPr>
        <w:t xml:space="preserve"> [CrossRef]</w:t>
      </w:r>
    </w:p>
    <w:p>
      <w:pPr>
        <w:pStyle w:val="MDPI32textnoindent"/>
        <w:spacing w:line="240" w:lineRule="auto" w:before="0" w:after="40"/>
        <w:ind w:left="425" w:hanging="425"/>
        <w:tabs>
          <w:tab w:val="left" w:pos="425"/>
        </w:tabs>
      </w:pPr>
      <w:bookmarkStart w:id="1037" w:name="_Ref_37"/>
      <w:r>
        <w:rPr>
          <w:b w:val="0"/>
          <w:sz w:val="18"/>
        </w:rPr>
        <w:t>37</w:t>
      </w:r>
      <w:bookmarkEnd w:id="1037"/>
      <w:r>
        <w:rPr>
          <w:sz w:val="18"/>
        </w:rPr>
        <w:t>.</w:t>
        <w:tab/>
      </w:r>
      <w:r>
        <w:rPr>
          <w:b w:val="0"/>
          <w:i w:val="0"/>
          <w:sz w:val="18"/>
        </w:rPr>
        <w:t xml:space="preserve">Anguelovski, I.; Connolly, J.J.T.; Cole, H.; Garcia-Lamarca, M.; Triguero-Mas, M.; Baró, F. et al. </w:t>
      </w:r>
      <w:r>
        <w:rPr>
          <w:b w:val="0"/>
          <w:i w:val="0"/>
          <w:sz w:val="18"/>
        </w:rPr>
        <w:t xml:space="preserve">Green Gentrification in European and North American Cities. </w:t>
      </w:r>
      <w:r>
        <w:rPr>
          <w:b w:val="0"/>
          <w:i/>
          <w:sz w:val="18"/>
        </w:rPr>
        <w:t xml:space="preserve">Nat. Commun. </w:t>
      </w:r>
      <w:r>
        <w:rPr>
          <w:b/>
          <w:i w:val="0"/>
          <w:sz w:val="18"/>
        </w:rPr>
        <w:t>2022</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38" w:name="_Ref_38"/>
      <w:r>
        <w:rPr>
          <w:b w:val="0"/>
          <w:sz w:val="18"/>
        </w:rPr>
        <w:t>38</w:t>
      </w:r>
      <w:bookmarkEnd w:id="1038"/>
      <w:r>
        <w:rPr>
          <w:sz w:val="18"/>
        </w:rPr>
        <w:t>.</w:t>
        <w:tab/>
      </w:r>
      <w:r>
        <w:rPr>
          <w:b w:val="0"/>
          <w:i w:val="0"/>
          <w:sz w:val="18"/>
        </w:rPr>
        <w:t xml:space="preserve">Jacklitsch, B.; Williams, W.J.; Musolin, K.; Coca, A.; Kim, J.-H.; Turner, N. </w:t>
      </w:r>
      <w:r>
        <w:rPr>
          <w:b w:val="0"/>
          <w:i/>
          <w:sz w:val="18"/>
        </w:rPr>
        <w:t xml:space="preserve">NIOSH Criteria for a Recommended Standard: Occupational Exposure to Heat and Hot Environments; </w:t>
      </w:r>
      <w:r>
        <w:rPr>
          <w:b w:val="0"/>
          <w:i w:val="0"/>
          <w:sz w:val="18"/>
        </w:rPr>
        <w:t>National Institute for Occupational Safety and Health, DHHS (NIOSH) Publication No. 2016-106: Cincinnati, OH, USA, 2016.</w:t>
      </w:r>
      <w:r>
        <w:rPr>
          <w:b w:val="0"/>
          <w:i w:val="0"/>
          <w:sz w:val="18"/>
        </w:rPr>
        <w:t xml:space="preserve"> Available online: https://www.cdc.gov/niosh/docs/2016-106/default.html.</w:t>
      </w:r>
    </w:p>
    <w:p>
      <w:pPr>
        <w:pStyle w:val="MDPI32textnoindent"/>
        <w:spacing w:line="240" w:lineRule="auto" w:before="0" w:after="40"/>
        <w:ind w:left="425" w:hanging="425"/>
        <w:tabs>
          <w:tab w:val="left" w:pos="425"/>
        </w:tabs>
      </w:pPr>
      <w:bookmarkStart w:id="1039" w:name="_Ref_39"/>
      <w:r>
        <w:rPr>
          <w:b w:val="0"/>
          <w:sz w:val="18"/>
        </w:rPr>
        <w:t>39</w:t>
      </w:r>
      <w:bookmarkEnd w:id="1039"/>
      <w:r>
        <w:rPr>
          <w:sz w:val="18"/>
        </w:rPr>
        <w:t>.</w:t>
        <w:tab/>
      </w:r>
      <w:r>
        <w:rPr>
          <w:b w:val="0"/>
          <w:i w:val="0"/>
          <w:sz w:val="18"/>
        </w:rPr>
        <w:t xml:space="preserve">Smallcombe, J.W.; Foster, J.; Hodder, S.G.; Jay, O.; Flouris, A.D.; Havenith, G. </w:t>
      </w:r>
      <w:r>
        <w:rPr>
          <w:b w:val="0"/>
          <w:i w:val="0"/>
          <w:sz w:val="18"/>
        </w:rPr>
        <w:t xml:space="preserve">Quantifying the Impact of Heat on Human Physical Work Capacity; Part IV: Interactions between Work Duration and Heat Stress Severity. </w:t>
      </w:r>
      <w:r>
        <w:rPr>
          <w:b w:val="0"/>
          <w:i/>
          <w:sz w:val="18"/>
        </w:rPr>
        <w:t xml:space="preserve">Int. J. Biometeorol. </w:t>
      </w:r>
      <w:r>
        <w:rPr>
          <w:b/>
          <w:i w:val="0"/>
          <w:sz w:val="18"/>
        </w:rPr>
        <w:t>2022</w:t>
      </w:r>
      <w:r>
        <w:rPr>
          <w:b w:val="0"/>
          <w:i w:val="0"/>
          <w:sz w:val="18"/>
        </w:rPr>
        <w:t xml:space="preserve">, </w:t>
      </w:r>
      <w:r>
        <w:rPr>
          <w:b w:val="0"/>
          <w:i/>
          <w:sz w:val="18"/>
        </w:rPr>
        <w:t>66</w:t>
      </w:r>
      <w:r>
        <w:rPr>
          <w:b w:val="0"/>
          <w:i w:val="0"/>
          <w:sz w:val="18"/>
        </w:rPr>
        <w:t>, 2463–2476.</w:t>
      </w:r>
      <w:r>
        <w:rPr>
          <w:b w:val="0"/>
          <w:i w:val="0"/>
          <w:sz w:val="18"/>
        </w:rPr>
        <w:t xml:space="preserve"> [CrossRef]</w:t>
      </w:r>
    </w:p>
    <w:p>
      <w:pPr>
        <w:pStyle w:val="MDPI32textnoindent"/>
        <w:spacing w:line="240" w:lineRule="auto" w:before="0" w:after="40"/>
        <w:ind w:left="425" w:hanging="425"/>
        <w:tabs>
          <w:tab w:val="left" w:pos="425"/>
        </w:tabs>
      </w:pPr>
      <w:bookmarkStart w:id="1040" w:name="_Ref_40"/>
      <w:r>
        <w:rPr>
          <w:b w:val="0"/>
          <w:sz w:val="18"/>
        </w:rPr>
        <w:t>40</w:t>
      </w:r>
      <w:bookmarkEnd w:id="1040"/>
      <w:r>
        <w:rPr>
          <w:sz w:val="18"/>
        </w:rPr>
        <w:t>.</w:t>
        <w:tab/>
      </w:r>
      <w:r>
        <w:rPr>
          <w:b w:val="0"/>
          <w:i w:val="0"/>
          <w:sz w:val="18"/>
        </w:rPr>
        <w:t xml:space="preserve">European Commission, Joint Research Centre. </w:t>
      </w:r>
      <w:r>
        <w:rPr>
          <w:b w:val="0"/>
          <w:i/>
          <w:sz w:val="18"/>
        </w:rPr>
        <w:t xml:space="preserve">GHS Urban Centre Database 2015, Multitemporal and Multidimensional Attributes, R2019A (Dataset); </w:t>
      </w:r>
      <w:r>
        <w:rPr>
          <w:b w:val="0"/>
          <w:i w:val="0"/>
          <w:sz w:val="18"/>
        </w:rPr>
        <w:t>European Commission, Joint Research Centre: Ispra, Italy, 2019.</w:t>
      </w:r>
      <w:r>
        <w:rPr>
          <w:b w:val="0"/>
          <w:i w:val="0"/>
          <w:sz w:val="18"/>
        </w:rPr>
        <w:t xml:space="preserve"> Available online: https://data.jrc.ec.europa.eu/dataset/53473144-b88c-44bc-b4a3-4583ed1f547e.</w:t>
      </w:r>
    </w:p>
    <w:p>
      <w:pPr>
        <w:pStyle w:val="MDPI32textnoindent"/>
        <w:spacing w:line="240" w:lineRule="auto" w:before="0" w:after="40"/>
        <w:ind w:left="425" w:hanging="425"/>
        <w:tabs>
          <w:tab w:val="left" w:pos="425"/>
        </w:tabs>
      </w:pPr>
      <w:bookmarkStart w:id="1041" w:name="_Ref_41"/>
      <w:r>
        <w:rPr>
          <w:b w:val="0"/>
          <w:sz w:val="18"/>
        </w:rPr>
        <w:t>41</w:t>
      </w:r>
      <w:bookmarkEnd w:id="1041"/>
      <w:r>
        <w:rPr>
          <w:sz w:val="18"/>
        </w:rPr>
        <w:t>.</w:t>
        <w:tab/>
      </w:r>
      <w:r>
        <w:rPr>
          <w:b w:val="0"/>
          <w:i w:val="0"/>
          <w:sz w:val="18"/>
        </w:rPr>
        <w:t xml:space="preserve">Berkeley Earth. </w:t>
      </w:r>
      <w:r>
        <w:rPr>
          <w:b w:val="0"/>
          <w:i/>
          <w:sz w:val="18"/>
        </w:rPr>
        <w:t xml:space="preserve">Regional Land-Surface Temperature Summaries by Country (Dataset); </w:t>
      </w:r>
      <w:r>
        <w:rPr>
          <w:b w:val="0"/>
          <w:i w:val="0"/>
          <w:sz w:val="18"/>
        </w:rPr>
        <w:t>Berkeley Earth: Berkeley, CA, USA, 2021.</w:t>
      </w:r>
      <w:r>
        <w:rPr>
          <w:b w:val="0"/>
          <w:i w:val="0"/>
          <w:sz w:val="18"/>
        </w:rPr>
        <w:t xml:space="preserve"> Available online: https://berkeleyearth.org/data/.</w:t>
      </w:r>
    </w:p>
    <w:sectPr w:rsidR="00A86E9F" w:rsidRPr="00DF3FBD" w:rsidSect="002C73CC">
      <w:headerReference w:type="even" r:id="rId11"/>
      <w:headerReference w:type="default" r:id="rId12"/>
      <w:headerReference w:type="first" r:id="rId13"/>
      <w:footerReference w:type="first" r:id="rId14"/>
      <w:footerReference w:type="default" r:id="rId1"/>
      <w:footerReference w:type="even" r:id="rId17"/>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006B3" w14:textId="77777777" w:rsidR="00FA22F0" w:rsidRPr="00AE7596" w:rsidRDefault="00FA22F0">
      <w:pPr>
        <w:spacing w:line="240" w:lineRule="auto"/>
      </w:pPr>
      <w:r w:rsidRPr="00AE7596">
        <w:separator/>
      </w:r>
    </w:p>
  </w:endnote>
  <w:endnote w:type="continuationSeparator" w:id="0">
    <w:p w14:paraId="2DB78588" w14:textId="77777777" w:rsidR="00FA22F0" w:rsidRPr="00AE7596" w:rsidRDefault="00FA22F0">
      <w:pPr>
        <w:spacing w:line="240" w:lineRule="auto"/>
      </w:pPr>
      <w:r w:rsidRPr="00AE75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757C" w14:textId="77777777" w:rsidR="00281E5B" w:rsidRPr="00AE7596" w:rsidRDefault="00281E5B" w:rsidP="004F0E02">
    <w:pPr>
      <w:pBdr>
        <w:top w:val="single" w:sz="4" w:space="0" w:color="000000"/>
      </w:pBdr>
      <w:adjustRightInd w:val="0"/>
      <w:snapToGrid w:val="0"/>
      <w:spacing w:before="480" w:line="100" w:lineRule="exact"/>
      <w:rPr>
        <w:i/>
        <w:iCs/>
        <w:sz w:val="16"/>
        <w:szCs w:val="16"/>
      </w:rPr>
      <w:suppressLineNumbers/>
    </w:pPr>
  </w:p>
  <w:p w14:paraId="15F40FBC" w14:textId="6C398FCE" w:rsidR="00C45F1E" w:rsidRPr="00AE7596" w:rsidRDefault="00C45F1E" w:rsidP="00BA570C">
    <w:pPr>
      <w:tabs>
        <w:tab w:val="right" w:pos="10466"/>
      </w:tabs>
      <w:spacing w:line="240" w:lineRule="auto"/>
      <w:rPr>
        <w:sz w:val="16"/>
        <w:szCs w:val="16"/>
      </w:rPr>
      <w:suppressLineNumbers/>
    </w:pPr>
    <w:r w:rsidRPr="00AE7596">
      <w:rPr>
        <w:i/>
        <w:iCs/>
        <w:sz w:val="16"/>
        <w:szCs w:val="16"/>
      </w:rPr>
      <w:t>Sustainability</w:t>
    </w:r>
    <w:r w:rsidRPr="00AE7596">
      <w:rPr>
        <w:sz w:val="16"/>
        <w:szCs w:val="16"/>
      </w:rPr>
      <w:t xml:space="preserve"> </w:t>
    </w:r>
    <w:r w:rsidR="002C73CC" w:rsidRPr="00AE7596">
      <w:rPr>
        <w:b/>
        <w:bCs/>
        <w:iCs/>
        <w:sz w:val="16"/>
        <w:szCs w:val="16"/>
      </w:rPr>
      <w:t>2025</w:t>
    </w:r>
    <w:r w:rsidR="00632077" w:rsidRPr="00AE7596">
      <w:rPr>
        <w:bCs/>
        <w:iCs/>
        <w:sz w:val="16"/>
        <w:szCs w:val="16"/>
      </w:rPr>
      <w:t>,</w:t>
    </w:r>
    <w:r w:rsidR="002C73CC" w:rsidRPr="00AE7596">
      <w:rPr>
        <w:bCs/>
        <w:i/>
        <w:iCs/>
        <w:sz w:val="16"/>
        <w:szCs w:val="16"/>
      </w:rPr>
      <w:t xml:space="preserve"> 17</w:t>
    </w:r>
    <w:r w:rsidR="00632077" w:rsidRPr="00AE7596">
      <w:rPr>
        <w:bCs/>
        <w:iCs/>
        <w:sz w:val="16"/>
        <w:szCs w:val="16"/>
      </w:rPr>
      <w:t xml:space="preserve">, </w:t>
    </w:r>
    <w:r w:rsidR="00A36565" w:rsidRPr="00AE7596">
      <w:rPr>
        <w:bCs/>
        <w:iCs/>
        <w:sz w:val="16"/>
        <w:szCs w:val="16"/>
      </w:rPr>
      <w:t>x</w:t>
    </w:r>
    <w:r w:rsidR="00BA570C" w:rsidRPr="00AE7596">
      <w:rPr>
        <w:sz w:val="16"/>
        <w:szCs w:val="16"/>
      </w:rPr>
      <w:tab/>
    </w:r>
    <w:r w:rsidR="002C73CC" w:rsidRPr="00AE7596">
      <w:rPr>
        <w:sz w:val="16"/>
        <w:szCs w:val="16"/>
      </w:rPr>
      <w:t>https://doi.org/10.3390/xxxxx</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28FF" w14:textId="77777777" w:rsidR="00FA22F0" w:rsidRPr="00AE7596" w:rsidRDefault="00FA22F0">
      <w:pPr>
        <w:spacing w:line="240" w:lineRule="auto"/>
      </w:pPr>
      <w:r w:rsidRPr="00AE7596">
        <w:separator/>
      </w:r>
    </w:p>
  </w:footnote>
  <w:footnote w:type="continuationSeparator" w:id="0">
    <w:p w14:paraId="424B648F" w14:textId="77777777" w:rsidR="00FA22F0" w:rsidRPr="00AE7596" w:rsidRDefault="00FA22F0">
      <w:pPr>
        <w:spacing w:line="240" w:lineRule="auto"/>
      </w:pPr>
      <w:r w:rsidRPr="00AE75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97D7" w14:textId="77777777" w:rsidR="00C45F1E" w:rsidRPr="00AE7596" w:rsidRDefault="00C45F1E" w:rsidP="00C45F1E">
    <w:pPr>
      <w:pStyle w:val="Header"/>
      <w:pBdr>
        <w:bottom w:val="none" w:sz="0" w:space="0" w:color="auto"/>
      </w:pBdr>
      <w:suppressLineNumber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DF25" w14:textId="56856BBF" w:rsidR="00281E5B" w:rsidRPr="00AE7596" w:rsidRDefault="00C45F1E" w:rsidP="00BA570C">
    <w:pPr>
      <w:tabs>
        <w:tab w:val="right" w:pos="10466"/>
      </w:tabs>
      <w:adjustRightInd w:val="0"/>
      <w:snapToGrid w:val="0"/>
      <w:spacing w:line="240" w:lineRule="auto"/>
      <w:rPr>
        <w:sz w:val="16"/>
      </w:rPr>
      <w:suppressLineNumbers/>
    </w:pPr>
    <w:r w:rsidRPr="00AE7596">
      <w:rPr>
        <w:i/>
        <w:sz w:val="16"/>
      </w:rPr>
      <w:t xml:space="preserve">Sustainability </w:t>
    </w:r>
    <w:r w:rsidR="002C73CC" w:rsidRPr="00AE7596">
      <w:rPr>
        <w:b/>
        <w:sz w:val="16"/>
      </w:rPr>
      <w:t>2025</w:t>
    </w:r>
    <w:r w:rsidR="00632077" w:rsidRPr="00AE7596">
      <w:rPr>
        <w:sz w:val="16"/>
      </w:rPr>
      <w:t>,</w:t>
    </w:r>
    <w:r w:rsidR="002C73CC" w:rsidRPr="00AE7596">
      <w:rPr>
        <w:i/>
        <w:sz w:val="16"/>
      </w:rPr>
      <w:t xml:space="preserve"> 17</w:t>
    </w:r>
    <w:r w:rsidR="00A36565" w:rsidRPr="00AE7596">
      <w:rPr>
        <w:sz w:val="16"/>
      </w:rPr>
      <w:t xml:space="preserve">, x </w:t>
    </w:r>
    <w:r w:rsidR="002C73CC" w:rsidRPr="00AE7596">
      <w:rPr>
        <w:sz w:val="16"/>
      </w:rPr>
      <w:t>FOR PEER REVIEW</w:t>
    </w:r>
    <w:r w:rsidR="002C73CC" w:rsidRPr="00AE7596">
      <w:rPr>
        <w:sz w:val="16"/>
      </w:rPr>
      <w:ptab w:relativeTo="margin" w:alignment="right" w:leader="none"/>
    </w:r>
    <w:r w:rsidR="002C73CC" w:rsidRPr="00AE7596">
      <w:rPr>
        <w:sz w:val="16"/>
      </w:rPr>
      <w:fldChar w:fldCharType="begin"/>
    </w:r>
    <w:r w:rsidR="002C73CC" w:rsidRPr="00AE7596">
      <w:rPr>
        <w:sz w:val="16"/>
      </w:rPr>
      <w:instrText xml:space="preserve"> PAGE   \* MERGEFORMAT </w:instrText>
    </w:r>
    <w:r w:rsidR="002C73CC" w:rsidRPr="00AE7596">
      <w:rPr>
        <w:sz w:val="16"/>
      </w:rPr>
      <w:fldChar w:fldCharType="separate"/>
    </w:r>
    <w:r w:rsidR="002C73CC" w:rsidRPr="00AE7596">
      <w:rPr>
        <w:sz w:val="16"/>
      </w:rPr>
      <w:t>2</w:t>
    </w:r>
    <w:r w:rsidR="002C73CC" w:rsidRPr="00AE7596">
      <w:rPr>
        <w:sz w:val="16"/>
      </w:rPr>
      <w:fldChar w:fldCharType="end"/>
    </w:r>
    <w:r w:rsidR="002C73CC" w:rsidRPr="00AE7596">
      <w:rPr>
        <w:sz w:val="16"/>
      </w:rPr>
      <w:t xml:space="preserve"> of </w:t>
    </w:r>
    <w:r w:rsidR="002C73CC" w:rsidRPr="00AE7596">
      <w:rPr>
        <w:sz w:val="16"/>
      </w:rPr>
      <w:fldChar w:fldCharType="begin"/>
    </w:r>
    <w:r w:rsidR="002C73CC" w:rsidRPr="00AE7596">
      <w:rPr>
        <w:sz w:val="16"/>
      </w:rPr>
      <w:instrText xml:space="preserve"> NUMPAGES   \* MERGEFORMAT </w:instrText>
    </w:r>
    <w:r w:rsidR="002C73CC" w:rsidRPr="00AE7596">
      <w:rPr>
        <w:sz w:val="16"/>
      </w:rPr>
      <w:fldChar w:fldCharType="separate"/>
    </w:r>
    <w:r w:rsidR="002C73CC" w:rsidRPr="00AE7596">
      <w:rPr>
        <w:sz w:val="16"/>
      </w:rPr>
      <w:t>7</w:t>
    </w:r>
    <w:r w:rsidR="002C73CC" w:rsidRPr="00AE7596">
      <w:rPr>
        <w:sz w:val="16"/>
      </w:rPr>
      <w:fldChar w:fldCharType="end"/>
    </w:r>
  </w:p>
  <w:p w14:paraId="3105923E" w14:textId="77777777" w:rsidR="00C45F1E" w:rsidRPr="00AE7596" w:rsidRDefault="00C45F1E" w:rsidP="004F0E02">
    <w:pPr>
      <w:pBdr>
        <w:bottom w:val="single" w:sz="4" w:space="1" w:color="000000"/>
      </w:pBdr>
      <w:tabs>
        <w:tab w:val="right" w:pos="8844"/>
      </w:tabs>
      <w:adjustRightInd w:val="0"/>
      <w:snapToGrid w:val="0"/>
      <w:spacing w:after="480" w:line="100" w:lineRule="exact"/>
      <w:jc w:val="left"/>
      <w:rPr>
        <w:sz w:val="16"/>
      </w:rP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81E5B" w:rsidRPr="00AE7596" w14:paraId="473592A3" w14:textId="77777777" w:rsidTr="008D01B0">
      <w:trPr>
        <w:trHeight w:val="686"/>
      </w:trPr>
      <w:tc>
        <w:tcPr>
          <w:tcW w:w="3679" w:type="dxa"/>
          <w:vAlign w:val="center"/>
        </w:tcPr>
        <w:p w14:paraId="40D3180C" w14:textId="50E1B31F" w:rsidR="00281E5B" w:rsidRPr="00AE7596" w:rsidRDefault="0053661C" w:rsidP="00BA570C">
          <w:pPr>
            <w:pStyle w:val="Header"/>
            <w:pBdr>
              <w:bottom w:val="none" w:sz="0" w:space="0" w:color="auto"/>
            </w:pBdr>
            <w:jc w:val="left"/>
            <w:rPr>
              <w:rFonts w:eastAsia="等线"/>
              <w:b/>
              <w:bCs/>
            </w:rPr>
            <w:suppressLineNumbers/>
          </w:pPr>
          <w:r w:rsidRPr="00AE7596">
            <w:rPr>
              <w:rFonts w:eastAsia="等线"/>
              <w:b/>
              <w:bCs/>
              <w:noProof/>
            </w:rPr>
            <w:drawing>
              <wp:inline distT="0" distB="0" distL="0" distR="0" wp14:anchorId="7DA181D4" wp14:editId="28C4532A">
                <wp:extent cx="1758423" cy="432000"/>
                <wp:effectExtent l="0" t="0" r="0" b="6350"/>
                <wp:docPr id="39691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2817" name=""/>
                        <pic:cNvPicPr/>
                      </pic:nvPicPr>
                      <pic:blipFill>
                        <a:blip r:embed="rId1"/>
                        <a:stretch>
                          <a:fillRect/>
                        </a:stretch>
                      </pic:blipFill>
                      <pic:spPr>
                        <a:xfrm>
                          <a:off x="0" y="0"/>
                          <a:ext cx="1758423" cy="432000"/>
                        </a:xfrm>
                        <a:prstGeom prst="rect">
                          <a:avLst/>
                        </a:prstGeom>
                      </pic:spPr>
                    </pic:pic>
                  </a:graphicData>
                </a:graphic>
              </wp:inline>
            </w:drawing>
          </w:r>
        </w:p>
      </w:tc>
      <w:tc>
        <w:tcPr>
          <w:tcW w:w="4535" w:type="dxa"/>
          <w:vAlign w:val="center"/>
        </w:tcPr>
        <w:p w14:paraId="7D4E6071" w14:textId="77777777" w:rsidR="00281E5B" w:rsidRPr="00AE7596" w:rsidRDefault="00281E5B" w:rsidP="00BA570C">
          <w:pPr>
            <w:pStyle w:val="Header"/>
            <w:pBdr>
              <w:bottom w:val="none" w:sz="0" w:space="0" w:color="auto"/>
            </w:pBdr>
            <w:rPr>
              <w:rFonts w:eastAsia="等线"/>
              <w:b/>
              <w:bCs/>
            </w:rPr>
            <w:suppressLineNumbers/>
          </w:pPr>
        </w:p>
      </w:tc>
      <w:tc>
        <w:tcPr>
          <w:tcW w:w="2273" w:type="dxa"/>
          <w:vAlign w:val="center"/>
        </w:tcPr>
        <w:p w14:paraId="42D6D852" w14:textId="240FCF71" w:rsidR="00281E5B" w:rsidRPr="00AE7596" w:rsidRDefault="008D01B0" w:rsidP="008D01B0">
          <w:pPr>
            <w:pStyle w:val="Header"/>
            <w:pBdr>
              <w:bottom w:val="none" w:sz="0" w:space="0" w:color="auto"/>
            </w:pBdr>
            <w:jc w:val="right"/>
            <w:rPr>
              <w:rFonts w:eastAsia="等线"/>
              <w:b/>
              <w:bCs/>
            </w:rPr>
            <w:suppressLineNumbers/>
          </w:pPr>
          <w:r w:rsidRPr="00AE7596">
            <w:rPr>
              <w:rFonts w:eastAsia="等线"/>
              <w:b/>
              <w:bCs/>
              <w:noProof/>
            </w:rPr>
            <w:drawing>
              <wp:inline distT="0" distB="0" distL="0" distR="0" wp14:anchorId="0D95D5AE" wp14:editId="75250C9B">
                <wp:extent cx="540000" cy="360000"/>
                <wp:effectExtent l="0" t="0" r="0" b="2540"/>
                <wp:docPr id="1622818010" name="Picture 1"/>
                <wp:cNvGraphicFramePr/>
                <a:graphic xmlns:a="http://schemas.openxmlformats.org/drawingml/2006/main">
                  <a:graphicData uri="http://schemas.openxmlformats.org/drawingml/2006/picture">
                    <pic:pic xmlns:pic="http://schemas.openxmlformats.org/drawingml/2006/picture">
                      <pic:nvPicPr>
                        <pic:cNvPr id="1622818010" name=""/>
                        <pic:cNvPicPr/>
                      </pic:nvPicPr>
                      <pic:blipFill>
                        <a:blip r:embed="rId2"/>
                        <a:stretch>
                          <a:fillRect/>
                        </a:stretch>
                      </pic:blipFill>
                      <pic:spPr>
                        <a:xfrm>
                          <a:off x="0" y="0"/>
                          <a:ext cx="540000" cy="360000"/>
                        </a:xfrm>
                        <a:prstGeom prst="rect">
                          <a:avLst/>
                        </a:prstGeom>
                      </pic:spPr>
                    </pic:pic>
                  </a:graphicData>
                </a:graphic>
              </wp:inline>
            </w:drawing>
          </w:r>
        </w:p>
      </w:tc>
    </w:tr>
  </w:tbl>
  <w:p w14:paraId="6D4750AD" w14:textId="77777777" w:rsidR="00C45F1E" w:rsidRPr="00AE7596" w:rsidRDefault="00C45F1E" w:rsidP="002C73CC">
    <w:pPr>
      <w:pBdr>
        <w:bottom w:val="single" w:sz="4" w:space="1" w:color="000000"/>
      </w:pBdr>
      <w:adjustRightInd w:val="0"/>
      <w:snapToGrid w:val="0"/>
      <w:spacing w:before="120" w:line="100" w:lineRule="exact"/>
      <w:jc w:val="left"/>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8D0"/>
    <w:multiLevelType w:val="hybridMultilevel"/>
    <w:tmpl w:val="054A593C"/>
    <w:lvl w:ilvl="0" w:tplc="5216A9F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67F0D062"/>
    <w:lvl w:ilvl="0" w:tplc="0B74C6C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2A71D87"/>
    <w:multiLevelType w:val="hybridMultilevel"/>
    <w:tmpl w:val="9FBC5E02"/>
    <w:lvl w:ilvl="0" w:tplc="985A5EF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F9426D"/>
    <w:multiLevelType w:val="hybridMultilevel"/>
    <w:tmpl w:val="2D407F76"/>
    <w:lvl w:ilvl="0" w:tplc="ED42950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7993666">
    <w:abstractNumId w:val="6"/>
  </w:num>
  <w:num w:numId="2" w16cid:durableId="1509054446">
    <w:abstractNumId w:val="8"/>
  </w:num>
  <w:num w:numId="3" w16cid:durableId="1113590912">
    <w:abstractNumId w:val="4"/>
  </w:num>
  <w:num w:numId="4" w16cid:durableId="7317803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9608438">
    <w:abstractNumId w:val="7"/>
  </w:num>
  <w:num w:numId="6" w16cid:durableId="473181297">
    <w:abstractNumId w:val="10"/>
  </w:num>
  <w:num w:numId="7" w16cid:durableId="195194816">
    <w:abstractNumId w:val="2"/>
  </w:num>
  <w:num w:numId="8" w16cid:durableId="244807432">
    <w:abstractNumId w:val="10"/>
  </w:num>
  <w:num w:numId="9" w16cid:durableId="1036198040">
    <w:abstractNumId w:val="2"/>
  </w:num>
  <w:num w:numId="10" w16cid:durableId="993417376">
    <w:abstractNumId w:val="10"/>
  </w:num>
  <w:num w:numId="11" w16cid:durableId="124591053">
    <w:abstractNumId w:val="2"/>
  </w:num>
  <w:num w:numId="12" w16cid:durableId="1437142715">
    <w:abstractNumId w:val="11"/>
  </w:num>
  <w:num w:numId="13" w16cid:durableId="1884321205">
    <w:abstractNumId w:val="10"/>
  </w:num>
  <w:num w:numId="14" w16cid:durableId="146168580">
    <w:abstractNumId w:val="2"/>
  </w:num>
  <w:num w:numId="15" w16cid:durableId="2073844841">
    <w:abstractNumId w:val="1"/>
  </w:num>
  <w:num w:numId="16" w16cid:durableId="859780803">
    <w:abstractNumId w:val="9"/>
  </w:num>
  <w:num w:numId="17" w16cid:durableId="1042906778">
    <w:abstractNumId w:val="0"/>
  </w:num>
  <w:num w:numId="18" w16cid:durableId="1299140370">
    <w:abstractNumId w:val="10"/>
  </w:num>
  <w:num w:numId="19" w16cid:durableId="1616598920">
    <w:abstractNumId w:val="2"/>
  </w:num>
  <w:num w:numId="20" w16cid:durableId="1242713542">
    <w:abstractNumId w:val="1"/>
  </w:num>
  <w:num w:numId="21" w16cid:durableId="1702782998">
    <w:abstractNumId w:val="0"/>
  </w:num>
  <w:num w:numId="22" w16cid:durableId="1290279064">
    <w:abstractNumId w:val="5"/>
  </w:num>
  <w:num w:numId="23" w16cid:durableId="201018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3"/>
    <w:rsid w:val="000142CA"/>
    <w:rsid w:val="00020CE2"/>
    <w:rsid w:val="00037AE6"/>
    <w:rsid w:val="00051876"/>
    <w:rsid w:val="00061068"/>
    <w:rsid w:val="00064772"/>
    <w:rsid w:val="00070D92"/>
    <w:rsid w:val="00071218"/>
    <w:rsid w:val="00080EFC"/>
    <w:rsid w:val="000855EA"/>
    <w:rsid w:val="000925CA"/>
    <w:rsid w:val="00093E7F"/>
    <w:rsid w:val="000B0B13"/>
    <w:rsid w:val="000E0227"/>
    <w:rsid w:val="000F0754"/>
    <w:rsid w:val="00104D24"/>
    <w:rsid w:val="00113E2F"/>
    <w:rsid w:val="0014459E"/>
    <w:rsid w:val="001548C1"/>
    <w:rsid w:val="001611BC"/>
    <w:rsid w:val="001762DD"/>
    <w:rsid w:val="00185980"/>
    <w:rsid w:val="001A1BB3"/>
    <w:rsid w:val="001A27B2"/>
    <w:rsid w:val="001A413C"/>
    <w:rsid w:val="001A57BF"/>
    <w:rsid w:val="001B38D4"/>
    <w:rsid w:val="001D057B"/>
    <w:rsid w:val="001E2AEB"/>
    <w:rsid w:val="00204327"/>
    <w:rsid w:val="0022638C"/>
    <w:rsid w:val="002266AA"/>
    <w:rsid w:val="002316BB"/>
    <w:rsid w:val="00253CA3"/>
    <w:rsid w:val="00256E65"/>
    <w:rsid w:val="00281E5B"/>
    <w:rsid w:val="0029420B"/>
    <w:rsid w:val="00295161"/>
    <w:rsid w:val="00297A33"/>
    <w:rsid w:val="002B76DC"/>
    <w:rsid w:val="002C338C"/>
    <w:rsid w:val="002C73CC"/>
    <w:rsid w:val="002D650D"/>
    <w:rsid w:val="002E57DB"/>
    <w:rsid w:val="002E5B86"/>
    <w:rsid w:val="002F1BFE"/>
    <w:rsid w:val="00316C89"/>
    <w:rsid w:val="00326141"/>
    <w:rsid w:val="00330A75"/>
    <w:rsid w:val="003337EA"/>
    <w:rsid w:val="00337833"/>
    <w:rsid w:val="00354A5A"/>
    <w:rsid w:val="003746CD"/>
    <w:rsid w:val="003B6ABF"/>
    <w:rsid w:val="003D1D40"/>
    <w:rsid w:val="003D60EE"/>
    <w:rsid w:val="003E6954"/>
    <w:rsid w:val="003E7640"/>
    <w:rsid w:val="003F4EFE"/>
    <w:rsid w:val="003F6C3A"/>
    <w:rsid w:val="00401235"/>
    <w:rsid w:val="00401D30"/>
    <w:rsid w:val="004050FF"/>
    <w:rsid w:val="004102B9"/>
    <w:rsid w:val="00425371"/>
    <w:rsid w:val="00431D81"/>
    <w:rsid w:val="004345D3"/>
    <w:rsid w:val="0044546E"/>
    <w:rsid w:val="00454A4A"/>
    <w:rsid w:val="0047260B"/>
    <w:rsid w:val="00476157"/>
    <w:rsid w:val="0048108F"/>
    <w:rsid w:val="004A4BBA"/>
    <w:rsid w:val="004B0B17"/>
    <w:rsid w:val="004B4287"/>
    <w:rsid w:val="004C3F57"/>
    <w:rsid w:val="004C46B1"/>
    <w:rsid w:val="004E0F98"/>
    <w:rsid w:val="004E21A1"/>
    <w:rsid w:val="004E5DF9"/>
    <w:rsid w:val="004F0E02"/>
    <w:rsid w:val="005022B4"/>
    <w:rsid w:val="005028E5"/>
    <w:rsid w:val="00502EEE"/>
    <w:rsid w:val="00507EFC"/>
    <w:rsid w:val="00511E44"/>
    <w:rsid w:val="005327C9"/>
    <w:rsid w:val="0053661C"/>
    <w:rsid w:val="00545B32"/>
    <w:rsid w:val="005660F6"/>
    <w:rsid w:val="005C61D3"/>
    <w:rsid w:val="005D13A9"/>
    <w:rsid w:val="005E0240"/>
    <w:rsid w:val="005E14E8"/>
    <w:rsid w:val="005E42AE"/>
    <w:rsid w:val="00604EDE"/>
    <w:rsid w:val="00607F24"/>
    <w:rsid w:val="006204BC"/>
    <w:rsid w:val="00632077"/>
    <w:rsid w:val="00636DCE"/>
    <w:rsid w:val="006429BB"/>
    <w:rsid w:val="00681548"/>
    <w:rsid w:val="00692393"/>
    <w:rsid w:val="006A7FF4"/>
    <w:rsid w:val="006C42C8"/>
    <w:rsid w:val="006C619C"/>
    <w:rsid w:val="006E142A"/>
    <w:rsid w:val="006E6288"/>
    <w:rsid w:val="00740B6F"/>
    <w:rsid w:val="0075794E"/>
    <w:rsid w:val="007628E6"/>
    <w:rsid w:val="0076686D"/>
    <w:rsid w:val="007674BF"/>
    <w:rsid w:val="00770948"/>
    <w:rsid w:val="0077402B"/>
    <w:rsid w:val="00794A62"/>
    <w:rsid w:val="007A108C"/>
    <w:rsid w:val="007A283C"/>
    <w:rsid w:val="007B4C9E"/>
    <w:rsid w:val="007D2775"/>
    <w:rsid w:val="007E1AD0"/>
    <w:rsid w:val="007E5740"/>
    <w:rsid w:val="00822B3D"/>
    <w:rsid w:val="00832857"/>
    <w:rsid w:val="00840934"/>
    <w:rsid w:val="00841933"/>
    <w:rsid w:val="008523BB"/>
    <w:rsid w:val="008624B5"/>
    <w:rsid w:val="00865AC6"/>
    <w:rsid w:val="008838CF"/>
    <w:rsid w:val="008859F4"/>
    <w:rsid w:val="008B5125"/>
    <w:rsid w:val="008C2A37"/>
    <w:rsid w:val="008D01B0"/>
    <w:rsid w:val="008F446B"/>
    <w:rsid w:val="009021A7"/>
    <w:rsid w:val="00933E2C"/>
    <w:rsid w:val="00956613"/>
    <w:rsid w:val="009566E3"/>
    <w:rsid w:val="0095741D"/>
    <w:rsid w:val="00964A28"/>
    <w:rsid w:val="00993A21"/>
    <w:rsid w:val="009C6085"/>
    <w:rsid w:val="009D0DA8"/>
    <w:rsid w:val="009D5560"/>
    <w:rsid w:val="009E7E90"/>
    <w:rsid w:val="009F0B0F"/>
    <w:rsid w:val="009F70E6"/>
    <w:rsid w:val="00A04FD6"/>
    <w:rsid w:val="00A0751C"/>
    <w:rsid w:val="00A36565"/>
    <w:rsid w:val="00A65307"/>
    <w:rsid w:val="00A6605F"/>
    <w:rsid w:val="00A70B08"/>
    <w:rsid w:val="00A86E9F"/>
    <w:rsid w:val="00AA684A"/>
    <w:rsid w:val="00AC11F9"/>
    <w:rsid w:val="00AC7F68"/>
    <w:rsid w:val="00AE7596"/>
    <w:rsid w:val="00AF0644"/>
    <w:rsid w:val="00AF5A91"/>
    <w:rsid w:val="00B00AFB"/>
    <w:rsid w:val="00B21347"/>
    <w:rsid w:val="00B4734C"/>
    <w:rsid w:val="00B5405E"/>
    <w:rsid w:val="00B80275"/>
    <w:rsid w:val="00B84F5A"/>
    <w:rsid w:val="00BA570C"/>
    <w:rsid w:val="00BB5981"/>
    <w:rsid w:val="00BD2405"/>
    <w:rsid w:val="00BD5735"/>
    <w:rsid w:val="00BE0791"/>
    <w:rsid w:val="00BF4597"/>
    <w:rsid w:val="00BF54CA"/>
    <w:rsid w:val="00BF745B"/>
    <w:rsid w:val="00C02A07"/>
    <w:rsid w:val="00C036E8"/>
    <w:rsid w:val="00C069CD"/>
    <w:rsid w:val="00C43255"/>
    <w:rsid w:val="00C45F1E"/>
    <w:rsid w:val="00C8316E"/>
    <w:rsid w:val="00C90EAB"/>
    <w:rsid w:val="00C90F92"/>
    <w:rsid w:val="00C9601A"/>
    <w:rsid w:val="00CA6896"/>
    <w:rsid w:val="00CA6E6E"/>
    <w:rsid w:val="00CD3203"/>
    <w:rsid w:val="00CE7302"/>
    <w:rsid w:val="00D07230"/>
    <w:rsid w:val="00D14CE0"/>
    <w:rsid w:val="00D223A8"/>
    <w:rsid w:val="00D2684C"/>
    <w:rsid w:val="00D32E9B"/>
    <w:rsid w:val="00D474EE"/>
    <w:rsid w:val="00D501D8"/>
    <w:rsid w:val="00D80381"/>
    <w:rsid w:val="00D92691"/>
    <w:rsid w:val="00D94F8A"/>
    <w:rsid w:val="00DB04E8"/>
    <w:rsid w:val="00DC426C"/>
    <w:rsid w:val="00DC5535"/>
    <w:rsid w:val="00DD4C63"/>
    <w:rsid w:val="00DE02F0"/>
    <w:rsid w:val="00DF3FBD"/>
    <w:rsid w:val="00E034CE"/>
    <w:rsid w:val="00E11356"/>
    <w:rsid w:val="00E22508"/>
    <w:rsid w:val="00E30E54"/>
    <w:rsid w:val="00E35766"/>
    <w:rsid w:val="00E40745"/>
    <w:rsid w:val="00E4708F"/>
    <w:rsid w:val="00E52F1E"/>
    <w:rsid w:val="00E70428"/>
    <w:rsid w:val="00E943BD"/>
    <w:rsid w:val="00E94AAD"/>
    <w:rsid w:val="00EA77BB"/>
    <w:rsid w:val="00EB33F9"/>
    <w:rsid w:val="00EE5C3B"/>
    <w:rsid w:val="00EF7C2A"/>
    <w:rsid w:val="00F00695"/>
    <w:rsid w:val="00F179E4"/>
    <w:rsid w:val="00F25D88"/>
    <w:rsid w:val="00F34FEE"/>
    <w:rsid w:val="00F45639"/>
    <w:rsid w:val="00F46BA1"/>
    <w:rsid w:val="00F528DD"/>
    <w:rsid w:val="00F57906"/>
    <w:rsid w:val="00F658F9"/>
    <w:rsid w:val="00F7099C"/>
    <w:rsid w:val="00FA22F0"/>
    <w:rsid w:val="00FB2C15"/>
    <w:rsid w:val="00FE6213"/>
    <w:rsid w:val="00FF00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00AA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E9F"/>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A86E9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A86E9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A86E9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A86E9F"/>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A86E9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A86E9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A86E9F"/>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D320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A86E9F"/>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86E9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A86E9F"/>
    <w:rPr>
      <w:rFonts w:ascii="Palatino Linotype" w:hAnsi="Palatino Linotype"/>
      <w:noProof/>
      <w:color w:val="000000"/>
      <w:szCs w:val="18"/>
    </w:rPr>
  </w:style>
  <w:style w:type="paragraph" w:customStyle="1" w:styleId="MDPI32textnoindent">
    <w:name w:val="MDPI_3.2_text_no_indent"/>
    <w:basedOn w:val="MDPI31text"/>
    <w:qFormat/>
    <w:rsid w:val="00A86E9F"/>
    <w:pPr>
      <w:ind w:firstLine="0"/>
    </w:pPr>
  </w:style>
  <w:style w:type="paragraph" w:customStyle="1" w:styleId="MDPI31text">
    <w:name w:val="MDPI_3.1_text"/>
    <w:qFormat/>
    <w:rsid w:val="003D1D4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A86E9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A86E9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A86E9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EB33F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EB33F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A86E9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86E9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A86E9F"/>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5E14E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A86E9F"/>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A86E9F"/>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A86E9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A86E9F"/>
    <w:pPr>
      <w:keepNext/>
      <w:keepLines/>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A86E9F"/>
    <w:pPr>
      <w:keepNext/>
      <w:keepLines/>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A86E9F"/>
    <w:pPr>
      <w:keepNext/>
      <w:keepLines/>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E42A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A86E9F"/>
    <w:rPr>
      <w:rFonts w:cs="Tahoma"/>
      <w:szCs w:val="18"/>
    </w:rPr>
  </w:style>
  <w:style w:type="character" w:customStyle="1" w:styleId="BalloonTextChar">
    <w:name w:val="Balloon Text Char"/>
    <w:link w:val="BalloonText"/>
    <w:uiPriority w:val="99"/>
    <w:rsid w:val="00A86E9F"/>
    <w:rPr>
      <w:rFonts w:ascii="Palatino Linotype" w:hAnsi="Palatino Linotype" w:cs="Tahoma"/>
      <w:noProof/>
      <w:color w:val="000000"/>
      <w:szCs w:val="18"/>
    </w:rPr>
  </w:style>
  <w:style w:type="character" w:styleId="LineNumber">
    <w:name w:val="line number"/>
    <w:uiPriority w:val="99"/>
    <w:rsid w:val="00AF0644"/>
    <w:rPr>
      <w:rFonts w:ascii="Palatino Linotype" w:hAnsi="Palatino Linotype"/>
      <w:sz w:val="16"/>
    </w:rPr>
  </w:style>
  <w:style w:type="table" w:customStyle="1" w:styleId="MDPI41threelinetable">
    <w:name w:val="MDPI_4.1_three_line_table"/>
    <w:basedOn w:val="TableNormal"/>
    <w:uiPriority w:val="99"/>
    <w:rsid w:val="00A86E9F"/>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A86E9F"/>
    <w:rPr>
      <w:color w:val="0000FF"/>
      <w:u w:val="single"/>
    </w:rPr>
  </w:style>
  <w:style w:type="character" w:styleId="UnresolvedMention">
    <w:name w:val="Unresolved Mention"/>
    <w:uiPriority w:val="99"/>
    <w:semiHidden/>
    <w:unhideWhenUsed/>
    <w:rsid w:val="004C46B1"/>
    <w:rPr>
      <w:color w:val="605E5C"/>
      <w:shd w:val="clear" w:color="auto" w:fill="E1DFDD"/>
    </w:rPr>
  </w:style>
  <w:style w:type="paragraph" w:styleId="Footer">
    <w:name w:val="footer"/>
    <w:basedOn w:val="Normal"/>
    <w:link w:val="FooterChar"/>
    <w:uiPriority w:val="99"/>
    <w:rsid w:val="00A86E9F"/>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A86E9F"/>
    <w:rPr>
      <w:rFonts w:ascii="Palatino Linotype" w:hAnsi="Palatino Linotype"/>
      <w:noProof/>
      <w:color w:val="000000"/>
      <w:szCs w:val="18"/>
    </w:rPr>
  </w:style>
  <w:style w:type="table" w:styleId="PlainTable4">
    <w:name w:val="Plain Table 4"/>
    <w:basedOn w:val="TableNormal"/>
    <w:uiPriority w:val="44"/>
    <w:rsid w:val="0063207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A86E9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A86E9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A86E9F"/>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A86E9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A86E9F"/>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4102B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A86E9F"/>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A86E9F"/>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762D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A86E9F"/>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A86E9F"/>
  </w:style>
  <w:style w:type="paragraph" w:styleId="Bibliography">
    <w:name w:val="Bibliography"/>
    <w:basedOn w:val="Normal"/>
    <w:next w:val="Normal"/>
    <w:uiPriority w:val="37"/>
    <w:semiHidden/>
    <w:unhideWhenUsed/>
    <w:rsid w:val="00A86E9F"/>
  </w:style>
  <w:style w:type="paragraph" w:styleId="BodyText">
    <w:name w:val="Body Text"/>
    <w:link w:val="BodyTextChar"/>
    <w:rsid w:val="00A86E9F"/>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A86E9F"/>
    <w:rPr>
      <w:rFonts w:ascii="Palatino Linotype" w:hAnsi="Palatino Linotype"/>
      <w:color w:val="000000"/>
      <w:sz w:val="24"/>
      <w:lang w:eastAsia="de-DE"/>
    </w:rPr>
  </w:style>
  <w:style w:type="character" w:styleId="CommentReference">
    <w:name w:val="annotation reference"/>
    <w:rsid w:val="00A86E9F"/>
    <w:rPr>
      <w:sz w:val="21"/>
      <w:szCs w:val="21"/>
    </w:rPr>
  </w:style>
  <w:style w:type="paragraph" w:styleId="CommentText">
    <w:name w:val="annotation text"/>
    <w:basedOn w:val="Normal"/>
    <w:link w:val="CommentTextChar"/>
    <w:rsid w:val="00A86E9F"/>
  </w:style>
  <w:style w:type="character" w:customStyle="1" w:styleId="CommentTextChar">
    <w:name w:val="Comment Text Char"/>
    <w:link w:val="CommentText"/>
    <w:rsid w:val="00A86E9F"/>
    <w:rPr>
      <w:rFonts w:ascii="Palatino Linotype" w:hAnsi="Palatino Linotype"/>
      <w:noProof/>
      <w:color w:val="000000"/>
    </w:rPr>
  </w:style>
  <w:style w:type="paragraph" w:styleId="CommentSubject">
    <w:name w:val="annotation subject"/>
    <w:basedOn w:val="CommentText"/>
    <w:next w:val="CommentText"/>
    <w:link w:val="CommentSubjectChar"/>
    <w:rsid w:val="00A86E9F"/>
    <w:rPr>
      <w:b/>
      <w:bCs/>
    </w:rPr>
  </w:style>
  <w:style w:type="character" w:customStyle="1" w:styleId="CommentSubjectChar">
    <w:name w:val="Comment Subject Char"/>
    <w:link w:val="CommentSubject"/>
    <w:rsid w:val="00A86E9F"/>
    <w:rPr>
      <w:rFonts w:ascii="Palatino Linotype" w:hAnsi="Palatino Linotype"/>
      <w:b/>
      <w:bCs/>
      <w:noProof/>
      <w:color w:val="000000"/>
    </w:rPr>
  </w:style>
  <w:style w:type="character" w:styleId="EndnoteReference">
    <w:name w:val="endnote reference"/>
    <w:rsid w:val="00A86E9F"/>
    <w:rPr>
      <w:vertAlign w:val="superscript"/>
    </w:rPr>
  </w:style>
  <w:style w:type="paragraph" w:styleId="EndnoteText">
    <w:name w:val="endnote text"/>
    <w:basedOn w:val="Normal"/>
    <w:link w:val="EndnoteTextChar"/>
    <w:semiHidden/>
    <w:unhideWhenUsed/>
    <w:rsid w:val="00A86E9F"/>
    <w:pPr>
      <w:spacing w:line="240" w:lineRule="auto"/>
    </w:pPr>
  </w:style>
  <w:style w:type="character" w:customStyle="1" w:styleId="EndnoteTextChar">
    <w:name w:val="Endnote Text Char"/>
    <w:link w:val="EndnoteText"/>
    <w:semiHidden/>
    <w:rsid w:val="00A86E9F"/>
    <w:rPr>
      <w:rFonts w:ascii="Palatino Linotype" w:hAnsi="Palatino Linotype"/>
      <w:noProof/>
      <w:color w:val="000000"/>
    </w:rPr>
  </w:style>
  <w:style w:type="character" w:styleId="FollowedHyperlink">
    <w:name w:val="FollowedHyperlink"/>
    <w:rsid w:val="00A86E9F"/>
    <w:rPr>
      <w:color w:val="954F72"/>
      <w:u w:val="single"/>
    </w:rPr>
  </w:style>
  <w:style w:type="paragraph" w:styleId="FootnoteText">
    <w:name w:val="footnote text"/>
    <w:basedOn w:val="Normal"/>
    <w:link w:val="FootnoteTextChar"/>
    <w:semiHidden/>
    <w:unhideWhenUsed/>
    <w:rsid w:val="00A86E9F"/>
    <w:pPr>
      <w:spacing w:line="240" w:lineRule="auto"/>
    </w:pPr>
  </w:style>
  <w:style w:type="character" w:customStyle="1" w:styleId="FootnoteTextChar">
    <w:name w:val="Footnote Text Char"/>
    <w:link w:val="FootnoteText"/>
    <w:semiHidden/>
    <w:rsid w:val="00A86E9F"/>
    <w:rPr>
      <w:rFonts w:ascii="Palatino Linotype" w:hAnsi="Palatino Linotype"/>
      <w:noProof/>
      <w:color w:val="000000"/>
    </w:rPr>
  </w:style>
  <w:style w:type="paragraph" w:styleId="NormalWeb">
    <w:name w:val="Normal (Web)"/>
    <w:basedOn w:val="Normal"/>
    <w:uiPriority w:val="99"/>
    <w:rsid w:val="00A86E9F"/>
    <w:rPr>
      <w:szCs w:val="24"/>
    </w:rPr>
  </w:style>
  <w:style w:type="paragraph" w:customStyle="1" w:styleId="MsoFootnoteText0">
    <w:name w:val="MsoFootnoteText"/>
    <w:basedOn w:val="NormalWeb"/>
    <w:qFormat/>
    <w:rsid w:val="00A86E9F"/>
    <w:rPr>
      <w:rFonts w:ascii="Times New Roman" w:hAnsi="Times New Roman"/>
    </w:rPr>
  </w:style>
  <w:style w:type="character" w:styleId="PageNumber">
    <w:name w:val="page number"/>
    <w:rsid w:val="00A86E9F"/>
  </w:style>
  <w:style w:type="character" w:styleId="PlaceholderText">
    <w:name w:val="Placeholder Text"/>
    <w:uiPriority w:val="99"/>
    <w:semiHidden/>
    <w:rsid w:val="00A86E9F"/>
    <w:rPr>
      <w:color w:val="808080"/>
    </w:rPr>
  </w:style>
  <w:style w:type="paragraph" w:customStyle="1" w:styleId="MDPI71footnotes">
    <w:name w:val="MDPI_7.1_footnotes"/>
    <w:qFormat/>
    <w:rsid w:val="00D14CE0"/>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C069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61529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 Type="http://schemas.openxmlformats.org/officeDocument/2006/relationships/footer" Target="footer2.xml"/><Relationship Id="rId17"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sustainability-template.dot</Template>
  <TotalTime>0</TotalTime>
  <Pages>2</Pages>
  <Words>2387</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JAMS Production Team</cp:lastModifiedBy>
  <cp:revision>2</cp:revision>
  <dcterms:created xsi:type="dcterms:W3CDTF">2025-08-12T07:53:00Z</dcterms:created>
  <dcterms:modified xsi:type="dcterms:W3CDTF">2025-08-12T07:53:00Z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51cee8ffc7805cfc103bcaa12fcf6366a37463e6398c02bb41b74ddc551b5faa</vt:lpwstr>
  </property>
</Properties>
</file>