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cs="Times New Roman" w:hint="eastAsia"/>
          <w:b/>
          <w:sz w:val="36"/>
        </w:rPr>
        <w:t>五篇论文评审意见与改进建议</w:t>
      </w:r>
    </w:p>
    <w:p>
      <w:pPr>
        <w:spacing w:before="0" w:after="0" w:line="360" w:lineRule="auto"/>
        <w:jc w:val="center"/>
      </w:pPr>
      <w:r>
        <w:rPr>
          <w:rFonts w:ascii="Times New Roman" w:hAnsi="Times New Roman" w:eastAsia="宋体" w:cs="Times New Roman" w:hint="eastAsia"/>
          <w:b w:val="0"/>
          <w:sz w:val="24"/>
        </w:rPr>
        <w:t>受嘉兴市烟草专卖局邀请评审</w:t>
      </w:r>
    </w:p>
    <w:p>
      <w:pPr>
        <w:spacing w:before="0" w:after="160" w:line="360" w:lineRule="auto"/>
        <w:jc w:val="center"/>
      </w:pPr>
      <w:r>
        <w:rPr>
          <w:rFonts w:ascii="Times New Roman" w:hAnsi="Times New Roman" w:eastAsia="宋体" w:cs="Times New Roman" w:hint="eastAsia"/>
          <w:b w:val="0"/>
          <w:sz w:val="24"/>
        </w:rPr>
        <w:t xml:space="preserve"> </w:t>
      </w:r>
    </w:p>
    <w:p>
      <w:pPr>
        <w:keepNext/>
        <w:spacing w:before="240" w:after="120" w:line="360" w:lineRule="auto"/>
        <w:jc w:val="left"/>
      </w:pPr>
      <w:r>
        <w:rPr>
          <w:rFonts w:ascii="Times New Roman" w:hAnsi="Times New Roman" w:eastAsia="黑体" w:cs="Times New Roman" w:hint="eastAsia"/>
          <w:b/>
          <w:sz w:val="30"/>
        </w:rPr>
        <w:t>一、总体评价</w:t>
      </w:r>
    </w:p>
    <w:p>
      <w:pPr>
        <w:spacing w:before="0" w:after="0" w:line="360" w:lineRule="auto"/>
        <w:ind w:firstLine="480"/>
        <w:jc w:val="both"/>
      </w:pPr>
      <w:r>
        <w:rPr>
          <w:rFonts w:ascii="Times New Roman" w:hAnsi="Times New Roman" w:eastAsia="宋体" w:cs="Times New Roman" w:hint="eastAsia"/>
          <w:b w:val="0"/>
          <w:sz w:val="24"/>
        </w:rPr>
        <w:t>五篇论文选题均贴近行业实际，作者对本单位业务的熟悉是最大优势。本次修改的基本原则是保持原稿的写作范式与论证路数，只解决逻辑不通顺与学术性不足的问题，不引入应用型作者难以驾驭的复杂模型与仿真数据。</w:t>
      </w:r>
    </w:p>
    <w:p>
      <w:pPr>
        <w:spacing w:before="0" w:after="0" w:line="360" w:lineRule="auto"/>
        <w:ind w:firstLine="480"/>
        <w:jc w:val="both"/>
      </w:pPr>
      <w:r>
        <w:rPr>
          <w:rFonts w:ascii="Times New Roman" w:hAnsi="Times New Roman" w:eastAsia="宋体" w:cs="Times New Roman" w:hint="eastAsia"/>
          <w:b w:val="0"/>
          <w:sz w:val="24"/>
        </w:rPr>
        <w:t>五篇的共性问题集中在四个方面。一是章节之间的逻辑关系没有交代清楚，现状与问题的边界含糊，问题与成因不一一对应，对策与问题脱节，读者看得懂每一段，却看不出全篇是怎么推进的。二是段落写法偏罗列，一段之内并列多个要点而缺少统领句，核心观点被淹没在细节中。三是学术支撑偏弱，政策依据、法律条文与权威数据引用不足，多数判断以经验表述给出，缺少可核查的出处。四是图表与参考文献不规范，原稿多为图名占位而无实际图形，参考文献格式不统一、部分条目无法核实。</w:t>
      </w:r>
    </w:p>
    <w:p>
      <w:pPr>
        <w:spacing w:before="0" w:after="0" w:line="360" w:lineRule="auto"/>
        <w:ind w:firstLine="480"/>
        <w:jc w:val="both"/>
      </w:pPr>
      <w:r>
        <w:rPr>
          <w:rFonts w:ascii="Times New Roman" w:hAnsi="Times New Roman" w:eastAsia="宋体" w:cs="Times New Roman" w:hint="eastAsia"/>
          <w:b w:val="0"/>
          <w:sz w:val="24"/>
        </w:rPr>
        <w:t>针对上述共性问题，本次修改统一采取了五项处理。第一，在每一章开头增加过渡说明，写明本章解决什么问题、与上一章是什么关系；第二，全文改为主题段落式写作，每段首句为主题句，其余句子作解释与展开；第三，补充可核查的政策文件、法律条文与中央会议精神作为论证依据，正文以角标交叉引用；第四，生成中文标注的框架图、机制图与技术路线图，图名置于图下、表名置于表上、表格统一为三线表；第五，按GB/T 7714格式重排参考文献，保留可核实的条目，对无法核实的条目替换为法律法规、政策文件与公开可查的文献。</w:t>
      </w:r>
    </w:p>
    <w:p>
      <w:pPr>
        <w:keepNext/>
        <w:spacing w:before="240" w:after="120" w:line="360" w:lineRule="auto"/>
        <w:jc w:val="left"/>
      </w:pPr>
      <w:r>
        <w:rPr>
          <w:rFonts w:ascii="Times New Roman" w:hAnsi="Times New Roman" w:eastAsia="黑体" w:cs="Times New Roman" w:hint="eastAsia"/>
          <w:b/>
          <w:sz w:val="30"/>
        </w:rPr>
        <w:t>二、论文一《基于Qwen Omni多模态模型的专卖执法视频智能分析与应用研究》</w:t>
      </w:r>
    </w:p>
    <w:p>
      <w:pPr>
        <w:keepNext/>
        <w:spacing w:before="160" w:after="80" w:line="360" w:lineRule="auto"/>
        <w:jc w:val="left"/>
      </w:pPr>
      <w:r>
        <w:rPr>
          <w:rFonts w:ascii="Times New Roman" w:hAnsi="Times New Roman" w:eastAsia="黑体" w:cs="Times New Roman" w:hint="eastAsia"/>
          <w:b w:val="0"/>
          <w:sz w:val="28"/>
        </w:rPr>
        <w:t>核心问题与改进办法</w:t>
      </w:r>
    </w:p>
    <w:p>
      <w:pPr>
        <w:spacing w:before="0" w:after="0" w:line="360" w:lineRule="auto"/>
        <w:ind w:firstLine="480"/>
        <w:jc w:val="both"/>
      </w:pPr>
      <w:r>
        <w:rPr>
          <w:rFonts w:ascii="Times New Roman" w:hAnsi="Times New Roman" w:eastAsia="宋体" w:cs="Times New Roman" w:hint="eastAsia"/>
          <w:b/>
          <w:sz w:val="24"/>
        </w:rPr>
        <w:t>一是章节编号断裂。</w:t>
      </w:r>
      <w:r>
        <w:rPr>
          <w:rFonts w:ascii="Times New Roman" w:hAnsi="Times New Roman" w:eastAsia="宋体" w:cs="Times New Roman" w:hint="eastAsia"/>
          <w:b w:val="0"/>
          <w:sz w:val="24"/>
        </w:rPr>
        <w:t xml:space="preserve"> 原稿正文第3章之后直接跳至第6章，第4、5章缺失，属于编辑部初审即会退稿的硬伤。改进稿按研究背景、系统设计、关键技术、效果验证、应用场景、需要关注的问题、结论的次序重排为七章，编号连续、层级清晰。</w:t>
      </w:r>
    </w:p>
    <w:p>
      <w:pPr>
        <w:spacing w:before="0" w:after="0" w:line="360" w:lineRule="auto"/>
        <w:ind w:firstLine="480"/>
        <w:jc w:val="both"/>
      </w:pPr>
      <w:r>
        <w:rPr>
          <w:rFonts w:ascii="Times New Roman" w:hAnsi="Times New Roman" w:eastAsia="宋体" w:cs="Times New Roman" w:hint="eastAsia"/>
          <w:b/>
          <w:sz w:val="24"/>
        </w:rPr>
        <w:t>二是表格数据与正文表述互相矛盾。</w:t>
      </w:r>
      <w:r>
        <w:rPr>
          <w:rFonts w:ascii="Times New Roman" w:hAnsi="Times New Roman" w:eastAsia="宋体" w:cs="Times New Roman" w:hint="eastAsia"/>
          <w:b w:val="0"/>
          <w:sz w:val="24"/>
        </w:rPr>
        <w:t xml:space="preserve"> 原稿正文称各类违规行为识别效果接近，而表中五类行为的准确率相差7个百分点以上，且未解释差异从何而来。改进稿按主要判别模态重新归类五类违规行为，并说明准确率梯度与判断链条长度相关：单一模态可直接判定的准确率高，需要跨模态、跨时段综合推断的准确率低，使表与文形成解释关系。</w:t>
      </w:r>
    </w:p>
    <w:p>
      <w:pPr>
        <w:spacing w:before="0" w:after="0" w:line="360" w:lineRule="auto"/>
        <w:ind w:firstLine="480"/>
        <w:jc w:val="both"/>
      </w:pPr>
      <w:r>
        <w:rPr>
          <w:rFonts w:ascii="Times New Roman" w:hAnsi="Times New Roman" w:eastAsia="宋体" w:cs="Times New Roman" w:hint="eastAsia"/>
          <w:b/>
          <w:sz w:val="24"/>
        </w:rPr>
        <w:t>三是效率数据口径不一。</w:t>
      </w:r>
      <w:r>
        <w:rPr>
          <w:rFonts w:ascii="Times New Roman" w:hAnsi="Times New Roman" w:eastAsia="宋体" w:cs="Times New Roman" w:hint="eastAsia"/>
          <w:b w:val="0"/>
          <w:sz w:val="24"/>
        </w:rPr>
        <w:t xml:space="preserve"> 原稿在不同段落给出的效率提升倍数互不一致。改进稿将机器处理吞吐量与人均日均审核量两个口径分开表述，并统一以人均日均审核量约提升5倍作为对外结论，避免口径混用。</w:t>
      </w:r>
    </w:p>
    <w:p>
      <w:pPr>
        <w:spacing w:before="0" w:after="0" w:line="360" w:lineRule="auto"/>
        <w:ind w:firstLine="480"/>
        <w:jc w:val="both"/>
      </w:pPr>
      <w:r>
        <w:rPr>
          <w:rFonts w:ascii="Times New Roman" w:hAnsi="Times New Roman" w:eastAsia="宋体" w:cs="Times New Roman" w:hint="eastAsia"/>
          <w:b/>
          <w:sz w:val="24"/>
        </w:rPr>
        <w:t>四是回避了决定系统能否落地的合规约束。</w:t>
      </w:r>
      <w:r>
        <w:rPr>
          <w:rFonts w:ascii="Times New Roman" w:hAnsi="Times New Roman" w:eastAsia="宋体" w:cs="Times New Roman" w:hint="eastAsia"/>
          <w:b w:val="0"/>
          <w:sz w:val="24"/>
        </w:rPr>
        <w:t xml:space="preserve"> 执法记录仪视频含人脸、声纹等敏感个人信息，原稿未讨论数据存储、去标识化与算法结论的效力边界。改进稿增设一章，明确三点：视频数据的处理须符合个人信息保护要求；算法判定结论只能作为人工复核的线索，不能直接作为处罚或考核依据；考核应避免重痕迹、轻实效，防止一线为迎合系统而改变执法行为。</w:t>
      </w:r>
    </w:p>
    <w:p>
      <w:pPr>
        <w:keepNext/>
        <w:spacing w:before="240" w:after="120" w:line="360" w:lineRule="auto"/>
        <w:jc w:val="left"/>
      </w:pPr>
      <w:r>
        <w:rPr>
          <w:rFonts w:ascii="Times New Roman" w:hAnsi="Times New Roman" w:eastAsia="黑体" w:cs="Times New Roman" w:hint="eastAsia"/>
          <w:b/>
          <w:sz w:val="30"/>
        </w:rPr>
        <w:t>三、论文二《穿透式监管视角下烟草行业大监督体系优化研究》</w:t>
      </w:r>
    </w:p>
    <w:p>
      <w:pPr>
        <w:keepNext/>
        <w:spacing w:before="160" w:after="80" w:line="360" w:lineRule="auto"/>
        <w:jc w:val="left"/>
      </w:pPr>
      <w:r>
        <w:rPr>
          <w:rFonts w:ascii="Times New Roman" w:hAnsi="Times New Roman" w:eastAsia="黑体" w:cs="Times New Roman" w:hint="eastAsia"/>
          <w:b w:val="0"/>
          <w:sz w:val="28"/>
        </w:rPr>
        <w:t>核心问题与改进办法</w:t>
      </w:r>
    </w:p>
    <w:p>
      <w:pPr>
        <w:spacing w:before="0" w:after="0" w:line="360" w:lineRule="auto"/>
        <w:ind w:firstLine="480"/>
        <w:jc w:val="both"/>
      </w:pPr>
      <w:r>
        <w:rPr>
          <w:rFonts w:ascii="Times New Roman" w:hAnsi="Times New Roman" w:eastAsia="宋体" w:cs="Times New Roman" w:hint="eastAsia"/>
          <w:b/>
          <w:sz w:val="24"/>
        </w:rPr>
        <w:t>一是全文的数目表述前后不一。</w:t>
      </w:r>
      <w:r>
        <w:rPr>
          <w:rFonts w:ascii="Times New Roman" w:hAnsi="Times New Roman" w:eastAsia="宋体" w:cs="Times New Roman" w:hint="eastAsia"/>
          <w:b w:val="0"/>
          <w:sz w:val="24"/>
        </w:rPr>
        <w:t xml:space="preserve"> 摘要与第5章称四维一体，而第5章实际写了五节；第5章开头称针对六大突出问题，第3章却只列了五个问题。改进稿统一为制度、数据、流程、责任四维穿透，以队伍建设作为能力保障，并把问题数目统一为五个，使摘要、问题、路径三处口径一致。</w:t>
      </w:r>
    </w:p>
    <w:p>
      <w:pPr>
        <w:spacing w:before="0" w:after="0" w:line="360" w:lineRule="auto"/>
        <w:ind w:firstLine="480"/>
        <w:jc w:val="both"/>
      </w:pPr>
      <w:r>
        <w:rPr>
          <w:rFonts w:ascii="Times New Roman" w:hAnsi="Times New Roman" w:eastAsia="宋体" w:cs="Times New Roman" w:hint="eastAsia"/>
          <w:b/>
          <w:sz w:val="24"/>
        </w:rPr>
        <w:t>二是成效与问题的边界不清。</w:t>
      </w:r>
      <w:r>
        <w:rPr>
          <w:rFonts w:ascii="Times New Roman" w:hAnsi="Times New Roman" w:eastAsia="宋体" w:cs="Times New Roman" w:hint="eastAsia"/>
          <w:b w:val="0"/>
          <w:sz w:val="24"/>
        </w:rPr>
        <w:t xml:space="preserve"> 第2章说制度体系已经完善，第4章又说顶层设计粗放，两处表述看似矛盾。改进稿在第2章开头点明：成效解决的是体系有没有的问题，第3章讨论的是体系灵不灵的问题，二者是递进关系而非矛盾。</w:t>
      </w:r>
    </w:p>
    <w:p>
      <w:pPr>
        <w:spacing w:before="0" w:after="0" w:line="360" w:lineRule="auto"/>
        <w:ind w:firstLine="480"/>
        <w:jc w:val="both"/>
      </w:pPr>
      <w:r>
        <w:rPr>
          <w:rFonts w:ascii="Times New Roman" w:hAnsi="Times New Roman" w:eastAsia="宋体" w:cs="Times New Roman" w:hint="eastAsia"/>
          <w:b/>
          <w:sz w:val="24"/>
        </w:rPr>
        <w:t>三是问题、成因与路径缺少对应。</w:t>
      </w:r>
      <w:r>
        <w:rPr>
          <w:rFonts w:ascii="Times New Roman" w:hAnsi="Times New Roman" w:eastAsia="宋体" w:cs="Times New Roman" w:hint="eastAsia"/>
          <w:b w:val="0"/>
          <w:sz w:val="24"/>
        </w:rPr>
        <w:t xml:space="preserve"> 原稿第3、4、5章各自成篇，读者需自行拼接。改进稿增加突出问题与深层成因对应关系一表，并在第5章开头写明四个维度分别破解哪一类壁垒，形成闭合的论证链条。</w:t>
      </w:r>
    </w:p>
    <w:p>
      <w:pPr>
        <w:spacing w:before="0" w:after="0" w:line="360" w:lineRule="auto"/>
        <w:ind w:firstLine="480"/>
        <w:jc w:val="both"/>
      </w:pPr>
      <w:r>
        <w:rPr>
          <w:rFonts w:ascii="Times New Roman" w:hAnsi="Times New Roman" w:eastAsia="宋体" w:cs="Times New Roman" w:hint="eastAsia"/>
          <w:b/>
          <w:sz w:val="24"/>
        </w:rPr>
        <w:t>四是实践案例位置不当。</w:t>
      </w:r>
      <w:r>
        <w:rPr>
          <w:rFonts w:ascii="Times New Roman" w:hAnsi="Times New Roman" w:eastAsia="宋体" w:cs="Times New Roman" w:hint="eastAsia"/>
          <w:b w:val="0"/>
          <w:sz w:val="24"/>
        </w:rPr>
        <w:t xml:space="preserve"> 原稿把外地烟草单位的成功做法写在问题一节，读者容易误以为这些做法本身是问题。改进稿将其移至路径部分作为可复制经验。</w:t>
      </w:r>
    </w:p>
    <w:p>
      <w:pPr>
        <w:spacing w:before="0" w:after="0" w:line="360" w:lineRule="auto"/>
        <w:ind w:firstLine="480"/>
        <w:jc w:val="both"/>
      </w:pPr>
      <w:r>
        <w:rPr>
          <w:rFonts w:ascii="Times New Roman" w:hAnsi="Times New Roman" w:eastAsia="宋体" w:cs="Times New Roman" w:hint="eastAsia"/>
          <w:b/>
          <w:sz w:val="24"/>
        </w:rPr>
        <w:t>五是政策依据与参考文献需要落实。</w:t>
      </w:r>
      <w:r>
        <w:rPr>
          <w:rFonts w:ascii="Times New Roman" w:hAnsi="Times New Roman" w:eastAsia="宋体" w:cs="Times New Roman" w:hint="eastAsia"/>
          <w:b w:val="0"/>
          <w:sz w:val="24"/>
        </w:rPr>
        <w:t xml:space="preserve"> 改进稿补充了习近平总书记在二十届中央纪委五次全会上关于不断提高反腐败穿透力的重要论述、全会公报、《国有企业管理人员处分条例》、《数字中国建设整体布局规划》等可核查的依据；原稿十五条参考文献均无法在公开学术检索中核实，改进稿替换为法律法规、政策文件与已发表的法学期刊论文共八条。</w:t>
      </w:r>
    </w:p>
    <w:p>
      <w:pPr>
        <w:keepNext/>
        <w:spacing w:before="240" w:after="120" w:line="360" w:lineRule="auto"/>
        <w:jc w:val="left"/>
      </w:pPr>
      <w:r>
        <w:rPr>
          <w:rFonts w:ascii="Times New Roman" w:hAnsi="Times New Roman" w:eastAsia="黑体" w:cs="Times New Roman" w:hint="eastAsia"/>
          <w:b/>
          <w:sz w:val="30"/>
        </w:rPr>
        <w:t>四、论文三《精细化管理视角下相关方安全监管策略优化研究》</w:t>
      </w:r>
    </w:p>
    <w:p>
      <w:pPr>
        <w:keepNext/>
        <w:spacing w:before="160" w:after="80" w:line="360" w:lineRule="auto"/>
        <w:jc w:val="left"/>
      </w:pPr>
      <w:r>
        <w:rPr>
          <w:rFonts w:ascii="Times New Roman" w:hAnsi="Times New Roman" w:eastAsia="黑体" w:cs="Times New Roman" w:hint="eastAsia"/>
          <w:b w:val="0"/>
          <w:sz w:val="28"/>
        </w:rPr>
        <w:t>核心问题与改进办法</w:t>
      </w:r>
    </w:p>
    <w:p>
      <w:pPr>
        <w:spacing w:before="0" w:after="0" w:line="360" w:lineRule="auto"/>
        <w:ind w:firstLine="480"/>
        <w:jc w:val="both"/>
      </w:pPr>
      <w:r>
        <w:rPr>
          <w:rFonts w:ascii="Times New Roman" w:hAnsi="Times New Roman" w:eastAsia="宋体" w:cs="Times New Roman" w:hint="eastAsia"/>
          <w:b/>
          <w:sz w:val="24"/>
        </w:rPr>
        <w:t>一是第4章与第5章大幅重复。</w:t>
      </w:r>
      <w:r>
        <w:rPr>
          <w:rFonts w:ascii="Times New Roman" w:hAnsi="Times New Roman" w:eastAsia="宋体" w:cs="Times New Roman" w:hint="eastAsia"/>
          <w:b w:val="0"/>
          <w:sz w:val="24"/>
        </w:rPr>
        <w:t xml:space="preserve"> 原稿第4章讲优化策略，第5章讲实施路径，但统一标准与职责、前移监管关口、聚焦重点领域三节与第4章的分类分级、全过程闭环内容高度重叠，读来像是同一件事说了两遍。改进稿明确分工：第4章解决做什么，第5章解决谁来做、按什么次序做、如何持续改进，并在第5章开头声明不再重复策略内容。</w:t>
      </w:r>
    </w:p>
    <w:p>
      <w:pPr>
        <w:spacing w:before="0" w:after="0" w:line="360" w:lineRule="auto"/>
        <w:ind w:firstLine="480"/>
        <w:jc w:val="both"/>
      </w:pPr>
      <w:r>
        <w:rPr>
          <w:rFonts w:ascii="Times New Roman" w:hAnsi="Times New Roman" w:eastAsia="宋体" w:cs="Times New Roman" w:hint="eastAsia"/>
          <w:b/>
          <w:sz w:val="24"/>
        </w:rPr>
        <w:t>二是缺少法律依据。</w:t>
      </w:r>
      <w:r>
        <w:rPr>
          <w:rFonts w:ascii="Times New Roman" w:hAnsi="Times New Roman" w:eastAsia="宋体" w:cs="Times New Roman" w:hint="eastAsia"/>
          <w:b w:val="0"/>
          <w:sz w:val="24"/>
        </w:rPr>
        <w:t xml:space="preserve"> 相关方安全监管的核心争点是责任界面，而原稿通篇未引用法律条文。改进稿在引言中引述《中华人民共和国安全生产法》第四十九条关于签订专门安全生产管理协议、对承包单位统一协调管理、定期安全检查的规定，并据此说明企业的统一协调管理责任不能通过合同转移，为全文立论提供法定支点。</w:t>
      </w:r>
    </w:p>
    <w:p>
      <w:pPr>
        <w:spacing w:before="0" w:after="0" w:line="360" w:lineRule="auto"/>
        <w:ind w:firstLine="480"/>
        <w:jc w:val="both"/>
      </w:pPr>
      <w:r>
        <w:rPr>
          <w:rFonts w:ascii="Times New Roman" w:hAnsi="Times New Roman" w:eastAsia="宋体" w:cs="Times New Roman" w:hint="eastAsia"/>
          <w:b/>
          <w:sz w:val="24"/>
        </w:rPr>
        <w:t>三是图名过多而无实际内容。</w:t>
      </w:r>
      <w:r>
        <w:rPr>
          <w:rFonts w:ascii="Times New Roman" w:hAnsi="Times New Roman" w:eastAsia="宋体" w:cs="Times New Roman" w:hint="eastAsia"/>
          <w:b w:val="0"/>
          <w:sz w:val="24"/>
        </w:rPr>
        <w:t xml:space="preserve"> 原稿列出图1至图10共十个图名，均无图形，且多数只是章节标题的重复。改进稿保留六张真正承载信息的图：总体框架、精细化管理要义与监管机制的对应、作业失控的致因与屏障传导、分级管控矩阵、全过程闭环、数字化平台架构。</w:t>
      </w:r>
    </w:p>
    <w:p>
      <w:pPr>
        <w:spacing w:before="0" w:after="0" w:line="360" w:lineRule="auto"/>
        <w:ind w:firstLine="480"/>
        <w:jc w:val="both"/>
      </w:pPr>
      <w:r>
        <w:rPr>
          <w:rFonts w:ascii="Times New Roman" w:hAnsi="Times New Roman" w:eastAsia="宋体" w:cs="Times New Roman" w:hint="eastAsia"/>
          <w:b/>
          <w:sz w:val="24"/>
        </w:rPr>
        <w:t>四是问题描述偏笼统。</w:t>
      </w:r>
      <w:r>
        <w:rPr>
          <w:rFonts w:ascii="Times New Roman" w:hAnsi="Times New Roman" w:eastAsia="宋体" w:cs="Times New Roman" w:hint="eastAsia"/>
          <w:b w:val="0"/>
          <w:sz w:val="24"/>
        </w:rPr>
        <w:t xml:space="preserve"> 原稿指出分类管理不足，但未说明不同类型相关方的风险差异究竟在哪里。改进稿用一张表列出五类相关方的典型作业内容、主要风险特征与监管重点，另用一张表列出安全绩效评价要素与结果应用，使分类分级与评价激励从口号变为可直接照做的清单。</w:t>
      </w:r>
    </w:p>
    <w:p>
      <w:pPr>
        <w:keepNext/>
        <w:spacing w:before="240" w:after="120" w:line="360" w:lineRule="auto"/>
        <w:jc w:val="left"/>
      </w:pPr>
      <w:r>
        <w:rPr>
          <w:rFonts w:ascii="Times New Roman" w:hAnsi="Times New Roman" w:eastAsia="黑体" w:cs="Times New Roman" w:hint="eastAsia"/>
          <w:b/>
          <w:sz w:val="30"/>
        </w:rPr>
        <w:t>五、论文四《控烟背景下文明吸烟环境协同治理路径研究》</w:t>
      </w:r>
    </w:p>
    <w:p>
      <w:pPr>
        <w:keepNext/>
        <w:spacing w:before="160" w:after="80" w:line="360" w:lineRule="auto"/>
        <w:jc w:val="left"/>
      </w:pPr>
      <w:r>
        <w:rPr>
          <w:rFonts w:ascii="Times New Roman" w:hAnsi="Times New Roman" w:eastAsia="黑体" w:cs="Times New Roman" w:hint="eastAsia"/>
          <w:b w:val="0"/>
          <w:sz w:val="28"/>
        </w:rPr>
        <w:t>核心问题与改进办法</w:t>
      </w:r>
    </w:p>
    <w:p>
      <w:pPr>
        <w:spacing w:before="0" w:after="0" w:line="360" w:lineRule="auto"/>
        <w:ind w:firstLine="480"/>
        <w:jc w:val="both"/>
      </w:pPr>
      <w:r>
        <w:rPr>
          <w:rFonts w:ascii="Times New Roman" w:hAnsi="Times New Roman" w:eastAsia="宋体" w:cs="Times New Roman" w:hint="eastAsia"/>
          <w:b/>
          <w:sz w:val="24"/>
        </w:rPr>
        <w:t>一是最关键的立场没有前置说明。</w:t>
      </w:r>
      <w:r>
        <w:rPr>
          <w:rFonts w:ascii="Times New Roman" w:hAnsi="Times New Roman" w:eastAsia="宋体" w:cs="Times New Roman" w:hint="eastAsia"/>
          <w:b w:val="0"/>
          <w:sz w:val="24"/>
        </w:rPr>
        <w:t xml:space="preserve"> 文明吸烟环境建设与控烟政策之间存在张力，原稿虽多处提示烟草企业参与应有分寸，但表述分散在三个章节，容易被误读为为吸烟行为提供便利。改进稿在第1.2节先立政策前提：建设的目的是减少非吸烟人群的被动暴露与公共环境成本，凡可能削弱无烟环境要求的做法都不属于该范畴，并引用《</w:t>
      </w:r>
      <w:r>
        <w:rPr>
          <w:rFonts w:ascii="宋体" w:hAnsi="宋体" w:eastAsia="宋体" w:cs="宋体" w:hint="eastAsia"/>
          <w:b w:val="0"/>
          <w:sz w:val="24"/>
        </w:rPr>
        <w:t>“</w:t>
      </w:r>
      <w:r>
        <w:rPr>
          <w:rFonts w:ascii="Times New Roman" w:hAnsi="Times New Roman" w:eastAsia="宋体" w:cs="Times New Roman" w:hint="eastAsia"/>
          <w:b w:val="0"/>
          <w:sz w:val="24"/>
        </w:rPr>
        <w:t>健康中国2030</w:t>
      </w:r>
      <w:r>
        <w:rPr>
          <w:rFonts w:ascii="宋体" w:hAnsi="宋体" w:eastAsia="宋体" w:cs="宋体" w:hint="eastAsia"/>
          <w:b w:val="0"/>
          <w:sz w:val="24"/>
        </w:rPr>
        <w:t>”</w:t>
      </w:r>
      <w:r>
        <w:rPr>
          <w:rFonts w:ascii="Times New Roman" w:hAnsi="Times New Roman" w:eastAsia="宋体" w:cs="Times New Roman" w:hint="eastAsia"/>
          <w:b w:val="0"/>
          <w:sz w:val="24"/>
        </w:rPr>
        <w:t>规划纲要》与《健康中国行动（2019—2030年）》的量化控烟目标作为依据。</w:t>
      </w:r>
    </w:p>
    <w:p>
      <w:pPr>
        <w:spacing w:before="0" w:after="0" w:line="360" w:lineRule="auto"/>
        <w:ind w:firstLine="480"/>
        <w:jc w:val="both"/>
      </w:pPr>
      <w:r>
        <w:rPr>
          <w:rFonts w:ascii="Times New Roman" w:hAnsi="Times New Roman" w:eastAsia="宋体" w:cs="Times New Roman" w:hint="eastAsia"/>
          <w:b/>
          <w:sz w:val="24"/>
        </w:rPr>
        <w:t>二是协同治理视角未被界定。</w:t>
      </w:r>
      <w:r>
        <w:rPr>
          <w:rFonts w:ascii="Times New Roman" w:hAnsi="Times New Roman" w:eastAsia="宋体" w:cs="Times New Roman" w:hint="eastAsia"/>
          <w:b w:val="0"/>
          <w:sz w:val="24"/>
        </w:rPr>
        <w:t xml:space="preserve"> 题目用了协同治理，正文却直到第3.4节才展开。改进稿增设第1.3节，说明为什么该议题适合协同治理视角、各主体掌握何种资源，并把烟草商业企业的参与边界一次性讲清：限于宣传引导、保洁支持与环境改善，不冠名、不作品牌展示、不参与吸烟区域选址决策。</w:t>
      </w:r>
    </w:p>
    <w:p>
      <w:pPr>
        <w:spacing w:before="0" w:after="0" w:line="360" w:lineRule="auto"/>
        <w:ind w:firstLine="480"/>
        <w:jc w:val="both"/>
      </w:pPr>
      <w:r>
        <w:rPr>
          <w:rFonts w:ascii="Times New Roman" w:hAnsi="Times New Roman" w:eastAsia="宋体" w:cs="Times New Roman" w:hint="eastAsia"/>
          <w:b/>
          <w:sz w:val="24"/>
        </w:rPr>
        <w:t>三是问题与路径缺少对应关系。</w:t>
      </w:r>
      <w:r>
        <w:rPr>
          <w:rFonts w:ascii="Times New Roman" w:hAnsi="Times New Roman" w:eastAsia="宋体" w:cs="Times New Roman" w:hint="eastAsia"/>
          <w:b w:val="0"/>
          <w:sz w:val="24"/>
        </w:rPr>
        <w:t xml:space="preserve"> 第2章列四类问题，第3章给四条路径，但未点明对应。改进稿增加一张对照表，把每类问题的实质与对应路径写清楚；另增一张多主体职责分工表，明确各方职责与参与边界。</w:t>
      </w:r>
    </w:p>
    <w:p>
      <w:pPr>
        <w:spacing w:before="0" w:after="0" w:line="360" w:lineRule="auto"/>
        <w:ind w:firstLine="480"/>
        <w:jc w:val="both"/>
      </w:pPr>
      <w:r>
        <w:rPr>
          <w:rFonts w:ascii="Times New Roman" w:hAnsi="Times New Roman" w:eastAsia="宋体" w:cs="Times New Roman" w:hint="eastAsia"/>
          <w:b/>
          <w:sz w:val="24"/>
        </w:rPr>
        <w:t>四是结论缺少可验证的落点。</w:t>
      </w:r>
      <w:r>
        <w:rPr>
          <w:rFonts w:ascii="Times New Roman" w:hAnsi="Times New Roman" w:eastAsia="宋体" w:cs="Times New Roman" w:hint="eastAsia"/>
          <w:b w:val="0"/>
          <w:sz w:val="24"/>
        </w:rPr>
        <w:t xml:space="preserve"> 改进稿在结论中提出以指定区域使用率、烟蒂散落密度与公众满意度等可观测指标评估治理成效，使建议具备后续检验的可能。</w:t>
      </w:r>
    </w:p>
    <w:p>
      <w:pPr>
        <w:keepNext/>
        <w:spacing w:before="240" w:after="120" w:line="360" w:lineRule="auto"/>
        <w:jc w:val="left"/>
      </w:pPr>
      <w:r>
        <w:rPr>
          <w:rFonts w:ascii="Times New Roman" w:hAnsi="Times New Roman" w:eastAsia="黑体" w:cs="Times New Roman" w:hint="eastAsia"/>
          <w:b/>
          <w:sz w:val="30"/>
        </w:rPr>
        <w:t>六、论文五《基于机器学习的新型烟草制品高价值专利识别研究》</w:t>
      </w:r>
    </w:p>
    <w:p>
      <w:pPr>
        <w:keepNext/>
        <w:spacing w:before="160" w:after="80" w:line="360" w:lineRule="auto"/>
        <w:jc w:val="left"/>
      </w:pPr>
      <w:r>
        <w:rPr>
          <w:rFonts w:ascii="Times New Roman" w:hAnsi="Times New Roman" w:eastAsia="黑体" w:cs="Times New Roman" w:hint="eastAsia"/>
          <w:b w:val="0"/>
          <w:sz w:val="28"/>
        </w:rPr>
        <w:t>核心问题与改进办法</w:t>
      </w:r>
    </w:p>
    <w:p>
      <w:pPr>
        <w:spacing w:before="0" w:after="0" w:line="360" w:lineRule="auto"/>
        <w:ind w:firstLine="480"/>
        <w:jc w:val="both"/>
      </w:pPr>
      <w:r>
        <w:rPr>
          <w:rFonts w:ascii="Times New Roman" w:hAnsi="Times New Roman" w:eastAsia="宋体" w:cs="Times New Roman" w:hint="eastAsia"/>
          <w:b/>
          <w:sz w:val="24"/>
        </w:rPr>
        <w:t>一是应用出口与行业职能不匹配。</w:t>
      </w:r>
      <w:r>
        <w:rPr>
          <w:rFonts w:ascii="Times New Roman" w:hAnsi="Times New Roman" w:eastAsia="宋体" w:cs="Times New Roman" w:hint="eastAsia"/>
          <w:b w:val="0"/>
          <w:sz w:val="24"/>
        </w:rPr>
        <w:t xml:space="preserve"> 原稿把识别结果指向研发立项建议，但新型烟草制品在国内实行专卖管制，基层单位并不承担研发决策职能。改进稿将应用出口调整为技术壁垒预警、侵权风险排查与非法制品特征溯源三条通路，使研究成果能够进入专卖管理的日常工作流程。</w:t>
      </w:r>
    </w:p>
    <w:p>
      <w:pPr>
        <w:spacing w:before="0" w:after="0" w:line="360" w:lineRule="auto"/>
        <w:ind w:firstLine="480"/>
        <w:jc w:val="both"/>
      </w:pPr>
      <w:r>
        <w:rPr>
          <w:rFonts w:ascii="Times New Roman" w:hAnsi="Times New Roman" w:eastAsia="宋体" w:cs="Times New Roman" w:hint="eastAsia"/>
          <w:b/>
          <w:sz w:val="24"/>
        </w:rPr>
        <w:t>二是方法叙述与结果解读之间缺少必要的说明。</w:t>
      </w:r>
      <w:r>
        <w:rPr>
          <w:rFonts w:ascii="Times New Roman" w:hAnsi="Times New Roman" w:eastAsia="宋体" w:cs="Times New Roman" w:hint="eastAsia"/>
          <w:b w:val="0"/>
          <w:sz w:val="24"/>
        </w:rPr>
        <w:t xml:space="preserve"> 价值标签由四项指标合成，而模型特征集也包含这四项指标，因此高准确率在相当程度上反映的是模型对合成规则的拟合。改进稿在第5.3节以文字方式说明这一点，并提示三条使用注意：应以专利许可转让、无效宣告、诉讼数据等外部效标加以验证；在高价值样本仅占5.87%的条件下应补充报告查准率与查全率；引用与同族指标随专利年龄累积，需做年龄标准化以免低估近年专利。这些说明不改变原有结论，但明确了结论的适用边界。</w:t>
      </w:r>
    </w:p>
    <w:p>
      <w:pPr>
        <w:spacing w:before="0" w:after="0" w:line="360" w:lineRule="auto"/>
        <w:ind w:firstLine="480"/>
        <w:jc w:val="both"/>
      </w:pPr>
      <w:r>
        <w:rPr>
          <w:rFonts w:ascii="Times New Roman" w:hAnsi="Times New Roman" w:eastAsia="宋体" w:cs="Times New Roman" w:hint="eastAsia"/>
          <w:b/>
          <w:sz w:val="24"/>
        </w:rPr>
        <w:t>三是方法细节表述过于简略。</w:t>
      </w:r>
      <w:r>
        <w:rPr>
          <w:rFonts w:ascii="Times New Roman" w:hAnsi="Times New Roman" w:eastAsia="宋体" w:cs="Times New Roman" w:hint="eastAsia"/>
          <w:b w:val="0"/>
          <w:sz w:val="24"/>
        </w:rPr>
        <w:t xml:space="preserve"> 改进稿以文字讲清熵权法的赋权逻辑，即指标在样本间差异越大、携带的区分信息越多、所获权重越高，并补充密度聚类剪枝随机森林的结构图与技术路线图，便于非专业读者理解。</w:t>
      </w:r>
    </w:p>
    <w:p>
      <w:pPr>
        <w:spacing w:before="0" w:after="0" w:line="360" w:lineRule="auto"/>
        <w:ind w:firstLine="480"/>
        <w:jc w:val="both"/>
      </w:pPr>
      <w:r>
        <w:rPr>
          <w:rFonts w:ascii="Times New Roman" w:hAnsi="Times New Roman" w:eastAsia="宋体" w:cs="Times New Roman" w:hint="eastAsia"/>
          <w:b/>
          <w:sz w:val="24"/>
        </w:rPr>
        <w:t>四是参考文献真实性存疑。</w:t>
      </w:r>
      <w:r>
        <w:rPr>
          <w:rFonts w:ascii="Times New Roman" w:hAnsi="Times New Roman" w:eastAsia="宋体" w:cs="Times New Roman" w:hint="eastAsia"/>
          <w:b w:val="0"/>
          <w:sz w:val="24"/>
        </w:rPr>
        <w:t xml:space="preserve"> 改进稿保留可核实的方法学经典文献，包括随机森林算法、密度聚类算法与专利质量多指标框架，并补充《知识产权强国建设纲要（2021—2035年）》《电子烟管理办法》《</w:t>
      </w:r>
      <w:r>
        <w:rPr>
          <w:rFonts w:ascii="宋体" w:hAnsi="宋体" w:eastAsia="宋体" w:cs="宋体" w:hint="eastAsia"/>
          <w:b w:val="0"/>
          <w:sz w:val="24"/>
        </w:rPr>
        <w:t>“</w:t>
      </w:r>
      <w:r>
        <w:rPr>
          <w:rFonts w:ascii="Times New Roman" w:hAnsi="Times New Roman" w:eastAsia="宋体" w:cs="Times New Roman" w:hint="eastAsia"/>
          <w:b w:val="0"/>
          <w:sz w:val="24"/>
        </w:rPr>
        <w:t>十四五</w:t>
      </w:r>
      <w:r>
        <w:rPr>
          <w:rFonts w:ascii="宋体" w:hAnsi="宋体" w:eastAsia="宋体" w:cs="宋体" w:hint="eastAsia"/>
          <w:b w:val="0"/>
          <w:sz w:val="24"/>
        </w:rPr>
        <w:t>”</w:t>
      </w:r>
      <w:r>
        <w:rPr>
          <w:rFonts w:ascii="Times New Roman" w:hAnsi="Times New Roman" w:eastAsia="宋体" w:cs="Times New Roman" w:hint="eastAsia"/>
          <w:b w:val="0"/>
          <w:sz w:val="24"/>
        </w:rPr>
        <w:t>国家知识产权保护和运用规划》等政策依据。</w:t>
      </w:r>
    </w:p>
    <w:p>
      <w:pPr>
        <w:keepNext/>
        <w:spacing w:before="240" w:after="120" w:line="360" w:lineRule="auto"/>
        <w:jc w:val="left"/>
      </w:pPr>
      <w:r>
        <w:rPr>
          <w:rFonts w:ascii="Times New Roman" w:hAnsi="Times New Roman" w:eastAsia="黑体" w:cs="Times New Roman" w:hint="eastAsia"/>
          <w:b/>
          <w:sz w:val="30"/>
        </w:rPr>
        <w:t>七、后续可进一步提升之处</w:t>
      </w:r>
    </w:p>
    <w:p>
      <w:pPr>
        <w:spacing w:before="0" w:after="0" w:line="360" w:lineRule="auto"/>
        <w:ind w:firstLine="480"/>
        <w:jc w:val="both"/>
      </w:pPr>
      <w:r>
        <w:rPr>
          <w:rFonts w:ascii="Times New Roman" w:hAnsi="Times New Roman" w:eastAsia="宋体" w:cs="Times New Roman" w:hint="eastAsia"/>
          <w:b/>
          <w:sz w:val="24"/>
        </w:rPr>
        <w:t>一是补充本单位的一手数据。</w:t>
      </w:r>
      <w:r>
        <w:rPr>
          <w:rFonts w:ascii="Times New Roman" w:hAnsi="Times New Roman" w:eastAsia="宋体" w:cs="Times New Roman" w:hint="eastAsia"/>
          <w:b w:val="0"/>
          <w:sz w:val="24"/>
        </w:rPr>
        <w:t xml:space="preserve"> 五篇论文中只有论文一与论文五有自有数据。论文二、三、四如能补充本单位近三年的检查频次、隐患整改率、重复检查次数或指定吸烟区使用率等基础统计，说服力会有实质提升，且这类数据在日常台账中即可提取，不需要额外调研。</w:t>
      </w:r>
    </w:p>
    <w:p>
      <w:pPr>
        <w:spacing w:before="0" w:after="0" w:line="360" w:lineRule="auto"/>
        <w:ind w:firstLine="480"/>
        <w:jc w:val="both"/>
      </w:pPr>
      <w:r>
        <w:rPr>
          <w:rFonts w:ascii="Times New Roman" w:hAnsi="Times New Roman" w:eastAsia="宋体" w:cs="Times New Roman" w:hint="eastAsia"/>
          <w:b/>
          <w:sz w:val="24"/>
        </w:rPr>
        <w:t>二是把对策写到可执行的颗粒度。</w:t>
      </w:r>
      <w:r>
        <w:rPr>
          <w:rFonts w:ascii="Times New Roman" w:hAnsi="Times New Roman" w:eastAsia="宋体" w:cs="Times New Roman" w:hint="eastAsia"/>
          <w:b w:val="0"/>
          <w:sz w:val="24"/>
        </w:rPr>
        <w:t xml:space="preserve"> 建议在每条对策后补充牵头部门、完成时限与验收标准三项要素，使读者知道从何下手、做到什么程度算合格。</w:t>
      </w:r>
    </w:p>
    <w:p>
      <w:pPr>
        <w:spacing w:before="0" w:after="0" w:line="360" w:lineRule="auto"/>
        <w:ind w:firstLine="480"/>
        <w:jc w:val="both"/>
      </w:pPr>
      <w:r>
        <w:rPr>
          <w:rFonts w:ascii="Times New Roman" w:hAnsi="Times New Roman" w:eastAsia="宋体" w:cs="Times New Roman" w:hint="eastAsia"/>
          <w:b/>
          <w:sz w:val="24"/>
        </w:rPr>
        <w:t>三是补充成本与副作用的讨论。</w:t>
      </w:r>
      <w:r>
        <w:rPr>
          <w:rFonts w:ascii="Times New Roman" w:hAnsi="Times New Roman" w:eastAsia="宋体" w:cs="Times New Roman" w:hint="eastAsia"/>
          <w:b w:val="0"/>
          <w:sz w:val="24"/>
        </w:rPr>
        <w:t xml:space="preserve"> 五篇原稿均只谈收益，未讨论全覆盖监督是否加重基层负担、留痕考核是否诱发形式主义。在结论部分坦率讨论这类问题不会削弱论文，反而更能体现作者的实践认识。改进稿已在论文一、二中作了初步处理，其余各篇可参照补充。</w:t>
      </w:r>
    </w:p>
    <w:p>
      <w:pPr>
        <w:spacing w:before="0" w:after="0" w:line="360" w:lineRule="auto"/>
        <w:ind w:firstLine="480"/>
        <w:jc w:val="both"/>
      </w:pPr>
      <w:r>
        <w:rPr>
          <w:rFonts w:ascii="Times New Roman" w:hAnsi="Times New Roman" w:eastAsia="宋体" w:cs="Times New Roman" w:hint="eastAsia"/>
          <w:b/>
          <w:sz w:val="24"/>
        </w:rPr>
        <w:t>四是形成可复制的经验表述。</w:t>
      </w:r>
      <w:r>
        <w:rPr>
          <w:rFonts w:ascii="Times New Roman" w:hAnsi="Times New Roman" w:eastAsia="宋体" w:cs="Times New Roman" w:hint="eastAsia"/>
          <w:b w:val="0"/>
          <w:sz w:val="24"/>
        </w:rPr>
        <w:t xml:space="preserve"> 论文的实践价值最终取决于其他单位能否照做，建议在结论中明确本单位做法的适用条件与不适用情形。</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