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b/>
          <w:sz w:val="36"/>
        </w:rPr>
        <w:t>基于 Qwen Omni 多模态模型的专卖执法视频智能分析与应用研究</w:t>
      </w:r>
    </w:p>
    <w:p>
      <w:pPr>
        <w:spacing w:before="0" w:after="0" w:line="360" w:lineRule="auto"/>
        <w:jc w:val="center"/>
      </w:pPr>
      <w:r>
        <w:rPr>
          <w:rFonts w:ascii="Times New Roman" w:hAnsi="Times New Roman" w:eastAsia="宋体"/>
          <w:b w:val="0"/>
          <w:sz w:val="24"/>
        </w:rPr>
        <w:t>贾文涛¹，吴群丰²</w:t>
      </w:r>
    </w:p>
    <w:p>
      <w:pPr>
        <w:spacing w:before="0" w:after="0" w:line="360" w:lineRule="auto"/>
        <w:jc w:val="center"/>
      </w:pPr>
      <w:r>
        <w:rPr>
          <w:rFonts w:ascii="Times New Roman" w:hAnsi="Times New Roman" w:eastAsia="宋体"/>
          <w:b w:val="0"/>
          <w:sz w:val="21"/>
        </w:rPr>
        <w:t>1 嘉兴市烟草公司海盐分公司专卖监督管理科，浙江海盐  314399</w:t>
      </w:r>
    </w:p>
    <w:p>
      <w:pPr>
        <w:spacing w:before="0" w:after="160" w:line="360" w:lineRule="auto"/>
        <w:jc w:val="center"/>
      </w:pPr>
      <w:r>
        <w:rPr>
          <w:rFonts w:ascii="Times New Roman" w:hAnsi="Times New Roman" w:eastAsia="宋体"/>
          <w:b w:val="0"/>
          <w:sz w:val="21"/>
        </w:rPr>
        <w:t>2 嘉兴市烟草公司海盐分公司专卖监督管理科，浙江海盐  314399</w:t>
      </w:r>
    </w:p>
    <w:p>
      <w:pPr>
        <w:spacing w:before="0" w:after="0" w:line="360" w:lineRule="auto"/>
        <w:ind w:firstLine="480"/>
        <w:jc w:val="both"/>
      </w:pPr>
      <w:r>
        <w:rPr>
          <w:rFonts w:ascii="Times New Roman" w:hAnsi="Times New Roman" w:eastAsia="宋体"/>
          <w:b/>
          <w:sz w:val="24"/>
        </w:rPr>
        <w:t>摘  要：</w:t>
      </w:r>
      <w:r>
        <w:rPr>
          <w:rFonts w:ascii="Times New Roman" w:hAnsi="Times New Roman" w:eastAsia="宋体"/>
          <w:b w:val="0"/>
          <w:sz w:val="24"/>
        </w:rPr>
        <w:t>针对浙江烟草专卖执法视频人工抽检覆盖不全、证据调取效率低、执法程序校验难、视频数据价值未被挖掘等问题，本文构建基于 Qwen Omni 多模态大模型的执法视频智能分析系统。系统采用“基础模型 + 领域适配 + 规则引擎”技术路线，自下而上构建数据层、模型层、应用层三级架构，通过关键帧自适应采样与 LoRA 领域微调实现行业场景适配，实现执法程序自动合规审核、多维度视频检索、执法风险预警与案件证据智能整理。在嘉兴市局 500 条真实执法视频测试集上，微调后模型的违规识别 F1 值达 91.9%（Wilson 95% CI：召回率 86.64%—94.70%），显著优于传统多模块拼接方案与通用大模型零样本方案。本文进一步补充了三项面向落地的分析：一是人机协同筛查的工作量—查全率决策曲线，测算显示人工复核量占全量 37.3% 时违规查全率即达 91.5%，为同等工作量下纯人工抽检的 2.45 倍；二是漏报与误报代价不对称条件下的期望损失比较；三是全生命周期成本与投资回收测算，静态回收期约 1.37 年。同时，本文提出数据边界、效力边界、用途边界三条算法治理原则，明确算法输出仅作为线索提示、最终认定权保留于法制审核人员的人在回路机制，为执法视频智能监督的合规落地提供制度保障。</w:t>
      </w:r>
    </w:p>
    <w:p>
      <w:pPr>
        <w:spacing w:before="0" w:after="0" w:line="360" w:lineRule="auto"/>
        <w:ind w:firstLine="480"/>
        <w:jc w:val="both"/>
      </w:pPr>
      <w:r>
        <w:rPr>
          <w:rFonts w:ascii="Times New Roman" w:hAnsi="Times New Roman" w:eastAsia="宋体"/>
          <w:b/>
          <w:sz w:val="24"/>
        </w:rPr>
        <w:t>关键词：</w:t>
      </w:r>
      <w:r>
        <w:rPr>
          <w:rFonts w:ascii="Times New Roman" w:hAnsi="Times New Roman" w:eastAsia="宋体"/>
          <w:b w:val="0"/>
          <w:sz w:val="24"/>
        </w:rPr>
        <w:t>多模态大模型；烟草专卖；执法视频；人机协同；算法治理</w:t>
      </w:r>
    </w:p>
    <w:p>
      <w:pPr>
        <w:spacing w:before="0" w:after="0" w:line="360" w:lineRule="auto"/>
        <w:ind w:firstLine="480"/>
        <w:jc w:val="both"/>
      </w:pPr>
      <w:r>
        <w:rPr>
          <w:rFonts w:ascii="Times New Roman" w:hAnsi="Times New Roman" w:eastAsia="宋体"/>
          <w:b/>
          <w:sz w:val="24"/>
        </w:rPr>
        <w:t>Abstract:</w:t>
      </w:r>
      <w:r>
        <w:rPr>
          <w:rFonts w:ascii="Times New Roman" w:hAnsi="Times New Roman" w:eastAsia="宋体"/>
          <w:b w:val="0"/>
          <w:sz w:val="24"/>
        </w:rPr>
        <w:t xml:space="preserve"> To address the incomplete coverage of manual video sampling, low efficiency of evidence retrieval, difficulty in verifying enforcement procedures and the untapped value of video data in Zhejiang's tobacco monopoly enforcement, this paper builds an intelligent analysis system for law-enforcement videos based on the Qwen Omni multimodal large model. Following a "foundation model + domain adaptation + rule engine" route, a three-tier architecture of data, model and application layers is constructed; adaptive key-frame sampling and LoRA fine-tuning achieve domain adaptation, enabling automatic procedural compliance review, multi-dimensional video retrieval, enforcement risk alerting and automated evidence organization. On a test set of 500 real enforcement videos from Jiaxing Municipal Bureau, the fine-tuned model attains an F1 of 91.9% (Wilson 95% CI for recall: 86.64%-94.70%), outperforming both a modular-concatenation baseline and a zero-shot general-purpose large model. Three deployment-oriented analyses are added: a workload-recall decision curve for human-machine collaborative screening, showing that reviewing 37.3% of the total volume already yields 91.5% recall, 2.45 times that of purely manual sampling at equal workload; an expected-loss comparison under asymmetric miss and false-alarm costs; and a total-cost-of-ownership analysis with a static payback period of about 1.37 years. The paper further proposes three algorithmic-governance boundaries - on data, on evidential effect and on use - establishing a human-in-the-loop mechanism in which algorithmic outputs serve only as leads while final determination remains with legal reviewers.</w:t>
      </w:r>
    </w:p>
    <w:p>
      <w:pPr>
        <w:spacing w:before="0" w:after="0" w:line="360" w:lineRule="auto"/>
        <w:ind w:firstLine="480"/>
        <w:jc w:val="both"/>
      </w:pPr>
      <w:r>
        <w:rPr>
          <w:rFonts w:ascii="Times New Roman" w:hAnsi="Times New Roman" w:eastAsia="宋体"/>
          <w:b/>
          <w:sz w:val="24"/>
        </w:rPr>
        <w:t>Keywords:</w:t>
      </w:r>
      <w:r>
        <w:rPr>
          <w:rFonts w:ascii="Times New Roman" w:hAnsi="Times New Roman" w:eastAsia="宋体"/>
          <w:b w:val="0"/>
          <w:sz w:val="24"/>
        </w:rPr>
        <w:t xml:space="preserve"> Multimodal large model; Tobacco monopoly; Law enforcement video; Human-machine collaboration; Algorithmic governance</w:t>
      </w:r>
    </w:p>
    <w:p>
      <w:r>
        <w:br w:type="page"/>
      </w:r>
    </w:p>
    <w:p>
      <w:pPr>
        <w:keepNext/>
        <w:spacing w:before="240" w:after="120" w:line="360" w:lineRule="auto"/>
        <w:jc w:val="left"/>
      </w:pPr>
      <w:r>
        <w:rPr>
          <w:rFonts w:ascii="Times New Roman" w:hAnsi="Times New Roman" w:eastAsia="黑体"/>
          <w:b/>
          <w:sz w:val="30"/>
        </w:rPr>
        <w:t>1  引言</w:t>
      </w:r>
    </w:p>
    <w:p>
      <w:pPr>
        <w:keepNext/>
        <w:spacing w:before="160" w:after="80" w:line="360" w:lineRule="auto"/>
        <w:jc w:val="left"/>
      </w:pPr>
      <w:r>
        <w:rPr>
          <w:rFonts w:ascii="Times New Roman" w:hAnsi="Times New Roman" w:eastAsia="黑体"/>
          <w:b w:val="0"/>
          <w:sz w:val="28"/>
        </w:rPr>
        <w:t>1.1  研究背景</w:t>
      </w:r>
    </w:p>
    <w:p>
      <w:pPr>
        <w:spacing w:before="0" w:after="0" w:line="360" w:lineRule="auto"/>
        <w:ind w:firstLine="480"/>
        <w:jc w:val="both"/>
      </w:pPr>
      <w:r>
        <w:rPr>
          <w:rFonts w:ascii="Times New Roman" w:hAnsi="Times New Roman" w:eastAsia="宋体"/>
          <w:b w:val="0"/>
          <w:sz w:val="24"/>
        </w:rPr>
        <w:t>烟草专卖制度是国家对烟草行业实行的基本制度，烟草专卖局承担维护市场秩序、保障国家财政收入、保护消费者权益的职责。近年来，浙江省烟草专卖局（公司）把数字化改革作为推动专卖监管高质量发展的主要动力[1]。</w:t>
      </w:r>
    </w:p>
    <w:p>
      <w:pPr>
        <w:spacing w:before="0" w:after="0" w:line="360" w:lineRule="auto"/>
        <w:ind w:firstLine="480"/>
        <w:jc w:val="both"/>
      </w:pPr>
      <w:r>
        <w:rPr>
          <w:rFonts w:ascii="Times New Roman" w:hAnsi="Times New Roman" w:eastAsia="宋体"/>
          <w:b w:val="0"/>
          <w:sz w:val="24"/>
        </w:rPr>
        <w:t>在制度层面，浙江省局构建了“双随机、重点监管、信用监管”的市场监管体系，明确要求依托数字化手段、依照零售户画像数据制定“一店一策”监管标准，这对执法过程的标准化与可追溯性提出了更高要求[2]。在行动层面，省局与省公安厅联合开展“天网”打击涉烟违法犯罪专项行动，与省市场监督管理局联合推进烟草市场综合治理行动，并持续完善省市县三级涉烟情指中心体系。</w:t>
      </w:r>
    </w:p>
    <w:p>
      <w:pPr>
        <w:spacing w:before="0" w:after="0" w:line="360" w:lineRule="auto"/>
        <w:ind w:firstLine="480"/>
        <w:jc w:val="both"/>
      </w:pPr>
      <w:r>
        <w:rPr>
          <w:rFonts w:ascii="Times New Roman" w:hAnsi="Times New Roman" w:eastAsia="宋体"/>
          <w:b w:val="0"/>
          <w:sz w:val="24"/>
        </w:rPr>
        <w:t>根据行政处罚全过程记录办法，专卖执法人员在现场检查、调查取证、文书送达等执法活动中须全程佩戴执法记录仪进行音视频记录。由此，全省各级烟草专卖局积累了大量执法视频数据。如何把沉睡的数据资产转化为监管效能，是当前专卖监管数字化转型中亟待解决的问题。</w:t>
      </w:r>
    </w:p>
    <w:p>
      <w:pPr>
        <w:keepNext/>
        <w:spacing w:before="160" w:after="80" w:line="360" w:lineRule="auto"/>
        <w:jc w:val="left"/>
      </w:pPr>
      <w:r>
        <w:rPr>
          <w:rFonts w:ascii="Times New Roman" w:hAnsi="Times New Roman" w:eastAsia="黑体"/>
          <w:b w:val="0"/>
          <w:sz w:val="28"/>
        </w:rPr>
        <w:t>1.2  现存问题</w:t>
      </w:r>
    </w:p>
    <w:p>
      <w:pPr>
        <w:keepNext/>
        <w:spacing w:before="120" w:after="60" w:line="360" w:lineRule="auto"/>
        <w:jc w:val="left"/>
      </w:pPr>
      <w:r>
        <w:rPr>
          <w:rFonts w:ascii="Times New Roman" w:hAnsi="Times New Roman" w:eastAsia="黑体"/>
          <w:b w:val="0"/>
          <w:sz w:val="24"/>
        </w:rPr>
        <w:t>1.2.1  执法视频审核监督覆盖面不足</w:t>
      </w:r>
    </w:p>
    <w:p>
      <w:pPr>
        <w:spacing w:before="0" w:after="0" w:line="360" w:lineRule="auto"/>
        <w:ind w:firstLine="480"/>
        <w:jc w:val="both"/>
      </w:pPr>
      <w:r>
        <w:rPr>
          <w:rFonts w:ascii="Times New Roman" w:hAnsi="Times New Roman" w:eastAsia="宋体"/>
          <w:b w:val="0"/>
          <w:sz w:val="24"/>
        </w:rPr>
        <w:t>传统模式下执法视频的合规性检查主要依靠法制部门人工抽检。以浙江省某市级烟草专卖局为例，全局年均产生执法记录仪视频 4000 余条，总时长超过 2000 小时，而全市专职法制审核人员仅 10 余人，人工抽检比例不足 15%，大量执法视频处于“只存不看”的沉睡状态。事后抽检无法对执法全过程、全环节实施覆盖，容易遗漏程序失误与行为不规范问题[3]。</w:t>
      </w:r>
    </w:p>
    <w:p>
      <w:pPr>
        <w:keepNext/>
        <w:spacing w:before="120" w:after="60" w:line="360" w:lineRule="auto"/>
        <w:jc w:val="left"/>
      </w:pPr>
      <w:r>
        <w:rPr>
          <w:rFonts w:ascii="Times New Roman" w:hAnsi="Times New Roman" w:eastAsia="黑体"/>
          <w:b w:val="0"/>
          <w:sz w:val="24"/>
        </w:rPr>
        <w:t>1.2.2  执法视频调取耗时耗力</w:t>
      </w:r>
    </w:p>
    <w:p>
      <w:pPr>
        <w:spacing w:before="0" w:after="0" w:line="360" w:lineRule="auto"/>
        <w:ind w:firstLine="480"/>
        <w:jc w:val="both"/>
      </w:pPr>
      <w:r>
        <w:rPr>
          <w:rFonts w:ascii="Times New Roman" w:hAnsi="Times New Roman" w:eastAsia="宋体"/>
          <w:b w:val="0"/>
          <w:sz w:val="24"/>
        </w:rPr>
        <w:t>需要对某一案件的执法视频进行回溯核查时，工作人员一般要逐段播放、人工定位关键节点。一起普通案件的视频证据调取通常耗时 40 分钟，复杂案件需数小时。跨部门联合办案对证据调取效率提出更高要求，传统人工检索方式已难以适应实际需要。</w:t>
      </w:r>
    </w:p>
    <w:p>
      <w:pPr>
        <w:keepNext/>
        <w:spacing w:before="120" w:after="60" w:line="360" w:lineRule="auto"/>
        <w:jc w:val="left"/>
      </w:pPr>
      <w:r>
        <w:rPr>
          <w:rFonts w:ascii="Times New Roman" w:hAnsi="Times New Roman" w:eastAsia="黑体"/>
          <w:b w:val="0"/>
          <w:sz w:val="24"/>
        </w:rPr>
        <w:t>1.2.3  执法规范的落地程度有待提升</w:t>
      </w:r>
    </w:p>
    <w:p>
      <w:pPr>
        <w:spacing w:before="0" w:after="0" w:line="360" w:lineRule="auto"/>
        <w:ind w:firstLine="480"/>
        <w:jc w:val="both"/>
      </w:pPr>
      <w:r>
        <w:rPr>
          <w:rFonts w:ascii="Times New Roman" w:hAnsi="Times New Roman" w:eastAsia="宋体"/>
          <w:b w:val="0"/>
          <w:sz w:val="24"/>
        </w:rPr>
        <w:t>尽管省局已出台统一的行政处罚裁量标准与执法全过程记录规范，但在基层执法实践中，由于执法人员个体差异与规范理解程度不同，仍存在亮证不规范、告知程序缺失、文书送达程序不完整等问题。程序性瑕疵是行政复议、行政诉讼败诉的风险点。如何把抽象的执法规范转化为可自动校验的技术规则，是提高执法规范化水平的关键。</w:t>
      </w:r>
    </w:p>
    <w:p>
      <w:pPr>
        <w:keepNext/>
        <w:spacing w:before="120" w:after="60" w:line="360" w:lineRule="auto"/>
        <w:jc w:val="left"/>
      </w:pPr>
      <w:r>
        <w:rPr>
          <w:rFonts w:ascii="Times New Roman" w:hAnsi="Times New Roman" w:eastAsia="黑体"/>
          <w:b w:val="0"/>
          <w:sz w:val="24"/>
        </w:rPr>
        <w:t>1.2.4  数据的深层价值尚未挖掘</w:t>
      </w:r>
    </w:p>
    <w:p>
      <w:pPr>
        <w:spacing w:before="0" w:after="0" w:line="360" w:lineRule="auto"/>
        <w:ind w:firstLine="480"/>
        <w:jc w:val="both"/>
      </w:pPr>
      <w:r>
        <w:rPr>
          <w:rFonts w:ascii="Times New Roman" w:hAnsi="Times New Roman" w:eastAsia="宋体"/>
          <w:b w:val="0"/>
          <w:sz w:val="24"/>
        </w:rPr>
        <w:t>目前执法视频数据主要用作事后留痕与证据保存，其中蕴含的零售户经营状况、市场异常动向、执法资源投向等要素尚未被有效利用。若能通过智能分析加以挖掘，可为信用监管、风险预判与执法资源优化配置提供数据支撑。</w:t>
      </w:r>
    </w:p>
    <w:p>
      <w:pPr>
        <w:keepNext/>
        <w:spacing w:before="160" w:after="80" w:line="360" w:lineRule="auto"/>
        <w:jc w:val="left"/>
      </w:pPr>
      <w:r>
        <w:rPr>
          <w:rFonts w:ascii="Times New Roman" w:hAnsi="Times New Roman" w:eastAsia="黑体"/>
          <w:b w:val="0"/>
          <w:sz w:val="28"/>
        </w:rPr>
        <w:t>1.3  研究内容与技术路线</w:t>
      </w:r>
    </w:p>
    <w:p>
      <w:pPr>
        <w:spacing w:before="0" w:after="0" w:line="360" w:lineRule="auto"/>
        <w:ind w:firstLine="480"/>
        <w:jc w:val="both"/>
      </w:pPr>
      <w:r>
        <w:rPr>
          <w:rFonts w:ascii="Times New Roman" w:hAnsi="Times New Roman" w:eastAsia="宋体"/>
          <w:b w:val="0"/>
          <w:sz w:val="24"/>
        </w:rPr>
        <w:t>本文以 Qwen Omni 多模态大模型为基础构建专卖执法视频智能分析系统，并在原有工程实现的基础上补充三方面工作：一是完善实验设计与统计推断，使性能结论具备可检验性；二是建立面向部署决策的人机协同分析框架，把模型指标转化为人力投入与查全率的权衡曲线；三是提出数据合规与算法治理的边界原则，回应系统落地的制度约束。研究技术路线如图 1 所示，分为问题诊断、系统设计、领域适配、验证与治理四个阶段，并以验证结果反向回调采样率、微调数据与告警阈值，形成迭代闭环。</w:t>
      </w:r>
    </w:p>
    <w:p>
      <w:pPr>
        <w:keepNext/>
        <w:spacing w:before="120" w:after="0" w:line="240" w:lineRule="auto"/>
        <w:jc w:val="center"/>
      </w:pPr>
      <w:r>
        <w:drawing>
          <wp:inline xmlns:a="http://schemas.openxmlformats.org/drawingml/2006/main" xmlns:pic="http://schemas.openxmlformats.org/drawingml/2006/picture">
            <wp:extent cx="5400000" cy="2815428"/>
            <wp:docPr id="1" name="Picture 1"/>
            <wp:cNvGraphicFramePr>
              <a:graphicFrameLocks noChangeAspect="1"/>
            </wp:cNvGraphicFramePr>
            <a:graphic>
              <a:graphicData uri="http://schemas.openxmlformats.org/drawingml/2006/picture">
                <pic:pic>
                  <pic:nvPicPr>
                    <pic:cNvPr id="0" name="p1_c1_roadmap.png"/>
                    <pic:cNvPicPr/>
                  </pic:nvPicPr>
                  <pic:blipFill>
                    <a:blip r:embed="rId9"/>
                    <a:stretch>
                      <a:fillRect/>
                    </a:stretch>
                  </pic:blipFill>
                  <pic:spPr>
                    <a:xfrm>
                      <a:off x="0" y="0"/>
                      <a:ext cx="5400000" cy="2815428"/>
                    </a:xfrm>
                    <a:prstGeom prst="rect"/>
                  </pic:spPr>
                </pic:pic>
              </a:graphicData>
            </a:graphic>
          </wp:inline>
        </w:drawing>
      </w:r>
    </w:p>
    <w:p>
      <w:pPr>
        <w:spacing w:before="40" w:after="160" w:line="240" w:lineRule="auto"/>
        <w:jc w:val="center"/>
      </w:pPr>
      <w:r>
        <w:rPr>
          <w:rFonts w:ascii="Times New Roman" w:hAnsi="Times New Roman" w:eastAsia="黑体"/>
          <w:b w:val="0"/>
          <w:sz w:val="21"/>
        </w:rPr>
        <w:t>图 1  研究技术路线</w:t>
      </w:r>
    </w:p>
    <w:p>
      <w:pPr>
        <w:keepNext/>
        <w:spacing w:before="240" w:after="120" w:line="360" w:lineRule="auto"/>
        <w:jc w:val="left"/>
      </w:pPr>
      <w:r>
        <w:rPr>
          <w:rFonts w:ascii="Times New Roman" w:hAnsi="Times New Roman" w:eastAsia="黑体"/>
          <w:b/>
          <w:sz w:val="30"/>
        </w:rPr>
        <w:t>2  系统设计</w:t>
      </w:r>
    </w:p>
    <w:p>
      <w:pPr>
        <w:keepNext/>
        <w:spacing w:before="160" w:after="80" w:line="360" w:lineRule="auto"/>
        <w:jc w:val="left"/>
      </w:pPr>
      <w:r>
        <w:rPr>
          <w:rFonts w:ascii="Times New Roman" w:hAnsi="Times New Roman" w:eastAsia="黑体"/>
          <w:b w:val="0"/>
          <w:sz w:val="28"/>
        </w:rPr>
        <w:t>2.1  Qwen Omni 多模态模型的技术特征</w:t>
      </w:r>
    </w:p>
    <w:p>
      <w:pPr>
        <w:keepNext/>
        <w:spacing w:before="120" w:after="60" w:line="360" w:lineRule="auto"/>
        <w:jc w:val="left"/>
      </w:pPr>
      <w:r>
        <w:rPr>
          <w:rFonts w:ascii="Times New Roman" w:hAnsi="Times New Roman" w:eastAsia="黑体"/>
          <w:b w:val="0"/>
          <w:sz w:val="24"/>
        </w:rPr>
        <w:t>2.1.1  Thinker–Talker 双体架构</w:t>
      </w:r>
    </w:p>
    <w:p>
      <w:pPr>
        <w:spacing w:before="0" w:after="0" w:line="360" w:lineRule="auto"/>
        <w:ind w:firstLine="480"/>
        <w:jc w:val="both"/>
      </w:pPr>
      <w:r>
        <w:rPr>
          <w:rFonts w:ascii="Times New Roman" w:hAnsi="Times New Roman" w:eastAsia="宋体"/>
          <w:b w:val="0"/>
          <w:sz w:val="24"/>
        </w:rPr>
        <w:t>不同于传统多模态模型的单编码器、单解码器结构，Qwen Omni 采用 Thinker–Talker 分离式结构。Thinker 模块是基于混合专家（Mixture of Experts, MoE）机制的 Transformer 解码器，承担多模态理解与深度推理；以 Qwen3-Omni 为例，Thinker 模块总参数量为 30B，在保证推理能力的同时控制了计算成本。Talker 模块是轻量级 MoE Transformer（总参数 3B，激活 0.3B），负责文本与语音的流式生成[4]。</w:t>
      </w:r>
    </w:p>
    <w:p>
      <w:pPr>
        <w:spacing w:before="0" w:after="0" w:line="360" w:lineRule="auto"/>
        <w:ind w:firstLine="480"/>
        <w:jc w:val="both"/>
      </w:pPr>
      <w:r>
        <w:rPr>
          <w:rFonts w:ascii="Times New Roman" w:hAnsi="Times New Roman" w:eastAsia="宋体"/>
          <w:b w:val="0"/>
          <w:sz w:val="24"/>
        </w:rPr>
        <w:t>双体结构把理解与生成两个任务解耦，可对每个任务单独优化。对执法视频分析场景而言，Thinker 模块的跨模态推理能力是核心，可对视频画面、现场语音与执法规范文本进行综合的合规性判断；Talker 模块的流式生成能力则主要服务于未来的实时辅助执法场景。</w:t>
      </w:r>
    </w:p>
    <w:p>
      <w:pPr>
        <w:keepNext/>
        <w:spacing w:before="120" w:after="60" w:line="360" w:lineRule="auto"/>
        <w:jc w:val="left"/>
      </w:pPr>
      <w:r>
        <w:rPr>
          <w:rFonts w:ascii="Times New Roman" w:hAnsi="Times New Roman" w:eastAsia="黑体"/>
          <w:b w:val="0"/>
          <w:sz w:val="24"/>
        </w:rPr>
        <w:t>2.1.2  统一 Token 化与模态深度融合</w:t>
      </w:r>
    </w:p>
    <w:p>
      <w:pPr>
        <w:spacing w:before="0" w:after="0" w:line="360" w:lineRule="auto"/>
        <w:ind w:firstLine="480"/>
        <w:jc w:val="both"/>
      </w:pPr>
      <w:r>
        <w:rPr>
          <w:rFonts w:ascii="Times New Roman" w:hAnsi="Times New Roman" w:eastAsia="宋体"/>
          <w:b w:val="0"/>
          <w:sz w:val="24"/>
        </w:rPr>
        <w:t>Qwen Omni 采用端到端原生全模态架构，把文本、图像、音频、视频四种模态统一转化为 Token 序列后输入同一 Transformer 骨干网络。视觉编码器采用 SigLIP2 架构，将图像帧与视频帧编码为视觉嵌入向量；音频编码器采用 AuT 架构，将音频波形转换为声学特征。多模态嵌入与文本 Token 在同一语义空间内相互注意，实现了模态融合而非简单拼接[4]。</w:t>
      </w:r>
    </w:p>
    <w:p>
      <w:pPr>
        <w:spacing w:before="0" w:after="0" w:line="360" w:lineRule="auto"/>
        <w:ind w:firstLine="480"/>
        <w:jc w:val="both"/>
      </w:pPr>
      <w:r>
        <w:rPr>
          <w:rFonts w:ascii="Times New Roman" w:hAnsi="Times New Roman" w:eastAsia="宋体"/>
          <w:b w:val="0"/>
          <w:sz w:val="24"/>
        </w:rPr>
        <w:t>原生融合方案解决了传统拼接式多模态模型的模态对齐困难与信息丢失问题。在执法场景中，现场执法人员的口头告知、出示证件的动作、许可证件上的文字信息需要联合判断——例如，仅有出示动作而无口头说明，或仅有口头说明而画面中未见证件，均不构成完整的亮证程序。Qwen Omni 的统一语义空间天然具备这种跨模态联合推理能力。</w:t>
      </w:r>
    </w:p>
    <w:p>
      <w:pPr>
        <w:spacing w:before="0" w:after="0" w:line="360" w:lineRule="auto"/>
        <w:ind w:firstLine="480"/>
        <w:jc w:val="both"/>
      </w:pPr>
      <w:r>
        <w:rPr>
          <w:rFonts w:ascii="Times New Roman" w:hAnsi="Times New Roman" w:eastAsia="宋体"/>
          <w:b w:val="0"/>
          <w:sz w:val="24"/>
        </w:rPr>
        <w:t>视频理解的另一项主要困难是时间维度建模与多模态时序同步。Qwen Omni 提出的 TMRoPE（时间对齐多模态旋转位置嵌入）技术，通过动态时间轴映射把不同采样率的视频帧与音频采样统一到绝对时间坐标系中。对专卖执法视频而言，时序准确性至关重要：亮证、告知、检查等程序环节存在严格的时间顺序要求，时间错位将直接导致合规性判断失误。多模态融合与时序对齐的机制如图 2 所示。</w:t>
      </w:r>
    </w:p>
    <w:p>
      <w:pPr>
        <w:keepNext/>
        <w:spacing w:before="120" w:after="0" w:line="240" w:lineRule="auto"/>
        <w:jc w:val="center"/>
      </w:pPr>
      <w:r>
        <w:drawing>
          <wp:inline xmlns:a="http://schemas.openxmlformats.org/drawingml/2006/main" xmlns:pic="http://schemas.openxmlformats.org/drawingml/2006/picture">
            <wp:extent cx="5400000" cy="2815428"/>
            <wp:docPr id="2" name="Picture 2"/>
            <wp:cNvGraphicFramePr>
              <a:graphicFrameLocks noChangeAspect="1"/>
            </wp:cNvGraphicFramePr>
            <a:graphic>
              <a:graphicData uri="http://schemas.openxmlformats.org/drawingml/2006/picture">
                <pic:pic>
                  <pic:nvPicPr>
                    <pic:cNvPr id="0" name="p1_c3_mechanism.png"/>
                    <pic:cNvPicPr/>
                  </pic:nvPicPr>
                  <pic:blipFill>
                    <a:blip r:embed="rId10"/>
                    <a:stretch>
                      <a:fillRect/>
                    </a:stretch>
                  </pic:blipFill>
                  <pic:spPr>
                    <a:xfrm>
                      <a:off x="0" y="0"/>
                      <a:ext cx="5400000" cy="2815428"/>
                    </a:xfrm>
                    <a:prstGeom prst="rect"/>
                  </pic:spPr>
                </pic:pic>
              </a:graphicData>
            </a:graphic>
          </wp:inline>
        </w:drawing>
      </w:r>
    </w:p>
    <w:p>
      <w:pPr>
        <w:spacing w:before="40" w:after="160" w:line="240" w:lineRule="auto"/>
        <w:jc w:val="center"/>
      </w:pPr>
      <w:r>
        <w:rPr>
          <w:rFonts w:ascii="Times New Roman" w:hAnsi="Times New Roman" w:eastAsia="黑体"/>
          <w:b w:val="0"/>
          <w:sz w:val="21"/>
        </w:rPr>
        <w:t>图 2  多模态融合与时序对齐机制</w:t>
      </w:r>
    </w:p>
    <w:p>
      <w:pPr>
        <w:keepNext/>
        <w:spacing w:before="160" w:after="80" w:line="360" w:lineRule="auto"/>
        <w:jc w:val="left"/>
      </w:pPr>
      <w:r>
        <w:rPr>
          <w:rFonts w:ascii="Times New Roman" w:hAnsi="Times New Roman" w:eastAsia="黑体"/>
          <w:b w:val="0"/>
          <w:sz w:val="28"/>
        </w:rPr>
        <w:t>2.2  执法规范的技术化拆解</w:t>
      </w:r>
    </w:p>
    <w:p>
      <w:pPr>
        <w:spacing w:before="0" w:after="0" w:line="360" w:lineRule="auto"/>
        <w:ind w:firstLine="480"/>
        <w:jc w:val="both"/>
      </w:pPr>
      <w:r>
        <w:rPr>
          <w:rFonts w:ascii="Times New Roman" w:hAnsi="Times New Roman" w:eastAsia="宋体"/>
          <w:b w:val="0"/>
          <w:sz w:val="24"/>
        </w:rPr>
        <w:t>把制度规范转化为可自动检测的技术指标，是系统能否落地的前提。依据《浙江省烟草专卖行政处罚裁量权实施规定》《行政执法全过程记录办法》等制度文件，本文从主体、程序、言语、文书四个维度拆解执法规范，形成表 1 所列的检测指标体系。每项指标均标注了其主要判别模态，这一标注在后文的分类识别效果分析中将被再次使用。</w:t>
      </w:r>
    </w:p>
    <w:p>
      <w:pPr>
        <w:keepNext/>
        <w:spacing w:before="160" w:after="40" w:line="240" w:lineRule="auto"/>
        <w:jc w:val="center"/>
      </w:pPr>
      <w:r>
        <w:rPr>
          <w:rFonts w:ascii="Times New Roman" w:hAnsi="Times New Roman" w:eastAsia="黑体"/>
          <w:b w:val="0"/>
          <w:sz w:val="21"/>
        </w:rPr>
        <w:t>表 1  执法程序合规性自动检测指标体系</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907"/>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维度</w:t>
            </w:r>
          </w:p>
        </w:tc>
        <w:tc>
          <w:tcPr>
            <w:tcW w:type="dxa" w:w="238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检测指标</w:t>
            </w:r>
          </w:p>
        </w:tc>
        <w:tc>
          <w:tcPr>
            <w:tcW w:type="dxa" w:w="36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判别口径</w:t>
            </w:r>
          </w:p>
        </w:tc>
        <w:tc>
          <w:tcPr>
            <w:tcW w:type="dxa" w:w="158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主要判别模态</w:t>
            </w:r>
          </w:p>
        </w:tc>
      </w:tr>
      <w:tr>
        <w:tc>
          <w:tcPr>
            <w:tcW w:type="dxa" w:w="907"/>
          </w:tcPr>
          <w:p>
            <w:pPr>
              <w:spacing w:before="40" w:after="40" w:line="240" w:lineRule="auto"/>
              <w:jc w:val="left"/>
            </w:pPr>
            <w:r/>
            <w:r>
              <w:rPr>
                <w:rFonts w:ascii="Times New Roman" w:hAnsi="Times New Roman" w:eastAsia="宋体"/>
                <w:b w:val="0"/>
                <w:sz w:val="19"/>
              </w:rPr>
              <w:t>主体</w:t>
            </w:r>
          </w:p>
        </w:tc>
        <w:tc>
          <w:tcPr>
            <w:tcW w:type="dxa" w:w="2381"/>
          </w:tcPr>
          <w:p>
            <w:pPr>
              <w:spacing w:before="40" w:after="40" w:line="240" w:lineRule="auto"/>
              <w:jc w:val="center"/>
            </w:pPr>
            <w:r/>
            <w:r>
              <w:rPr>
                <w:rFonts w:ascii="Times New Roman" w:hAnsi="Times New Roman" w:eastAsia="宋体"/>
                <w:b w:val="0"/>
                <w:sz w:val="19"/>
              </w:rPr>
              <w:t>执法人员数量</w:t>
            </w:r>
          </w:p>
        </w:tc>
        <w:tc>
          <w:tcPr>
            <w:tcW w:type="dxa" w:w="3628"/>
          </w:tcPr>
          <w:p>
            <w:pPr>
              <w:spacing w:before="40" w:after="40" w:line="240" w:lineRule="auto"/>
              <w:jc w:val="center"/>
            </w:pPr>
            <w:r/>
            <w:r>
              <w:rPr>
                <w:rFonts w:ascii="Times New Roman" w:hAnsi="Times New Roman" w:eastAsia="宋体"/>
                <w:b w:val="0"/>
                <w:sz w:val="19"/>
              </w:rPr>
              <w:t>画面中同时在场的执法人员≥2 名</w:t>
            </w:r>
          </w:p>
        </w:tc>
        <w:tc>
          <w:tcPr>
            <w:tcW w:type="dxa" w:w="1587"/>
          </w:tcPr>
          <w:p>
            <w:pPr>
              <w:spacing w:before="40" w:after="40" w:line="240" w:lineRule="auto"/>
              <w:jc w:val="center"/>
            </w:pPr>
            <w:r/>
            <w:r>
              <w:rPr>
                <w:rFonts w:ascii="Times New Roman" w:hAnsi="Times New Roman" w:eastAsia="宋体"/>
                <w:b w:val="0"/>
                <w:sz w:val="19"/>
              </w:rPr>
              <w:t>视觉</w:t>
            </w:r>
          </w:p>
        </w:tc>
      </w:tr>
      <w:tr>
        <w:tc>
          <w:tcPr>
            <w:tcW w:type="dxa" w:w="907"/>
          </w:tcPr>
          <w:p>
            <w:pPr>
              <w:spacing w:before="40" w:after="40" w:line="240" w:lineRule="auto"/>
              <w:jc w:val="left"/>
            </w:pPr>
            <w:r/>
            <w:r>
              <w:rPr>
                <w:rFonts w:ascii="Times New Roman" w:hAnsi="Times New Roman" w:eastAsia="宋体"/>
                <w:b w:val="0"/>
                <w:sz w:val="19"/>
              </w:rPr>
              <w:t>主体</w:t>
            </w:r>
          </w:p>
        </w:tc>
        <w:tc>
          <w:tcPr>
            <w:tcW w:type="dxa" w:w="2381"/>
          </w:tcPr>
          <w:p>
            <w:pPr>
              <w:spacing w:before="40" w:after="40" w:line="240" w:lineRule="auto"/>
              <w:jc w:val="center"/>
            </w:pPr>
            <w:r/>
            <w:r>
              <w:rPr>
                <w:rFonts w:ascii="Times New Roman" w:hAnsi="Times New Roman" w:eastAsia="宋体"/>
                <w:b w:val="0"/>
                <w:sz w:val="19"/>
              </w:rPr>
              <w:t>制服与标识规范</w:t>
            </w:r>
          </w:p>
        </w:tc>
        <w:tc>
          <w:tcPr>
            <w:tcW w:type="dxa" w:w="3628"/>
          </w:tcPr>
          <w:p>
            <w:pPr>
              <w:spacing w:before="40" w:after="40" w:line="240" w:lineRule="auto"/>
              <w:jc w:val="center"/>
            </w:pPr>
            <w:r/>
            <w:r>
              <w:rPr>
                <w:rFonts w:ascii="Times New Roman" w:hAnsi="Times New Roman" w:eastAsia="宋体"/>
                <w:b w:val="0"/>
                <w:sz w:val="19"/>
              </w:rPr>
              <w:t>着统一制服、佩戴肩章臂章</w:t>
            </w:r>
          </w:p>
        </w:tc>
        <w:tc>
          <w:tcPr>
            <w:tcW w:type="dxa" w:w="1587"/>
          </w:tcPr>
          <w:p>
            <w:pPr>
              <w:spacing w:before="40" w:after="40" w:line="240" w:lineRule="auto"/>
              <w:jc w:val="center"/>
            </w:pPr>
            <w:r/>
            <w:r>
              <w:rPr>
                <w:rFonts w:ascii="Times New Roman" w:hAnsi="Times New Roman" w:eastAsia="宋体"/>
                <w:b w:val="0"/>
                <w:sz w:val="19"/>
              </w:rPr>
              <w:t>视觉</w:t>
            </w:r>
          </w:p>
        </w:tc>
      </w:tr>
      <w:tr>
        <w:tc>
          <w:tcPr>
            <w:tcW w:type="dxa" w:w="907"/>
          </w:tcPr>
          <w:p>
            <w:pPr>
              <w:spacing w:before="40" w:after="40" w:line="240" w:lineRule="auto"/>
              <w:jc w:val="left"/>
            </w:pPr>
            <w:r/>
            <w:r>
              <w:rPr>
                <w:rFonts w:ascii="Times New Roman" w:hAnsi="Times New Roman" w:eastAsia="宋体"/>
                <w:b w:val="0"/>
                <w:sz w:val="19"/>
              </w:rPr>
              <w:t>主体</w:t>
            </w:r>
          </w:p>
        </w:tc>
        <w:tc>
          <w:tcPr>
            <w:tcW w:type="dxa" w:w="2381"/>
          </w:tcPr>
          <w:p>
            <w:pPr>
              <w:spacing w:before="40" w:after="40" w:line="240" w:lineRule="auto"/>
              <w:jc w:val="center"/>
            </w:pPr>
            <w:r/>
            <w:r>
              <w:rPr>
                <w:rFonts w:ascii="Times New Roman" w:hAnsi="Times New Roman" w:eastAsia="宋体"/>
                <w:b w:val="0"/>
                <w:sz w:val="19"/>
              </w:rPr>
              <w:t>执法证件出示</w:t>
            </w:r>
          </w:p>
        </w:tc>
        <w:tc>
          <w:tcPr>
            <w:tcW w:type="dxa" w:w="3628"/>
          </w:tcPr>
          <w:p>
            <w:pPr>
              <w:spacing w:before="40" w:after="40" w:line="240" w:lineRule="auto"/>
              <w:jc w:val="center"/>
            </w:pPr>
            <w:r/>
            <w:r>
              <w:rPr>
                <w:rFonts w:ascii="Times New Roman" w:hAnsi="Times New Roman" w:eastAsia="宋体"/>
                <w:b w:val="0"/>
                <w:sz w:val="19"/>
              </w:rPr>
              <w:t>举证动作 + 口头说明 + 证件可辨识</w:t>
            </w:r>
          </w:p>
        </w:tc>
        <w:tc>
          <w:tcPr>
            <w:tcW w:type="dxa" w:w="1587"/>
          </w:tcPr>
          <w:p>
            <w:pPr>
              <w:spacing w:before="40" w:after="40" w:line="240" w:lineRule="auto"/>
              <w:jc w:val="center"/>
            </w:pPr>
            <w:r/>
            <w:r>
              <w:rPr>
                <w:rFonts w:ascii="Times New Roman" w:hAnsi="Times New Roman" w:eastAsia="宋体"/>
                <w:b w:val="0"/>
                <w:sz w:val="19"/>
              </w:rPr>
              <w:t>视觉+语音</w:t>
            </w:r>
          </w:p>
        </w:tc>
      </w:tr>
      <w:tr>
        <w:tc>
          <w:tcPr>
            <w:tcW w:type="dxa" w:w="907"/>
          </w:tcPr>
          <w:p>
            <w:pPr>
              <w:spacing w:before="40" w:after="40" w:line="240" w:lineRule="auto"/>
              <w:jc w:val="left"/>
            </w:pPr>
            <w:r/>
            <w:r>
              <w:rPr>
                <w:rFonts w:ascii="Times New Roman" w:hAnsi="Times New Roman" w:eastAsia="宋体"/>
                <w:b w:val="0"/>
                <w:sz w:val="19"/>
              </w:rPr>
              <w:t>程序</w:t>
            </w:r>
          </w:p>
        </w:tc>
        <w:tc>
          <w:tcPr>
            <w:tcW w:type="dxa" w:w="2381"/>
          </w:tcPr>
          <w:p>
            <w:pPr>
              <w:spacing w:before="40" w:after="40" w:line="240" w:lineRule="auto"/>
              <w:jc w:val="center"/>
            </w:pPr>
            <w:r/>
            <w:r>
              <w:rPr>
                <w:rFonts w:ascii="Times New Roman" w:hAnsi="Times New Roman" w:eastAsia="宋体"/>
                <w:b w:val="0"/>
                <w:sz w:val="19"/>
              </w:rPr>
              <w:t>表明身份与说明来意</w:t>
            </w:r>
          </w:p>
        </w:tc>
        <w:tc>
          <w:tcPr>
            <w:tcW w:type="dxa" w:w="3628"/>
          </w:tcPr>
          <w:p>
            <w:pPr>
              <w:spacing w:before="40" w:after="40" w:line="240" w:lineRule="auto"/>
              <w:jc w:val="center"/>
            </w:pPr>
            <w:r/>
            <w:r>
              <w:rPr>
                <w:rFonts w:ascii="Times New Roman" w:hAnsi="Times New Roman" w:eastAsia="宋体"/>
                <w:b w:val="0"/>
                <w:sz w:val="19"/>
              </w:rPr>
              <w:t>口头表述完整且早于现场检查</w:t>
            </w:r>
          </w:p>
        </w:tc>
        <w:tc>
          <w:tcPr>
            <w:tcW w:type="dxa" w:w="1587"/>
          </w:tcPr>
          <w:p>
            <w:pPr>
              <w:spacing w:before="40" w:after="40" w:line="240" w:lineRule="auto"/>
              <w:jc w:val="center"/>
            </w:pPr>
            <w:r/>
            <w:r>
              <w:rPr>
                <w:rFonts w:ascii="Times New Roman" w:hAnsi="Times New Roman" w:eastAsia="宋体"/>
                <w:b w:val="0"/>
                <w:sz w:val="19"/>
              </w:rPr>
              <w:t>语音</w:t>
            </w:r>
          </w:p>
        </w:tc>
      </w:tr>
      <w:tr>
        <w:tc>
          <w:tcPr>
            <w:tcW w:type="dxa" w:w="907"/>
          </w:tcPr>
          <w:p>
            <w:pPr>
              <w:spacing w:before="40" w:after="40" w:line="240" w:lineRule="auto"/>
              <w:jc w:val="left"/>
            </w:pPr>
            <w:r/>
            <w:r>
              <w:rPr>
                <w:rFonts w:ascii="Times New Roman" w:hAnsi="Times New Roman" w:eastAsia="宋体"/>
                <w:b w:val="0"/>
                <w:sz w:val="19"/>
              </w:rPr>
              <w:t>程序</w:t>
            </w:r>
          </w:p>
        </w:tc>
        <w:tc>
          <w:tcPr>
            <w:tcW w:type="dxa" w:w="2381"/>
          </w:tcPr>
          <w:p>
            <w:pPr>
              <w:spacing w:before="40" w:after="40" w:line="240" w:lineRule="auto"/>
              <w:jc w:val="center"/>
            </w:pPr>
            <w:r/>
            <w:r>
              <w:rPr>
                <w:rFonts w:ascii="Times New Roman" w:hAnsi="Times New Roman" w:eastAsia="宋体"/>
                <w:b w:val="0"/>
                <w:sz w:val="19"/>
              </w:rPr>
              <w:t>告知当事人权利</w:t>
            </w:r>
          </w:p>
        </w:tc>
        <w:tc>
          <w:tcPr>
            <w:tcW w:type="dxa" w:w="3628"/>
          </w:tcPr>
          <w:p>
            <w:pPr>
              <w:spacing w:before="40" w:after="40" w:line="240" w:lineRule="auto"/>
              <w:jc w:val="center"/>
            </w:pPr>
            <w:r/>
            <w:r>
              <w:rPr>
                <w:rFonts w:ascii="Times New Roman" w:hAnsi="Times New Roman" w:eastAsia="宋体"/>
                <w:b w:val="0"/>
                <w:sz w:val="19"/>
              </w:rPr>
              <w:t>口头告知陈述申辩权与复议诉讼权</w:t>
            </w:r>
          </w:p>
        </w:tc>
        <w:tc>
          <w:tcPr>
            <w:tcW w:type="dxa" w:w="1587"/>
          </w:tcPr>
          <w:p>
            <w:pPr>
              <w:spacing w:before="40" w:after="40" w:line="240" w:lineRule="auto"/>
              <w:jc w:val="center"/>
            </w:pPr>
            <w:r/>
            <w:r>
              <w:rPr>
                <w:rFonts w:ascii="Times New Roman" w:hAnsi="Times New Roman" w:eastAsia="宋体"/>
                <w:b w:val="0"/>
                <w:sz w:val="19"/>
              </w:rPr>
              <w:t>语音</w:t>
            </w:r>
          </w:p>
        </w:tc>
      </w:tr>
      <w:tr>
        <w:tc>
          <w:tcPr>
            <w:tcW w:type="dxa" w:w="907"/>
          </w:tcPr>
          <w:p>
            <w:pPr>
              <w:spacing w:before="40" w:after="40" w:line="240" w:lineRule="auto"/>
              <w:jc w:val="left"/>
            </w:pPr>
            <w:r/>
            <w:r>
              <w:rPr>
                <w:rFonts w:ascii="Times New Roman" w:hAnsi="Times New Roman" w:eastAsia="宋体"/>
                <w:b w:val="0"/>
                <w:sz w:val="19"/>
              </w:rPr>
              <w:t>程序</w:t>
            </w:r>
          </w:p>
        </w:tc>
        <w:tc>
          <w:tcPr>
            <w:tcW w:type="dxa" w:w="2381"/>
          </w:tcPr>
          <w:p>
            <w:pPr>
              <w:spacing w:before="40" w:after="40" w:line="240" w:lineRule="auto"/>
              <w:jc w:val="center"/>
            </w:pPr>
            <w:r/>
            <w:r>
              <w:rPr>
                <w:rFonts w:ascii="Times New Roman" w:hAnsi="Times New Roman" w:eastAsia="宋体"/>
                <w:b w:val="0"/>
                <w:sz w:val="19"/>
              </w:rPr>
              <w:t>环节时序合规</w:t>
            </w:r>
          </w:p>
        </w:tc>
        <w:tc>
          <w:tcPr>
            <w:tcW w:type="dxa" w:w="3628"/>
          </w:tcPr>
          <w:p>
            <w:pPr>
              <w:spacing w:before="40" w:after="40" w:line="240" w:lineRule="auto"/>
              <w:jc w:val="center"/>
            </w:pPr>
            <w:r/>
            <w:r>
              <w:rPr>
                <w:rFonts w:ascii="Times New Roman" w:hAnsi="Times New Roman" w:eastAsia="宋体"/>
                <w:b w:val="0"/>
                <w:sz w:val="19"/>
              </w:rPr>
              <w:t>各环节起止时间戳符合规定顺序</w:t>
            </w:r>
          </w:p>
        </w:tc>
        <w:tc>
          <w:tcPr>
            <w:tcW w:type="dxa" w:w="1587"/>
          </w:tcPr>
          <w:p>
            <w:pPr>
              <w:spacing w:before="40" w:after="40" w:line="240" w:lineRule="auto"/>
              <w:jc w:val="center"/>
            </w:pPr>
            <w:r/>
            <w:r>
              <w:rPr>
                <w:rFonts w:ascii="Times New Roman" w:hAnsi="Times New Roman" w:eastAsia="宋体"/>
                <w:b w:val="0"/>
                <w:sz w:val="19"/>
              </w:rPr>
              <w:t>跨模态</w:t>
            </w:r>
          </w:p>
        </w:tc>
      </w:tr>
      <w:tr>
        <w:tc>
          <w:tcPr>
            <w:tcW w:type="dxa" w:w="907"/>
          </w:tcPr>
          <w:p>
            <w:pPr>
              <w:spacing w:before="40" w:after="40" w:line="240" w:lineRule="auto"/>
              <w:jc w:val="left"/>
            </w:pPr>
            <w:r/>
            <w:r>
              <w:rPr>
                <w:rFonts w:ascii="Times New Roman" w:hAnsi="Times New Roman" w:eastAsia="宋体"/>
                <w:b w:val="0"/>
                <w:sz w:val="19"/>
              </w:rPr>
              <w:t>言语</w:t>
            </w:r>
          </w:p>
        </w:tc>
        <w:tc>
          <w:tcPr>
            <w:tcW w:type="dxa" w:w="2381"/>
          </w:tcPr>
          <w:p>
            <w:pPr>
              <w:spacing w:before="40" w:after="40" w:line="240" w:lineRule="auto"/>
              <w:jc w:val="center"/>
            </w:pPr>
            <w:r/>
            <w:r>
              <w:rPr>
                <w:rFonts w:ascii="Times New Roman" w:hAnsi="Times New Roman" w:eastAsia="宋体"/>
                <w:b w:val="0"/>
                <w:sz w:val="19"/>
              </w:rPr>
              <w:t>文明用语</w:t>
            </w:r>
          </w:p>
        </w:tc>
        <w:tc>
          <w:tcPr>
            <w:tcW w:type="dxa" w:w="3628"/>
          </w:tcPr>
          <w:p>
            <w:pPr>
              <w:spacing w:before="40" w:after="40" w:line="240" w:lineRule="auto"/>
              <w:jc w:val="center"/>
            </w:pPr>
            <w:r/>
            <w:r>
              <w:rPr>
                <w:rFonts w:ascii="Times New Roman" w:hAnsi="Times New Roman" w:eastAsia="宋体"/>
                <w:b w:val="0"/>
                <w:sz w:val="19"/>
              </w:rPr>
              <w:t>无辱骂、威胁、歧视性表述</w:t>
            </w:r>
          </w:p>
        </w:tc>
        <w:tc>
          <w:tcPr>
            <w:tcW w:type="dxa" w:w="1587"/>
          </w:tcPr>
          <w:p>
            <w:pPr>
              <w:spacing w:before="40" w:after="40" w:line="240" w:lineRule="auto"/>
              <w:jc w:val="center"/>
            </w:pPr>
            <w:r/>
            <w:r>
              <w:rPr>
                <w:rFonts w:ascii="Times New Roman" w:hAnsi="Times New Roman" w:eastAsia="宋体"/>
                <w:b w:val="0"/>
                <w:sz w:val="19"/>
              </w:rPr>
              <w:t>语音</w:t>
            </w:r>
          </w:p>
        </w:tc>
      </w:tr>
      <w:tr>
        <w:tc>
          <w:tcPr>
            <w:tcW w:type="dxa" w:w="907"/>
          </w:tcPr>
          <w:p>
            <w:pPr>
              <w:spacing w:before="40" w:after="40" w:line="240" w:lineRule="auto"/>
              <w:jc w:val="left"/>
            </w:pPr>
            <w:r/>
            <w:r>
              <w:rPr>
                <w:rFonts w:ascii="Times New Roman" w:hAnsi="Times New Roman" w:eastAsia="宋体"/>
                <w:b w:val="0"/>
                <w:sz w:val="19"/>
              </w:rPr>
              <w:t>文书</w:t>
            </w:r>
          </w:p>
        </w:tc>
        <w:tc>
          <w:tcPr>
            <w:tcW w:type="dxa" w:w="2381"/>
          </w:tcPr>
          <w:p>
            <w:pPr>
              <w:spacing w:before="40" w:after="40" w:line="240" w:lineRule="auto"/>
              <w:jc w:val="center"/>
            </w:pPr>
            <w:r/>
            <w:r>
              <w:rPr>
                <w:rFonts w:ascii="Times New Roman" w:hAnsi="Times New Roman" w:eastAsia="宋体"/>
                <w:b w:val="0"/>
                <w:sz w:val="19"/>
              </w:rPr>
              <w:t>文书制作与送达</w:t>
            </w:r>
          </w:p>
        </w:tc>
        <w:tc>
          <w:tcPr>
            <w:tcW w:type="dxa" w:w="3628"/>
          </w:tcPr>
          <w:p>
            <w:pPr>
              <w:spacing w:before="40" w:after="40" w:line="240" w:lineRule="auto"/>
              <w:jc w:val="center"/>
            </w:pPr>
            <w:r/>
            <w:r>
              <w:rPr>
                <w:rFonts w:ascii="Times New Roman" w:hAnsi="Times New Roman" w:eastAsia="宋体"/>
                <w:b w:val="0"/>
                <w:sz w:val="19"/>
              </w:rPr>
              <w:t>文书画面可辨 + 交付动作 + 签收确认</w:t>
            </w:r>
          </w:p>
        </w:tc>
        <w:tc>
          <w:tcPr>
            <w:tcW w:type="dxa" w:w="1587"/>
          </w:tcPr>
          <w:p>
            <w:pPr>
              <w:spacing w:before="40" w:after="40" w:line="240" w:lineRule="auto"/>
              <w:jc w:val="center"/>
            </w:pPr>
            <w:r/>
            <w:r>
              <w:rPr>
                <w:rFonts w:ascii="Times New Roman" w:hAnsi="Times New Roman" w:eastAsia="宋体"/>
                <w:b w:val="0"/>
                <w:sz w:val="19"/>
              </w:rPr>
              <w:t>视觉+跨模态</w:t>
            </w:r>
          </w:p>
        </w:tc>
      </w:tr>
      <w:tr>
        <w:tc>
          <w:tcPr>
            <w:tcW w:type="dxa" w:w="907"/>
            <w:tcBorders>
              <w:bottom w:val="single" w:sz="12" w:space="0" w:color="000000"/>
            </w:tcBorders>
          </w:tcPr>
          <w:p>
            <w:pPr>
              <w:spacing w:before="40" w:after="40" w:line="240" w:lineRule="auto"/>
              <w:jc w:val="left"/>
            </w:pPr>
            <w:r/>
            <w:r>
              <w:rPr>
                <w:rFonts w:ascii="Times New Roman" w:hAnsi="Times New Roman" w:eastAsia="宋体"/>
                <w:b w:val="0"/>
                <w:sz w:val="19"/>
              </w:rPr>
              <w:t>文书</w:t>
            </w:r>
          </w:p>
        </w:tc>
        <w:tc>
          <w:tcPr>
            <w:tcW w:type="dxa" w:w="2381"/>
            <w:tcBorders>
              <w:bottom w:val="single" w:sz="12" w:space="0" w:color="000000"/>
            </w:tcBorders>
          </w:tcPr>
          <w:p>
            <w:pPr>
              <w:spacing w:before="40" w:after="40" w:line="240" w:lineRule="auto"/>
              <w:jc w:val="center"/>
            </w:pPr>
            <w:r/>
            <w:r>
              <w:rPr>
                <w:rFonts w:ascii="Times New Roman" w:hAnsi="Times New Roman" w:eastAsia="宋体"/>
                <w:b w:val="0"/>
                <w:sz w:val="19"/>
              </w:rPr>
              <w:t>文书要素完整性</w:t>
            </w:r>
          </w:p>
        </w:tc>
        <w:tc>
          <w:tcPr>
            <w:tcW w:type="dxa" w:w="3628"/>
            <w:tcBorders>
              <w:bottom w:val="single" w:sz="12" w:space="0" w:color="000000"/>
            </w:tcBorders>
          </w:tcPr>
          <w:p>
            <w:pPr>
              <w:spacing w:before="40" w:after="40" w:line="240" w:lineRule="auto"/>
              <w:jc w:val="center"/>
            </w:pPr>
            <w:r/>
            <w:r>
              <w:rPr>
                <w:rFonts w:ascii="Times New Roman" w:hAnsi="Times New Roman" w:eastAsia="宋体"/>
                <w:b w:val="0"/>
                <w:sz w:val="19"/>
              </w:rPr>
              <w:t>关键信息与业务数据库核验一致</w:t>
            </w:r>
          </w:p>
        </w:tc>
        <w:tc>
          <w:tcPr>
            <w:tcW w:type="dxa" w:w="1587"/>
            <w:tcBorders>
              <w:bottom w:val="single" w:sz="12" w:space="0" w:color="000000"/>
            </w:tcBorders>
          </w:tcPr>
          <w:p>
            <w:pPr>
              <w:spacing w:before="40" w:after="40" w:line="240" w:lineRule="auto"/>
              <w:jc w:val="center"/>
            </w:pPr>
            <w:r/>
            <w:r>
              <w:rPr>
                <w:rFonts w:ascii="Times New Roman" w:hAnsi="Times New Roman" w:eastAsia="宋体"/>
                <w:b w:val="0"/>
                <w:sz w:val="19"/>
              </w:rPr>
              <w:t>视觉+文本</w:t>
            </w:r>
          </w:p>
        </w:tc>
      </w:tr>
    </w:tbl>
    <w:p>
      <w:pPr>
        <w:spacing w:before="40" w:after="160" w:line="240" w:lineRule="auto"/>
        <w:ind w:firstLine="0"/>
        <w:jc w:val="left"/>
      </w:pPr>
      <w:r>
        <w:rPr>
          <w:rFonts w:ascii="Times New Roman" w:hAnsi="Times New Roman" w:eastAsia="宋体"/>
          <w:b w:val="0"/>
          <w:sz w:val="18"/>
        </w:rPr>
        <w:t>注：判别模态标注依据各指标所依赖的主要信息通道，用于第 5.4 节的分类效果归因。</w:t>
      </w:r>
    </w:p>
    <w:p>
      <w:pPr>
        <w:spacing w:before="0" w:after="0" w:line="360" w:lineRule="auto"/>
        <w:ind w:firstLine="480"/>
        <w:jc w:val="both"/>
      </w:pPr>
      <w:r>
        <w:rPr>
          <w:rFonts w:ascii="Times New Roman" w:hAnsi="Times New Roman" w:eastAsia="宋体"/>
          <w:b w:val="0"/>
          <w:sz w:val="24"/>
        </w:rPr>
        <w:t>在上述指标基础上，系统把执法过程建模为带时序约束的状态链。如图 3 所示，七个执法环节按规定顺序推进，每个环节对应一组检测项；环节缺失或顺序错位均触发程序瑕疵告警。环节的绝对时间戳由 TMRoPE 提供，这是时序校验能够成立的技术前提。</w:t>
      </w:r>
    </w:p>
    <w:p>
      <w:pPr>
        <w:keepNext/>
        <w:spacing w:before="120" w:after="0" w:line="240" w:lineRule="auto"/>
        <w:jc w:val="center"/>
      </w:pPr>
      <w:r>
        <w:drawing>
          <wp:inline xmlns:a="http://schemas.openxmlformats.org/drawingml/2006/main" xmlns:pic="http://schemas.openxmlformats.org/drawingml/2006/picture">
            <wp:extent cx="5580000" cy="2507592"/>
            <wp:docPr id="3" name="Picture 3"/>
            <wp:cNvGraphicFramePr>
              <a:graphicFrameLocks noChangeAspect="1"/>
            </wp:cNvGraphicFramePr>
            <a:graphic>
              <a:graphicData uri="http://schemas.openxmlformats.org/drawingml/2006/picture">
                <pic:pic>
                  <pic:nvPicPr>
                    <pic:cNvPr id="0" name="p1_c4_procedure.png"/>
                    <pic:cNvPicPr/>
                  </pic:nvPicPr>
                  <pic:blipFill>
                    <a:blip r:embed="rId11"/>
                    <a:stretch>
                      <a:fillRect/>
                    </a:stretch>
                  </pic:blipFill>
                  <pic:spPr>
                    <a:xfrm>
                      <a:off x="0" y="0"/>
                      <a:ext cx="5580000" cy="2507592"/>
                    </a:xfrm>
                    <a:prstGeom prst="rect"/>
                  </pic:spPr>
                </pic:pic>
              </a:graphicData>
            </a:graphic>
          </wp:inline>
        </w:drawing>
      </w:r>
    </w:p>
    <w:p>
      <w:pPr>
        <w:spacing w:before="40" w:after="160" w:line="240" w:lineRule="auto"/>
        <w:jc w:val="center"/>
      </w:pPr>
      <w:r>
        <w:rPr>
          <w:rFonts w:ascii="Times New Roman" w:hAnsi="Times New Roman" w:eastAsia="黑体"/>
          <w:b w:val="0"/>
          <w:sz w:val="21"/>
        </w:rPr>
        <w:t>图 3  执法程序合规性校验路径</w:t>
      </w:r>
    </w:p>
    <w:p>
      <w:pPr>
        <w:keepNext/>
        <w:spacing w:before="160" w:after="80" w:line="360" w:lineRule="auto"/>
        <w:jc w:val="left"/>
      </w:pPr>
      <w:r>
        <w:rPr>
          <w:rFonts w:ascii="Times New Roman" w:hAnsi="Times New Roman" w:eastAsia="黑体"/>
          <w:b w:val="0"/>
          <w:sz w:val="28"/>
        </w:rPr>
        <w:t>2.3  三层技术架构</w:t>
      </w:r>
    </w:p>
    <w:p>
      <w:pPr>
        <w:spacing w:before="0" w:after="0" w:line="360" w:lineRule="auto"/>
        <w:ind w:firstLine="480"/>
        <w:jc w:val="both"/>
      </w:pPr>
      <w:r>
        <w:rPr>
          <w:rFonts w:ascii="Times New Roman" w:hAnsi="Times New Roman" w:eastAsia="宋体"/>
          <w:b w:val="0"/>
          <w:sz w:val="24"/>
        </w:rPr>
        <w:t>把通用多模态大模型落地到专卖执法垂直场景，需要解决通用性与专业性的平衡问题。本研究采用“基础模型 + 领域适配 + 规则引擎”的技术路线，自下而上构建数据层、模型层、应用层三级架构，确保各层独立演进、灵活扩展，系统架构如图 4 所示。与原设计相比，本文在架构中增设了贯穿三层的安全与隐私治理侧栏，其具体内容见第 4 章。</w:t>
      </w:r>
    </w:p>
    <w:p>
      <w:pPr>
        <w:keepNext/>
        <w:spacing w:before="120" w:after="0" w:line="240" w:lineRule="auto"/>
        <w:jc w:val="center"/>
      </w:pPr>
      <w:r>
        <w:drawing>
          <wp:inline xmlns:a="http://schemas.openxmlformats.org/drawingml/2006/main" xmlns:pic="http://schemas.openxmlformats.org/drawingml/2006/picture">
            <wp:extent cx="5040000" cy="3272370"/>
            <wp:docPr id="4" name="Picture 4"/>
            <wp:cNvGraphicFramePr>
              <a:graphicFrameLocks noChangeAspect="1"/>
            </wp:cNvGraphicFramePr>
            <a:graphic>
              <a:graphicData uri="http://schemas.openxmlformats.org/drawingml/2006/picture">
                <pic:pic>
                  <pic:nvPicPr>
                    <pic:cNvPr id="0" name="p1_c2_architecture.png"/>
                    <pic:cNvPicPr/>
                  </pic:nvPicPr>
                  <pic:blipFill>
                    <a:blip r:embed="rId12"/>
                    <a:stretch>
                      <a:fillRect/>
                    </a:stretch>
                  </pic:blipFill>
                  <pic:spPr>
                    <a:xfrm>
                      <a:off x="0" y="0"/>
                      <a:ext cx="5040000" cy="3272370"/>
                    </a:xfrm>
                    <a:prstGeom prst="rect"/>
                  </pic:spPr>
                </pic:pic>
              </a:graphicData>
            </a:graphic>
          </wp:inline>
        </w:drawing>
      </w:r>
    </w:p>
    <w:p>
      <w:pPr>
        <w:spacing w:before="40" w:after="160" w:line="240" w:lineRule="auto"/>
        <w:jc w:val="center"/>
      </w:pPr>
      <w:r>
        <w:rPr>
          <w:rFonts w:ascii="Times New Roman" w:hAnsi="Times New Roman" w:eastAsia="黑体"/>
          <w:b w:val="0"/>
          <w:sz w:val="21"/>
        </w:rPr>
        <w:t>图 4  执法视频智能分析系统三层架构</w:t>
      </w:r>
    </w:p>
    <w:p>
      <w:pPr>
        <w:spacing w:before="0" w:after="0" w:line="360" w:lineRule="auto"/>
        <w:ind w:firstLine="480"/>
        <w:jc w:val="both"/>
      </w:pPr>
      <w:r>
        <w:rPr>
          <w:rFonts w:ascii="Times New Roman" w:hAnsi="Times New Roman" w:eastAsia="宋体"/>
          <w:b w:val="0"/>
          <w:sz w:val="24"/>
        </w:rPr>
        <w:t>数据层承担多源数据的采集、存储与预处理。执法记录仪视频经管理平台自动同步接入，统一转码为 H.264 编码的 MP4 格式，分辨率以 1080P 为主；案件信息、执法人员信息、检查信息等结构化数据同步入库，为视频分析提供业务上下文。数据层采用分层存储结构，热数据存入高性能分布式文件系统，冷数据归档至对象存储，以平衡访问速度与存储成本。</w:t>
      </w:r>
    </w:p>
    <w:p>
      <w:pPr>
        <w:spacing w:before="0" w:after="0" w:line="360" w:lineRule="auto"/>
        <w:ind w:firstLine="480"/>
        <w:jc w:val="both"/>
      </w:pPr>
      <w:r>
        <w:rPr>
          <w:rFonts w:ascii="Times New Roman" w:hAnsi="Times New Roman" w:eastAsia="宋体"/>
          <w:b w:val="0"/>
          <w:sz w:val="24"/>
        </w:rPr>
        <w:t>模型层是系统的智能中枢。核心推理引擎由 Qwen Omni 大模型承担，执行视频理解、音频转写、跨模态推理与自然语言交互等任务[5]；LoRA 领域适配器负责专卖执法场景的知识注入；程序合规规则引擎负责把模型的语义输出映射为表 1 的检测结论；模型服务网关对外提供统一 API，并支持按任务量动态扩缩容。</w:t>
      </w:r>
    </w:p>
    <w:p>
      <w:pPr>
        <w:spacing w:before="0" w:after="0" w:line="360" w:lineRule="auto"/>
        <w:ind w:firstLine="480"/>
        <w:jc w:val="both"/>
      </w:pPr>
      <w:r>
        <w:rPr>
          <w:rFonts w:ascii="Times New Roman" w:hAnsi="Times New Roman" w:eastAsia="宋体"/>
          <w:b w:val="0"/>
          <w:sz w:val="24"/>
        </w:rPr>
        <w:t>应用层面向不同角色提供差异化功能。法制监督端提供视频质检任务管理、合规报告查看、问题视频复核与统计分析仪表盘；执法办案端提供智能视频检索、证据整理与案件视频归档；管理决策端提供执法规范度统计、趋势分析与风险预警的可视化服务。需要说明的是，管理决策端的统计结果用于培训改进与制度完善，其在考核中的使用受第 4.4 节所述规则约束。</w:t>
      </w:r>
    </w:p>
    <w:p>
      <w:pPr>
        <w:keepNext/>
        <w:spacing w:before="240" w:after="120" w:line="360" w:lineRule="auto"/>
        <w:jc w:val="left"/>
      </w:pPr>
      <w:r>
        <w:rPr>
          <w:rFonts w:ascii="Times New Roman" w:hAnsi="Times New Roman" w:eastAsia="黑体"/>
          <w:b/>
          <w:sz w:val="30"/>
        </w:rPr>
        <w:t>3  核心算法与工程实现</w:t>
      </w:r>
    </w:p>
    <w:p>
      <w:pPr>
        <w:keepNext/>
        <w:spacing w:before="160" w:after="80" w:line="360" w:lineRule="auto"/>
        <w:jc w:val="left"/>
      </w:pPr>
      <w:r>
        <w:rPr>
          <w:rFonts w:ascii="Times New Roman" w:hAnsi="Times New Roman" w:eastAsia="黑体"/>
          <w:b w:val="0"/>
          <w:sz w:val="28"/>
        </w:rPr>
        <w:t>3.1  关键帧自适应采样</w:t>
      </w:r>
    </w:p>
    <w:p>
      <w:pPr>
        <w:spacing w:before="0" w:after="0" w:line="360" w:lineRule="auto"/>
        <w:ind w:firstLine="480"/>
        <w:jc w:val="both"/>
      </w:pPr>
      <w:r>
        <w:rPr>
          <w:rFonts w:ascii="Times New Roman" w:hAnsi="Times New Roman" w:eastAsia="宋体"/>
          <w:b w:val="0"/>
          <w:sz w:val="24"/>
        </w:rPr>
        <w:t>执法记录仪视频含有大量冗余信息，逐帧分析成本高昂；而每 2～3 秒一帧的固定间隔抽帧又容易漏掉出示证件等仅持续 1～2 秒的快速关键动作。本研究采用自适应采样策略：以画面变化率与语音活动检测联合触发，在场景平稳段降低采样率、在动作密集段与语音活跃段提高采样率，平均采样率控制在每秒 1～2 帧，在不丢失关键信息的前提下把平均抽帧量降低约 60%。</w:t>
      </w:r>
    </w:p>
    <w:p>
      <w:pPr>
        <w:keepNext/>
        <w:spacing w:before="160" w:after="80" w:line="360" w:lineRule="auto"/>
        <w:jc w:val="left"/>
      </w:pPr>
      <w:r>
        <w:rPr>
          <w:rFonts w:ascii="Times New Roman" w:hAnsi="Times New Roman" w:eastAsia="黑体"/>
          <w:b w:val="0"/>
          <w:sz w:val="28"/>
        </w:rPr>
        <w:t>3.2  基于 LoRA 的领域微调</w:t>
      </w:r>
    </w:p>
    <w:p>
      <w:pPr>
        <w:spacing w:before="0" w:after="0" w:line="360" w:lineRule="auto"/>
        <w:ind w:firstLine="480"/>
        <w:jc w:val="both"/>
      </w:pPr>
      <w:r>
        <w:rPr>
          <w:rFonts w:ascii="Times New Roman" w:hAnsi="Times New Roman" w:eastAsia="宋体"/>
          <w:b w:val="0"/>
          <w:sz w:val="24"/>
        </w:rPr>
        <w:t>通用 Qwen Omni 模型对一般视频理解的准确性较高，但对烟草专卖执法领域特定违规行为的识别仍显不足。本研究采用 LoRA（低秩适配）方法进行领域微调，在冻结基座权重的前提下仅训练低秩增量矩阵，在控制计算成本的同时提升领域表现。</w:t>
      </w:r>
    </w:p>
    <w:p>
      <w:pPr>
        <w:spacing w:before="0" w:after="0" w:line="360" w:lineRule="auto"/>
        <w:ind w:firstLine="480"/>
        <w:jc w:val="both"/>
      </w:pPr>
      <w:r>
        <w:rPr>
          <w:rFonts w:ascii="Times New Roman" w:hAnsi="Times New Roman" w:eastAsia="宋体"/>
          <w:b w:val="0"/>
          <w:sz w:val="24"/>
        </w:rPr>
        <w:t>微调数据集构建是关键环节。从 2023—2024 年度执法视频库中选取 500 条代表性样本，由资深法制审核人员按统一标准进行三级标注：视频级标注总体合规性与主要违规类型，片段级标注各执法环节的起止时间戳与具体问题，帧级标注出示证件等关键动作的精确帧位置。</w:t>
      </w:r>
      <w:r>
        <w:rPr>
          <w:rFonts w:ascii="Times New Roman" w:hAnsi="Times New Roman" w:eastAsia="宋体"/>
          <w:b/>
          <w:sz w:val="24"/>
        </w:rPr>
        <w:t>需特别说明：微调数据集与第 5 章的测试数据集在视频编号层面完全互斥，二者分别来自不同年度、不同稽查中队的视频，不存在样本重叠。</w:t>
      </w:r>
      <w:r>
        <w:rPr>
          <w:rFonts w:ascii="Times New Roman" w:hAnsi="Times New Roman" w:eastAsia="宋体"/>
          <w:b w:val="0"/>
          <w:sz w:val="24"/>
        </w:rPr>
        <w:t>为保证标注质量，其中 120 条样本由两名审核人员独立标注，用于计算标注一致性系数（Cohen's Kappa），一致性未达 0.75 的指标项经集体评议后统一口径再行标注。</w:t>
      </w:r>
    </w:p>
    <w:p>
      <w:pPr>
        <w:keepNext/>
        <w:spacing w:before="160" w:after="80" w:line="360" w:lineRule="auto"/>
        <w:jc w:val="left"/>
      </w:pPr>
      <w:r>
        <w:rPr>
          <w:rFonts w:ascii="Times New Roman" w:hAnsi="Times New Roman" w:eastAsia="黑体"/>
          <w:b w:val="0"/>
          <w:sz w:val="28"/>
        </w:rPr>
        <w:t>3.3  程序合规规则引擎</w:t>
      </w:r>
    </w:p>
    <w:p>
      <w:pPr>
        <w:spacing w:before="0" w:after="0" w:line="360" w:lineRule="auto"/>
        <w:ind w:firstLine="480"/>
        <w:jc w:val="both"/>
      </w:pPr>
      <w:r>
        <w:rPr>
          <w:rFonts w:ascii="Times New Roman" w:hAnsi="Times New Roman" w:eastAsia="宋体"/>
          <w:b w:val="0"/>
          <w:sz w:val="24"/>
        </w:rPr>
        <w:t>大模型输出的是自然语言描述与时间戳，需要经规则引擎转换为结构化的合规结论。规则引擎按表 1 的指标体系逐项判定，并执行三类规则：存在性规则（某环节是否出现）、时序规则（环节先后顺序是否合规）、一致性规则（文书要素与业务数据库是否匹配）。规则引擎的引入使系统的判定过程可追溯、可解释——每一条告警都能定位到具体的规则条款与视频时间戳，这是算法结论能够被复核的前提。</w:t>
      </w:r>
    </w:p>
    <w:p>
      <w:pPr>
        <w:keepNext/>
        <w:spacing w:before="160" w:after="80" w:line="360" w:lineRule="auto"/>
        <w:jc w:val="left"/>
      </w:pPr>
      <w:r>
        <w:rPr>
          <w:rFonts w:ascii="Times New Roman" w:hAnsi="Times New Roman" w:eastAsia="黑体"/>
          <w:b w:val="0"/>
          <w:sz w:val="28"/>
        </w:rPr>
        <w:t>3.4  服务化部署与前端交互</w:t>
      </w:r>
    </w:p>
    <w:p>
      <w:pPr>
        <w:spacing w:before="0" w:after="0" w:line="360" w:lineRule="auto"/>
        <w:ind w:firstLine="480"/>
        <w:jc w:val="both"/>
      </w:pPr>
      <w:r>
        <w:rPr>
          <w:rFonts w:ascii="Times New Roman" w:hAnsi="Times New Roman" w:eastAsia="宋体"/>
          <w:b w:val="0"/>
          <w:sz w:val="24"/>
        </w:rPr>
        <w:t>系统以服务化架构进行推理，通过 FastAPI 提供 RESTful 接口，实现视频分析任务的提交、查询与结果获取，并与 vLLM 结合提高批量处理吞吐。前端请求分发至多个推理节点并发处理，具备水平扩展与容错能力。任务调度采用消息队列异步方式，按实时辅助执法、单条视频质检、批量统计分析三个优先级分配资源。</w:t>
      </w:r>
    </w:p>
    <w:p>
      <w:pPr>
        <w:spacing w:before="0" w:after="0" w:line="360" w:lineRule="auto"/>
        <w:ind w:firstLine="480"/>
        <w:jc w:val="both"/>
      </w:pPr>
      <w:r>
        <w:rPr>
          <w:rFonts w:ascii="Times New Roman" w:hAnsi="Times New Roman" w:eastAsia="宋体"/>
          <w:b w:val="0"/>
          <w:sz w:val="24"/>
        </w:rPr>
        <w:t>前端采用 Vue3 与 Element Plus 技术栈开发，围绕视频复核、报告查看、检索分析三个场景优化交互。除常规播放控制外，标注式时序条把亮证、检查、送达等环节的起止位置区分显示，点击即跳转至相应片段；违规片段以红色高亮，鼠标悬停显示违规原因与对应规则条款。法制人员无需完整观看视频，只需关注关键节点与问题片段，这是第 5.5 节人机协同筛查策略得以实施的界面基础。</w:t>
      </w:r>
    </w:p>
    <w:p>
      <w:pPr>
        <w:keepNext/>
        <w:spacing w:before="240" w:after="120" w:line="360" w:lineRule="auto"/>
        <w:jc w:val="left"/>
      </w:pPr>
      <w:r>
        <w:rPr>
          <w:rFonts w:ascii="Times New Roman" w:hAnsi="Times New Roman" w:eastAsia="黑体"/>
          <w:b/>
          <w:sz w:val="30"/>
        </w:rPr>
        <w:t>4  数据合规与算法治理</w:t>
      </w:r>
    </w:p>
    <w:p>
      <w:pPr>
        <w:spacing w:before="0" w:after="0" w:line="360" w:lineRule="auto"/>
        <w:ind w:firstLine="480"/>
        <w:jc w:val="both"/>
      </w:pPr>
      <w:r>
        <w:rPr>
          <w:rFonts w:ascii="Times New Roman" w:hAnsi="Times New Roman" w:eastAsia="宋体"/>
          <w:b w:val="0"/>
          <w:sz w:val="24"/>
        </w:rPr>
        <w:t>执法视频智能分析系统处理的是含有公民人脸、声纹等敏感个人信息的音视频数据，其输出又直接指向执法人员的履职评价。因此，系统能否落地，技术性能只是必要条件，合规性与正当性才是充分条件。本章提出数据、效力、用途三条边界，构成系统的治理框架。</w:t>
      </w:r>
    </w:p>
    <w:p>
      <w:pPr>
        <w:keepNext/>
        <w:spacing w:before="160" w:after="80" w:line="360" w:lineRule="auto"/>
        <w:jc w:val="left"/>
      </w:pPr>
      <w:r>
        <w:rPr>
          <w:rFonts w:ascii="Times New Roman" w:hAnsi="Times New Roman" w:eastAsia="黑体"/>
          <w:b w:val="0"/>
          <w:sz w:val="28"/>
        </w:rPr>
        <w:t>4.1  数据边界：个人信息保护要求的技术落实</w:t>
      </w:r>
    </w:p>
    <w:p>
      <w:pPr>
        <w:spacing w:before="0" w:after="0" w:line="360" w:lineRule="auto"/>
        <w:ind w:firstLine="480"/>
        <w:jc w:val="both"/>
      </w:pPr>
      <w:r>
        <w:rPr>
          <w:rFonts w:ascii="Times New Roman" w:hAnsi="Times New Roman" w:eastAsia="宋体"/>
          <w:b w:val="0"/>
          <w:sz w:val="24"/>
        </w:rPr>
        <w:t>《中华人民共和国个人信息保护法》第二十六条对在公共场所安装图像采集设备作出专门规定，第二十八条、第二十九条对包含生物识别信息在内的敏感个人信息处理提出更严格要求[9]。执法记录仪采集的音视频同时包含执法人员与行政相对人的人脸、声纹信息，属于敏感个人信息范畴。据此，系统设计遵循三项技术要求：</w:t>
      </w:r>
    </w:p>
    <w:p>
      <w:pPr>
        <w:spacing w:before="0" w:after="0" w:line="360" w:lineRule="auto"/>
        <w:ind w:firstLine="480"/>
        <w:jc w:val="both"/>
      </w:pPr>
      <w:r>
        <w:rPr>
          <w:rFonts w:ascii="Times New Roman" w:hAnsi="Times New Roman" w:eastAsia="宋体"/>
          <w:b w:val="0"/>
          <w:sz w:val="24"/>
        </w:rPr>
        <w:t>第一，</w:t>
      </w:r>
      <w:r>
        <w:rPr>
          <w:rFonts w:ascii="Times New Roman" w:hAnsi="Times New Roman" w:eastAsia="宋体"/>
          <w:b/>
          <w:sz w:val="24"/>
        </w:rPr>
        <w:t>本地化处理</w:t>
      </w:r>
      <w:r>
        <w:rPr>
          <w:rFonts w:ascii="Times New Roman" w:hAnsi="Times New Roman" w:eastAsia="宋体"/>
          <w:b w:val="0"/>
          <w:sz w:val="24"/>
        </w:rPr>
        <w:t>。模型以私有化方式部署于省局政务云环境，原始音视频不出政务云边界，不调用任何公网大模型 API，从根本上避免数据出境与第三方委托处理带来的合规风险。这也是本研究选择 Qwen Omni 而非直接调用商用闭源大模型服务的重要原因之一。</w:t>
      </w:r>
    </w:p>
    <w:p>
      <w:pPr>
        <w:spacing w:before="0" w:after="0" w:line="360" w:lineRule="auto"/>
        <w:ind w:firstLine="480"/>
        <w:jc w:val="both"/>
      </w:pPr>
      <w:r>
        <w:rPr>
          <w:rFonts w:ascii="Times New Roman" w:hAnsi="Times New Roman" w:eastAsia="宋体"/>
          <w:b w:val="0"/>
          <w:sz w:val="24"/>
        </w:rPr>
        <w:t>第二，</w:t>
      </w:r>
      <w:r>
        <w:rPr>
          <w:rFonts w:ascii="Times New Roman" w:hAnsi="Times New Roman" w:eastAsia="宋体"/>
          <w:b/>
          <w:sz w:val="24"/>
        </w:rPr>
        <w:t>最小必要处理</w:t>
      </w:r>
      <w:r>
        <w:rPr>
          <w:rFonts w:ascii="Times New Roman" w:hAnsi="Times New Roman" w:eastAsia="宋体"/>
          <w:b w:val="0"/>
          <w:sz w:val="24"/>
        </w:rPr>
        <w:t>。推理前对与合规判定无关的人脸区域执行去标识化处理，仅保留判定所必需的信息通道；分析报告中涉及行政相对人姓名、许可证号等信息的，在归档与对外展示环节做脱敏处理。</w:t>
      </w:r>
    </w:p>
    <w:p>
      <w:pPr>
        <w:spacing w:before="0" w:after="0" w:line="360" w:lineRule="auto"/>
        <w:ind w:firstLine="480"/>
        <w:jc w:val="both"/>
      </w:pPr>
      <w:r>
        <w:rPr>
          <w:rFonts w:ascii="Times New Roman" w:hAnsi="Times New Roman" w:eastAsia="宋体"/>
          <w:b w:val="0"/>
          <w:sz w:val="24"/>
        </w:rPr>
        <w:t>第三，</w:t>
      </w:r>
      <w:r>
        <w:rPr>
          <w:rFonts w:ascii="Times New Roman" w:hAnsi="Times New Roman" w:eastAsia="宋体"/>
          <w:b/>
          <w:sz w:val="24"/>
        </w:rPr>
        <w:t>分级授权与审计留痕</w:t>
      </w:r>
      <w:r>
        <w:rPr>
          <w:rFonts w:ascii="Times New Roman" w:hAnsi="Times New Roman" w:eastAsia="宋体"/>
          <w:b w:val="0"/>
          <w:sz w:val="24"/>
        </w:rPr>
        <w:t>。按数据敏感度实施分类分级管理，视频原件、分析报告、统计结果对应不同访问权限；所有调阅行为记录操作人、时间、事由并留存审计日志，《生成式人工智能服务管理暂行办法》对训练数据与生成内容的管理要求同步落实到运维流程中[10]。</w:t>
      </w:r>
    </w:p>
    <w:p>
      <w:pPr>
        <w:keepNext/>
        <w:spacing w:before="160" w:after="80" w:line="360" w:lineRule="auto"/>
        <w:jc w:val="left"/>
      </w:pPr>
      <w:r>
        <w:rPr>
          <w:rFonts w:ascii="Times New Roman" w:hAnsi="Times New Roman" w:eastAsia="黑体"/>
          <w:b w:val="0"/>
          <w:sz w:val="28"/>
        </w:rPr>
        <w:t>4.2  效力边界：人在回路的责任配置</w:t>
      </w:r>
    </w:p>
    <w:p>
      <w:pPr>
        <w:spacing w:before="0" w:after="0" w:line="360" w:lineRule="auto"/>
        <w:ind w:firstLine="480"/>
        <w:jc w:val="both"/>
      </w:pPr>
      <w:r>
        <w:rPr>
          <w:rFonts w:ascii="Times New Roman" w:hAnsi="Times New Roman" w:eastAsia="宋体"/>
          <w:b w:val="0"/>
          <w:sz w:val="24"/>
        </w:rPr>
        <w:t>算法判定能否作为对执法人员追责的依据，是本系统必须正面回答的问题。本文的立场是：</w:t>
      </w:r>
      <w:r>
        <w:rPr>
          <w:rFonts w:ascii="Times New Roman" w:hAnsi="Times New Roman" w:eastAsia="宋体"/>
          <w:b/>
          <w:sz w:val="24"/>
        </w:rPr>
        <w:t>算法输出定位为“线索提示”而非“认定结论”，最终认定权保留于法制审核人员</w:t>
      </w:r>
      <w:r>
        <w:rPr>
          <w:rFonts w:ascii="Times New Roman" w:hAnsi="Times New Roman" w:eastAsia="宋体"/>
          <w:b w:val="0"/>
          <w:sz w:val="24"/>
        </w:rPr>
        <w:t>。这一定位有三方面理由：其一，模型对部分指标的识别准确率尚在 88%～96% 区间，误报不可避免，直接据以追责将造成对合规执法行为的误伤；其二，执法程序的合规性判断包含情境因素，如现场存在安全风险时执法人员调整取证顺序，属于合理裁量，模型难以识别；其三，行政相对人与执法人员对算法结论均应享有异议权，这是人机协作系统设计的基本准则[11]。</w:t>
      </w:r>
    </w:p>
    <w:p>
      <w:pPr>
        <w:spacing w:before="0" w:after="0" w:line="360" w:lineRule="auto"/>
        <w:ind w:firstLine="480"/>
        <w:jc w:val="both"/>
      </w:pPr>
      <w:r>
        <w:rPr>
          <w:rFonts w:ascii="Times New Roman" w:hAnsi="Times New Roman" w:eastAsia="宋体"/>
          <w:b w:val="0"/>
          <w:sz w:val="24"/>
        </w:rPr>
        <w:t>据此，系统建立如图 5 所示的治理机制：从视频采集、去标识化、私有模型推理，到风险提示、人工复核与认定，形成一条主链；执法人员对认定结果有异议的，可通过申诉通道提出，申诉结论一并进入标注与训练反馈闭环，用于模型迭代。个人信息保护边界覆盖采集至推理的全过程。</w:t>
      </w:r>
    </w:p>
    <w:p>
      <w:pPr>
        <w:keepNext/>
        <w:spacing w:before="120" w:after="0" w:line="240" w:lineRule="auto"/>
        <w:jc w:val="center"/>
      </w:pPr>
      <w:r>
        <w:drawing>
          <wp:inline xmlns:a="http://schemas.openxmlformats.org/drawingml/2006/main" xmlns:pic="http://schemas.openxmlformats.org/drawingml/2006/picture">
            <wp:extent cx="5580000" cy="2909275"/>
            <wp:docPr id="5" name="Picture 5"/>
            <wp:cNvGraphicFramePr>
              <a:graphicFrameLocks noChangeAspect="1"/>
            </wp:cNvGraphicFramePr>
            <a:graphic>
              <a:graphicData uri="http://schemas.openxmlformats.org/drawingml/2006/picture">
                <pic:pic>
                  <pic:nvPicPr>
                    <pic:cNvPr id="0" name="p1_c5_governance.png"/>
                    <pic:cNvPicPr/>
                  </pic:nvPicPr>
                  <pic:blipFill>
                    <a:blip r:embed="rId13"/>
                    <a:stretch>
                      <a:fillRect/>
                    </a:stretch>
                  </pic:blipFill>
                  <pic:spPr>
                    <a:xfrm>
                      <a:off x="0" y="0"/>
                      <a:ext cx="5580000" cy="2909275"/>
                    </a:xfrm>
                    <a:prstGeom prst="rect"/>
                  </pic:spPr>
                </pic:pic>
              </a:graphicData>
            </a:graphic>
          </wp:inline>
        </w:drawing>
      </w:r>
    </w:p>
    <w:p>
      <w:pPr>
        <w:spacing w:before="40" w:after="160" w:line="240" w:lineRule="auto"/>
        <w:jc w:val="center"/>
      </w:pPr>
      <w:r>
        <w:rPr>
          <w:rFonts w:ascii="Times New Roman" w:hAnsi="Times New Roman" w:eastAsia="黑体"/>
          <w:b w:val="0"/>
          <w:sz w:val="21"/>
        </w:rPr>
        <w:t>图 5  数据合规与人在回路治理机制</w:t>
      </w:r>
    </w:p>
    <w:p>
      <w:pPr>
        <w:keepNext/>
        <w:spacing w:before="160" w:after="80" w:line="360" w:lineRule="auto"/>
        <w:jc w:val="left"/>
      </w:pPr>
      <w:r>
        <w:rPr>
          <w:rFonts w:ascii="Times New Roman" w:hAnsi="Times New Roman" w:eastAsia="黑体"/>
          <w:b w:val="0"/>
          <w:sz w:val="28"/>
        </w:rPr>
        <w:t>4.3  用途边界：从追责导向转为改进导向</w:t>
      </w:r>
    </w:p>
    <w:p>
      <w:pPr>
        <w:spacing w:before="0" w:after="0" w:line="360" w:lineRule="auto"/>
        <w:ind w:firstLine="480"/>
        <w:jc w:val="both"/>
      </w:pPr>
      <w:r>
        <w:rPr>
          <w:rFonts w:ascii="Times New Roman" w:hAnsi="Times New Roman" w:eastAsia="宋体"/>
          <w:b w:val="0"/>
          <w:sz w:val="24"/>
        </w:rPr>
        <w:t>分析结果的用途直接决定一线人员对系统的接受程度。本文主张分析结果优先用于三类改进性用途：一是执法人员个人的程序瑕疵提示与整改闭环；二是单位层面的高频问题识别与针对性培训设计；三是制度层面的规范修订依据——若某一环节的瑕疵率在全局普遍偏高，首先应检讨的是规范表述是否清晰、流程设计是否可行，而非追究个人责任。在考核中使用统计结果时，应以整改完成率而非瑕疵发生率作为主要指标。</w:t>
      </w:r>
    </w:p>
    <w:p>
      <w:pPr>
        <w:keepNext/>
        <w:spacing w:before="160" w:after="80" w:line="360" w:lineRule="auto"/>
        <w:jc w:val="left"/>
      </w:pPr>
      <w:r>
        <w:rPr>
          <w:rFonts w:ascii="Times New Roman" w:hAnsi="Times New Roman" w:eastAsia="黑体"/>
          <w:b w:val="0"/>
          <w:sz w:val="28"/>
        </w:rPr>
        <w:t>4.4  目标替代风险与激励相容设计</w:t>
      </w:r>
    </w:p>
    <w:p>
      <w:pPr>
        <w:spacing w:before="0" w:after="0" w:line="360" w:lineRule="auto"/>
        <w:ind w:firstLine="480"/>
        <w:jc w:val="both"/>
      </w:pPr>
      <w:r>
        <w:rPr>
          <w:rFonts w:ascii="Times New Roman" w:hAnsi="Times New Roman" w:eastAsia="宋体"/>
          <w:b w:val="0"/>
          <w:sz w:val="24"/>
        </w:rPr>
        <w:t>全量监督与考核挂钩后，存在一类需要事前防范的组织行为风险，管理学称之为绩效度量的功能失调或目标替代[15]：当被监督者知晓监督规则时，其理性反应可能是使</w:t>
      </w:r>
      <w:r>
        <w:rPr>
          <w:rFonts w:ascii="Times New Roman" w:hAnsi="Times New Roman" w:eastAsia="宋体"/>
          <w:b/>
          <w:sz w:val="24"/>
        </w:rPr>
        <w:t>镜头合规</w:t>
      </w:r>
      <w:r>
        <w:rPr>
          <w:rFonts w:ascii="Times New Roman" w:hAnsi="Times New Roman" w:eastAsia="宋体"/>
          <w:b w:val="0"/>
          <w:sz w:val="24"/>
        </w:rPr>
        <w:t>而非使</w:t>
      </w:r>
      <w:r>
        <w:rPr>
          <w:rFonts w:ascii="Times New Roman" w:hAnsi="Times New Roman" w:eastAsia="宋体"/>
          <w:b/>
          <w:sz w:val="24"/>
        </w:rPr>
        <w:t>执法合规</w:t>
      </w:r>
      <w:r>
        <w:rPr>
          <w:rFonts w:ascii="Times New Roman" w:hAnsi="Times New Roman" w:eastAsia="宋体"/>
          <w:b w:val="0"/>
          <w:sz w:val="24"/>
        </w:rPr>
        <w:t>，表现为刻意对镜头完成亮证动作而实质沟通不充分、在关键环节走出取景范围、乃至以设备故障为由规避录制。此类行为使监督数据虚假向好，反而掩盖真实风险。</w:t>
      </w:r>
    </w:p>
    <w:p>
      <w:pPr>
        <w:spacing w:before="0" w:after="0" w:line="360" w:lineRule="auto"/>
        <w:ind w:firstLine="480"/>
        <w:jc w:val="both"/>
      </w:pPr>
      <w:r>
        <w:rPr>
          <w:rFonts w:ascii="Times New Roman" w:hAnsi="Times New Roman" w:eastAsia="宋体"/>
          <w:b w:val="0"/>
          <w:sz w:val="24"/>
        </w:rPr>
        <w:t>为此，本文提出三项配套设计：其一，设置反向监测指标，对视频时长异常缩短率、镜头长时间遮挡率、关键环节画面外完成率进行监测，此类指标异常本身即触发人工核查；其二，采用“首违提示 + 整改闭环”而非直接扣分，首次发现的程序瑕疵仅推送提示并跟踪整改，重复发生方进入考核；其三，把单位规范度得分的考核权重设定在较低水平，把培训参与度与整改及时率作为主要考核项，从激励结构上消除造假动机。</w:t>
      </w:r>
    </w:p>
    <w:p>
      <w:pPr>
        <w:keepNext/>
        <w:spacing w:before="240" w:after="120" w:line="360" w:lineRule="auto"/>
        <w:jc w:val="left"/>
      </w:pPr>
      <w:r>
        <w:rPr>
          <w:rFonts w:ascii="Times New Roman" w:hAnsi="Times New Roman" w:eastAsia="黑体"/>
          <w:b/>
          <w:sz w:val="30"/>
        </w:rPr>
        <w:t>5  实验验证</w:t>
      </w:r>
    </w:p>
    <w:p>
      <w:pPr>
        <w:keepNext/>
        <w:spacing w:before="160" w:after="80" w:line="360" w:lineRule="auto"/>
        <w:jc w:val="left"/>
      </w:pPr>
      <w:r>
        <w:rPr>
          <w:rFonts w:ascii="Times New Roman" w:hAnsi="Times New Roman" w:eastAsia="黑体"/>
          <w:b w:val="0"/>
          <w:sz w:val="28"/>
        </w:rPr>
        <w:t>5.1  数据集与评价指标</w:t>
      </w:r>
    </w:p>
    <w:p>
      <w:pPr>
        <w:spacing w:before="0" w:after="0" w:line="360" w:lineRule="auto"/>
        <w:ind w:firstLine="480"/>
        <w:jc w:val="both"/>
      </w:pPr>
      <w:r>
        <w:rPr>
          <w:rFonts w:ascii="Times New Roman" w:hAnsi="Times New Roman" w:eastAsia="宋体"/>
          <w:b w:val="0"/>
          <w:sz w:val="24"/>
        </w:rPr>
        <w:t>为检验系统实际效果，本文使用嘉兴市烟草专卖局真实执法视频数据构建测试集，数据集构成如表 2 所示。测试集与第 3.2 节的微调数据集互斥，标注由案件审理员与法制审核员独立完成并经交叉复核，作为基准真值[6-7]。</w:t>
      </w:r>
    </w:p>
    <w:p>
      <w:pPr>
        <w:keepNext/>
        <w:spacing w:before="160" w:after="40" w:line="240" w:lineRule="auto"/>
        <w:jc w:val="center"/>
      </w:pPr>
      <w:r>
        <w:rPr>
          <w:rFonts w:ascii="Times New Roman" w:hAnsi="Times New Roman" w:eastAsia="黑体"/>
          <w:b w:val="0"/>
          <w:sz w:val="21"/>
        </w:rPr>
        <w:t>表 2  测试数据集构成</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204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项目</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取值</w:t>
            </w:r>
          </w:p>
        </w:tc>
        <w:tc>
          <w:tcPr>
            <w:tcW w:type="dxa" w:w="4195"/>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说明</w:t>
            </w:r>
          </w:p>
        </w:tc>
      </w:tr>
      <w:tr>
        <w:tc>
          <w:tcPr>
            <w:tcW w:type="dxa" w:w="2041"/>
          </w:tcPr>
          <w:p>
            <w:pPr>
              <w:spacing w:before="40" w:after="40" w:line="240" w:lineRule="auto"/>
              <w:jc w:val="left"/>
            </w:pPr>
            <w:r/>
            <w:r>
              <w:rPr>
                <w:rFonts w:ascii="Times New Roman" w:hAnsi="Times New Roman" w:eastAsia="宋体"/>
                <w:b w:val="0"/>
                <w:sz w:val="19"/>
              </w:rPr>
              <w:t>视频条数</w:t>
            </w:r>
          </w:p>
        </w:tc>
        <w:tc>
          <w:tcPr>
            <w:tcW w:type="dxa" w:w="2268"/>
          </w:tcPr>
          <w:p>
            <w:pPr>
              <w:spacing w:before="40" w:after="40" w:line="240" w:lineRule="auto"/>
              <w:jc w:val="center"/>
            </w:pPr>
            <w:r/>
            <w:r>
              <w:rPr>
                <w:rFonts w:ascii="Times New Roman" w:hAnsi="Times New Roman" w:eastAsia="宋体"/>
                <w:b w:val="0"/>
                <w:sz w:val="19"/>
              </w:rPr>
              <w:t>500 条</w:t>
            </w:r>
          </w:p>
        </w:tc>
        <w:tc>
          <w:tcPr>
            <w:tcW w:type="dxa" w:w="4195"/>
          </w:tcPr>
          <w:p>
            <w:pPr>
              <w:spacing w:before="40" w:after="40" w:line="240" w:lineRule="auto"/>
              <w:jc w:val="center"/>
            </w:pPr>
            <w:r/>
            <w:r>
              <w:rPr>
                <w:rFonts w:ascii="Times New Roman" w:hAnsi="Times New Roman" w:eastAsia="宋体"/>
                <w:b w:val="0"/>
                <w:sz w:val="19"/>
              </w:rPr>
              <w:t>自 2024—2025 年度执法视频库分层抽取</w:t>
            </w:r>
          </w:p>
        </w:tc>
      </w:tr>
      <w:tr>
        <w:tc>
          <w:tcPr>
            <w:tcW w:type="dxa" w:w="2041"/>
          </w:tcPr>
          <w:p>
            <w:pPr>
              <w:spacing w:before="40" w:after="40" w:line="240" w:lineRule="auto"/>
              <w:jc w:val="left"/>
            </w:pPr>
            <w:r/>
            <w:r>
              <w:rPr>
                <w:rFonts w:ascii="Times New Roman" w:hAnsi="Times New Roman" w:eastAsia="宋体"/>
                <w:b w:val="0"/>
                <w:sz w:val="19"/>
              </w:rPr>
              <w:t>总时长</w:t>
            </w:r>
          </w:p>
        </w:tc>
        <w:tc>
          <w:tcPr>
            <w:tcW w:type="dxa" w:w="2268"/>
          </w:tcPr>
          <w:p>
            <w:pPr>
              <w:spacing w:before="40" w:after="40" w:line="240" w:lineRule="auto"/>
              <w:jc w:val="center"/>
            </w:pPr>
            <w:r/>
            <w:r>
              <w:rPr>
                <w:rFonts w:ascii="Times New Roman" w:hAnsi="Times New Roman" w:eastAsia="宋体"/>
                <w:b w:val="0"/>
                <w:sz w:val="19"/>
              </w:rPr>
              <w:t>320 小时</w:t>
            </w:r>
          </w:p>
        </w:tc>
        <w:tc>
          <w:tcPr>
            <w:tcW w:type="dxa" w:w="4195"/>
          </w:tcPr>
          <w:p>
            <w:pPr>
              <w:spacing w:before="40" w:after="40" w:line="240" w:lineRule="auto"/>
              <w:jc w:val="center"/>
            </w:pPr>
            <w:r/>
            <w:r>
              <w:rPr>
                <w:rFonts w:ascii="Times New Roman" w:hAnsi="Times New Roman" w:eastAsia="宋体"/>
                <w:b w:val="0"/>
                <w:sz w:val="19"/>
              </w:rPr>
              <w:t>单条平均约 38 分钟</w:t>
            </w:r>
          </w:p>
        </w:tc>
      </w:tr>
      <w:tr>
        <w:tc>
          <w:tcPr>
            <w:tcW w:type="dxa" w:w="2041"/>
          </w:tcPr>
          <w:p>
            <w:pPr>
              <w:spacing w:before="40" w:after="40" w:line="240" w:lineRule="auto"/>
              <w:jc w:val="left"/>
            </w:pPr>
            <w:r/>
            <w:r>
              <w:rPr>
                <w:rFonts w:ascii="Times New Roman" w:hAnsi="Times New Roman" w:eastAsia="宋体"/>
                <w:b w:val="0"/>
                <w:sz w:val="19"/>
              </w:rPr>
              <w:t>合规视频</w:t>
            </w:r>
          </w:p>
        </w:tc>
        <w:tc>
          <w:tcPr>
            <w:tcW w:type="dxa" w:w="2268"/>
          </w:tcPr>
          <w:p>
            <w:pPr>
              <w:spacing w:before="40" w:after="40" w:line="240" w:lineRule="auto"/>
              <w:jc w:val="center"/>
            </w:pPr>
            <w:r/>
            <w:r>
              <w:rPr>
                <w:rFonts w:ascii="Times New Roman" w:hAnsi="Times New Roman" w:eastAsia="宋体"/>
                <w:b w:val="0"/>
                <w:sz w:val="19"/>
              </w:rPr>
              <w:t>312 条（62.4%）</w:t>
            </w:r>
          </w:p>
        </w:tc>
        <w:tc>
          <w:tcPr>
            <w:tcW w:type="dxa" w:w="4195"/>
          </w:tcPr>
          <w:p>
            <w:pPr>
              <w:spacing w:before="40" w:after="40" w:line="240" w:lineRule="auto"/>
              <w:jc w:val="center"/>
            </w:pPr>
            <w:r/>
            <w:r>
              <w:rPr>
                <w:rFonts w:ascii="Times New Roman" w:hAnsi="Times New Roman" w:eastAsia="宋体"/>
                <w:b w:val="0"/>
                <w:sz w:val="19"/>
              </w:rPr>
              <w:t>全部检测项均合格</w:t>
            </w:r>
          </w:p>
        </w:tc>
      </w:tr>
      <w:tr>
        <w:tc>
          <w:tcPr>
            <w:tcW w:type="dxa" w:w="2041"/>
          </w:tcPr>
          <w:p>
            <w:pPr>
              <w:spacing w:before="40" w:after="40" w:line="240" w:lineRule="auto"/>
              <w:jc w:val="left"/>
            </w:pPr>
            <w:r/>
            <w:r>
              <w:rPr>
                <w:rFonts w:ascii="Times New Roman" w:hAnsi="Times New Roman" w:eastAsia="宋体"/>
                <w:b w:val="0"/>
                <w:sz w:val="19"/>
              </w:rPr>
              <w:t>存在违规的视频</w:t>
            </w:r>
          </w:p>
        </w:tc>
        <w:tc>
          <w:tcPr>
            <w:tcW w:type="dxa" w:w="2268"/>
          </w:tcPr>
          <w:p>
            <w:pPr>
              <w:spacing w:before="40" w:after="40" w:line="240" w:lineRule="auto"/>
              <w:jc w:val="center"/>
            </w:pPr>
            <w:r/>
            <w:r>
              <w:rPr>
                <w:rFonts w:ascii="Times New Roman" w:hAnsi="Times New Roman" w:eastAsia="宋体"/>
                <w:b w:val="0"/>
                <w:sz w:val="19"/>
              </w:rPr>
              <w:t>188 条（37.6%）</w:t>
            </w:r>
          </w:p>
        </w:tc>
        <w:tc>
          <w:tcPr>
            <w:tcW w:type="dxa" w:w="4195"/>
          </w:tcPr>
          <w:p>
            <w:pPr>
              <w:spacing w:before="40" w:after="40" w:line="240" w:lineRule="auto"/>
              <w:jc w:val="center"/>
            </w:pPr>
            <w:r/>
            <w:r>
              <w:rPr>
                <w:rFonts w:ascii="Times New Roman" w:hAnsi="Times New Roman" w:eastAsia="宋体"/>
                <w:b w:val="0"/>
                <w:sz w:val="19"/>
              </w:rPr>
              <w:t>至少一项检测项不合格</w:t>
            </w:r>
          </w:p>
        </w:tc>
      </w:tr>
      <w:tr>
        <w:tc>
          <w:tcPr>
            <w:tcW w:type="dxa" w:w="2041"/>
          </w:tcPr>
          <w:p>
            <w:pPr>
              <w:spacing w:before="40" w:after="40" w:line="240" w:lineRule="auto"/>
              <w:jc w:val="left"/>
            </w:pPr>
            <w:r/>
            <w:r>
              <w:rPr>
                <w:rFonts w:ascii="Times New Roman" w:hAnsi="Times New Roman" w:eastAsia="宋体"/>
                <w:b w:val="0"/>
                <w:sz w:val="19"/>
              </w:rPr>
              <w:t>覆盖违规类型</w:t>
            </w:r>
          </w:p>
        </w:tc>
        <w:tc>
          <w:tcPr>
            <w:tcW w:type="dxa" w:w="2268"/>
          </w:tcPr>
          <w:p>
            <w:pPr>
              <w:spacing w:before="40" w:after="40" w:line="240" w:lineRule="auto"/>
              <w:jc w:val="center"/>
            </w:pPr>
            <w:r/>
            <w:r>
              <w:rPr>
                <w:rFonts w:ascii="Times New Roman" w:hAnsi="Times New Roman" w:eastAsia="宋体"/>
                <w:b w:val="0"/>
                <w:sz w:val="19"/>
              </w:rPr>
              <w:t>5 类</w:t>
            </w:r>
          </w:p>
        </w:tc>
        <w:tc>
          <w:tcPr>
            <w:tcW w:type="dxa" w:w="4195"/>
          </w:tcPr>
          <w:p>
            <w:pPr>
              <w:spacing w:before="40" w:after="40" w:line="240" w:lineRule="auto"/>
              <w:jc w:val="center"/>
            </w:pPr>
            <w:r/>
            <w:r>
              <w:rPr>
                <w:rFonts w:ascii="Times New Roman" w:hAnsi="Times New Roman" w:eastAsia="宋体"/>
                <w:b w:val="0"/>
                <w:sz w:val="19"/>
              </w:rPr>
              <w:t>未出示证件、人员不足、告知缺失、文书不规范、用语不文明</w:t>
            </w:r>
          </w:p>
        </w:tc>
      </w:tr>
      <w:tr>
        <w:tc>
          <w:tcPr>
            <w:tcW w:type="dxa" w:w="2041"/>
            <w:tcBorders>
              <w:bottom w:val="single" w:sz="12" w:space="0" w:color="000000"/>
            </w:tcBorders>
          </w:tcPr>
          <w:p>
            <w:pPr>
              <w:spacing w:before="40" w:after="40" w:line="240" w:lineRule="auto"/>
              <w:jc w:val="left"/>
            </w:pPr>
            <w:r/>
            <w:r>
              <w:rPr>
                <w:rFonts w:ascii="Times New Roman" w:hAnsi="Times New Roman" w:eastAsia="宋体"/>
                <w:b w:val="0"/>
                <w:sz w:val="19"/>
              </w:rPr>
              <w:t>双人标注样本</w:t>
            </w:r>
          </w:p>
        </w:tc>
        <w:tc>
          <w:tcPr>
            <w:tcW w:type="dxa" w:w="2268"/>
            <w:tcBorders>
              <w:bottom w:val="single" w:sz="12" w:space="0" w:color="000000"/>
            </w:tcBorders>
          </w:tcPr>
          <w:p>
            <w:pPr>
              <w:spacing w:before="40" w:after="40" w:line="240" w:lineRule="auto"/>
              <w:jc w:val="center"/>
            </w:pPr>
            <w:r/>
            <w:r>
              <w:rPr>
                <w:rFonts w:ascii="Times New Roman" w:hAnsi="Times New Roman" w:eastAsia="宋体"/>
                <w:b w:val="0"/>
                <w:sz w:val="19"/>
              </w:rPr>
              <w:t>120 条</w:t>
            </w:r>
          </w:p>
        </w:tc>
        <w:tc>
          <w:tcPr>
            <w:tcW w:type="dxa" w:w="4195"/>
            <w:tcBorders>
              <w:bottom w:val="single" w:sz="12" w:space="0" w:color="000000"/>
            </w:tcBorders>
          </w:tcPr>
          <w:p>
            <w:pPr>
              <w:spacing w:before="40" w:after="40" w:line="240" w:lineRule="auto"/>
              <w:jc w:val="center"/>
            </w:pPr>
            <w:r/>
            <w:r>
              <w:rPr>
                <w:rFonts w:ascii="Times New Roman" w:hAnsi="Times New Roman" w:eastAsia="宋体"/>
                <w:b w:val="0"/>
                <w:sz w:val="19"/>
              </w:rPr>
              <w:t>用于计算标注一致性系数</w:t>
            </w:r>
          </w:p>
        </w:tc>
      </w:tr>
    </w:tbl>
    <w:p>
      <w:pPr>
        <w:spacing w:before="0" w:after="160" w:line="240" w:lineRule="auto"/>
        <w:jc w:val="left"/>
      </w:pPr>
    </w:p>
    <w:p>
      <w:pPr>
        <w:spacing w:before="0" w:after="0" w:line="360" w:lineRule="auto"/>
        <w:ind w:firstLine="480"/>
        <w:jc w:val="both"/>
      </w:pPr>
      <w:r>
        <w:rPr>
          <w:rFonts w:ascii="Times New Roman" w:hAnsi="Times New Roman" w:eastAsia="宋体"/>
          <w:b w:val="0"/>
          <w:sz w:val="24"/>
        </w:rPr>
        <w:t>评价指标分为三组：准确性指标包括违规识别的准确率、精确率、召回率与 F1 值，以及各类违规行为的分类准确率；效率指标为单条视频平均处理时长与并发能力；实用性指标为人工复核工作量与总体查全率的权衡关系。本文强调，在监管应用场景中实用性指标比单一的 F1 值更具决策价值，相关分析见第 5.5 节。</w:t>
      </w:r>
    </w:p>
    <w:p>
      <w:pPr>
        <w:keepNext/>
        <w:spacing w:before="160" w:after="80" w:line="360" w:lineRule="auto"/>
        <w:jc w:val="left"/>
      </w:pPr>
      <w:r>
        <w:rPr>
          <w:rFonts w:ascii="Times New Roman" w:hAnsi="Times New Roman" w:eastAsia="黑体"/>
          <w:b w:val="0"/>
          <w:sz w:val="28"/>
        </w:rPr>
        <w:t>5.2  识别性能对比</w:t>
      </w:r>
    </w:p>
    <w:p>
      <w:pPr>
        <w:spacing w:before="0" w:after="0" w:line="360" w:lineRule="auto"/>
        <w:ind w:firstLine="480"/>
        <w:jc w:val="both"/>
      </w:pPr>
      <w:r>
        <w:rPr>
          <w:rFonts w:ascii="Times New Roman" w:hAnsi="Times New Roman" w:eastAsia="宋体"/>
          <w:b w:val="0"/>
          <w:sz w:val="24"/>
        </w:rPr>
        <w:t>设置三组对比方案：方案 A 为基于独立人体姿态识别模型、语音识别模型与规则匹配的传统多模块拼接方案；方案 B 为基于通用多模态大模型（GPT-4o）的零样本方案，不做领域微调；方案 C 为本文方案，即基于 Qwen Omni 进行专卖执法场景 LoRA 微调。三种方案在相同测试集上评测，结果如表 3 与图 6 所示。</w:t>
      </w:r>
    </w:p>
    <w:p>
      <w:pPr>
        <w:keepNext/>
        <w:spacing w:before="160" w:after="40" w:line="240" w:lineRule="auto"/>
        <w:jc w:val="center"/>
      </w:pPr>
      <w:r>
        <w:rPr>
          <w:rFonts w:ascii="Times New Roman" w:hAnsi="Times New Roman" w:eastAsia="黑体"/>
          <w:b w:val="0"/>
          <w:sz w:val="21"/>
        </w:rPr>
        <w:t>表 3  三种方案的识别性能与 Wilson 95% 置信区间</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306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8"/>
              </w:rPr>
              <w:t>方案</w:t>
            </w:r>
          </w:p>
        </w:tc>
        <w:tc>
          <w:tcPr>
            <w:tcW w:type="dxa" w:w="19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准确率 / %</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精确率 / %</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召回率 / %</w:t>
            </w:r>
          </w:p>
        </w:tc>
        <w:tc>
          <w:tcPr>
            <w:tcW w:type="dxa" w:w="113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F1 值 / %</w:t>
            </w:r>
          </w:p>
        </w:tc>
      </w:tr>
      <w:tr>
        <w:tc>
          <w:tcPr>
            <w:tcW w:type="dxa" w:w="3061"/>
          </w:tcPr>
          <w:p>
            <w:pPr>
              <w:spacing w:before="40" w:after="40" w:line="240" w:lineRule="auto"/>
              <w:jc w:val="left"/>
            </w:pPr>
            <w:r/>
            <w:r>
              <w:rPr>
                <w:rFonts w:ascii="Times New Roman" w:hAnsi="Times New Roman" w:eastAsia="宋体"/>
                <w:b w:val="0"/>
                <w:sz w:val="18"/>
              </w:rPr>
              <w:t>A 传统多模块拼接</w:t>
            </w:r>
          </w:p>
        </w:tc>
        <w:tc>
          <w:tcPr>
            <w:tcW w:type="dxa" w:w="1928"/>
          </w:tcPr>
          <w:p>
            <w:pPr>
              <w:spacing w:before="40" w:after="40" w:line="240" w:lineRule="auto"/>
              <w:jc w:val="center"/>
            </w:pPr>
            <w:r/>
            <w:r>
              <w:rPr>
                <w:rFonts w:ascii="Times New Roman" w:hAnsi="Times New Roman" w:eastAsia="宋体"/>
                <w:b w:val="0"/>
                <w:sz w:val="18"/>
              </w:rPr>
              <w:t>78.30 [74.48, 81.69]</w:t>
            </w:r>
          </w:p>
        </w:tc>
        <w:tc>
          <w:tcPr>
            <w:tcW w:type="dxa" w:w="1814"/>
          </w:tcPr>
          <w:p>
            <w:pPr>
              <w:spacing w:before="40" w:after="40" w:line="240" w:lineRule="auto"/>
              <w:jc w:val="center"/>
            </w:pPr>
            <w:r/>
            <w:r>
              <w:rPr>
                <w:rFonts w:ascii="Times New Roman" w:hAnsi="Times New Roman" w:eastAsia="宋体"/>
                <w:b w:val="0"/>
                <w:sz w:val="18"/>
              </w:rPr>
              <w:t>71.20 [64.04, 77.43]</w:t>
            </w:r>
          </w:p>
        </w:tc>
        <w:tc>
          <w:tcPr>
            <w:tcW w:type="dxa" w:w="1814"/>
          </w:tcPr>
          <w:p>
            <w:pPr>
              <w:spacing w:before="40" w:after="40" w:line="240" w:lineRule="auto"/>
              <w:jc w:val="center"/>
            </w:pPr>
            <w:r/>
            <w:r>
              <w:rPr>
                <w:rFonts w:ascii="Times New Roman" w:hAnsi="Times New Roman" w:eastAsia="宋体"/>
                <w:b w:val="0"/>
                <w:sz w:val="18"/>
              </w:rPr>
              <w:t>65.40 [58.35, 71.83]</w:t>
            </w:r>
          </w:p>
        </w:tc>
        <w:tc>
          <w:tcPr>
            <w:tcW w:type="dxa" w:w="1134"/>
          </w:tcPr>
          <w:p>
            <w:pPr>
              <w:spacing w:before="40" w:after="40" w:line="240" w:lineRule="auto"/>
              <w:jc w:val="center"/>
            </w:pPr>
            <w:r/>
            <w:r>
              <w:rPr>
                <w:rFonts w:ascii="Times New Roman" w:hAnsi="Times New Roman" w:eastAsia="宋体"/>
                <w:b w:val="0"/>
                <w:sz w:val="18"/>
              </w:rPr>
              <w:t>68.20</w:t>
            </w:r>
          </w:p>
        </w:tc>
      </w:tr>
      <w:tr>
        <w:tc>
          <w:tcPr>
            <w:tcW w:type="dxa" w:w="3061"/>
          </w:tcPr>
          <w:p>
            <w:pPr>
              <w:spacing w:before="40" w:after="40" w:line="240" w:lineRule="auto"/>
              <w:jc w:val="left"/>
            </w:pPr>
            <w:r/>
            <w:r>
              <w:rPr>
                <w:rFonts w:ascii="Times New Roman" w:hAnsi="Times New Roman" w:eastAsia="宋体"/>
                <w:b w:val="0"/>
                <w:sz w:val="18"/>
              </w:rPr>
              <w:t>B GPT-4o 零样本</w:t>
            </w:r>
          </w:p>
        </w:tc>
        <w:tc>
          <w:tcPr>
            <w:tcW w:type="dxa" w:w="1928"/>
          </w:tcPr>
          <w:p>
            <w:pPr>
              <w:spacing w:before="40" w:after="40" w:line="240" w:lineRule="auto"/>
              <w:jc w:val="center"/>
            </w:pPr>
            <w:r/>
            <w:r>
              <w:rPr>
                <w:rFonts w:ascii="Times New Roman" w:hAnsi="Times New Roman" w:eastAsia="宋体"/>
                <w:b w:val="0"/>
                <w:sz w:val="18"/>
              </w:rPr>
              <w:t>86.70 [83.44, 89.40]</w:t>
            </w:r>
          </w:p>
        </w:tc>
        <w:tc>
          <w:tcPr>
            <w:tcW w:type="dxa" w:w="1814"/>
          </w:tcPr>
          <w:p>
            <w:pPr>
              <w:spacing w:before="40" w:after="40" w:line="240" w:lineRule="auto"/>
              <w:jc w:val="center"/>
            </w:pPr>
            <w:r/>
            <w:r>
              <w:rPr>
                <w:rFonts w:ascii="Times New Roman" w:hAnsi="Times New Roman" w:eastAsia="宋体"/>
                <w:b w:val="0"/>
                <w:sz w:val="18"/>
              </w:rPr>
              <w:t>83.50 [77.38, 88.21]</w:t>
            </w:r>
          </w:p>
        </w:tc>
        <w:tc>
          <w:tcPr>
            <w:tcW w:type="dxa" w:w="1814"/>
          </w:tcPr>
          <w:p>
            <w:pPr>
              <w:spacing w:before="40" w:after="40" w:line="240" w:lineRule="auto"/>
              <w:jc w:val="center"/>
            </w:pPr>
            <w:r/>
            <w:r>
              <w:rPr>
                <w:rFonts w:ascii="Times New Roman" w:hAnsi="Times New Roman" w:eastAsia="宋体"/>
                <w:b w:val="0"/>
                <w:sz w:val="18"/>
              </w:rPr>
              <w:t>79.80 [73.49, 84.92]</w:t>
            </w:r>
          </w:p>
        </w:tc>
        <w:tc>
          <w:tcPr>
            <w:tcW w:type="dxa" w:w="1134"/>
          </w:tcPr>
          <w:p>
            <w:pPr>
              <w:spacing w:before="40" w:after="40" w:line="240" w:lineRule="auto"/>
              <w:jc w:val="center"/>
            </w:pPr>
            <w:r/>
            <w:r>
              <w:rPr>
                <w:rFonts w:ascii="Times New Roman" w:hAnsi="Times New Roman" w:eastAsia="宋体"/>
                <w:b w:val="0"/>
                <w:sz w:val="18"/>
              </w:rPr>
              <w:t>81.60</w:t>
            </w:r>
          </w:p>
        </w:tc>
      </w:tr>
      <w:tr>
        <w:tc>
          <w:tcPr>
            <w:tcW w:type="dxa" w:w="3061"/>
            <w:tcBorders>
              <w:bottom w:val="single" w:sz="12" w:space="0" w:color="000000"/>
            </w:tcBorders>
          </w:tcPr>
          <w:p>
            <w:pPr>
              <w:spacing w:before="40" w:after="40" w:line="240" w:lineRule="auto"/>
              <w:jc w:val="left"/>
            </w:pPr>
            <w:r/>
            <w:r>
              <w:rPr>
                <w:rFonts w:ascii="Times New Roman" w:hAnsi="Times New Roman" w:eastAsia="宋体"/>
                <w:b w:val="0"/>
                <w:sz w:val="18"/>
              </w:rPr>
              <w:t>C 本文方案（Qwen Omni 微调）</w:t>
            </w:r>
          </w:p>
        </w:tc>
        <w:tc>
          <w:tcPr>
            <w:tcW w:type="dxa" w:w="1928"/>
            <w:tcBorders>
              <w:bottom w:val="single" w:sz="12" w:space="0" w:color="000000"/>
            </w:tcBorders>
          </w:tcPr>
          <w:p>
            <w:pPr>
              <w:spacing w:before="40" w:after="40" w:line="240" w:lineRule="auto"/>
              <w:jc w:val="center"/>
            </w:pPr>
            <w:r/>
            <w:r>
              <w:rPr>
                <w:rFonts w:ascii="Times New Roman" w:hAnsi="Times New Roman" w:eastAsia="宋体"/>
                <w:b w:val="0"/>
                <w:sz w:val="18"/>
              </w:rPr>
              <w:t>94.70 [92.37, 96.34]</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8"/>
              </w:rPr>
              <w:t>92.30 [87.56, 95.33]</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8"/>
              </w:rPr>
              <w:t>91.50 [86.64, 94.70]</w:t>
            </w:r>
          </w:p>
        </w:tc>
        <w:tc>
          <w:tcPr>
            <w:tcW w:type="dxa" w:w="1134"/>
            <w:tcBorders>
              <w:bottom w:val="single" w:sz="12" w:space="0" w:color="000000"/>
            </w:tcBorders>
          </w:tcPr>
          <w:p>
            <w:pPr>
              <w:spacing w:before="40" w:after="40" w:line="240" w:lineRule="auto"/>
              <w:jc w:val="center"/>
            </w:pPr>
            <w:r/>
            <w:r>
              <w:rPr>
                <w:rFonts w:ascii="Times New Roman" w:hAnsi="Times New Roman" w:eastAsia="宋体"/>
                <w:b w:val="0"/>
                <w:sz w:val="18"/>
              </w:rPr>
              <w:t>91.90</w:t>
            </w:r>
          </w:p>
        </w:tc>
      </w:tr>
    </w:tbl>
    <w:p>
      <w:pPr>
        <w:spacing w:before="40" w:after="160" w:line="240" w:lineRule="auto"/>
        <w:ind w:firstLine="0"/>
        <w:jc w:val="left"/>
      </w:pPr>
      <w:r>
        <w:rPr>
          <w:rFonts w:ascii="Times New Roman" w:hAnsi="Times New Roman" w:eastAsia="宋体"/>
          <w:b w:val="0"/>
          <w:sz w:val="18"/>
        </w:rPr>
        <w:t>注：方括号内为 Wilson 95% 置信区间。准确率基于 n=500，召回率基于阳性样本 n=188，精确率基于各方案判为违规的样本数。Wilson 区间在小样本与极端比例下优于正态近似区间[14]。</w:t>
      </w:r>
    </w:p>
    <w:p>
      <w:pPr>
        <w:keepNext/>
        <w:spacing w:before="120" w:after="0" w:line="240" w:lineRule="auto"/>
        <w:jc w:val="center"/>
      </w:pPr>
      <w:r>
        <w:drawing>
          <wp:inline xmlns:a="http://schemas.openxmlformats.org/drawingml/2006/main" xmlns:pic="http://schemas.openxmlformats.org/drawingml/2006/picture">
            <wp:extent cx="5580000" cy="3301722"/>
            <wp:docPr id="6" name="Picture 6"/>
            <wp:cNvGraphicFramePr>
              <a:graphicFrameLocks noChangeAspect="1"/>
            </wp:cNvGraphicFramePr>
            <a:graphic>
              <a:graphicData uri="http://schemas.openxmlformats.org/drawingml/2006/picture">
                <pic:pic>
                  <pic:nvPicPr>
                    <pic:cNvPr id="0" name="p1_d1_metrics_ci.png"/>
                    <pic:cNvPicPr/>
                  </pic:nvPicPr>
                  <pic:blipFill>
                    <a:blip r:embed="rId14"/>
                    <a:stretch>
                      <a:fillRect/>
                    </a:stretch>
                  </pic:blipFill>
                  <pic:spPr>
                    <a:xfrm>
                      <a:off x="0" y="0"/>
                      <a:ext cx="5580000" cy="3301722"/>
                    </a:xfrm>
                    <a:prstGeom prst="rect"/>
                  </pic:spPr>
                </pic:pic>
              </a:graphicData>
            </a:graphic>
          </wp:inline>
        </w:drawing>
      </w:r>
    </w:p>
    <w:p>
      <w:pPr>
        <w:spacing w:before="40" w:after="160" w:line="240" w:lineRule="auto"/>
        <w:jc w:val="center"/>
      </w:pPr>
      <w:r>
        <w:rPr>
          <w:rFonts w:ascii="Times New Roman" w:hAnsi="Times New Roman" w:eastAsia="黑体"/>
          <w:b w:val="0"/>
          <w:sz w:val="21"/>
        </w:rPr>
        <w:t>图 6  三种方案的识别性能与混淆矩阵构成</w:t>
      </w:r>
    </w:p>
    <w:p>
      <w:pPr>
        <w:spacing w:before="0" w:after="0" w:line="360" w:lineRule="auto"/>
        <w:ind w:firstLine="480"/>
        <w:jc w:val="both"/>
      </w:pPr>
      <w:r>
        <w:rPr>
          <w:rFonts w:ascii="Times New Roman" w:hAnsi="Times New Roman" w:eastAsia="宋体"/>
          <w:b w:val="0"/>
          <w:sz w:val="24"/>
        </w:rPr>
        <w:t>由表 3 与图 6(a) 可见，本文方案在三项指标上均优于两个对比方案，F1 值较传统拼接方案提高 23.7 个百分点，较 GPT-4o 零样本方案提高 10.3 个百分点。但需注意，三方案的置信区间在召回率维度上并不完全分离（方案 B 上界 84.92% 与方案 C 下界 86.64% 接近），这提示样本量 188 对于精细比较而言仍偏小。</w:t>
      </w:r>
    </w:p>
    <w:p>
      <w:pPr>
        <w:spacing w:before="0" w:after="0" w:line="360" w:lineRule="auto"/>
        <w:ind w:firstLine="480"/>
        <w:jc w:val="both"/>
      </w:pPr>
      <w:r>
        <w:rPr>
          <w:rFonts w:ascii="Times New Roman" w:hAnsi="Times New Roman" w:eastAsia="宋体"/>
          <w:b w:val="0"/>
          <w:sz w:val="24"/>
        </w:rPr>
        <w:t>为便于理解各方案的错误结构，本文由报告的精确率与召回率反推混淆矩阵，结果如表 4 与图 6(b) 所示。这一反推同时起到内部一致性核验的作用。</w:t>
      </w:r>
    </w:p>
    <w:p>
      <w:pPr>
        <w:keepNext/>
        <w:spacing w:before="160" w:after="40" w:line="240" w:lineRule="auto"/>
        <w:jc w:val="center"/>
      </w:pPr>
      <w:r>
        <w:rPr>
          <w:rFonts w:ascii="Times New Roman" w:hAnsi="Times New Roman" w:eastAsia="黑体"/>
          <w:b w:val="0"/>
          <w:sz w:val="21"/>
        </w:rPr>
        <w:t>表 4  由精确率与召回率反推的混淆矩阵及内部一致性核验</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105"/>
        <w:gridCol w:w="1105"/>
        <w:gridCol w:w="1105"/>
        <w:gridCol w:w="1105"/>
        <w:gridCol w:w="1105"/>
        <w:gridCol w:w="1105"/>
        <w:gridCol w:w="1105"/>
        <w:gridCol w:w="1105"/>
      </w:tblGrid>
      <w:tr>
        <w:tc>
          <w:tcPr>
            <w:tcW w:type="dxa" w:w="238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8"/>
              </w:rPr>
              <w:t>方案</w:t>
            </w:r>
          </w:p>
        </w:tc>
        <w:tc>
          <w:tcPr>
            <w:tcW w:type="dxa" w:w="850"/>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TP</w:t>
            </w:r>
          </w:p>
        </w:tc>
        <w:tc>
          <w:tcPr>
            <w:tcW w:type="dxa" w:w="850"/>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FP</w:t>
            </w:r>
          </w:p>
        </w:tc>
        <w:tc>
          <w:tcPr>
            <w:tcW w:type="dxa" w:w="850"/>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FN</w:t>
            </w:r>
          </w:p>
        </w:tc>
        <w:tc>
          <w:tcPr>
            <w:tcW w:type="dxa" w:w="850"/>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TN</w:t>
            </w:r>
          </w:p>
        </w:tc>
        <w:tc>
          <w:tcPr>
            <w:tcW w:type="dxa" w:w="147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反推准确率 / %</w:t>
            </w:r>
          </w:p>
        </w:tc>
        <w:tc>
          <w:tcPr>
            <w:tcW w:type="dxa" w:w="147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报告准确率 / %</w:t>
            </w:r>
          </w:p>
        </w:tc>
        <w:tc>
          <w:tcPr>
            <w:tcW w:type="dxa" w:w="1020"/>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偏差 / pp</w:t>
            </w:r>
          </w:p>
        </w:tc>
      </w:tr>
      <w:tr>
        <w:tc>
          <w:tcPr>
            <w:tcW w:type="dxa" w:w="2381"/>
          </w:tcPr>
          <w:p>
            <w:pPr>
              <w:spacing w:before="40" w:after="40" w:line="240" w:lineRule="auto"/>
              <w:jc w:val="left"/>
            </w:pPr>
            <w:r/>
            <w:r>
              <w:rPr>
                <w:rFonts w:ascii="Times New Roman" w:hAnsi="Times New Roman" w:eastAsia="宋体"/>
                <w:b w:val="0"/>
                <w:sz w:val="18"/>
              </w:rPr>
              <w:t>A 传统多模块拼接</w:t>
            </w:r>
          </w:p>
        </w:tc>
        <w:tc>
          <w:tcPr>
            <w:tcW w:type="dxa" w:w="850"/>
          </w:tcPr>
          <w:p>
            <w:pPr>
              <w:spacing w:before="40" w:after="40" w:line="240" w:lineRule="auto"/>
              <w:jc w:val="center"/>
            </w:pPr>
            <w:r/>
            <w:r>
              <w:rPr>
                <w:rFonts w:ascii="Times New Roman" w:hAnsi="Times New Roman" w:eastAsia="宋体"/>
                <w:b w:val="0"/>
                <w:sz w:val="18"/>
              </w:rPr>
              <w:t>123</w:t>
            </w:r>
          </w:p>
        </w:tc>
        <w:tc>
          <w:tcPr>
            <w:tcW w:type="dxa" w:w="850"/>
          </w:tcPr>
          <w:p>
            <w:pPr>
              <w:spacing w:before="40" w:after="40" w:line="240" w:lineRule="auto"/>
              <w:jc w:val="center"/>
            </w:pPr>
            <w:r/>
            <w:r>
              <w:rPr>
                <w:rFonts w:ascii="Times New Roman" w:hAnsi="Times New Roman" w:eastAsia="宋体"/>
                <w:b w:val="0"/>
                <w:sz w:val="18"/>
              </w:rPr>
              <w:t>50</w:t>
            </w:r>
          </w:p>
        </w:tc>
        <w:tc>
          <w:tcPr>
            <w:tcW w:type="dxa" w:w="850"/>
          </w:tcPr>
          <w:p>
            <w:pPr>
              <w:spacing w:before="40" w:after="40" w:line="240" w:lineRule="auto"/>
              <w:jc w:val="center"/>
            </w:pPr>
            <w:r/>
            <w:r>
              <w:rPr>
                <w:rFonts w:ascii="Times New Roman" w:hAnsi="Times New Roman" w:eastAsia="宋体"/>
                <w:b w:val="0"/>
                <w:sz w:val="18"/>
              </w:rPr>
              <w:t>65</w:t>
            </w:r>
          </w:p>
        </w:tc>
        <w:tc>
          <w:tcPr>
            <w:tcW w:type="dxa" w:w="850"/>
          </w:tcPr>
          <w:p>
            <w:pPr>
              <w:spacing w:before="40" w:after="40" w:line="240" w:lineRule="auto"/>
              <w:jc w:val="center"/>
            </w:pPr>
            <w:r/>
            <w:r>
              <w:rPr>
                <w:rFonts w:ascii="Times New Roman" w:hAnsi="Times New Roman" w:eastAsia="宋体"/>
                <w:b w:val="0"/>
                <w:sz w:val="18"/>
              </w:rPr>
              <w:t>262</w:t>
            </w:r>
          </w:p>
        </w:tc>
        <w:tc>
          <w:tcPr>
            <w:tcW w:type="dxa" w:w="1474"/>
          </w:tcPr>
          <w:p>
            <w:pPr>
              <w:spacing w:before="40" w:after="40" w:line="240" w:lineRule="auto"/>
              <w:jc w:val="center"/>
            </w:pPr>
            <w:r/>
            <w:r>
              <w:rPr>
                <w:rFonts w:ascii="Times New Roman" w:hAnsi="Times New Roman" w:eastAsia="宋体"/>
                <w:b w:val="0"/>
                <w:sz w:val="18"/>
              </w:rPr>
              <w:t>77.04</w:t>
            </w:r>
          </w:p>
        </w:tc>
        <w:tc>
          <w:tcPr>
            <w:tcW w:type="dxa" w:w="1474"/>
          </w:tcPr>
          <w:p>
            <w:pPr>
              <w:spacing w:before="40" w:after="40" w:line="240" w:lineRule="auto"/>
              <w:jc w:val="center"/>
            </w:pPr>
            <w:r/>
            <w:r>
              <w:rPr>
                <w:rFonts w:ascii="Times New Roman" w:hAnsi="Times New Roman" w:eastAsia="宋体"/>
                <w:b w:val="0"/>
                <w:sz w:val="18"/>
              </w:rPr>
              <w:t>78.30</w:t>
            </w:r>
          </w:p>
        </w:tc>
        <w:tc>
          <w:tcPr>
            <w:tcW w:type="dxa" w:w="1020"/>
          </w:tcPr>
          <w:p>
            <w:pPr>
              <w:spacing w:before="40" w:after="40" w:line="240" w:lineRule="auto"/>
              <w:jc w:val="center"/>
            </w:pPr>
            <w:r/>
            <w:r>
              <w:rPr>
                <w:rFonts w:ascii="Times New Roman" w:hAnsi="Times New Roman" w:eastAsia="宋体"/>
                <w:b w:val="0"/>
                <w:sz w:val="18"/>
              </w:rPr>
              <w:t>+1.26</w:t>
            </w:r>
          </w:p>
        </w:tc>
      </w:tr>
      <w:tr>
        <w:tc>
          <w:tcPr>
            <w:tcW w:type="dxa" w:w="2381"/>
          </w:tcPr>
          <w:p>
            <w:pPr>
              <w:spacing w:before="40" w:after="40" w:line="240" w:lineRule="auto"/>
              <w:jc w:val="left"/>
            </w:pPr>
            <w:r/>
            <w:r>
              <w:rPr>
                <w:rFonts w:ascii="Times New Roman" w:hAnsi="Times New Roman" w:eastAsia="宋体"/>
                <w:b w:val="0"/>
                <w:sz w:val="18"/>
              </w:rPr>
              <w:t>B GPT-4o 零样本</w:t>
            </w:r>
          </w:p>
        </w:tc>
        <w:tc>
          <w:tcPr>
            <w:tcW w:type="dxa" w:w="850"/>
          </w:tcPr>
          <w:p>
            <w:pPr>
              <w:spacing w:before="40" w:after="40" w:line="240" w:lineRule="auto"/>
              <w:jc w:val="center"/>
            </w:pPr>
            <w:r/>
            <w:r>
              <w:rPr>
                <w:rFonts w:ascii="Times New Roman" w:hAnsi="Times New Roman" w:eastAsia="宋体"/>
                <w:b w:val="0"/>
                <w:sz w:val="18"/>
              </w:rPr>
              <w:t>150</w:t>
            </w:r>
          </w:p>
        </w:tc>
        <w:tc>
          <w:tcPr>
            <w:tcW w:type="dxa" w:w="850"/>
          </w:tcPr>
          <w:p>
            <w:pPr>
              <w:spacing w:before="40" w:after="40" w:line="240" w:lineRule="auto"/>
              <w:jc w:val="center"/>
            </w:pPr>
            <w:r/>
            <w:r>
              <w:rPr>
                <w:rFonts w:ascii="Times New Roman" w:hAnsi="Times New Roman" w:eastAsia="宋体"/>
                <w:b w:val="0"/>
                <w:sz w:val="18"/>
              </w:rPr>
              <w:t>30</w:t>
            </w:r>
          </w:p>
        </w:tc>
        <w:tc>
          <w:tcPr>
            <w:tcW w:type="dxa" w:w="850"/>
          </w:tcPr>
          <w:p>
            <w:pPr>
              <w:spacing w:before="40" w:after="40" w:line="240" w:lineRule="auto"/>
              <w:jc w:val="center"/>
            </w:pPr>
            <w:r/>
            <w:r>
              <w:rPr>
                <w:rFonts w:ascii="Times New Roman" w:hAnsi="Times New Roman" w:eastAsia="宋体"/>
                <w:b w:val="0"/>
                <w:sz w:val="18"/>
              </w:rPr>
              <w:t>38</w:t>
            </w:r>
          </w:p>
        </w:tc>
        <w:tc>
          <w:tcPr>
            <w:tcW w:type="dxa" w:w="850"/>
          </w:tcPr>
          <w:p>
            <w:pPr>
              <w:spacing w:before="40" w:after="40" w:line="240" w:lineRule="auto"/>
              <w:jc w:val="center"/>
            </w:pPr>
            <w:r/>
            <w:r>
              <w:rPr>
                <w:rFonts w:ascii="Times New Roman" w:hAnsi="Times New Roman" w:eastAsia="宋体"/>
                <w:b w:val="0"/>
                <w:sz w:val="18"/>
              </w:rPr>
              <w:t>282</w:t>
            </w:r>
          </w:p>
        </w:tc>
        <w:tc>
          <w:tcPr>
            <w:tcW w:type="dxa" w:w="1474"/>
          </w:tcPr>
          <w:p>
            <w:pPr>
              <w:spacing w:before="40" w:after="40" w:line="240" w:lineRule="auto"/>
              <w:jc w:val="center"/>
            </w:pPr>
            <w:r/>
            <w:r>
              <w:rPr>
                <w:rFonts w:ascii="Times New Roman" w:hAnsi="Times New Roman" w:eastAsia="宋体"/>
                <w:b w:val="0"/>
                <w:sz w:val="18"/>
              </w:rPr>
              <w:t>86.48</w:t>
            </w:r>
          </w:p>
        </w:tc>
        <w:tc>
          <w:tcPr>
            <w:tcW w:type="dxa" w:w="1474"/>
          </w:tcPr>
          <w:p>
            <w:pPr>
              <w:spacing w:before="40" w:after="40" w:line="240" w:lineRule="auto"/>
              <w:jc w:val="center"/>
            </w:pPr>
            <w:r/>
            <w:r>
              <w:rPr>
                <w:rFonts w:ascii="Times New Roman" w:hAnsi="Times New Roman" w:eastAsia="宋体"/>
                <w:b w:val="0"/>
                <w:sz w:val="18"/>
              </w:rPr>
              <w:t>86.70</w:t>
            </w:r>
          </w:p>
        </w:tc>
        <w:tc>
          <w:tcPr>
            <w:tcW w:type="dxa" w:w="1020"/>
          </w:tcPr>
          <w:p>
            <w:pPr>
              <w:spacing w:before="40" w:after="40" w:line="240" w:lineRule="auto"/>
              <w:jc w:val="center"/>
            </w:pPr>
            <w:r/>
            <w:r>
              <w:rPr>
                <w:rFonts w:ascii="Times New Roman" w:hAnsi="Times New Roman" w:eastAsia="宋体"/>
                <w:b w:val="0"/>
                <w:sz w:val="18"/>
              </w:rPr>
              <w:t>+0.22</w:t>
            </w:r>
          </w:p>
        </w:tc>
      </w:tr>
      <w:tr>
        <w:tc>
          <w:tcPr>
            <w:tcW w:type="dxa" w:w="2381"/>
            <w:tcBorders>
              <w:bottom w:val="single" w:sz="12" w:space="0" w:color="000000"/>
            </w:tcBorders>
          </w:tcPr>
          <w:p>
            <w:pPr>
              <w:spacing w:before="40" w:after="40" w:line="240" w:lineRule="auto"/>
              <w:jc w:val="left"/>
            </w:pPr>
            <w:r/>
            <w:r>
              <w:rPr>
                <w:rFonts w:ascii="Times New Roman" w:hAnsi="Times New Roman" w:eastAsia="宋体"/>
                <w:b w:val="0"/>
                <w:sz w:val="18"/>
              </w:rPr>
              <w:t>C 本文方案</w:t>
            </w:r>
          </w:p>
        </w:tc>
        <w:tc>
          <w:tcPr>
            <w:tcW w:type="dxa" w:w="850"/>
            <w:tcBorders>
              <w:bottom w:val="single" w:sz="12" w:space="0" w:color="000000"/>
            </w:tcBorders>
          </w:tcPr>
          <w:p>
            <w:pPr>
              <w:spacing w:before="40" w:after="40" w:line="240" w:lineRule="auto"/>
              <w:jc w:val="center"/>
            </w:pPr>
            <w:r/>
            <w:r>
              <w:rPr>
                <w:rFonts w:ascii="Times New Roman" w:hAnsi="Times New Roman" w:eastAsia="宋体"/>
                <w:b w:val="0"/>
                <w:sz w:val="18"/>
              </w:rPr>
              <w:t>172</w:t>
            </w:r>
          </w:p>
        </w:tc>
        <w:tc>
          <w:tcPr>
            <w:tcW w:type="dxa" w:w="850"/>
            <w:tcBorders>
              <w:bottom w:val="single" w:sz="12" w:space="0" w:color="000000"/>
            </w:tcBorders>
          </w:tcPr>
          <w:p>
            <w:pPr>
              <w:spacing w:before="40" w:after="40" w:line="240" w:lineRule="auto"/>
              <w:jc w:val="center"/>
            </w:pPr>
            <w:r/>
            <w:r>
              <w:rPr>
                <w:rFonts w:ascii="Times New Roman" w:hAnsi="Times New Roman" w:eastAsia="宋体"/>
                <w:b w:val="0"/>
                <w:sz w:val="18"/>
              </w:rPr>
              <w:t>14</w:t>
            </w:r>
          </w:p>
        </w:tc>
        <w:tc>
          <w:tcPr>
            <w:tcW w:type="dxa" w:w="850"/>
            <w:tcBorders>
              <w:bottom w:val="single" w:sz="12" w:space="0" w:color="000000"/>
            </w:tcBorders>
          </w:tcPr>
          <w:p>
            <w:pPr>
              <w:spacing w:before="40" w:after="40" w:line="240" w:lineRule="auto"/>
              <w:jc w:val="center"/>
            </w:pPr>
            <w:r/>
            <w:r>
              <w:rPr>
                <w:rFonts w:ascii="Times New Roman" w:hAnsi="Times New Roman" w:eastAsia="宋体"/>
                <w:b w:val="0"/>
                <w:sz w:val="18"/>
              </w:rPr>
              <w:t>16</w:t>
            </w:r>
          </w:p>
        </w:tc>
        <w:tc>
          <w:tcPr>
            <w:tcW w:type="dxa" w:w="850"/>
            <w:tcBorders>
              <w:bottom w:val="single" w:sz="12" w:space="0" w:color="000000"/>
            </w:tcBorders>
          </w:tcPr>
          <w:p>
            <w:pPr>
              <w:spacing w:before="40" w:after="40" w:line="240" w:lineRule="auto"/>
              <w:jc w:val="center"/>
            </w:pPr>
            <w:r/>
            <w:r>
              <w:rPr>
                <w:rFonts w:ascii="Times New Roman" w:hAnsi="Times New Roman" w:eastAsia="宋体"/>
                <w:b w:val="0"/>
                <w:sz w:val="18"/>
              </w:rPr>
              <w:t>298</w:t>
            </w:r>
          </w:p>
        </w:tc>
        <w:tc>
          <w:tcPr>
            <w:tcW w:type="dxa" w:w="1474"/>
            <w:tcBorders>
              <w:bottom w:val="single" w:sz="12" w:space="0" w:color="000000"/>
            </w:tcBorders>
          </w:tcPr>
          <w:p>
            <w:pPr>
              <w:spacing w:before="40" w:after="40" w:line="240" w:lineRule="auto"/>
              <w:jc w:val="center"/>
            </w:pPr>
            <w:r/>
            <w:r>
              <w:rPr>
                <w:rFonts w:ascii="Times New Roman" w:hAnsi="Times New Roman" w:eastAsia="宋体"/>
                <w:b w:val="0"/>
                <w:sz w:val="18"/>
              </w:rPr>
              <w:t>93.93</w:t>
            </w:r>
          </w:p>
        </w:tc>
        <w:tc>
          <w:tcPr>
            <w:tcW w:type="dxa" w:w="1474"/>
            <w:tcBorders>
              <w:bottom w:val="single" w:sz="12" w:space="0" w:color="000000"/>
            </w:tcBorders>
          </w:tcPr>
          <w:p>
            <w:pPr>
              <w:spacing w:before="40" w:after="40" w:line="240" w:lineRule="auto"/>
              <w:jc w:val="center"/>
            </w:pPr>
            <w:r/>
            <w:r>
              <w:rPr>
                <w:rFonts w:ascii="Times New Roman" w:hAnsi="Times New Roman" w:eastAsia="宋体"/>
                <w:b w:val="0"/>
                <w:sz w:val="18"/>
              </w:rPr>
              <w:t>94.70</w:t>
            </w:r>
          </w:p>
        </w:tc>
        <w:tc>
          <w:tcPr>
            <w:tcW w:type="dxa" w:w="1020"/>
            <w:tcBorders>
              <w:bottom w:val="single" w:sz="12" w:space="0" w:color="000000"/>
            </w:tcBorders>
          </w:tcPr>
          <w:p>
            <w:pPr>
              <w:spacing w:before="40" w:after="40" w:line="240" w:lineRule="auto"/>
              <w:jc w:val="center"/>
            </w:pPr>
            <w:r/>
            <w:r>
              <w:rPr>
                <w:rFonts w:ascii="Times New Roman" w:hAnsi="Times New Roman" w:eastAsia="宋体"/>
                <w:b w:val="0"/>
                <w:sz w:val="18"/>
              </w:rPr>
              <w:t>+0.77</w:t>
            </w:r>
          </w:p>
        </w:tc>
      </w:tr>
    </w:tbl>
    <w:p>
      <w:pPr>
        <w:spacing w:before="40" w:after="160" w:line="240" w:lineRule="auto"/>
        <w:ind w:firstLine="0"/>
        <w:jc w:val="left"/>
      </w:pPr>
      <w:r>
        <w:rPr>
          <w:rFonts w:ascii="Times New Roman" w:hAnsi="Times New Roman" w:eastAsia="宋体"/>
          <w:b w:val="0"/>
          <w:sz w:val="18"/>
        </w:rPr>
        <w:t>注：TP 为正确识别的违规视频数，FP 为误报数，FN 为漏报数，TN 为正确识别的合规视频数。反推准确率由混淆矩阵直接计算，与报告值的偏差反映指标间的舍入与口径差异。</w:t>
      </w:r>
    </w:p>
    <w:p>
      <w:pPr>
        <w:spacing w:before="0" w:after="0" w:line="360" w:lineRule="auto"/>
        <w:ind w:firstLine="480"/>
        <w:jc w:val="both"/>
      </w:pPr>
      <w:r>
        <w:rPr>
          <w:rFonts w:ascii="Times New Roman" w:hAnsi="Times New Roman" w:eastAsia="宋体"/>
          <w:b w:val="0"/>
          <w:sz w:val="24"/>
        </w:rPr>
        <w:t>由表 4 可见，三方案由精确率与召回率反推的 F1 值与报告值完全吻合，但反推准确率与报告准确率存在 0.22～1.26 个百分点的偏差。该偏差可能来自指标的舍入处理，也可能来自准确率采用了与二分类不同的统计口径。</w:t>
      </w:r>
      <w:r>
        <w:rPr>
          <w:rFonts w:ascii="Times New Roman" w:hAnsi="Times New Roman" w:eastAsia="宋体"/>
          <w:b/>
          <w:sz w:val="24"/>
        </w:rPr>
        <w:t>建议后续研究直接报告完整混淆矩阵，而非仅报告派生指标</w:t>
      </w:r>
      <w:r>
        <w:rPr>
          <w:rFonts w:ascii="Times New Roman" w:hAnsi="Times New Roman" w:eastAsia="宋体"/>
          <w:b w:val="0"/>
          <w:sz w:val="24"/>
        </w:rPr>
        <w:t>，这既可消除歧义，也便于其他单位在自有数据上做横向比较。</w:t>
      </w:r>
    </w:p>
    <w:p>
      <w:pPr>
        <w:keepNext/>
        <w:spacing w:before="160" w:after="80" w:line="360" w:lineRule="auto"/>
        <w:jc w:val="left"/>
      </w:pPr>
      <w:r>
        <w:rPr>
          <w:rFonts w:ascii="Times New Roman" w:hAnsi="Times New Roman" w:eastAsia="黑体"/>
          <w:b w:val="0"/>
          <w:sz w:val="28"/>
        </w:rPr>
        <w:t>5.3  统计显著性与实验设计的补充说明</w:t>
      </w:r>
    </w:p>
    <w:p>
      <w:pPr>
        <w:spacing w:before="0" w:after="0" w:line="360" w:lineRule="auto"/>
        <w:ind w:firstLine="480"/>
        <w:jc w:val="both"/>
      </w:pPr>
      <w:r>
        <w:rPr>
          <w:rFonts w:ascii="Times New Roman" w:hAnsi="Times New Roman" w:eastAsia="宋体"/>
          <w:b w:val="0"/>
          <w:sz w:val="24"/>
        </w:rPr>
        <w:t>三方案在同一测试集上评测，属配对设计，方案间差异的显著性应采用 McNemar 检验而非独立样本检验。由于原实验未记录配对的逐条判定结果，本文无法直接计算 p 值，转而给出该设计下的功效分析，结果如表 5 所示，用以说明现有样本量的检验能力。</w:t>
      </w:r>
    </w:p>
    <w:p>
      <w:pPr>
        <w:keepNext/>
        <w:spacing w:before="160" w:after="40" w:line="240" w:lineRule="auto"/>
        <w:jc w:val="center"/>
      </w:pPr>
      <w:r>
        <w:rPr>
          <w:rFonts w:ascii="Times New Roman" w:hAnsi="Times New Roman" w:eastAsia="黑体"/>
          <w:b w:val="0"/>
          <w:sz w:val="21"/>
        </w:rPr>
        <w:t>表 5  McNemar 配对检验的功效分析（α=0.05 双侧，power=0.80，n=500）</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362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两方案判定不一致的样本对数 m</w:t>
            </w:r>
          </w:p>
        </w:tc>
        <w:tc>
          <w:tcPr>
            <w:tcW w:type="dxa" w:w="3402"/>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可检出的最小不一致偏向比 |b−c|/m</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对应的准确率差 / pp</w:t>
            </w:r>
          </w:p>
        </w:tc>
      </w:tr>
      <w:tr>
        <w:tc>
          <w:tcPr>
            <w:tcW w:type="dxa" w:w="3628"/>
          </w:tcPr>
          <w:p>
            <w:pPr>
              <w:spacing w:before="40" w:after="40" w:line="240" w:lineRule="auto"/>
              <w:jc w:val="left"/>
            </w:pPr>
            <w:r/>
            <w:r>
              <w:rPr>
                <w:rFonts w:ascii="Times New Roman" w:hAnsi="Times New Roman" w:eastAsia="宋体"/>
                <w:b w:val="0"/>
                <w:sz w:val="19"/>
              </w:rPr>
              <w:t>20</w:t>
            </w:r>
          </w:p>
        </w:tc>
        <w:tc>
          <w:tcPr>
            <w:tcW w:type="dxa" w:w="3402"/>
          </w:tcPr>
          <w:p>
            <w:pPr>
              <w:spacing w:before="40" w:after="40" w:line="240" w:lineRule="auto"/>
              <w:jc w:val="center"/>
            </w:pPr>
            <w:r/>
            <w:r>
              <w:rPr>
                <w:rFonts w:ascii="Times New Roman" w:hAnsi="Times New Roman" w:eastAsia="宋体"/>
                <w:b w:val="0"/>
                <w:sz w:val="19"/>
              </w:rPr>
              <w:t>0.626</w:t>
            </w:r>
          </w:p>
        </w:tc>
        <w:tc>
          <w:tcPr>
            <w:tcW w:type="dxa" w:w="2268"/>
          </w:tcPr>
          <w:p>
            <w:pPr>
              <w:spacing w:before="40" w:after="40" w:line="240" w:lineRule="auto"/>
              <w:jc w:val="center"/>
            </w:pPr>
            <w:r/>
            <w:r>
              <w:rPr>
                <w:rFonts w:ascii="Times New Roman" w:hAnsi="Times New Roman" w:eastAsia="宋体"/>
                <w:b w:val="0"/>
                <w:sz w:val="19"/>
              </w:rPr>
              <w:t>2.51</w:t>
            </w:r>
          </w:p>
        </w:tc>
      </w:tr>
      <w:tr>
        <w:tc>
          <w:tcPr>
            <w:tcW w:type="dxa" w:w="3628"/>
          </w:tcPr>
          <w:p>
            <w:pPr>
              <w:spacing w:before="40" w:after="40" w:line="240" w:lineRule="auto"/>
              <w:jc w:val="left"/>
            </w:pPr>
            <w:r/>
            <w:r>
              <w:rPr>
                <w:rFonts w:ascii="Times New Roman" w:hAnsi="Times New Roman" w:eastAsia="宋体"/>
                <w:b w:val="0"/>
                <w:sz w:val="19"/>
              </w:rPr>
              <w:t>30</w:t>
            </w:r>
          </w:p>
        </w:tc>
        <w:tc>
          <w:tcPr>
            <w:tcW w:type="dxa" w:w="3402"/>
          </w:tcPr>
          <w:p>
            <w:pPr>
              <w:spacing w:before="40" w:after="40" w:line="240" w:lineRule="auto"/>
              <w:jc w:val="center"/>
            </w:pPr>
            <w:r/>
            <w:r>
              <w:rPr>
                <w:rFonts w:ascii="Times New Roman" w:hAnsi="Times New Roman" w:eastAsia="宋体"/>
                <w:b w:val="0"/>
                <w:sz w:val="19"/>
              </w:rPr>
              <w:t>0.511</w:t>
            </w:r>
          </w:p>
        </w:tc>
        <w:tc>
          <w:tcPr>
            <w:tcW w:type="dxa" w:w="2268"/>
          </w:tcPr>
          <w:p>
            <w:pPr>
              <w:spacing w:before="40" w:after="40" w:line="240" w:lineRule="auto"/>
              <w:jc w:val="center"/>
            </w:pPr>
            <w:r/>
            <w:r>
              <w:rPr>
                <w:rFonts w:ascii="Times New Roman" w:hAnsi="Times New Roman" w:eastAsia="宋体"/>
                <w:b w:val="0"/>
                <w:sz w:val="19"/>
              </w:rPr>
              <w:t>3.07</w:t>
            </w:r>
          </w:p>
        </w:tc>
      </w:tr>
      <w:tr>
        <w:tc>
          <w:tcPr>
            <w:tcW w:type="dxa" w:w="3628"/>
          </w:tcPr>
          <w:p>
            <w:pPr>
              <w:spacing w:before="40" w:after="40" w:line="240" w:lineRule="auto"/>
              <w:jc w:val="left"/>
            </w:pPr>
            <w:r/>
            <w:r>
              <w:rPr>
                <w:rFonts w:ascii="Times New Roman" w:hAnsi="Times New Roman" w:eastAsia="宋体"/>
                <w:b w:val="0"/>
                <w:sz w:val="19"/>
              </w:rPr>
              <w:t>40</w:t>
            </w:r>
          </w:p>
        </w:tc>
        <w:tc>
          <w:tcPr>
            <w:tcW w:type="dxa" w:w="3402"/>
          </w:tcPr>
          <w:p>
            <w:pPr>
              <w:spacing w:before="40" w:after="40" w:line="240" w:lineRule="auto"/>
              <w:jc w:val="center"/>
            </w:pPr>
            <w:r/>
            <w:r>
              <w:rPr>
                <w:rFonts w:ascii="Times New Roman" w:hAnsi="Times New Roman" w:eastAsia="宋体"/>
                <w:b w:val="0"/>
                <w:sz w:val="19"/>
              </w:rPr>
              <w:t>0.443</w:t>
            </w:r>
          </w:p>
        </w:tc>
        <w:tc>
          <w:tcPr>
            <w:tcW w:type="dxa" w:w="2268"/>
          </w:tcPr>
          <w:p>
            <w:pPr>
              <w:spacing w:before="40" w:after="40" w:line="240" w:lineRule="auto"/>
              <w:jc w:val="center"/>
            </w:pPr>
            <w:r/>
            <w:r>
              <w:rPr>
                <w:rFonts w:ascii="Times New Roman" w:hAnsi="Times New Roman" w:eastAsia="宋体"/>
                <w:b w:val="0"/>
                <w:sz w:val="19"/>
              </w:rPr>
              <w:t>3.54</w:t>
            </w:r>
          </w:p>
        </w:tc>
      </w:tr>
      <w:tr>
        <w:tc>
          <w:tcPr>
            <w:tcW w:type="dxa" w:w="3628"/>
          </w:tcPr>
          <w:p>
            <w:pPr>
              <w:spacing w:before="40" w:after="40" w:line="240" w:lineRule="auto"/>
              <w:jc w:val="left"/>
            </w:pPr>
            <w:r/>
            <w:r>
              <w:rPr>
                <w:rFonts w:ascii="Times New Roman" w:hAnsi="Times New Roman" w:eastAsia="宋体"/>
                <w:b w:val="0"/>
                <w:sz w:val="19"/>
              </w:rPr>
              <w:t>50</w:t>
            </w:r>
          </w:p>
        </w:tc>
        <w:tc>
          <w:tcPr>
            <w:tcW w:type="dxa" w:w="3402"/>
          </w:tcPr>
          <w:p>
            <w:pPr>
              <w:spacing w:before="40" w:after="40" w:line="240" w:lineRule="auto"/>
              <w:jc w:val="center"/>
            </w:pPr>
            <w:r/>
            <w:r>
              <w:rPr>
                <w:rFonts w:ascii="Times New Roman" w:hAnsi="Times New Roman" w:eastAsia="宋体"/>
                <w:b w:val="0"/>
                <w:sz w:val="19"/>
              </w:rPr>
              <w:t>0.396</w:t>
            </w:r>
          </w:p>
        </w:tc>
        <w:tc>
          <w:tcPr>
            <w:tcW w:type="dxa" w:w="2268"/>
          </w:tcPr>
          <w:p>
            <w:pPr>
              <w:spacing w:before="40" w:after="40" w:line="240" w:lineRule="auto"/>
              <w:jc w:val="center"/>
            </w:pPr>
            <w:r/>
            <w:r>
              <w:rPr>
                <w:rFonts w:ascii="Times New Roman" w:hAnsi="Times New Roman" w:eastAsia="宋体"/>
                <w:b w:val="0"/>
                <w:sz w:val="19"/>
              </w:rPr>
              <w:t>3.96</w:t>
            </w:r>
          </w:p>
        </w:tc>
      </w:tr>
      <w:tr>
        <w:tc>
          <w:tcPr>
            <w:tcW w:type="dxa" w:w="3628"/>
          </w:tcPr>
          <w:p>
            <w:pPr>
              <w:spacing w:before="40" w:after="40" w:line="240" w:lineRule="auto"/>
              <w:jc w:val="left"/>
            </w:pPr>
            <w:r/>
            <w:r>
              <w:rPr>
                <w:rFonts w:ascii="Times New Roman" w:hAnsi="Times New Roman" w:eastAsia="宋体"/>
                <w:b w:val="0"/>
                <w:sz w:val="19"/>
              </w:rPr>
              <w:t>60</w:t>
            </w:r>
          </w:p>
        </w:tc>
        <w:tc>
          <w:tcPr>
            <w:tcW w:type="dxa" w:w="3402"/>
          </w:tcPr>
          <w:p>
            <w:pPr>
              <w:spacing w:before="40" w:after="40" w:line="240" w:lineRule="auto"/>
              <w:jc w:val="center"/>
            </w:pPr>
            <w:r/>
            <w:r>
              <w:rPr>
                <w:rFonts w:ascii="Times New Roman" w:hAnsi="Times New Roman" w:eastAsia="宋体"/>
                <w:b w:val="0"/>
                <w:sz w:val="19"/>
              </w:rPr>
              <w:t>0.362</w:t>
            </w:r>
          </w:p>
        </w:tc>
        <w:tc>
          <w:tcPr>
            <w:tcW w:type="dxa" w:w="2268"/>
          </w:tcPr>
          <w:p>
            <w:pPr>
              <w:spacing w:before="40" w:after="40" w:line="240" w:lineRule="auto"/>
              <w:jc w:val="center"/>
            </w:pPr>
            <w:r/>
            <w:r>
              <w:rPr>
                <w:rFonts w:ascii="Times New Roman" w:hAnsi="Times New Roman" w:eastAsia="宋体"/>
                <w:b w:val="0"/>
                <w:sz w:val="19"/>
              </w:rPr>
              <w:t>4.34</w:t>
            </w:r>
          </w:p>
        </w:tc>
      </w:tr>
      <w:tr>
        <w:tc>
          <w:tcPr>
            <w:tcW w:type="dxa" w:w="3628"/>
          </w:tcPr>
          <w:p>
            <w:pPr>
              <w:spacing w:before="40" w:after="40" w:line="240" w:lineRule="auto"/>
              <w:jc w:val="left"/>
            </w:pPr>
            <w:r/>
            <w:r>
              <w:rPr>
                <w:rFonts w:ascii="Times New Roman" w:hAnsi="Times New Roman" w:eastAsia="宋体"/>
                <w:b w:val="0"/>
                <w:sz w:val="19"/>
              </w:rPr>
              <w:t>80</w:t>
            </w:r>
          </w:p>
        </w:tc>
        <w:tc>
          <w:tcPr>
            <w:tcW w:type="dxa" w:w="3402"/>
          </w:tcPr>
          <w:p>
            <w:pPr>
              <w:spacing w:before="40" w:after="40" w:line="240" w:lineRule="auto"/>
              <w:jc w:val="center"/>
            </w:pPr>
            <w:r/>
            <w:r>
              <w:rPr>
                <w:rFonts w:ascii="Times New Roman" w:hAnsi="Times New Roman" w:eastAsia="宋体"/>
                <w:b w:val="0"/>
                <w:sz w:val="19"/>
              </w:rPr>
              <w:t>0.313</w:t>
            </w:r>
          </w:p>
        </w:tc>
        <w:tc>
          <w:tcPr>
            <w:tcW w:type="dxa" w:w="2268"/>
          </w:tcPr>
          <w:p>
            <w:pPr>
              <w:spacing w:before="40" w:after="40" w:line="240" w:lineRule="auto"/>
              <w:jc w:val="center"/>
            </w:pPr>
            <w:r/>
            <w:r>
              <w:rPr>
                <w:rFonts w:ascii="Times New Roman" w:hAnsi="Times New Roman" w:eastAsia="宋体"/>
                <w:b w:val="0"/>
                <w:sz w:val="19"/>
              </w:rPr>
              <w:t>5.01</w:t>
            </w:r>
          </w:p>
        </w:tc>
      </w:tr>
      <w:tr>
        <w:tc>
          <w:tcPr>
            <w:tcW w:type="dxa" w:w="3628"/>
            <w:tcBorders>
              <w:bottom w:val="single" w:sz="12" w:space="0" w:color="000000"/>
            </w:tcBorders>
          </w:tcPr>
          <w:p>
            <w:pPr>
              <w:spacing w:before="40" w:after="40" w:line="240" w:lineRule="auto"/>
              <w:jc w:val="left"/>
            </w:pPr>
            <w:r/>
            <w:r>
              <w:rPr>
                <w:rFonts w:ascii="Times New Roman" w:hAnsi="Times New Roman" w:eastAsia="宋体"/>
                <w:b w:val="0"/>
                <w:sz w:val="19"/>
              </w:rPr>
              <w:t>100</w:t>
            </w:r>
          </w:p>
        </w:tc>
        <w:tc>
          <w:tcPr>
            <w:tcW w:type="dxa" w:w="3402"/>
            <w:tcBorders>
              <w:bottom w:val="single" w:sz="12" w:space="0" w:color="000000"/>
            </w:tcBorders>
          </w:tcPr>
          <w:p>
            <w:pPr>
              <w:spacing w:before="40" w:after="40" w:line="240" w:lineRule="auto"/>
              <w:jc w:val="center"/>
            </w:pPr>
            <w:r/>
            <w:r>
              <w:rPr>
                <w:rFonts w:ascii="Times New Roman" w:hAnsi="Times New Roman" w:eastAsia="宋体"/>
                <w:b w:val="0"/>
                <w:sz w:val="19"/>
              </w:rPr>
              <w:t>0.280</w:t>
            </w:r>
          </w:p>
        </w:tc>
        <w:tc>
          <w:tcPr>
            <w:tcW w:type="dxa" w:w="2268"/>
            <w:tcBorders>
              <w:bottom w:val="single" w:sz="12" w:space="0" w:color="000000"/>
            </w:tcBorders>
          </w:tcPr>
          <w:p>
            <w:pPr>
              <w:spacing w:before="40" w:after="40" w:line="240" w:lineRule="auto"/>
              <w:jc w:val="center"/>
            </w:pPr>
            <w:r/>
            <w:r>
              <w:rPr>
                <w:rFonts w:ascii="Times New Roman" w:hAnsi="Times New Roman" w:eastAsia="宋体"/>
                <w:b w:val="0"/>
                <w:sz w:val="19"/>
              </w:rPr>
              <w:t>5.60</w:t>
            </w:r>
          </w:p>
        </w:tc>
      </w:tr>
    </w:tbl>
    <w:p>
      <w:pPr>
        <w:spacing w:before="40" w:after="160" w:line="240" w:lineRule="auto"/>
        <w:ind w:firstLine="0"/>
        <w:jc w:val="left"/>
      </w:pPr>
      <w:r>
        <w:rPr>
          <w:rFonts w:ascii="Times New Roman" w:hAnsi="Times New Roman" w:eastAsia="宋体"/>
          <w:b w:val="0"/>
          <w:sz w:val="18"/>
        </w:rPr>
        <w:t>注：b、c 分别为两方案判定不一致的两类样本数。本文方案与方案 B 的报告准确率差为 8.0 个百分点（约 40 条视频），在 m≥30 时即可检出；但配对结果未记录，仍无法给出实际 p 值。</w:t>
      </w:r>
    </w:p>
    <w:p>
      <w:pPr>
        <w:spacing w:before="0" w:after="0" w:line="360" w:lineRule="auto"/>
        <w:ind w:firstLine="480"/>
        <w:jc w:val="both"/>
      </w:pPr>
      <w:r>
        <w:rPr>
          <w:rFonts w:ascii="Times New Roman" w:hAnsi="Times New Roman" w:eastAsia="宋体"/>
          <w:b w:val="0"/>
          <w:sz w:val="24"/>
        </w:rPr>
        <w:t>此外，本文对原实验设计提出两点补充要求，供后续研究执行：其一，</w:t>
      </w:r>
      <w:r>
        <w:rPr>
          <w:rFonts w:ascii="Times New Roman" w:hAnsi="Times New Roman" w:eastAsia="宋体"/>
          <w:b/>
          <w:sz w:val="24"/>
        </w:rPr>
        <w:t>应补做 Qwen Omni 零样本对照组</w:t>
      </w:r>
      <w:r>
        <w:rPr>
          <w:rFonts w:ascii="Times New Roman" w:hAnsi="Times New Roman" w:eastAsia="宋体"/>
          <w:b w:val="0"/>
          <w:sz w:val="24"/>
        </w:rPr>
        <w:t>。现有三组设计无法分离“原生多模态架构优势”与“领域微调优势”两个来源，而论文同时声称了这两项结论。补齐该组后形成“架构 × 是否微调”的 2×2 设计，两项结论方能各自得到独立支持。其二，</w:t>
      </w:r>
      <w:r>
        <w:rPr>
          <w:rFonts w:ascii="Times New Roman" w:hAnsi="Times New Roman" w:eastAsia="宋体"/>
          <w:b/>
          <w:sz w:val="24"/>
        </w:rPr>
        <w:t>应报告标注一致性系数</w:t>
      </w:r>
      <w:r>
        <w:rPr>
          <w:rFonts w:ascii="Times New Roman" w:hAnsi="Times New Roman" w:eastAsia="宋体"/>
          <w:b w:val="0"/>
          <w:sz w:val="24"/>
        </w:rPr>
        <w:t>。基准真值由多人标注产生，若标注者之间的一致性本身不高，则模型性能的上界即受限于标注质量。</w:t>
      </w:r>
    </w:p>
    <w:p>
      <w:pPr>
        <w:keepNext/>
        <w:spacing w:before="160" w:after="80" w:line="360" w:lineRule="auto"/>
        <w:jc w:val="left"/>
      </w:pPr>
      <w:r>
        <w:rPr>
          <w:rFonts w:ascii="Times New Roman" w:hAnsi="Times New Roman" w:eastAsia="黑体"/>
          <w:b w:val="0"/>
          <w:sz w:val="28"/>
        </w:rPr>
        <w:t>5.4  分违规类型的识别效果</w:t>
      </w:r>
    </w:p>
    <w:p>
      <w:pPr>
        <w:spacing w:before="0" w:after="0" w:line="360" w:lineRule="auto"/>
        <w:ind w:firstLine="480"/>
        <w:jc w:val="both"/>
      </w:pPr>
      <w:r>
        <w:rPr>
          <w:rFonts w:ascii="Times New Roman" w:hAnsi="Times New Roman" w:eastAsia="宋体"/>
          <w:b w:val="0"/>
          <w:sz w:val="24"/>
        </w:rPr>
        <w:t>按表 1 标注的主要判别模态重新组织分类识别结果，如表 6 所示。这一组织方式取代了原先按“视觉特征是否明显”的主观分类，使技术归因更为准确。</w:t>
      </w:r>
    </w:p>
    <w:p>
      <w:pPr>
        <w:keepNext/>
        <w:spacing w:before="160" w:after="40" w:line="240" w:lineRule="auto"/>
        <w:jc w:val="center"/>
      </w:pPr>
      <w:r>
        <w:rPr>
          <w:rFonts w:ascii="Times New Roman" w:hAnsi="Times New Roman" w:eastAsia="黑体"/>
          <w:b w:val="0"/>
          <w:sz w:val="21"/>
        </w:rPr>
        <w:t>表 6  分违规类型的识别效果（按主要判别模态归类）</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170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主要判别模态</w:t>
            </w:r>
          </w:p>
        </w:tc>
        <w:tc>
          <w:tcPr>
            <w:tcW w:type="dxa" w:w="249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违规类型</w:t>
            </w:r>
          </w:p>
        </w:tc>
        <w:tc>
          <w:tcPr>
            <w:tcW w:type="dxa" w:w="158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识别准确率 / %</w:t>
            </w:r>
          </w:p>
        </w:tc>
        <w:tc>
          <w:tcPr>
            <w:tcW w:type="dxa" w:w="36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技术归因</w:t>
            </w:r>
          </w:p>
        </w:tc>
      </w:tr>
      <w:tr>
        <w:tc>
          <w:tcPr>
            <w:tcW w:type="dxa" w:w="1701"/>
          </w:tcPr>
          <w:p>
            <w:pPr>
              <w:spacing w:before="40" w:after="40" w:line="240" w:lineRule="auto"/>
              <w:jc w:val="left"/>
            </w:pPr>
            <w:r/>
            <w:r>
              <w:rPr>
                <w:rFonts w:ascii="Times New Roman" w:hAnsi="Times New Roman" w:eastAsia="宋体"/>
                <w:b w:val="0"/>
                <w:sz w:val="19"/>
              </w:rPr>
              <w:t>视觉主导</w:t>
            </w:r>
          </w:p>
        </w:tc>
        <w:tc>
          <w:tcPr>
            <w:tcW w:type="dxa" w:w="2494"/>
          </w:tcPr>
          <w:p>
            <w:pPr>
              <w:spacing w:before="40" w:after="40" w:line="240" w:lineRule="auto"/>
              <w:jc w:val="center"/>
            </w:pPr>
            <w:r/>
            <w:r>
              <w:rPr>
                <w:rFonts w:ascii="Times New Roman" w:hAnsi="Times New Roman" w:eastAsia="宋体"/>
                <w:b w:val="0"/>
                <w:sz w:val="19"/>
              </w:rPr>
              <w:t>执法人员数量不足</w:t>
            </w:r>
          </w:p>
        </w:tc>
        <w:tc>
          <w:tcPr>
            <w:tcW w:type="dxa" w:w="1587"/>
          </w:tcPr>
          <w:p>
            <w:pPr>
              <w:spacing w:before="40" w:after="40" w:line="240" w:lineRule="auto"/>
              <w:jc w:val="center"/>
            </w:pPr>
            <w:r/>
            <w:r>
              <w:rPr>
                <w:rFonts w:ascii="Times New Roman" w:hAnsi="Times New Roman" w:eastAsia="宋体"/>
                <w:b w:val="0"/>
                <w:sz w:val="19"/>
              </w:rPr>
              <w:t>95.8</w:t>
            </w:r>
          </w:p>
        </w:tc>
        <w:tc>
          <w:tcPr>
            <w:tcW w:type="dxa" w:w="3628"/>
          </w:tcPr>
          <w:p>
            <w:pPr>
              <w:spacing w:before="40" w:after="40" w:line="240" w:lineRule="auto"/>
              <w:jc w:val="center"/>
            </w:pPr>
            <w:r/>
            <w:r>
              <w:rPr>
                <w:rFonts w:ascii="Times New Roman" w:hAnsi="Times New Roman" w:eastAsia="宋体"/>
                <w:b w:val="0"/>
                <w:sz w:val="19"/>
              </w:rPr>
              <w:t>人体检测成熟，目标尺度大、持续时间长</w:t>
            </w:r>
          </w:p>
        </w:tc>
      </w:tr>
      <w:tr>
        <w:tc>
          <w:tcPr>
            <w:tcW w:type="dxa" w:w="1701"/>
          </w:tcPr>
          <w:p>
            <w:pPr>
              <w:spacing w:before="40" w:after="40" w:line="240" w:lineRule="auto"/>
              <w:jc w:val="left"/>
            </w:pPr>
            <w:r/>
            <w:r>
              <w:rPr>
                <w:rFonts w:ascii="Times New Roman" w:hAnsi="Times New Roman" w:eastAsia="宋体"/>
                <w:b w:val="0"/>
                <w:sz w:val="19"/>
              </w:rPr>
              <w:t>语音语义主导</w:t>
            </w:r>
          </w:p>
        </w:tc>
        <w:tc>
          <w:tcPr>
            <w:tcW w:type="dxa" w:w="2494"/>
          </w:tcPr>
          <w:p>
            <w:pPr>
              <w:spacing w:before="40" w:after="40" w:line="240" w:lineRule="auto"/>
              <w:jc w:val="center"/>
            </w:pPr>
            <w:r/>
            <w:r>
              <w:rPr>
                <w:rFonts w:ascii="Times New Roman" w:hAnsi="Times New Roman" w:eastAsia="宋体"/>
                <w:b w:val="0"/>
                <w:sz w:val="19"/>
              </w:rPr>
              <w:t>执法用语不文明</w:t>
            </w:r>
          </w:p>
        </w:tc>
        <w:tc>
          <w:tcPr>
            <w:tcW w:type="dxa" w:w="1587"/>
          </w:tcPr>
          <w:p>
            <w:pPr>
              <w:spacing w:before="40" w:after="40" w:line="240" w:lineRule="auto"/>
              <w:jc w:val="center"/>
            </w:pPr>
            <w:r/>
            <w:r>
              <w:rPr>
                <w:rFonts w:ascii="Times New Roman" w:hAnsi="Times New Roman" w:eastAsia="宋体"/>
                <w:b w:val="0"/>
                <w:sz w:val="19"/>
              </w:rPr>
              <w:t>96.2</w:t>
            </w:r>
          </w:p>
        </w:tc>
        <w:tc>
          <w:tcPr>
            <w:tcW w:type="dxa" w:w="3628"/>
          </w:tcPr>
          <w:p>
            <w:pPr>
              <w:spacing w:before="40" w:after="40" w:line="240" w:lineRule="auto"/>
              <w:jc w:val="center"/>
            </w:pPr>
            <w:r/>
            <w:r>
              <w:rPr>
                <w:rFonts w:ascii="Times New Roman" w:hAnsi="Times New Roman" w:eastAsia="宋体"/>
                <w:b w:val="0"/>
                <w:sz w:val="19"/>
              </w:rPr>
              <w:t>语音转写质量高，敏感词与语气特征区分度大</w:t>
            </w:r>
          </w:p>
        </w:tc>
      </w:tr>
      <w:tr>
        <w:tc>
          <w:tcPr>
            <w:tcW w:type="dxa" w:w="1701"/>
          </w:tcPr>
          <w:p>
            <w:pPr>
              <w:spacing w:before="40" w:after="40" w:line="240" w:lineRule="auto"/>
              <w:jc w:val="left"/>
            </w:pPr>
            <w:r/>
            <w:r>
              <w:rPr>
                <w:rFonts w:ascii="Times New Roman" w:hAnsi="Times New Roman" w:eastAsia="宋体"/>
                <w:b w:val="0"/>
                <w:sz w:val="19"/>
              </w:rPr>
              <w:t>语音语义主导</w:t>
            </w:r>
          </w:p>
        </w:tc>
        <w:tc>
          <w:tcPr>
            <w:tcW w:type="dxa" w:w="2494"/>
          </w:tcPr>
          <w:p>
            <w:pPr>
              <w:spacing w:before="40" w:after="40" w:line="240" w:lineRule="auto"/>
              <w:jc w:val="center"/>
            </w:pPr>
            <w:r/>
            <w:r>
              <w:rPr>
                <w:rFonts w:ascii="Times New Roman" w:hAnsi="Times New Roman" w:eastAsia="宋体"/>
                <w:b w:val="0"/>
                <w:sz w:val="19"/>
              </w:rPr>
              <w:t>告知程序缺失</w:t>
            </w:r>
          </w:p>
        </w:tc>
        <w:tc>
          <w:tcPr>
            <w:tcW w:type="dxa" w:w="1587"/>
          </w:tcPr>
          <w:p>
            <w:pPr>
              <w:spacing w:before="40" w:after="40" w:line="240" w:lineRule="auto"/>
              <w:jc w:val="center"/>
            </w:pPr>
            <w:r/>
            <w:r>
              <w:rPr>
                <w:rFonts w:ascii="Times New Roman" w:hAnsi="Times New Roman" w:eastAsia="宋体"/>
                <w:b w:val="0"/>
                <w:sz w:val="19"/>
              </w:rPr>
              <w:t>93.1</w:t>
            </w:r>
          </w:p>
        </w:tc>
        <w:tc>
          <w:tcPr>
            <w:tcW w:type="dxa" w:w="3628"/>
          </w:tcPr>
          <w:p>
            <w:pPr>
              <w:spacing w:before="40" w:after="40" w:line="240" w:lineRule="auto"/>
              <w:jc w:val="center"/>
            </w:pPr>
            <w:r/>
            <w:r>
              <w:rPr>
                <w:rFonts w:ascii="Times New Roman" w:hAnsi="Times New Roman" w:eastAsia="宋体"/>
                <w:b w:val="0"/>
                <w:sz w:val="19"/>
              </w:rPr>
              <w:t>依赖语义理解，表述方式存在个体差异</w:t>
            </w:r>
          </w:p>
        </w:tc>
      </w:tr>
      <w:tr>
        <w:tc>
          <w:tcPr>
            <w:tcW w:type="dxa" w:w="1701"/>
          </w:tcPr>
          <w:p>
            <w:pPr>
              <w:spacing w:before="40" w:after="40" w:line="240" w:lineRule="auto"/>
              <w:jc w:val="left"/>
            </w:pPr>
            <w:r/>
            <w:r>
              <w:rPr>
                <w:rFonts w:ascii="Times New Roman" w:hAnsi="Times New Roman" w:eastAsia="宋体"/>
                <w:b w:val="0"/>
                <w:sz w:val="19"/>
              </w:rPr>
              <w:t>跨模态联合</w:t>
            </w:r>
          </w:p>
        </w:tc>
        <w:tc>
          <w:tcPr>
            <w:tcW w:type="dxa" w:w="2494"/>
          </w:tcPr>
          <w:p>
            <w:pPr>
              <w:spacing w:before="40" w:after="40" w:line="240" w:lineRule="auto"/>
              <w:jc w:val="center"/>
            </w:pPr>
            <w:r/>
            <w:r>
              <w:rPr>
                <w:rFonts w:ascii="Times New Roman" w:hAnsi="Times New Roman" w:eastAsia="宋体"/>
                <w:b w:val="0"/>
                <w:sz w:val="19"/>
              </w:rPr>
              <w:t>文书送达不规范</w:t>
            </w:r>
          </w:p>
        </w:tc>
        <w:tc>
          <w:tcPr>
            <w:tcW w:type="dxa" w:w="1587"/>
          </w:tcPr>
          <w:p>
            <w:pPr>
              <w:spacing w:before="40" w:after="40" w:line="240" w:lineRule="auto"/>
              <w:jc w:val="center"/>
            </w:pPr>
            <w:r/>
            <w:r>
              <w:rPr>
                <w:rFonts w:ascii="Times New Roman" w:hAnsi="Times New Roman" w:eastAsia="宋体"/>
                <w:b w:val="0"/>
                <w:sz w:val="19"/>
              </w:rPr>
              <w:t>90.5</w:t>
            </w:r>
          </w:p>
        </w:tc>
        <w:tc>
          <w:tcPr>
            <w:tcW w:type="dxa" w:w="3628"/>
          </w:tcPr>
          <w:p>
            <w:pPr>
              <w:spacing w:before="40" w:after="40" w:line="240" w:lineRule="auto"/>
              <w:jc w:val="center"/>
            </w:pPr>
            <w:r/>
            <w:r>
              <w:rPr>
                <w:rFonts w:ascii="Times New Roman" w:hAnsi="Times New Roman" w:eastAsia="宋体"/>
                <w:b w:val="0"/>
                <w:sz w:val="19"/>
              </w:rPr>
              <w:t>需同时识别文书类型、交付动作与签收确认</w:t>
            </w:r>
          </w:p>
        </w:tc>
      </w:tr>
      <w:tr>
        <w:tc>
          <w:tcPr>
            <w:tcW w:type="dxa" w:w="1701"/>
            <w:tcBorders>
              <w:bottom w:val="single" w:sz="12" w:space="0" w:color="000000"/>
            </w:tcBorders>
          </w:tcPr>
          <w:p>
            <w:pPr>
              <w:spacing w:before="40" w:after="40" w:line="240" w:lineRule="auto"/>
              <w:jc w:val="left"/>
            </w:pPr>
            <w:r/>
            <w:r>
              <w:rPr>
                <w:rFonts w:ascii="Times New Roman" w:hAnsi="Times New Roman" w:eastAsia="宋体"/>
                <w:b w:val="0"/>
                <w:sz w:val="19"/>
              </w:rPr>
              <w:t>跨模态联合</w:t>
            </w:r>
          </w:p>
        </w:tc>
        <w:tc>
          <w:tcPr>
            <w:tcW w:type="dxa" w:w="2494"/>
            <w:tcBorders>
              <w:bottom w:val="single" w:sz="12" w:space="0" w:color="000000"/>
            </w:tcBorders>
          </w:tcPr>
          <w:p>
            <w:pPr>
              <w:spacing w:before="40" w:after="40" w:line="240" w:lineRule="auto"/>
              <w:jc w:val="center"/>
            </w:pPr>
            <w:r/>
            <w:r>
              <w:rPr>
                <w:rFonts w:ascii="Times New Roman" w:hAnsi="Times New Roman" w:eastAsia="宋体"/>
                <w:b w:val="0"/>
                <w:sz w:val="19"/>
              </w:rPr>
              <w:t>出示执法证件不规范</w:t>
            </w:r>
          </w:p>
        </w:tc>
        <w:tc>
          <w:tcPr>
            <w:tcW w:type="dxa" w:w="1587"/>
            <w:tcBorders>
              <w:bottom w:val="single" w:sz="12" w:space="0" w:color="000000"/>
            </w:tcBorders>
          </w:tcPr>
          <w:p>
            <w:pPr>
              <w:spacing w:before="40" w:after="40" w:line="240" w:lineRule="auto"/>
              <w:jc w:val="center"/>
            </w:pPr>
            <w:r/>
            <w:r>
              <w:rPr>
                <w:rFonts w:ascii="Times New Roman" w:hAnsi="Times New Roman" w:eastAsia="宋体"/>
                <w:b w:val="0"/>
                <w:sz w:val="19"/>
              </w:rPr>
              <w:t>88.7</w:t>
            </w:r>
          </w:p>
        </w:tc>
        <w:tc>
          <w:tcPr>
            <w:tcW w:type="dxa" w:w="3628"/>
            <w:tcBorders>
              <w:bottom w:val="single" w:sz="12" w:space="0" w:color="000000"/>
            </w:tcBorders>
          </w:tcPr>
          <w:p>
            <w:pPr>
              <w:spacing w:before="40" w:after="40" w:line="240" w:lineRule="auto"/>
              <w:jc w:val="center"/>
            </w:pPr>
            <w:r/>
            <w:r>
              <w:rPr>
                <w:rFonts w:ascii="Times New Roman" w:hAnsi="Times New Roman" w:eastAsia="宋体"/>
                <w:b w:val="0"/>
                <w:sz w:val="19"/>
              </w:rPr>
              <w:t>需联合判断举证动作、口头说明与证件可辨识度，三者缺一即判不规范，判定链条最长</w:t>
            </w:r>
          </w:p>
        </w:tc>
      </w:tr>
    </w:tbl>
    <w:p>
      <w:pPr>
        <w:spacing w:before="40" w:after="160" w:line="240" w:lineRule="auto"/>
        <w:ind w:firstLine="0"/>
        <w:jc w:val="left"/>
      </w:pPr>
      <w:r>
        <w:rPr>
          <w:rFonts w:ascii="Times New Roman" w:hAnsi="Times New Roman" w:eastAsia="宋体"/>
          <w:b w:val="0"/>
          <w:sz w:val="18"/>
        </w:rPr>
        <w:t>注：识别准确率取自各类型的分类结果。与原分类方式相比，本表显示准确率随判定链条长度递减，而与“视觉特征是否明显”无单调关系。</w:t>
      </w:r>
    </w:p>
    <w:p>
      <w:pPr>
        <w:spacing w:before="0" w:after="0" w:line="360" w:lineRule="auto"/>
        <w:ind w:firstLine="480"/>
        <w:jc w:val="both"/>
      </w:pPr>
      <w:r>
        <w:rPr>
          <w:rFonts w:ascii="Times New Roman" w:hAnsi="Times New Roman" w:eastAsia="宋体"/>
          <w:b w:val="0"/>
          <w:sz w:val="24"/>
        </w:rPr>
        <w:t>由表 6 可见一条清晰规律：</w:t>
      </w:r>
      <w:r>
        <w:rPr>
          <w:rFonts w:ascii="Times New Roman" w:hAnsi="Times New Roman" w:eastAsia="宋体"/>
          <w:b/>
          <w:sz w:val="24"/>
        </w:rPr>
        <w:t>识别准确率随判定链条长度递减</w:t>
      </w:r>
      <w:r>
        <w:rPr>
          <w:rFonts w:ascii="Times New Roman" w:hAnsi="Times New Roman" w:eastAsia="宋体"/>
          <w:b w:val="0"/>
          <w:sz w:val="24"/>
        </w:rPr>
        <w:t>。单模态、单条件的指标（人员数量、用语文明）准确率在 95% 以上；需要语义理解的指标（告知程序）为 93.1%；需要跨模态联合判断且多条件同时成立的指标（文书送达、证件出示）降至 90% 以下。这一规律对系统优化具有直接指导意义：后续微调应把标注资源优先投向跨模态联合判断类指标。</w:t>
      </w:r>
    </w:p>
    <w:p>
      <w:pPr>
        <w:spacing w:before="0" w:after="0" w:line="360" w:lineRule="auto"/>
        <w:ind w:firstLine="480"/>
        <w:jc w:val="both"/>
      </w:pPr>
      <w:r>
        <w:rPr>
          <w:rFonts w:ascii="Times New Roman" w:hAnsi="Times New Roman" w:eastAsia="宋体"/>
          <w:b w:val="0"/>
          <w:sz w:val="24"/>
        </w:rPr>
        <w:t>需要指出的是，原实验未报告各违规类型的测试样本量，这使上述准确率的精度无法评估。图 7 给出了各类型准确率在不同分组样本量下的 Wilson 95% 置信区间宽度。可见当某类型的样本量仅为 20 条时，其置信区间宽度可达 21～28 个百分点，此时报告的点估计几乎不含判别信息；样本量需达到 60 条以上，区间宽度才收窄至 12～16 个百分点。</w:t>
      </w:r>
      <w:r>
        <w:rPr>
          <w:rFonts w:ascii="Times New Roman" w:hAnsi="Times New Roman" w:eastAsia="宋体"/>
          <w:b/>
          <w:sz w:val="24"/>
        </w:rPr>
        <w:t>建议后续实验按违规类型分层抽样并报告各类样本量。</w:t>
      </w:r>
    </w:p>
    <w:p>
      <w:pPr>
        <w:keepNext/>
        <w:spacing w:before="120" w:after="0" w:line="240" w:lineRule="auto"/>
        <w:jc w:val="center"/>
      </w:pPr>
      <w:r>
        <w:drawing>
          <wp:inline xmlns:a="http://schemas.openxmlformats.org/drawingml/2006/main" xmlns:pic="http://schemas.openxmlformats.org/drawingml/2006/picture">
            <wp:extent cx="4500000" cy="3177283"/>
            <wp:docPr id="7" name="Picture 7"/>
            <wp:cNvGraphicFramePr>
              <a:graphicFrameLocks noChangeAspect="1"/>
            </wp:cNvGraphicFramePr>
            <a:graphic>
              <a:graphicData uri="http://schemas.openxmlformats.org/drawingml/2006/picture">
                <pic:pic>
                  <pic:nvPicPr>
                    <pic:cNvPr id="0" name="p1_d4_typeci.png"/>
                    <pic:cNvPicPr/>
                  </pic:nvPicPr>
                  <pic:blipFill>
                    <a:blip r:embed="rId15"/>
                    <a:stretch>
                      <a:fillRect/>
                    </a:stretch>
                  </pic:blipFill>
                  <pic:spPr>
                    <a:xfrm>
                      <a:off x="0" y="0"/>
                      <a:ext cx="4500000" cy="3177283"/>
                    </a:xfrm>
                    <a:prstGeom prst="rect"/>
                  </pic:spPr>
                </pic:pic>
              </a:graphicData>
            </a:graphic>
          </wp:inline>
        </w:drawing>
      </w:r>
    </w:p>
    <w:p>
      <w:pPr>
        <w:spacing w:before="40" w:after="160" w:line="240" w:lineRule="auto"/>
        <w:jc w:val="center"/>
      </w:pPr>
      <w:r>
        <w:rPr>
          <w:rFonts w:ascii="Times New Roman" w:hAnsi="Times New Roman" w:eastAsia="黑体"/>
          <w:b w:val="0"/>
          <w:sz w:val="21"/>
        </w:rPr>
        <w:t>图 7  分违规类型的样本量与置信区间宽度关系</w:t>
      </w:r>
    </w:p>
    <w:p>
      <w:pPr>
        <w:keepNext/>
        <w:spacing w:before="160" w:after="80" w:line="360" w:lineRule="auto"/>
        <w:jc w:val="left"/>
      </w:pPr>
      <w:r>
        <w:rPr>
          <w:rFonts w:ascii="Times New Roman" w:hAnsi="Times New Roman" w:eastAsia="黑体"/>
          <w:b w:val="0"/>
          <w:sz w:val="28"/>
        </w:rPr>
        <w:t>5.5  人机协同筛查策略的工作量—查全率分析</w:t>
      </w:r>
    </w:p>
    <w:p>
      <w:pPr>
        <w:spacing w:before="0" w:after="0" w:line="360" w:lineRule="auto"/>
        <w:ind w:firstLine="480"/>
        <w:jc w:val="both"/>
      </w:pPr>
      <w:r>
        <w:rPr>
          <w:rFonts w:ascii="Times New Roman" w:hAnsi="Times New Roman" w:eastAsia="宋体"/>
          <w:b w:val="0"/>
          <w:sz w:val="24"/>
        </w:rPr>
        <w:t>法制部门在部署决策时真正需要回答的问题，不是“模型准确率是多少”，而是“投入多少人力能查出多少问题”。本节把模型性能指标转换为这一决策口径。</w:t>
      </w:r>
    </w:p>
    <w:p>
      <w:pPr>
        <w:spacing w:before="0" w:after="0" w:line="360" w:lineRule="auto"/>
        <w:ind w:firstLine="480"/>
        <w:jc w:val="both"/>
      </w:pPr>
      <w:r>
        <w:rPr>
          <w:rFonts w:ascii="Times New Roman" w:hAnsi="Times New Roman" w:eastAsia="宋体"/>
          <w:b w:val="0"/>
          <w:sz w:val="24"/>
        </w:rPr>
        <w:t>设计两阶段筛查策略：系统对全量视频进行初筛，人工全部复核被标记为违规的视频，并对未被标记的视频按比例 q 随机抽检。则总体查全率为 R(q) = r + (1−r)·q，其中 r 为模型召回率；人工复核工作量为 W(q) = (TP+FP) + q·(FN+TN)。以本文方案（r = 91.5%）为例，不同目标查全率下的工作量如表 7 所示，与纯人工随机抽检的对比曲线如图 8 所示。</w:t>
      </w:r>
    </w:p>
    <w:p>
      <w:pPr>
        <w:keepNext/>
        <w:spacing w:before="160" w:after="40" w:line="240" w:lineRule="auto"/>
        <w:jc w:val="center"/>
      </w:pPr>
      <w:r>
        <w:rPr>
          <w:rFonts w:ascii="Times New Roman" w:hAnsi="Times New Roman" w:eastAsia="黑体"/>
          <w:b w:val="0"/>
          <w:sz w:val="21"/>
        </w:rPr>
        <w:t>表 7  人机协同两阶段筛查策略的工作量与查全率</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2835"/>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策略</w:t>
            </w:r>
          </w:p>
        </w:tc>
        <w:tc>
          <w:tcPr>
            <w:tcW w:type="dxa" w:w="260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人工复核量占全量比例 / %</w:t>
            </w:r>
          </w:p>
        </w:tc>
        <w:tc>
          <w:tcPr>
            <w:tcW w:type="dxa" w:w="238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违规视频总体查全率 / %</w:t>
            </w:r>
          </w:p>
        </w:tc>
        <w:tc>
          <w:tcPr>
            <w:tcW w:type="dxa" w:w="272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备注</w:t>
            </w:r>
          </w:p>
        </w:tc>
      </w:tr>
      <w:tr>
        <w:tc>
          <w:tcPr>
            <w:tcW w:type="dxa" w:w="2835"/>
          </w:tcPr>
          <w:p>
            <w:pPr>
              <w:spacing w:before="40" w:after="40" w:line="240" w:lineRule="auto"/>
              <w:jc w:val="left"/>
            </w:pPr>
            <w:r/>
            <w:r>
              <w:rPr>
                <w:rFonts w:ascii="Times New Roman" w:hAnsi="Times New Roman" w:eastAsia="宋体"/>
                <w:b w:val="0"/>
                <w:sz w:val="19"/>
              </w:rPr>
              <w:t>现行纯人工 15% 抽检</w:t>
            </w:r>
          </w:p>
        </w:tc>
        <w:tc>
          <w:tcPr>
            <w:tcW w:type="dxa" w:w="2608"/>
          </w:tcPr>
          <w:p>
            <w:pPr>
              <w:spacing w:before="40" w:after="40" w:line="240" w:lineRule="auto"/>
              <w:jc w:val="center"/>
            </w:pPr>
            <w:r/>
            <w:r>
              <w:rPr>
                <w:rFonts w:ascii="Times New Roman" w:hAnsi="Times New Roman" w:eastAsia="宋体"/>
                <w:b w:val="0"/>
                <w:sz w:val="19"/>
              </w:rPr>
              <w:t>15.0</w:t>
            </w:r>
          </w:p>
        </w:tc>
        <w:tc>
          <w:tcPr>
            <w:tcW w:type="dxa" w:w="2381"/>
          </w:tcPr>
          <w:p>
            <w:pPr>
              <w:spacing w:before="40" w:after="40" w:line="240" w:lineRule="auto"/>
              <w:jc w:val="center"/>
            </w:pPr>
            <w:r/>
            <w:r>
              <w:rPr>
                <w:rFonts w:ascii="Times New Roman" w:hAnsi="Times New Roman" w:eastAsia="宋体"/>
                <w:b w:val="0"/>
                <w:sz w:val="19"/>
              </w:rPr>
              <w:t>15.0</w:t>
            </w:r>
          </w:p>
        </w:tc>
        <w:tc>
          <w:tcPr>
            <w:tcW w:type="dxa" w:w="2721"/>
          </w:tcPr>
          <w:p>
            <w:pPr>
              <w:spacing w:before="40" w:after="40" w:line="240" w:lineRule="auto"/>
              <w:jc w:val="center"/>
            </w:pPr>
            <w:r/>
            <w:r>
              <w:rPr>
                <w:rFonts w:ascii="Times New Roman" w:hAnsi="Times New Roman" w:eastAsia="宋体"/>
                <w:b w:val="0"/>
                <w:sz w:val="19"/>
              </w:rPr>
              <w:t>当前基线</w:t>
            </w:r>
          </w:p>
        </w:tc>
      </w:tr>
      <w:tr>
        <w:tc>
          <w:tcPr>
            <w:tcW w:type="dxa" w:w="2835"/>
          </w:tcPr>
          <w:p>
            <w:pPr>
              <w:spacing w:before="40" w:after="40" w:line="240" w:lineRule="auto"/>
              <w:jc w:val="left"/>
            </w:pPr>
            <w:r/>
            <w:r>
              <w:rPr>
                <w:rFonts w:ascii="Times New Roman" w:hAnsi="Times New Roman" w:eastAsia="宋体"/>
                <w:b w:val="0"/>
                <w:sz w:val="19"/>
              </w:rPr>
              <w:t>仅复核系统告警片段</w:t>
            </w:r>
          </w:p>
        </w:tc>
        <w:tc>
          <w:tcPr>
            <w:tcW w:type="dxa" w:w="2608"/>
          </w:tcPr>
          <w:p>
            <w:pPr>
              <w:spacing w:before="40" w:after="40" w:line="240" w:lineRule="auto"/>
              <w:jc w:val="center"/>
            </w:pPr>
            <w:r/>
            <w:r>
              <w:rPr>
                <w:rFonts w:ascii="Times New Roman" w:hAnsi="Times New Roman" w:eastAsia="宋体"/>
                <w:b w:val="0"/>
                <w:sz w:val="19"/>
              </w:rPr>
              <w:t>37.3</w:t>
            </w:r>
          </w:p>
        </w:tc>
        <w:tc>
          <w:tcPr>
            <w:tcW w:type="dxa" w:w="2381"/>
          </w:tcPr>
          <w:p>
            <w:pPr>
              <w:spacing w:before="40" w:after="40" w:line="240" w:lineRule="auto"/>
              <w:jc w:val="center"/>
            </w:pPr>
            <w:r/>
            <w:r>
              <w:rPr>
                <w:rFonts w:ascii="Times New Roman" w:hAnsi="Times New Roman" w:eastAsia="宋体"/>
                <w:b w:val="0"/>
                <w:sz w:val="19"/>
              </w:rPr>
              <w:t>91.5</w:t>
            </w:r>
          </w:p>
        </w:tc>
        <w:tc>
          <w:tcPr>
            <w:tcW w:type="dxa" w:w="2721"/>
          </w:tcPr>
          <w:p>
            <w:pPr>
              <w:spacing w:before="40" w:after="40" w:line="240" w:lineRule="auto"/>
              <w:jc w:val="center"/>
            </w:pPr>
            <w:r/>
            <w:r>
              <w:rPr>
                <w:rFonts w:ascii="Times New Roman" w:hAnsi="Times New Roman" w:eastAsia="宋体"/>
                <w:b w:val="0"/>
                <w:sz w:val="19"/>
              </w:rPr>
              <w:t>同等工作量下纯人工的 2.45 倍</w:t>
            </w:r>
          </w:p>
        </w:tc>
      </w:tr>
      <w:tr>
        <w:tc>
          <w:tcPr>
            <w:tcW w:type="dxa" w:w="2835"/>
          </w:tcPr>
          <w:p>
            <w:pPr>
              <w:spacing w:before="40" w:after="40" w:line="240" w:lineRule="auto"/>
              <w:jc w:val="left"/>
            </w:pPr>
            <w:r/>
            <w:r>
              <w:rPr>
                <w:rFonts w:ascii="Times New Roman" w:hAnsi="Times New Roman" w:eastAsia="宋体"/>
                <w:b w:val="0"/>
                <w:sz w:val="19"/>
              </w:rPr>
              <w:t>告警 + 抽检未告警 41.2%</w:t>
            </w:r>
          </w:p>
        </w:tc>
        <w:tc>
          <w:tcPr>
            <w:tcW w:type="dxa" w:w="2608"/>
          </w:tcPr>
          <w:p>
            <w:pPr>
              <w:spacing w:before="40" w:after="40" w:line="240" w:lineRule="auto"/>
              <w:jc w:val="center"/>
            </w:pPr>
            <w:r/>
            <w:r>
              <w:rPr>
                <w:rFonts w:ascii="Times New Roman" w:hAnsi="Times New Roman" w:eastAsia="宋体"/>
                <w:b w:val="0"/>
                <w:sz w:val="19"/>
              </w:rPr>
              <w:t>63.1</w:t>
            </w:r>
          </w:p>
        </w:tc>
        <w:tc>
          <w:tcPr>
            <w:tcW w:type="dxa" w:w="2381"/>
          </w:tcPr>
          <w:p>
            <w:pPr>
              <w:spacing w:before="40" w:after="40" w:line="240" w:lineRule="auto"/>
              <w:jc w:val="center"/>
            </w:pPr>
            <w:r/>
            <w:r>
              <w:rPr>
                <w:rFonts w:ascii="Times New Roman" w:hAnsi="Times New Roman" w:eastAsia="宋体"/>
                <w:b w:val="0"/>
                <w:sz w:val="19"/>
              </w:rPr>
              <w:t>95.0</w:t>
            </w:r>
          </w:p>
        </w:tc>
        <w:tc>
          <w:tcPr>
            <w:tcW w:type="dxa" w:w="2721"/>
          </w:tcPr>
          <w:p>
            <w:pPr>
              <w:spacing w:before="40" w:after="40" w:line="240" w:lineRule="auto"/>
              <w:jc w:val="center"/>
            </w:pPr>
            <w:r/>
            <w:r>
              <w:rPr>
                <w:rFonts w:ascii="Times New Roman" w:hAnsi="Times New Roman" w:eastAsia="宋体"/>
                <w:b w:val="0"/>
                <w:sz w:val="19"/>
              </w:rPr>
              <w:t>较纯人工达同等查全率节省 33.6%</w:t>
            </w:r>
          </w:p>
        </w:tc>
      </w:tr>
      <w:tr>
        <w:tc>
          <w:tcPr>
            <w:tcW w:type="dxa" w:w="2835"/>
          </w:tcPr>
          <w:p>
            <w:pPr>
              <w:spacing w:before="40" w:after="40" w:line="240" w:lineRule="auto"/>
              <w:jc w:val="left"/>
            </w:pPr>
            <w:r/>
            <w:r>
              <w:rPr>
                <w:rFonts w:ascii="Times New Roman" w:hAnsi="Times New Roman" w:eastAsia="宋体"/>
                <w:b w:val="0"/>
                <w:sz w:val="19"/>
              </w:rPr>
              <w:t>告警 + 抽检未告警 76.5%</w:t>
            </w:r>
          </w:p>
        </w:tc>
        <w:tc>
          <w:tcPr>
            <w:tcW w:type="dxa" w:w="2608"/>
          </w:tcPr>
          <w:p>
            <w:pPr>
              <w:spacing w:before="40" w:after="40" w:line="240" w:lineRule="auto"/>
              <w:jc w:val="center"/>
            </w:pPr>
            <w:r/>
            <w:r>
              <w:rPr>
                <w:rFonts w:ascii="Times New Roman" w:hAnsi="Times New Roman" w:eastAsia="宋体"/>
                <w:b w:val="0"/>
                <w:sz w:val="19"/>
              </w:rPr>
              <w:t>85.2</w:t>
            </w:r>
          </w:p>
        </w:tc>
        <w:tc>
          <w:tcPr>
            <w:tcW w:type="dxa" w:w="2381"/>
          </w:tcPr>
          <w:p>
            <w:pPr>
              <w:spacing w:before="40" w:after="40" w:line="240" w:lineRule="auto"/>
              <w:jc w:val="center"/>
            </w:pPr>
            <w:r/>
            <w:r>
              <w:rPr>
                <w:rFonts w:ascii="Times New Roman" w:hAnsi="Times New Roman" w:eastAsia="宋体"/>
                <w:b w:val="0"/>
                <w:sz w:val="19"/>
              </w:rPr>
              <w:t>98.0</w:t>
            </w:r>
          </w:p>
        </w:tc>
        <w:tc>
          <w:tcPr>
            <w:tcW w:type="dxa" w:w="2721"/>
          </w:tcPr>
          <w:p>
            <w:pPr>
              <w:spacing w:before="40" w:after="40" w:line="240" w:lineRule="auto"/>
              <w:jc w:val="center"/>
            </w:pPr>
            <w:r/>
            <w:r>
              <w:rPr>
                <w:rFonts w:ascii="Times New Roman" w:hAnsi="Times New Roman" w:eastAsia="宋体"/>
                <w:b w:val="0"/>
                <w:sz w:val="19"/>
              </w:rPr>
              <w:t>较纯人工节省 13.0%</w:t>
            </w:r>
          </w:p>
        </w:tc>
      </w:tr>
      <w:tr>
        <w:tc>
          <w:tcPr>
            <w:tcW w:type="dxa" w:w="2835"/>
            <w:tcBorders>
              <w:bottom w:val="single" w:sz="12" w:space="0" w:color="000000"/>
            </w:tcBorders>
          </w:tcPr>
          <w:p>
            <w:pPr>
              <w:spacing w:before="40" w:after="40" w:line="240" w:lineRule="auto"/>
              <w:jc w:val="left"/>
            </w:pPr>
            <w:r/>
            <w:r>
              <w:rPr>
                <w:rFonts w:ascii="Times New Roman" w:hAnsi="Times New Roman" w:eastAsia="宋体"/>
                <w:b w:val="0"/>
                <w:sz w:val="19"/>
              </w:rPr>
              <w:t>全量人工复核</w:t>
            </w:r>
          </w:p>
        </w:tc>
        <w:tc>
          <w:tcPr>
            <w:tcW w:type="dxa" w:w="2608"/>
            <w:tcBorders>
              <w:bottom w:val="single" w:sz="12" w:space="0" w:color="000000"/>
            </w:tcBorders>
          </w:tcPr>
          <w:p>
            <w:pPr>
              <w:spacing w:before="40" w:after="40" w:line="240" w:lineRule="auto"/>
              <w:jc w:val="center"/>
            </w:pPr>
            <w:r/>
            <w:r>
              <w:rPr>
                <w:rFonts w:ascii="Times New Roman" w:hAnsi="Times New Roman" w:eastAsia="宋体"/>
                <w:b w:val="0"/>
                <w:sz w:val="19"/>
              </w:rPr>
              <w:t>100.0</w:t>
            </w:r>
          </w:p>
        </w:tc>
        <w:tc>
          <w:tcPr>
            <w:tcW w:type="dxa" w:w="2381"/>
            <w:tcBorders>
              <w:bottom w:val="single" w:sz="12" w:space="0" w:color="000000"/>
            </w:tcBorders>
          </w:tcPr>
          <w:p>
            <w:pPr>
              <w:spacing w:before="40" w:after="40" w:line="240" w:lineRule="auto"/>
              <w:jc w:val="center"/>
            </w:pPr>
            <w:r/>
            <w:r>
              <w:rPr>
                <w:rFonts w:ascii="Times New Roman" w:hAnsi="Times New Roman" w:eastAsia="宋体"/>
                <w:b w:val="0"/>
                <w:sz w:val="19"/>
              </w:rPr>
              <w:t>100.0</w:t>
            </w:r>
          </w:p>
        </w:tc>
        <w:tc>
          <w:tcPr>
            <w:tcW w:type="dxa" w:w="2721"/>
            <w:tcBorders>
              <w:bottom w:val="single" w:sz="12" w:space="0" w:color="000000"/>
            </w:tcBorders>
          </w:tcPr>
          <w:p>
            <w:pPr>
              <w:spacing w:before="40" w:after="40" w:line="240" w:lineRule="auto"/>
              <w:jc w:val="center"/>
            </w:pPr>
            <w:r/>
            <w:r>
              <w:rPr>
                <w:rFonts w:ascii="Times New Roman" w:hAnsi="Times New Roman" w:eastAsia="宋体"/>
                <w:b w:val="0"/>
                <w:sz w:val="19"/>
              </w:rPr>
              <w:t>无节省</w:t>
            </w:r>
          </w:p>
        </w:tc>
      </w:tr>
    </w:tbl>
    <w:p>
      <w:pPr>
        <w:spacing w:before="40" w:after="160" w:line="240" w:lineRule="auto"/>
        <w:ind w:firstLine="0"/>
        <w:jc w:val="left"/>
      </w:pPr>
      <w:r>
        <w:rPr>
          <w:rFonts w:ascii="Times New Roman" w:hAnsi="Times New Roman" w:eastAsia="宋体"/>
          <w:b w:val="0"/>
          <w:sz w:val="18"/>
        </w:rPr>
        <w:t>注：各行数值由本文方案的召回率 91.5% 与反推混淆矩阵计算得到，测算脚本可复现。</w:t>
      </w:r>
    </w:p>
    <w:p>
      <w:pPr>
        <w:keepNext/>
        <w:spacing w:before="120" w:after="0" w:line="240" w:lineRule="auto"/>
        <w:jc w:val="center"/>
      </w:pPr>
      <w:r>
        <w:drawing>
          <wp:inline xmlns:a="http://schemas.openxmlformats.org/drawingml/2006/main" xmlns:pic="http://schemas.openxmlformats.org/drawingml/2006/picture">
            <wp:extent cx="4140000" cy="2968180"/>
            <wp:docPr id="8" name="Picture 8"/>
            <wp:cNvGraphicFramePr>
              <a:graphicFrameLocks noChangeAspect="1"/>
            </wp:cNvGraphicFramePr>
            <a:graphic>
              <a:graphicData uri="http://schemas.openxmlformats.org/drawingml/2006/picture">
                <pic:pic>
                  <pic:nvPicPr>
                    <pic:cNvPr id="0" name="p1_d2_pareto.png"/>
                    <pic:cNvPicPr/>
                  </pic:nvPicPr>
                  <pic:blipFill>
                    <a:blip r:embed="rId16"/>
                    <a:stretch>
                      <a:fillRect/>
                    </a:stretch>
                  </pic:blipFill>
                  <pic:spPr>
                    <a:xfrm>
                      <a:off x="0" y="0"/>
                      <a:ext cx="4140000" cy="2968180"/>
                    </a:xfrm>
                    <a:prstGeom prst="rect"/>
                  </pic:spPr>
                </pic:pic>
              </a:graphicData>
            </a:graphic>
          </wp:inline>
        </w:drawing>
      </w:r>
    </w:p>
    <w:p>
      <w:pPr>
        <w:spacing w:before="40" w:after="160" w:line="240" w:lineRule="auto"/>
        <w:jc w:val="center"/>
      </w:pPr>
      <w:r>
        <w:rPr>
          <w:rFonts w:ascii="Times New Roman" w:hAnsi="Times New Roman" w:eastAsia="黑体"/>
          <w:b w:val="0"/>
          <w:sz w:val="21"/>
        </w:rPr>
        <w:t>图 8  人机协同筛查的工作量—查全率前沿</w:t>
      </w:r>
    </w:p>
    <w:p>
      <w:pPr>
        <w:spacing w:before="0" w:after="0" w:line="360" w:lineRule="auto"/>
        <w:ind w:firstLine="480"/>
        <w:jc w:val="both"/>
      </w:pPr>
      <w:r>
        <w:rPr>
          <w:rFonts w:ascii="Times New Roman" w:hAnsi="Times New Roman" w:eastAsia="宋体"/>
          <w:b w:val="0"/>
          <w:sz w:val="24"/>
        </w:rPr>
        <w:t>表 7 与图 8 给出了三条对实践有直接价值的结论。第一，</w:t>
      </w:r>
      <w:r>
        <w:rPr>
          <w:rFonts w:ascii="Times New Roman" w:hAnsi="Times New Roman" w:eastAsia="宋体"/>
          <w:b/>
          <w:sz w:val="24"/>
        </w:rPr>
        <w:t>在同等人工投入下，人机协同的查全率显著高于纯人工抽检</w:t>
      </w:r>
      <w:r>
        <w:rPr>
          <w:rFonts w:ascii="Times New Roman" w:hAnsi="Times New Roman" w:eastAsia="宋体"/>
          <w:b w:val="0"/>
          <w:sz w:val="24"/>
        </w:rPr>
        <w:t>：复核量占全量 37.3% 时查全率已达 91.5%，而纯人工抽检 37.3% 的查全率仅为 37.3%，前者是后者的 2.45 倍。第二，</w:t>
      </w:r>
      <w:r>
        <w:rPr>
          <w:rFonts w:ascii="Times New Roman" w:hAnsi="Times New Roman" w:eastAsia="宋体"/>
          <w:b/>
          <w:sz w:val="24"/>
        </w:rPr>
        <w:t>追求接近 100% 的查全率并不经济</w:t>
      </w:r>
      <w:r>
        <w:rPr>
          <w:rFonts w:ascii="Times New Roman" w:hAnsi="Times New Roman" w:eastAsia="宋体"/>
          <w:b w:val="0"/>
          <w:sz w:val="24"/>
        </w:rPr>
        <w:t>：查全率从 91.5% 提高到 98.0%，人工复核量需从 37.3% 增至 85.2%，即为提升最后 6.5 个百分点付出 2.3 倍的人力。第三，</w:t>
      </w:r>
      <w:r>
        <w:rPr>
          <w:rFonts w:ascii="Times New Roman" w:hAnsi="Times New Roman" w:eastAsia="宋体"/>
          <w:b/>
          <w:sz w:val="24"/>
        </w:rPr>
        <w:t>该曲线可直接用于年度人力预算测算</w:t>
      </w:r>
      <w:r>
        <w:rPr>
          <w:rFonts w:ascii="Times New Roman" w:hAnsi="Times New Roman" w:eastAsia="宋体"/>
          <w:b w:val="0"/>
          <w:sz w:val="24"/>
        </w:rPr>
        <w:t>：给定法制审核人员编制，即可反查可实现的最高查全率，或给定省局要求的查全率目标，反算所需人力。</w:t>
      </w:r>
    </w:p>
    <w:p>
      <w:pPr>
        <w:keepNext/>
        <w:spacing w:before="160" w:after="80" w:line="360" w:lineRule="auto"/>
        <w:jc w:val="left"/>
      </w:pPr>
      <w:r>
        <w:rPr>
          <w:rFonts w:ascii="Times New Roman" w:hAnsi="Times New Roman" w:eastAsia="黑体"/>
          <w:b w:val="0"/>
          <w:sz w:val="28"/>
        </w:rPr>
        <w:t>5.6  代价不对称条件下的方案比较</w:t>
      </w:r>
    </w:p>
    <w:p>
      <w:pPr>
        <w:spacing w:before="0" w:after="0" w:line="360" w:lineRule="auto"/>
        <w:ind w:firstLine="480"/>
        <w:jc w:val="both"/>
      </w:pPr>
      <w:r>
        <w:rPr>
          <w:rFonts w:ascii="Times New Roman" w:hAnsi="Times New Roman" w:eastAsia="宋体"/>
          <w:b w:val="0"/>
          <w:sz w:val="24"/>
        </w:rPr>
        <w:t>F1 值隐含假设漏报与误报的代价相等，但在监管场景中二者并不对称：漏报意味着程序瑕疵未被发现，可能在后续行政复议或诉讼中转化为败诉风险；误报则意味着合规执法行为被误判，需额外投入人工复核并可能挫伤一线积极性。本节按代价敏感学习的框架[12]，以误报代价为 1 单位、漏报代价为 r 单位，计算三方案的期望损失，结果如图 9 所示。</w:t>
      </w:r>
    </w:p>
    <w:p>
      <w:pPr>
        <w:keepNext/>
        <w:spacing w:before="120" w:after="0" w:line="240" w:lineRule="auto"/>
        <w:jc w:val="center"/>
      </w:pPr>
      <w:r>
        <w:drawing>
          <wp:inline xmlns:a="http://schemas.openxmlformats.org/drawingml/2006/main" xmlns:pic="http://schemas.openxmlformats.org/drawingml/2006/picture">
            <wp:extent cx="4140000" cy="3011206"/>
            <wp:docPr id="9" name="Picture 9"/>
            <wp:cNvGraphicFramePr>
              <a:graphicFrameLocks noChangeAspect="1"/>
            </wp:cNvGraphicFramePr>
            <a:graphic>
              <a:graphicData uri="http://schemas.openxmlformats.org/drawingml/2006/picture">
                <pic:pic>
                  <pic:nvPicPr>
                    <pic:cNvPr id="0" name="p1_d3_cost.png"/>
                    <pic:cNvPicPr/>
                  </pic:nvPicPr>
                  <pic:blipFill>
                    <a:blip r:embed="rId17"/>
                    <a:stretch>
                      <a:fillRect/>
                    </a:stretch>
                  </pic:blipFill>
                  <pic:spPr>
                    <a:xfrm>
                      <a:off x="0" y="0"/>
                      <a:ext cx="4140000" cy="3011206"/>
                    </a:xfrm>
                    <a:prstGeom prst="rect"/>
                  </pic:spPr>
                </pic:pic>
              </a:graphicData>
            </a:graphic>
          </wp:inline>
        </w:drawing>
      </w:r>
    </w:p>
    <w:p>
      <w:pPr>
        <w:spacing w:before="40" w:after="160" w:line="240" w:lineRule="auto"/>
        <w:jc w:val="center"/>
      </w:pPr>
      <w:r>
        <w:rPr>
          <w:rFonts w:ascii="Times New Roman" w:hAnsi="Times New Roman" w:eastAsia="黑体"/>
          <w:b w:val="0"/>
          <w:sz w:val="21"/>
        </w:rPr>
        <w:t>图 9  漏报与误报代价不对称条件下的期望损失</w:t>
      </w:r>
    </w:p>
    <w:p>
      <w:pPr>
        <w:spacing w:before="0" w:after="0" w:line="360" w:lineRule="auto"/>
        <w:ind w:firstLine="480"/>
        <w:jc w:val="both"/>
      </w:pPr>
      <w:r>
        <w:rPr>
          <w:rFonts w:ascii="Times New Roman" w:hAnsi="Times New Roman" w:eastAsia="宋体"/>
          <w:b w:val="0"/>
          <w:sz w:val="24"/>
        </w:rPr>
        <w:t>由图 9 可见，随着代价比 r 增大，三方案的期望损失差距被显著放大。当 r = 1（代价对称）时，三方案期望损失分别为 114.8、67.6、30.3；当 r = 10 时扩大至 700.2、409.4、174.2。这表明</w:t>
      </w:r>
      <w:r>
        <w:rPr>
          <w:rFonts w:ascii="Times New Roman" w:hAnsi="Times New Roman" w:eastAsia="宋体"/>
          <w:b/>
          <w:sz w:val="24"/>
        </w:rPr>
        <w:t>在高代价比的监管场景中，本文方案的实际价值被 F1 指标低估了</w:t>
      </w:r>
      <w:r>
        <w:rPr>
          <w:rFonts w:ascii="Times New Roman" w:hAnsi="Times New Roman" w:eastAsia="宋体"/>
          <w:b w:val="0"/>
          <w:sz w:val="24"/>
        </w:rPr>
        <w:t>。在工程实现上，建议按本单位对两类错误的代价判断设定告警阈值，而非统一采用使 F1 最大化的阈值；对行政复议高发的违规类型，应适当降低阈值以压低漏报。</w:t>
      </w:r>
    </w:p>
    <w:p>
      <w:pPr>
        <w:keepNext/>
        <w:spacing w:before="160" w:after="80" w:line="360" w:lineRule="auto"/>
        <w:jc w:val="left"/>
      </w:pPr>
      <w:r>
        <w:rPr>
          <w:rFonts w:ascii="Times New Roman" w:hAnsi="Times New Roman" w:eastAsia="黑体"/>
          <w:b w:val="0"/>
          <w:sz w:val="28"/>
        </w:rPr>
        <w:t>5.7  效率测试</w:t>
      </w:r>
    </w:p>
    <w:p>
      <w:pPr>
        <w:spacing w:before="0" w:after="0" w:line="360" w:lineRule="auto"/>
        <w:ind w:firstLine="480"/>
        <w:jc w:val="both"/>
      </w:pPr>
      <w:r>
        <w:rPr>
          <w:rFonts w:ascii="Times New Roman" w:hAnsi="Times New Roman" w:eastAsia="宋体"/>
          <w:b w:val="0"/>
          <w:sz w:val="24"/>
        </w:rPr>
        <w:t>在分布式 AI 计算集群环境中进行效率测试。测试视频平均时长 38 分钟，系统以 1 帧/秒的精度进行分析，单条视频分析耗时 4～5 分钟，可并发处理 10 条视频。需要区分两个不同口径的效率提升：</w:t>
      </w:r>
      <w:r>
        <w:rPr>
          <w:rFonts w:ascii="Times New Roman" w:hAnsi="Times New Roman" w:eastAsia="宋体"/>
          <w:b/>
          <w:sz w:val="24"/>
        </w:rPr>
        <w:t>机器处理速度</w:t>
      </w:r>
      <w:r>
        <w:rPr>
          <w:rFonts w:ascii="Times New Roman" w:hAnsi="Times New Roman" w:eastAsia="宋体"/>
          <w:b w:val="0"/>
          <w:sz w:val="24"/>
        </w:rPr>
        <w:t>方面，单条 38 分钟视频的分析耗时由人工完整观看的约 38 分钟缩短至 4～5 分钟，加之 10 路并发，机器吞吐约为单人工的 76～95 倍；</w:t>
      </w:r>
      <w:r>
        <w:rPr>
          <w:rFonts w:ascii="Times New Roman" w:hAnsi="Times New Roman" w:eastAsia="宋体"/>
          <w:b/>
          <w:sz w:val="24"/>
        </w:rPr>
        <w:t>人均日处理量</w:t>
      </w:r>
      <w:r>
        <w:rPr>
          <w:rFonts w:ascii="Times New Roman" w:hAnsi="Times New Roman" w:eastAsia="宋体"/>
          <w:b w:val="0"/>
          <w:sz w:val="24"/>
        </w:rPr>
        <w:t>方面，由于人工仍需复核告警片段，法制审核人员人均日处理视频量由约 8 条提高到约 50 条，提升约 5.3 倍。原稿中“提高约 30 倍”与“提高超过 5 倍”两处表述即分别对应上述两个口径，本文予以分列澄清，避免混淆。</w:t>
      </w:r>
    </w:p>
    <w:p>
      <w:pPr>
        <w:keepNext/>
        <w:spacing w:before="240" w:after="120" w:line="360" w:lineRule="auto"/>
        <w:jc w:val="left"/>
      </w:pPr>
      <w:r>
        <w:rPr>
          <w:rFonts w:ascii="Times New Roman" w:hAnsi="Times New Roman" w:eastAsia="黑体"/>
          <w:b/>
          <w:sz w:val="30"/>
        </w:rPr>
        <w:t>6  应用实践与效益评估</w:t>
      </w:r>
    </w:p>
    <w:p>
      <w:pPr>
        <w:keepNext/>
        <w:spacing w:before="160" w:after="80" w:line="360" w:lineRule="auto"/>
        <w:jc w:val="left"/>
      </w:pPr>
      <w:r>
        <w:rPr>
          <w:rFonts w:ascii="Times New Roman" w:hAnsi="Times New Roman" w:eastAsia="黑体"/>
          <w:b w:val="0"/>
          <w:sz w:val="28"/>
        </w:rPr>
        <w:t>6.1  典型执法场景案例</w:t>
      </w:r>
    </w:p>
    <w:p>
      <w:pPr>
        <w:spacing w:before="0" w:after="0" w:line="360" w:lineRule="auto"/>
        <w:ind w:firstLine="480"/>
        <w:jc w:val="both"/>
      </w:pPr>
      <w:r>
        <w:rPr>
          <w:rFonts w:ascii="Times New Roman" w:hAnsi="Times New Roman" w:eastAsia="宋体"/>
          <w:b w:val="0"/>
          <w:sz w:val="24"/>
        </w:rPr>
        <w:t>选取两个典型执法场景进行案例分析。需要说明的是，以下案例截图已按第 4.1 节的最小必要处理原则完成脱敏：移除了含可识别人脸的视频画面截图，遮蔽了行政相对人姓名与许可证号等信息。</w:t>
      </w:r>
    </w:p>
    <w:p>
      <w:pPr>
        <w:keepNext/>
        <w:spacing w:before="120" w:after="60" w:line="360" w:lineRule="auto"/>
        <w:jc w:val="left"/>
      </w:pPr>
      <w:r>
        <w:rPr>
          <w:rFonts w:ascii="Times New Roman" w:hAnsi="Times New Roman" w:eastAsia="黑体"/>
          <w:b w:val="0"/>
          <w:sz w:val="24"/>
        </w:rPr>
        <w:t>6.1.1  日常市场检查场景</w:t>
      </w:r>
    </w:p>
    <w:p>
      <w:pPr>
        <w:spacing w:before="0" w:after="0" w:line="360" w:lineRule="auto"/>
        <w:ind w:firstLine="480"/>
        <w:jc w:val="both"/>
      </w:pPr>
      <w:r>
        <w:rPr>
          <w:rFonts w:ascii="Times New Roman" w:hAnsi="Times New Roman" w:eastAsia="宋体"/>
          <w:b w:val="0"/>
          <w:sz w:val="24"/>
        </w:rPr>
        <w:t>某县烟草专卖局 3 名执法人员对辖区内一家烟酒零售店开展日常检查，耗时 9 分钟。系统完整识别出全部执法流程节点：进入经营场所—两名以上执法人员在场—亮证执法—文明用语告知—经营场所检查—证照核查—仓储场所检查—检查结束。各主要环节完备，整体执法程序合法[6]。智能分析报告如图 10 所示。</w:t>
      </w:r>
    </w:p>
    <w:p>
      <w:pPr>
        <w:keepNext/>
        <w:spacing w:before="120" w:after="0" w:line="240" w:lineRule="auto"/>
        <w:jc w:val="center"/>
      </w:pPr>
      <w:r>
        <w:drawing>
          <wp:inline xmlns:a="http://schemas.openxmlformats.org/drawingml/2006/main" xmlns:pic="http://schemas.openxmlformats.org/drawingml/2006/picture">
            <wp:extent cx="5580000" cy="2966333"/>
            <wp:docPr id="10" name="Picture 10"/>
            <wp:cNvGraphicFramePr>
              <a:graphicFrameLocks noChangeAspect="1"/>
            </wp:cNvGraphicFramePr>
            <a:graphic>
              <a:graphicData uri="http://schemas.openxmlformats.org/drawingml/2006/picture">
                <pic:pic>
                  <pic:nvPicPr>
                    <pic:cNvPr id="0" name="p1_fig_report_admin.png"/>
                    <pic:cNvPicPr/>
                  </pic:nvPicPr>
                  <pic:blipFill>
                    <a:blip r:embed="rId18"/>
                    <a:stretch>
                      <a:fillRect/>
                    </a:stretch>
                  </pic:blipFill>
                  <pic:spPr>
                    <a:xfrm>
                      <a:off x="0" y="0"/>
                      <a:ext cx="5580000" cy="2966333"/>
                    </a:xfrm>
                    <a:prstGeom prst="rect"/>
                  </pic:spPr>
                </pic:pic>
              </a:graphicData>
            </a:graphic>
          </wp:inline>
        </w:drawing>
      </w:r>
    </w:p>
    <w:p>
      <w:pPr>
        <w:spacing w:before="40" w:after="160" w:line="240" w:lineRule="auto"/>
        <w:jc w:val="center"/>
      </w:pPr>
      <w:r>
        <w:rPr>
          <w:rFonts w:ascii="Times New Roman" w:hAnsi="Times New Roman" w:eastAsia="黑体"/>
          <w:b w:val="0"/>
          <w:sz w:val="21"/>
        </w:rPr>
        <w:t>图 10  日常市场检查场景的智能分析报告</w:t>
      </w:r>
    </w:p>
    <w:p>
      <w:pPr>
        <w:spacing w:before="0" w:after="0" w:line="360" w:lineRule="auto"/>
        <w:ind w:firstLine="480"/>
        <w:jc w:val="both"/>
      </w:pPr>
      <w:r>
        <w:rPr>
          <w:rFonts w:ascii="Times New Roman" w:hAnsi="Times New Roman" w:eastAsia="宋体"/>
          <w:b w:val="0"/>
          <w:sz w:val="24"/>
        </w:rPr>
        <w:t>系统检出一处记录规范性瑕疵：视频开头执法人员进入店铺时，镜头主要跟随人物移动，未对店铺门头、招牌做定格或特写记录，画面中不能清晰辨识完整的店铺名称与招牌。该问题被判定为“店铺外观环节”不规范，属于记录规范性瑕疵。按第 4.3 节的用途边界，该结论以整改提示形式推送执法人员，提醒其在使用执法记录仪时完整记录经营场所外部标识，未计入个人考核扣分。</w:t>
      </w:r>
    </w:p>
    <w:p>
      <w:pPr>
        <w:keepNext/>
        <w:spacing w:before="120" w:after="60" w:line="360" w:lineRule="auto"/>
        <w:jc w:val="left"/>
      </w:pPr>
      <w:r>
        <w:rPr>
          <w:rFonts w:ascii="Times New Roman" w:hAnsi="Times New Roman" w:eastAsia="黑体"/>
          <w:b w:val="0"/>
          <w:sz w:val="24"/>
        </w:rPr>
        <w:t>6.1.2  许可现场勘验场景</w:t>
      </w:r>
    </w:p>
    <w:p>
      <w:pPr>
        <w:spacing w:before="0" w:after="0" w:line="360" w:lineRule="auto"/>
        <w:ind w:firstLine="480"/>
        <w:jc w:val="both"/>
      </w:pPr>
      <w:r>
        <w:rPr>
          <w:rFonts w:ascii="Times New Roman" w:hAnsi="Times New Roman" w:eastAsia="宋体"/>
          <w:b w:val="0"/>
          <w:sz w:val="24"/>
        </w:rPr>
        <w:t>海盐县烟草专卖局执法人员对一家超市的烟草专卖零售许可申请开展实地勘验，视频时长约 24 分钟。系统完整识别出全部勘验流程节点：店面外观核验—亮证表明身份—文明用语沟通—执法人员着装规范—申请材料收取与勘验标准告知—经营场所距离面积测量—勘验结束。核心勘验环节均被覆盖，但收尾程序存在缺失。智能分析报告如图 11 所示。</w:t>
      </w:r>
    </w:p>
    <w:p>
      <w:pPr>
        <w:keepNext/>
        <w:spacing w:before="120" w:after="0" w:line="240" w:lineRule="auto"/>
        <w:jc w:val="center"/>
      </w:pPr>
      <w:r>
        <w:drawing>
          <wp:inline xmlns:a="http://schemas.openxmlformats.org/drawingml/2006/main" xmlns:pic="http://schemas.openxmlformats.org/drawingml/2006/picture">
            <wp:extent cx="5400000" cy="2446809"/>
            <wp:docPr id="11" name="Picture 11"/>
            <wp:cNvGraphicFramePr>
              <a:graphicFrameLocks noChangeAspect="1"/>
            </wp:cNvGraphicFramePr>
            <a:graphic>
              <a:graphicData uri="http://schemas.openxmlformats.org/drawingml/2006/picture">
                <pic:pic>
                  <pic:nvPicPr>
                    <pic:cNvPr id="0" name="p1_fig_report_permit.png"/>
                    <pic:cNvPicPr/>
                  </pic:nvPicPr>
                  <pic:blipFill>
                    <a:blip r:embed="rId19"/>
                    <a:stretch>
                      <a:fillRect/>
                    </a:stretch>
                  </pic:blipFill>
                  <pic:spPr>
                    <a:xfrm>
                      <a:off x="0" y="0"/>
                      <a:ext cx="5400000" cy="2446809"/>
                    </a:xfrm>
                    <a:prstGeom prst="rect"/>
                  </pic:spPr>
                </pic:pic>
              </a:graphicData>
            </a:graphic>
          </wp:inline>
        </w:drawing>
      </w:r>
    </w:p>
    <w:p>
      <w:pPr>
        <w:spacing w:before="40" w:after="160" w:line="240" w:lineRule="auto"/>
        <w:jc w:val="center"/>
      </w:pPr>
      <w:r>
        <w:rPr>
          <w:rFonts w:ascii="Times New Roman" w:hAnsi="Times New Roman" w:eastAsia="黑体"/>
          <w:b w:val="0"/>
          <w:sz w:val="21"/>
        </w:rPr>
        <w:t>图 11  许可现场勘验场景的智能分析报告</w:t>
      </w:r>
    </w:p>
    <w:p>
      <w:pPr>
        <w:spacing w:before="0" w:after="0" w:line="360" w:lineRule="auto"/>
        <w:ind w:firstLine="480"/>
        <w:jc w:val="both"/>
      </w:pPr>
      <w:r>
        <w:rPr>
          <w:rFonts w:ascii="Times New Roman" w:hAnsi="Times New Roman" w:eastAsia="宋体"/>
          <w:b w:val="0"/>
          <w:sz w:val="24"/>
        </w:rPr>
        <w:t>系统检出两处程序瑕疵：一是材料交还环节不规范——勘验结束准备离开时，执法人员未将申请材料整理交还申请人，也未使用规范的结束语，材料交接程序不完整；二是实地核查结果未告知——全程未听到执法人员对申请人口述本次实地核查“通过”或“不通过”的结论性意见，也未引导申请人填写实地核查表并签字确认，结论告知程序缺失。此类瑕疵在传统人工抽检模式下极易被遗漏，而一旦申请人对核查结论提出异议，程序缺失将直接构成复议风险点。该案例直观说明了全量智能监督相对于抽检模式的价值所在。</w:t>
      </w:r>
    </w:p>
    <w:p>
      <w:pPr>
        <w:keepNext/>
        <w:spacing w:before="160" w:after="80" w:line="360" w:lineRule="auto"/>
        <w:jc w:val="left"/>
      </w:pPr>
      <w:r>
        <w:rPr>
          <w:rFonts w:ascii="Times New Roman" w:hAnsi="Times New Roman" w:eastAsia="黑体"/>
          <w:b w:val="0"/>
          <w:sz w:val="28"/>
        </w:rPr>
        <w:t>6.2  应用成效</w:t>
      </w:r>
    </w:p>
    <w:p>
      <w:pPr>
        <w:spacing w:before="0" w:after="0" w:line="360" w:lineRule="auto"/>
        <w:ind w:firstLine="480"/>
        <w:jc w:val="both"/>
      </w:pPr>
      <w:r>
        <w:rPr>
          <w:rFonts w:ascii="Times New Roman" w:hAnsi="Times New Roman" w:eastAsia="宋体"/>
          <w:b w:val="0"/>
          <w:sz w:val="24"/>
        </w:rPr>
        <w:t>系统在应用单位取得三方面成效。一是把法制审核人员从繁重的视频审核工作中解放出来，人均日处理视频量由约 8 条提高到约 50 条；单条问题视频的复核时间由平均 28 分钟缩短至 3～5 分钟，审核人员可直接跳转到系统标注的问题片段进行定向复核。二是应用单位总体执法合规率持续上升，亮证不规范、告知程序缺失等问题的发生频次明显降低，执法人员的程序意识与证据意识得到强化。三是全量智能监督有效降低了执法程序风险，对提升烟草专卖执法公信力、促进法治化营商环境建设具有积极作用。</w:t>
      </w:r>
    </w:p>
    <w:p>
      <w:pPr>
        <w:keepNext/>
        <w:spacing w:before="160" w:after="80" w:line="360" w:lineRule="auto"/>
        <w:jc w:val="left"/>
      </w:pPr>
      <w:r>
        <w:rPr>
          <w:rFonts w:ascii="Times New Roman" w:hAnsi="Times New Roman" w:eastAsia="黑体"/>
          <w:b w:val="0"/>
          <w:sz w:val="28"/>
        </w:rPr>
        <w:t>6.3  全生命周期成本与投资回收测算</w:t>
      </w:r>
    </w:p>
    <w:p>
      <w:pPr>
        <w:spacing w:before="0" w:after="0" w:line="360" w:lineRule="auto"/>
        <w:ind w:firstLine="480"/>
        <w:jc w:val="both"/>
      </w:pPr>
      <w:r>
        <w:rPr>
          <w:rFonts w:ascii="Times New Roman" w:hAnsi="Times New Roman" w:eastAsia="宋体"/>
          <w:b w:val="0"/>
          <w:sz w:val="24"/>
        </w:rPr>
        <w:t>为使经济性论证可检验，本节给出全生命周期成本（TCO）的测算口径与结果，如表 8 所示。测算以全局年均 4000 条执法视频、人日综合成本 500 元为基准，人均日处理量取原有 8 条与应用后 50 条。</w:t>
      </w:r>
    </w:p>
    <w:p>
      <w:pPr>
        <w:keepNext/>
        <w:spacing w:before="160" w:after="40" w:line="240" w:lineRule="auto"/>
        <w:jc w:val="center"/>
      </w:pPr>
      <w:r>
        <w:rPr>
          <w:rFonts w:ascii="Times New Roman" w:hAnsi="Times New Roman" w:eastAsia="黑体"/>
          <w:b w:val="0"/>
          <w:sz w:val="21"/>
        </w:rPr>
        <w:t>表 8  全生命周期成本与投资回收测算</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3742"/>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项目</w:t>
            </w:r>
          </w:p>
        </w:tc>
        <w:tc>
          <w:tcPr>
            <w:tcW w:type="dxa" w:w="36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口径与取值</w:t>
            </w:r>
          </w:p>
        </w:tc>
        <w:tc>
          <w:tcPr>
            <w:tcW w:type="dxa" w:w="170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金额 / 万元</w:t>
            </w:r>
          </w:p>
        </w:tc>
      </w:tr>
      <w:tr>
        <w:tc>
          <w:tcPr>
            <w:tcW w:type="dxa" w:w="3742"/>
          </w:tcPr>
          <w:p>
            <w:pPr>
              <w:spacing w:before="40" w:after="40" w:line="240" w:lineRule="auto"/>
              <w:jc w:val="left"/>
            </w:pPr>
            <w:r/>
            <w:r>
              <w:rPr>
                <w:rFonts w:ascii="Times New Roman" w:hAnsi="Times New Roman" w:eastAsia="宋体"/>
                <w:b w:val="0"/>
                <w:sz w:val="19"/>
              </w:rPr>
              <w:t>【收益】纯人工实现全量覆盖所需人工</w:t>
            </w:r>
          </w:p>
        </w:tc>
        <w:tc>
          <w:tcPr>
            <w:tcW w:type="dxa" w:w="3628"/>
          </w:tcPr>
          <w:p>
            <w:pPr>
              <w:spacing w:before="40" w:after="40" w:line="240" w:lineRule="auto"/>
              <w:jc w:val="center"/>
            </w:pPr>
            <w:r/>
            <w:r>
              <w:rPr>
                <w:rFonts w:ascii="Times New Roman" w:hAnsi="Times New Roman" w:eastAsia="宋体"/>
                <w:b w:val="0"/>
                <w:sz w:val="19"/>
              </w:rPr>
              <w:t>500 人日/年 × 500 元</w:t>
            </w:r>
          </w:p>
        </w:tc>
        <w:tc>
          <w:tcPr>
            <w:tcW w:type="dxa" w:w="1701"/>
          </w:tcPr>
          <w:p>
            <w:pPr>
              <w:spacing w:before="40" w:after="40" w:line="240" w:lineRule="auto"/>
              <w:jc w:val="center"/>
            </w:pPr>
            <w:r/>
            <w:r>
              <w:rPr>
                <w:rFonts w:ascii="Times New Roman" w:hAnsi="Times New Roman" w:eastAsia="宋体"/>
                <w:b w:val="0"/>
                <w:sz w:val="19"/>
              </w:rPr>
              <w:t>25.00</w:t>
            </w:r>
          </w:p>
        </w:tc>
      </w:tr>
      <w:tr>
        <w:tc>
          <w:tcPr>
            <w:tcW w:type="dxa" w:w="3742"/>
          </w:tcPr>
          <w:p>
            <w:pPr>
              <w:spacing w:before="40" w:after="40" w:line="240" w:lineRule="auto"/>
              <w:jc w:val="left"/>
            </w:pPr>
            <w:r/>
            <w:r>
              <w:rPr>
                <w:rFonts w:ascii="Times New Roman" w:hAnsi="Times New Roman" w:eastAsia="宋体"/>
                <w:b w:val="0"/>
                <w:sz w:val="19"/>
              </w:rPr>
              <w:t>【收益】人机协同所需人工</w:t>
            </w:r>
          </w:p>
        </w:tc>
        <w:tc>
          <w:tcPr>
            <w:tcW w:type="dxa" w:w="3628"/>
          </w:tcPr>
          <w:p>
            <w:pPr>
              <w:spacing w:before="40" w:after="40" w:line="240" w:lineRule="auto"/>
              <w:jc w:val="center"/>
            </w:pPr>
            <w:r/>
            <w:r>
              <w:rPr>
                <w:rFonts w:ascii="Times New Roman" w:hAnsi="Times New Roman" w:eastAsia="宋体"/>
                <w:b w:val="0"/>
                <w:sz w:val="19"/>
              </w:rPr>
              <w:t>29.8 人日/年 × 500 元</w:t>
            </w:r>
          </w:p>
        </w:tc>
        <w:tc>
          <w:tcPr>
            <w:tcW w:type="dxa" w:w="1701"/>
          </w:tcPr>
          <w:p>
            <w:pPr>
              <w:spacing w:before="40" w:after="40" w:line="240" w:lineRule="auto"/>
              <w:jc w:val="center"/>
            </w:pPr>
            <w:r/>
            <w:r>
              <w:rPr>
                <w:rFonts w:ascii="Times New Roman" w:hAnsi="Times New Roman" w:eastAsia="宋体"/>
                <w:b w:val="0"/>
                <w:sz w:val="19"/>
              </w:rPr>
              <w:t>1.49</w:t>
            </w:r>
          </w:p>
        </w:tc>
      </w:tr>
      <w:tr>
        <w:tc>
          <w:tcPr>
            <w:tcW w:type="dxa" w:w="3742"/>
          </w:tcPr>
          <w:p>
            <w:pPr>
              <w:spacing w:before="40" w:after="40" w:line="240" w:lineRule="auto"/>
              <w:jc w:val="left"/>
            </w:pPr>
            <w:r/>
            <w:r>
              <w:rPr>
                <w:rFonts w:ascii="Times New Roman" w:hAnsi="Times New Roman" w:eastAsia="宋体"/>
                <w:b w:val="0"/>
                <w:sz w:val="19"/>
              </w:rPr>
              <w:t>【收益】年度人工节省</w:t>
            </w:r>
          </w:p>
        </w:tc>
        <w:tc>
          <w:tcPr>
            <w:tcW w:type="dxa" w:w="3628"/>
          </w:tcPr>
          <w:p>
            <w:pPr>
              <w:spacing w:before="40" w:after="40" w:line="240" w:lineRule="auto"/>
              <w:jc w:val="center"/>
            </w:pPr>
            <w:r/>
            <w:r>
              <w:rPr>
                <w:rFonts w:ascii="Times New Roman" w:hAnsi="Times New Roman" w:eastAsia="宋体"/>
                <w:b w:val="0"/>
                <w:sz w:val="19"/>
              </w:rPr>
              <w:t>两者之差</w:t>
            </w:r>
          </w:p>
        </w:tc>
        <w:tc>
          <w:tcPr>
            <w:tcW w:type="dxa" w:w="1701"/>
          </w:tcPr>
          <w:p>
            <w:pPr>
              <w:spacing w:before="40" w:after="40" w:line="240" w:lineRule="auto"/>
              <w:jc w:val="center"/>
            </w:pPr>
            <w:r/>
            <w:r>
              <w:rPr>
                <w:rFonts w:ascii="Times New Roman" w:hAnsi="Times New Roman" w:eastAsia="宋体"/>
                <w:b w:val="0"/>
                <w:sz w:val="19"/>
              </w:rPr>
              <w:t>23.51</w:t>
            </w:r>
          </w:p>
        </w:tc>
      </w:tr>
      <w:tr>
        <w:tc>
          <w:tcPr>
            <w:tcW w:type="dxa" w:w="3742"/>
          </w:tcPr>
          <w:p>
            <w:pPr>
              <w:spacing w:before="40" w:after="40" w:line="240" w:lineRule="auto"/>
              <w:jc w:val="left"/>
            </w:pPr>
            <w:r/>
            <w:r>
              <w:rPr>
                <w:rFonts w:ascii="Times New Roman" w:hAnsi="Times New Roman" w:eastAsia="宋体"/>
                <w:b w:val="0"/>
                <w:sz w:val="19"/>
              </w:rPr>
              <w:t>【成本】自研开发（一次性）</w:t>
            </w:r>
          </w:p>
        </w:tc>
        <w:tc>
          <w:tcPr>
            <w:tcW w:type="dxa" w:w="3628"/>
          </w:tcPr>
          <w:p>
            <w:pPr>
              <w:spacing w:before="40" w:after="40" w:line="240" w:lineRule="auto"/>
              <w:jc w:val="center"/>
            </w:pPr>
            <w:r/>
            <w:r>
              <w:rPr>
                <w:rFonts w:ascii="Times New Roman" w:hAnsi="Times New Roman" w:eastAsia="宋体"/>
                <w:b w:val="0"/>
                <w:sz w:val="19"/>
              </w:rPr>
              <w:t>3 人 × 4 个月 × 1.5 万元/人月</w:t>
            </w:r>
          </w:p>
        </w:tc>
        <w:tc>
          <w:tcPr>
            <w:tcW w:type="dxa" w:w="1701"/>
          </w:tcPr>
          <w:p>
            <w:pPr>
              <w:spacing w:before="40" w:after="40" w:line="240" w:lineRule="auto"/>
              <w:jc w:val="center"/>
            </w:pPr>
            <w:r/>
            <w:r>
              <w:rPr>
                <w:rFonts w:ascii="Times New Roman" w:hAnsi="Times New Roman" w:eastAsia="宋体"/>
                <w:b w:val="0"/>
                <w:sz w:val="19"/>
              </w:rPr>
              <w:t>18.00</w:t>
            </w:r>
          </w:p>
        </w:tc>
      </w:tr>
      <w:tr>
        <w:tc>
          <w:tcPr>
            <w:tcW w:type="dxa" w:w="3742"/>
          </w:tcPr>
          <w:p>
            <w:pPr>
              <w:spacing w:before="40" w:after="40" w:line="240" w:lineRule="auto"/>
              <w:jc w:val="left"/>
            </w:pPr>
            <w:r/>
            <w:r>
              <w:rPr>
                <w:rFonts w:ascii="Times New Roman" w:hAnsi="Times New Roman" w:eastAsia="宋体"/>
                <w:b w:val="0"/>
                <w:sz w:val="19"/>
              </w:rPr>
              <w:t>【成本】微调数据标注（一次性）</w:t>
            </w:r>
          </w:p>
        </w:tc>
        <w:tc>
          <w:tcPr>
            <w:tcW w:type="dxa" w:w="3628"/>
          </w:tcPr>
          <w:p>
            <w:pPr>
              <w:spacing w:before="40" w:after="40" w:line="240" w:lineRule="auto"/>
              <w:jc w:val="center"/>
            </w:pPr>
            <w:r/>
            <w:r>
              <w:rPr>
                <w:rFonts w:ascii="Times New Roman" w:hAnsi="Times New Roman" w:eastAsia="宋体"/>
                <w:b w:val="0"/>
                <w:sz w:val="19"/>
              </w:rPr>
              <w:t>500 条，约 79 人日</w:t>
            </w:r>
          </w:p>
        </w:tc>
        <w:tc>
          <w:tcPr>
            <w:tcW w:type="dxa" w:w="1701"/>
          </w:tcPr>
          <w:p>
            <w:pPr>
              <w:spacing w:before="40" w:after="40" w:line="240" w:lineRule="auto"/>
              <w:jc w:val="center"/>
            </w:pPr>
            <w:r/>
            <w:r>
              <w:rPr>
                <w:rFonts w:ascii="Times New Roman" w:hAnsi="Times New Roman" w:eastAsia="宋体"/>
                <w:b w:val="0"/>
                <w:sz w:val="19"/>
              </w:rPr>
              <w:t>4.00</w:t>
            </w:r>
          </w:p>
        </w:tc>
      </w:tr>
      <w:tr>
        <w:tc>
          <w:tcPr>
            <w:tcW w:type="dxa" w:w="3742"/>
          </w:tcPr>
          <w:p>
            <w:pPr>
              <w:spacing w:before="40" w:after="40" w:line="240" w:lineRule="auto"/>
              <w:jc w:val="left"/>
            </w:pPr>
            <w:r/>
            <w:r>
              <w:rPr>
                <w:rFonts w:ascii="Times New Roman" w:hAnsi="Times New Roman" w:eastAsia="宋体"/>
                <w:b w:val="0"/>
                <w:sz w:val="19"/>
              </w:rPr>
              <w:t>【成本】算力与服务器摊销（年度）</w:t>
            </w:r>
          </w:p>
        </w:tc>
        <w:tc>
          <w:tcPr>
            <w:tcW w:type="dxa" w:w="3628"/>
          </w:tcPr>
          <w:p>
            <w:pPr>
              <w:spacing w:before="40" w:after="40" w:line="240" w:lineRule="auto"/>
              <w:jc w:val="center"/>
            </w:pPr>
            <w:r/>
            <w:r>
              <w:rPr>
                <w:rFonts w:ascii="Times New Roman" w:hAnsi="Times New Roman" w:eastAsia="宋体"/>
                <w:b w:val="0"/>
                <w:sz w:val="19"/>
              </w:rPr>
              <w:t>推理集群资源占用与电费</w:t>
            </w:r>
          </w:p>
        </w:tc>
        <w:tc>
          <w:tcPr>
            <w:tcW w:type="dxa" w:w="1701"/>
          </w:tcPr>
          <w:p>
            <w:pPr>
              <w:spacing w:before="40" w:after="40" w:line="240" w:lineRule="auto"/>
              <w:jc w:val="center"/>
            </w:pPr>
            <w:r/>
            <w:r>
              <w:rPr>
                <w:rFonts w:ascii="Times New Roman" w:hAnsi="Times New Roman" w:eastAsia="宋体"/>
                <w:b w:val="0"/>
                <w:sz w:val="19"/>
              </w:rPr>
              <w:t>6.00</w:t>
            </w:r>
          </w:p>
        </w:tc>
      </w:tr>
      <w:tr>
        <w:tc>
          <w:tcPr>
            <w:tcW w:type="dxa" w:w="3742"/>
          </w:tcPr>
          <w:p>
            <w:pPr>
              <w:spacing w:before="40" w:after="40" w:line="240" w:lineRule="auto"/>
              <w:jc w:val="left"/>
            </w:pPr>
            <w:r/>
            <w:r>
              <w:rPr>
                <w:rFonts w:ascii="Times New Roman" w:hAnsi="Times New Roman" w:eastAsia="宋体"/>
                <w:b w:val="0"/>
                <w:sz w:val="19"/>
              </w:rPr>
              <w:t>【成本】模型迭代与再标注（年度）</w:t>
            </w:r>
          </w:p>
        </w:tc>
        <w:tc>
          <w:tcPr>
            <w:tcW w:type="dxa" w:w="3628"/>
          </w:tcPr>
          <w:p>
            <w:pPr>
              <w:spacing w:before="40" w:after="40" w:line="240" w:lineRule="auto"/>
              <w:jc w:val="center"/>
            </w:pPr>
            <w:r/>
            <w:r>
              <w:rPr>
                <w:rFonts w:ascii="Times New Roman" w:hAnsi="Times New Roman" w:eastAsia="宋体"/>
                <w:b w:val="0"/>
                <w:sz w:val="19"/>
              </w:rPr>
              <w:t>年增补标注约 100 条并重新微调</w:t>
            </w:r>
          </w:p>
        </w:tc>
        <w:tc>
          <w:tcPr>
            <w:tcW w:type="dxa" w:w="1701"/>
          </w:tcPr>
          <w:p>
            <w:pPr>
              <w:spacing w:before="40" w:after="40" w:line="240" w:lineRule="auto"/>
              <w:jc w:val="center"/>
            </w:pPr>
            <w:r/>
            <w:r>
              <w:rPr>
                <w:rFonts w:ascii="Times New Roman" w:hAnsi="Times New Roman" w:eastAsia="宋体"/>
                <w:b w:val="0"/>
                <w:sz w:val="19"/>
              </w:rPr>
              <w:t>1.50</w:t>
            </w:r>
          </w:p>
        </w:tc>
      </w:tr>
      <w:tr>
        <w:tc>
          <w:tcPr>
            <w:tcW w:type="dxa" w:w="3742"/>
          </w:tcPr>
          <w:p>
            <w:pPr>
              <w:spacing w:before="40" w:after="40" w:line="240" w:lineRule="auto"/>
              <w:jc w:val="left"/>
            </w:pPr>
            <w:r/>
            <w:r>
              <w:rPr>
                <w:rFonts w:ascii="Times New Roman" w:hAnsi="Times New Roman" w:eastAsia="宋体"/>
                <w:b w:val="0"/>
                <w:sz w:val="19"/>
              </w:rPr>
              <w:t>年净收益</w:t>
            </w:r>
          </w:p>
        </w:tc>
        <w:tc>
          <w:tcPr>
            <w:tcW w:type="dxa" w:w="3628"/>
          </w:tcPr>
          <w:p>
            <w:pPr>
              <w:spacing w:before="40" w:after="40" w:line="240" w:lineRule="auto"/>
              <w:jc w:val="center"/>
            </w:pPr>
            <w:r/>
            <w:r>
              <w:rPr>
                <w:rFonts w:ascii="Times New Roman" w:hAnsi="Times New Roman" w:eastAsia="宋体"/>
                <w:b w:val="0"/>
                <w:sz w:val="19"/>
              </w:rPr>
              <w:t>年度人工节省 − 年度运行成本</w:t>
            </w:r>
          </w:p>
        </w:tc>
        <w:tc>
          <w:tcPr>
            <w:tcW w:type="dxa" w:w="1701"/>
          </w:tcPr>
          <w:p>
            <w:pPr>
              <w:spacing w:before="40" w:after="40" w:line="240" w:lineRule="auto"/>
              <w:jc w:val="center"/>
            </w:pPr>
            <w:r/>
            <w:r>
              <w:rPr>
                <w:rFonts w:ascii="Times New Roman" w:hAnsi="Times New Roman" w:eastAsia="宋体"/>
                <w:b w:val="0"/>
                <w:sz w:val="19"/>
              </w:rPr>
              <w:t>16.01</w:t>
            </w:r>
          </w:p>
        </w:tc>
      </w:tr>
      <w:tr>
        <w:tc>
          <w:tcPr>
            <w:tcW w:type="dxa" w:w="3742"/>
            <w:tcBorders>
              <w:bottom w:val="single" w:sz="12" w:space="0" w:color="000000"/>
            </w:tcBorders>
          </w:tcPr>
          <w:p>
            <w:pPr>
              <w:spacing w:before="40" w:after="40" w:line="240" w:lineRule="auto"/>
              <w:jc w:val="left"/>
            </w:pPr>
            <w:r/>
            <w:r>
              <w:rPr>
                <w:rFonts w:ascii="Times New Roman" w:hAnsi="Times New Roman" w:eastAsia="宋体"/>
                <w:b w:val="0"/>
                <w:sz w:val="19"/>
              </w:rPr>
              <w:t>静态投资回收期</w:t>
            </w:r>
          </w:p>
        </w:tc>
        <w:tc>
          <w:tcPr>
            <w:tcW w:type="dxa" w:w="3628"/>
            <w:tcBorders>
              <w:bottom w:val="single" w:sz="12" w:space="0" w:color="000000"/>
            </w:tcBorders>
          </w:tcPr>
          <w:p>
            <w:pPr>
              <w:spacing w:before="40" w:after="40" w:line="240" w:lineRule="auto"/>
              <w:jc w:val="center"/>
            </w:pPr>
            <w:r/>
            <w:r>
              <w:rPr>
                <w:rFonts w:ascii="Times New Roman" w:hAnsi="Times New Roman" w:eastAsia="宋体"/>
                <w:b w:val="0"/>
                <w:sz w:val="19"/>
              </w:rPr>
              <w:t>一次性投入 ÷ 年净收益</w:t>
            </w:r>
          </w:p>
        </w:tc>
        <w:tc>
          <w:tcPr>
            <w:tcW w:type="dxa" w:w="1701"/>
            <w:tcBorders>
              <w:bottom w:val="single" w:sz="12" w:space="0" w:color="000000"/>
            </w:tcBorders>
          </w:tcPr>
          <w:p>
            <w:pPr>
              <w:spacing w:before="40" w:after="40" w:line="240" w:lineRule="auto"/>
              <w:jc w:val="center"/>
            </w:pPr>
            <w:r/>
            <w:r>
              <w:rPr>
                <w:rFonts w:ascii="Times New Roman" w:hAnsi="Times New Roman" w:eastAsia="宋体"/>
                <w:b w:val="0"/>
                <w:sz w:val="19"/>
              </w:rPr>
              <w:t>1.37 年</w:t>
            </w:r>
          </w:p>
        </w:tc>
      </w:tr>
    </w:tbl>
    <w:p>
      <w:pPr>
        <w:spacing w:before="40" w:after="160" w:line="240" w:lineRule="auto"/>
        <w:ind w:firstLine="0"/>
        <w:jc w:val="left"/>
      </w:pPr>
      <w:r>
        <w:rPr>
          <w:rFonts w:ascii="Times New Roman" w:hAnsi="Times New Roman" w:eastAsia="宋体"/>
          <w:b w:val="0"/>
          <w:sz w:val="18"/>
        </w:rPr>
        <w:t>注：本表的收益口径为“实现同等全量覆盖所需的人工投入之差”，而非与现行 15% 抽检的直接比较，后者覆盖率仅 15%，不具可比性。敏感性分析显示：人日综合成本取 300 元时回收期为 3.33 年，取 800 元时为 0.73 年。未计入的收益包括程序风险下降带来的败诉损失规避，此项难以货币化。</w:t>
      </w:r>
    </w:p>
    <w:p>
      <w:pPr>
        <w:spacing w:before="0" w:after="0" w:line="360" w:lineRule="auto"/>
        <w:ind w:firstLine="480"/>
        <w:jc w:val="both"/>
      </w:pPr>
      <w:r>
        <w:rPr>
          <w:rFonts w:ascii="Times New Roman" w:hAnsi="Times New Roman" w:eastAsia="宋体"/>
          <w:b w:val="0"/>
          <w:sz w:val="24"/>
        </w:rPr>
        <w:t>由表 8 可见，系统的静态投资回收期约 1.37 年。原稿所称“比市场同类产品节省经费约 20—30 万元”的说法，在“实现全量覆盖所需人工投入”这一口径下可以得到支持（年度人工节省 23.51 万元），但该数值是年度运行收益而非一次性采购节省，两者含义不同，本文予以澄清。</w:t>
      </w:r>
    </w:p>
    <w:p>
      <w:pPr>
        <w:keepNext/>
        <w:spacing w:before="240" w:after="120" w:line="360" w:lineRule="auto"/>
        <w:jc w:val="left"/>
      </w:pPr>
      <w:r>
        <w:rPr>
          <w:rFonts w:ascii="Times New Roman" w:hAnsi="Times New Roman" w:eastAsia="黑体"/>
          <w:b/>
          <w:sz w:val="30"/>
        </w:rPr>
        <w:t>7  结论与展望</w:t>
      </w:r>
    </w:p>
    <w:p>
      <w:pPr>
        <w:spacing w:before="0" w:after="0" w:line="360" w:lineRule="auto"/>
        <w:ind w:firstLine="480"/>
        <w:jc w:val="both"/>
      </w:pPr>
      <w:r>
        <w:rPr>
          <w:rFonts w:ascii="Times New Roman" w:hAnsi="Times New Roman" w:eastAsia="宋体"/>
          <w:b w:val="0"/>
          <w:sz w:val="24"/>
        </w:rPr>
        <w:t>本文构建了基于 Qwen Omni 多模态大模型的专卖执法视频智能分析系统，并在实验设计、部署决策与算法治理三个层面做了系统性补强，主要结论如下。</w:t>
      </w:r>
    </w:p>
    <w:p>
      <w:pPr>
        <w:spacing w:before="0" w:after="0" w:line="360" w:lineRule="auto"/>
        <w:ind w:firstLine="480"/>
        <w:jc w:val="both"/>
      </w:pPr>
      <w:r>
        <w:rPr>
          <w:rFonts w:ascii="Times New Roman" w:hAnsi="Times New Roman" w:eastAsia="宋体"/>
          <w:b w:val="0"/>
          <w:sz w:val="24"/>
        </w:rPr>
        <w:t>第一，原生多模态架构与领域微调相结合的方案在专卖执法视频违规识别任务上表现良好，F1 值达 91.9%，显著优于传统多模块拼接方案与通用大模型零样本方案。识别准确率随判定链条长度递减，跨模态联合判断类指标是后续优化的重点方向。</w:t>
      </w:r>
    </w:p>
    <w:p>
      <w:pPr>
        <w:spacing w:before="0" w:after="0" w:line="360" w:lineRule="auto"/>
        <w:ind w:firstLine="480"/>
        <w:jc w:val="both"/>
      </w:pPr>
      <w:r>
        <w:rPr>
          <w:rFonts w:ascii="Times New Roman" w:hAnsi="Times New Roman" w:eastAsia="宋体"/>
          <w:b w:val="0"/>
          <w:sz w:val="24"/>
        </w:rPr>
        <w:t>第二，从部署决策看，人机协同筛查相对于纯人工抽检具有显著优势：人工复核量占全量 37.3% 时违规查全率即达 91.5%，为同等工作量下纯人工抽检的 2.45 倍；但追求接近 100% 的查全率并不经济。全生命周期成本测算显示静态投资回收期约 1.37 年。</w:t>
      </w:r>
    </w:p>
    <w:p>
      <w:pPr>
        <w:spacing w:before="0" w:after="0" w:line="360" w:lineRule="auto"/>
        <w:ind w:firstLine="480"/>
        <w:jc w:val="both"/>
      </w:pPr>
      <w:r>
        <w:rPr>
          <w:rFonts w:ascii="Times New Roman" w:hAnsi="Times New Roman" w:eastAsia="宋体"/>
          <w:b w:val="0"/>
          <w:sz w:val="24"/>
        </w:rPr>
        <w:t>第三，系统落地的关键约束不在技术性能而在合规与正当性。本文提出的数据边界、效力边界、用途边界三条原则，以及算法输出仅作线索提示、最终认定权保留于法制审核人员的人在回路机制，是此类系统能够长期稳定运行的制度前提。同时，全量监督可能诱发的目标替代行为需要通过反向监测指标与激励相容设计予以防范。</w:t>
      </w:r>
    </w:p>
    <w:p>
      <w:pPr>
        <w:spacing w:before="0" w:after="0" w:line="360" w:lineRule="auto"/>
        <w:ind w:firstLine="480"/>
        <w:jc w:val="both"/>
      </w:pPr>
      <w:r>
        <w:rPr>
          <w:rFonts w:ascii="Times New Roman" w:hAnsi="Times New Roman" w:eastAsia="宋体"/>
          <w:b w:val="0"/>
          <w:sz w:val="24"/>
        </w:rPr>
        <w:t>后续研究可从四个方向推进：一是补做 Qwen Omni 零样本对照组与标注一致性检验，完善实验设计的内部效度；二是向实时辅助执法延伸，在执法终端部署轻量级模型，实现事前预警、事中纠偏；三是扩展视频语义理解范畴，从程序合规检验转向涉案物品识别、经营状况分析与冲突风险预判；四是推进多源数据融合，把视频数据与案件、信用、举报、物流数据关联，依托涉烟情指中心建设强化精准打击的情报支撑。在推进上述方向的同时，应同步建立算法影响评估与定期审计机制，使技术能力的扩展始终处于治理框架之内。</w:t>
      </w:r>
    </w:p>
    <w:p>
      <w:pPr>
        <w:keepNext/>
        <w:spacing w:before="240" w:after="120" w:line="360" w:lineRule="auto"/>
        <w:jc w:val="left"/>
      </w:pPr>
      <w:r>
        <w:rPr>
          <w:rFonts w:ascii="Times New Roman" w:hAnsi="Times New Roman" w:eastAsia="黑体"/>
          <w:b/>
          <w:sz w:val="30"/>
        </w:rPr>
        <w:t>参考文献</w:t>
      </w:r>
    </w:p>
    <w:p>
      <w:pPr>
        <w:spacing w:before="0" w:after="0" w:line="360" w:lineRule="auto"/>
        <w:ind w:firstLine="0"/>
        <w:jc w:val="both"/>
      </w:pPr>
      <w:r>
        <w:rPr>
          <w:rFonts w:ascii="Times New Roman" w:hAnsi="Times New Roman" w:eastAsia="宋体"/>
          <w:b w:val="0"/>
          <w:sz w:val="24"/>
        </w:rPr>
        <w:t>[1] 刘佳. 烟草专卖新型数字化监管平台探索与研究[J]. 商业观察, 2023(5): 30-32.</w:t>
      </w:r>
    </w:p>
    <w:p>
      <w:pPr>
        <w:spacing w:before="0" w:after="0" w:line="360" w:lineRule="auto"/>
        <w:ind w:firstLine="0"/>
        <w:jc w:val="both"/>
      </w:pPr>
      <w:r>
        <w:rPr>
          <w:rFonts w:ascii="Times New Roman" w:hAnsi="Times New Roman" w:eastAsia="宋体"/>
          <w:b w:val="0"/>
          <w:sz w:val="24"/>
        </w:rPr>
        <w:t>[2] 喻少如, 鲜翰林. 数字赋能下行政执法全过程监督的技术路径研究[J]. 法治政府, 2025(4): 78-89.</w:t>
      </w:r>
    </w:p>
    <w:p>
      <w:pPr>
        <w:spacing w:before="0" w:after="0" w:line="360" w:lineRule="auto"/>
        <w:ind w:firstLine="0"/>
        <w:jc w:val="both"/>
      </w:pPr>
      <w:r>
        <w:rPr>
          <w:rFonts w:ascii="Times New Roman" w:hAnsi="Times New Roman" w:eastAsia="宋体"/>
          <w:b w:val="0"/>
          <w:sz w:val="24"/>
        </w:rPr>
        <w:t>[3] 王信, 梅园. AI 在烟草专卖执法案卷智能化管理场景中的应用[J]. 河北企业, 2024(7): 155-157.</w:t>
      </w:r>
    </w:p>
    <w:p>
      <w:pPr>
        <w:spacing w:before="0" w:after="0" w:line="360" w:lineRule="auto"/>
        <w:ind w:firstLine="0"/>
        <w:jc w:val="both"/>
      </w:pPr>
      <w:r>
        <w:rPr>
          <w:rFonts w:ascii="Times New Roman" w:hAnsi="Times New Roman" w:eastAsia="宋体"/>
          <w:b w:val="0"/>
          <w:sz w:val="24"/>
        </w:rPr>
        <w:t>[4] Xu J, Guo Z F, Hu H R, et al. Qwen3-Omni Technical Report[R]. arXiv preprint arXiv:2509.17765, 2025.</w:t>
      </w:r>
    </w:p>
    <w:p>
      <w:pPr>
        <w:spacing w:before="0" w:after="0" w:line="360" w:lineRule="auto"/>
        <w:ind w:firstLine="0"/>
        <w:jc w:val="both"/>
      </w:pPr>
      <w:r>
        <w:rPr>
          <w:rFonts w:ascii="Times New Roman" w:hAnsi="Times New Roman" w:eastAsia="宋体"/>
          <w:b w:val="0"/>
          <w:sz w:val="24"/>
        </w:rPr>
        <w:t>[5] Hu H, Chu Y, Wang X. Low-Rank Adaptation Fine-tuning for Qwen Omni Multimodal Video Understanding[C]. CCF Multimodal Computing Conference, 2026.</w:t>
      </w:r>
    </w:p>
    <w:p>
      <w:pPr>
        <w:spacing w:before="0" w:after="0" w:line="360" w:lineRule="auto"/>
        <w:ind w:firstLine="0"/>
        <w:jc w:val="both"/>
      </w:pPr>
      <w:r>
        <w:rPr>
          <w:rFonts w:ascii="Times New Roman" w:hAnsi="Times New Roman" w:eastAsia="宋体"/>
          <w:b w:val="0"/>
          <w:sz w:val="24"/>
        </w:rPr>
        <w:t>[6] 周瑾. 烟草专卖执法全过程记录推行过程中执法记录仪的使用管理困境及解决方案[J]. 中国市场监管研究, 2022(11): 62-65.</w:t>
      </w:r>
    </w:p>
    <w:p>
      <w:pPr>
        <w:spacing w:before="0" w:after="0" w:line="360" w:lineRule="auto"/>
        <w:ind w:firstLine="0"/>
        <w:jc w:val="both"/>
      </w:pPr>
      <w:r>
        <w:rPr>
          <w:rFonts w:ascii="Times New Roman" w:hAnsi="Times New Roman" w:eastAsia="宋体"/>
          <w:b w:val="0"/>
          <w:sz w:val="24"/>
        </w:rPr>
        <w:t>[7] 刘彤, 杨龙龙, 周潇. 全息感知视域下卷烟市场监管多源数据融合与智能预警机制研究[J]. 智慧产业, 2025(8): 45-51.</w:t>
      </w:r>
    </w:p>
    <w:p>
      <w:pPr>
        <w:spacing w:before="0" w:after="0" w:line="360" w:lineRule="auto"/>
        <w:ind w:firstLine="0"/>
        <w:jc w:val="both"/>
      </w:pPr>
      <w:r>
        <w:rPr>
          <w:rFonts w:ascii="Times New Roman" w:hAnsi="Times New Roman" w:eastAsia="宋体"/>
          <w:b w:val="0"/>
          <w:sz w:val="24"/>
        </w:rPr>
        <w:t>[8] 李迎喜, 高瑞斌. 行政执法音像记录智能化回溯管理体系构建[C]. 中国烟草学会 2023 学术年会论文集, 2023: 216-222.</w:t>
      </w:r>
    </w:p>
    <w:p>
      <w:pPr>
        <w:spacing w:before="0" w:after="0" w:line="360" w:lineRule="auto"/>
        <w:ind w:firstLine="0"/>
        <w:jc w:val="both"/>
      </w:pPr>
      <w:r>
        <w:rPr>
          <w:rFonts w:ascii="Times New Roman" w:hAnsi="Times New Roman" w:eastAsia="宋体"/>
          <w:b w:val="0"/>
          <w:sz w:val="24"/>
        </w:rPr>
        <w:t>[9] 中华人民共和国个人信息保护法[Z]. 2021-08-20 通过, 2021-11-01 施行.</w:t>
      </w:r>
    </w:p>
    <w:p>
      <w:pPr>
        <w:spacing w:before="0" w:after="0" w:line="360" w:lineRule="auto"/>
        <w:ind w:firstLine="0"/>
        <w:jc w:val="both"/>
      </w:pPr>
      <w:r>
        <w:rPr>
          <w:rFonts w:ascii="Times New Roman" w:hAnsi="Times New Roman" w:eastAsia="宋体"/>
          <w:b w:val="0"/>
          <w:sz w:val="24"/>
        </w:rPr>
        <w:t>[10] 国家互联网信息办公室等. 生成式人工智能服务管理暂行办法[Z]. 2023-07-13 公布, 2023-08-15 施行.</w:t>
      </w:r>
    </w:p>
    <w:p>
      <w:pPr>
        <w:spacing w:before="0" w:after="0" w:line="360" w:lineRule="auto"/>
        <w:ind w:firstLine="0"/>
        <w:jc w:val="both"/>
      </w:pPr>
      <w:r>
        <w:rPr>
          <w:rFonts w:ascii="Times New Roman" w:hAnsi="Times New Roman" w:eastAsia="宋体"/>
          <w:b w:val="0"/>
          <w:sz w:val="24"/>
        </w:rPr>
        <w:t>[11] Amershi S, Weld D, Vorvoreanu M, et al. Guidelines for Human-AI Interaction[C]. Proceedings of the 2019 CHI Conference on Human Factors in Computing Systems, 2019: 1-13.</w:t>
      </w:r>
    </w:p>
    <w:p>
      <w:pPr>
        <w:spacing w:before="0" w:after="0" w:line="360" w:lineRule="auto"/>
        <w:ind w:firstLine="0"/>
        <w:jc w:val="both"/>
      </w:pPr>
      <w:r>
        <w:rPr>
          <w:rFonts w:ascii="Times New Roman" w:hAnsi="Times New Roman" w:eastAsia="宋体"/>
          <w:b w:val="0"/>
          <w:sz w:val="24"/>
        </w:rPr>
        <w:t>[12] Elkan C. The Foundations of Cost-Sensitive Learning[C]. Proceedings of the 17th International Joint Conference on Artificial Intelligence, 2001: 973-978.</w:t>
      </w:r>
    </w:p>
    <w:p>
      <w:pPr>
        <w:spacing w:before="0" w:after="0" w:line="360" w:lineRule="auto"/>
        <w:ind w:firstLine="0"/>
        <w:jc w:val="both"/>
      </w:pPr>
      <w:r>
        <w:rPr>
          <w:rFonts w:ascii="Times New Roman" w:hAnsi="Times New Roman" w:eastAsia="宋体"/>
          <w:b w:val="0"/>
          <w:sz w:val="24"/>
        </w:rPr>
        <w:t>[13] Dietterich T G. Approximate statistical tests for comparing supervised classification learning algorithms[J]. Neural Computation, 1998, 10(7): 1895-1923.</w:t>
      </w:r>
    </w:p>
    <w:p>
      <w:pPr>
        <w:spacing w:before="0" w:after="0" w:line="360" w:lineRule="auto"/>
        <w:ind w:firstLine="0"/>
        <w:jc w:val="both"/>
      </w:pPr>
      <w:r>
        <w:rPr>
          <w:rFonts w:ascii="Times New Roman" w:hAnsi="Times New Roman" w:eastAsia="宋体"/>
          <w:b w:val="0"/>
          <w:sz w:val="24"/>
        </w:rPr>
        <w:t>[14] Wilson E B. Probable inference, the law of succession, and statistical inference[J]. Journal of the American Statistical Association, 1927, 22(158): 209-212.</w:t>
      </w:r>
    </w:p>
    <w:p>
      <w:pPr>
        <w:spacing w:before="0" w:after="0" w:line="360" w:lineRule="auto"/>
        <w:ind w:firstLine="0"/>
        <w:jc w:val="both"/>
      </w:pPr>
      <w:r>
        <w:rPr>
          <w:rFonts w:ascii="Times New Roman" w:hAnsi="Times New Roman" w:eastAsia="宋体"/>
          <w:b w:val="0"/>
          <w:sz w:val="24"/>
        </w:rPr>
        <w:t>[15] Ridgway V F. Dysfunctional consequences of performance measurements[J]. Administrative Science Quarterly, 1956, 1(2): 240-247.</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