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60" w:lineRule="auto"/>
        <w:jc w:val="center"/>
      </w:pPr>
      <w:r>
        <w:rPr>
          <w:rFonts w:ascii="Times New Roman" w:hAnsi="Times New Roman" w:eastAsia="黑体"/>
          <w:b/>
          <w:sz w:val="36"/>
        </w:rPr>
        <w:t>穿透式监管视角下烟草行业大监督体系优化研究</w:t>
      </w:r>
    </w:p>
    <w:p>
      <w:pPr>
        <w:spacing w:before="0" w:after="0" w:line="360" w:lineRule="auto"/>
        <w:jc w:val="center"/>
      </w:pPr>
      <w:r>
        <w:rPr>
          <w:rFonts w:ascii="Times New Roman" w:hAnsi="Times New Roman" w:eastAsia="宋体"/>
          <w:b w:val="0"/>
          <w:sz w:val="24"/>
        </w:rPr>
        <w:t>施佳铭¹，李真伟²</w:t>
      </w:r>
    </w:p>
    <w:p>
      <w:pPr>
        <w:spacing w:before="0" w:after="0" w:line="360" w:lineRule="auto"/>
        <w:jc w:val="center"/>
      </w:pPr>
      <w:r>
        <w:rPr>
          <w:rFonts w:ascii="Times New Roman" w:hAnsi="Times New Roman" w:eastAsia="宋体"/>
          <w:b w:val="0"/>
          <w:sz w:val="21"/>
        </w:rPr>
        <w:t>1 海盐县烟草专卖局（分公司）纪检监察科，浙江海盐  314300</w:t>
      </w:r>
    </w:p>
    <w:p>
      <w:pPr>
        <w:spacing w:before="0" w:after="160" w:line="360" w:lineRule="auto"/>
        <w:jc w:val="center"/>
      </w:pPr>
      <w:r>
        <w:rPr>
          <w:rFonts w:ascii="Times New Roman" w:hAnsi="Times New Roman" w:eastAsia="宋体"/>
          <w:b w:val="0"/>
          <w:sz w:val="21"/>
        </w:rPr>
        <w:t>2 海盐县烟草专卖局（分公司）纪检监察科，浙江海盐  314300</w:t>
      </w:r>
    </w:p>
    <w:p>
      <w:pPr>
        <w:spacing w:before="0" w:after="0" w:line="360" w:lineRule="auto"/>
        <w:ind w:firstLine="480"/>
        <w:jc w:val="both"/>
      </w:pPr>
      <w:r>
        <w:rPr>
          <w:rFonts w:ascii="Times New Roman" w:hAnsi="Times New Roman" w:eastAsia="宋体"/>
          <w:b/>
          <w:sz w:val="24"/>
        </w:rPr>
        <w:t>摘  要：</w:t>
      </w:r>
      <w:r>
        <w:rPr>
          <w:rFonts w:ascii="Times New Roman" w:hAnsi="Times New Roman" w:eastAsia="宋体"/>
          <w:b w:val="0"/>
          <w:sz w:val="24"/>
        </w:rPr>
        <w:t>烟草行业实行政企合一、专卖专营的垂直管理体制，产业链条完整、资金体量庞大、权力点位集中，是国有资产监管与廉政风险防控的重点领域。本文针对现有研究把穿透式监管概念直接平移、成因分析归结为思想认识、对策缺乏可操作性与效果验证三方面不足，做出三项改进。第一，完成概念转换：在国有垂直管理体制下，“穿透”的对应物是监督信息沿委托代理链条的层层损耗，穿透式监督的实质是在逐级代理链之外新增一条不随层级衰减的直达通道，据此给出穿透度的可测量定义。第二，建立多层委托代理衰减模型与含监督过载项的最优监督强度模型并做数值求解：在逐级衰减率 0.30 的情形下，县级局监督效力仅为国家局的 34.3%，穿透通道覆盖 60% 业务事项可使其回升至 67.7%；若忽略基层负担这一成本项，最优监督强度将被高估 61.0%。第三，以蒙特卡洛仿真给出四维穿透的边际贡献排序（数据 &gt; 制度 &gt; 流程 &gt; 责任），据以确定三阶段实施路线，并以 AHP–熵权组合赋权构建监督效能评价指标体系（一致性比率 CR=0.018）。功效分析进一步显示，以县区级局为评估单元的准实验设计在地市层面不具备统计功效，评估单元须下沉至稽查中队或业务事项层级。本文所有数值均由可复现代码运行产生，参数取值依据在正文中逐条说明。</w:t>
      </w:r>
    </w:p>
    <w:p>
      <w:pPr>
        <w:spacing w:before="0" w:after="0" w:line="360" w:lineRule="auto"/>
        <w:ind w:firstLine="480"/>
        <w:jc w:val="both"/>
      </w:pPr>
      <w:r>
        <w:rPr>
          <w:rFonts w:ascii="Times New Roman" w:hAnsi="Times New Roman" w:eastAsia="宋体"/>
          <w:b/>
          <w:sz w:val="24"/>
        </w:rPr>
        <w:t>关键词：</w:t>
      </w:r>
      <w:r>
        <w:rPr>
          <w:rFonts w:ascii="Times New Roman" w:hAnsi="Times New Roman" w:eastAsia="宋体"/>
          <w:b w:val="0"/>
          <w:sz w:val="24"/>
        </w:rPr>
        <w:t>穿透式监管；大监督体系；委托代理；监督过载；效能评价</w:t>
      </w:r>
    </w:p>
    <w:p>
      <w:pPr>
        <w:spacing w:before="0" w:after="0" w:line="360" w:lineRule="auto"/>
        <w:ind w:firstLine="480"/>
        <w:jc w:val="both"/>
      </w:pPr>
      <w:r>
        <w:rPr>
          <w:rFonts w:ascii="Times New Roman" w:hAnsi="Times New Roman" w:eastAsia="宋体"/>
          <w:b/>
          <w:sz w:val="24"/>
        </w:rPr>
        <w:t>Abstract:</w:t>
      </w:r>
      <w:r>
        <w:rPr>
          <w:rFonts w:ascii="Times New Roman" w:hAnsi="Times New Roman" w:eastAsia="宋体"/>
          <w:b w:val="0"/>
          <w:sz w:val="24"/>
        </w:rPr>
        <w:t xml:space="preserve"> China's tobacco industry operates under a vertically integrated, government-enterprise-combined monopoly system, featuring a complete industrial chain, large capital volume and concentrated power nodes, making it a key area for state-asset supervision and integrity risk prevention. Addressing three weaknesses in existing studies - direct transplantation of the penetrating-regulation concept, attribution of causes to individual awareness, and countermeasures lacking operability and effect verification - this paper makes three improvements. First, it completes a conceptual transformation: under a vertically integrated state system, penetration corresponds to the attenuation of supervisory information along the principal-agent chain, and penetrating supervision essentially adds a direct channel that does not decay with hierarchy. Second, it builds and numerically solves a multi-layer principal-agent attenuation model and an optimal supervision intensity model incorporating supervisory overload: at a per-level attenuation rate of 0.30, county-level supervisory efficacy is only 34.3% of the national level, rising to 67.7% when direct channels cover 60% of business items; ignoring grassroots burden overestimates optimal intensity by 61.0%. Third, Monte Carlo simulation ranks the marginal contribution of the four penetration dimensions (data &gt; institution &gt; process &gt; responsibility), informing a three-phase roadmap, while an AHP-entropy combined weighting scheme yields a supervisory efficacy index (CR=0.018). All figures are produced by reproducible code.</w:t>
      </w:r>
    </w:p>
    <w:p>
      <w:pPr>
        <w:spacing w:before="0" w:after="0" w:line="360" w:lineRule="auto"/>
        <w:ind w:firstLine="480"/>
        <w:jc w:val="both"/>
      </w:pPr>
      <w:r>
        <w:rPr>
          <w:rFonts w:ascii="Times New Roman" w:hAnsi="Times New Roman" w:eastAsia="宋体"/>
          <w:b/>
          <w:sz w:val="24"/>
        </w:rPr>
        <w:t>Keywords:</w:t>
      </w:r>
      <w:r>
        <w:rPr>
          <w:rFonts w:ascii="Times New Roman" w:hAnsi="Times New Roman" w:eastAsia="宋体"/>
          <w:b w:val="0"/>
          <w:sz w:val="24"/>
        </w:rPr>
        <w:t xml:space="preserve"> Penetrating regulation; Integrated supervision system; Principal-agent; Supervisory overload; Efficacy evaluation</w:t>
      </w:r>
    </w:p>
    <w:p>
      <w:r>
        <w:br w:type="page"/>
      </w:r>
    </w:p>
    <w:p>
      <w:pPr>
        <w:keepNext/>
        <w:spacing w:before="240" w:after="120" w:line="360" w:lineRule="auto"/>
        <w:jc w:val="left"/>
      </w:pPr>
      <w:r>
        <w:rPr>
          <w:rFonts w:ascii="Times New Roman" w:hAnsi="Times New Roman" w:eastAsia="黑体"/>
          <w:b/>
          <w:sz w:val="30"/>
        </w:rPr>
        <w:t>1  引言</w:t>
      </w:r>
    </w:p>
    <w:p>
      <w:pPr>
        <w:spacing w:before="0" w:after="0" w:line="360" w:lineRule="auto"/>
        <w:ind w:firstLine="480"/>
        <w:jc w:val="both"/>
      </w:pPr>
      <w:r>
        <w:rPr>
          <w:rFonts w:ascii="Times New Roman" w:hAnsi="Times New Roman" w:eastAsia="宋体"/>
          <w:b w:val="0"/>
          <w:sz w:val="24"/>
        </w:rPr>
        <w:t>党的二十大报告提出健全党统一领导、全面覆盖、权威高效的监督体系。二十届中央纪委历次全会强调加强嵌入式监督、穿透式检视、立体式研判，要求创新手段方式、不断提高反腐败穿透力。穿透式监督已成为破解多层级、链条化隐性问题、实现监督全域覆盖的重要路径。</w:t>
      </w:r>
    </w:p>
    <w:p>
      <w:pPr>
        <w:spacing w:before="0" w:after="0" w:line="360" w:lineRule="auto"/>
        <w:ind w:firstLine="480"/>
        <w:jc w:val="both"/>
      </w:pPr>
      <w:r>
        <w:rPr>
          <w:rFonts w:ascii="Times New Roman" w:hAnsi="Times New Roman" w:eastAsia="宋体"/>
          <w:b w:val="0"/>
          <w:sz w:val="24"/>
        </w:rPr>
        <w:t>烟草行业专卖专营、垂直管理，业务链条长、资金资源集中、层级关联复杂，传统监督模式易存在层级阻隔、溯源不深、协同不足等短板。立足穿透式监管视角优化行业大监督体系，既是落实全面从严治党政治要求，也是补齐监管漏洞、防范廉洁风险、提升治理现代化水平的现实课题[1]。</w:t>
      </w:r>
    </w:p>
    <w:p>
      <w:pPr>
        <w:spacing w:before="0" w:after="0" w:line="360" w:lineRule="auto"/>
        <w:ind w:firstLine="480"/>
        <w:jc w:val="both"/>
      </w:pPr>
      <w:r>
        <w:rPr>
          <w:rFonts w:ascii="Times New Roman" w:hAnsi="Times New Roman" w:eastAsia="宋体"/>
          <w:b w:val="0"/>
          <w:sz w:val="24"/>
        </w:rPr>
        <w:t>既有研究已就大监督体系的协同困境[2]、数字化赋能路径[3]与层级衰减问题[4]做了较多讨论，但仍存在三方面不足。其一，多数研究直接套用金融领域的穿透式监管概念，未做必要的理论转换，致使“穿透”在文中退化为“深入、彻底”的同义词，失去分析工具的价值。其二，成因分析多归结为“重业务轻监督”“老好人思想”等认识层面因素，把制度问题转化为道德问题，后续对策只能落到教育引导，难以指向可干预的制度设计。其三，对策部分普遍缺少量化标准、责任主体、实施时序与验收口径，更没有回答“做了以后如何证明有效”，基层难以执行。</w:t>
      </w:r>
    </w:p>
    <w:p>
      <w:pPr>
        <w:spacing w:before="0" w:after="0" w:line="360" w:lineRule="auto"/>
        <w:ind w:firstLine="480"/>
        <w:jc w:val="both"/>
      </w:pPr>
      <w:r>
        <w:rPr>
          <w:rFonts w:ascii="Times New Roman" w:hAnsi="Times New Roman" w:eastAsia="宋体"/>
          <w:b w:val="0"/>
          <w:sz w:val="24"/>
        </w:rPr>
        <w:t>针对上述不足，本文的研究框架如图 1 所示：以多层委托代理、协同治理与穿透式监管为理论视角，对层级监督衰减、数据孤岛与责任传导虚化三类问题做结构性诊断，构建制度、数据、流程、责任四维穿透路径（以队伍建设为保障），并以监督效能指数、成本—收益均衡与分批推行准实验三项工具完成效能验证，验证结果反向回调路径设计，形成闭环。</w:t>
      </w:r>
    </w:p>
    <w:p>
      <w:pPr>
        <w:keepNext/>
        <w:spacing w:before="120" w:after="0" w:line="240" w:lineRule="auto"/>
        <w:jc w:val="center"/>
      </w:pPr>
      <w:r>
        <w:drawing>
          <wp:inline xmlns:a="http://schemas.openxmlformats.org/drawingml/2006/main" xmlns:pic="http://schemas.openxmlformats.org/drawingml/2006/picture">
            <wp:extent cx="5400000" cy="2922494"/>
            <wp:docPr id="1" name="Picture 1"/>
            <wp:cNvGraphicFramePr>
              <a:graphicFrameLocks noChangeAspect="1"/>
            </wp:cNvGraphicFramePr>
            <a:graphic>
              <a:graphicData uri="http://schemas.openxmlformats.org/drawingml/2006/picture">
                <pic:pic>
                  <pic:nvPicPr>
                    <pic:cNvPr id="0" name="p2_c1_framework.png"/>
                    <pic:cNvPicPr/>
                  </pic:nvPicPr>
                  <pic:blipFill>
                    <a:blip r:embed="rId9"/>
                    <a:stretch>
                      <a:fillRect/>
                    </a:stretch>
                  </pic:blipFill>
                  <pic:spPr>
                    <a:xfrm>
                      <a:off x="0" y="0"/>
                      <a:ext cx="5400000" cy="2922494"/>
                    </a:xfrm>
                    <a:prstGeom prst="rect"/>
                  </pic:spPr>
                </pic:pic>
              </a:graphicData>
            </a:graphic>
          </wp:inline>
        </w:drawing>
      </w:r>
    </w:p>
    <w:p>
      <w:pPr>
        <w:spacing w:before="40" w:after="160" w:line="240" w:lineRule="auto"/>
        <w:jc w:val="center"/>
      </w:pPr>
      <w:r>
        <w:rPr>
          <w:rFonts w:ascii="Times New Roman" w:hAnsi="Times New Roman" w:eastAsia="黑体"/>
          <w:b w:val="0"/>
          <w:sz w:val="21"/>
        </w:rPr>
        <w:t>图 1  研究框架</w:t>
      </w:r>
    </w:p>
    <w:p>
      <w:pPr>
        <w:keepNext/>
        <w:spacing w:before="240" w:after="120" w:line="360" w:lineRule="auto"/>
        <w:jc w:val="left"/>
      </w:pPr>
      <w:r>
        <w:rPr>
          <w:rFonts w:ascii="Times New Roman" w:hAnsi="Times New Roman" w:eastAsia="黑体"/>
          <w:b/>
          <w:sz w:val="30"/>
        </w:rPr>
        <w:t>2  理论基础与分析框架</w:t>
      </w:r>
    </w:p>
    <w:p>
      <w:pPr>
        <w:keepNext/>
        <w:spacing w:before="160" w:after="80" w:line="360" w:lineRule="auto"/>
        <w:jc w:val="left"/>
      </w:pPr>
      <w:r>
        <w:rPr>
          <w:rFonts w:ascii="Times New Roman" w:hAnsi="Times New Roman" w:eastAsia="黑体"/>
          <w:b w:val="0"/>
          <w:sz w:val="28"/>
        </w:rPr>
        <w:t>2.1  穿透式监管的概念转换</w:t>
      </w:r>
    </w:p>
    <w:p>
      <w:pPr>
        <w:spacing w:before="0" w:after="0" w:line="360" w:lineRule="auto"/>
        <w:ind w:firstLine="480"/>
        <w:jc w:val="both"/>
      </w:pPr>
      <w:r>
        <w:rPr>
          <w:rFonts w:ascii="Times New Roman" w:hAnsi="Times New Roman" w:eastAsia="宋体"/>
          <w:b w:val="0"/>
          <w:sz w:val="24"/>
        </w:rPr>
        <w:t>穿透式监管源于金融监管实践，其原义是穿透名义持有人识别底层资产与实际控制人，解决的是法律形式与经济实质相分离的问题[12]。烟草行业的内部监督并不存在“名实分离”的结构，直接平移会使概念空转。因此，把该范式引入行业监督之前，必须完成一次显式的概念转换。</w:t>
      </w:r>
    </w:p>
    <w:p>
      <w:pPr>
        <w:spacing w:before="0" w:after="0" w:line="360" w:lineRule="auto"/>
        <w:ind w:firstLine="480"/>
        <w:jc w:val="both"/>
      </w:pPr>
      <w:r>
        <w:rPr>
          <w:rFonts w:ascii="Times New Roman" w:hAnsi="Times New Roman" w:eastAsia="宋体"/>
          <w:b w:val="0"/>
          <w:sz w:val="24"/>
        </w:rPr>
        <w:t>本文认为，在国有垂直管理体制下，与金融领域“形式与实质分离”相对应的问题，是</w:t>
      </w:r>
      <w:r>
        <w:rPr>
          <w:rFonts w:ascii="Times New Roman" w:hAnsi="Times New Roman" w:eastAsia="宋体"/>
          <w:b/>
          <w:sz w:val="24"/>
        </w:rPr>
        <w:t>监督信息沿委托代理链条的层层损耗</w:t>
      </w:r>
      <w:r>
        <w:rPr>
          <w:rFonts w:ascii="Times New Roman" w:hAnsi="Times New Roman" w:eastAsia="宋体"/>
          <w:b w:val="0"/>
          <w:sz w:val="24"/>
        </w:rPr>
        <w:t>。国家局—省局—市局—县局构成一条四级委托代理链，每一级代理人既是上级的监督对象，又是下级的监督主体；信息在逐级上报中被选择性过滤，监督指令在逐级下达中被稀释，最终形成“上热、中温、下冷”的梯度格局。据此，穿透式监督的实质可以重新表述为：</w:t>
      </w:r>
      <w:r>
        <w:rPr>
          <w:rFonts w:ascii="Times New Roman" w:hAnsi="Times New Roman" w:eastAsia="宋体"/>
          <w:b/>
          <w:sz w:val="24"/>
        </w:rPr>
        <w:t>在既有的逐级代理链之外，新增一条不随层级衰减的直达通道</w:t>
      </w:r>
      <w:r>
        <w:rPr>
          <w:rFonts w:ascii="Times New Roman" w:hAnsi="Times New Roman" w:eastAsia="宋体"/>
          <w:b w:val="0"/>
          <w:sz w:val="24"/>
        </w:rPr>
        <w:t>。这一表述带来一个可测量的定义——穿透度等于直达通道所覆盖的业务事项占全部业务事项的比例，从而使“穿透”从修辞转变为可以计算、可以考核的变量。</w:t>
      </w:r>
    </w:p>
    <w:p>
      <w:pPr>
        <w:keepNext/>
        <w:spacing w:before="160" w:after="80" w:line="360" w:lineRule="auto"/>
        <w:jc w:val="left"/>
      </w:pPr>
      <w:r>
        <w:rPr>
          <w:rFonts w:ascii="Times New Roman" w:hAnsi="Times New Roman" w:eastAsia="黑体"/>
          <w:b w:val="0"/>
          <w:sz w:val="28"/>
        </w:rPr>
        <w:t>2.2  多层委托代理与监督效力衰减</w:t>
      </w:r>
    </w:p>
    <w:p>
      <w:pPr>
        <w:spacing w:before="0" w:after="0" w:line="360" w:lineRule="auto"/>
        <w:ind w:firstLine="480"/>
        <w:jc w:val="both"/>
      </w:pPr>
      <w:r>
        <w:rPr>
          <w:rFonts w:ascii="Times New Roman" w:hAnsi="Times New Roman" w:eastAsia="宋体"/>
          <w:b w:val="0"/>
          <w:sz w:val="24"/>
        </w:rPr>
        <w:t>监督效力沿层级衰减的机制如图 2 所示。上级向下级授权委托并施加监督，下级向上级报告；信息不对称、管办合一的双重角色、基层熟人社会的人情约束三类因素，共同削弱了每一级授权委托关系中的监督效力，在图中以平头抑制线表示——它们作用于层级间的委托关系本身，而非作用于某一层级。</w:t>
      </w:r>
    </w:p>
    <w:p>
      <w:pPr>
        <w:keepNext/>
        <w:spacing w:before="120" w:after="0" w:line="240" w:lineRule="auto"/>
        <w:jc w:val="center"/>
      </w:pPr>
      <w:r>
        <w:drawing>
          <wp:inline xmlns:a="http://schemas.openxmlformats.org/drawingml/2006/main" xmlns:pic="http://schemas.openxmlformats.org/drawingml/2006/picture">
            <wp:extent cx="5220000" cy="2961127"/>
            <wp:docPr id="2" name="Picture 2"/>
            <wp:cNvGraphicFramePr>
              <a:graphicFrameLocks noChangeAspect="1"/>
            </wp:cNvGraphicFramePr>
            <a:graphic>
              <a:graphicData uri="http://schemas.openxmlformats.org/drawingml/2006/picture">
                <pic:pic>
                  <pic:nvPicPr>
                    <pic:cNvPr id="0" name="p2_c2_agency.png"/>
                    <pic:cNvPicPr/>
                  </pic:nvPicPr>
                  <pic:blipFill>
                    <a:blip r:embed="rId10"/>
                    <a:stretch>
                      <a:fillRect/>
                    </a:stretch>
                  </pic:blipFill>
                  <pic:spPr>
                    <a:xfrm>
                      <a:off x="0" y="0"/>
                      <a:ext cx="5220000" cy="2961127"/>
                    </a:xfrm>
                    <a:prstGeom prst="rect"/>
                  </pic:spPr>
                </pic:pic>
              </a:graphicData>
            </a:graphic>
          </wp:inline>
        </w:drawing>
      </w:r>
    </w:p>
    <w:p>
      <w:pPr>
        <w:spacing w:before="40" w:after="160" w:line="240" w:lineRule="auto"/>
        <w:jc w:val="center"/>
      </w:pPr>
      <w:r>
        <w:rPr>
          <w:rFonts w:ascii="Times New Roman" w:hAnsi="Times New Roman" w:eastAsia="黑体"/>
          <w:b w:val="0"/>
          <w:sz w:val="21"/>
        </w:rPr>
        <w:t>图 2  多层委托代理下的监督效力衰减机制</w:t>
      </w:r>
    </w:p>
    <w:p>
      <w:pPr>
        <w:spacing w:before="0" w:after="0" w:line="360" w:lineRule="auto"/>
        <w:ind w:firstLine="480"/>
        <w:jc w:val="both"/>
      </w:pPr>
      <w:r>
        <w:rPr>
          <w:rFonts w:ascii="Times New Roman" w:hAnsi="Times New Roman" w:eastAsia="宋体"/>
          <w:b w:val="0"/>
          <w:sz w:val="24"/>
        </w:rPr>
        <w:t>把上述机制形式化。设国家局层级的监督效力为 1，逐级衰减率为 d，直达通道覆盖的业务事项比例为 a，通道保真度为 ρ，则第 k 级的监督效力为：</w:t>
      </w:r>
    </w:p>
    <w:p>
      <w:pPr>
        <w:spacing w:before="0" w:after="0" w:line="360" w:lineRule="auto"/>
        <w:ind w:firstLine="0"/>
        <w:jc w:val="center"/>
      </w:pPr>
      <w:r>
        <w:rPr>
          <w:rFonts w:ascii="Times New Roman" w:hAnsi="Times New Roman" w:eastAsia="宋体"/>
          <w:b w:val="0"/>
          <w:sz w:val="24"/>
        </w:rPr>
        <w:t>E(k) = (1 − a) · (1 − d)^k + a · ρ</w:t>
      </w:r>
    </w:p>
    <w:p>
      <w:pPr>
        <w:spacing w:before="0" w:after="0" w:line="360" w:lineRule="auto"/>
        <w:ind w:firstLine="480"/>
        <w:jc w:val="both"/>
      </w:pPr>
      <w:r>
        <w:rPr>
          <w:rFonts w:ascii="Times New Roman" w:hAnsi="Times New Roman" w:eastAsia="宋体"/>
          <w:b w:val="0"/>
          <w:sz w:val="24"/>
        </w:rPr>
        <w:t>式中第一项为沿代理链逐级衰减的部分，第二项为直达通道贡献的部分。该式的政策含义是清晰的：传统监督只能通过压低 d 来改善末梢效力，而 d 受体制结构约束、下调空间有限；穿透式监督则通过提高 a 来绕开衰减，其边际效果在 d 越大时越显著。数值结果见第 4.1 节。</w:t>
      </w:r>
    </w:p>
    <w:p>
      <w:pPr>
        <w:keepNext/>
        <w:spacing w:before="160" w:after="80" w:line="360" w:lineRule="auto"/>
        <w:jc w:val="left"/>
      </w:pPr>
      <w:r>
        <w:rPr>
          <w:rFonts w:ascii="Times New Roman" w:hAnsi="Times New Roman" w:eastAsia="黑体"/>
          <w:b w:val="0"/>
          <w:sz w:val="28"/>
        </w:rPr>
        <w:t>2.3  分析框架：四维穿透</w:t>
      </w:r>
    </w:p>
    <w:p>
      <w:pPr>
        <w:spacing w:before="0" w:after="0" w:line="360" w:lineRule="auto"/>
        <w:ind w:firstLine="480"/>
        <w:jc w:val="both"/>
      </w:pPr>
      <w:r>
        <w:rPr>
          <w:rFonts w:ascii="Times New Roman" w:hAnsi="Times New Roman" w:eastAsia="宋体"/>
          <w:b w:val="0"/>
          <w:sz w:val="24"/>
        </w:rPr>
        <w:t>在概念转换的基础上，本文把穿透式大监督分解为制度、数据、流程、责任四个维度，如图 3 所示。四维不是并列的工作条线，而是互为条件的功能要件：制度穿透统一标准与权责边界，解决“依据什么监督”；数据穿透实现一次采集、多方复用，解决“凭什么发现问题”；流程穿透在业务链关键节点嵌入监督卡点，解决“在哪里监督”；责任穿透以刚性问责与闭环整改收口，解决“发现问题以后怎么办”。队伍建设是四维得以运转的能力保障，本文将其作为支撑条件而非并列维度处理。</w:t>
      </w:r>
    </w:p>
    <w:p>
      <w:pPr>
        <w:keepNext/>
        <w:spacing w:before="120" w:after="0" w:line="240" w:lineRule="auto"/>
        <w:jc w:val="center"/>
      </w:pPr>
      <w:r>
        <w:drawing>
          <wp:inline xmlns:a="http://schemas.openxmlformats.org/drawingml/2006/main" xmlns:pic="http://schemas.openxmlformats.org/drawingml/2006/picture">
            <wp:extent cx="3960000" cy="3361280"/>
            <wp:docPr id="3" name="Picture 3"/>
            <wp:cNvGraphicFramePr>
              <a:graphicFrameLocks noChangeAspect="1"/>
            </wp:cNvGraphicFramePr>
            <a:graphic>
              <a:graphicData uri="http://schemas.openxmlformats.org/drawingml/2006/picture">
                <pic:pic>
                  <pic:nvPicPr>
                    <pic:cNvPr id="0" name="p2_c3_fourdim.png"/>
                    <pic:cNvPicPr/>
                  </pic:nvPicPr>
                  <pic:blipFill>
                    <a:blip r:embed="rId11"/>
                    <a:stretch>
                      <a:fillRect/>
                    </a:stretch>
                  </pic:blipFill>
                  <pic:spPr>
                    <a:xfrm>
                      <a:off x="0" y="0"/>
                      <a:ext cx="3960000" cy="3361280"/>
                    </a:xfrm>
                    <a:prstGeom prst="rect"/>
                  </pic:spPr>
                </pic:pic>
              </a:graphicData>
            </a:graphic>
          </wp:inline>
        </w:drawing>
      </w:r>
    </w:p>
    <w:p>
      <w:pPr>
        <w:spacing w:before="40" w:after="160" w:line="240" w:lineRule="auto"/>
        <w:jc w:val="center"/>
      </w:pPr>
      <w:r>
        <w:rPr>
          <w:rFonts w:ascii="Times New Roman" w:hAnsi="Times New Roman" w:eastAsia="黑体"/>
          <w:b w:val="0"/>
          <w:sz w:val="21"/>
        </w:rPr>
        <w:t>图 3  四维穿透的机制关系</w:t>
      </w:r>
    </w:p>
    <w:p>
      <w:pPr>
        <w:keepNext/>
        <w:spacing w:before="240" w:after="120" w:line="360" w:lineRule="auto"/>
        <w:jc w:val="left"/>
      </w:pPr>
      <w:r>
        <w:rPr>
          <w:rFonts w:ascii="Times New Roman" w:hAnsi="Times New Roman" w:eastAsia="黑体"/>
          <w:b/>
          <w:sz w:val="30"/>
        </w:rPr>
        <w:t>3  建设现状与突出问题</w:t>
      </w:r>
    </w:p>
    <w:p>
      <w:pPr>
        <w:keepNext/>
        <w:spacing w:before="160" w:after="80" w:line="360" w:lineRule="auto"/>
        <w:jc w:val="left"/>
      </w:pPr>
      <w:r>
        <w:rPr>
          <w:rFonts w:ascii="Times New Roman" w:hAnsi="Times New Roman" w:eastAsia="黑体"/>
          <w:b w:val="0"/>
          <w:sz w:val="28"/>
        </w:rPr>
        <w:t>3.1  建设成效</w:t>
      </w:r>
    </w:p>
    <w:p>
      <w:pPr>
        <w:spacing w:before="0" w:after="0" w:line="360" w:lineRule="auto"/>
        <w:ind w:firstLine="480"/>
        <w:jc w:val="both"/>
      </w:pPr>
      <w:r>
        <w:rPr>
          <w:rFonts w:ascii="Times New Roman" w:hAnsi="Times New Roman" w:eastAsia="宋体"/>
          <w:b w:val="0"/>
          <w:sz w:val="24"/>
        </w:rPr>
        <w:t>近年来，烟草行业在四个方面取得阶段性进展。制度层面，国家局先后出台内部监督协同管理、廉政风险防控、审计巡察管理等专项制度，各省市县三级细化配套实施细则、风险管控清单与整改问责机制，逐步形成“国家局统筹、省局细化、市局落地、县局落实”的四级联动制度体系[13]。组织层面，全面构建“党委统一领导、纪检统筹协调、部门各司其职、全员协同共治”的治理格局，建立常态化监督联席会议机制，通过联合督查、交叉检查、线索联审整合监督资源[9]。技术层面，依托数字烟草发展战略，建成烟叶溯源、卷烟营销、物流调度、物资采购、财务核算、专卖执法等一体化线上业务平台，实现核心业务全流程线上流转、全程留痕[3]。风控层面，搭建岗位、业务、层级三类风险清单，针对巡察、审计、专项督查发现的问题实行台账式管理、销号式整改、回头式核验[5]。</w:t>
      </w:r>
    </w:p>
    <w:p>
      <w:pPr>
        <w:keepNext/>
        <w:spacing w:before="160" w:after="80" w:line="360" w:lineRule="auto"/>
        <w:jc w:val="left"/>
      </w:pPr>
      <w:r>
        <w:rPr>
          <w:rFonts w:ascii="Times New Roman" w:hAnsi="Times New Roman" w:eastAsia="黑体"/>
          <w:b w:val="0"/>
          <w:sz w:val="28"/>
        </w:rPr>
        <w:t>3.2  突出问题</w:t>
      </w:r>
    </w:p>
    <w:p>
      <w:pPr>
        <w:keepNext/>
        <w:spacing w:before="120" w:after="60" w:line="360" w:lineRule="auto"/>
        <w:jc w:val="left"/>
      </w:pPr>
      <w:r>
        <w:rPr>
          <w:rFonts w:ascii="Times New Roman" w:hAnsi="Times New Roman" w:eastAsia="黑体"/>
          <w:b w:val="0"/>
          <w:sz w:val="24"/>
        </w:rPr>
        <w:t>3.2.1  层级穿透不足，末梢监督存在盲区</w:t>
      </w:r>
    </w:p>
    <w:p>
      <w:pPr>
        <w:spacing w:before="0" w:after="0" w:line="360" w:lineRule="auto"/>
        <w:ind w:firstLine="480"/>
        <w:jc w:val="both"/>
      </w:pPr>
      <w:r>
        <w:rPr>
          <w:rFonts w:ascii="Times New Roman" w:hAnsi="Times New Roman" w:eastAsia="宋体"/>
          <w:b w:val="0"/>
          <w:sz w:val="24"/>
        </w:rPr>
        <w:t>上级监督多以阶段性专项督查为主，督查频次有限、下沉力度不足，难以对基层点位实现常态化管控；同级监督受人情关系与职级平行因素制约，权力制衡效能不足。县级局直面烟农、零售客户与一线市场，风险点位最密集、问题隐蔽性最强，但基层监督岗位普遍以兼职为主，叠加熟人社会圈层影响，大量小微隐蔽风险长期隐匿[8]。</w:t>
      </w:r>
    </w:p>
    <w:p>
      <w:pPr>
        <w:keepNext/>
        <w:spacing w:before="120" w:after="60" w:line="360" w:lineRule="auto"/>
        <w:jc w:val="left"/>
      </w:pPr>
      <w:r>
        <w:rPr>
          <w:rFonts w:ascii="Times New Roman" w:hAnsi="Times New Roman" w:eastAsia="黑体"/>
          <w:b w:val="0"/>
          <w:sz w:val="24"/>
        </w:rPr>
        <w:t>3.2.2  资源整合停留于形式，协同合力不足</w:t>
      </w:r>
    </w:p>
    <w:p>
      <w:pPr>
        <w:spacing w:before="0" w:after="0" w:line="360" w:lineRule="auto"/>
        <w:ind w:firstLine="480"/>
        <w:jc w:val="both"/>
      </w:pPr>
      <w:r>
        <w:rPr>
          <w:rFonts w:ascii="Times New Roman" w:hAnsi="Times New Roman" w:eastAsia="宋体"/>
          <w:b w:val="0"/>
          <w:sz w:val="24"/>
        </w:rPr>
        <w:t>当前大监督体系仅实现监督主体的形式化整合，未达成监督资源、运行机制与工作效能的深度融合。各业务部门与监督部门独立制定监督标准、搭建工作台账、设计检查流程，标准不统一、节奏不一致、重点不契合，难以形成合力[2]。</w:t>
      </w:r>
    </w:p>
    <w:p>
      <w:pPr>
        <w:keepNext/>
        <w:spacing w:before="120" w:after="60" w:line="360" w:lineRule="auto"/>
        <w:jc w:val="left"/>
      </w:pPr>
      <w:r>
        <w:rPr>
          <w:rFonts w:ascii="Times New Roman" w:hAnsi="Times New Roman" w:eastAsia="黑体"/>
          <w:b w:val="0"/>
          <w:sz w:val="24"/>
        </w:rPr>
        <w:t>3.2.3  数据穿透不畅，数智监督赋能滞后</w:t>
      </w:r>
    </w:p>
    <w:p>
      <w:pPr>
        <w:spacing w:before="0" w:after="0" w:line="360" w:lineRule="auto"/>
        <w:ind w:firstLine="480"/>
        <w:jc w:val="both"/>
      </w:pPr>
      <w:r>
        <w:rPr>
          <w:rFonts w:ascii="Times New Roman" w:hAnsi="Times New Roman" w:eastAsia="宋体"/>
          <w:b w:val="0"/>
          <w:sz w:val="24"/>
        </w:rPr>
        <w:t>行业数字化监督建设缺乏顶层统筹，碎片化问题突出。各业务系统、监督系统分条线独立开发、分散运维，建设标准不统一、数据接口不兼容，形成大量数据孤岛，无法实现全行业业务数据与监督数据的全域汇聚[10]。</w:t>
      </w:r>
    </w:p>
    <w:p>
      <w:pPr>
        <w:keepNext/>
        <w:spacing w:before="120" w:after="60" w:line="360" w:lineRule="auto"/>
        <w:jc w:val="left"/>
      </w:pPr>
      <w:r>
        <w:rPr>
          <w:rFonts w:ascii="Times New Roman" w:hAnsi="Times New Roman" w:eastAsia="黑体"/>
          <w:b w:val="0"/>
          <w:sz w:val="24"/>
        </w:rPr>
        <w:t>3.2.4  重事后轻事前，全周期管控体系缺失</w:t>
      </w:r>
    </w:p>
    <w:p>
      <w:pPr>
        <w:spacing w:before="0" w:after="0" w:line="360" w:lineRule="auto"/>
        <w:ind w:firstLine="480"/>
        <w:jc w:val="both"/>
      </w:pPr>
      <w:r>
        <w:rPr>
          <w:rFonts w:ascii="Times New Roman" w:hAnsi="Times New Roman" w:eastAsia="宋体"/>
          <w:b w:val="0"/>
          <w:sz w:val="24"/>
        </w:rPr>
        <w:t>行业监督整体仍延续事后追责的被动管控模式，对业务发起、推进的前置环节风险预判不足，对业务运行过程的动态管控力度薄弱[15]。</w:t>
      </w:r>
    </w:p>
    <w:p>
      <w:pPr>
        <w:keepNext/>
        <w:spacing w:before="120" w:after="60" w:line="360" w:lineRule="auto"/>
        <w:jc w:val="left"/>
      </w:pPr>
      <w:r>
        <w:rPr>
          <w:rFonts w:ascii="Times New Roman" w:hAnsi="Times New Roman" w:eastAsia="黑体"/>
          <w:b w:val="0"/>
          <w:sz w:val="24"/>
        </w:rPr>
        <w:t>3.2.5  监督队伍能力结构与数智化需求不匹配</w:t>
      </w:r>
    </w:p>
    <w:p>
      <w:pPr>
        <w:spacing w:before="0" w:after="0" w:line="360" w:lineRule="auto"/>
        <w:ind w:firstLine="480"/>
        <w:jc w:val="both"/>
      </w:pPr>
      <w:r>
        <w:rPr>
          <w:rFonts w:ascii="Times New Roman" w:hAnsi="Times New Roman" w:eastAsia="宋体"/>
          <w:b w:val="0"/>
          <w:sz w:val="24"/>
        </w:rPr>
        <w:t>传统监督人员擅长人工核查、基础审计与常规纪检工作，但缺乏大数据分析、智能平台运维、风险建模、数据溯源等新型能力；叠加岗位晋升渠道狭窄、激励权重偏低，复合型监督人才流失严重[14]。</w:t>
      </w:r>
    </w:p>
    <w:p>
      <w:pPr>
        <w:keepNext/>
        <w:spacing w:before="240" w:after="120" w:line="360" w:lineRule="auto"/>
        <w:jc w:val="left"/>
      </w:pPr>
      <w:r>
        <w:rPr>
          <w:rFonts w:ascii="Times New Roman" w:hAnsi="Times New Roman" w:eastAsia="黑体"/>
          <w:b/>
          <w:sz w:val="30"/>
        </w:rPr>
        <w:t>4  问题成因的结构性解释与数值分析</w:t>
      </w:r>
    </w:p>
    <w:p>
      <w:pPr>
        <w:spacing w:before="0" w:after="0" w:line="360" w:lineRule="auto"/>
        <w:ind w:firstLine="480"/>
        <w:jc w:val="both"/>
      </w:pPr>
      <w:r>
        <w:rPr>
          <w:rFonts w:ascii="Times New Roman" w:hAnsi="Times New Roman" w:eastAsia="宋体"/>
          <w:b w:val="0"/>
          <w:sz w:val="24"/>
        </w:rPr>
        <w:t>本章不采用“思想认识不到位”这类归因于个人的解释，而是从体制结构与成本约束两条线索出发，给出可干预的成因分析，并对关键机制做数值求解。需要说明的是：本章及第 5、6 章的数值结果均为</w:t>
      </w:r>
      <w:r>
        <w:rPr>
          <w:rFonts w:ascii="Times New Roman" w:hAnsi="Times New Roman" w:eastAsia="宋体"/>
          <w:b/>
          <w:sz w:val="24"/>
        </w:rPr>
        <w:t>模型驱动的情景分析</w:t>
      </w:r>
      <w:r>
        <w:rPr>
          <w:rFonts w:ascii="Times New Roman" w:hAnsi="Times New Roman" w:eastAsia="宋体"/>
          <w:b w:val="0"/>
          <w:sz w:val="24"/>
        </w:rPr>
        <w:t>，由可复现代码实际运行产生；参数取值为课题组设定的情景参数，已逐项说明依据并配有敏感性分析，其作用是揭示机制方向与量级关系，不代表对某一具体单位实测指标的观测值。</w:t>
      </w:r>
    </w:p>
    <w:p>
      <w:pPr>
        <w:keepNext/>
        <w:spacing w:before="160" w:after="80" w:line="360" w:lineRule="auto"/>
        <w:jc w:val="left"/>
      </w:pPr>
      <w:r>
        <w:rPr>
          <w:rFonts w:ascii="Times New Roman" w:hAnsi="Times New Roman" w:eastAsia="黑体"/>
          <w:b w:val="0"/>
          <w:sz w:val="28"/>
        </w:rPr>
        <w:t>4.1  双重委托代理导致的监督效力衰减</w:t>
      </w:r>
    </w:p>
    <w:p>
      <w:pPr>
        <w:spacing w:before="0" w:after="0" w:line="360" w:lineRule="auto"/>
        <w:ind w:firstLine="480"/>
        <w:jc w:val="both"/>
      </w:pPr>
      <w:r>
        <w:rPr>
          <w:rFonts w:ascii="Times New Roman" w:hAnsi="Times New Roman" w:eastAsia="宋体"/>
          <w:b w:val="0"/>
          <w:sz w:val="24"/>
        </w:rPr>
        <w:t>烟草行业“一套人马、两块牌子”的运行模式，使同一主体同时承担经营发展与监督管控双重职能，形成“既当运动员、又当裁判员”的治理格局，内部监督天然存在包容性缺陷[11]。这一体制特征叠加四级纵向代理链，产生系统性的监督效力衰减。按第 2.2 节的模型，取直达通道保真度 ρ=0.90（考虑通道本身仍有信息损耗），在不同逐级衰减率 d 与直达通道覆盖比例 a 下的数值结果如表 1 与图 4 所示。</w:t>
      </w:r>
    </w:p>
    <w:p>
      <w:pPr>
        <w:keepNext/>
        <w:spacing w:before="160" w:after="40" w:line="240" w:lineRule="auto"/>
        <w:jc w:val="center"/>
      </w:pPr>
      <w:r>
        <w:rPr>
          <w:rFonts w:ascii="Times New Roman" w:hAnsi="Times New Roman" w:eastAsia="黑体"/>
          <w:b w:val="0"/>
          <w:sz w:val="21"/>
        </w:rPr>
        <w:t>表 1  监督效力沿层级衰减及直达通道的修正效果</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263"/>
        <w:gridCol w:w="1263"/>
        <w:gridCol w:w="1263"/>
        <w:gridCol w:w="1263"/>
        <w:gridCol w:w="1263"/>
        <w:gridCol w:w="1263"/>
        <w:gridCol w:w="1263"/>
      </w:tblGrid>
      <w:tr>
        <w:tc>
          <w:tcPr>
            <w:tcW w:type="dxa" w:w="136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逐级衰减率 d</w:t>
            </w:r>
          </w:p>
        </w:tc>
        <w:tc>
          <w:tcPr>
            <w:tcW w:type="dxa" w:w="147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直达通道覆盖 a</w:t>
            </w:r>
          </w:p>
        </w:tc>
        <w:tc>
          <w:tcPr>
            <w:tcW w:type="dxa" w:w="113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国家局 / %</w:t>
            </w:r>
          </w:p>
        </w:tc>
        <w:tc>
          <w:tcPr>
            <w:tcW w:type="dxa" w:w="113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省级局 / %</w:t>
            </w:r>
          </w:p>
        </w:tc>
        <w:tc>
          <w:tcPr>
            <w:tcW w:type="dxa" w:w="113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市级局 / %</w:t>
            </w:r>
          </w:p>
        </w:tc>
        <w:tc>
          <w:tcPr>
            <w:tcW w:type="dxa" w:w="113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县级局 / %</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末梢损失 / %</w:t>
            </w:r>
          </w:p>
        </w:tc>
      </w:tr>
      <w:tr>
        <w:tc>
          <w:tcPr>
            <w:tcW w:type="dxa" w:w="1361"/>
          </w:tcPr>
          <w:p>
            <w:pPr>
              <w:spacing w:before="40" w:after="40" w:line="240" w:lineRule="auto"/>
              <w:jc w:val="left"/>
            </w:pPr>
            <w:r/>
            <w:r>
              <w:rPr>
                <w:rFonts w:ascii="Times New Roman" w:hAnsi="Times New Roman" w:eastAsia="宋体"/>
                <w:b w:val="0"/>
                <w:sz w:val="18"/>
              </w:rPr>
              <w:t>0.20</w:t>
            </w:r>
          </w:p>
        </w:tc>
        <w:tc>
          <w:tcPr>
            <w:tcW w:type="dxa" w:w="1474"/>
          </w:tcPr>
          <w:p>
            <w:pPr>
              <w:spacing w:before="40" w:after="40" w:line="240" w:lineRule="auto"/>
              <w:jc w:val="center"/>
            </w:pPr>
            <w:r/>
            <w:r>
              <w:rPr>
                <w:rFonts w:ascii="Times New Roman" w:hAnsi="Times New Roman" w:eastAsia="宋体"/>
                <w:b w:val="0"/>
                <w:sz w:val="18"/>
              </w:rPr>
              <w:t>0.0</w:t>
            </w:r>
          </w:p>
        </w:tc>
        <w:tc>
          <w:tcPr>
            <w:tcW w:type="dxa" w:w="1134"/>
          </w:tcPr>
          <w:p>
            <w:pPr>
              <w:spacing w:before="40" w:after="40" w:line="240" w:lineRule="auto"/>
              <w:jc w:val="center"/>
            </w:pPr>
            <w:r/>
            <w:r>
              <w:rPr>
                <w:rFonts w:ascii="Times New Roman" w:hAnsi="Times New Roman" w:eastAsia="宋体"/>
                <w:b w:val="0"/>
                <w:sz w:val="18"/>
              </w:rPr>
              <w:t>100.0</w:t>
            </w:r>
          </w:p>
        </w:tc>
        <w:tc>
          <w:tcPr>
            <w:tcW w:type="dxa" w:w="1134"/>
          </w:tcPr>
          <w:p>
            <w:pPr>
              <w:spacing w:before="40" w:after="40" w:line="240" w:lineRule="auto"/>
              <w:jc w:val="center"/>
            </w:pPr>
            <w:r/>
            <w:r>
              <w:rPr>
                <w:rFonts w:ascii="Times New Roman" w:hAnsi="Times New Roman" w:eastAsia="宋体"/>
                <w:b w:val="0"/>
                <w:sz w:val="18"/>
              </w:rPr>
              <w:t>80.0</w:t>
            </w:r>
          </w:p>
        </w:tc>
        <w:tc>
          <w:tcPr>
            <w:tcW w:type="dxa" w:w="1134"/>
          </w:tcPr>
          <w:p>
            <w:pPr>
              <w:spacing w:before="40" w:after="40" w:line="240" w:lineRule="auto"/>
              <w:jc w:val="center"/>
            </w:pPr>
            <w:r/>
            <w:r>
              <w:rPr>
                <w:rFonts w:ascii="Times New Roman" w:hAnsi="Times New Roman" w:eastAsia="宋体"/>
                <w:b w:val="0"/>
                <w:sz w:val="18"/>
              </w:rPr>
              <w:t>64.0</w:t>
            </w:r>
          </w:p>
        </w:tc>
        <w:tc>
          <w:tcPr>
            <w:tcW w:type="dxa" w:w="1134"/>
          </w:tcPr>
          <w:p>
            <w:pPr>
              <w:spacing w:before="40" w:after="40" w:line="240" w:lineRule="auto"/>
              <w:jc w:val="center"/>
            </w:pPr>
            <w:r/>
            <w:r>
              <w:rPr>
                <w:rFonts w:ascii="Times New Roman" w:hAnsi="Times New Roman" w:eastAsia="宋体"/>
                <w:b w:val="0"/>
                <w:sz w:val="18"/>
              </w:rPr>
              <w:t>51.2</w:t>
            </w:r>
          </w:p>
        </w:tc>
        <w:tc>
          <w:tcPr>
            <w:tcW w:type="dxa" w:w="1361"/>
          </w:tcPr>
          <w:p>
            <w:pPr>
              <w:spacing w:before="40" w:after="40" w:line="240" w:lineRule="auto"/>
              <w:jc w:val="center"/>
            </w:pPr>
            <w:r/>
            <w:r>
              <w:rPr>
                <w:rFonts w:ascii="Times New Roman" w:hAnsi="Times New Roman" w:eastAsia="宋体"/>
                <w:b w:val="0"/>
                <w:sz w:val="18"/>
              </w:rPr>
              <w:t>48.8</w:t>
            </w:r>
          </w:p>
        </w:tc>
      </w:tr>
      <w:tr>
        <w:tc>
          <w:tcPr>
            <w:tcW w:type="dxa" w:w="1361"/>
          </w:tcPr>
          <w:p>
            <w:pPr>
              <w:spacing w:before="40" w:after="40" w:line="240" w:lineRule="auto"/>
              <w:jc w:val="left"/>
            </w:pPr>
            <w:r/>
            <w:r>
              <w:rPr>
                <w:rFonts w:ascii="Times New Roman" w:hAnsi="Times New Roman" w:eastAsia="宋体"/>
                <w:b w:val="0"/>
                <w:sz w:val="18"/>
              </w:rPr>
              <w:t>0.20</w:t>
            </w:r>
          </w:p>
        </w:tc>
        <w:tc>
          <w:tcPr>
            <w:tcW w:type="dxa" w:w="1474"/>
          </w:tcPr>
          <w:p>
            <w:pPr>
              <w:spacing w:before="40" w:after="40" w:line="240" w:lineRule="auto"/>
              <w:jc w:val="center"/>
            </w:pPr>
            <w:r/>
            <w:r>
              <w:rPr>
                <w:rFonts w:ascii="Times New Roman" w:hAnsi="Times New Roman" w:eastAsia="宋体"/>
                <w:b w:val="0"/>
                <w:sz w:val="18"/>
              </w:rPr>
              <w:t>0.3</w:t>
            </w:r>
          </w:p>
        </w:tc>
        <w:tc>
          <w:tcPr>
            <w:tcW w:type="dxa" w:w="1134"/>
          </w:tcPr>
          <w:p>
            <w:pPr>
              <w:spacing w:before="40" w:after="40" w:line="240" w:lineRule="auto"/>
              <w:jc w:val="center"/>
            </w:pPr>
            <w:r/>
            <w:r>
              <w:rPr>
                <w:rFonts w:ascii="Times New Roman" w:hAnsi="Times New Roman" w:eastAsia="宋体"/>
                <w:b w:val="0"/>
                <w:sz w:val="18"/>
              </w:rPr>
              <w:t>97.0</w:t>
            </w:r>
          </w:p>
        </w:tc>
        <w:tc>
          <w:tcPr>
            <w:tcW w:type="dxa" w:w="1134"/>
          </w:tcPr>
          <w:p>
            <w:pPr>
              <w:spacing w:before="40" w:after="40" w:line="240" w:lineRule="auto"/>
              <w:jc w:val="center"/>
            </w:pPr>
            <w:r/>
            <w:r>
              <w:rPr>
                <w:rFonts w:ascii="Times New Roman" w:hAnsi="Times New Roman" w:eastAsia="宋体"/>
                <w:b w:val="0"/>
                <w:sz w:val="18"/>
              </w:rPr>
              <w:t>83.0</w:t>
            </w:r>
          </w:p>
        </w:tc>
        <w:tc>
          <w:tcPr>
            <w:tcW w:type="dxa" w:w="1134"/>
          </w:tcPr>
          <w:p>
            <w:pPr>
              <w:spacing w:before="40" w:after="40" w:line="240" w:lineRule="auto"/>
              <w:jc w:val="center"/>
            </w:pPr>
            <w:r/>
            <w:r>
              <w:rPr>
                <w:rFonts w:ascii="Times New Roman" w:hAnsi="Times New Roman" w:eastAsia="宋体"/>
                <w:b w:val="0"/>
                <w:sz w:val="18"/>
              </w:rPr>
              <w:t>71.8</w:t>
            </w:r>
          </w:p>
        </w:tc>
        <w:tc>
          <w:tcPr>
            <w:tcW w:type="dxa" w:w="1134"/>
          </w:tcPr>
          <w:p>
            <w:pPr>
              <w:spacing w:before="40" w:after="40" w:line="240" w:lineRule="auto"/>
              <w:jc w:val="center"/>
            </w:pPr>
            <w:r/>
            <w:r>
              <w:rPr>
                <w:rFonts w:ascii="Times New Roman" w:hAnsi="Times New Roman" w:eastAsia="宋体"/>
                <w:b w:val="0"/>
                <w:sz w:val="18"/>
              </w:rPr>
              <w:t>62.8</w:t>
            </w:r>
          </w:p>
        </w:tc>
        <w:tc>
          <w:tcPr>
            <w:tcW w:type="dxa" w:w="1361"/>
          </w:tcPr>
          <w:p>
            <w:pPr>
              <w:spacing w:before="40" w:after="40" w:line="240" w:lineRule="auto"/>
              <w:jc w:val="center"/>
            </w:pPr>
            <w:r/>
            <w:r>
              <w:rPr>
                <w:rFonts w:ascii="Times New Roman" w:hAnsi="Times New Roman" w:eastAsia="宋体"/>
                <w:b w:val="0"/>
                <w:sz w:val="18"/>
              </w:rPr>
              <w:t>37.2</w:t>
            </w:r>
          </w:p>
        </w:tc>
      </w:tr>
      <w:tr>
        <w:tc>
          <w:tcPr>
            <w:tcW w:type="dxa" w:w="1361"/>
          </w:tcPr>
          <w:p>
            <w:pPr>
              <w:spacing w:before="40" w:after="40" w:line="240" w:lineRule="auto"/>
              <w:jc w:val="left"/>
            </w:pPr>
            <w:r/>
            <w:r>
              <w:rPr>
                <w:rFonts w:ascii="Times New Roman" w:hAnsi="Times New Roman" w:eastAsia="宋体"/>
                <w:b w:val="0"/>
                <w:sz w:val="18"/>
              </w:rPr>
              <w:t>0.20</w:t>
            </w:r>
          </w:p>
        </w:tc>
        <w:tc>
          <w:tcPr>
            <w:tcW w:type="dxa" w:w="1474"/>
          </w:tcPr>
          <w:p>
            <w:pPr>
              <w:spacing w:before="40" w:after="40" w:line="240" w:lineRule="auto"/>
              <w:jc w:val="center"/>
            </w:pPr>
            <w:r/>
            <w:r>
              <w:rPr>
                <w:rFonts w:ascii="Times New Roman" w:hAnsi="Times New Roman" w:eastAsia="宋体"/>
                <w:b w:val="0"/>
                <w:sz w:val="18"/>
              </w:rPr>
              <w:t>0.6</w:t>
            </w:r>
          </w:p>
        </w:tc>
        <w:tc>
          <w:tcPr>
            <w:tcW w:type="dxa" w:w="1134"/>
          </w:tcPr>
          <w:p>
            <w:pPr>
              <w:spacing w:before="40" w:after="40" w:line="240" w:lineRule="auto"/>
              <w:jc w:val="center"/>
            </w:pPr>
            <w:r/>
            <w:r>
              <w:rPr>
                <w:rFonts w:ascii="Times New Roman" w:hAnsi="Times New Roman" w:eastAsia="宋体"/>
                <w:b w:val="0"/>
                <w:sz w:val="18"/>
              </w:rPr>
              <w:t>94.0</w:t>
            </w:r>
          </w:p>
        </w:tc>
        <w:tc>
          <w:tcPr>
            <w:tcW w:type="dxa" w:w="1134"/>
          </w:tcPr>
          <w:p>
            <w:pPr>
              <w:spacing w:before="40" w:after="40" w:line="240" w:lineRule="auto"/>
              <w:jc w:val="center"/>
            </w:pPr>
            <w:r/>
            <w:r>
              <w:rPr>
                <w:rFonts w:ascii="Times New Roman" w:hAnsi="Times New Roman" w:eastAsia="宋体"/>
                <w:b w:val="0"/>
                <w:sz w:val="18"/>
              </w:rPr>
              <w:t>86.0</w:t>
            </w:r>
          </w:p>
        </w:tc>
        <w:tc>
          <w:tcPr>
            <w:tcW w:type="dxa" w:w="1134"/>
          </w:tcPr>
          <w:p>
            <w:pPr>
              <w:spacing w:before="40" w:after="40" w:line="240" w:lineRule="auto"/>
              <w:jc w:val="center"/>
            </w:pPr>
            <w:r/>
            <w:r>
              <w:rPr>
                <w:rFonts w:ascii="Times New Roman" w:hAnsi="Times New Roman" w:eastAsia="宋体"/>
                <w:b w:val="0"/>
                <w:sz w:val="18"/>
              </w:rPr>
              <w:t>79.6</w:t>
            </w:r>
          </w:p>
        </w:tc>
        <w:tc>
          <w:tcPr>
            <w:tcW w:type="dxa" w:w="1134"/>
          </w:tcPr>
          <w:p>
            <w:pPr>
              <w:spacing w:before="40" w:after="40" w:line="240" w:lineRule="auto"/>
              <w:jc w:val="center"/>
            </w:pPr>
            <w:r/>
            <w:r>
              <w:rPr>
                <w:rFonts w:ascii="Times New Roman" w:hAnsi="Times New Roman" w:eastAsia="宋体"/>
                <w:b w:val="0"/>
                <w:sz w:val="18"/>
              </w:rPr>
              <w:t>74.5</w:t>
            </w:r>
          </w:p>
        </w:tc>
        <w:tc>
          <w:tcPr>
            <w:tcW w:type="dxa" w:w="1361"/>
          </w:tcPr>
          <w:p>
            <w:pPr>
              <w:spacing w:before="40" w:after="40" w:line="240" w:lineRule="auto"/>
              <w:jc w:val="center"/>
            </w:pPr>
            <w:r/>
            <w:r>
              <w:rPr>
                <w:rFonts w:ascii="Times New Roman" w:hAnsi="Times New Roman" w:eastAsia="宋体"/>
                <w:b w:val="0"/>
                <w:sz w:val="18"/>
              </w:rPr>
              <w:t>25.5</w:t>
            </w:r>
          </w:p>
        </w:tc>
      </w:tr>
      <w:tr>
        <w:tc>
          <w:tcPr>
            <w:tcW w:type="dxa" w:w="1361"/>
          </w:tcPr>
          <w:p>
            <w:pPr>
              <w:spacing w:before="40" w:after="40" w:line="240" w:lineRule="auto"/>
              <w:jc w:val="left"/>
            </w:pPr>
            <w:r/>
            <w:r>
              <w:rPr>
                <w:rFonts w:ascii="Times New Roman" w:hAnsi="Times New Roman" w:eastAsia="宋体"/>
                <w:b w:val="0"/>
                <w:sz w:val="18"/>
              </w:rPr>
              <w:t>0.30</w:t>
            </w:r>
          </w:p>
        </w:tc>
        <w:tc>
          <w:tcPr>
            <w:tcW w:type="dxa" w:w="1474"/>
          </w:tcPr>
          <w:p>
            <w:pPr>
              <w:spacing w:before="40" w:after="40" w:line="240" w:lineRule="auto"/>
              <w:jc w:val="center"/>
            </w:pPr>
            <w:r/>
            <w:r>
              <w:rPr>
                <w:rFonts w:ascii="Times New Roman" w:hAnsi="Times New Roman" w:eastAsia="宋体"/>
                <w:b w:val="0"/>
                <w:sz w:val="18"/>
              </w:rPr>
              <w:t>0.0</w:t>
            </w:r>
          </w:p>
        </w:tc>
        <w:tc>
          <w:tcPr>
            <w:tcW w:type="dxa" w:w="1134"/>
          </w:tcPr>
          <w:p>
            <w:pPr>
              <w:spacing w:before="40" w:after="40" w:line="240" w:lineRule="auto"/>
              <w:jc w:val="center"/>
            </w:pPr>
            <w:r/>
            <w:r>
              <w:rPr>
                <w:rFonts w:ascii="Times New Roman" w:hAnsi="Times New Roman" w:eastAsia="宋体"/>
                <w:b w:val="0"/>
                <w:sz w:val="18"/>
              </w:rPr>
              <w:t>100.0</w:t>
            </w:r>
          </w:p>
        </w:tc>
        <w:tc>
          <w:tcPr>
            <w:tcW w:type="dxa" w:w="1134"/>
          </w:tcPr>
          <w:p>
            <w:pPr>
              <w:spacing w:before="40" w:after="40" w:line="240" w:lineRule="auto"/>
              <w:jc w:val="center"/>
            </w:pPr>
            <w:r/>
            <w:r>
              <w:rPr>
                <w:rFonts w:ascii="Times New Roman" w:hAnsi="Times New Roman" w:eastAsia="宋体"/>
                <w:b w:val="0"/>
                <w:sz w:val="18"/>
              </w:rPr>
              <w:t>70.0</w:t>
            </w:r>
          </w:p>
        </w:tc>
        <w:tc>
          <w:tcPr>
            <w:tcW w:type="dxa" w:w="1134"/>
          </w:tcPr>
          <w:p>
            <w:pPr>
              <w:spacing w:before="40" w:after="40" w:line="240" w:lineRule="auto"/>
              <w:jc w:val="center"/>
            </w:pPr>
            <w:r/>
            <w:r>
              <w:rPr>
                <w:rFonts w:ascii="Times New Roman" w:hAnsi="Times New Roman" w:eastAsia="宋体"/>
                <w:b w:val="0"/>
                <w:sz w:val="18"/>
              </w:rPr>
              <w:t>49.0</w:t>
            </w:r>
          </w:p>
        </w:tc>
        <w:tc>
          <w:tcPr>
            <w:tcW w:type="dxa" w:w="1134"/>
          </w:tcPr>
          <w:p>
            <w:pPr>
              <w:spacing w:before="40" w:after="40" w:line="240" w:lineRule="auto"/>
              <w:jc w:val="center"/>
            </w:pPr>
            <w:r/>
            <w:r>
              <w:rPr>
                <w:rFonts w:ascii="Times New Roman" w:hAnsi="Times New Roman" w:eastAsia="宋体"/>
                <w:b w:val="0"/>
                <w:sz w:val="18"/>
              </w:rPr>
              <w:t>34.3</w:t>
            </w:r>
          </w:p>
        </w:tc>
        <w:tc>
          <w:tcPr>
            <w:tcW w:type="dxa" w:w="1361"/>
          </w:tcPr>
          <w:p>
            <w:pPr>
              <w:spacing w:before="40" w:after="40" w:line="240" w:lineRule="auto"/>
              <w:jc w:val="center"/>
            </w:pPr>
            <w:r/>
            <w:r>
              <w:rPr>
                <w:rFonts w:ascii="Times New Roman" w:hAnsi="Times New Roman" w:eastAsia="宋体"/>
                <w:b w:val="0"/>
                <w:sz w:val="18"/>
              </w:rPr>
              <w:t>65.7</w:t>
            </w:r>
          </w:p>
        </w:tc>
      </w:tr>
      <w:tr>
        <w:tc>
          <w:tcPr>
            <w:tcW w:type="dxa" w:w="1361"/>
          </w:tcPr>
          <w:p>
            <w:pPr>
              <w:spacing w:before="40" w:after="40" w:line="240" w:lineRule="auto"/>
              <w:jc w:val="left"/>
            </w:pPr>
            <w:r/>
            <w:r>
              <w:rPr>
                <w:rFonts w:ascii="Times New Roman" w:hAnsi="Times New Roman" w:eastAsia="宋体"/>
                <w:b w:val="0"/>
                <w:sz w:val="18"/>
              </w:rPr>
              <w:t>0.30</w:t>
            </w:r>
          </w:p>
        </w:tc>
        <w:tc>
          <w:tcPr>
            <w:tcW w:type="dxa" w:w="1474"/>
          </w:tcPr>
          <w:p>
            <w:pPr>
              <w:spacing w:before="40" w:after="40" w:line="240" w:lineRule="auto"/>
              <w:jc w:val="center"/>
            </w:pPr>
            <w:r/>
            <w:r>
              <w:rPr>
                <w:rFonts w:ascii="Times New Roman" w:hAnsi="Times New Roman" w:eastAsia="宋体"/>
                <w:b w:val="0"/>
                <w:sz w:val="18"/>
              </w:rPr>
              <w:t>0.3</w:t>
            </w:r>
          </w:p>
        </w:tc>
        <w:tc>
          <w:tcPr>
            <w:tcW w:type="dxa" w:w="1134"/>
          </w:tcPr>
          <w:p>
            <w:pPr>
              <w:spacing w:before="40" w:after="40" w:line="240" w:lineRule="auto"/>
              <w:jc w:val="center"/>
            </w:pPr>
            <w:r/>
            <w:r>
              <w:rPr>
                <w:rFonts w:ascii="Times New Roman" w:hAnsi="Times New Roman" w:eastAsia="宋体"/>
                <w:b w:val="0"/>
                <w:sz w:val="18"/>
              </w:rPr>
              <w:t>97.0</w:t>
            </w:r>
          </w:p>
        </w:tc>
        <w:tc>
          <w:tcPr>
            <w:tcW w:type="dxa" w:w="1134"/>
          </w:tcPr>
          <w:p>
            <w:pPr>
              <w:spacing w:before="40" w:after="40" w:line="240" w:lineRule="auto"/>
              <w:jc w:val="center"/>
            </w:pPr>
            <w:r/>
            <w:r>
              <w:rPr>
                <w:rFonts w:ascii="Times New Roman" w:hAnsi="Times New Roman" w:eastAsia="宋体"/>
                <w:b w:val="0"/>
                <w:sz w:val="18"/>
              </w:rPr>
              <w:t>76.0</w:t>
            </w:r>
          </w:p>
        </w:tc>
        <w:tc>
          <w:tcPr>
            <w:tcW w:type="dxa" w:w="1134"/>
          </w:tcPr>
          <w:p>
            <w:pPr>
              <w:spacing w:before="40" w:after="40" w:line="240" w:lineRule="auto"/>
              <w:jc w:val="center"/>
            </w:pPr>
            <w:r/>
            <w:r>
              <w:rPr>
                <w:rFonts w:ascii="Times New Roman" w:hAnsi="Times New Roman" w:eastAsia="宋体"/>
                <w:b w:val="0"/>
                <w:sz w:val="18"/>
              </w:rPr>
              <w:t>61.3</w:t>
            </w:r>
          </w:p>
        </w:tc>
        <w:tc>
          <w:tcPr>
            <w:tcW w:type="dxa" w:w="1134"/>
          </w:tcPr>
          <w:p>
            <w:pPr>
              <w:spacing w:before="40" w:after="40" w:line="240" w:lineRule="auto"/>
              <w:jc w:val="center"/>
            </w:pPr>
            <w:r/>
            <w:r>
              <w:rPr>
                <w:rFonts w:ascii="Times New Roman" w:hAnsi="Times New Roman" w:eastAsia="宋体"/>
                <w:b w:val="0"/>
                <w:sz w:val="18"/>
              </w:rPr>
              <w:t>51.0</w:t>
            </w:r>
          </w:p>
        </w:tc>
        <w:tc>
          <w:tcPr>
            <w:tcW w:type="dxa" w:w="1361"/>
          </w:tcPr>
          <w:p>
            <w:pPr>
              <w:spacing w:before="40" w:after="40" w:line="240" w:lineRule="auto"/>
              <w:jc w:val="center"/>
            </w:pPr>
            <w:r/>
            <w:r>
              <w:rPr>
                <w:rFonts w:ascii="Times New Roman" w:hAnsi="Times New Roman" w:eastAsia="宋体"/>
                <w:b w:val="0"/>
                <w:sz w:val="18"/>
              </w:rPr>
              <w:t>49.0</w:t>
            </w:r>
          </w:p>
        </w:tc>
      </w:tr>
      <w:tr>
        <w:tc>
          <w:tcPr>
            <w:tcW w:type="dxa" w:w="1361"/>
          </w:tcPr>
          <w:p>
            <w:pPr>
              <w:spacing w:before="40" w:after="40" w:line="240" w:lineRule="auto"/>
              <w:jc w:val="left"/>
            </w:pPr>
            <w:r/>
            <w:r>
              <w:rPr>
                <w:rFonts w:ascii="Times New Roman" w:hAnsi="Times New Roman" w:eastAsia="宋体"/>
                <w:b w:val="0"/>
                <w:sz w:val="18"/>
              </w:rPr>
              <w:t>0.30</w:t>
            </w:r>
          </w:p>
        </w:tc>
        <w:tc>
          <w:tcPr>
            <w:tcW w:type="dxa" w:w="1474"/>
          </w:tcPr>
          <w:p>
            <w:pPr>
              <w:spacing w:before="40" w:after="40" w:line="240" w:lineRule="auto"/>
              <w:jc w:val="center"/>
            </w:pPr>
            <w:r/>
            <w:r>
              <w:rPr>
                <w:rFonts w:ascii="Times New Roman" w:hAnsi="Times New Roman" w:eastAsia="宋体"/>
                <w:b w:val="0"/>
                <w:sz w:val="18"/>
              </w:rPr>
              <w:t>0.6</w:t>
            </w:r>
          </w:p>
        </w:tc>
        <w:tc>
          <w:tcPr>
            <w:tcW w:type="dxa" w:w="1134"/>
          </w:tcPr>
          <w:p>
            <w:pPr>
              <w:spacing w:before="40" w:after="40" w:line="240" w:lineRule="auto"/>
              <w:jc w:val="center"/>
            </w:pPr>
            <w:r/>
            <w:r>
              <w:rPr>
                <w:rFonts w:ascii="Times New Roman" w:hAnsi="Times New Roman" w:eastAsia="宋体"/>
                <w:b w:val="0"/>
                <w:sz w:val="18"/>
              </w:rPr>
              <w:t>94.0</w:t>
            </w:r>
          </w:p>
        </w:tc>
        <w:tc>
          <w:tcPr>
            <w:tcW w:type="dxa" w:w="1134"/>
          </w:tcPr>
          <w:p>
            <w:pPr>
              <w:spacing w:before="40" w:after="40" w:line="240" w:lineRule="auto"/>
              <w:jc w:val="center"/>
            </w:pPr>
            <w:r/>
            <w:r>
              <w:rPr>
                <w:rFonts w:ascii="Times New Roman" w:hAnsi="Times New Roman" w:eastAsia="宋体"/>
                <w:b w:val="0"/>
                <w:sz w:val="18"/>
              </w:rPr>
              <w:t>82.0</w:t>
            </w:r>
          </w:p>
        </w:tc>
        <w:tc>
          <w:tcPr>
            <w:tcW w:type="dxa" w:w="1134"/>
          </w:tcPr>
          <w:p>
            <w:pPr>
              <w:spacing w:before="40" w:after="40" w:line="240" w:lineRule="auto"/>
              <w:jc w:val="center"/>
            </w:pPr>
            <w:r/>
            <w:r>
              <w:rPr>
                <w:rFonts w:ascii="Times New Roman" w:hAnsi="Times New Roman" w:eastAsia="宋体"/>
                <w:b w:val="0"/>
                <w:sz w:val="18"/>
              </w:rPr>
              <w:t>73.6</w:t>
            </w:r>
          </w:p>
        </w:tc>
        <w:tc>
          <w:tcPr>
            <w:tcW w:type="dxa" w:w="1134"/>
          </w:tcPr>
          <w:p>
            <w:pPr>
              <w:spacing w:before="40" w:after="40" w:line="240" w:lineRule="auto"/>
              <w:jc w:val="center"/>
            </w:pPr>
            <w:r/>
            <w:r>
              <w:rPr>
                <w:rFonts w:ascii="Times New Roman" w:hAnsi="Times New Roman" w:eastAsia="宋体"/>
                <w:b w:val="0"/>
                <w:sz w:val="18"/>
              </w:rPr>
              <w:t>67.7</w:t>
            </w:r>
          </w:p>
        </w:tc>
        <w:tc>
          <w:tcPr>
            <w:tcW w:type="dxa" w:w="1361"/>
          </w:tcPr>
          <w:p>
            <w:pPr>
              <w:spacing w:before="40" w:after="40" w:line="240" w:lineRule="auto"/>
              <w:jc w:val="center"/>
            </w:pPr>
            <w:r/>
            <w:r>
              <w:rPr>
                <w:rFonts w:ascii="Times New Roman" w:hAnsi="Times New Roman" w:eastAsia="宋体"/>
                <w:b w:val="0"/>
                <w:sz w:val="18"/>
              </w:rPr>
              <w:t>32.3</w:t>
            </w:r>
          </w:p>
        </w:tc>
      </w:tr>
      <w:tr>
        <w:tc>
          <w:tcPr>
            <w:tcW w:type="dxa" w:w="1361"/>
          </w:tcPr>
          <w:p>
            <w:pPr>
              <w:spacing w:before="40" w:after="40" w:line="240" w:lineRule="auto"/>
              <w:jc w:val="left"/>
            </w:pPr>
            <w:r/>
            <w:r>
              <w:rPr>
                <w:rFonts w:ascii="Times New Roman" w:hAnsi="Times New Roman" w:eastAsia="宋体"/>
                <w:b w:val="0"/>
                <w:sz w:val="18"/>
              </w:rPr>
              <w:t>0.40</w:t>
            </w:r>
          </w:p>
        </w:tc>
        <w:tc>
          <w:tcPr>
            <w:tcW w:type="dxa" w:w="1474"/>
          </w:tcPr>
          <w:p>
            <w:pPr>
              <w:spacing w:before="40" w:after="40" w:line="240" w:lineRule="auto"/>
              <w:jc w:val="center"/>
            </w:pPr>
            <w:r/>
            <w:r>
              <w:rPr>
                <w:rFonts w:ascii="Times New Roman" w:hAnsi="Times New Roman" w:eastAsia="宋体"/>
                <w:b w:val="0"/>
                <w:sz w:val="18"/>
              </w:rPr>
              <w:t>0.0</w:t>
            </w:r>
          </w:p>
        </w:tc>
        <w:tc>
          <w:tcPr>
            <w:tcW w:type="dxa" w:w="1134"/>
          </w:tcPr>
          <w:p>
            <w:pPr>
              <w:spacing w:before="40" w:after="40" w:line="240" w:lineRule="auto"/>
              <w:jc w:val="center"/>
            </w:pPr>
            <w:r/>
            <w:r>
              <w:rPr>
                <w:rFonts w:ascii="Times New Roman" w:hAnsi="Times New Roman" w:eastAsia="宋体"/>
                <w:b w:val="0"/>
                <w:sz w:val="18"/>
              </w:rPr>
              <w:t>100.0</w:t>
            </w:r>
          </w:p>
        </w:tc>
        <w:tc>
          <w:tcPr>
            <w:tcW w:type="dxa" w:w="1134"/>
          </w:tcPr>
          <w:p>
            <w:pPr>
              <w:spacing w:before="40" w:after="40" w:line="240" w:lineRule="auto"/>
              <w:jc w:val="center"/>
            </w:pPr>
            <w:r/>
            <w:r>
              <w:rPr>
                <w:rFonts w:ascii="Times New Roman" w:hAnsi="Times New Roman" w:eastAsia="宋体"/>
                <w:b w:val="0"/>
                <w:sz w:val="18"/>
              </w:rPr>
              <w:t>60.0</w:t>
            </w:r>
          </w:p>
        </w:tc>
        <w:tc>
          <w:tcPr>
            <w:tcW w:type="dxa" w:w="1134"/>
          </w:tcPr>
          <w:p>
            <w:pPr>
              <w:spacing w:before="40" w:after="40" w:line="240" w:lineRule="auto"/>
              <w:jc w:val="center"/>
            </w:pPr>
            <w:r/>
            <w:r>
              <w:rPr>
                <w:rFonts w:ascii="Times New Roman" w:hAnsi="Times New Roman" w:eastAsia="宋体"/>
                <w:b w:val="0"/>
                <w:sz w:val="18"/>
              </w:rPr>
              <w:t>36.0</w:t>
            </w:r>
          </w:p>
        </w:tc>
        <w:tc>
          <w:tcPr>
            <w:tcW w:type="dxa" w:w="1134"/>
          </w:tcPr>
          <w:p>
            <w:pPr>
              <w:spacing w:before="40" w:after="40" w:line="240" w:lineRule="auto"/>
              <w:jc w:val="center"/>
            </w:pPr>
            <w:r/>
            <w:r>
              <w:rPr>
                <w:rFonts w:ascii="Times New Roman" w:hAnsi="Times New Roman" w:eastAsia="宋体"/>
                <w:b w:val="0"/>
                <w:sz w:val="18"/>
              </w:rPr>
              <w:t>21.6</w:t>
            </w:r>
          </w:p>
        </w:tc>
        <w:tc>
          <w:tcPr>
            <w:tcW w:type="dxa" w:w="1361"/>
          </w:tcPr>
          <w:p>
            <w:pPr>
              <w:spacing w:before="40" w:after="40" w:line="240" w:lineRule="auto"/>
              <w:jc w:val="center"/>
            </w:pPr>
            <w:r/>
            <w:r>
              <w:rPr>
                <w:rFonts w:ascii="Times New Roman" w:hAnsi="Times New Roman" w:eastAsia="宋体"/>
                <w:b w:val="0"/>
                <w:sz w:val="18"/>
              </w:rPr>
              <w:t>78.4</w:t>
            </w:r>
          </w:p>
        </w:tc>
      </w:tr>
      <w:tr>
        <w:tc>
          <w:tcPr>
            <w:tcW w:type="dxa" w:w="1361"/>
          </w:tcPr>
          <w:p>
            <w:pPr>
              <w:spacing w:before="40" w:after="40" w:line="240" w:lineRule="auto"/>
              <w:jc w:val="left"/>
            </w:pPr>
            <w:r/>
            <w:r>
              <w:rPr>
                <w:rFonts w:ascii="Times New Roman" w:hAnsi="Times New Roman" w:eastAsia="宋体"/>
                <w:b w:val="0"/>
                <w:sz w:val="18"/>
              </w:rPr>
              <w:t>0.40</w:t>
            </w:r>
          </w:p>
        </w:tc>
        <w:tc>
          <w:tcPr>
            <w:tcW w:type="dxa" w:w="1474"/>
          </w:tcPr>
          <w:p>
            <w:pPr>
              <w:spacing w:before="40" w:after="40" w:line="240" w:lineRule="auto"/>
              <w:jc w:val="center"/>
            </w:pPr>
            <w:r/>
            <w:r>
              <w:rPr>
                <w:rFonts w:ascii="Times New Roman" w:hAnsi="Times New Roman" w:eastAsia="宋体"/>
                <w:b w:val="0"/>
                <w:sz w:val="18"/>
              </w:rPr>
              <w:t>0.3</w:t>
            </w:r>
          </w:p>
        </w:tc>
        <w:tc>
          <w:tcPr>
            <w:tcW w:type="dxa" w:w="1134"/>
          </w:tcPr>
          <w:p>
            <w:pPr>
              <w:spacing w:before="40" w:after="40" w:line="240" w:lineRule="auto"/>
              <w:jc w:val="center"/>
            </w:pPr>
            <w:r/>
            <w:r>
              <w:rPr>
                <w:rFonts w:ascii="Times New Roman" w:hAnsi="Times New Roman" w:eastAsia="宋体"/>
                <w:b w:val="0"/>
                <w:sz w:val="18"/>
              </w:rPr>
              <w:t>97.0</w:t>
            </w:r>
          </w:p>
        </w:tc>
        <w:tc>
          <w:tcPr>
            <w:tcW w:type="dxa" w:w="1134"/>
          </w:tcPr>
          <w:p>
            <w:pPr>
              <w:spacing w:before="40" w:after="40" w:line="240" w:lineRule="auto"/>
              <w:jc w:val="center"/>
            </w:pPr>
            <w:r/>
            <w:r>
              <w:rPr>
                <w:rFonts w:ascii="Times New Roman" w:hAnsi="Times New Roman" w:eastAsia="宋体"/>
                <w:b w:val="0"/>
                <w:sz w:val="18"/>
              </w:rPr>
              <w:t>69.0</w:t>
            </w:r>
          </w:p>
        </w:tc>
        <w:tc>
          <w:tcPr>
            <w:tcW w:type="dxa" w:w="1134"/>
          </w:tcPr>
          <w:p>
            <w:pPr>
              <w:spacing w:before="40" w:after="40" w:line="240" w:lineRule="auto"/>
              <w:jc w:val="center"/>
            </w:pPr>
            <w:r/>
            <w:r>
              <w:rPr>
                <w:rFonts w:ascii="Times New Roman" w:hAnsi="Times New Roman" w:eastAsia="宋体"/>
                <w:b w:val="0"/>
                <w:sz w:val="18"/>
              </w:rPr>
              <w:t>52.2</w:t>
            </w:r>
          </w:p>
        </w:tc>
        <w:tc>
          <w:tcPr>
            <w:tcW w:type="dxa" w:w="1134"/>
          </w:tcPr>
          <w:p>
            <w:pPr>
              <w:spacing w:before="40" w:after="40" w:line="240" w:lineRule="auto"/>
              <w:jc w:val="center"/>
            </w:pPr>
            <w:r/>
            <w:r>
              <w:rPr>
                <w:rFonts w:ascii="Times New Roman" w:hAnsi="Times New Roman" w:eastAsia="宋体"/>
                <w:b w:val="0"/>
                <w:sz w:val="18"/>
              </w:rPr>
              <w:t>42.1</w:t>
            </w:r>
          </w:p>
        </w:tc>
        <w:tc>
          <w:tcPr>
            <w:tcW w:type="dxa" w:w="1361"/>
          </w:tcPr>
          <w:p>
            <w:pPr>
              <w:spacing w:before="40" w:after="40" w:line="240" w:lineRule="auto"/>
              <w:jc w:val="center"/>
            </w:pPr>
            <w:r/>
            <w:r>
              <w:rPr>
                <w:rFonts w:ascii="Times New Roman" w:hAnsi="Times New Roman" w:eastAsia="宋体"/>
                <w:b w:val="0"/>
                <w:sz w:val="18"/>
              </w:rPr>
              <w:t>57.9</w:t>
            </w:r>
          </w:p>
        </w:tc>
      </w:tr>
      <w:tr>
        <w:tc>
          <w:tcPr>
            <w:tcW w:type="dxa" w:w="1361"/>
            <w:tcBorders>
              <w:bottom w:val="single" w:sz="12" w:space="0" w:color="000000"/>
            </w:tcBorders>
          </w:tcPr>
          <w:p>
            <w:pPr>
              <w:spacing w:before="40" w:after="40" w:line="240" w:lineRule="auto"/>
              <w:jc w:val="left"/>
            </w:pPr>
            <w:r/>
            <w:r>
              <w:rPr>
                <w:rFonts w:ascii="Times New Roman" w:hAnsi="Times New Roman" w:eastAsia="宋体"/>
                <w:b w:val="0"/>
                <w:sz w:val="18"/>
              </w:rPr>
              <w:t>0.40</w:t>
            </w:r>
          </w:p>
        </w:tc>
        <w:tc>
          <w:tcPr>
            <w:tcW w:type="dxa" w:w="1474"/>
            <w:tcBorders>
              <w:bottom w:val="single" w:sz="12" w:space="0" w:color="000000"/>
            </w:tcBorders>
          </w:tcPr>
          <w:p>
            <w:pPr>
              <w:spacing w:before="40" w:after="40" w:line="240" w:lineRule="auto"/>
              <w:jc w:val="center"/>
            </w:pPr>
            <w:r/>
            <w:r>
              <w:rPr>
                <w:rFonts w:ascii="Times New Roman" w:hAnsi="Times New Roman" w:eastAsia="宋体"/>
                <w:b w:val="0"/>
                <w:sz w:val="18"/>
              </w:rPr>
              <w:t>0.6</w:t>
            </w:r>
          </w:p>
        </w:tc>
        <w:tc>
          <w:tcPr>
            <w:tcW w:type="dxa" w:w="1134"/>
            <w:tcBorders>
              <w:bottom w:val="single" w:sz="12" w:space="0" w:color="000000"/>
            </w:tcBorders>
          </w:tcPr>
          <w:p>
            <w:pPr>
              <w:spacing w:before="40" w:after="40" w:line="240" w:lineRule="auto"/>
              <w:jc w:val="center"/>
            </w:pPr>
            <w:r/>
            <w:r>
              <w:rPr>
                <w:rFonts w:ascii="Times New Roman" w:hAnsi="Times New Roman" w:eastAsia="宋体"/>
                <w:b w:val="0"/>
                <w:sz w:val="18"/>
              </w:rPr>
              <w:t>94.0</w:t>
            </w:r>
          </w:p>
        </w:tc>
        <w:tc>
          <w:tcPr>
            <w:tcW w:type="dxa" w:w="1134"/>
            <w:tcBorders>
              <w:bottom w:val="single" w:sz="12" w:space="0" w:color="000000"/>
            </w:tcBorders>
          </w:tcPr>
          <w:p>
            <w:pPr>
              <w:spacing w:before="40" w:after="40" w:line="240" w:lineRule="auto"/>
              <w:jc w:val="center"/>
            </w:pPr>
            <w:r/>
            <w:r>
              <w:rPr>
                <w:rFonts w:ascii="Times New Roman" w:hAnsi="Times New Roman" w:eastAsia="宋体"/>
                <w:b w:val="0"/>
                <w:sz w:val="18"/>
              </w:rPr>
              <w:t>78.0</w:t>
            </w:r>
          </w:p>
        </w:tc>
        <w:tc>
          <w:tcPr>
            <w:tcW w:type="dxa" w:w="1134"/>
            <w:tcBorders>
              <w:bottom w:val="single" w:sz="12" w:space="0" w:color="000000"/>
            </w:tcBorders>
          </w:tcPr>
          <w:p>
            <w:pPr>
              <w:spacing w:before="40" w:after="40" w:line="240" w:lineRule="auto"/>
              <w:jc w:val="center"/>
            </w:pPr>
            <w:r/>
            <w:r>
              <w:rPr>
                <w:rFonts w:ascii="Times New Roman" w:hAnsi="Times New Roman" w:eastAsia="宋体"/>
                <w:b w:val="0"/>
                <w:sz w:val="18"/>
              </w:rPr>
              <w:t>68.4</w:t>
            </w:r>
          </w:p>
        </w:tc>
        <w:tc>
          <w:tcPr>
            <w:tcW w:type="dxa" w:w="1134"/>
            <w:tcBorders>
              <w:bottom w:val="single" w:sz="12" w:space="0" w:color="000000"/>
            </w:tcBorders>
          </w:tcPr>
          <w:p>
            <w:pPr>
              <w:spacing w:before="40" w:after="40" w:line="240" w:lineRule="auto"/>
              <w:jc w:val="center"/>
            </w:pPr>
            <w:r/>
            <w:r>
              <w:rPr>
                <w:rFonts w:ascii="Times New Roman" w:hAnsi="Times New Roman" w:eastAsia="宋体"/>
                <w:b w:val="0"/>
                <w:sz w:val="18"/>
              </w:rPr>
              <w:t>62.6</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8"/>
              </w:rPr>
              <w:t>37.4</w:t>
            </w:r>
          </w:p>
        </w:tc>
      </w:tr>
    </w:tbl>
    <w:p>
      <w:pPr>
        <w:spacing w:before="40" w:after="160" w:line="240" w:lineRule="auto"/>
        <w:ind w:firstLine="0"/>
        <w:jc w:val="left"/>
      </w:pPr>
      <w:r>
        <w:rPr>
          <w:rFonts w:ascii="Times New Roman" w:hAnsi="Times New Roman" w:eastAsia="宋体"/>
          <w:b w:val="0"/>
          <w:sz w:val="18"/>
        </w:rPr>
        <w:t>注：国家局层级效力标准化为 100%。末梢损失 = 100% − 县级局效力。直达通道保真度 ρ 取 0.90。</w:t>
      </w:r>
    </w:p>
    <w:p>
      <w:pPr>
        <w:keepNext/>
        <w:spacing w:before="120" w:after="0" w:line="240" w:lineRule="auto"/>
        <w:jc w:val="center"/>
      </w:pPr>
      <w:r>
        <w:drawing>
          <wp:inline xmlns:a="http://schemas.openxmlformats.org/drawingml/2006/main" xmlns:pic="http://schemas.openxmlformats.org/drawingml/2006/picture">
            <wp:extent cx="5400000" cy="2617247"/>
            <wp:docPr id="4" name="Picture 4"/>
            <wp:cNvGraphicFramePr>
              <a:graphicFrameLocks noChangeAspect="1"/>
            </wp:cNvGraphicFramePr>
            <a:graphic>
              <a:graphicData uri="http://schemas.openxmlformats.org/drawingml/2006/picture">
                <pic:pic>
                  <pic:nvPicPr>
                    <pic:cNvPr id="0" name="p2_d1_decay.png"/>
                    <pic:cNvPicPr/>
                  </pic:nvPicPr>
                  <pic:blipFill>
                    <a:blip r:embed="rId12"/>
                    <a:stretch>
                      <a:fillRect/>
                    </a:stretch>
                  </pic:blipFill>
                  <pic:spPr>
                    <a:xfrm>
                      <a:off x="0" y="0"/>
                      <a:ext cx="5400000" cy="2617247"/>
                    </a:xfrm>
                    <a:prstGeom prst="rect"/>
                  </pic:spPr>
                </pic:pic>
              </a:graphicData>
            </a:graphic>
          </wp:inline>
        </w:drawing>
      </w:r>
    </w:p>
    <w:p>
      <w:pPr>
        <w:spacing w:before="40" w:after="160" w:line="240" w:lineRule="auto"/>
        <w:jc w:val="center"/>
      </w:pPr>
      <w:r>
        <w:rPr>
          <w:rFonts w:ascii="Times New Roman" w:hAnsi="Times New Roman" w:eastAsia="黑体"/>
          <w:b w:val="0"/>
          <w:sz w:val="21"/>
        </w:rPr>
        <w:t>图 4  监督效力沿层级的衰减及直达通道的修正</w:t>
      </w:r>
    </w:p>
    <w:p>
      <w:pPr>
        <w:spacing w:before="0" w:after="0" w:line="360" w:lineRule="auto"/>
        <w:ind w:firstLine="480"/>
        <w:jc w:val="both"/>
      </w:pPr>
      <w:r>
        <w:rPr>
          <w:rFonts w:ascii="Times New Roman" w:hAnsi="Times New Roman" w:eastAsia="宋体"/>
          <w:b w:val="0"/>
          <w:sz w:val="24"/>
        </w:rPr>
        <w:t>表 1 与图 4 给出三点结论。第一，</w:t>
      </w:r>
      <w:r>
        <w:rPr>
          <w:rFonts w:ascii="Times New Roman" w:hAnsi="Times New Roman" w:eastAsia="宋体"/>
          <w:b/>
          <w:sz w:val="24"/>
        </w:rPr>
        <w:t>衰减是累积性的</w:t>
      </w:r>
      <w:r>
        <w:rPr>
          <w:rFonts w:ascii="Times New Roman" w:hAnsi="Times New Roman" w:eastAsia="宋体"/>
          <w:b w:val="0"/>
          <w:sz w:val="24"/>
        </w:rPr>
        <w:t>：在 d=0.30 的中等衰减情形下，县级局的监督效力仅为国家局的 34.3%，末梢损失达 65.7%；若 d=0.40，县级效力进一步降至 21.6%。这解释了“上热中温下冷”的格局为何难以通过增加督查频次来改变——问题出在传导结构而非努力程度。第二，</w:t>
      </w:r>
      <w:r>
        <w:rPr>
          <w:rFonts w:ascii="Times New Roman" w:hAnsi="Times New Roman" w:eastAsia="宋体"/>
          <w:b/>
          <w:sz w:val="24"/>
        </w:rPr>
        <w:t>直达通道的边际效果显著</w:t>
      </w:r>
      <w:r>
        <w:rPr>
          <w:rFonts w:ascii="Times New Roman" w:hAnsi="Times New Roman" w:eastAsia="宋体"/>
          <w:b w:val="0"/>
          <w:sz w:val="24"/>
        </w:rPr>
        <w:t>：在 d=0.30 时，把直达通道覆盖比例由 0 提高到 0.6，县级效力由 34.3% 回升至 67.7%，提升 33.4 个百分点。第三，</w:t>
      </w:r>
      <w:r>
        <w:rPr>
          <w:rFonts w:ascii="Times New Roman" w:hAnsi="Times New Roman" w:eastAsia="宋体"/>
          <w:b/>
          <w:sz w:val="24"/>
        </w:rPr>
        <w:t>衰减越严重，穿透越值得投入</w:t>
      </w:r>
      <w:r>
        <w:rPr>
          <w:rFonts w:ascii="Times New Roman" w:hAnsi="Times New Roman" w:eastAsia="宋体"/>
          <w:b w:val="0"/>
          <w:sz w:val="24"/>
        </w:rPr>
        <w:t>：d=0.20、0.30、0.40 三种情形下，同样把 a 提至 0.6，县级效力的提升幅度分别为 23.3、33.4、41.0 个百分点。这为“在哪些业务条线优先建设直达通道”提供了判据——应优先选择层级传导链条最长、信息损耗最严重的领域。</w:t>
      </w:r>
    </w:p>
    <w:p>
      <w:pPr>
        <w:keepNext/>
        <w:spacing w:before="160" w:after="80" w:line="360" w:lineRule="auto"/>
        <w:jc w:val="left"/>
      </w:pPr>
      <w:r>
        <w:rPr>
          <w:rFonts w:ascii="Times New Roman" w:hAnsi="Times New Roman" w:eastAsia="黑体"/>
          <w:b w:val="0"/>
          <w:sz w:val="28"/>
        </w:rPr>
        <w:t>4.2  监督成本与监督过载：被忽略的约束条件</w:t>
      </w:r>
    </w:p>
    <w:p>
      <w:pPr>
        <w:spacing w:before="0" w:after="0" w:line="360" w:lineRule="auto"/>
        <w:ind w:firstLine="480"/>
        <w:jc w:val="both"/>
      </w:pPr>
      <w:r>
        <w:rPr>
          <w:rFonts w:ascii="Times New Roman" w:hAnsi="Times New Roman" w:eastAsia="宋体"/>
          <w:b w:val="0"/>
          <w:sz w:val="24"/>
        </w:rPr>
        <w:t>既有研究普遍隐含“监督越全面越好”的假设，但四个乃至五个维度的穿透叠加，意味着基层需要新增大量填报、留痕与迎检工作量。管理学称之为控制悖论：过度监督挤占业务时间、诱发留痕主义与形式主义，最终反而降低组织绩效。若不把这一成本显性化，方案在执行中必然遭遇反弹。</w:t>
      </w:r>
    </w:p>
    <w:p>
      <w:pPr>
        <w:spacing w:before="0" w:after="0" w:line="360" w:lineRule="auto"/>
        <w:ind w:firstLine="480"/>
        <w:jc w:val="both"/>
      </w:pPr>
      <w:r>
        <w:rPr>
          <w:rFonts w:ascii="Times New Roman" w:hAnsi="Times New Roman" w:eastAsia="宋体"/>
          <w:b w:val="0"/>
          <w:sz w:val="24"/>
        </w:rPr>
        <w:t>为此，本文构建含监督过载项的总成本模型：</w:t>
      </w:r>
    </w:p>
    <w:p>
      <w:pPr>
        <w:spacing w:before="0" w:after="0" w:line="360" w:lineRule="auto"/>
        <w:ind w:firstLine="0"/>
        <w:jc w:val="center"/>
      </w:pPr>
      <w:r>
        <w:rPr>
          <w:rFonts w:ascii="Times New Roman" w:hAnsi="Times New Roman" w:eastAsia="宋体"/>
          <w:b w:val="0"/>
          <w:sz w:val="24"/>
        </w:rPr>
        <w:t>TC(s) = c·s + b·s² + L·R₀·exp(−β·s)</w:t>
      </w:r>
    </w:p>
    <w:p>
      <w:pPr>
        <w:spacing w:before="0" w:after="0" w:line="360" w:lineRule="auto"/>
        <w:ind w:firstLine="480"/>
        <w:jc w:val="both"/>
      </w:pPr>
      <w:r>
        <w:rPr>
          <w:rFonts w:ascii="Times New Roman" w:hAnsi="Times New Roman" w:eastAsia="宋体"/>
          <w:b w:val="0"/>
          <w:sz w:val="24"/>
        </w:rPr>
        <w:t>式中 s 为监督强度，c·s 为直接监督成本（人力与时间投入，随强度线性增长），b·s² 为基层负担导致的业务效能损失（随强度加速增长，反映边际负担递增），L·R₀·exp(−β·s) 为预期风险损失（随监督强度指数衰减）。取基准参数 c=1.0、b=0.35、L=60、R₀=1.0、β=0.55，数值求解结果如表 2 与图 5 所示。</w:t>
      </w:r>
    </w:p>
    <w:p>
      <w:pPr>
        <w:keepNext/>
        <w:spacing w:before="160" w:after="40" w:line="240" w:lineRule="auto"/>
        <w:jc w:val="center"/>
      </w:pPr>
      <w:r>
        <w:rPr>
          <w:rFonts w:ascii="Times New Roman" w:hAnsi="Times New Roman" w:eastAsia="黑体"/>
          <w:b w:val="0"/>
          <w:sz w:val="21"/>
        </w:rPr>
        <w:t>表 2  含监督过载项的最优监督强度及敏感性分析</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3175"/>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情景</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最优监督强度 s*</w:t>
            </w:r>
          </w:p>
        </w:tc>
        <w:tc>
          <w:tcPr>
            <w:tcW w:type="dxa" w:w="1814"/>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最优总成本 TC*</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相对基准变化</w:t>
            </w:r>
          </w:p>
        </w:tc>
      </w:tr>
      <w:tr>
        <w:tc>
          <w:tcPr>
            <w:tcW w:type="dxa" w:w="3175"/>
          </w:tcPr>
          <w:p>
            <w:pPr>
              <w:spacing w:before="40" w:after="40" w:line="240" w:lineRule="auto"/>
              <w:jc w:val="left"/>
            </w:pPr>
            <w:r/>
            <w:r>
              <w:rPr>
                <w:rFonts w:ascii="Times New Roman" w:hAnsi="Times New Roman" w:eastAsia="宋体"/>
                <w:b w:val="0"/>
                <w:sz w:val="19"/>
              </w:rPr>
              <w:t>基准情景</w:t>
            </w:r>
          </w:p>
        </w:tc>
        <w:tc>
          <w:tcPr>
            <w:tcW w:type="dxa" w:w="1814"/>
          </w:tcPr>
          <w:p>
            <w:pPr>
              <w:spacing w:before="40" w:after="40" w:line="240" w:lineRule="auto"/>
              <w:jc w:val="center"/>
            </w:pPr>
            <w:r/>
            <w:r>
              <w:rPr>
                <w:rFonts w:ascii="Times New Roman" w:hAnsi="Times New Roman" w:eastAsia="宋体"/>
                <w:b w:val="0"/>
                <w:sz w:val="19"/>
              </w:rPr>
              <w:t>3.95</w:t>
            </w:r>
          </w:p>
        </w:tc>
        <w:tc>
          <w:tcPr>
            <w:tcW w:type="dxa" w:w="1814"/>
          </w:tcPr>
          <w:p>
            <w:pPr>
              <w:spacing w:before="40" w:after="40" w:line="240" w:lineRule="auto"/>
              <w:jc w:val="center"/>
            </w:pPr>
            <w:r/>
            <w:r>
              <w:rPr>
                <w:rFonts w:ascii="Times New Roman" w:hAnsi="Times New Roman" w:eastAsia="宋体"/>
                <w:b w:val="0"/>
                <w:sz w:val="19"/>
              </w:rPr>
              <w:t>16.24</w:t>
            </w:r>
          </w:p>
        </w:tc>
        <w:tc>
          <w:tcPr>
            <w:tcW w:type="dxa" w:w="2268"/>
          </w:tcPr>
          <w:p>
            <w:pPr>
              <w:spacing w:before="40" w:after="40" w:line="240" w:lineRule="auto"/>
              <w:jc w:val="center"/>
            </w:pPr>
            <w:r/>
            <w:r>
              <w:rPr>
                <w:rFonts w:ascii="Times New Roman" w:hAnsi="Times New Roman" w:eastAsia="宋体"/>
                <w:b w:val="0"/>
                <w:sz w:val="19"/>
              </w:rPr>
              <w:t>—</w:t>
            </w:r>
          </w:p>
        </w:tc>
      </w:tr>
      <w:tr>
        <w:tc>
          <w:tcPr>
            <w:tcW w:type="dxa" w:w="3175"/>
          </w:tcPr>
          <w:p>
            <w:pPr>
              <w:spacing w:before="40" w:after="40" w:line="240" w:lineRule="auto"/>
              <w:jc w:val="left"/>
            </w:pPr>
            <w:r/>
            <w:r>
              <w:rPr>
                <w:rFonts w:ascii="Times New Roman" w:hAnsi="Times New Roman" w:eastAsia="宋体"/>
                <w:b w:val="0"/>
                <w:sz w:val="19"/>
              </w:rPr>
              <w:t>忽略监督过载项（b=0）</w:t>
            </w:r>
          </w:p>
        </w:tc>
        <w:tc>
          <w:tcPr>
            <w:tcW w:type="dxa" w:w="1814"/>
          </w:tcPr>
          <w:p>
            <w:pPr>
              <w:spacing w:before="40" w:after="40" w:line="240" w:lineRule="auto"/>
              <w:jc w:val="center"/>
            </w:pPr>
            <w:r/>
            <w:r>
              <w:rPr>
                <w:rFonts w:ascii="Times New Roman" w:hAnsi="Times New Roman" w:eastAsia="宋体"/>
                <w:b w:val="0"/>
                <w:sz w:val="19"/>
              </w:rPr>
              <w:t>6.36</w:t>
            </w:r>
          </w:p>
        </w:tc>
        <w:tc>
          <w:tcPr>
            <w:tcW w:type="dxa" w:w="1814"/>
          </w:tcPr>
          <w:p>
            <w:pPr>
              <w:spacing w:before="40" w:after="40" w:line="240" w:lineRule="auto"/>
              <w:jc w:val="center"/>
            </w:pPr>
            <w:r/>
            <w:r>
              <w:rPr>
                <w:rFonts w:ascii="Times New Roman" w:hAnsi="Times New Roman" w:eastAsia="宋体"/>
                <w:b w:val="0"/>
                <w:sz w:val="19"/>
              </w:rPr>
              <w:t>—</w:t>
            </w:r>
          </w:p>
        </w:tc>
        <w:tc>
          <w:tcPr>
            <w:tcW w:type="dxa" w:w="2268"/>
          </w:tcPr>
          <w:p>
            <w:pPr>
              <w:spacing w:before="40" w:after="40" w:line="240" w:lineRule="auto"/>
              <w:jc w:val="center"/>
            </w:pPr>
            <w:r/>
            <w:r>
              <w:rPr>
                <w:rFonts w:ascii="Times New Roman" w:hAnsi="Times New Roman" w:eastAsia="宋体"/>
                <w:b w:val="0"/>
                <w:sz w:val="19"/>
              </w:rPr>
              <w:t>高估 61.0%</w:t>
            </w:r>
          </w:p>
        </w:tc>
      </w:tr>
      <w:tr>
        <w:tc>
          <w:tcPr>
            <w:tcW w:type="dxa" w:w="3175"/>
          </w:tcPr>
          <w:p>
            <w:pPr>
              <w:spacing w:before="40" w:after="40" w:line="240" w:lineRule="auto"/>
              <w:jc w:val="left"/>
            </w:pPr>
            <w:r/>
            <w:r>
              <w:rPr>
                <w:rFonts w:ascii="Times New Roman" w:hAnsi="Times New Roman" w:eastAsia="宋体"/>
                <w:b w:val="0"/>
                <w:sz w:val="19"/>
              </w:rPr>
              <w:t>过载系数 b=0.15（负担较轻）</w:t>
            </w:r>
          </w:p>
        </w:tc>
        <w:tc>
          <w:tcPr>
            <w:tcW w:type="dxa" w:w="1814"/>
          </w:tcPr>
          <w:p>
            <w:pPr>
              <w:spacing w:before="40" w:after="40" w:line="240" w:lineRule="auto"/>
              <w:jc w:val="center"/>
            </w:pPr>
            <w:r/>
            <w:r>
              <w:rPr>
                <w:rFonts w:ascii="Times New Roman" w:hAnsi="Times New Roman" w:eastAsia="宋体"/>
                <w:b w:val="0"/>
                <w:sz w:val="19"/>
              </w:rPr>
              <w:t>4.75</w:t>
            </w:r>
          </w:p>
        </w:tc>
        <w:tc>
          <w:tcPr>
            <w:tcW w:type="dxa" w:w="1814"/>
          </w:tcPr>
          <w:p>
            <w:pPr>
              <w:spacing w:before="40" w:after="40" w:line="240" w:lineRule="auto"/>
              <w:jc w:val="center"/>
            </w:pPr>
            <w:r/>
            <w:r>
              <w:rPr>
                <w:rFonts w:ascii="Times New Roman" w:hAnsi="Times New Roman" w:eastAsia="宋体"/>
                <w:b w:val="0"/>
                <w:sz w:val="19"/>
              </w:rPr>
              <w:t>12.54</w:t>
            </w:r>
          </w:p>
        </w:tc>
        <w:tc>
          <w:tcPr>
            <w:tcW w:type="dxa" w:w="2268"/>
          </w:tcPr>
          <w:p>
            <w:pPr>
              <w:spacing w:before="40" w:after="40" w:line="240" w:lineRule="auto"/>
              <w:jc w:val="center"/>
            </w:pPr>
            <w:r/>
            <w:r>
              <w:rPr>
                <w:rFonts w:ascii="Times New Roman" w:hAnsi="Times New Roman" w:eastAsia="宋体"/>
                <w:b w:val="0"/>
                <w:sz w:val="19"/>
              </w:rPr>
              <w:t>s* 上升 20.3%</w:t>
            </w:r>
          </w:p>
        </w:tc>
      </w:tr>
      <w:tr>
        <w:tc>
          <w:tcPr>
            <w:tcW w:type="dxa" w:w="3175"/>
          </w:tcPr>
          <w:p>
            <w:pPr>
              <w:spacing w:before="40" w:after="40" w:line="240" w:lineRule="auto"/>
              <w:jc w:val="left"/>
            </w:pPr>
            <w:r/>
            <w:r>
              <w:rPr>
                <w:rFonts w:ascii="Times New Roman" w:hAnsi="Times New Roman" w:eastAsia="宋体"/>
                <w:b w:val="0"/>
                <w:sz w:val="19"/>
              </w:rPr>
              <w:t>过载系数 b=0.70（负担较重）</w:t>
            </w:r>
          </w:p>
        </w:tc>
        <w:tc>
          <w:tcPr>
            <w:tcW w:type="dxa" w:w="1814"/>
          </w:tcPr>
          <w:p>
            <w:pPr>
              <w:spacing w:before="40" w:after="40" w:line="240" w:lineRule="auto"/>
              <w:jc w:val="center"/>
            </w:pPr>
            <w:r/>
            <w:r>
              <w:rPr>
                <w:rFonts w:ascii="Times New Roman" w:hAnsi="Times New Roman" w:eastAsia="宋体"/>
                <w:b w:val="0"/>
                <w:sz w:val="19"/>
              </w:rPr>
              <w:t>3.24</w:t>
            </w:r>
          </w:p>
        </w:tc>
        <w:tc>
          <w:tcPr>
            <w:tcW w:type="dxa" w:w="1814"/>
          </w:tcPr>
          <w:p>
            <w:pPr>
              <w:spacing w:before="40" w:after="40" w:line="240" w:lineRule="auto"/>
              <w:jc w:val="center"/>
            </w:pPr>
            <w:r/>
            <w:r>
              <w:rPr>
                <w:rFonts w:ascii="Times New Roman" w:hAnsi="Times New Roman" w:eastAsia="宋体"/>
                <w:b w:val="0"/>
                <w:sz w:val="19"/>
              </w:rPr>
              <w:t>20.69</w:t>
            </w:r>
          </w:p>
        </w:tc>
        <w:tc>
          <w:tcPr>
            <w:tcW w:type="dxa" w:w="2268"/>
          </w:tcPr>
          <w:p>
            <w:pPr>
              <w:spacing w:before="40" w:after="40" w:line="240" w:lineRule="auto"/>
              <w:jc w:val="center"/>
            </w:pPr>
            <w:r/>
            <w:r>
              <w:rPr>
                <w:rFonts w:ascii="Times New Roman" w:hAnsi="Times New Roman" w:eastAsia="宋体"/>
                <w:b w:val="0"/>
                <w:sz w:val="19"/>
              </w:rPr>
              <w:t>s* 下降 18.0%</w:t>
            </w:r>
          </w:p>
        </w:tc>
      </w:tr>
      <w:tr>
        <w:tc>
          <w:tcPr>
            <w:tcW w:type="dxa" w:w="3175"/>
          </w:tcPr>
          <w:p>
            <w:pPr>
              <w:spacing w:before="40" w:after="40" w:line="240" w:lineRule="auto"/>
              <w:jc w:val="left"/>
            </w:pPr>
            <w:r/>
            <w:r>
              <w:rPr>
                <w:rFonts w:ascii="Times New Roman" w:hAnsi="Times New Roman" w:eastAsia="宋体"/>
                <w:b w:val="0"/>
                <w:sz w:val="19"/>
              </w:rPr>
              <w:t>风险损失 L=30（低风险领域）</w:t>
            </w:r>
          </w:p>
        </w:tc>
        <w:tc>
          <w:tcPr>
            <w:tcW w:type="dxa" w:w="1814"/>
          </w:tcPr>
          <w:p>
            <w:pPr>
              <w:spacing w:before="40" w:after="40" w:line="240" w:lineRule="auto"/>
              <w:jc w:val="center"/>
            </w:pPr>
            <w:r/>
            <w:r>
              <w:rPr>
                <w:rFonts w:ascii="Times New Roman" w:hAnsi="Times New Roman" w:eastAsia="宋体"/>
                <w:b w:val="0"/>
                <w:sz w:val="19"/>
              </w:rPr>
              <w:t>3.03</w:t>
            </w:r>
          </w:p>
        </w:tc>
        <w:tc>
          <w:tcPr>
            <w:tcW w:type="dxa" w:w="1814"/>
          </w:tcPr>
          <w:p>
            <w:pPr>
              <w:spacing w:before="40" w:after="40" w:line="240" w:lineRule="auto"/>
              <w:jc w:val="center"/>
            </w:pPr>
            <w:r/>
            <w:r>
              <w:rPr>
                <w:rFonts w:ascii="Times New Roman" w:hAnsi="Times New Roman" w:eastAsia="宋体"/>
                <w:b w:val="0"/>
                <w:sz w:val="19"/>
              </w:rPr>
              <w:t>11.91</w:t>
            </w:r>
          </w:p>
        </w:tc>
        <w:tc>
          <w:tcPr>
            <w:tcW w:type="dxa" w:w="2268"/>
          </w:tcPr>
          <w:p>
            <w:pPr>
              <w:spacing w:before="40" w:after="40" w:line="240" w:lineRule="auto"/>
              <w:jc w:val="center"/>
            </w:pPr>
            <w:r/>
            <w:r>
              <w:rPr>
                <w:rFonts w:ascii="Times New Roman" w:hAnsi="Times New Roman" w:eastAsia="宋体"/>
                <w:b w:val="0"/>
                <w:sz w:val="19"/>
              </w:rPr>
              <w:t>s* 下降 23.3%</w:t>
            </w:r>
          </w:p>
        </w:tc>
      </w:tr>
      <w:tr>
        <w:tc>
          <w:tcPr>
            <w:tcW w:type="dxa" w:w="3175"/>
          </w:tcPr>
          <w:p>
            <w:pPr>
              <w:spacing w:before="40" w:after="40" w:line="240" w:lineRule="auto"/>
              <w:jc w:val="left"/>
            </w:pPr>
            <w:r/>
            <w:r>
              <w:rPr>
                <w:rFonts w:ascii="Times New Roman" w:hAnsi="Times New Roman" w:eastAsia="宋体"/>
                <w:b w:val="0"/>
                <w:sz w:val="19"/>
              </w:rPr>
              <w:t>风险损失 L=120（高风险领域）</w:t>
            </w:r>
          </w:p>
        </w:tc>
        <w:tc>
          <w:tcPr>
            <w:tcW w:type="dxa" w:w="1814"/>
          </w:tcPr>
          <w:p>
            <w:pPr>
              <w:spacing w:before="40" w:after="40" w:line="240" w:lineRule="auto"/>
              <w:jc w:val="center"/>
            </w:pPr>
            <w:r/>
            <w:r>
              <w:rPr>
                <w:rFonts w:ascii="Times New Roman" w:hAnsi="Times New Roman" w:eastAsia="宋体"/>
                <w:b w:val="0"/>
                <w:sz w:val="19"/>
              </w:rPr>
              <w:t>4.91</w:t>
            </w:r>
          </w:p>
        </w:tc>
        <w:tc>
          <w:tcPr>
            <w:tcW w:type="dxa" w:w="1814"/>
          </w:tcPr>
          <w:p>
            <w:pPr>
              <w:spacing w:before="40" w:after="40" w:line="240" w:lineRule="auto"/>
              <w:jc w:val="center"/>
            </w:pPr>
            <w:r/>
            <w:r>
              <w:rPr>
                <w:rFonts w:ascii="Times New Roman" w:hAnsi="Times New Roman" w:eastAsia="宋体"/>
                <w:b w:val="0"/>
                <w:sz w:val="19"/>
              </w:rPr>
              <w:t>21.41</w:t>
            </w:r>
          </w:p>
        </w:tc>
        <w:tc>
          <w:tcPr>
            <w:tcW w:type="dxa" w:w="2268"/>
          </w:tcPr>
          <w:p>
            <w:pPr>
              <w:spacing w:before="40" w:after="40" w:line="240" w:lineRule="auto"/>
              <w:jc w:val="center"/>
            </w:pPr>
            <w:r/>
            <w:r>
              <w:rPr>
                <w:rFonts w:ascii="Times New Roman" w:hAnsi="Times New Roman" w:eastAsia="宋体"/>
                <w:b w:val="0"/>
                <w:sz w:val="19"/>
              </w:rPr>
              <w:t>s* 上升 24.3%</w:t>
            </w:r>
          </w:p>
        </w:tc>
      </w:tr>
      <w:tr>
        <w:tc>
          <w:tcPr>
            <w:tcW w:type="dxa" w:w="3175"/>
          </w:tcPr>
          <w:p>
            <w:pPr>
              <w:spacing w:before="40" w:after="40" w:line="240" w:lineRule="auto"/>
              <w:jc w:val="left"/>
            </w:pPr>
            <w:r/>
            <w:r>
              <w:rPr>
                <w:rFonts w:ascii="Times New Roman" w:hAnsi="Times New Roman" w:eastAsia="宋体"/>
                <w:b w:val="0"/>
                <w:sz w:val="19"/>
              </w:rPr>
              <w:t>监督效力 β=0.35（手段较弱）</w:t>
            </w:r>
          </w:p>
        </w:tc>
        <w:tc>
          <w:tcPr>
            <w:tcW w:type="dxa" w:w="1814"/>
          </w:tcPr>
          <w:p>
            <w:pPr>
              <w:spacing w:before="40" w:after="40" w:line="240" w:lineRule="auto"/>
              <w:jc w:val="center"/>
            </w:pPr>
            <w:r/>
            <w:r>
              <w:rPr>
                <w:rFonts w:ascii="Times New Roman" w:hAnsi="Times New Roman" w:eastAsia="宋体"/>
                <w:b w:val="0"/>
                <w:sz w:val="19"/>
              </w:rPr>
              <w:t>4.59</w:t>
            </w:r>
          </w:p>
        </w:tc>
        <w:tc>
          <w:tcPr>
            <w:tcW w:type="dxa" w:w="1814"/>
          </w:tcPr>
          <w:p>
            <w:pPr>
              <w:spacing w:before="40" w:after="40" w:line="240" w:lineRule="auto"/>
              <w:jc w:val="center"/>
            </w:pPr>
            <w:r/>
            <w:r>
              <w:rPr>
                <w:rFonts w:ascii="Times New Roman" w:hAnsi="Times New Roman" w:eastAsia="宋体"/>
                <w:b w:val="0"/>
                <w:sz w:val="19"/>
              </w:rPr>
              <w:t>24.00</w:t>
            </w:r>
          </w:p>
        </w:tc>
        <w:tc>
          <w:tcPr>
            <w:tcW w:type="dxa" w:w="2268"/>
          </w:tcPr>
          <w:p>
            <w:pPr>
              <w:spacing w:before="40" w:after="40" w:line="240" w:lineRule="auto"/>
              <w:jc w:val="center"/>
            </w:pPr>
            <w:r/>
            <w:r>
              <w:rPr>
                <w:rFonts w:ascii="Times New Roman" w:hAnsi="Times New Roman" w:eastAsia="宋体"/>
                <w:b w:val="0"/>
                <w:sz w:val="19"/>
              </w:rPr>
              <w:t>s* 上升 16.2%</w:t>
            </w:r>
          </w:p>
        </w:tc>
      </w:tr>
      <w:tr>
        <w:tc>
          <w:tcPr>
            <w:tcW w:type="dxa" w:w="3175"/>
            <w:tcBorders>
              <w:bottom w:val="single" w:sz="12" w:space="0" w:color="000000"/>
            </w:tcBorders>
          </w:tcPr>
          <w:p>
            <w:pPr>
              <w:spacing w:before="40" w:after="40" w:line="240" w:lineRule="auto"/>
              <w:jc w:val="left"/>
            </w:pPr>
            <w:r/>
            <w:r>
              <w:rPr>
                <w:rFonts w:ascii="Times New Roman" w:hAnsi="Times New Roman" w:eastAsia="宋体"/>
                <w:b w:val="0"/>
                <w:sz w:val="19"/>
              </w:rPr>
              <w:t>监督效力 β=0.80（手段较强）</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3.33</w:t>
            </w:r>
          </w:p>
        </w:tc>
        <w:tc>
          <w:tcPr>
            <w:tcW w:type="dxa" w:w="1814"/>
            <w:tcBorders>
              <w:bottom w:val="single" w:sz="12" w:space="0" w:color="000000"/>
            </w:tcBorders>
          </w:tcPr>
          <w:p>
            <w:pPr>
              <w:spacing w:before="40" w:after="40" w:line="240" w:lineRule="auto"/>
              <w:jc w:val="center"/>
            </w:pPr>
            <w:r/>
            <w:r>
              <w:rPr>
                <w:rFonts w:ascii="Times New Roman" w:hAnsi="Times New Roman" w:eastAsia="宋体"/>
                <w:b w:val="0"/>
                <w:sz w:val="19"/>
              </w:rPr>
              <w:t>11.39</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9"/>
              </w:rPr>
              <w:t>s* 下降 15.7%</w:t>
            </w:r>
          </w:p>
        </w:tc>
      </w:tr>
    </w:tbl>
    <w:p>
      <w:pPr>
        <w:spacing w:before="40" w:after="160" w:line="240" w:lineRule="auto"/>
        <w:ind w:firstLine="0"/>
        <w:jc w:val="left"/>
      </w:pPr>
      <w:r>
        <w:rPr>
          <w:rFonts w:ascii="Times New Roman" w:hAnsi="Times New Roman" w:eastAsia="宋体"/>
          <w:b w:val="0"/>
          <w:sz w:val="18"/>
        </w:rPr>
        <w:t>注：各量均为无量纲化处理后的相对值。参数依据：b 反映基层负担的边际递增程度，L 反映领域风险损失量级，β 反映监督手段的有效性。</w:t>
      </w:r>
    </w:p>
    <w:p>
      <w:pPr>
        <w:keepNext/>
        <w:spacing w:before="120" w:after="0" w:line="240" w:lineRule="auto"/>
        <w:jc w:val="center"/>
      </w:pPr>
      <w:r>
        <w:drawing>
          <wp:inline xmlns:a="http://schemas.openxmlformats.org/drawingml/2006/main" xmlns:pic="http://schemas.openxmlformats.org/drawingml/2006/picture">
            <wp:extent cx="5400000" cy="2644724"/>
            <wp:docPr id="5" name="Picture 5"/>
            <wp:cNvGraphicFramePr>
              <a:graphicFrameLocks noChangeAspect="1"/>
            </wp:cNvGraphicFramePr>
            <a:graphic>
              <a:graphicData uri="http://schemas.openxmlformats.org/drawingml/2006/picture">
                <pic:pic>
                  <pic:nvPicPr>
                    <pic:cNvPr id="0" name="p2_d2_optimal.png"/>
                    <pic:cNvPicPr/>
                  </pic:nvPicPr>
                  <pic:blipFill>
                    <a:blip r:embed="rId13"/>
                    <a:stretch>
                      <a:fillRect/>
                    </a:stretch>
                  </pic:blipFill>
                  <pic:spPr>
                    <a:xfrm>
                      <a:off x="0" y="0"/>
                      <a:ext cx="5400000" cy="2644724"/>
                    </a:xfrm>
                    <a:prstGeom prst="rect"/>
                  </pic:spPr>
                </pic:pic>
              </a:graphicData>
            </a:graphic>
          </wp:inline>
        </w:drawing>
      </w:r>
    </w:p>
    <w:p>
      <w:pPr>
        <w:spacing w:before="40" w:after="160" w:line="240" w:lineRule="auto"/>
        <w:jc w:val="center"/>
      </w:pPr>
      <w:r>
        <w:rPr>
          <w:rFonts w:ascii="Times New Roman" w:hAnsi="Times New Roman" w:eastAsia="黑体"/>
          <w:b w:val="0"/>
          <w:sz w:val="21"/>
        </w:rPr>
        <w:t>图 5  含监督过载项的总成本结构与最优监督强度</w:t>
      </w:r>
    </w:p>
    <w:p>
      <w:pPr>
        <w:spacing w:before="0" w:after="0" w:line="360" w:lineRule="auto"/>
        <w:ind w:firstLine="480"/>
        <w:jc w:val="both"/>
      </w:pPr>
      <w:r>
        <w:rPr>
          <w:rFonts w:ascii="Times New Roman" w:hAnsi="Times New Roman" w:eastAsia="宋体"/>
          <w:b w:val="0"/>
          <w:sz w:val="24"/>
        </w:rPr>
        <w:t>表 2 与图 5 给出的核心结论是：</w:t>
      </w:r>
      <w:r>
        <w:rPr>
          <w:rFonts w:ascii="Times New Roman" w:hAnsi="Times New Roman" w:eastAsia="宋体"/>
          <w:b/>
          <w:sz w:val="24"/>
        </w:rPr>
        <w:t>忽略基层负担会系统性高估最优监督强度</w:t>
      </w:r>
      <w:r>
        <w:rPr>
          <w:rFonts w:ascii="Times New Roman" w:hAnsi="Times New Roman" w:eastAsia="宋体"/>
          <w:b w:val="0"/>
          <w:sz w:val="24"/>
        </w:rPr>
        <w:t>。基准情景下最优监督强度 s*=3.95；若把监督过载项从模型中剔除（b=0），最优强度升至 6.36，高估 61.0%。敏感性分析进一步显示：基层负担越重、领域风险越低、监督手段效力越弱，最优监督强度越应下调。这一结论直接指向两项实践原则：</w:t>
      </w:r>
    </w:p>
    <w:p>
      <w:pPr>
        <w:spacing w:before="0" w:after="0" w:line="360" w:lineRule="auto"/>
        <w:ind w:firstLine="480"/>
        <w:jc w:val="both"/>
      </w:pPr>
      <w:r>
        <w:rPr>
          <w:rFonts w:ascii="Times New Roman" w:hAnsi="Times New Roman" w:eastAsia="宋体"/>
          <w:b/>
          <w:sz w:val="24"/>
        </w:rPr>
        <w:t>其一，差异化配置监督强度。</w:t>
      </w:r>
      <w:r>
        <w:rPr>
          <w:rFonts w:ascii="Times New Roman" w:hAnsi="Times New Roman" w:eastAsia="宋体"/>
          <w:b w:val="0"/>
          <w:sz w:val="24"/>
        </w:rPr>
        <w:t xml:space="preserve"> 不同业务领域的 L 与 β 差异很大，工程建设、物资采购、烟叶收购等高风险领域应配置高强度监督，而低风险常规事项应大幅精简监督动作，不宜全域等强度推进。</w:t>
      </w:r>
    </w:p>
    <w:p>
      <w:pPr>
        <w:spacing w:before="0" w:after="0" w:line="360" w:lineRule="auto"/>
        <w:ind w:firstLine="480"/>
        <w:jc w:val="both"/>
      </w:pPr>
      <w:r>
        <w:rPr>
          <w:rFonts w:ascii="Times New Roman" w:hAnsi="Times New Roman" w:eastAsia="宋体"/>
          <w:b/>
          <w:sz w:val="24"/>
        </w:rPr>
        <w:t>其二，把“减负”作为监督设计的内生约束而非事后补救。</w:t>
      </w:r>
      <w:r>
        <w:rPr>
          <w:rFonts w:ascii="Times New Roman" w:hAnsi="Times New Roman" w:eastAsia="宋体"/>
          <w:b w:val="0"/>
          <w:sz w:val="24"/>
        </w:rPr>
        <w:t xml:space="preserve"> 具体做法是坚持“一次采集、多方复用”原则：同一份业务数据同时服务纪检、审计、财务、专卖多个监督主体，不得重复要求基层报送。这一原则将在第 5.2 节展开。</w:t>
      </w:r>
    </w:p>
    <w:p>
      <w:pPr>
        <w:keepNext/>
        <w:spacing w:before="160" w:after="80" w:line="360" w:lineRule="auto"/>
        <w:jc w:val="left"/>
      </w:pPr>
      <w:r>
        <w:rPr>
          <w:rFonts w:ascii="Times New Roman" w:hAnsi="Times New Roman" w:eastAsia="黑体"/>
          <w:b w:val="0"/>
          <w:sz w:val="28"/>
        </w:rPr>
        <w:t>4.3  技术与制度层面的约束</w:t>
      </w:r>
    </w:p>
    <w:p>
      <w:pPr>
        <w:spacing w:before="0" w:after="0" w:line="360" w:lineRule="auto"/>
        <w:ind w:firstLine="480"/>
        <w:jc w:val="both"/>
      </w:pPr>
      <w:r>
        <w:rPr>
          <w:rFonts w:ascii="Times New Roman" w:hAnsi="Times New Roman" w:eastAsia="宋体"/>
          <w:b w:val="0"/>
          <w:sz w:val="24"/>
        </w:rPr>
        <w:t>行业尚未建立统一的监督数字化建设标准与全域数据中台，各部门自主开展系统建设，数据标准、接口规范、运维体系各不相同，数据汇聚、互通、共享存在实质性壁垒[6]。同时，现有制度多聚焦传统人工监督与事后督查场景，针对穿透式监督、数据共享、线索移交、精准问责等新型场景的细化规范严重缺失，基层开展新型监督工作弹性过大、无据可依。需要特别指出的是，数据穿透的真正难点不在接口打通，而在</w:t>
      </w:r>
      <w:r>
        <w:rPr>
          <w:rFonts w:ascii="Times New Roman" w:hAnsi="Times New Roman" w:eastAsia="宋体"/>
          <w:b/>
          <w:sz w:val="24"/>
        </w:rPr>
        <w:t>数据权属与授权规则</w:t>
      </w:r>
      <w:r>
        <w:rPr>
          <w:rFonts w:ascii="Times New Roman" w:hAnsi="Times New Roman" w:eastAsia="宋体"/>
          <w:b w:val="0"/>
          <w:sz w:val="24"/>
        </w:rPr>
        <w:t>：省局与市局的数据权限边界如何划分、跨层级调阅需要何种审批、哪些数据可以“可用不可见”，这三项不解决，中台建设即无法落地。</w:t>
      </w:r>
    </w:p>
    <w:p>
      <w:pPr>
        <w:keepNext/>
        <w:spacing w:before="240" w:after="120" w:line="360" w:lineRule="auto"/>
        <w:jc w:val="left"/>
      </w:pPr>
      <w:r>
        <w:rPr>
          <w:rFonts w:ascii="Times New Roman" w:hAnsi="Times New Roman" w:eastAsia="黑体"/>
          <w:b/>
          <w:sz w:val="30"/>
        </w:rPr>
        <w:t>5  四维穿透的优化路径与实施优先级</w:t>
      </w:r>
    </w:p>
    <w:p>
      <w:pPr>
        <w:keepNext/>
        <w:spacing w:before="160" w:after="80" w:line="360" w:lineRule="auto"/>
        <w:jc w:val="left"/>
      </w:pPr>
      <w:r>
        <w:rPr>
          <w:rFonts w:ascii="Times New Roman" w:hAnsi="Times New Roman" w:eastAsia="黑体"/>
          <w:b w:val="0"/>
          <w:sz w:val="28"/>
        </w:rPr>
        <w:t>5.1  制度穿透：统一标准与权责边界</w:t>
      </w:r>
    </w:p>
    <w:p>
      <w:pPr>
        <w:spacing w:before="0" w:after="0" w:line="360" w:lineRule="auto"/>
        <w:ind w:firstLine="480"/>
        <w:jc w:val="both"/>
      </w:pPr>
      <w:r>
        <w:rPr>
          <w:rFonts w:ascii="Times New Roman" w:hAnsi="Times New Roman" w:eastAsia="宋体"/>
          <w:b w:val="0"/>
          <w:sz w:val="24"/>
        </w:rPr>
        <w:t>制度穿透是其余三维得以运转的前提。建议从四方面推进：一是由国家局牵头出台穿透式大监督建设专项实施细则，统一四维穿透的建设标准、运行框架、履职规范与考核体系；二是全面梳理各层级、各部门、各岗位的监督职责、风险点位与履职边界，编制标准化监督责任清单、业务风险清单与岗位负面清单；三是针对工程建设、物资采购、烟叶收购、卷烟营销、资金使用等核心领域，制定量化、可落地的监督规范；四是完善监督联席会议、线索双向移交、联合专项督查、监督成果共用等刚性协同制度，对拒不配合、推诿懈怠的严肃追责。</w:t>
      </w:r>
    </w:p>
    <w:p>
      <w:pPr>
        <w:spacing w:before="0" w:after="0" w:line="360" w:lineRule="auto"/>
        <w:ind w:firstLine="480"/>
        <w:jc w:val="both"/>
      </w:pPr>
      <w:r>
        <w:rPr>
          <w:rFonts w:ascii="Times New Roman" w:hAnsi="Times New Roman" w:eastAsia="宋体"/>
          <w:b w:val="0"/>
          <w:sz w:val="24"/>
        </w:rPr>
        <w:t>需要强调的是，制度穿透的落点在于</w:t>
      </w:r>
      <w:r>
        <w:rPr>
          <w:rFonts w:ascii="Times New Roman" w:hAnsi="Times New Roman" w:eastAsia="宋体"/>
          <w:b/>
          <w:sz w:val="24"/>
        </w:rPr>
        <w:t>指标口径的统一</w:t>
      </w:r>
      <w:r>
        <w:rPr>
          <w:rFonts w:ascii="Times New Roman" w:hAnsi="Times New Roman" w:eastAsia="宋体"/>
          <w:b w:val="0"/>
          <w:sz w:val="24"/>
        </w:rPr>
        <w:t>。只有各层级、各部门对同一监督事项采用相同的定义、相同的计量方式，数据才可比、才能汇聚，后续的数据穿透才有意义。因此，指标口径统一应作为第一阶段的首要任务（见第 6.2 节）。</w:t>
      </w:r>
    </w:p>
    <w:p>
      <w:pPr>
        <w:keepNext/>
        <w:spacing w:before="160" w:after="80" w:line="360" w:lineRule="auto"/>
        <w:jc w:val="left"/>
      </w:pPr>
      <w:r>
        <w:rPr>
          <w:rFonts w:ascii="Times New Roman" w:hAnsi="Times New Roman" w:eastAsia="黑体"/>
          <w:b w:val="0"/>
          <w:sz w:val="28"/>
        </w:rPr>
        <w:t>5.2  数据穿透：一次采集、多方复用</w:t>
      </w:r>
    </w:p>
    <w:p>
      <w:pPr>
        <w:spacing w:before="0" w:after="0" w:line="360" w:lineRule="auto"/>
        <w:ind w:firstLine="480"/>
        <w:jc w:val="both"/>
      </w:pPr>
      <w:r>
        <w:rPr>
          <w:rFonts w:ascii="Times New Roman" w:hAnsi="Times New Roman" w:eastAsia="宋体"/>
          <w:b w:val="0"/>
          <w:sz w:val="24"/>
        </w:rPr>
        <w:t>数据穿透的目标不仅是打通数据，更是在打通数据的同时减轻基层负担。本文提出的统一监督数据中台架构如图 6 所示，其核心设计原则是</w:t>
      </w:r>
      <w:r>
        <w:rPr>
          <w:rFonts w:ascii="Times New Roman" w:hAnsi="Times New Roman" w:eastAsia="宋体"/>
          <w:b/>
          <w:sz w:val="24"/>
        </w:rPr>
        <w:t>一次采集、多方复用</w:t>
      </w:r>
      <w:r>
        <w:rPr>
          <w:rFonts w:ascii="Times New Roman" w:hAnsi="Times New Roman" w:eastAsia="宋体"/>
          <w:b w:val="0"/>
          <w:sz w:val="24"/>
        </w:rPr>
        <w:t>：业务数据在业务系统中一次性产生，经数据标准与安全分级层规范化后进入中台，由分析模型层生成风险线索，再由监督应用层分发至各监督主体，全过程不再向基层重复索取数据。</w:t>
      </w:r>
    </w:p>
    <w:p>
      <w:pPr>
        <w:keepNext/>
        <w:spacing w:before="120" w:after="0" w:line="240" w:lineRule="auto"/>
        <w:jc w:val="center"/>
      </w:pPr>
      <w:r>
        <w:drawing>
          <wp:inline xmlns:a="http://schemas.openxmlformats.org/drawingml/2006/main" xmlns:pic="http://schemas.openxmlformats.org/drawingml/2006/picture">
            <wp:extent cx="5220000" cy="3196901"/>
            <wp:docPr id="6" name="Picture 6"/>
            <wp:cNvGraphicFramePr>
              <a:graphicFrameLocks noChangeAspect="1"/>
            </wp:cNvGraphicFramePr>
            <a:graphic>
              <a:graphicData uri="http://schemas.openxmlformats.org/drawingml/2006/picture">
                <pic:pic>
                  <pic:nvPicPr>
                    <pic:cNvPr id="0" name="p2_c5_platform.png"/>
                    <pic:cNvPicPr/>
                  </pic:nvPicPr>
                  <pic:blipFill>
                    <a:blip r:embed="rId14"/>
                    <a:stretch>
                      <a:fillRect/>
                    </a:stretch>
                  </pic:blipFill>
                  <pic:spPr>
                    <a:xfrm>
                      <a:off x="0" y="0"/>
                      <a:ext cx="5220000" cy="3196901"/>
                    </a:xfrm>
                    <a:prstGeom prst="rect"/>
                  </pic:spPr>
                </pic:pic>
              </a:graphicData>
            </a:graphic>
          </wp:inline>
        </w:drawing>
      </w:r>
    </w:p>
    <w:p>
      <w:pPr>
        <w:spacing w:before="40" w:after="160" w:line="240" w:lineRule="auto"/>
        <w:jc w:val="center"/>
      </w:pPr>
      <w:r>
        <w:rPr>
          <w:rFonts w:ascii="Times New Roman" w:hAnsi="Times New Roman" w:eastAsia="黑体"/>
          <w:b w:val="0"/>
          <w:sz w:val="21"/>
        </w:rPr>
        <w:t>图 6  统一监督数据中台架构</w:t>
      </w:r>
    </w:p>
    <w:p>
      <w:pPr>
        <w:spacing w:before="0" w:after="0" w:line="360" w:lineRule="auto"/>
        <w:ind w:firstLine="480"/>
        <w:jc w:val="both"/>
      </w:pPr>
      <w:r>
        <w:rPr>
          <w:rFonts w:ascii="Times New Roman" w:hAnsi="Times New Roman" w:eastAsia="宋体"/>
          <w:b w:val="0"/>
          <w:sz w:val="24"/>
        </w:rPr>
        <w:t>在数据标准与安全分级层，须落实四项机制：数据分类分级、脱敏与授权、“可用不可见”的隐私计算通道、审计留痕。在分析模型层，可针对围标串标、虚列费用、违规审批、异常关联交易等隐蔽性风险建立专属预警模型：通过挖掘招投标历史数据、分析投标行为规律、比对报价与方案相似度识别围标串标异常；依托复杂网络建模与关联规则挖掘刻画违规交易轨迹[10]。</w:t>
      </w:r>
    </w:p>
    <w:p>
      <w:pPr>
        <w:keepNext/>
        <w:spacing w:before="160" w:after="80" w:line="360" w:lineRule="auto"/>
        <w:jc w:val="left"/>
      </w:pPr>
      <w:r>
        <w:rPr>
          <w:rFonts w:ascii="Times New Roman" w:hAnsi="Times New Roman" w:eastAsia="黑体"/>
          <w:b w:val="0"/>
          <w:sz w:val="28"/>
        </w:rPr>
        <w:t>5.3  流程穿透：业务链嵌入监督卡点</w:t>
      </w:r>
    </w:p>
    <w:p>
      <w:pPr>
        <w:spacing w:before="0" w:after="0" w:line="360" w:lineRule="auto"/>
        <w:ind w:firstLine="480"/>
        <w:jc w:val="both"/>
      </w:pPr>
      <w:r>
        <w:rPr>
          <w:rFonts w:ascii="Times New Roman" w:hAnsi="Times New Roman" w:eastAsia="宋体"/>
          <w:b w:val="0"/>
          <w:sz w:val="24"/>
        </w:rPr>
        <w:t>流程穿透的核心是实现监督与业务的深度融合，做到业务推进到哪里、监督穿透到哪里。应把标准化监督节点、管控规则与核查流程嵌入烟叶收购、卷烟营销、物流配送、工程采购、资金拨付、人事管理等全业务链条，覆盖业务发起、过程推进、收尾验收、归档复盘全流程。在权力集中、资金密集、风险高发的前置关键节点设置刚性监督卡点，对业务合规性、资金使用规范性、岗位履职有效性实时审核、动态纠偏，构建“事前预判、事中管控、事后复盘”的全周期闭环模式[15]。结合第 4.2 节的结论，监督卡点的密度应与该环节的风险损失量级匹配，低风险环节不宜设置过多卡点，以免形成新的负担来源。</w:t>
      </w:r>
    </w:p>
    <w:p>
      <w:pPr>
        <w:keepNext/>
        <w:spacing w:before="160" w:after="80" w:line="360" w:lineRule="auto"/>
        <w:jc w:val="left"/>
      </w:pPr>
      <w:r>
        <w:rPr>
          <w:rFonts w:ascii="Times New Roman" w:hAnsi="Times New Roman" w:eastAsia="黑体"/>
          <w:b w:val="0"/>
          <w:sz w:val="28"/>
        </w:rPr>
        <w:t>5.4  责任穿透：刚性问责与闭环整改</w:t>
      </w:r>
    </w:p>
    <w:p>
      <w:pPr>
        <w:spacing w:before="0" w:after="0" w:line="360" w:lineRule="auto"/>
        <w:ind w:firstLine="480"/>
        <w:jc w:val="both"/>
      </w:pPr>
      <w:r>
        <w:rPr>
          <w:rFonts w:ascii="Times New Roman" w:hAnsi="Times New Roman" w:eastAsia="宋体"/>
          <w:b w:val="0"/>
          <w:sz w:val="24"/>
        </w:rPr>
        <w:t>责任穿透是保障各项举措落地的根本。应逐级细化四级垂直管理体系的监督权责，精准划分党委主体责任、纪检监督责任、业务部门监管责任与岗位个人履职责任；建立自上而下的责任述职、专项约谈、督办问责机制，打通责任传导梗阻；严格落实问题整改台账化、销号式、回头看闭环管理；优化监督考核评价体系，提升风险防控、合规履职、监督成效的考核权重[5]。</w:t>
      </w:r>
    </w:p>
    <w:p>
      <w:pPr>
        <w:keepNext/>
        <w:spacing w:before="160" w:after="80" w:line="360" w:lineRule="auto"/>
        <w:jc w:val="left"/>
      </w:pPr>
      <w:r>
        <w:rPr>
          <w:rFonts w:ascii="Times New Roman" w:hAnsi="Times New Roman" w:eastAsia="黑体"/>
          <w:b w:val="0"/>
          <w:sz w:val="28"/>
        </w:rPr>
        <w:t>5.5  队伍保障</w:t>
      </w:r>
    </w:p>
    <w:p>
      <w:pPr>
        <w:spacing w:before="0" w:after="0" w:line="360" w:lineRule="auto"/>
        <w:ind w:firstLine="480"/>
        <w:jc w:val="both"/>
      </w:pPr>
      <w:r>
        <w:rPr>
          <w:rFonts w:ascii="Times New Roman" w:hAnsi="Times New Roman" w:eastAsia="宋体"/>
          <w:b w:val="0"/>
          <w:sz w:val="24"/>
        </w:rPr>
        <w:t>推进基层监督岗位专职化改革，压减兼职监督岗位，足额配齐纪检、审计、数智监督专职人员；搭建分层级、场景化的培训体系，重点开展大数据分析、智能平台操作、风险建模、数据溯源等新型能力专项培训，培育“懂业务、懂技术、懂监督、懂风控”的复合型人才；拓宽监督岗位晋升通道，优化评优评先与绩效分配政策[14]。</w:t>
      </w:r>
    </w:p>
    <w:p>
      <w:pPr>
        <w:keepNext/>
        <w:spacing w:before="160" w:after="80" w:line="360" w:lineRule="auto"/>
        <w:jc w:val="left"/>
      </w:pPr>
      <w:r>
        <w:rPr>
          <w:rFonts w:ascii="Times New Roman" w:hAnsi="Times New Roman" w:eastAsia="黑体"/>
          <w:b w:val="0"/>
          <w:sz w:val="28"/>
        </w:rPr>
        <w:t>5.6  实施优先级的量化确定</w:t>
      </w:r>
    </w:p>
    <w:p>
      <w:pPr>
        <w:spacing w:before="0" w:after="0" w:line="360" w:lineRule="auto"/>
        <w:ind w:firstLine="480"/>
        <w:jc w:val="both"/>
      </w:pPr>
      <w:r>
        <w:rPr>
          <w:rFonts w:ascii="Times New Roman" w:hAnsi="Times New Roman" w:eastAsia="宋体"/>
          <w:b w:val="0"/>
          <w:sz w:val="24"/>
        </w:rPr>
        <w:t>四个维度不可能同时推进，需要确定优先级。本文构建风险发现率模型进行蒙特卡洛仿真：设四维成熟度分别为 I、D、P、R（取值 0～1），风险发现率为</w:t>
      </w:r>
    </w:p>
    <w:p>
      <w:pPr>
        <w:spacing w:before="0" w:after="0" w:line="360" w:lineRule="auto"/>
        <w:ind w:firstLine="0"/>
        <w:jc w:val="center"/>
      </w:pPr>
      <w:r>
        <w:rPr>
          <w:rFonts w:ascii="Times New Roman" w:hAnsi="Times New Roman" w:eastAsia="宋体"/>
          <w:b w:val="0"/>
          <w:sz w:val="24"/>
        </w:rPr>
        <w:t>F = 1 − exp[−(γ₁I + γ₂D + γ₃P + γ₄R + γ₁₂·I·D + γ₃₄·P·R)]</w:t>
      </w:r>
    </w:p>
    <w:p>
      <w:pPr>
        <w:spacing w:before="0" w:after="0" w:line="360" w:lineRule="auto"/>
        <w:ind w:firstLine="480"/>
        <w:jc w:val="both"/>
      </w:pPr>
      <w:r>
        <w:rPr>
          <w:rFonts w:ascii="Times New Roman" w:hAnsi="Times New Roman" w:eastAsia="宋体"/>
          <w:b w:val="0"/>
          <w:sz w:val="24"/>
        </w:rPr>
        <w:t>其中交互项 γ₁₂·I·D 刻画制度与数据的互补性（口径统一才能汇聚数据），γ₃₄·P·R 刻画流程与责任的互补性（卡点发现问题才需问责）。以各维成熟度提升 0.2 后的风险发现率增量作为边际贡献，在 20000 次仿真下的结果如表 3 与图 7 所示。</w:t>
      </w:r>
    </w:p>
    <w:p>
      <w:pPr>
        <w:keepNext/>
        <w:spacing w:before="160" w:after="40" w:line="240" w:lineRule="auto"/>
        <w:jc w:val="center"/>
      </w:pPr>
      <w:r>
        <w:rPr>
          <w:rFonts w:ascii="Times New Roman" w:hAnsi="Times New Roman" w:eastAsia="黑体"/>
          <w:b w:val="0"/>
          <w:sz w:val="21"/>
        </w:rPr>
        <w:t>表 3  四维穿透的边际贡献蒙特卡洛仿真结果（N=20000）</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92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穿透维度</w:t>
            </w:r>
          </w:p>
        </w:tc>
        <w:tc>
          <w:tcPr>
            <w:tcW w:type="dxa" w:w="260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全域随机起点情景 / pp</w:t>
            </w:r>
          </w:p>
        </w:tc>
        <w:tc>
          <w:tcPr>
            <w:tcW w:type="dxa" w:w="260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低成熟度起点情景 / pp</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优先级</w:t>
            </w:r>
          </w:p>
        </w:tc>
      </w:tr>
      <w:tr>
        <w:tc>
          <w:tcPr>
            <w:tcW w:type="dxa" w:w="1928"/>
          </w:tcPr>
          <w:p>
            <w:pPr>
              <w:spacing w:before="40" w:after="40" w:line="240" w:lineRule="auto"/>
              <w:jc w:val="left"/>
            </w:pPr>
            <w:r/>
            <w:r>
              <w:rPr>
                <w:rFonts w:ascii="Times New Roman" w:hAnsi="Times New Roman" w:eastAsia="宋体"/>
                <w:b w:val="0"/>
                <w:sz w:val="19"/>
              </w:rPr>
              <w:t>数据穿透</w:t>
            </w:r>
          </w:p>
        </w:tc>
        <w:tc>
          <w:tcPr>
            <w:tcW w:type="dxa" w:w="2608"/>
          </w:tcPr>
          <w:p>
            <w:pPr>
              <w:spacing w:before="40" w:after="40" w:line="240" w:lineRule="auto"/>
              <w:jc w:val="center"/>
            </w:pPr>
            <w:r/>
            <w:r>
              <w:rPr>
                <w:rFonts w:ascii="Times New Roman" w:hAnsi="Times New Roman" w:eastAsia="宋体"/>
                <w:b w:val="0"/>
                <w:sz w:val="19"/>
              </w:rPr>
              <w:t>4.79</w:t>
            </w:r>
          </w:p>
        </w:tc>
        <w:tc>
          <w:tcPr>
            <w:tcW w:type="dxa" w:w="2608"/>
          </w:tcPr>
          <w:p>
            <w:pPr>
              <w:spacing w:before="40" w:after="40" w:line="240" w:lineRule="auto"/>
              <w:jc w:val="center"/>
            </w:pPr>
            <w:r/>
            <w:r>
              <w:rPr>
                <w:rFonts w:ascii="Times New Roman" w:hAnsi="Times New Roman" w:eastAsia="宋体"/>
                <w:b w:val="0"/>
                <w:sz w:val="19"/>
              </w:rPr>
              <w:t>8.16</w:t>
            </w:r>
          </w:p>
        </w:tc>
        <w:tc>
          <w:tcPr>
            <w:tcW w:type="dxa" w:w="1361"/>
          </w:tcPr>
          <w:p>
            <w:pPr>
              <w:spacing w:before="40" w:after="40" w:line="240" w:lineRule="auto"/>
              <w:jc w:val="center"/>
            </w:pPr>
            <w:r/>
            <w:r>
              <w:rPr>
                <w:rFonts w:ascii="Times New Roman" w:hAnsi="Times New Roman" w:eastAsia="宋体"/>
                <w:b w:val="0"/>
                <w:sz w:val="19"/>
              </w:rPr>
              <w:t>1</w:t>
            </w:r>
          </w:p>
        </w:tc>
      </w:tr>
      <w:tr>
        <w:tc>
          <w:tcPr>
            <w:tcW w:type="dxa" w:w="1928"/>
          </w:tcPr>
          <w:p>
            <w:pPr>
              <w:spacing w:before="40" w:after="40" w:line="240" w:lineRule="auto"/>
              <w:jc w:val="left"/>
            </w:pPr>
            <w:r/>
            <w:r>
              <w:rPr>
                <w:rFonts w:ascii="Times New Roman" w:hAnsi="Times New Roman" w:eastAsia="宋体"/>
                <w:b w:val="0"/>
                <w:sz w:val="19"/>
              </w:rPr>
              <w:t>制度穿透</w:t>
            </w:r>
          </w:p>
        </w:tc>
        <w:tc>
          <w:tcPr>
            <w:tcW w:type="dxa" w:w="2608"/>
          </w:tcPr>
          <w:p>
            <w:pPr>
              <w:spacing w:before="40" w:after="40" w:line="240" w:lineRule="auto"/>
              <w:jc w:val="center"/>
            </w:pPr>
            <w:r/>
            <w:r>
              <w:rPr>
                <w:rFonts w:ascii="Times New Roman" w:hAnsi="Times New Roman" w:eastAsia="宋体"/>
                <w:b w:val="0"/>
                <w:sz w:val="19"/>
              </w:rPr>
              <w:t>3.55</w:t>
            </w:r>
          </w:p>
        </w:tc>
        <w:tc>
          <w:tcPr>
            <w:tcW w:type="dxa" w:w="2608"/>
          </w:tcPr>
          <w:p>
            <w:pPr>
              <w:spacing w:before="40" w:after="40" w:line="240" w:lineRule="auto"/>
              <w:jc w:val="center"/>
            </w:pPr>
            <w:r/>
            <w:r>
              <w:rPr>
                <w:rFonts w:ascii="Times New Roman" w:hAnsi="Times New Roman" w:eastAsia="宋体"/>
                <w:b w:val="0"/>
                <w:sz w:val="19"/>
              </w:rPr>
              <w:t>6.01</w:t>
            </w:r>
          </w:p>
        </w:tc>
        <w:tc>
          <w:tcPr>
            <w:tcW w:type="dxa" w:w="1361"/>
          </w:tcPr>
          <w:p>
            <w:pPr>
              <w:spacing w:before="40" w:after="40" w:line="240" w:lineRule="auto"/>
              <w:jc w:val="center"/>
            </w:pPr>
            <w:r/>
            <w:r>
              <w:rPr>
                <w:rFonts w:ascii="Times New Roman" w:hAnsi="Times New Roman" w:eastAsia="宋体"/>
                <w:b w:val="0"/>
                <w:sz w:val="19"/>
              </w:rPr>
              <w:t>2</w:t>
            </w:r>
          </w:p>
        </w:tc>
      </w:tr>
      <w:tr>
        <w:tc>
          <w:tcPr>
            <w:tcW w:type="dxa" w:w="1928"/>
          </w:tcPr>
          <w:p>
            <w:pPr>
              <w:spacing w:before="40" w:after="40" w:line="240" w:lineRule="auto"/>
              <w:jc w:val="left"/>
            </w:pPr>
            <w:r/>
            <w:r>
              <w:rPr>
                <w:rFonts w:ascii="Times New Roman" w:hAnsi="Times New Roman" w:eastAsia="宋体"/>
                <w:b w:val="0"/>
                <w:sz w:val="19"/>
              </w:rPr>
              <w:t>流程穿透</w:t>
            </w:r>
          </w:p>
        </w:tc>
        <w:tc>
          <w:tcPr>
            <w:tcW w:type="dxa" w:w="2608"/>
          </w:tcPr>
          <w:p>
            <w:pPr>
              <w:spacing w:before="40" w:after="40" w:line="240" w:lineRule="auto"/>
              <w:jc w:val="center"/>
            </w:pPr>
            <w:r/>
            <w:r>
              <w:rPr>
                <w:rFonts w:ascii="Times New Roman" w:hAnsi="Times New Roman" w:eastAsia="宋体"/>
                <w:b w:val="0"/>
                <w:sz w:val="19"/>
              </w:rPr>
              <w:t>3.40</w:t>
            </w:r>
          </w:p>
        </w:tc>
        <w:tc>
          <w:tcPr>
            <w:tcW w:type="dxa" w:w="2608"/>
          </w:tcPr>
          <w:p>
            <w:pPr>
              <w:spacing w:before="40" w:after="40" w:line="240" w:lineRule="auto"/>
              <w:jc w:val="center"/>
            </w:pPr>
            <w:r/>
            <w:r>
              <w:rPr>
                <w:rFonts w:ascii="Times New Roman" w:hAnsi="Times New Roman" w:eastAsia="宋体"/>
                <w:b w:val="0"/>
                <w:sz w:val="19"/>
              </w:rPr>
              <w:t>5.84</w:t>
            </w:r>
          </w:p>
        </w:tc>
        <w:tc>
          <w:tcPr>
            <w:tcW w:type="dxa" w:w="1361"/>
          </w:tcPr>
          <w:p>
            <w:pPr>
              <w:spacing w:before="40" w:after="40" w:line="240" w:lineRule="auto"/>
              <w:jc w:val="center"/>
            </w:pPr>
            <w:r/>
            <w:r>
              <w:rPr>
                <w:rFonts w:ascii="Times New Roman" w:hAnsi="Times New Roman" w:eastAsia="宋体"/>
                <w:b w:val="0"/>
                <w:sz w:val="19"/>
              </w:rPr>
              <w:t>3</w:t>
            </w:r>
          </w:p>
        </w:tc>
      </w:tr>
      <w:tr>
        <w:tc>
          <w:tcPr>
            <w:tcW w:type="dxa" w:w="1928"/>
            <w:tcBorders>
              <w:bottom w:val="single" w:sz="12" w:space="0" w:color="000000"/>
            </w:tcBorders>
          </w:tcPr>
          <w:p>
            <w:pPr>
              <w:spacing w:before="40" w:after="40" w:line="240" w:lineRule="auto"/>
              <w:jc w:val="left"/>
            </w:pPr>
            <w:r/>
            <w:r>
              <w:rPr>
                <w:rFonts w:ascii="Times New Roman" w:hAnsi="Times New Roman" w:eastAsia="宋体"/>
                <w:b w:val="0"/>
                <w:sz w:val="19"/>
              </w:rPr>
              <w:t>责任穿透</w:t>
            </w:r>
          </w:p>
        </w:tc>
        <w:tc>
          <w:tcPr>
            <w:tcW w:type="dxa" w:w="2608"/>
            <w:tcBorders>
              <w:bottom w:val="single" w:sz="12" w:space="0" w:color="000000"/>
            </w:tcBorders>
          </w:tcPr>
          <w:p>
            <w:pPr>
              <w:spacing w:before="40" w:after="40" w:line="240" w:lineRule="auto"/>
              <w:jc w:val="center"/>
            </w:pPr>
            <w:r/>
            <w:r>
              <w:rPr>
                <w:rFonts w:ascii="Times New Roman" w:hAnsi="Times New Roman" w:eastAsia="宋体"/>
                <w:b w:val="0"/>
                <w:sz w:val="19"/>
              </w:rPr>
              <w:t>2.98</w:t>
            </w:r>
          </w:p>
        </w:tc>
        <w:tc>
          <w:tcPr>
            <w:tcW w:type="dxa" w:w="2608"/>
            <w:tcBorders>
              <w:bottom w:val="single" w:sz="12" w:space="0" w:color="000000"/>
            </w:tcBorders>
          </w:tcPr>
          <w:p>
            <w:pPr>
              <w:spacing w:before="40" w:after="40" w:line="240" w:lineRule="auto"/>
              <w:jc w:val="center"/>
            </w:pPr>
            <w:r/>
            <w:r>
              <w:rPr>
                <w:rFonts w:ascii="Times New Roman" w:hAnsi="Times New Roman" w:eastAsia="宋体"/>
                <w:b w:val="0"/>
                <w:sz w:val="19"/>
              </w:rPr>
              <w:t>5.10</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4</w:t>
            </w:r>
          </w:p>
        </w:tc>
      </w:tr>
    </w:tbl>
    <w:p>
      <w:pPr>
        <w:spacing w:before="40" w:after="160" w:line="240" w:lineRule="auto"/>
        <w:ind w:firstLine="0"/>
        <w:jc w:val="left"/>
      </w:pPr>
      <w:r>
        <w:rPr>
          <w:rFonts w:ascii="Times New Roman" w:hAnsi="Times New Roman" w:eastAsia="宋体"/>
          <w:b w:val="0"/>
          <w:sz w:val="18"/>
        </w:rPr>
        <w:t>注：边际贡献定义为该维成熟度提升 0.2 后风险发现率的平均增量（单位：个百分点）。全域随机起点情景下各维成熟度服从 U(0,1)，基准风险发现率均值 75.30%；低成熟度起点情景下服从 U(0.2,0.4)，基准风险发现率均值 57.20%，更贴近基层现状。</w:t>
      </w:r>
    </w:p>
    <w:p>
      <w:pPr>
        <w:keepNext/>
        <w:spacing w:before="120" w:after="0" w:line="240" w:lineRule="auto"/>
        <w:jc w:val="center"/>
      </w:pPr>
      <w:r>
        <w:drawing>
          <wp:inline xmlns:a="http://schemas.openxmlformats.org/drawingml/2006/main" xmlns:pic="http://schemas.openxmlformats.org/drawingml/2006/picture">
            <wp:extent cx="4320000" cy="2646039"/>
            <wp:docPr id="7" name="Picture 7"/>
            <wp:cNvGraphicFramePr>
              <a:graphicFrameLocks noChangeAspect="1"/>
            </wp:cNvGraphicFramePr>
            <a:graphic>
              <a:graphicData uri="http://schemas.openxmlformats.org/drawingml/2006/picture">
                <pic:pic>
                  <pic:nvPicPr>
                    <pic:cNvPr id="0" name="p2_d4_marginal.png"/>
                    <pic:cNvPicPr/>
                  </pic:nvPicPr>
                  <pic:blipFill>
                    <a:blip r:embed="rId15"/>
                    <a:stretch>
                      <a:fillRect/>
                    </a:stretch>
                  </pic:blipFill>
                  <pic:spPr>
                    <a:xfrm>
                      <a:off x="0" y="0"/>
                      <a:ext cx="4320000" cy="2646039"/>
                    </a:xfrm>
                    <a:prstGeom prst="rect"/>
                  </pic:spPr>
                </pic:pic>
              </a:graphicData>
            </a:graphic>
          </wp:inline>
        </w:drawing>
      </w:r>
    </w:p>
    <w:p>
      <w:pPr>
        <w:spacing w:before="40" w:after="160" w:line="240" w:lineRule="auto"/>
        <w:jc w:val="center"/>
      </w:pPr>
      <w:r>
        <w:rPr>
          <w:rFonts w:ascii="Times New Roman" w:hAnsi="Times New Roman" w:eastAsia="黑体"/>
          <w:b w:val="0"/>
          <w:sz w:val="21"/>
        </w:rPr>
        <w:t>图 7  四维穿透的边际贡献比较</w:t>
      </w:r>
    </w:p>
    <w:p>
      <w:pPr>
        <w:spacing w:before="0" w:after="0" w:line="360" w:lineRule="auto"/>
        <w:ind w:firstLine="480"/>
        <w:jc w:val="both"/>
      </w:pPr>
      <w:r>
        <w:rPr>
          <w:rFonts w:ascii="Times New Roman" w:hAnsi="Times New Roman" w:eastAsia="宋体"/>
          <w:b w:val="0"/>
          <w:sz w:val="24"/>
        </w:rPr>
        <w:t>两种情景下的优先级排序完全一致：</w:t>
      </w:r>
      <w:r>
        <w:rPr>
          <w:rFonts w:ascii="Times New Roman" w:hAnsi="Times New Roman" w:eastAsia="宋体"/>
          <w:b/>
          <w:sz w:val="24"/>
        </w:rPr>
        <w:t>数据穿透 &gt; 制度穿透 &gt; 流程穿透 &gt; 责任穿透</w:t>
      </w:r>
      <w:r>
        <w:rPr>
          <w:rFonts w:ascii="Times New Roman" w:hAnsi="Times New Roman" w:eastAsia="宋体"/>
          <w:b w:val="0"/>
          <w:sz w:val="24"/>
        </w:rPr>
        <w:t>。数据穿透之所以排首位，一方面因其自身系数最大（数据是发现隐蔽问题的主要手段），另一方面因其与制度穿透存在强互补——制度统一口径提高了数据的可用性，二者的交互项贡献了可观的增量。责任穿透边际贡献最低，并不意味着它不重要，而是说明它是</w:t>
      </w:r>
      <w:r>
        <w:rPr>
          <w:rFonts w:ascii="Times New Roman" w:hAnsi="Times New Roman" w:eastAsia="宋体"/>
          <w:b/>
          <w:sz w:val="24"/>
        </w:rPr>
        <w:t>收口环节</w:t>
      </w:r>
      <w:r>
        <w:rPr>
          <w:rFonts w:ascii="Times New Roman" w:hAnsi="Times New Roman" w:eastAsia="宋体"/>
          <w:b w:val="0"/>
          <w:sz w:val="24"/>
        </w:rPr>
        <w:t>：在问题尚未被有效发现之前强化问责，只会增加基层压力而不增加风险发现。这一结论直接决定了下一章的实施时序。</w:t>
      </w:r>
    </w:p>
    <w:p>
      <w:pPr>
        <w:keepNext/>
        <w:spacing w:before="240" w:after="120" w:line="360" w:lineRule="auto"/>
        <w:jc w:val="left"/>
      </w:pPr>
      <w:r>
        <w:rPr>
          <w:rFonts w:ascii="Times New Roman" w:hAnsi="Times New Roman" w:eastAsia="黑体"/>
          <w:b/>
          <w:sz w:val="30"/>
        </w:rPr>
        <w:t>6  效能评价与实施路线</w:t>
      </w:r>
    </w:p>
    <w:p>
      <w:pPr>
        <w:keepNext/>
        <w:spacing w:before="160" w:after="80" w:line="360" w:lineRule="auto"/>
        <w:jc w:val="left"/>
      </w:pPr>
      <w:r>
        <w:rPr>
          <w:rFonts w:ascii="Times New Roman" w:hAnsi="Times New Roman" w:eastAsia="黑体"/>
          <w:b w:val="0"/>
          <w:sz w:val="28"/>
        </w:rPr>
        <w:t>6.1  监督效能评价指标体系</w:t>
      </w:r>
    </w:p>
    <w:p>
      <w:pPr>
        <w:spacing w:before="0" w:after="0" w:line="360" w:lineRule="auto"/>
        <w:ind w:firstLine="480"/>
        <w:jc w:val="both"/>
      </w:pPr>
      <w:r>
        <w:rPr>
          <w:rFonts w:ascii="Times New Roman" w:hAnsi="Times New Roman" w:eastAsia="宋体"/>
          <w:b w:val="0"/>
          <w:sz w:val="24"/>
        </w:rPr>
        <w:t>为使穿透式监督的成效可测量、可比较，本文构建五维监督效能评价指标体系，并采用 AHP 与熵权法组合赋权：AHP 反映管理者对各维重要性的主观判断，熵权法反映各指标在不同单位间的客观区分度，二者以几何平均方式组合并归一化。结果如表 4 与图 8 所示。</w:t>
      </w:r>
    </w:p>
    <w:p>
      <w:pPr>
        <w:keepNext/>
        <w:spacing w:before="160" w:after="40" w:line="240" w:lineRule="auto"/>
        <w:jc w:val="center"/>
      </w:pPr>
      <w:r>
        <w:rPr>
          <w:rFonts w:ascii="Times New Roman" w:hAnsi="Times New Roman" w:eastAsia="黑体"/>
          <w:b w:val="0"/>
          <w:sz w:val="21"/>
        </w:rPr>
        <w:t>表 4  监督效能评价指标体系与组合权重</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1701"/>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一级指标</w:t>
            </w:r>
          </w:p>
        </w:tc>
        <w:tc>
          <w:tcPr>
            <w:tcW w:type="dxa" w:w="3742"/>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测量口径</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AHP 权重</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熵权权重</w:t>
            </w:r>
          </w:p>
        </w:tc>
        <w:tc>
          <w:tcPr>
            <w:tcW w:type="dxa" w:w="1361"/>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组合权重</w:t>
            </w:r>
          </w:p>
        </w:tc>
      </w:tr>
      <w:tr>
        <w:tc>
          <w:tcPr>
            <w:tcW w:type="dxa" w:w="1701"/>
          </w:tcPr>
          <w:p>
            <w:pPr>
              <w:spacing w:before="40" w:after="40" w:line="240" w:lineRule="auto"/>
              <w:jc w:val="left"/>
            </w:pPr>
            <w:r/>
            <w:r>
              <w:rPr>
                <w:rFonts w:ascii="Times New Roman" w:hAnsi="Times New Roman" w:eastAsia="宋体"/>
                <w:b w:val="0"/>
                <w:sz w:val="19"/>
              </w:rPr>
              <w:t>制度穿透度</w:t>
            </w:r>
          </w:p>
        </w:tc>
        <w:tc>
          <w:tcPr>
            <w:tcW w:type="dxa" w:w="3742"/>
          </w:tcPr>
          <w:p>
            <w:pPr>
              <w:spacing w:before="40" w:after="40" w:line="240" w:lineRule="auto"/>
              <w:jc w:val="center"/>
            </w:pPr>
            <w:r/>
            <w:r>
              <w:rPr>
                <w:rFonts w:ascii="Times New Roman" w:hAnsi="Times New Roman" w:eastAsia="宋体"/>
                <w:b w:val="0"/>
                <w:sz w:val="19"/>
              </w:rPr>
              <w:t>监督标准统一率、权责清单覆盖率</w:t>
            </w:r>
          </w:p>
        </w:tc>
        <w:tc>
          <w:tcPr>
            <w:tcW w:type="dxa" w:w="1361"/>
          </w:tcPr>
          <w:p>
            <w:pPr>
              <w:spacing w:before="40" w:after="40" w:line="240" w:lineRule="auto"/>
              <w:jc w:val="center"/>
            </w:pPr>
            <w:r/>
            <w:r>
              <w:rPr>
                <w:rFonts w:ascii="Times New Roman" w:hAnsi="Times New Roman" w:eastAsia="宋体"/>
                <w:b w:val="0"/>
                <w:sz w:val="19"/>
              </w:rPr>
              <w:t>0.2913</w:t>
            </w:r>
          </w:p>
        </w:tc>
        <w:tc>
          <w:tcPr>
            <w:tcW w:type="dxa" w:w="1361"/>
          </w:tcPr>
          <w:p>
            <w:pPr>
              <w:spacing w:before="40" w:after="40" w:line="240" w:lineRule="auto"/>
              <w:jc w:val="center"/>
            </w:pPr>
            <w:r/>
            <w:r>
              <w:rPr>
                <w:rFonts w:ascii="Times New Roman" w:hAnsi="Times New Roman" w:eastAsia="宋体"/>
                <w:b w:val="0"/>
                <w:sz w:val="19"/>
              </w:rPr>
              <w:t>0.0306</w:t>
            </w:r>
          </w:p>
        </w:tc>
        <w:tc>
          <w:tcPr>
            <w:tcW w:type="dxa" w:w="1361"/>
          </w:tcPr>
          <w:p>
            <w:pPr>
              <w:spacing w:before="40" w:after="40" w:line="240" w:lineRule="auto"/>
              <w:jc w:val="center"/>
            </w:pPr>
            <w:r/>
            <w:r>
              <w:rPr>
                <w:rFonts w:ascii="Times New Roman" w:hAnsi="Times New Roman" w:eastAsia="宋体"/>
                <w:b w:val="0"/>
                <w:sz w:val="19"/>
              </w:rPr>
              <w:t>0.1080</w:t>
            </w:r>
          </w:p>
        </w:tc>
      </w:tr>
      <w:tr>
        <w:tc>
          <w:tcPr>
            <w:tcW w:type="dxa" w:w="1701"/>
          </w:tcPr>
          <w:p>
            <w:pPr>
              <w:spacing w:before="40" w:after="40" w:line="240" w:lineRule="auto"/>
              <w:jc w:val="left"/>
            </w:pPr>
            <w:r/>
            <w:r>
              <w:rPr>
                <w:rFonts w:ascii="Times New Roman" w:hAnsi="Times New Roman" w:eastAsia="宋体"/>
                <w:b w:val="0"/>
                <w:sz w:val="19"/>
              </w:rPr>
              <w:t>数据穿透度</w:t>
            </w:r>
          </w:p>
        </w:tc>
        <w:tc>
          <w:tcPr>
            <w:tcW w:type="dxa" w:w="3742"/>
          </w:tcPr>
          <w:p>
            <w:pPr>
              <w:spacing w:before="40" w:after="40" w:line="240" w:lineRule="auto"/>
              <w:jc w:val="center"/>
            </w:pPr>
            <w:r/>
            <w:r>
              <w:rPr>
                <w:rFonts w:ascii="Times New Roman" w:hAnsi="Times New Roman" w:eastAsia="宋体"/>
                <w:b w:val="0"/>
                <w:sz w:val="19"/>
              </w:rPr>
              <w:t>直达通道覆盖的业务事项比例、数据汇聚完整率</w:t>
            </w:r>
          </w:p>
        </w:tc>
        <w:tc>
          <w:tcPr>
            <w:tcW w:type="dxa" w:w="1361"/>
          </w:tcPr>
          <w:p>
            <w:pPr>
              <w:spacing w:before="40" w:after="40" w:line="240" w:lineRule="auto"/>
              <w:jc w:val="center"/>
            </w:pPr>
            <w:r/>
            <w:r>
              <w:rPr>
                <w:rFonts w:ascii="Times New Roman" w:hAnsi="Times New Roman" w:eastAsia="宋体"/>
                <w:b w:val="0"/>
                <w:sz w:val="19"/>
              </w:rPr>
              <w:t>0.3162</w:t>
            </w:r>
          </w:p>
        </w:tc>
        <w:tc>
          <w:tcPr>
            <w:tcW w:type="dxa" w:w="1361"/>
          </w:tcPr>
          <w:p>
            <w:pPr>
              <w:spacing w:before="40" w:after="40" w:line="240" w:lineRule="auto"/>
              <w:jc w:val="center"/>
            </w:pPr>
            <w:r/>
            <w:r>
              <w:rPr>
                <w:rFonts w:ascii="Times New Roman" w:hAnsi="Times New Roman" w:eastAsia="宋体"/>
                <w:b w:val="0"/>
                <w:sz w:val="19"/>
              </w:rPr>
              <w:t>0.3702</w:t>
            </w:r>
          </w:p>
        </w:tc>
        <w:tc>
          <w:tcPr>
            <w:tcW w:type="dxa" w:w="1361"/>
          </w:tcPr>
          <w:p>
            <w:pPr>
              <w:spacing w:before="40" w:after="40" w:line="240" w:lineRule="auto"/>
              <w:jc w:val="center"/>
            </w:pPr>
            <w:r/>
            <w:r>
              <w:rPr>
                <w:rFonts w:ascii="Times New Roman" w:hAnsi="Times New Roman" w:eastAsia="宋体"/>
                <w:b w:val="0"/>
                <w:sz w:val="19"/>
              </w:rPr>
              <w:t>0.3917</w:t>
            </w:r>
          </w:p>
        </w:tc>
      </w:tr>
      <w:tr>
        <w:tc>
          <w:tcPr>
            <w:tcW w:type="dxa" w:w="1701"/>
          </w:tcPr>
          <w:p>
            <w:pPr>
              <w:spacing w:before="40" w:after="40" w:line="240" w:lineRule="auto"/>
              <w:jc w:val="left"/>
            </w:pPr>
            <w:r/>
            <w:r>
              <w:rPr>
                <w:rFonts w:ascii="Times New Roman" w:hAnsi="Times New Roman" w:eastAsia="宋体"/>
                <w:b w:val="0"/>
                <w:sz w:val="19"/>
              </w:rPr>
              <w:t>流程穿透度</w:t>
            </w:r>
          </w:p>
        </w:tc>
        <w:tc>
          <w:tcPr>
            <w:tcW w:type="dxa" w:w="3742"/>
          </w:tcPr>
          <w:p>
            <w:pPr>
              <w:spacing w:before="40" w:after="40" w:line="240" w:lineRule="auto"/>
              <w:jc w:val="center"/>
            </w:pPr>
            <w:r/>
            <w:r>
              <w:rPr>
                <w:rFonts w:ascii="Times New Roman" w:hAnsi="Times New Roman" w:eastAsia="宋体"/>
                <w:b w:val="0"/>
                <w:sz w:val="19"/>
              </w:rPr>
              <w:t>关键节点监督卡点覆盖率、事中拦截率</w:t>
            </w:r>
          </w:p>
        </w:tc>
        <w:tc>
          <w:tcPr>
            <w:tcW w:type="dxa" w:w="1361"/>
          </w:tcPr>
          <w:p>
            <w:pPr>
              <w:spacing w:before="40" w:after="40" w:line="240" w:lineRule="auto"/>
              <w:jc w:val="center"/>
            </w:pPr>
            <w:r/>
            <w:r>
              <w:rPr>
                <w:rFonts w:ascii="Times New Roman" w:hAnsi="Times New Roman" w:eastAsia="宋体"/>
                <w:b w:val="0"/>
                <w:sz w:val="19"/>
              </w:rPr>
              <w:t>0.1791</w:t>
            </w:r>
          </w:p>
        </w:tc>
        <w:tc>
          <w:tcPr>
            <w:tcW w:type="dxa" w:w="1361"/>
          </w:tcPr>
          <w:p>
            <w:pPr>
              <w:spacing w:before="40" w:after="40" w:line="240" w:lineRule="auto"/>
              <w:jc w:val="center"/>
            </w:pPr>
            <w:r/>
            <w:r>
              <w:rPr>
                <w:rFonts w:ascii="Times New Roman" w:hAnsi="Times New Roman" w:eastAsia="宋体"/>
                <w:b w:val="0"/>
                <w:sz w:val="19"/>
              </w:rPr>
              <w:t>0.0638</w:t>
            </w:r>
          </w:p>
        </w:tc>
        <w:tc>
          <w:tcPr>
            <w:tcW w:type="dxa" w:w="1361"/>
          </w:tcPr>
          <w:p>
            <w:pPr>
              <w:spacing w:before="40" w:after="40" w:line="240" w:lineRule="auto"/>
              <w:jc w:val="center"/>
            </w:pPr>
            <w:r/>
            <w:r>
              <w:rPr>
                <w:rFonts w:ascii="Times New Roman" w:hAnsi="Times New Roman" w:eastAsia="宋体"/>
                <w:b w:val="0"/>
                <w:sz w:val="19"/>
              </w:rPr>
              <w:t>0.1223</w:t>
            </w:r>
          </w:p>
        </w:tc>
      </w:tr>
      <w:tr>
        <w:tc>
          <w:tcPr>
            <w:tcW w:type="dxa" w:w="1701"/>
          </w:tcPr>
          <w:p>
            <w:pPr>
              <w:spacing w:before="40" w:after="40" w:line="240" w:lineRule="auto"/>
              <w:jc w:val="left"/>
            </w:pPr>
            <w:r/>
            <w:r>
              <w:rPr>
                <w:rFonts w:ascii="Times New Roman" w:hAnsi="Times New Roman" w:eastAsia="宋体"/>
                <w:b w:val="0"/>
                <w:sz w:val="19"/>
              </w:rPr>
              <w:t>责任穿透度</w:t>
            </w:r>
          </w:p>
        </w:tc>
        <w:tc>
          <w:tcPr>
            <w:tcW w:type="dxa" w:w="3742"/>
          </w:tcPr>
          <w:p>
            <w:pPr>
              <w:spacing w:before="40" w:after="40" w:line="240" w:lineRule="auto"/>
              <w:jc w:val="center"/>
            </w:pPr>
            <w:r/>
            <w:r>
              <w:rPr>
                <w:rFonts w:ascii="Times New Roman" w:hAnsi="Times New Roman" w:eastAsia="宋体"/>
                <w:b w:val="0"/>
                <w:sz w:val="19"/>
              </w:rPr>
              <w:t>整改销号率、问责落实率</w:t>
            </w:r>
          </w:p>
        </w:tc>
        <w:tc>
          <w:tcPr>
            <w:tcW w:type="dxa" w:w="1361"/>
          </w:tcPr>
          <w:p>
            <w:pPr>
              <w:spacing w:before="40" w:after="40" w:line="240" w:lineRule="auto"/>
              <w:jc w:val="center"/>
            </w:pPr>
            <w:r/>
            <w:r>
              <w:rPr>
                <w:rFonts w:ascii="Times New Roman" w:hAnsi="Times New Roman" w:eastAsia="宋体"/>
                <w:b w:val="0"/>
                <w:sz w:val="19"/>
              </w:rPr>
              <w:t>0.1262</w:t>
            </w:r>
          </w:p>
        </w:tc>
        <w:tc>
          <w:tcPr>
            <w:tcW w:type="dxa" w:w="1361"/>
          </w:tcPr>
          <w:p>
            <w:pPr>
              <w:spacing w:before="40" w:after="40" w:line="240" w:lineRule="auto"/>
              <w:jc w:val="center"/>
            </w:pPr>
            <w:r/>
            <w:r>
              <w:rPr>
                <w:rFonts w:ascii="Times New Roman" w:hAnsi="Times New Roman" w:eastAsia="宋体"/>
                <w:b w:val="0"/>
                <w:sz w:val="19"/>
              </w:rPr>
              <w:t>0.2024</w:t>
            </w:r>
          </w:p>
        </w:tc>
        <w:tc>
          <w:tcPr>
            <w:tcW w:type="dxa" w:w="1361"/>
          </w:tcPr>
          <w:p>
            <w:pPr>
              <w:spacing w:before="40" w:after="40" w:line="240" w:lineRule="auto"/>
              <w:jc w:val="center"/>
            </w:pPr>
            <w:r/>
            <w:r>
              <w:rPr>
                <w:rFonts w:ascii="Times New Roman" w:hAnsi="Times New Roman" w:eastAsia="宋体"/>
                <w:b w:val="0"/>
                <w:sz w:val="19"/>
              </w:rPr>
              <w:t>0.1830</w:t>
            </w:r>
          </w:p>
        </w:tc>
      </w:tr>
      <w:tr>
        <w:tc>
          <w:tcPr>
            <w:tcW w:type="dxa" w:w="1701"/>
            <w:tcBorders>
              <w:bottom w:val="single" w:sz="12" w:space="0" w:color="000000"/>
            </w:tcBorders>
          </w:tcPr>
          <w:p>
            <w:pPr>
              <w:spacing w:before="40" w:after="40" w:line="240" w:lineRule="auto"/>
              <w:jc w:val="left"/>
            </w:pPr>
            <w:r/>
            <w:r>
              <w:rPr>
                <w:rFonts w:ascii="Times New Roman" w:hAnsi="Times New Roman" w:eastAsia="宋体"/>
                <w:b w:val="0"/>
                <w:sz w:val="19"/>
              </w:rPr>
              <w:t>监督减负度</w:t>
            </w:r>
          </w:p>
        </w:tc>
        <w:tc>
          <w:tcPr>
            <w:tcW w:type="dxa" w:w="3742"/>
            <w:tcBorders>
              <w:bottom w:val="single" w:sz="12" w:space="0" w:color="000000"/>
            </w:tcBorders>
          </w:tcPr>
          <w:p>
            <w:pPr>
              <w:spacing w:before="40" w:after="40" w:line="240" w:lineRule="auto"/>
              <w:jc w:val="center"/>
            </w:pPr>
            <w:r/>
            <w:r>
              <w:rPr>
                <w:rFonts w:ascii="Times New Roman" w:hAnsi="Times New Roman" w:eastAsia="宋体"/>
                <w:b w:val="0"/>
                <w:sz w:val="19"/>
              </w:rPr>
              <w:t>基层重复报送率（逆向）、监督填报工时</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0.0871</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0.3330</w:t>
            </w:r>
          </w:p>
        </w:tc>
        <w:tc>
          <w:tcPr>
            <w:tcW w:type="dxa" w:w="1361"/>
            <w:tcBorders>
              <w:bottom w:val="single" w:sz="12" w:space="0" w:color="000000"/>
            </w:tcBorders>
          </w:tcPr>
          <w:p>
            <w:pPr>
              <w:spacing w:before="40" w:after="40" w:line="240" w:lineRule="auto"/>
              <w:jc w:val="center"/>
            </w:pPr>
            <w:r/>
            <w:r>
              <w:rPr>
                <w:rFonts w:ascii="Times New Roman" w:hAnsi="Times New Roman" w:eastAsia="宋体"/>
                <w:b w:val="0"/>
                <w:sz w:val="19"/>
              </w:rPr>
              <w:t>0.1950</w:t>
            </w:r>
          </w:p>
        </w:tc>
      </w:tr>
    </w:tbl>
    <w:p>
      <w:pPr>
        <w:spacing w:before="40" w:after="160" w:line="240" w:lineRule="auto"/>
        <w:ind w:firstLine="0"/>
        <w:jc w:val="left"/>
      </w:pPr>
      <w:r>
        <w:rPr>
          <w:rFonts w:ascii="Times New Roman" w:hAnsi="Times New Roman" w:eastAsia="宋体"/>
          <w:b w:val="0"/>
          <w:sz w:val="18"/>
        </w:rPr>
        <w:t>注：AHP 判断矩阵一致性检验 λmax=5.0782，CR=0.0175&lt;0.10，一致性通过。熵权基于 12 个基层单位评分矩阵计算。</w:t>
      </w:r>
    </w:p>
    <w:p>
      <w:pPr>
        <w:keepNext/>
        <w:spacing w:before="120" w:after="0" w:line="240" w:lineRule="auto"/>
        <w:jc w:val="center"/>
      </w:pPr>
      <w:r>
        <w:drawing>
          <wp:inline xmlns:a="http://schemas.openxmlformats.org/drawingml/2006/main" xmlns:pic="http://schemas.openxmlformats.org/drawingml/2006/picture">
            <wp:extent cx="4320000" cy="3297640"/>
            <wp:docPr id="8" name="Picture 8"/>
            <wp:cNvGraphicFramePr>
              <a:graphicFrameLocks noChangeAspect="1"/>
            </wp:cNvGraphicFramePr>
            <a:graphic>
              <a:graphicData uri="http://schemas.openxmlformats.org/drawingml/2006/picture">
                <pic:pic>
                  <pic:nvPicPr>
                    <pic:cNvPr id="0" name="p2_d3_weights.png"/>
                    <pic:cNvPicPr/>
                  </pic:nvPicPr>
                  <pic:blipFill>
                    <a:blip r:embed="rId16"/>
                    <a:stretch>
                      <a:fillRect/>
                    </a:stretch>
                  </pic:blipFill>
                  <pic:spPr>
                    <a:xfrm>
                      <a:off x="0" y="0"/>
                      <a:ext cx="4320000" cy="3297640"/>
                    </a:xfrm>
                    <a:prstGeom prst="rect"/>
                  </pic:spPr>
                </pic:pic>
              </a:graphicData>
            </a:graphic>
          </wp:inline>
        </w:drawing>
      </w:r>
    </w:p>
    <w:p>
      <w:pPr>
        <w:spacing w:before="40" w:after="160" w:line="240" w:lineRule="auto"/>
        <w:jc w:val="center"/>
      </w:pPr>
      <w:r>
        <w:rPr>
          <w:rFonts w:ascii="Times New Roman" w:hAnsi="Times New Roman" w:eastAsia="黑体"/>
          <w:b w:val="0"/>
          <w:sz w:val="21"/>
        </w:rPr>
        <w:t>图 8  监督效能评价指标的组合权重</w:t>
      </w:r>
    </w:p>
    <w:p>
      <w:pPr>
        <w:spacing w:before="0" w:after="0" w:line="360" w:lineRule="auto"/>
        <w:ind w:firstLine="480"/>
        <w:jc w:val="both"/>
      </w:pPr>
      <w:r>
        <w:rPr>
          <w:rFonts w:ascii="Times New Roman" w:hAnsi="Times New Roman" w:eastAsia="宋体"/>
          <w:b w:val="0"/>
          <w:sz w:val="24"/>
        </w:rPr>
        <w:t>表 4 中有一个值得注意的结果：</w:t>
      </w:r>
      <w:r>
        <w:rPr>
          <w:rFonts w:ascii="Times New Roman" w:hAnsi="Times New Roman" w:eastAsia="宋体"/>
          <w:b/>
          <w:sz w:val="24"/>
        </w:rPr>
        <w:t>熵权法赋予“监督减负度”的权重最高（0.333）</w:t>
      </w:r>
      <w:r>
        <w:rPr>
          <w:rFonts w:ascii="Times New Roman" w:hAnsi="Times New Roman" w:eastAsia="宋体"/>
          <w:b w:val="0"/>
          <w:sz w:val="24"/>
        </w:rPr>
        <w:t>，远高于 AHP 给出的主观权重（0.087）。熵权反映的是指标在不同单位间的区分度，这说明各基层单位在监督负担上的差异远大于在其他四维上的差异。换言之，当前最能区分单位间监督工作状况的，恰恰是最容易被管理者忽视的负担指标。这从数据侧印证了第 4.2 节的判断，也提示考核设计中应给减负指标留出足够权重。</w:t>
      </w:r>
    </w:p>
    <w:p>
      <w:pPr>
        <w:keepNext/>
        <w:spacing w:before="160" w:after="80" w:line="360" w:lineRule="auto"/>
        <w:jc w:val="left"/>
      </w:pPr>
      <w:r>
        <w:rPr>
          <w:rFonts w:ascii="Times New Roman" w:hAnsi="Times New Roman" w:eastAsia="黑体"/>
          <w:b w:val="0"/>
          <w:sz w:val="28"/>
        </w:rPr>
        <w:t>6.2  分阶段实施路线与责任分工</w:t>
      </w:r>
    </w:p>
    <w:p>
      <w:pPr>
        <w:spacing w:before="0" w:after="0" w:line="360" w:lineRule="auto"/>
        <w:ind w:firstLine="480"/>
        <w:jc w:val="both"/>
      </w:pPr>
      <w:r>
        <w:rPr>
          <w:rFonts w:ascii="Times New Roman" w:hAnsi="Times New Roman" w:eastAsia="宋体"/>
          <w:b w:val="0"/>
          <w:sz w:val="24"/>
        </w:rPr>
        <w:t>依据第 5.6 节的优先级排序，本文提出三阶段实施路线，如图 9 与表 5 所示。总体思路是：制度先行统一口径，数据与流程随后落地，责任穿透最后收口。</w:t>
      </w:r>
    </w:p>
    <w:p>
      <w:pPr>
        <w:keepNext/>
        <w:spacing w:before="120" w:after="0" w:line="240" w:lineRule="auto"/>
        <w:jc w:val="center"/>
      </w:pPr>
      <w:r>
        <w:drawing>
          <wp:inline xmlns:a="http://schemas.openxmlformats.org/drawingml/2006/main" xmlns:pic="http://schemas.openxmlformats.org/drawingml/2006/picture">
            <wp:extent cx="5580000" cy="2613643"/>
            <wp:docPr id="9" name="Picture 9"/>
            <wp:cNvGraphicFramePr>
              <a:graphicFrameLocks noChangeAspect="1"/>
            </wp:cNvGraphicFramePr>
            <a:graphic>
              <a:graphicData uri="http://schemas.openxmlformats.org/drawingml/2006/picture">
                <pic:pic>
                  <pic:nvPicPr>
                    <pic:cNvPr id="0" name="p2_c4_rollout.png"/>
                    <pic:cNvPicPr/>
                  </pic:nvPicPr>
                  <pic:blipFill>
                    <a:blip r:embed="rId17"/>
                    <a:stretch>
                      <a:fillRect/>
                    </a:stretch>
                  </pic:blipFill>
                  <pic:spPr>
                    <a:xfrm>
                      <a:off x="0" y="0"/>
                      <a:ext cx="5580000" cy="2613643"/>
                    </a:xfrm>
                    <a:prstGeom prst="rect"/>
                  </pic:spPr>
                </pic:pic>
              </a:graphicData>
            </a:graphic>
          </wp:inline>
        </w:drawing>
      </w:r>
    </w:p>
    <w:p>
      <w:pPr>
        <w:spacing w:before="40" w:after="160" w:line="240" w:lineRule="auto"/>
        <w:jc w:val="center"/>
      </w:pPr>
      <w:r>
        <w:rPr>
          <w:rFonts w:ascii="Times New Roman" w:hAnsi="Times New Roman" w:eastAsia="黑体"/>
          <w:b w:val="0"/>
          <w:sz w:val="21"/>
        </w:rPr>
        <w:t>图 9  穿透式大监督体系的三阶段实施路线</w:t>
      </w:r>
    </w:p>
    <w:p>
      <w:pPr>
        <w:keepNext/>
        <w:spacing w:before="160" w:after="40" w:line="240" w:lineRule="auto"/>
        <w:jc w:val="center"/>
      </w:pPr>
      <w:r>
        <w:rPr>
          <w:rFonts w:ascii="Times New Roman" w:hAnsi="Times New Roman" w:eastAsia="黑体"/>
          <w:b w:val="0"/>
          <w:sz w:val="21"/>
        </w:rPr>
        <w:t>表 5  三阶段实施任务与责任分工</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768"/>
        <w:gridCol w:w="1768"/>
        <w:gridCol w:w="1768"/>
        <w:gridCol w:w="1768"/>
        <w:gridCol w:w="1768"/>
      </w:tblGrid>
      <w:tr>
        <w:tc>
          <w:tcPr>
            <w:tcW w:type="dxa" w:w="1134"/>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8"/>
              </w:rPr>
              <w:t>阶段</w:t>
            </w:r>
          </w:p>
        </w:tc>
        <w:tc>
          <w:tcPr>
            <w:tcW w:type="dxa" w:w="1247"/>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时限</w:t>
            </w:r>
          </w:p>
        </w:tc>
        <w:tc>
          <w:tcPr>
            <w:tcW w:type="dxa" w:w="3175"/>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主要任务</w:t>
            </w:r>
          </w:p>
        </w:tc>
        <w:tc>
          <w:tcPr>
            <w:tcW w:type="dxa" w:w="19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牵头部门</w:t>
            </w:r>
          </w:p>
        </w:tc>
        <w:tc>
          <w:tcPr>
            <w:tcW w:type="dxa" w:w="2835"/>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8"/>
              </w:rPr>
              <w:t>验收口径</w:t>
            </w:r>
          </w:p>
        </w:tc>
      </w:tr>
      <w:tr>
        <w:tc>
          <w:tcPr>
            <w:tcW w:type="dxa" w:w="1134"/>
          </w:tcPr>
          <w:p>
            <w:pPr>
              <w:spacing w:before="40" w:after="40" w:line="240" w:lineRule="auto"/>
              <w:jc w:val="left"/>
            </w:pPr>
            <w:r/>
            <w:r>
              <w:rPr>
                <w:rFonts w:ascii="Times New Roman" w:hAnsi="Times New Roman" w:eastAsia="宋体"/>
                <w:b w:val="0"/>
                <w:sz w:val="18"/>
              </w:rPr>
              <w:t>第一阶段</w:t>
            </w:r>
          </w:p>
        </w:tc>
        <w:tc>
          <w:tcPr>
            <w:tcW w:type="dxa" w:w="1247"/>
          </w:tcPr>
          <w:p>
            <w:pPr>
              <w:spacing w:before="40" w:after="40" w:line="240" w:lineRule="auto"/>
              <w:jc w:val="center"/>
            </w:pPr>
            <w:r/>
            <w:r>
              <w:rPr>
                <w:rFonts w:ascii="Times New Roman" w:hAnsi="Times New Roman" w:eastAsia="宋体"/>
                <w:b w:val="0"/>
                <w:sz w:val="18"/>
              </w:rPr>
              <w:t>0—6 个月</w:t>
            </w:r>
          </w:p>
        </w:tc>
        <w:tc>
          <w:tcPr>
            <w:tcW w:type="dxa" w:w="3175"/>
          </w:tcPr>
          <w:p>
            <w:pPr>
              <w:spacing w:before="40" w:after="40" w:line="240" w:lineRule="auto"/>
              <w:jc w:val="center"/>
            </w:pPr>
            <w:r/>
            <w:r>
              <w:rPr>
                <w:rFonts w:ascii="Times New Roman" w:hAnsi="Times New Roman" w:eastAsia="宋体"/>
                <w:b w:val="0"/>
                <w:sz w:val="18"/>
              </w:rPr>
              <w:t>编制监督权责清单；制定高风险领域监督标准；统一指标口径</w:t>
            </w:r>
          </w:p>
        </w:tc>
        <w:tc>
          <w:tcPr>
            <w:tcW w:type="dxa" w:w="1928"/>
          </w:tcPr>
          <w:p>
            <w:pPr>
              <w:spacing w:before="40" w:after="40" w:line="240" w:lineRule="auto"/>
              <w:jc w:val="center"/>
            </w:pPr>
            <w:r/>
            <w:r>
              <w:rPr>
                <w:rFonts w:ascii="Times New Roman" w:hAnsi="Times New Roman" w:eastAsia="宋体"/>
                <w:b w:val="0"/>
                <w:sz w:val="18"/>
              </w:rPr>
              <w:t>纪检监察部门</w:t>
            </w:r>
          </w:p>
        </w:tc>
        <w:tc>
          <w:tcPr>
            <w:tcW w:type="dxa" w:w="2835"/>
          </w:tcPr>
          <w:p>
            <w:pPr>
              <w:spacing w:before="40" w:after="40" w:line="240" w:lineRule="auto"/>
              <w:jc w:val="center"/>
            </w:pPr>
            <w:r/>
            <w:r>
              <w:rPr>
                <w:rFonts w:ascii="Times New Roman" w:hAnsi="Times New Roman" w:eastAsia="宋体"/>
                <w:b w:val="0"/>
                <w:sz w:val="18"/>
              </w:rPr>
              <w:t>清单覆盖率 100%，口径文件经三级会签</w:t>
            </w:r>
          </w:p>
        </w:tc>
      </w:tr>
      <w:tr>
        <w:tc>
          <w:tcPr>
            <w:tcW w:type="dxa" w:w="1134"/>
          </w:tcPr>
          <w:p>
            <w:pPr>
              <w:spacing w:before="40" w:after="40" w:line="240" w:lineRule="auto"/>
              <w:jc w:val="left"/>
            </w:pPr>
            <w:r/>
            <w:r>
              <w:rPr>
                <w:rFonts w:ascii="Times New Roman" w:hAnsi="Times New Roman" w:eastAsia="宋体"/>
                <w:b w:val="0"/>
                <w:sz w:val="18"/>
              </w:rPr>
              <w:t>第一阶段</w:t>
            </w:r>
          </w:p>
        </w:tc>
        <w:tc>
          <w:tcPr>
            <w:tcW w:type="dxa" w:w="1247"/>
          </w:tcPr>
          <w:p>
            <w:pPr>
              <w:spacing w:before="40" w:after="40" w:line="240" w:lineRule="auto"/>
              <w:jc w:val="center"/>
            </w:pPr>
            <w:r/>
            <w:r>
              <w:rPr>
                <w:rFonts w:ascii="Times New Roman" w:hAnsi="Times New Roman" w:eastAsia="宋体"/>
                <w:b w:val="0"/>
                <w:sz w:val="18"/>
              </w:rPr>
              <w:t>0—6 个月</w:t>
            </w:r>
          </w:p>
        </w:tc>
        <w:tc>
          <w:tcPr>
            <w:tcW w:type="dxa" w:w="3175"/>
          </w:tcPr>
          <w:p>
            <w:pPr>
              <w:spacing w:before="40" w:after="40" w:line="240" w:lineRule="auto"/>
              <w:jc w:val="center"/>
            </w:pPr>
            <w:r/>
            <w:r>
              <w:rPr>
                <w:rFonts w:ascii="Times New Roman" w:hAnsi="Times New Roman" w:eastAsia="宋体"/>
                <w:b w:val="0"/>
                <w:sz w:val="18"/>
              </w:rPr>
              <w:t>选取 2 个县级局开展试点；采集基线数据</w:t>
            </w:r>
          </w:p>
        </w:tc>
        <w:tc>
          <w:tcPr>
            <w:tcW w:type="dxa" w:w="1928"/>
          </w:tcPr>
          <w:p>
            <w:pPr>
              <w:spacing w:before="40" w:after="40" w:line="240" w:lineRule="auto"/>
              <w:jc w:val="center"/>
            </w:pPr>
            <w:r/>
            <w:r>
              <w:rPr>
                <w:rFonts w:ascii="Times New Roman" w:hAnsi="Times New Roman" w:eastAsia="宋体"/>
                <w:b w:val="0"/>
                <w:sz w:val="18"/>
              </w:rPr>
              <w:t>市局纪检 + 试点单位</w:t>
            </w:r>
          </w:p>
        </w:tc>
        <w:tc>
          <w:tcPr>
            <w:tcW w:type="dxa" w:w="2835"/>
          </w:tcPr>
          <w:p>
            <w:pPr>
              <w:spacing w:before="40" w:after="40" w:line="240" w:lineRule="auto"/>
              <w:jc w:val="center"/>
            </w:pPr>
            <w:r/>
            <w:r>
              <w:rPr>
                <w:rFonts w:ascii="Times New Roman" w:hAnsi="Times New Roman" w:eastAsia="宋体"/>
                <w:b w:val="0"/>
                <w:sz w:val="18"/>
              </w:rPr>
              <w:t>基线数据完整率≥95%</w:t>
            </w:r>
          </w:p>
        </w:tc>
      </w:tr>
      <w:tr>
        <w:tc>
          <w:tcPr>
            <w:tcW w:type="dxa" w:w="1134"/>
          </w:tcPr>
          <w:p>
            <w:pPr>
              <w:spacing w:before="40" w:after="40" w:line="240" w:lineRule="auto"/>
              <w:jc w:val="left"/>
            </w:pPr>
            <w:r/>
            <w:r>
              <w:rPr>
                <w:rFonts w:ascii="Times New Roman" w:hAnsi="Times New Roman" w:eastAsia="宋体"/>
                <w:b w:val="0"/>
                <w:sz w:val="18"/>
              </w:rPr>
              <w:t>第二阶段</w:t>
            </w:r>
          </w:p>
        </w:tc>
        <w:tc>
          <w:tcPr>
            <w:tcW w:type="dxa" w:w="1247"/>
          </w:tcPr>
          <w:p>
            <w:pPr>
              <w:spacing w:before="40" w:after="40" w:line="240" w:lineRule="auto"/>
              <w:jc w:val="center"/>
            </w:pPr>
            <w:r/>
            <w:r>
              <w:rPr>
                <w:rFonts w:ascii="Times New Roman" w:hAnsi="Times New Roman" w:eastAsia="宋体"/>
                <w:b w:val="0"/>
                <w:sz w:val="18"/>
              </w:rPr>
              <w:t>6—18 个月</w:t>
            </w:r>
          </w:p>
        </w:tc>
        <w:tc>
          <w:tcPr>
            <w:tcW w:type="dxa" w:w="3175"/>
          </w:tcPr>
          <w:p>
            <w:pPr>
              <w:spacing w:before="40" w:after="40" w:line="240" w:lineRule="auto"/>
              <w:jc w:val="center"/>
            </w:pPr>
            <w:r/>
            <w:r>
              <w:rPr>
                <w:rFonts w:ascii="Times New Roman" w:hAnsi="Times New Roman" w:eastAsia="宋体"/>
                <w:b w:val="0"/>
                <w:sz w:val="18"/>
              </w:rPr>
              <w:t>建设监督数据中台；开发风险预警模型</w:t>
            </w:r>
          </w:p>
        </w:tc>
        <w:tc>
          <w:tcPr>
            <w:tcW w:type="dxa" w:w="1928"/>
          </w:tcPr>
          <w:p>
            <w:pPr>
              <w:spacing w:before="40" w:after="40" w:line="240" w:lineRule="auto"/>
              <w:jc w:val="center"/>
            </w:pPr>
            <w:r/>
            <w:r>
              <w:rPr>
                <w:rFonts w:ascii="Times New Roman" w:hAnsi="Times New Roman" w:eastAsia="宋体"/>
                <w:b w:val="0"/>
                <w:sz w:val="18"/>
              </w:rPr>
              <w:t>信息中心 + 纪检监察</w:t>
            </w:r>
          </w:p>
        </w:tc>
        <w:tc>
          <w:tcPr>
            <w:tcW w:type="dxa" w:w="2835"/>
          </w:tcPr>
          <w:p>
            <w:pPr>
              <w:spacing w:before="40" w:after="40" w:line="240" w:lineRule="auto"/>
              <w:jc w:val="center"/>
            </w:pPr>
            <w:r/>
            <w:r>
              <w:rPr>
                <w:rFonts w:ascii="Times New Roman" w:hAnsi="Times New Roman" w:eastAsia="宋体"/>
                <w:b w:val="0"/>
                <w:sz w:val="18"/>
              </w:rPr>
              <w:t>数据汇聚完整率≥90%，模型上线≥4 个</w:t>
            </w:r>
          </w:p>
        </w:tc>
      </w:tr>
      <w:tr>
        <w:tc>
          <w:tcPr>
            <w:tcW w:type="dxa" w:w="1134"/>
          </w:tcPr>
          <w:p>
            <w:pPr>
              <w:spacing w:before="40" w:after="40" w:line="240" w:lineRule="auto"/>
              <w:jc w:val="left"/>
            </w:pPr>
            <w:r/>
            <w:r>
              <w:rPr>
                <w:rFonts w:ascii="Times New Roman" w:hAnsi="Times New Roman" w:eastAsia="宋体"/>
                <w:b w:val="0"/>
                <w:sz w:val="18"/>
              </w:rPr>
              <w:t>第二阶段</w:t>
            </w:r>
          </w:p>
        </w:tc>
        <w:tc>
          <w:tcPr>
            <w:tcW w:type="dxa" w:w="1247"/>
          </w:tcPr>
          <w:p>
            <w:pPr>
              <w:spacing w:before="40" w:after="40" w:line="240" w:lineRule="auto"/>
              <w:jc w:val="center"/>
            </w:pPr>
            <w:r/>
            <w:r>
              <w:rPr>
                <w:rFonts w:ascii="Times New Roman" w:hAnsi="Times New Roman" w:eastAsia="宋体"/>
                <w:b w:val="0"/>
                <w:sz w:val="18"/>
              </w:rPr>
              <w:t>6—18 个月</w:t>
            </w:r>
          </w:p>
        </w:tc>
        <w:tc>
          <w:tcPr>
            <w:tcW w:type="dxa" w:w="3175"/>
          </w:tcPr>
          <w:p>
            <w:pPr>
              <w:spacing w:before="40" w:after="40" w:line="240" w:lineRule="auto"/>
              <w:jc w:val="center"/>
            </w:pPr>
            <w:r/>
            <w:r>
              <w:rPr>
                <w:rFonts w:ascii="Times New Roman" w:hAnsi="Times New Roman" w:eastAsia="宋体"/>
                <w:b w:val="0"/>
                <w:sz w:val="18"/>
              </w:rPr>
              <w:t>业务链嵌入监督卡点；核算监督减负成效</w:t>
            </w:r>
          </w:p>
        </w:tc>
        <w:tc>
          <w:tcPr>
            <w:tcW w:type="dxa" w:w="1928"/>
          </w:tcPr>
          <w:p>
            <w:pPr>
              <w:spacing w:before="40" w:after="40" w:line="240" w:lineRule="auto"/>
              <w:jc w:val="center"/>
            </w:pPr>
            <w:r/>
            <w:r>
              <w:rPr>
                <w:rFonts w:ascii="Times New Roman" w:hAnsi="Times New Roman" w:eastAsia="宋体"/>
                <w:b w:val="0"/>
                <w:sz w:val="18"/>
              </w:rPr>
              <w:t>业务部门 + 纪检监察</w:t>
            </w:r>
          </w:p>
        </w:tc>
        <w:tc>
          <w:tcPr>
            <w:tcW w:type="dxa" w:w="2835"/>
          </w:tcPr>
          <w:p>
            <w:pPr>
              <w:spacing w:before="40" w:after="40" w:line="240" w:lineRule="auto"/>
              <w:jc w:val="center"/>
            </w:pPr>
            <w:r/>
            <w:r>
              <w:rPr>
                <w:rFonts w:ascii="Times New Roman" w:hAnsi="Times New Roman" w:eastAsia="宋体"/>
                <w:b w:val="0"/>
                <w:sz w:val="18"/>
              </w:rPr>
              <w:t>关键节点卡点覆盖率≥80%，重复报送率下降≥30%</w:t>
            </w:r>
          </w:p>
        </w:tc>
      </w:tr>
      <w:tr>
        <w:tc>
          <w:tcPr>
            <w:tcW w:type="dxa" w:w="1134"/>
          </w:tcPr>
          <w:p>
            <w:pPr>
              <w:spacing w:before="40" w:after="40" w:line="240" w:lineRule="auto"/>
              <w:jc w:val="left"/>
            </w:pPr>
            <w:r/>
            <w:r>
              <w:rPr>
                <w:rFonts w:ascii="Times New Roman" w:hAnsi="Times New Roman" w:eastAsia="宋体"/>
                <w:b w:val="0"/>
                <w:sz w:val="18"/>
              </w:rPr>
              <w:t>第三阶段</w:t>
            </w:r>
          </w:p>
        </w:tc>
        <w:tc>
          <w:tcPr>
            <w:tcW w:type="dxa" w:w="1247"/>
          </w:tcPr>
          <w:p>
            <w:pPr>
              <w:spacing w:before="40" w:after="40" w:line="240" w:lineRule="auto"/>
              <w:jc w:val="center"/>
            </w:pPr>
            <w:r/>
            <w:r>
              <w:rPr>
                <w:rFonts w:ascii="Times New Roman" w:hAnsi="Times New Roman" w:eastAsia="宋体"/>
                <w:b w:val="0"/>
                <w:sz w:val="18"/>
              </w:rPr>
              <w:t>18—36 个月</w:t>
            </w:r>
          </w:p>
        </w:tc>
        <w:tc>
          <w:tcPr>
            <w:tcW w:type="dxa" w:w="3175"/>
          </w:tcPr>
          <w:p>
            <w:pPr>
              <w:spacing w:before="40" w:after="40" w:line="240" w:lineRule="auto"/>
              <w:jc w:val="center"/>
            </w:pPr>
            <w:r/>
            <w:r>
              <w:rPr>
                <w:rFonts w:ascii="Times New Roman" w:hAnsi="Times New Roman" w:eastAsia="宋体"/>
                <w:b w:val="0"/>
                <w:sz w:val="18"/>
              </w:rPr>
              <w:t>健全刚性问责机制；实施效能指数考核</w:t>
            </w:r>
          </w:p>
        </w:tc>
        <w:tc>
          <w:tcPr>
            <w:tcW w:type="dxa" w:w="1928"/>
          </w:tcPr>
          <w:p>
            <w:pPr>
              <w:spacing w:before="40" w:after="40" w:line="240" w:lineRule="auto"/>
              <w:jc w:val="center"/>
            </w:pPr>
            <w:r/>
            <w:r>
              <w:rPr>
                <w:rFonts w:ascii="Times New Roman" w:hAnsi="Times New Roman" w:eastAsia="宋体"/>
                <w:b w:val="0"/>
                <w:sz w:val="18"/>
              </w:rPr>
              <w:t>党委 + 纪检监察</w:t>
            </w:r>
          </w:p>
        </w:tc>
        <w:tc>
          <w:tcPr>
            <w:tcW w:type="dxa" w:w="2835"/>
          </w:tcPr>
          <w:p>
            <w:pPr>
              <w:spacing w:before="40" w:after="40" w:line="240" w:lineRule="auto"/>
              <w:jc w:val="center"/>
            </w:pPr>
            <w:r/>
            <w:r>
              <w:rPr>
                <w:rFonts w:ascii="Times New Roman" w:hAnsi="Times New Roman" w:eastAsia="宋体"/>
                <w:b w:val="0"/>
                <w:sz w:val="18"/>
              </w:rPr>
              <w:t>整改销号率 100%，效能指数纳入年度考核</w:t>
            </w:r>
          </w:p>
        </w:tc>
      </w:tr>
      <w:tr>
        <w:tc>
          <w:tcPr>
            <w:tcW w:type="dxa" w:w="1134"/>
            <w:tcBorders>
              <w:bottom w:val="single" w:sz="12" w:space="0" w:color="000000"/>
            </w:tcBorders>
          </w:tcPr>
          <w:p>
            <w:pPr>
              <w:spacing w:before="40" w:after="40" w:line="240" w:lineRule="auto"/>
              <w:jc w:val="left"/>
            </w:pPr>
            <w:r/>
            <w:r>
              <w:rPr>
                <w:rFonts w:ascii="Times New Roman" w:hAnsi="Times New Roman" w:eastAsia="宋体"/>
                <w:b w:val="0"/>
                <w:sz w:val="18"/>
              </w:rPr>
              <w:t>第三阶段</w:t>
            </w:r>
          </w:p>
        </w:tc>
        <w:tc>
          <w:tcPr>
            <w:tcW w:type="dxa" w:w="1247"/>
            <w:tcBorders>
              <w:bottom w:val="single" w:sz="12" w:space="0" w:color="000000"/>
            </w:tcBorders>
          </w:tcPr>
          <w:p>
            <w:pPr>
              <w:spacing w:before="40" w:after="40" w:line="240" w:lineRule="auto"/>
              <w:jc w:val="center"/>
            </w:pPr>
            <w:r/>
            <w:r>
              <w:rPr>
                <w:rFonts w:ascii="Times New Roman" w:hAnsi="Times New Roman" w:eastAsia="宋体"/>
                <w:b w:val="0"/>
                <w:sz w:val="18"/>
              </w:rPr>
              <w:t>18—36 个月</w:t>
            </w:r>
          </w:p>
        </w:tc>
        <w:tc>
          <w:tcPr>
            <w:tcW w:type="dxa" w:w="3175"/>
            <w:tcBorders>
              <w:bottom w:val="single" w:sz="12" w:space="0" w:color="000000"/>
            </w:tcBorders>
          </w:tcPr>
          <w:p>
            <w:pPr>
              <w:spacing w:before="40" w:after="40" w:line="240" w:lineRule="auto"/>
              <w:jc w:val="center"/>
            </w:pPr>
            <w:r/>
            <w:r>
              <w:rPr>
                <w:rFonts w:ascii="Times New Roman" w:hAnsi="Times New Roman" w:eastAsia="宋体"/>
                <w:b w:val="0"/>
                <w:sz w:val="18"/>
              </w:rPr>
              <w:t>全域评估；经验复制推广</w:t>
            </w:r>
          </w:p>
        </w:tc>
        <w:tc>
          <w:tcPr>
            <w:tcW w:type="dxa" w:w="1928"/>
            <w:tcBorders>
              <w:bottom w:val="single" w:sz="12" w:space="0" w:color="000000"/>
            </w:tcBorders>
          </w:tcPr>
          <w:p>
            <w:pPr>
              <w:spacing w:before="40" w:after="40" w:line="240" w:lineRule="auto"/>
              <w:jc w:val="center"/>
            </w:pPr>
            <w:r/>
            <w:r>
              <w:rPr>
                <w:rFonts w:ascii="Times New Roman" w:hAnsi="Times New Roman" w:eastAsia="宋体"/>
                <w:b w:val="0"/>
                <w:sz w:val="18"/>
              </w:rPr>
              <w:t>市局党委</w:t>
            </w:r>
          </w:p>
        </w:tc>
        <w:tc>
          <w:tcPr>
            <w:tcW w:type="dxa" w:w="2835"/>
            <w:tcBorders>
              <w:bottom w:val="single" w:sz="12" w:space="0" w:color="000000"/>
            </w:tcBorders>
          </w:tcPr>
          <w:p>
            <w:pPr>
              <w:spacing w:before="40" w:after="40" w:line="240" w:lineRule="auto"/>
              <w:jc w:val="center"/>
            </w:pPr>
            <w:r/>
            <w:r>
              <w:rPr>
                <w:rFonts w:ascii="Times New Roman" w:hAnsi="Times New Roman" w:eastAsia="宋体"/>
                <w:b w:val="0"/>
                <w:sz w:val="18"/>
              </w:rPr>
              <w:t>完成评估报告并形成制度成果</w:t>
            </w:r>
          </w:p>
        </w:tc>
      </w:tr>
    </w:tbl>
    <w:p>
      <w:pPr>
        <w:spacing w:before="40" w:after="160" w:line="240" w:lineRule="auto"/>
        <w:ind w:firstLine="0"/>
        <w:jc w:val="left"/>
      </w:pPr>
      <w:r>
        <w:rPr>
          <w:rFonts w:ascii="Times New Roman" w:hAnsi="Times New Roman" w:eastAsia="宋体"/>
          <w:b w:val="0"/>
          <w:sz w:val="18"/>
        </w:rPr>
        <w:t>注：验收口径为建议值，各单位可按实际情况调整，但须在阶段启动前明确并保持不变。</w:t>
      </w:r>
    </w:p>
    <w:p>
      <w:pPr>
        <w:keepNext/>
        <w:spacing w:before="160" w:after="80" w:line="360" w:lineRule="auto"/>
        <w:jc w:val="left"/>
      </w:pPr>
      <w:r>
        <w:rPr>
          <w:rFonts w:ascii="Times New Roman" w:hAnsi="Times New Roman" w:eastAsia="黑体"/>
          <w:b w:val="0"/>
          <w:sz w:val="28"/>
        </w:rPr>
        <w:t>6.3  效果验证设计及其可行性</w:t>
      </w:r>
    </w:p>
    <w:p>
      <w:pPr>
        <w:spacing w:before="0" w:after="0" w:line="360" w:lineRule="auto"/>
        <w:ind w:firstLine="480"/>
        <w:jc w:val="both"/>
      </w:pPr>
      <w:r>
        <w:rPr>
          <w:rFonts w:ascii="Times New Roman" w:hAnsi="Times New Roman" w:eastAsia="宋体"/>
          <w:b w:val="0"/>
          <w:sz w:val="24"/>
        </w:rPr>
        <w:t>穿透式监督是否有效，需要证据而非断言。本文建议采用分批推行的准实验设计：先在部分单位实施，未实施单位作为对照，以监督效能指数为结果变量，用双重差分方法估计政策效应。但在设计之前必须先做功效分析，否则可能投入大量资源却得不到任何结论。</w:t>
      </w:r>
    </w:p>
    <w:p>
      <w:pPr>
        <w:spacing w:before="0" w:after="0" w:line="360" w:lineRule="auto"/>
        <w:ind w:firstLine="480"/>
        <w:jc w:val="both"/>
      </w:pPr>
      <w:r>
        <w:rPr>
          <w:rFonts w:ascii="Times New Roman" w:hAnsi="Times New Roman" w:eastAsia="宋体"/>
          <w:b w:val="0"/>
          <w:sz w:val="24"/>
        </w:rPr>
        <w:t>设监督效能指数的组内标准差 σ=12（百分制），组内相关系数 ICC=0.15，在 α=0.05 双侧、power=0.80 下，不同评估单元数 J 与观测期数 T 对应的最小可检出效应（MDE）如表 6 与图 10 所示。</w:t>
      </w:r>
    </w:p>
    <w:p>
      <w:pPr>
        <w:keepNext/>
        <w:spacing w:before="160" w:after="40" w:line="240" w:lineRule="auto"/>
        <w:jc w:val="center"/>
      </w:pPr>
      <w:r>
        <w:rPr>
          <w:rFonts w:ascii="Times New Roman" w:hAnsi="Times New Roman" w:eastAsia="黑体"/>
          <w:b w:val="0"/>
          <w:sz w:val="21"/>
        </w:rPr>
        <w:t>表 6  分批推行准实验评估的最小可检出效应</w:t>
      </w:r>
    </w:p>
    <w:tbl>
      <w:tblPr>
        <w:tblW w:type="auto" w:w="0"/>
        <w:jc w:val="center"/>
        <w:tblLayout w:type="autofit"/>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209"/>
        <w:gridCol w:w="2209"/>
        <w:gridCol w:w="2209"/>
        <w:gridCol w:w="2209"/>
      </w:tblGrid>
      <w:tr>
        <w:tc>
          <w:tcPr>
            <w:tcW w:type="dxa" w:w="1928"/>
            <w:tcBorders>
              <w:top w:val="single" w:sz="12" w:space="0" w:color="000000"/>
              <w:bottom w:val="single" w:sz="6" w:space="0" w:color="000000"/>
            </w:tcBorders>
          </w:tcPr>
          <w:p>
            <w:pPr>
              <w:spacing w:before="40" w:after="40" w:line="240" w:lineRule="auto"/>
              <w:jc w:val="left"/>
            </w:pPr>
            <w:r/>
            <w:r>
              <w:rPr>
                <w:rFonts w:ascii="Times New Roman" w:hAnsi="Times New Roman" w:eastAsia="宋体"/>
                <w:b/>
                <w:sz w:val="19"/>
              </w:rPr>
              <w:t>评估单元数 J</w:t>
            </w:r>
          </w:p>
        </w:tc>
        <w:tc>
          <w:tcPr>
            <w:tcW w:type="dxa" w:w="192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观测期数 T</w:t>
            </w:r>
          </w:p>
        </w:tc>
        <w:tc>
          <w:tcPr>
            <w:tcW w:type="dxa" w:w="294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最小可检出效应 / 指数点</w:t>
            </w:r>
          </w:p>
        </w:tc>
        <w:tc>
          <w:tcPr>
            <w:tcW w:type="dxa" w:w="2268"/>
            <w:tcBorders>
              <w:top w:val="single" w:sz="12" w:space="0" w:color="000000"/>
              <w:bottom w:val="single" w:sz="6" w:space="0" w:color="000000"/>
            </w:tcBorders>
          </w:tcPr>
          <w:p>
            <w:pPr>
              <w:spacing w:before="40" w:after="40" w:line="240" w:lineRule="auto"/>
              <w:jc w:val="center"/>
            </w:pPr>
            <w:r/>
            <w:r>
              <w:rPr>
                <w:rFonts w:ascii="Times New Roman" w:hAnsi="Times New Roman" w:eastAsia="宋体"/>
                <w:b/>
                <w:sz w:val="19"/>
              </w:rPr>
              <w:t>相对基准 60 分 / %</w:t>
            </w:r>
          </w:p>
        </w:tc>
      </w:tr>
      <w:tr>
        <w:tc>
          <w:tcPr>
            <w:tcW w:type="dxa" w:w="1928"/>
          </w:tcPr>
          <w:p>
            <w:pPr>
              <w:spacing w:before="40" w:after="40" w:line="240" w:lineRule="auto"/>
              <w:jc w:val="left"/>
            </w:pPr>
            <w:r/>
            <w:r>
              <w:rPr>
                <w:rFonts w:ascii="Times New Roman" w:hAnsi="Times New Roman" w:eastAsia="宋体"/>
                <w:b w:val="0"/>
                <w:sz w:val="19"/>
              </w:rPr>
              <w:t>8</w:t>
            </w:r>
          </w:p>
        </w:tc>
        <w:tc>
          <w:tcPr>
            <w:tcW w:type="dxa" w:w="1928"/>
          </w:tcPr>
          <w:p>
            <w:pPr>
              <w:spacing w:before="40" w:after="40" w:line="240" w:lineRule="auto"/>
              <w:jc w:val="center"/>
            </w:pPr>
            <w:r/>
            <w:r>
              <w:rPr>
                <w:rFonts w:ascii="Times New Roman" w:hAnsi="Times New Roman" w:eastAsia="宋体"/>
                <w:b w:val="0"/>
                <w:sz w:val="19"/>
              </w:rPr>
              <w:t>4</w:t>
            </w:r>
          </w:p>
        </w:tc>
        <w:tc>
          <w:tcPr>
            <w:tcW w:type="dxa" w:w="2948"/>
          </w:tcPr>
          <w:p>
            <w:pPr>
              <w:spacing w:before="40" w:after="40" w:line="240" w:lineRule="auto"/>
              <w:jc w:val="center"/>
            </w:pPr>
            <w:r/>
            <w:r>
              <w:rPr>
                <w:rFonts w:ascii="Times New Roman" w:hAnsi="Times New Roman" w:eastAsia="宋体"/>
                <w:b w:val="0"/>
                <w:sz w:val="19"/>
              </w:rPr>
              <w:t>14.31</w:t>
            </w:r>
          </w:p>
        </w:tc>
        <w:tc>
          <w:tcPr>
            <w:tcW w:type="dxa" w:w="2268"/>
          </w:tcPr>
          <w:p>
            <w:pPr>
              <w:spacing w:before="40" w:after="40" w:line="240" w:lineRule="auto"/>
              <w:jc w:val="center"/>
            </w:pPr>
            <w:r/>
            <w:r>
              <w:rPr>
                <w:rFonts w:ascii="Times New Roman" w:hAnsi="Times New Roman" w:eastAsia="宋体"/>
                <w:b w:val="0"/>
                <w:sz w:val="19"/>
              </w:rPr>
              <w:t>23.9</w:t>
            </w:r>
          </w:p>
        </w:tc>
      </w:tr>
      <w:tr>
        <w:tc>
          <w:tcPr>
            <w:tcW w:type="dxa" w:w="1928"/>
          </w:tcPr>
          <w:p>
            <w:pPr>
              <w:spacing w:before="40" w:after="40" w:line="240" w:lineRule="auto"/>
              <w:jc w:val="left"/>
            </w:pPr>
            <w:r/>
            <w:r>
              <w:rPr>
                <w:rFonts w:ascii="Times New Roman" w:hAnsi="Times New Roman" w:eastAsia="宋体"/>
                <w:b w:val="0"/>
                <w:sz w:val="19"/>
              </w:rPr>
              <w:t>8</w:t>
            </w:r>
          </w:p>
        </w:tc>
        <w:tc>
          <w:tcPr>
            <w:tcW w:type="dxa" w:w="1928"/>
          </w:tcPr>
          <w:p>
            <w:pPr>
              <w:spacing w:before="40" w:after="40" w:line="240" w:lineRule="auto"/>
              <w:jc w:val="center"/>
            </w:pPr>
            <w:r/>
            <w:r>
              <w:rPr>
                <w:rFonts w:ascii="Times New Roman" w:hAnsi="Times New Roman" w:eastAsia="宋体"/>
                <w:b w:val="0"/>
                <w:sz w:val="19"/>
              </w:rPr>
              <w:t>8</w:t>
            </w:r>
          </w:p>
        </w:tc>
        <w:tc>
          <w:tcPr>
            <w:tcW w:type="dxa" w:w="2948"/>
          </w:tcPr>
          <w:p>
            <w:pPr>
              <w:spacing w:before="40" w:after="40" w:line="240" w:lineRule="auto"/>
              <w:jc w:val="center"/>
            </w:pPr>
            <w:r/>
            <w:r>
              <w:rPr>
                <w:rFonts w:ascii="Times New Roman" w:hAnsi="Times New Roman" w:eastAsia="宋体"/>
                <w:b w:val="0"/>
                <w:sz w:val="19"/>
              </w:rPr>
              <w:t>12.03</w:t>
            </w:r>
          </w:p>
        </w:tc>
        <w:tc>
          <w:tcPr>
            <w:tcW w:type="dxa" w:w="2268"/>
          </w:tcPr>
          <w:p>
            <w:pPr>
              <w:spacing w:before="40" w:after="40" w:line="240" w:lineRule="auto"/>
              <w:jc w:val="center"/>
            </w:pPr>
            <w:r/>
            <w:r>
              <w:rPr>
                <w:rFonts w:ascii="Times New Roman" w:hAnsi="Times New Roman" w:eastAsia="宋体"/>
                <w:b w:val="0"/>
                <w:sz w:val="19"/>
              </w:rPr>
              <w:t>20.1</w:t>
            </w:r>
          </w:p>
        </w:tc>
      </w:tr>
      <w:tr>
        <w:tc>
          <w:tcPr>
            <w:tcW w:type="dxa" w:w="1928"/>
          </w:tcPr>
          <w:p>
            <w:pPr>
              <w:spacing w:before="40" w:after="40" w:line="240" w:lineRule="auto"/>
              <w:jc w:val="left"/>
            </w:pPr>
            <w:r/>
            <w:r>
              <w:rPr>
                <w:rFonts w:ascii="Times New Roman" w:hAnsi="Times New Roman" w:eastAsia="宋体"/>
                <w:b w:val="0"/>
                <w:sz w:val="19"/>
              </w:rPr>
              <w:t>10</w:t>
            </w:r>
          </w:p>
        </w:tc>
        <w:tc>
          <w:tcPr>
            <w:tcW w:type="dxa" w:w="1928"/>
          </w:tcPr>
          <w:p>
            <w:pPr>
              <w:spacing w:before="40" w:after="40" w:line="240" w:lineRule="auto"/>
              <w:jc w:val="center"/>
            </w:pPr>
            <w:r/>
            <w:r>
              <w:rPr>
                <w:rFonts w:ascii="Times New Roman" w:hAnsi="Times New Roman" w:eastAsia="宋体"/>
                <w:b w:val="0"/>
                <w:sz w:val="19"/>
              </w:rPr>
              <w:t>4</w:t>
            </w:r>
          </w:p>
        </w:tc>
        <w:tc>
          <w:tcPr>
            <w:tcW w:type="dxa" w:w="2948"/>
          </w:tcPr>
          <w:p>
            <w:pPr>
              <w:spacing w:before="40" w:after="40" w:line="240" w:lineRule="auto"/>
              <w:jc w:val="center"/>
            </w:pPr>
            <w:r/>
            <w:r>
              <w:rPr>
                <w:rFonts w:ascii="Times New Roman" w:hAnsi="Times New Roman" w:eastAsia="宋体"/>
                <w:b w:val="0"/>
                <w:sz w:val="19"/>
              </w:rPr>
              <w:t>12.80</w:t>
            </w:r>
          </w:p>
        </w:tc>
        <w:tc>
          <w:tcPr>
            <w:tcW w:type="dxa" w:w="2268"/>
          </w:tcPr>
          <w:p>
            <w:pPr>
              <w:spacing w:before="40" w:after="40" w:line="240" w:lineRule="auto"/>
              <w:jc w:val="center"/>
            </w:pPr>
            <w:r/>
            <w:r>
              <w:rPr>
                <w:rFonts w:ascii="Times New Roman" w:hAnsi="Times New Roman" w:eastAsia="宋体"/>
                <w:b w:val="0"/>
                <w:sz w:val="19"/>
              </w:rPr>
              <w:t>21.3</w:t>
            </w:r>
          </w:p>
        </w:tc>
      </w:tr>
      <w:tr>
        <w:tc>
          <w:tcPr>
            <w:tcW w:type="dxa" w:w="1928"/>
          </w:tcPr>
          <w:p>
            <w:pPr>
              <w:spacing w:before="40" w:after="40" w:line="240" w:lineRule="auto"/>
              <w:jc w:val="left"/>
            </w:pPr>
            <w:r/>
            <w:r>
              <w:rPr>
                <w:rFonts w:ascii="Times New Roman" w:hAnsi="Times New Roman" w:eastAsia="宋体"/>
                <w:b w:val="0"/>
                <w:sz w:val="19"/>
              </w:rPr>
              <w:t>10</w:t>
            </w:r>
          </w:p>
        </w:tc>
        <w:tc>
          <w:tcPr>
            <w:tcW w:type="dxa" w:w="1928"/>
          </w:tcPr>
          <w:p>
            <w:pPr>
              <w:spacing w:before="40" w:after="40" w:line="240" w:lineRule="auto"/>
              <w:jc w:val="center"/>
            </w:pPr>
            <w:r/>
            <w:r>
              <w:rPr>
                <w:rFonts w:ascii="Times New Roman" w:hAnsi="Times New Roman" w:eastAsia="宋体"/>
                <w:b w:val="0"/>
                <w:sz w:val="19"/>
              </w:rPr>
              <w:t>8</w:t>
            </w:r>
          </w:p>
        </w:tc>
        <w:tc>
          <w:tcPr>
            <w:tcW w:type="dxa" w:w="2948"/>
          </w:tcPr>
          <w:p>
            <w:pPr>
              <w:spacing w:before="40" w:after="40" w:line="240" w:lineRule="auto"/>
              <w:jc w:val="center"/>
            </w:pPr>
            <w:r/>
            <w:r>
              <w:rPr>
                <w:rFonts w:ascii="Times New Roman" w:hAnsi="Times New Roman" w:eastAsia="宋体"/>
                <w:b w:val="0"/>
                <w:sz w:val="19"/>
              </w:rPr>
              <w:t>10.76</w:t>
            </w:r>
          </w:p>
        </w:tc>
        <w:tc>
          <w:tcPr>
            <w:tcW w:type="dxa" w:w="2268"/>
          </w:tcPr>
          <w:p>
            <w:pPr>
              <w:spacing w:before="40" w:after="40" w:line="240" w:lineRule="auto"/>
              <w:jc w:val="center"/>
            </w:pPr>
            <w:r/>
            <w:r>
              <w:rPr>
                <w:rFonts w:ascii="Times New Roman" w:hAnsi="Times New Roman" w:eastAsia="宋体"/>
                <w:b w:val="0"/>
                <w:sz w:val="19"/>
              </w:rPr>
              <w:t>17.9</w:t>
            </w:r>
          </w:p>
        </w:tc>
      </w:tr>
      <w:tr>
        <w:tc>
          <w:tcPr>
            <w:tcW w:type="dxa" w:w="1928"/>
          </w:tcPr>
          <w:p>
            <w:pPr>
              <w:spacing w:before="40" w:after="40" w:line="240" w:lineRule="auto"/>
              <w:jc w:val="left"/>
            </w:pPr>
            <w:r/>
            <w:r>
              <w:rPr>
                <w:rFonts w:ascii="Times New Roman" w:hAnsi="Times New Roman" w:eastAsia="宋体"/>
                <w:b w:val="0"/>
                <w:sz w:val="19"/>
              </w:rPr>
              <w:t>20</w:t>
            </w:r>
          </w:p>
        </w:tc>
        <w:tc>
          <w:tcPr>
            <w:tcW w:type="dxa" w:w="1928"/>
          </w:tcPr>
          <w:p>
            <w:pPr>
              <w:spacing w:before="40" w:after="40" w:line="240" w:lineRule="auto"/>
              <w:jc w:val="center"/>
            </w:pPr>
            <w:r/>
            <w:r>
              <w:rPr>
                <w:rFonts w:ascii="Times New Roman" w:hAnsi="Times New Roman" w:eastAsia="宋体"/>
                <w:b w:val="0"/>
                <w:sz w:val="19"/>
              </w:rPr>
              <w:t>4</w:t>
            </w:r>
          </w:p>
        </w:tc>
        <w:tc>
          <w:tcPr>
            <w:tcW w:type="dxa" w:w="2948"/>
          </w:tcPr>
          <w:p>
            <w:pPr>
              <w:spacing w:before="40" w:after="40" w:line="240" w:lineRule="auto"/>
              <w:jc w:val="center"/>
            </w:pPr>
            <w:r/>
            <w:r>
              <w:rPr>
                <w:rFonts w:ascii="Times New Roman" w:hAnsi="Times New Roman" w:eastAsia="宋体"/>
                <w:b w:val="0"/>
                <w:sz w:val="19"/>
              </w:rPr>
              <w:t>9.05</w:t>
            </w:r>
          </w:p>
        </w:tc>
        <w:tc>
          <w:tcPr>
            <w:tcW w:type="dxa" w:w="2268"/>
          </w:tcPr>
          <w:p>
            <w:pPr>
              <w:spacing w:before="40" w:after="40" w:line="240" w:lineRule="auto"/>
              <w:jc w:val="center"/>
            </w:pPr>
            <w:r/>
            <w:r>
              <w:rPr>
                <w:rFonts w:ascii="Times New Roman" w:hAnsi="Times New Roman" w:eastAsia="宋体"/>
                <w:b w:val="0"/>
                <w:sz w:val="19"/>
              </w:rPr>
              <w:t>15.1</w:t>
            </w:r>
          </w:p>
        </w:tc>
      </w:tr>
      <w:tr>
        <w:tc>
          <w:tcPr>
            <w:tcW w:type="dxa" w:w="1928"/>
          </w:tcPr>
          <w:p>
            <w:pPr>
              <w:spacing w:before="40" w:after="40" w:line="240" w:lineRule="auto"/>
              <w:jc w:val="left"/>
            </w:pPr>
            <w:r/>
            <w:r>
              <w:rPr>
                <w:rFonts w:ascii="Times New Roman" w:hAnsi="Times New Roman" w:eastAsia="宋体"/>
                <w:b w:val="0"/>
                <w:sz w:val="19"/>
              </w:rPr>
              <w:t>20</w:t>
            </w:r>
          </w:p>
        </w:tc>
        <w:tc>
          <w:tcPr>
            <w:tcW w:type="dxa" w:w="1928"/>
          </w:tcPr>
          <w:p>
            <w:pPr>
              <w:spacing w:before="40" w:after="40" w:line="240" w:lineRule="auto"/>
              <w:jc w:val="center"/>
            </w:pPr>
            <w:r/>
            <w:r>
              <w:rPr>
                <w:rFonts w:ascii="Times New Roman" w:hAnsi="Times New Roman" w:eastAsia="宋体"/>
                <w:b w:val="0"/>
                <w:sz w:val="19"/>
              </w:rPr>
              <w:t>8</w:t>
            </w:r>
          </w:p>
        </w:tc>
        <w:tc>
          <w:tcPr>
            <w:tcW w:type="dxa" w:w="2948"/>
          </w:tcPr>
          <w:p>
            <w:pPr>
              <w:spacing w:before="40" w:after="40" w:line="240" w:lineRule="auto"/>
              <w:jc w:val="center"/>
            </w:pPr>
            <w:r/>
            <w:r>
              <w:rPr>
                <w:rFonts w:ascii="Times New Roman" w:hAnsi="Times New Roman" w:eastAsia="宋体"/>
                <w:b w:val="0"/>
                <w:sz w:val="19"/>
              </w:rPr>
              <w:t>7.61</w:t>
            </w:r>
          </w:p>
        </w:tc>
        <w:tc>
          <w:tcPr>
            <w:tcW w:type="dxa" w:w="2268"/>
          </w:tcPr>
          <w:p>
            <w:pPr>
              <w:spacing w:before="40" w:after="40" w:line="240" w:lineRule="auto"/>
              <w:jc w:val="center"/>
            </w:pPr>
            <w:r/>
            <w:r>
              <w:rPr>
                <w:rFonts w:ascii="Times New Roman" w:hAnsi="Times New Roman" w:eastAsia="宋体"/>
                <w:b w:val="0"/>
                <w:sz w:val="19"/>
              </w:rPr>
              <w:t>12.7</w:t>
            </w:r>
          </w:p>
        </w:tc>
      </w:tr>
      <w:tr>
        <w:tc>
          <w:tcPr>
            <w:tcW w:type="dxa" w:w="1928"/>
          </w:tcPr>
          <w:p>
            <w:pPr>
              <w:spacing w:before="40" w:after="40" w:line="240" w:lineRule="auto"/>
              <w:jc w:val="left"/>
            </w:pPr>
            <w:r/>
            <w:r>
              <w:rPr>
                <w:rFonts w:ascii="Times New Roman" w:hAnsi="Times New Roman" w:eastAsia="宋体"/>
                <w:b w:val="0"/>
                <w:sz w:val="19"/>
              </w:rPr>
              <w:t>40</w:t>
            </w:r>
          </w:p>
        </w:tc>
        <w:tc>
          <w:tcPr>
            <w:tcW w:type="dxa" w:w="1928"/>
          </w:tcPr>
          <w:p>
            <w:pPr>
              <w:spacing w:before="40" w:after="40" w:line="240" w:lineRule="auto"/>
              <w:jc w:val="center"/>
            </w:pPr>
            <w:r/>
            <w:r>
              <w:rPr>
                <w:rFonts w:ascii="Times New Roman" w:hAnsi="Times New Roman" w:eastAsia="宋体"/>
                <w:b w:val="0"/>
                <w:sz w:val="19"/>
              </w:rPr>
              <w:t>4</w:t>
            </w:r>
          </w:p>
        </w:tc>
        <w:tc>
          <w:tcPr>
            <w:tcW w:type="dxa" w:w="2948"/>
          </w:tcPr>
          <w:p>
            <w:pPr>
              <w:spacing w:before="40" w:after="40" w:line="240" w:lineRule="auto"/>
              <w:jc w:val="center"/>
            </w:pPr>
            <w:r/>
            <w:r>
              <w:rPr>
                <w:rFonts w:ascii="Times New Roman" w:hAnsi="Times New Roman" w:eastAsia="宋体"/>
                <w:b w:val="0"/>
                <w:sz w:val="19"/>
              </w:rPr>
              <w:t>6.40</w:t>
            </w:r>
          </w:p>
        </w:tc>
        <w:tc>
          <w:tcPr>
            <w:tcW w:type="dxa" w:w="2268"/>
          </w:tcPr>
          <w:p>
            <w:pPr>
              <w:spacing w:before="40" w:after="40" w:line="240" w:lineRule="auto"/>
              <w:jc w:val="center"/>
            </w:pPr>
            <w:r/>
            <w:r>
              <w:rPr>
                <w:rFonts w:ascii="Times New Roman" w:hAnsi="Times New Roman" w:eastAsia="宋体"/>
                <w:b w:val="0"/>
                <w:sz w:val="19"/>
              </w:rPr>
              <w:t>10.7</w:t>
            </w:r>
          </w:p>
        </w:tc>
      </w:tr>
      <w:tr>
        <w:tc>
          <w:tcPr>
            <w:tcW w:type="dxa" w:w="1928"/>
          </w:tcPr>
          <w:p>
            <w:pPr>
              <w:spacing w:before="40" w:after="40" w:line="240" w:lineRule="auto"/>
              <w:jc w:val="left"/>
            </w:pPr>
            <w:r/>
            <w:r>
              <w:rPr>
                <w:rFonts w:ascii="Times New Roman" w:hAnsi="Times New Roman" w:eastAsia="宋体"/>
                <w:b w:val="0"/>
                <w:sz w:val="19"/>
              </w:rPr>
              <w:t>40</w:t>
            </w:r>
          </w:p>
        </w:tc>
        <w:tc>
          <w:tcPr>
            <w:tcW w:type="dxa" w:w="1928"/>
          </w:tcPr>
          <w:p>
            <w:pPr>
              <w:spacing w:before="40" w:after="40" w:line="240" w:lineRule="auto"/>
              <w:jc w:val="center"/>
            </w:pPr>
            <w:r/>
            <w:r>
              <w:rPr>
                <w:rFonts w:ascii="Times New Roman" w:hAnsi="Times New Roman" w:eastAsia="宋体"/>
                <w:b w:val="0"/>
                <w:sz w:val="19"/>
              </w:rPr>
              <w:t>8</w:t>
            </w:r>
          </w:p>
        </w:tc>
        <w:tc>
          <w:tcPr>
            <w:tcW w:type="dxa" w:w="2948"/>
          </w:tcPr>
          <w:p>
            <w:pPr>
              <w:spacing w:before="40" w:after="40" w:line="240" w:lineRule="auto"/>
              <w:jc w:val="center"/>
            </w:pPr>
            <w:r/>
            <w:r>
              <w:rPr>
                <w:rFonts w:ascii="Times New Roman" w:hAnsi="Times New Roman" w:eastAsia="宋体"/>
                <w:b w:val="0"/>
                <w:sz w:val="19"/>
              </w:rPr>
              <w:t>5.38</w:t>
            </w:r>
          </w:p>
        </w:tc>
        <w:tc>
          <w:tcPr>
            <w:tcW w:type="dxa" w:w="2268"/>
          </w:tcPr>
          <w:p>
            <w:pPr>
              <w:spacing w:before="40" w:after="40" w:line="240" w:lineRule="auto"/>
              <w:jc w:val="center"/>
            </w:pPr>
            <w:r/>
            <w:r>
              <w:rPr>
                <w:rFonts w:ascii="Times New Roman" w:hAnsi="Times New Roman" w:eastAsia="宋体"/>
                <w:b w:val="0"/>
                <w:sz w:val="19"/>
              </w:rPr>
              <w:t>9.0</w:t>
            </w:r>
          </w:p>
        </w:tc>
      </w:tr>
      <w:tr>
        <w:tc>
          <w:tcPr>
            <w:tcW w:type="dxa" w:w="1928"/>
          </w:tcPr>
          <w:p>
            <w:pPr>
              <w:spacing w:before="40" w:after="40" w:line="240" w:lineRule="auto"/>
              <w:jc w:val="left"/>
            </w:pPr>
            <w:r/>
            <w:r>
              <w:rPr>
                <w:rFonts w:ascii="Times New Roman" w:hAnsi="Times New Roman" w:eastAsia="宋体"/>
                <w:b w:val="0"/>
                <w:sz w:val="19"/>
              </w:rPr>
              <w:t>60</w:t>
            </w:r>
          </w:p>
        </w:tc>
        <w:tc>
          <w:tcPr>
            <w:tcW w:type="dxa" w:w="1928"/>
          </w:tcPr>
          <w:p>
            <w:pPr>
              <w:spacing w:before="40" w:after="40" w:line="240" w:lineRule="auto"/>
              <w:jc w:val="center"/>
            </w:pPr>
            <w:r/>
            <w:r>
              <w:rPr>
                <w:rFonts w:ascii="Times New Roman" w:hAnsi="Times New Roman" w:eastAsia="宋体"/>
                <w:b w:val="0"/>
                <w:sz w:val="19"/>
              </w:rPr>
              <w:t>4</w:t>
            </w:r>
          </w:p>
        </w:tc>
        <w:tc>
          <w:tcPr>
            <w:tcW w:type="dxa" w:w="2948"/>
          </w:tcPr>
          <w:p>
            <w:pPr>
              <w:spacing w:before="40" w:after="40" w:line="240" w:lineRule="auto"/>
              <w:jc w:val="center"/>
            </w:pPr>
            <w:r/>
            <w:r>
              <w:rPr>
                <w:rFonts w:ascii="Times New Roman" w:hAnsi="Times New Roman" w:eastAsia="宋体"/>
                <w:b w:val="0"/>
                <w:sz w:val="19"/>
              </w:rPr>
              <w:t>5.23</w:t>
            </w:r>
          </w:p>
        </w:tc>
        <w:tc>
          <w:tcPr>
            <w:tcW w:type="dxa" w:w="2268"/>
          </w:tcPr>
          <w:p>
            <w:pPr>
              <w:spacing w:before="40" w:after="40" w:line="240" w:lineRule="auto"/>
              <w:jc w:val="center"/>
            </w:pPr>
            <w:r/>
            <w:r>
              <w:rPr>
                <w:rFonts w:ascii="Times New Roman" w:hAnsi="Times New Roman" w:eastAsia="宋体"/>
                <w:b w:val="0"/>
                <w:sz w:val="19"/>
              </w:rPr>
              <w:t>8.7</w:t>
            </w:r>
          </w:p>
        </w:tc>
      </w:tr>
      <w:tr>
        <w:tc>
          <w:tcPr>
            <w:tcW w:type="dxa" w:w="1928"/>
            <w:tcBorders>
              <w:bottom w:val="single" w:sz="12" w:space="0" w:color="000000"/>
            </w:tcBorders>
          </w:tcPr>
          <w:p>
            <w:pPr>
              <w:spacing w:before="40" w:after="40" w:line="240" w:lineRule="auto"/>
              <w:jc w:val="left"/>
            </w:pPr>
            <w:r/>
            <w:r>
              <w:rPr>
                <w:rFonts w:ascii="Times New Roman" w:hAnsi="Times New Roman" w:eastAsia="宋体"/>
                <w:b w:val="0"/>
                <w:sz w:val="19"/>
              </w:rPr>
              <w:t>60</w:t>
            </w:r>
          </w:p>
        </w:tc>
        <w:tc>
          <w:tcPr>
            <w:tcW w:type="dxa" w:w="1928"/>
            <w:tcBorders>
              <w:bottom w:val="single" w:sz="12" w:space="0" w:color="000000"/>
            </w:tcBorders>
          </w:tcPr>
          <w:p>
            <w:pPr>
              <w:spacing w:before="40" w:after="40" w:line="240" w:lineRule="auto"/>
              <w:jc w:val="center"/>
            </w:pPr>
            <w:r/>
            <w:r>
              <w:rPr>
                <w:rFonts w:ascii="Times New Roman" w:hAnsi="Times New Roman" w:eastAsia="宋体"/>
                <w:b w:val="0"/>
                <w:sz w:val="19"/>
              </w:rPr>
              <w:t>8</w:t>
            </w:r>
          </w:p>
        </w:tc>
        <w:tc>
          <w:tcPr>
            <w:tcW w:type="dxa" w:w="2948"/>
            <w:tcBorders>
              <w:bottom w:val="single" w:sz="12" w:space="0" w:color="000000"/>
            </w:tcBorders>
          </w:tcPr>
          <w:p>
            <w:pPr>
              <w:spacing w:before="40" w:after="40" w:line="240" w:lineRule="auto"/>
              <w:jc w:val="center"/>
            </w:pPr>
            <w:r/>
            <w:r>
              <w:rPr>
                <w:rFonts w:ascii="Times New Roman" w:hAnsi="Times New Roman" w:eastAsia="宋体"/>
                <w:b w:val="0"/>
                <w:sz w:val="19"/>
              </w:rPr>
              <w:t>4.39</w:t>
            </w:r>
          </w:p>
        </w:tc>
        <w:tc>
          <w:tcPr>
            <w:tcW w:type="dxa" w:w="2268"/>
            <w:tcBorders>
              <w:bottom w:val="single" w:sz="12" w:space="0" w:color="000000"/>
            </w:tcBorders>
          </w:tcPr>
          <w:p>
            <w:pPr>
              <w:spacing w:before="40" w:after="40" w:line="240" w:lineRule="auto"/>
              <w:jc w:val="center"/>
            </w:pPr>
            <w:r/>
            <w:r>
              <w:rPr>
                <w:rFonts w:ascii="Times New Roman" w:hAnsi="Times New Roman" w:eastAsia="宋体"/>
                <w:b w:val="0"/>
                <w:sz w:val="19"/>
              </w:rPr>
              <w:t>7.3</w:t>
            </w:r>
          </w:p>
        </w:tc>
      </w:tr>
    </w:tbl>
    <w:p>
      <w:pPr>
        <w:spacing w:before="40" w:after="160" w:line="240" w:lineRule="auto"/>
        <w:ind w:firstLine="0"/>
        <w:jc w:val="left"/>
      </w:pPr>
      <w:r>
        <w:rPr>
          <w:rFonts w:ascii="Times New Roman" w:hAnsi="Times New Roman" w:eastAsia="宋体"/>
          <w:b w:val="0"/>
          <w:sz w:val="18"/>
        </w:rPr>
        <w:t>注：σ=12，ICC=0.15，α=0.05 双侧，power=0.80。最小可检出效应指在该设计下有 80% 把握检出的最小真实效应。</w:t>
      </w:r>
    </w:p>
    <w:p>
      <w:pPr>
        <w:keepNext/>
        <w:spacing w:before="120" w:after="0" w:line="240" w:lineRule="auto"/>
        <w:jc w:val="center"/>
      </w:pPr>
      <w:r>
        <w:drawing>
          <wp:inline xmlns:a="http://schemas.openxmlformats.org/drawingml/2006/main" xmlns:pic="http://schemas.openxmlformats.org/drawingml/2006/picture">
            <wp:extent cx="4320000" cy="2894367"/>
            <wp:docPr id="10" name="Picture 10"/>
            <wp:cNvGraphicFramePr>
              <a:graphicFrameLocks noChangeAspect="1"/>
            </wp:cNvGraphicFramePr>
            <a:graphic>
              <a:graphicData uri="http://schemas.openxmlformats.org/drawingml/2006/picture">
                <pic:pic>
                  <pic:nvPicPr>
                    <pic:cNvPr id="0" name="p2_d5_power.png"/>
                    <pic:cNvPicPr/>
                  </pic:nvPicPr>
                  <pic:blipFill>
                    <a:blip r:embed="rId18"/>
                    <a:stretch>
                      <a:fillRect/>
                    </a:stretch>
                  </pic:blipFill>
                  <pic:spPr>
                    <a:xfrm>
                      <a:off x="0" y="0"/>
                      <a:ext cx="4320000" cy="2894367"/>
                    </a:xfrm>
                    <a:prstGeom prst="rect"/>
                  </pic:spPr>
                </pic:pic>
              </a:graphicData>
            </a:graphic>
          </wp:inline>
        </w:drawing>
      </w:r>
    </w:p>
    <w:p>
      <w:pPr>
        <w:spacing w:before="40" w:after="160" w:line="240" w:lineRule="auto"/>
        <w:jc w:val="center"/>
      </w:pPr>
      <w:r>
        <w:rPr>
          <w:rFonts w:ascii="Times New Roman" w:hAnsi="Times New Roman" w:eastAsia="黑体"/>
          <w:b w:val="0"/>
          <w:sz w:val="21"/>
        </w:rPr>
        <w:t>图 10  准实验评估的最小可检出效应与样本规模</w:t>
      </w:r>
    </w:p>
    <w:p>
      <w:pPr>
        <w:spacing w:before="0" w:after="0" w:line="360" w:lineRule="auto"/>
        <w:ind w:firstLine="480"/>
        <w:jc w:val="both"/>
      </w:pPr>
      <w:r>
        <w:rPr>
          <w:rFonts w:ascii="Times New Roman" w:hAnsi="Times New Roman" w:eastAsia="宋体"/>
          <w:b w:val="0"/>
          <w:sz w:val="24"/>
        </w:rPr>
        <w:t>表 6 揭示了一个对实践极为重要、却极易被忽视的问题。</w:t>
      </w:r>
      <w:r>
        <w:rPr>
          <w:rFonts w:ascii="Times New Roman" w:hAnsi="Times New Roman" w:eastAsia="宋体"/>
          <w:b/>
          <w:sz w:val="24"/>
        </w:rPr>
        <w:t>以县区级局为评估单元时，一个地市级局下辖单位约 8 个，即使连续观测 8 期，最小可检出效应仍高达 12.03 个指数点（约为基准 60 分的 20.1%），远大于政策实际关心的 3 分左右的效应。</w:t>
      </w:r>
      <w:r>
        <w:rPr>
          <w:rFonts w:ascii="Times New Roman" w:hAnsi="Times New Roman" w:eastAsia="宋体"/>
          <w:b w:val="0"/>
          <w:sz w:val="24"/>
        </w:rPr>
        <w:t>这意味着按常规做法设计的评估，从一开始就注定得不出显著结论——既无法证明有效，也无法证明无效，全部投入付诸东流。</w:t>
      </w:r>
    </w:p>
    <w:p>
      <w:pPr>
        <w:spacing w:before="0" w:after="0" w:line="360" w:lineRule="auto"/>
        <w:ind w:firstLine="480"/>
        <w:jc w:val="both"/>
      </w:pPr>
      <w:r>
        <w:rPr>
          <w:rFonts w:ascii="Times New Roman" w:hAnsi="Times New Roman" w:eastAsia="宋体"/>
          <w:b w:val="0"/>
          <w:sz w:val="24"/>
        </w:rPr>
        <w:t>解决办法是下沉评估单元：把评估对象从县区级局改为稽查中队、监督岗位或具体业务事项，使 J 提高到 40 以上。此时配合 8 期观测，最小可检出效应降至 5.38 个指数点；若 J 达到 60、观测 8 期，可降至 4.39 个指数点。</w:t>
      </w:r>
      <w:r>
        <w:rPr>
          <w:rFonts w:ascii="Times New Roman" w:hAnsi="Times New Roman" w:eastAsia="宋体"/>
          <w:b/>
          <w:sz w:val="24"/>
        </w:rPr>
        <w:t>这一条建议可以直接避免一次注定失败的评估投入，是本文最具操作性的结论之一。</w:t>
      </w:r>
    </w:p>
    <w:p>
      <w:pPr>
        <w:keepNext/>
        <w:spacing w:before="240" w:after="120" w:line="360" w:lineRule="auto"/>
        <w:jc w:val="left"/>
      </w:pPr>
      <w:r>
        <w:rPr>
          <w:rFonts w:ascii="Times New Roman" w:hAnsi="Times New Roman" w:eastAsia="黑体"/>
          <w:b/>
          <w:sz w:val="30"/>
        </w:rPr>
        <w:t>7  结论</w:t>
      </w:r>
    </w:p>
    <w:p>
      <w:pPr>
        <w:spacing w:before="0" w:after="0" w:line="360" w:lineRule="auto"/>
        <w:ind w:firstLine="480"/>
        <w:jc w:val="both"/>
      </w:pPr>
      <w:r>
        <w:rPr>
          <w:rFonts w:ascii="Times New Roman" w:hAnsi="Times New Roman" w:eastAsia="宋体"/>
          <w:b w:val="0"/>
          <w:sz w:val="24"/>
        </w:rPr>
        <w:t>本文对穿透式监管视角下的烟草行业大监督体系做了三方面推进。</w:t>
      </w:r>
    </w:p>
    <w:p>
      <w:pPr>
        <w:spacing w:before="0" w:after="0" w:line="360" w:lineRule="auto"/>
        <w:ind w:firstLine="480"/>
        <w:jc w:val="both"/>
      </w:pPr>
      <w:r>
        <w:rPr>
          <w:rFonts w:ascii="Times New Roman" w:hAnsi="Times New Roman" w:eastAsia="宋体"/>
          <w:b w:val="0"/>
          <w:sz w:val="24"/>
        </w:rPr>
        <w:t>第一，完成了概念转换。在国有垂直管理体制下，“穿透”对应的是监督信息沿委托代理链条的层层损耗；穿透式监督的实质是在逐级代理链之外新增一条不随层级衰减的直达通道，其程度可由直达通道覆盖的业务事项比例来测量。这使“穿透”从修辞转变为可计算、可考核的变量。</w:t>
      </w:r>
    </w:p>
    <w:p>
      <w:pPr>
        <w:spacing w:before="0" w:after="0" w:line="360" w:lineRule="auto"/>
        <w:ind w:firstLine="480"/>
        <w:jc w:val="both"/>
      </w:pPr>
      <w:r>
        <w:rPr>
          <w:rFonts w:ascii="Times New Roman" w:hAnsi="Times New Roman" w:eastAsia="宋体"/>
          <w:b w:val="0"/>
          <w:sz w:val="24"/>
        </w:rPr>
        <w:t>第二，把成因分析从认识层面推进到结构与成本层面。数值分析显示，中等衰减情形下县级局监督效力仅为国家局的 34.3%，直达通道覆盖 60% 可使其回升至 67.7%；同时，忽略基层负担这一成本项将使最优监督强度被高估 61.0%。后一结论提示，监督设计必须把“减负”作为内生约束而非事后补救。</w:t>
      </w:r>
    </w:p>
    <w:p>
      <w:pPr>
        <w:spacing w:before="0" w:after="0" w:line="360" w:lineRule="auto"/>
        <w:ind w:firstLine="480"/>
        <w:jc w:val="both"/>
      </w:pPr>
      <w:r>
        <w:rPr>
          <w:rFonts w:ascii="Times New Roman" w:hAnsi="Times New Roman" w:eastAsia="宋体"/>
          <w:b w:val="0"/>
          <w:sz w:val="24"/>
        </w:rPr>
        <w:t>第三，给出了可执行的优先级、路线与验证方案。边际贡献仿真确定的实施优先级为数据穿透 &gt; 制度穿透 &gt; 流程穿透 &gt; 责任穿透，据此形成三阶段路线与责任分工；监督效能评价指标体系的组合赋权通过一致性检验；功效分析则明确了评估单元必须下沉至稽查中队或业务事项层级，否则准实验评估不具备统计功效。</w:t>
      </w:r>
    </w:p>
    <w:p>
      <w:pPr>
        <w:spacing w:before="0" w:after="0" w:line="360" w:lineRule="auto"/>
        <w:ind w:firstLine="480"/>
        <w:jc w:val="both"/>
      </w:pPr>
      <w:r>
        <w:rPr>
          <w:rFonts w:ascii="Times New Roman" w:hAnsi="Times New Roman" w:eastAsia="宋体"/>
          <w:b w:val="0"/>
          <w:sz w:val="24"/>
        </w:rPr>
        <w:t>本文的局限在于，各项数值结果均基于参数化模型的情景分析，参数取值虽有依据并配有敏感性分析，但仍需真实数据校准。后续研究应采集本单位的监督事项台账、基层填报工时与监督效能评分数据，对衰减率、过载系数与各维成熟度做实证估计，在此基础上重跑上述模型，形成本地化的决策依据。</w:t>
      </w:r>
    </w:p>
    <w:p>
      <w:pPr>
        <w:keepNext/>
        <w:spacing w:before="240" w:after="120" w:line="360" w:lineRule="auto"/>
        <w:jc w:val="left"/>
      </w:pPr>
      <w:r>
        <w:rPr>
          <w:rFonts w:ascii="Times New Roman" w:hAnsi="Times New Roman" w:eastAsia="黑体"/>
          <w:b/>
          <w:sz w:val="30"/>
        </w:rPr>
        <w:t>参考文献</w:t>
      </w:r>
    </w:p>
    <w:p>
      <w:pPr>
        <w:spacing w:before="0" w:after="0" w:line="360" w:lineRule="auto"/>
        <w:ind w:firstLine="0"/>
        <w:jc w:val="both"/>
      </w:pPr>
      <w:r>
        <w:rPr>
          <w:rFonts w:ascii="Times New Roman" w:hAnsi="Times New Roman" w:eastAsia="宋体"/>
          <w:b w:val="0"/>
          <w:sz w:val="24"/>
        </w:rPr>
        <w:t>[1] 张磊, 王静. 穿透式监管视角下国企大监督体系构建路径研究[J]. 中国集体经济, 2023(12): 112-114.</w:t>
      </w:r>
    </w:p>
    <w:p>
      <w:pPr>
        <w:spacing w:before="0" w:after="0" w:line="360" w:lineRule="auto"/>
        <w:ind w:firstLine="0"/>
        <w:jc w:val="both"/>
      </w:pPr>
      <w:r>
        <w:rPr>
          <w:rFonts w:ascii="Times New Roman" w:hAnsi="Times New Roman" w:eastAsia="宋体"/>
          <w:b w:val="0"/>
          <w:sz w:val="24"/>
        </w:rPr>
        <w:t>[2] 李建军, 刘阳. 烟草行业大监督体系协同治理困境与优化对策[J]. 商业经济, 2024(2): 135-137.</w:t>
      </w:r>
    </w:p>
    <w:p>
      <w:pPr>
        <w:spacing w:before="0" w:after="0" w:line="360" w:lineRule="auto"/>
        <w:ind w:firstLine="0"/>
        <w:jc w:val="both"/>
      </w:pPr>
      <w:r>
        <w:rPr>
          <w:rFonts w:ascii="Times New Roman" w:hAnsi="Times New Roman" w:eastAsia="宋体"/>
          <w:b w:val="0"/>
          <w:sz w:val="24"/>
        </w:rPr>
        <w:t>[3] 陈曦. 数字化赋能烟草行业穿透式监督机制建设研究[J]. 全国流通经济, 2023(28): 115-118.</w:t>
      </w:r>
    </w:p>
    <w:p>
      <w:pPr>
        <w:spacing w:before="0" w:after="0" w:line="360" w:lineRule="auto"/>
        <w:ind w:firstLine="0"/>
        <w:jc w:val="both"/>
      </w:pPr>
      <w:r>
        <w:rPr>
          <w:rFonts w:ascii="Times New Roman" w:hAnsi="Times New Roman" w:eastAsia="宋体"/>
          <w:b w:val="0"/>
          <w:sz w:val="24"/>
        </w:rPr>
        <w:t>[4] 周明, 赵宇. 国企垂直管理模式下监督梯度衰减问题治理研究[J]. 现代国企研究, 2023(18): 45-47.</w:t>
      </w:r>
    </w:p>
    <w:p>
      <w:pPr>
        <w:spacing w:before="0" w:after="0" w:line="360" w:lineRule="auto"/>
        <w:ind w:firstLine="0"/>
        <w:jc w:val="both"/>
      </w:pPr>
      <w:r>
        <w:rPr>
          <w:rFonts w:ascii="Times New Roman" w:hAnsi="Times New Roman" w:eastAsia="宋体"/>
          <w:b w:val="0"/>
          <w:sz w:val="24"/>
        </w:rPr>
        <w:t>[5] 王浩. 烟草行业廉政风险闭环防控体系建设实践与思考[J]. 财经界, 2024(5): 90-92.</w:t>
      </w:r>
    </w:p>
    <w:p>
      <w:pPr>
        <w:spacing w:before="0" w:after="0" w:line="360" w:lineRule="auto"/>
        <w:ind w:firstLine="0"/>
        <w:jc w:val="both"/>
      </w:pPr>
      <w:r>
        <w:rPr>
          <w:rFonts w:ascii="Times New Roman" w:hAnsi="Times New Roman" w:eastAsia="宋体"/>
          <w:b w:val="0"/>
          <w:sz w:val="24"/>
        </w:rPr>
        <w:t>[6] 黄凯. 数智化背景下企业内部监督协同机制优化研究[J]. 财会通讯, 2023(15): 120-124.</w:t>
      </w:r>
    </w:p>
    <w:p>
      <w:pPr>
        <w:spacing w:before="0" w:after="0" w:line="360" w:lineRule="auto"/>
        <w:ind w:firstLine="0"/>
        <w:jc w:val="both"/>
      </w:pPr>
      <w:r>
        <w:rPr>
          <w:rFonts w:ascii="Times New Roman" w:hAnsi="Times New Roman" w:eastAsia="宋体"/>
          <w:b w:val="0"/>
          <w:sz w:val="24"/>
        </w:rPr>
        <w:t>[7] 刘博文. 垄断行业穿透式监管的理论逻辑与实践路径[J]. 改革与战略, 2023, 39(7): 89-96.</w:t>
      </w:r>
    </w:p>
    <w:p>
      <w:pPr>
        <w:spacing w:before="0" w:after="0" w:line="360" w:lineRule="auto"/>
        <w:ind w:firstLine="0"/>
        <w:jc w:val="both"/>
      </w:pPr>
      <w:r>
        <w:rPr>
          <w:rFonts w:ascii="Times New Roman" w:hAnsi="Times New Roman" w:eastAsia="宋体"/>
          <w:b w:val="0"/>
          <w:sz w:val="24"/>
        </w:rPr>
        <w:t>[8] 覃晓峰. 基层烟草数字化监督体系建设短板及完善路径[J]. 企业改革与管理, 2024(3): 136-138.</w:t>
      </w:r>
    </w:p>
    <w:p>
      <w:pPr>
        <w:spacing w:before="0" w:after="0" w:line="360" w:lineRule="auto"/>
        <w:ind w:firstLine="0"/>
        <w:jc w:val="both"/>
      </w:pPr>
      <w:r>
        <w:rPr>
          <w:rFonts w:ascii="Times New Roman" w:hAnsi="Times New Roman" w:eastAsia="宋体"/>
          <w:b w:val="0"/>
          <w:sz w:val="24"/>
        </w:rPr>
        <w:t>[9] 张明哲. 国有企业大监督体系协同共治模式构建研究[J]. 国有资产管理, 2023(9): 67-71.</w:t>
      </w:r>
    </w:p>
    <w:p>
      <w:pPr>
        <w:spacing w:before="0" w:after="0" w:line="360" w:lineRule="auto"/>
        <w:ind w:firstLine="0"/>
        <w:jc w:val="both"/>
      </w:pPr>
      <w:r>
        <w:rPr>
          <w:rFonts w:ascii="Times New Roman" w:hAnsi="Times New Roman" w:eastAsia="宋体"/>
          <w:b w:val="0"/>
          <w:sz w:val="24"/>
        </w:rPr>
        <w:t>[10] 李文娟. 大数据视角下企业风险智能预警监督体系搭建[J]. 信息技术与信息化, 2023(11): 201-204.</w:t>
      </w:r>
    </w:p>
    <w:p>
      <w:pPr>
        <w:spacing w:before="0" w:after="0" w:line="360" w:lineRule="auto"/>
        <w:ind w:firstLine="0"/>
        <w:jc w:val="both"/>
      </w:pPr>
      <w:r>
        <w:rPr>
          <w:rFonts w:ascii="Times New Roman" w:hAnsi="Times New Roman" w:eastAsia="宋体"/>
          <w:b w:val="0"/>
          <w:sz w:val="24"/>
        </w:rPr>
        <w:t>[11] 赵鑫. 政企合一体制下烟草行业监督制衡机制优化探析[J]. 现代商业, 2024(8): 102-104.</w:t>
      </w:r>
    </w:p>
    <w:p>
      <w:pPr>
        <w:spacing w:before="0" w:after="0" w:line="360" w:lineRule="auto"/>
        <w:ind w:firstLine="0"/>
        <w:jc w:val="both"/>
      </w:pPr>
      <w:r>
        <w:rPr>
          <w:rFonts w:ascii="Times New Roman" w:hAnsi="Times New Roman" w:eastAsia="宋体"/>
          <w:b w:val="0"/>
          <w:sz w:val="24"/>
        </w:rPr>
        <w:t>[12] 陈雨桐. 国外穿透式监管制度实践及对我国国企监管的启示[J]. 金融经济, 2023(16): 78-81.</w:t>
      </w:r>
    </w:p>
    <w:p>
      <w:pPr>
        <w:spacing w:before="0" w:after="0" w:line="360" w:lineRule="auto"/>
        <w:ind w:firstLine="0"/>
        <w:jc w:val="both"/>
      </w:pPr>
      <w:r>
        <w:rPr>
          <w:rFonts w:ascii="Times New Roman" w:hAnsi="Times New Roman" w:eastAsia="宋体"/>
          <w:b w:val="0"/>
          <w:sz w:val="24"/>
        </w:rPr>
        <w:t>[13] 吴志远. 烟草行业四级联动监督制度体系完善路径研究[J]. 中国市场, 2024(10): 129-131.</w:t>
      </w:r>
    </w:p>
    <w:p>
      <w:pPr>
        <w:spacing w:before="0" w:after="0" w:line="360" w:lineRule="auto"/>
        <w:ind w:firstLine="0"/>
        <w:jc w:val="both"/>
      </w:pPr>
      <w:r>
        <w:rPr>
          <w:rFonts w:ascii="Times New Roman" w:hAnsi="Times New Roman" w:eastAsia="宋体"/>
          <w:b w:val="0"/>
          <w:sz w:val="24"/>
        </w:rPr>
        <w:t>[14] 孙杰. 基层国企监督队伍专业化建设困境与提升策略[J]. 人才资源开发, 2023(22): 56-58.</w:t>
      </w:r>
    </w:p>
    <w:p>
      <w:pPr>
        <w:spacing w:before="0" w:after="0" w:line="360" w:lineRule="auto"/>
        <w:ind w:firstLine="0"/>
        <w:jc w:val="both"/>
      </w:pPr>
      <w:r>
        <w:rPr>
          <w:rFonts w:ascii="Times New Roman" w:hAnsi="Times New Roman" w:eastAsia="宋体"/>
          <w:b w:val="0"/>
          <w:sz w:val="24"/>
        </w:rPr>
        <w:t>[15] 高瑞. 闭环管理视角下企业监督整改效能提升研究[J]. 当代经济, 2023(6): 113-116.</w:t>
      </w:r>
    </w:p>
    <w:p>
      <w:pPr>
        <w:spacing w:before="0" w:after="0" w:line="360" w:lineRule="auto"/>
        <w:ind w:firstLine="0"/>
        <w:jc w:val="both"/>
      </w:pPr>
      <w:r>
        <w:rPr>
          <w:rFonts w:ascii="Times New Roman" w:hAnsi="Times New Roman" w:eastAsia="宋体"/>
          <w:b w:val="0"/>
          <w:sz w:val="24"/>
        </w:rPr>
        <w:t>[16] Jensen M C, Meckling W H. Theory of the firm: Managerial behavior, agency costs and ownership structure[J]. Journal of Financial Economics, 1976, 3(4): 305-360.</w:t>
      </w:r>
    </w:p>
    <w:p>
      <w:pPr>
        <w:spacing w:before="0" w:after="0" w:line="360" w:lineRule="auto"/>
        <w:ind w:firstLine="0"/>
        <w:jc w:val="both"/>
      </w:pPr>
      <w:r>
        <w:rPr>
          <w:rFonts w:ascii="Times New Roman" w:hAnsi="Times New Roman" w:eastAsia="宋体"/>
          <w:b w:val="0"/>
          <w:sz w:val="24"/>
        </w:rPr>
        <w:t>[17] Saaty T L. A scaling method for priorities in hierarchical structures[J]. Journal of Mathematical Psychology, 1977, 15(3): 234-281.</w:t>
      </w:r>
    </w:p>
    <w:p>
      <w:pPr>
        <w:spacing w:before="0" w:after="0" w:line="360" w:lineRule="auto"/>
        <w:ind w:firstLine="0"/>
        <w:jc w:val="both"/>
      </w:pPr>
      <w:r>
        <w:rPr>
          <w:rFonts w:ascii="Times New Roman" w:hAnsi="Times New Roman" w:eastAsia="宋体"/>
          <w:b w:val="0"/>
          <w:sz w:val="24"/>
        </w:rPr>
        <w:t>[18] Bloom H S. Minimum detectable effects: A simple way to report the statistical power of experimental designs[J]. Evaluation Review, 1995, 19(5): 547-556.</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