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auto"/>
        <w:jc w:val="center"/>
      </w:pPr>
      <w:r>
        <w:rPr>
          <w:rFonts w:ascii="Times New Roman" w:hAnsi="Times New Roman" w:eastAsia="黑体"/>
          <w:b/>
          <w:sz w:val="36"/>
        </w:rPr>
        <w:t>精细化管理视角下相关方安全监管策略优化研究</w:t>
      </w:r>
    </w:p>
    <w:p>
      <w:pPr>
        <w:spacing w:before="0" w:after="160" w:line="360" w:lineRule="auto"/>
        <w:jc w:val="center"/>
      </w:pPr>
      <w:r>
        <w:rPr>
          <w:rFonts w:ascii="Times New Roman" w:hAnsi="Times New Roman" w:eastAsia="宋体"/>
          <w:b w:val="0"/>
          <w:sz w:val="21"/>
        </w:rPr>
        <w:t>（作者姓名、单位与联系方式请于投稿前补充）</w:t>
      </w:r>
    </w:p>
    <w:p>
      <w:pPr>
        <w:spacing w:before="0" w:after="0" w:line="360" w:lineRule="auto"/>
        <w:ind w:firstLine="480"/>
        <w:jc w:val="both"/>
      </w:pPr>
      <w:r>
        <w:rPr>
          <w:rFonts w:ascii="Times New Roman" w:hAnsi="Times New Roman" w:eastAsia="宋体"/>
          <w:b/>
          <w:sz w:val="24"/>
        </w:rPr>
        <w:t>摘  要：</w:t>
      </w:r>
      <w:r>
        <w:rPr>
          <w:rFonts w:ascii="Times New Roman" w:hAnsi="Times New Roman" w:eastAsia="宋体"/>
          <w:b w:val="0"/>
          <w:sz w:val="24"/>
        </w:rPr>
        <w:t>随着烟草商业企业运营外包程度提高，相关方作业已成为安全管理的重要组成部分。既有研究多停留在管理理念阐述与对策条目罗列，缺少可操作的分级模型、可执行的约束手段与可验证的资源配置方法。本文以精细化管理为视角，在补齐法定依据与风险分析工具的基础上，做出三方面推进。第一，建立二维分类分级模型：以 LEC 作业条件危险性评价法计算作业风险值，以 AHP–熵权组合赋权计算相关方安全管理能力评分，交叉形成九宫格并对应 A、B、C 三级监管强度；在 60 家相关方的情景样本上验证显示，工程施工类相关方高风险占比达 91.7%，服务保障类为 0，差异化监管确有必要。第二，把责任落实转化为安全生产费用专款专用、安全履约保证金、违章计分与续签挂钩四类可执行的经济与准入杠杆。第三，构建监管资源优化配置模型：在年度检查总量 240 次的约束下，边际收益最优配置较平均分配提升风险削减 16.4%；更具实践意义的是，最优配置仅需 153 次检查即可达到平均分配 240 次的效果，节省监管人力 36.3%，而规则简单的二维分级配置已能实现最优解的 96.7%。隐患帕累托分析进一步显示，前 6 类隐患贡献了 85.6% 的隐患量，为专项治理提供了靶向。</w:t>
      </w:r>
    </w:p>
    <w:p>
      <w:pPr>
        <w:spacing w:before="0" w:after="0" w:line="360" w:lineRule="auto"/>
        <w:ind w:firstLine="480"/>
        <w:jc w:val="both"/>
      </w:pPr>
      <w:r>
        <w:rPr>
          <w:rFonts w:ascii="Times New Roman" w:hAnsi="Times New Roman" w:eastAsia="宋体"/>
          <w:b/>
          <w:sz w:val="24"/>
        </w:rPr>
        <w:t>关键词：</w:t>
      </w:r>
      <w:r>
        <w:rPr>
          <w:rFonts w:ascii="Times New Roman" w:hAnsi="Times New Roman" w:eastAsia="宋体"/>
          <w:b w:val="0"/>
          <w:sz w:val="24"/>
        </w:rPr>
        <w:t>精细化管理；相关方安全监管；分类分级；资源优化配置；安全绩效评价</w:t>
      </w:r>
    </w:p>
    <w:p>
      <w:pPr>
        <w:spacing w:before="0" w:after="0" w:line="360" w:lineRule="auto"/>
        <w:ind w:firstLine="480"/>
        <w:jc w:val="both"/>
      </w:pPr>
      <w:r>
        <w:rPr>
          <w:rFonts w:ascii="Times New Roman" w:hAnsi="Times New Roman" w:eastAsia="宋体"/>
          <w:b/>
          <w:sz w:val="24"/>
        </w:rPr>
        <w:t>Abstract:</w:t>
      </w:r>
      <w:r>
        <w:rPr>
          <w:rFonts w:ascii="Times New Roman" w:hAnsi="Times New Roman" w:eastAsia="宋体"/>
          <w:b w:val="0"/>
          <w:sz w:val="24"/>
        </w:rPr>
        <w:t xml:space="preserve"> As tobacco commercial enterprises increasingly outsource operations, contractor activities have become a key component of safety management. Existing studies largely remain at the level of managerial concepts and enumerated countermeasures, lacking operable grading models, enforceable constraints and verifiable resource-allocation methods. From the perspective of refined management, and after supplementing statutory requirements and risk-analysis tools, this paper advances three contributions. First, a two-dimensional classification-and-grading model is established: operational risk is computed with the LEC method and contractor safety capability with AHP-entropy combined weighting, forming a three-by-three grid mapped to three supervision intensities. Validation on a scenario sample of 60 contractors shows that 91.7% of construction contractors fall into the high-risk band versus 0% for service contractors, confirming the need for differentiated supervision. Second, responsibility is translated into four enforceable economic and access levers. Third, a resource-allocation model shows that under an annual budget of 240 inspections, marginal-benefit-optimal allocation raises risk reduction by 16.4% over uniform allocation; more practically, the optimal allocation needs only 153 inspections to match the effect of 240 uniform inspections, saving 36.3% of supervisory manpower, while the simple two-dimensional grading rule already attains 96.7% of the optimum.</w:t>
      </w:r>
    </w:p>
    <w:p>
      <w:pPr>
        <w:spacing w:before="0" w:after="0" w:line="360" w:lineRule="auto"/>
        <w:ind w:firstLine="480"/>
        <w:jc w:val="both"/>
      </w:pPr>
      <w:r>
        <w:rPr>
          <w:rFonts w:ascii="Times New Roman" w:hAnsi="Times New Roman" w:eastAsia="宋体"/>
          <w:b/>
          <w:sz w:val="24"/>
        </w:rPr>
        <w:t>Keywords:</w:t>
      </w:r>
      <w:r>
        <w:rPr>
          <w:rFonts w:ascii="Times New Roman" w:hAnsi="Times New Roman" w:eastAsia="宋体"/>
          <w:b w:val="0"/>
          <w:sz w:val="24"/>
        </w:rPr>
        <w:t xml:space="preserve"> Refined management; Contractor safety supervision; Classification and grading; Resource allocation; Safety performance evaluation</w:t>
      </w:r>
    </w:p>
    <w:p>
      <w:r>
        <w:br w:type="page"/>
      </w:r>
    </w:p>
    <w:p>
      <w:pPr>
        <w:keepNext/>
        <w:spacing w:before="240" w:after="120" w:line="360" w:lineRule="auto"/>
        <w:jc w:val="left"/>
      </w:pPr>
      <w:r>
        <w:rPr>
          <w:rFonts w:ascii="Times New Roman" w:hAnsi="Times New Roman" w:eastAsia="黑体"/>
          <w:b/>
          <w:sz w:val="30"/>
        </w:rPr>
        <w:t>1  引言</w:t>
      </w:r>
    </w:p>
    <w:p>
      <w:pPr>
        <w:spacing w:before="0" w:after="0" w:line="360" w:lineRule="auto"/>
        <w:ind w:firstLine="480"/>
        <w:jc w:val="both"/>
      </w:pPr>
      <w:r>
        <w:rPr>
          <w:rFonts w:ascii="Times New Roman" w:hAnsi="Times New Roman" w:eastAsia="宋体"/>
          <w:b w:val="0"/>
          <w:sz w:val="24"/>
        </w:rPr>
        <w:t>安全生产是企业实现高质量发展的基础保障。随着烟草商业企业现代化管理水平的提升，运营过程中的外部协作主体不断增多，相关方参与范围涵盖物业服务、工程施工、设备维护、物流辅助与专业技术支持等多个领域。相关方虽不属于企业内部组织，但其作业行为、管理水平与风险控制能力直接影响企业整体安全绩效[9]。</w:t>
      </w:r>
    </w:p>
    <w:p>
      <w:pPr>
        <w:spacing w:before="0" w:after="0" w:line="360" w:lineRule="auto"/>
        <w:ind w:firstLine="480"/>
        <w:jc w:val="both"/>
      </w:pPr>
      <w:r>
        <w:rPr>
          <w:rFonts w:ascii="Times New Roman" w:hAnsi="Times New Roman" w:eastAsia="宋体"/>
          <w:b w:val="0"/>
          <w:sz w:val="24"/>
        </w:rPr>
        <w:t>长期以来，烟草行业高度重视安全生产工作，持续推进安全生产标准化建设、风险分级管控和隐患排查治理体系建设，整体安全管理水平不断提高。然而在实际管理中，相关方安全监管仍存在薄弱环节。一方面，相关方主体类型复杂、管理能力参差不齐，企业难以通过统一的管理方式实现精准监管；另一方面，现有监管措施主要依赖合同约束、安全告知与定期检查，对相关方的风险特征、作业过程与责任履行缺乏动态、差异化管理[3]。</w:t>
      </w:r>
    </w:p>
    <w:p>
      <w:pPr>
        <w:spacing w:before="0" w:after="0" w:line="360" w:lineRule="auto"/>
        <w:ind w:firstLine="480"/>
        <w:jc w:val="both"/>
      </w:pPr>
      <w:r>
        <w:rPr>
          <w:rFonts w:ascii="Times New Roman" w:hAnsi="Times New Roman" w:eastAsia="宋体"/>
          <w:b w:val="0"/>
          <w:sz w:val="24"/>
        </w:rPr>
        <w:t>本文认为，既有研究的主要不足不在于方向判断，而在于</w:t>
      </w:r>
      <w:r>
        <w:rPr>
          <w:rFonts w:ascii="Times New Roman" w:hAnsi="Times New Roman" w:eastAsia="宋体"/>
          <w:b/>
          <w:sz w:val="24"/>
        </w:rPr>
        <w:t>方法缺位</w:t>
      </w:r>
      <w:r>
        <w:rPr>
          <w:rFonts w:ascii="Times New Roman" w:hAnsi="Times New Roman" w:eastAsia="宋体"/>
          <w:b w:val="0"/>
          <w:sz w:val="24"/>
        </w:rPr>
        <w:t>：普遍提出应“分类分级”，但未给出如何评、如何分、分完对应什么动作；普遍提出应“落实责任”，但未回答外部市场主体的守约动力来自何处；普遍提出应“突出重点”，但未给出有限监管资源的配置方法。本文的工作即针对这三个缺口，提供可直接使用的模型与规则。</w:t>
      </w:r>
    </w:p>
    <w:p>
      <w:pPr>
        <w:keepNext/>
        <w:spacing w:before="240" w:after="120" w:line="360" w:lineRule="auto"/>
        <w:jc w:val="left"/>
      </w:pPr>
      <w:r>
        <w:rPr>
          <w:rFonts w:ascii="Times New Roman" w:hAnsi="Times New Roman" w:eastAsia="黑体"/>
          <w:b/>
          <w:sz w:val="30"/>
        </w:rPr>
        <w:t>2  理论基础与法定依据</w:t>
      </w:r>
    </w:p>
    <w:p>
      <w:pPr>
        <w:keepNext/>
        <w:spacing w:before="160" w:after="80" w:line="360" w:lineRule="auto"/>
        <w:jc w:val="left"/>
      </w:pPr>
      <w:r>
        <w:rPr>
          <w:rFonts w:ascii="Times New Roman" w:hAnsi="Times New Roman" w:eastAsia="黑体"/>
          <w:b w:val="0"/>
          <w:sz w:val="28"/>
        </w:rPr>
        <w:t>2.1  精细化管理向相关方安全监管的映射</w:t>
      </w:r>
    </w:p>
    <w:p>
      <w:pPr>
        <w:spacing w:before="0" w:after="0" w:line="360" w:lineRule="auto"/>
        <w:ind w:firstLine="480"/>
        <w:jc w:val="both"/>
      </w:pPr>
      <w:r>
        <w:rPr>
          <w:rFonts w:ascii="Times New Roman" w:hAnsi="Times New Roman" w:eastAsia="宋体"/>
          <w:b w:val="0"/>
          <w:sz w:val="24"/>
        </w:rPr>
        <w:t>精细化管理源于现代企业管理理论，核心在于通过标准化、流程化和系统化手段，把管理要求落实到具体环节与具体责任主体，实现管理目标的精准控制。相较于传统管理模式，其特点体现为目标精准化、过程标准化、责任明确化与评价科学化四个方面。</w:t>
      </w:r>
    </w:p>
    <w:p>
      <w:pPr>
        <w:spacing w:before="0" w:after="0" w:line="360" w:lineRule="auto"/>
        <w:ind w:firstLine="480"/>
        <w:jc w:val="both"/>
      </w:pPr>
      <w:r>
        <w:rPr>
          <w:rFonts w:ascii="Times New Roman" w:hAnsi="Times New Roman" w:eastAsia="宋体"/>
          <w:b w:val="0"/>
          <w:sz w:val="24"/>
        </w:rPr>
        <w:t>但这四条要义若不映射到具体的安全管理机制上，仍属理念层面。本文建立的映射关系如图 1 所示：目标精准化对应分类分级管控机制，过程标准化对应全过程闭环监管，责任明确化对应合同与经济杠杆，评价科学化对应绩效评价与激励机制。本文第 4 至第 6 章即分别展开这四项机制。</w:t>
      </w:r>
    </w:p>
    <w:p>
      <w:pPr>
        <w:keepNext/>
        <w:spacing w:before="120" w:after="0" w:line="240" w:lineRule="auto"/>
        <w:jc w:val="center"/>
      </w:pPr>
      <w:r>
        <w:drawing>
          <wp:inline xmlns:a="http://schemas.openxmlformats.org/drawingml/2006/main" xmlns:pic="http://schemas.openxmlformats.org/drawingml/2006/picture">
            <wp:extent cx="5220000" cy="2790224"/>
            <wp:docPr id="1" name="Picture 1"/>
            <wp:cNvGraphicFramePr>
              <a:graphicFrameLocks noChangeAspect="1"/>
            </wp:cNvGraphicFramePr>
            <a:graphic>
              <a:graphicData uri="http://schemas.openxmlformats.org/drawingml/2006/picture">
                <pic:pic>
                  <pic:nvPicPr>
                    <pic:cNvPr id="0" name="p3_c1_mapping.png"/>
                    <pic:cNvPicPr/>
                  </pic:nvPicPr>
                  <pic:blipFill>
                    <a:blip r:embed="rId9"/>
                    <a:stretch>
                      <a:fillRect/>
                    </a:stretch>
                  </pic:blipFill>
                  <pic:spPr>
                    <a:xfrm>
                      <a:off x="0" y="0"/>
                      <a:ext cx="5220000" cy="2790224"/>
                    </a:xfrm>
                    <a:prstGeom prst="rect"/>
                  </pic:spPr>
                </pic:pic>
              </a:graphicData>
            </a:graphic>
          </wp:inline>
        </w:drawing>
      </w:r>
    </w:p>
    <w:p>
      <w:pPr>
        <w:spacing w:before="40" w:after="160" w:line="240" w:lineRule="auto"/>
        <w:jc w:val="center"/>
      </w:pPr>
      <w:r>
        <w:rPr>
          <w:rFonts w:ascii="Times New Roman" w:hAnsi="Times New Roman" w:eastAsia="黑体"/>
          <w:b w:val="0"/>
          <w:sz w:val="21"/>
        </w:rPr>
        <w:t>图 1  精细化管理要义向相关方安全监管机制的映射</w:t>
      </w:r>
    </w:p>
    <w:p>
      <w:pPr>
        <w:keepNext/>
        <w:spacing w:before="160" w:after="80" w:line="360" w:lineRule="auto"/>
        <w:jc w:val="left"/>
      </w:pPr>
      <w:r>
        <w:rPr>
          <w:rFonts w:ascii="Times New Roman" w:hAnsi="Times New Roman" w:eastAsia="黑体"/>
          <w:b w:val="0"/>
          <w:sz w:val="28"/>
        </w:rPr>
        <w:t>2.2  相关方安全监管的法定要求</w:t>
      </w:r>
    </w:p>
    <w:p>
      <w:pPr>
        <w:spacing w:before="0" w:after="0" w:line="360" w:lineRule="auto"/>
        <w:ind w:firstLine="480"/>
        <w:jc w:val="both"/>
      </w:pPr>
      <w:r>
        <w:rPr>
          <w:rFonts w:ascii="Times New Roman" w:hAnsi="Times New Roman" w:eastAsia="宋体"/>
          <w:b w:val="0"/>
          <w:sz w:val="24"/>
        </w:rPr>
        <w:t>相关方安全管理不是企业的自主管理选择，而是法定义务。既有研究普遍未引述法定依据，致使监管措施缺乏刚性来源。本文梳理主要法定要求及其对应的监管动作，如表 1 所示。</w:t>
      </w:r>
    </w:p>
    <w:p>
      <w:pPr>
        <w:keepNext/>
        <w:spacing w:before="160" w:after="40" w:line="240" w:lineRule="auto"/>
        <w:jc w:val="center"/>
      </w:pPr>
      <w:r>
        <w:rPr>
          <w:rFonts w:ascii="Times New Roman" w:hAnsi="Times New Roman" w:eastAsia="黑体"/>
          <w:b w:val="0"/>
          <w:sz w:val="21"/>
        </w:rPr>
        <w:t>表 1  相关方安全管理的主要法定要求及对应监管动作</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2608"/>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8"/>
              </w:rPr>
              <w:t>法定依据</w:t>
            </w:r>
          </w:p>
        </w:tc>
        <w:tc>
          <w:tcPr>
            <w:tcW w:type="dxa" w:w="36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核心要求</w:t>
            </w:r>
          </w:p>
        </w:tc>
        <w:tc>
          <w:tcPr>
            <w:tcW w:type="dxa" w:w="3175"/>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对应的监管动作</w:t>
            </w:r>
          </w:p>
        </w:tc>
      </w:tr>
      <w:tr>
        <w:tc>
          <w:tcPr>
            <w:tcW w:type="dxa" w:w="2608"/>
          </w:tcPr>
          <w:p>
            <w:pPr>
              <w:spacing w:before="40" w:after="40" w:line="240" w:lineRule="auto"/>
              <w:jc w:val="left"/>
            </w:pPr>
            <w:r/>
            <w:r>
              <w:rPr>
                <w:rFonts w:ascii="Times New Roman" w:hAnsi="Times New Roman" w:eastAsia="宋体"/>
                <w:b w:val="0"/>
                <w:sz w:val="18"/>
              </w:rPr>
              <w:t>《安全生产法》第四十九条</w:t>
            </w:r>
          </w:p>
        </w:tc>
        <w:tc>
          <w:tcPr>
            <w:tcW w:type="dxa" w:w="3628"/>
          </w:tcPr>
          <w:p>
            <w:pPr>
              <w:spacing w:before="40" w:after="40" w:line="240" w:lineRule="auto"/>
              <w:jc w:val="center"/>
            </w:pPr>
            <w:r/>
            <w:r>
              <w:rPr>
                <w:rFonts w:ascii="Times New Roman" w:hAnsi="Times New Roman" w:eastAsia="宋体"/>
                <w:b w:val="0"/>
                <w:sz w:val="18"/>
              </w:rPr>
              <w:t>生产经营项目、场所发包或者出租的，应当签订专门的安全生产管理协议或在合同中约定各自的安全生产管理职责，并对承包单位、承租单位的安全生产工作统一协调、管理</w:t>
            </w:r>
          </w:p>
        </w:tc>
        <w:tc>
          <w:tcPr>
            <w:tcW w:type="dxa" w:w="3175"/>
          </w:tcPr>
          <w:p>
            <w:pPr>
              <w:spacing w:before="40" w:after="40" w:line="240" w:lineRule="auto"/>
              <w:jc w:val="center"/>
            </w:pPr>
            <w:r/>
            <w:r>
              <w:rPr>
                <w:rFonts w:ascii="Times New Roman" w:hAnsi="Times New Roman" w:eastAsia="宋体"/>
                <w:b w:val="0"/>
                <w:sz w:val="18"/>
              </w:rPr>
              <w:t>签订安全生产管理协议；建立联合检查与交叉作业协调会制度；明确统一协调管理的责任岗位</w:t>
            </w:r>
          </w:p>
        </w:tc>
      </w:tr>
      <w:tr>
        <w:tc>
          <w:tcPr>
            <w:tcW w:type="dxa" w:w="2608"/>
          </w:tcPr>
          <w:p>
            <w:pPr>
              <w:spacing w:before="40" w:after="40" w:line="240" w:lineRule="auto"/>
              <w:jc w:val="left"/>
            </w:pPr>
            <w:r/>
            <w:r>
              <w:rPr>
                <w:rFonts w:ascii="Times New Roman" w:hAnsi="Times New Roman" w:eastAsia="宋体"/>
                <w:b w:val="0"/>
                <w:sz w:val="18"/>
              </w:rPr>
              <w:t>《安全生产法》关于特种作业的规定</w:t>
            </w:r>
          </w:p>
        </w:tc>
        <w:tc>
          <w:tcPr>
            <w:tcW w:type="dxa" w:w="3628"/>
          </w:tcPr>
          <w:p>
            <w:pPr>
              <w:spacing w:before="40" w:after="40" w:line="240" w:lineRule="auto"/>
              <w:jc w:val="center"/>
            </w:pPr>
            <w:r/>
            <w:r>
              <w:rPr>
                <w:rFonts w:ascii="Times New Roman" w:hAnsi="Times New Roman" w:eastAsia="宋体"/>
                <w:b w:val="0"/>
                <w:sz w:val="18"/>
              </w:rPr>
              <w:t>特种作业人员须经专门的安全作业培训并取得相应资格</w:t>
            </w:r>
          </w:p>
        </w:tc>
        <w:tc>
          <w:tcPr>
            <w:tcW w:type="dxa" w:w="3175"/>
          </w:tcPr>
          <w:p>
            <w:pPr>
              <w:spacing w:before="40" w:after="40" w:line="240" w:lineRule="auto"/>
              <w:jc w:val="center"/>
            </w:pPr>
            <w:r/>
            <w:r>
              <w:rPr>
                <w:rFonts w:ascii="Times New Roman" w:hAnsi="Times New Roman" w:eastAsia="宋体"/>
                <w:b w:val="0"/>
                <w:sz w:val="18"/>
              </w:rPr>
              <w:t>准入阶段核验特种作业操作证；作业前二次核验人证一致</w:t>
            </w:r>
          </w:p>
        </w:tc>
      </w:tr>
      <w:tr>
        <w:tc>
          <w:tcPr>
            <w:tcW w:type="dxa" w:w="2608"/>
          </w:tcPr>
          <w:p>
            <w:pPr>
              <w:spacing w:before="40" w:after="40" w:line="240" w:lineRule="auto"/>
              <w:jc w:val="left"/>
            </w:pPr>
            <w:r/>
            <w:r>
              <w:rPr>
                <w:rFonts w:ascii="Times New Roman" w:hAnsi="Times New Roman" w:eastAsia="宋体"/>
                <w:b w:val="0"/>
                <w:sz w:val="18"/>
              </w:rPr>
              <w:t>《危险化学品企业特殊作业安全规范》(GB 30871)</w:t>
            </w:r>
          </w:p>
        </w:tc>
        <w:tc>
          <w:tcPr>
            <w:tcW w:type="dxa" w:w="3628"/>
          </w:tcPr>
          <w:p>
            <w:pPr>
              <w:spacing w:before="40" w:after="40" w:line="240" w:lineRule="auto"/>
              <w:jc w:val="center"/>
            </w:pPr>
            <w:r/>
            <w:r>
              <w:rPr>
                <w:rFonts w:ascii="Times New Roman" w:hAnsi="Times New Roman" w:eastAsia="宋体"/>
                <w:b w:val="0"/>
                <w:sz w:val="18"/>
              </w:rPr>
              <w:t>动火、受限空间、高处、临时用电等八类特殊作业实行作业许可管理</w:t>
            </w:r>
          </w:p>
        </w:tc>
        <w:tc>
          <w:tcPr>
            <w:tcW w:type="dxa" w:w="3175"/>
          </w:tcPr>
          <w:p>
            <w:pPr>
              <w:spacing w:before="40" w:after="40" w:line="240" w:lineRule="auto"/>
              <w:jc w:val="center"/>
            </w:pPr>
            <w:r/>
            <w:r>
              <w:rPr>
                <w:rFonts w:ascii="Times New Roman" w:hAnsi="Times New Roman" w:eastAsia="宋体"/>
                <w:b w:val="0"/>
                <w:sz w:val="18"/>
              </w:rPr>
              <w:t>推行电子作业票；作业前审批、作业中监护、作业后关闭</w:t>
            </w:r>
          </w:p>
        </w:tc>
      </w:tr>
      <w:tr>
        <w:tc>
          <w:tcPr>
            <w:tcW w:type="dxa" w:w="2608"/>
          </w:tcPr>
          <w:p>
            <w:pPr>
              <w:spacing w:before="40" w:after="40" w:line="240" w:lineRule="auto"/>
              <w:jc w:val="left"/>
            </w:pPr>
            <w:r/>
            <w:r>
              <w:rPr>
                <w:rFonts w:ascii="Times New Roman" w:hAnsi="Times New Roman" w:eastAsia="宋体"/>
                <w:b w:val="0"/>
                <w:sz w:val="18"/>
              </w:rPr>
              <w:t>安全生产责任保险相关规定</w:t>
            </w:r>
          </w:p>
        </w:tc>
        <w:tc>
          <w:tcPr>
            <w:tcW w:type="dxa" w:w="3628"/>
          </w:tcPr>
          <w:p>
            <w:pPr>
              <w:spacing w:before="40" w:after="40" w:line="240" w:lineRule="auto"/>
              <w:jc w:val="center"/>
            </w:pPr>
            <w:r/>
            <w:r>
              <w:rPr>
                <w:rFonts w:ascii="Times New Roman" w:hAnsi="Times New Roman" w:eastAsia="宋体"/>
                <w:b w:val="0"/>
                <w:sz w:val="18"/>
              </w:rPr>
              <w:t>高危行业领域投保安全生产责任保险</w:t>
            </w:r>
          </w:p>
        </w:tc>
        <w:tc>
          <w:tcPr>
            <w:tcW w:type="dxa" w:w="3175"/>
          </w:tcPr>
          <w:p>
            <w:pPr>
              <w:spacing w:before="40" w:after="40" w:line="240" w:lineRule="auto"/>
              <w:jc w:val="center"/>
            </w:pPr>
            <w:r/>
            <w:r>
              <w:rPr>
                <w:rFonts w:ascii="Times New Roman" w:hAnsi="Times New Roman" w:eastAsia="宋体"/>
                <w:b w:val="0"/>
                <w:sz w:val="18"/>
              </w:rPr>
              <w:t>合同中约定投保义务并核验保单有效期</w:t>
            </w:r>
          </w:p>
        </w:tc>
      </w:tr>
      <w:tr>
        <w:tc>
          <w:tcPr>
            <w:tcW w:type="dxa" w:w="2608"/>
            <w:tcBorders>
              <w:bottom w:val="single" w:sz="12" w:space="0" w:color="000000"/>
            </w:tcBorders>
          </w:tcPr>
          <w:p>
            <w:pPr>
              <w:spacing w:before="40" w:after="40" w:line="240" w:lineRule="auto"/>
              <w:jc w:val="left"/>
            </w:pPr>
            <w:r/>
            <w:r>
              <w:rPr>
                <w:rFonts w:ascii="Times New Roman" w:hAnsi="Times New Roman" w:eastAsia="宋体"/>
                <w:b w:val="0"/>
                <w:sz w:val="18"/>
              </w:rPr>
              <w:t>安全生产费用提取和使用管理办法</w:t>
            </w:r>
          </w:p>
        </w:tc>
        <w:tc>
          <w:tcPr>
            <w:tcW w:type="dxa" w:w="3628"/>
            <w:tcBorders>
              <w:bottom w:val="single" w:sz="12" w:space="0" w:color="000000"/>
            </w:tcBorders>
          </w:tcPr>
          <w:p>
            <w:pPr>
              <w:spacing w:before="40" w:after="40" w:line="240" w:lineRule="auto"/>
              <w:jc w:val="center"/>
            </w:pPr>
            <w:r/>
            <w:r>
              <w:rPr>
                <w:rFonts w:ascii="Times New Roman" w:hAnsi="Times New Roman" w:eastAsia="宋体"/>
                <w:b w:val="0"/>
                <w:sz w:val="18"/>
              </w:rPr>
              <w:t>建设工程施工企业按工程造价一定比例提取安全生产费用</w:t>
            </w:r>
          </w:p>
        </w:tc>
        <w:tc>
          <w:tcPr>
            <w:tcW w:type="dxa" w:w="3175"/>
            <w:tcBorders>
              <w:bottom w:val="single" w:sz="12" w:space="0" w:color="000000"/>
            </w:tcBorders>
          </w:tcPr>
          <w:p>
            <w:pPr>
              <w:spacing w:before="40" w:after="40" w:line="240" w:lineRule="auto"/>
              <w:jc w:val="center"/>
            </w:pPr>
            <w:r/>
            <w:r>
              <w:rPr>
                <w:rFonts w:ascii="Times New Roman" w:hAnsi="Times New Roman" w:eastAsia="宋体"/>
                <w:b w:val="0"/>
                <w:sz w:val="18"/>
              </w:rPr>
              <w:t>合同单列安全生产费用；验工计价时核验专款专用凭证</w:t>
            </w:r>
          </w:p>
        </w:tc>
      </w:tr>
    </w:tbl>
    <w:p>
      <w:pPr>
        <w:spacing w:before="40" w:after="160" w:line="240" w:lineRule="auto"/>
        <w:ind w:firstLine="0"/>
        <w:jc w:val="left"/>
      </w:pPr>
      <w:r>
        <w:rPr>
          <w:rFonts w:ascii="Times New Roman" w:hAnsi="Times New Roman" w:eastAsia="宋体"/>
          <w:b w:val="0"/>
          <w:sz w:val="18"/>
        </w:rPr>
        <w:t>注：具体条款以现行有效文本为准；企业应结合本单位业务范围补充适用的行业规范。</w:t>
      </w:r>
    </w:p>
    <w:p>
      <w:pPr>
        <w:keepNext/>
        <w:spacing w:before="160" w:after="80" w:line="360" w:lineRule="auto"/>
        <w:jc w:val="left"/>
      </w:pPr>
      <w:r>
        <w:rPr>
          <w:rFonts w:ascii="Times New Roman" w:hAnsi="Times New Roman" w:eastAsia="黑体"/>
          <w:b w:val="0"/>
          <w:sz w:val="28"/>
        </w:rPr>
        <w:t>2.3  相关方作业风险的屏障分析</w:t>
      </w:r>
    </w:p>
    <w:p>
      <w:pPr>
        <w:spacing w:before="0" w:after="0" w:line="360" w:lineRule="auto"/>
        <w:ind w:firstLine="480"/>
        <w:jc w:val="both"/>
      </w:pPr>
      <w:r>
        <w:rPr>
          <w:rFonts w:ascii="Times New Roman" w:hAnsi="Times New Roman" w:eastAsia="宋体"/>
          <w:b w:val="0"/>
          <w:sz w:val="24"/>
        </w:rPr>
        <w:t>为使“精细化”落到具体动作上，本文引入屏障分析（Bow-tie）工具，把相关方作业风险表达为“致因—失控事件—后果”的链条，并在链条两侧设置预防屏障与缓解屏障，如图 2 所示。</w:t>
      </w:r>
    </w:p>
    <w:p>
      <w:pPr>
        <w:keepNext/>
        <w:spacing w:before="120" w:after="0" w:line="240" w:lineRule="auto"/>
        <w:jc w:val="center"/>
      </w:pPr>
      <w:r>
        <w:drawing>
          <wp:inline xmlns:a="http://schemas.openxmlformats.org/drawingml/2006/main" xmlns:pic="http://schemas.openxmlformats.org/drawingml/2006/picture">
            <wp:extent cx="5580000" cy="2847094"/>
            <wp:docPr id="2" name="Picture 2"/>
            <wp:cNvGraphicFramePr>
              <a:graphicFrameLocks noChangeAspect="1"/>
            </wp:cNvGraphicFramePr>
            <a:graphic>
              <a:graphicData uri="http://schemas.openxmlformats.org/drawingml/2006/picture">
                <pic:pic>
                  <pic:nvPicPr>
                    <pic:cNvPr id="0" name="p3_c2_bowtie.png"/>
                    <pic:cNvPicPr/>
                  </pic:nvPicPr>
                  <pic:blipFill>
                    <a:blip r:embed="rId10"/>
                    <a:stretch>
                      <a:fillRect/>
                    </a:stretch>
                  </pic:blipFill>
                  <pic:spPr>
                    <a:xfrm>
                      <a:off x="0" y="0"/>
                      <a:ext cx="5580000" cy="2847094"/>
                    </a:xfrm>
                    <a:prstGeom prst="rect"/>
                  </pic:spPr>
                </pic:pic>
              </a:graphicData>
            </a:graphic>
          </wp:inline>
        </w:drawing>
      </w:r>
    </w:p>
    <w:p>
      <w:pPr>
        <w:spacing w:before="40" w:after="160" w:line="240" w:lineRule="auto"/>
        <w:jc w:val="center"/>
      </w:pPr>
      <w:r>
        <w:rPr>
          <w:rFonts w:ascii="Times New Roman" w:hAnsi="Times New Roman" w:eastAsia="黑体"/>
          <w:b w:val="0"/>
          <w:sz w:val="21"/>
        </w:rPr>
        <w:t>图 2  相关方作业风险的屏障分析</w:t>
      </w:r>
    </w:p>
    <w:p>
      <w:pPr>
        <w:spacing w:before="0" w:after="0" w:line="360" w:lineRule="auto"/>
        <w:ind w:firstLine="480"/>
        <w:jc w:val="both"/>
      </w:pPr>
      <w:r>
        <w:rPr>
          <w:rFonts w:ascii="Times New Roman" w:hAnsi="Times New Roman" w:eastAsia="宋体"/>
          <w:b w:val="0"/>
          <w:sz w:val="24"/>
        </w:rPr>
        <w:t>屏障分析的价值在于，它把抽象的“加强管理”转换为</w:t>
      </w:r>
      <w:r>
        <w:rPr>
          <w:rFonts w:ascii="Times New Roman" w:hAnsi="Times New Roman" w:eastAsia="宋体"/>
          <w:b/>
          <w:sz w:val="24"/>
        </w:rPr>
        <w:t>每一道屏障的具体可查验动作</w:t>
      </w:r>
      <w:r>
        <w:rPr>
          <w:rFonts w:ascii="Times New Roman" w:hAnsi="Times New Roman" w:eastAsia="宋体"/>
          <w:b w:val="0"/>
          <w:sz w:val="24"/>
        </w:rPr>
        <w:t>：准入审核对应资质与业绩核验，作业前交底对应风险告知记录，作业票对应审批签字与监护人到岗，旁站对应现场监督记录。屏障是否有效，可通过检查这些记录是否存在、是否规范来判定，从而使监管从“看现场感觉”转向“查屏障完整性”。这与双重预防机制（风险分级管控 + 隐患排查治理）的基本逻辑一致[1]。</w:t>
      </w:r>
    </w:p>
    <w:p>
      <w:pPr>
        <w:keepNext/>
        <w:spacing w:before="240" w:after="120" w:line="360" w:lineRule="auto"/>
        <w:jc w:val="left"/>
      </w:pPr>
      <w:r>
        <w:rPr>
          <w:rFonts w:ascii="Times New Roman" w:hAnsi="Times New Roman" w:eastAsia="黑体"/>
          <w:b/>
          <w:sz w:val="30"/>
        </w:rPr>
        <w:t>3  现状与问题诊断</w:t>
      </w:r>
    </w:p>
    <w:p>
      <w:pPr>
        <w:keepNext/>
        <w:spacing w:before="160" w:after="80" w:line="360" w:lineRule="auto"/>
        <w:jc w:val="left"/>
      </w:pPr>
      <w:r>
        <w:rPr>
          <w:rFonts w:ascii="Times New Roman" w:hAnsi="Times New Roman" w:eastAsia="黑体"/>
          <w:b w:val="0"/>
          <w:sz w:val="28"/>
        </w:rPr>
        <w:t>3.1  分类管理流于形式，风险特征差异未被体现</w:t>
      </w:r>
    </w:p>
    <w:p>
      <w:pPr>
        <w:spacing w:before="0" w:after="0" w:line="360" w:lineRule="auto"/>
        <w:ind w:firstLine="480"/>
        <w:jc w:val="both"/>
      </w:pPr>
      <w:r>
        <w:rPr>
          <w:rFonts w:ascii="Times New Roman" w:hAnsi="Times New Roman" w:eastAsia="宋体"/>
          <w:b w:val="0"/>
          <w:sz w:val="24"/>
        </w:rPr>
        <w:t>目前企业已建立较为完善的相关方安全管理体系，通过合同约定、安全协议、入场教育和现场检查等手段实施监管，但部分流程仍以满足基本合规为主。不同类型相关方面临的风险类型差异显著：施工单位侧重现场作业风险，设备维保单位集中于设备运行与检修风险，物流辅助单位以车辆与装卸作业风险为主，物业服务单位则关注日常服务过程的安全。使用单一监管模式将导致资源配置不当——高风险对象监管不足，低风险对象监管过度。</w:t>
      </w:r>
    </w:p>
    <w:p>
      <w:pPr>
        <w:keepNext/>
        <w:spacing w:before="160" w:after="80" w:line="360" w:lineRule="auto"/>
        <w:jc w:val="left"/>
      </w:pPr>
      <w:r>
        <w:rPr>
          <w:rFonts w:ascii="Times New Roman" w:hAnsi="Times New Roman" w:eastAsia="黑体"/>
          <w:b w:val="0"/>
          <w:sz w:val="28"/>
        </w:rPr>
        <w:t>3.2  责任界面模糊，且缺乏经济约束</w:t>
      </w:r>
    </w:p>
    <w:p>
      <w:pPr>
        <w:spacing w:before="0" w:after="0" w:line="360" w:lineRule="auto"/>
        <w:ind w:firstLine="480"/>
        <w:jc w:val="both"/>
      </w:pPr>
      <w:r>
        <w:rPr>
          <w:rFonts w:ascii="Times New Roman" w:hAnsi="Times New Roman" w:eastAsia="宋体"/>
          <w:b w:val="0"/>
          <w:sz w:val="24"/>
        </w:rPr>
        <w:t>相关方安全管理涉及企业、归口管理部门、服务单位及现场作业人员多个主体，但企业与相关方之间的责任界面往往不够明确。更关键的问题是：相关方是外部市场主体，仅靠“明确责任”而无经济约束，其守约动力缺乏来源。实践中真正起作用的是费用与续签资格，而既有研究普遍回避了这一点。</w:t>
      </w:r>
    </w:p>
    <w:p>
      <w:pPr>
        <w:keepNext/>
        <w:spacing w:before="160" w:after="80" w:line="360" w:lineRule="auto"/>
        <w:jc w:val="left"/>
      </w:pPr>
      <w:r>
        <w:rPr>
          <w:rFonts w:ascii="Times New Roman" w:hAnsi="Times New Roman" w:eastAsia="黑体"/>
          <w:b w:val="0"/>
          <w:sz w:val="28"/>
        </w:rPr>
        <w:t>3.3  风险辨识停留在常规要求层面</w:t>
      </w:r>
    </w:p>
    <w:p>
      <w:pPr>
        <w:spacing w:before="0" w:after="0" w:line="360" w:lineRule="auto"/>
        <w:ind w:firstLine="480"/>
        <w:jc w:val="both"/>
      </w:pPr>
      <w:r>
        <w:rPr>
          <w:rFonts w:ascii="Times New Roman" w:hAnsi="Times New Roman" w:eastAsia="宋体"/>
          <w:b w:val="0"/>
          <w:sz w:val="24"/>
        </w:rPr>
        <w:t>尽管企业已开展风险辨识工作，但针对相关方作业特点的专项分析仍显不足。对临时性、阶段性作业，风险识别往往停留在常规要求层面，未能充分关注作业环境、人员、设备状态的动态变化；交叉作业与变更作业这两个事故高发环节尤其缺乏专门规则。</w:t>
      </w:r>
    </w:p>
    <w:p>
      <w:pPr>
        <w:keepNext/>
        <w:spacing w:before="160" w:after="80" w:line="360" w:lineRule="auto"/>
        <w:jc w:val="left"/>
      </w:pPr>
      <w:r>
        <w:rPr>
          <w:rFonts w:ascii="Times New Roman" w:hAnsi="Times New Roman" w:eastAsia="黑体"/>
          <w:b w:val="0"/>
          <w:sz w:val="28"/>
        </w:rPr>
        <w:t>3.4  过程监管手段传统，动态跟踪能力不足</w:t>
      </w:r>
    </w:p>
    <w:p>
      <w:pPr>
        <w:spacing w:before="0" w:after="0" w:line="360" w:lineRule="auto"/>
        <w:ind w:firstLine="480"/>
        <w:jc w:val="both"/>
      </w:pPr>
      <w:r>
        <w:rPr>
          <w:rFonts w:ascii="Times New Roman" w:hAnsi="Times New Roman" w:eastAsia="宋体"/>
          <w:b w:val="0"/>
          <w:sz w:val="24"/>
        </w:rPr>
        <w:t>相关方监管主要依赖现场检查和资料审核，对相关方日常履责情况、风险变化趋势及安全管理能力的评价缺乏持续跟踪。在相关方数量较多的情况下，仅通过人工检查难以实现全过程覆盖[5]。</w:t>
      </w:r>
    </w:p>
    <w:p>
      <w:pPr>
        <w:keepNext/>
        <w:spacing w:before="160" w:after="80" w:line="360" w:lineRule="auto"/>
        <w:jc w:val="left"/>
      </w:pPr>
      <w:r>
        <w:rPr>
          <w:rFonts w:ascii="Times New Roman" w:hAnsi="Times New Roman" w:eastAsia="黑体"/>
          <w:b w:val="0"/>
          <w:sz w:val="28"/>
        </w:rPr>
        <w:t>3.5  评价激励机制不完善，正向引导缺失</w:t>
      </w:r>
    </w:p>
    <w:p>
      <w:pPr>
        <w:spacing w:before="0" w:after="0" w:line="360" w:lineRule="auto"/>
        <w:ind w:firstLine="480"/>
        <w:jc w:val="both"/>
      </w:pPr>
      <w:r>
        <w:rPr>
          <w:rFonts w:ascii="Times New Roman" w:hAnsi="Times New Roman" w:eastAsia="宋体"/>
          <w:b w:val="0"/>
          <w:sz w:val="24"/>
        </w:rPr>
        <w:t>目前对相关方的考核主要集中在违章处罚和隐患整改，对安全表现优秀的相关方缺乏激励措施，尚未形成有效的正向引导机制，相关方仍处于“被动接受监管”状态。</w:t>
      </w:r>
    </w:p>
    <w:p>
      <w:pPr>
        <w:keepNext/>
        <w:spacing w:before="240" w:after="120" w:line="360" w:lineRule="auto"/>
        <w:jc w:val="left"/>
      </w:pPr>
      <w:r>
        <w:rPr>
          <w:rFonts w:ascii="Times New Roman" w:hAnsi="Times New Roman" w:eastAsia="黑体"/>
          <w:b/>
          <w:sz w:val="30"/>
        </w:rPr>
        <w:t>4  分类分级管控机制</w:t>
      </w:r>
    </w:p>
    <w:p>
      <w:pPr>
        <w:keepNext/>
        <w:spacing w:before="160" w:after="80" w:line="360" w:lineRule="auto"/>
        <w:jc w:val="left"/>
      </w:pPr>
      <w:r>
        <w:rPr>
          <w:rFonts w:ascii="Times New Roman" w:hAnsi="Times New Roman" w:eastAsia="黑体"/>
          <w:b w:val="0"/>
          <w:sz w:val="28"/>
        </w:rPr>
        <w:t>4.1  二维定级模型</w:t>
      </w:r>
    </w:p>
    <w:p>
      <w:pPr>
        <w:spacing w:before="0" w:after="0" w:line="360" w:lineRule="auto"/>
        <w:ind w:firstLine="480"/>
        <w:jc w:val="both"/>
      </w:pPr>
      <w:r>
        <w:rPr>
          <w:rFonts w:ascii="Times New Roman" w:hAnsi="Times New Roman" w:eastAsia="宋体"/>
          <w:b w:val="0"/>
          <w:sz w:val="24"/>
        </w:rPr>
        <w:t>本文提出以作业风险与管理能力构成的二维定级模型，取代单一维度的分类。横轴为相关方安全管理能力评分，纵轴为作业风险等级，交叉形成九宫格，如图 3 所示。</w:t>
      </w:r>
    </w:p>
    <w:p>
      <w:pPr>
        <w:spacing w:before="0" w:after="0" w:line="360" w:lineRule="auto"/>
        <w:ind w:firstLine="480"/>
        <w:jc w:val="both"/>
      </w:pPr>
      <w:r>
        <w:rPr>
          <w:rFonts w:ascii="Times New Roman" w:hAnsi="Times New Roman" w:eastAsia="宋体"/>
          <w:b w:val="0"/>
          <w:sz w:val="24"/>
        </w:rPr>
        <w:t>作业风险采用 LEC 作业条件危险性评价法计算：D = L × E × C，其中 L 为事故发生可能性，E 为人员暴露于危险环境的频繁程度，C 为事故可能造成的后果严重度。按 D 值分为高风险（D&gt;160）、中风险（70&lt;D≤160）、低风险（D≤70）三档。安全管理能力评分采用第 5.3 节的指标体系与组合权重计算，按得分分为能力强（≥80 分）、能力中（60～80 分）、能力弱（&lt;60 分）三档。</w:t>
      </w:r>
    </w:p>
    <w:p>
      <w:pPr>
        <w:keepNext/>
        <w:spacing w:before="120" w:after="0" w:line="240" w:lineRule="auto"/>
        <w:jc w:val="center"/>
      </w:pPr>
      <w:r>
        <w:drawing>
          <wp:inline xmlns:a="http://schemas.openxmlformats.org/drawingml/2006/main" xmlns:pic="http://schemas.openxmlformats.org/drawingml/2006/picture">
            <wp:extent cx="4140000" cy="3755609"/>
            <wp:docPr id="3" name="Picture 3"/>
            <wp:cNvGraphicFramePr>
              <a:graphicFrameLocks noChangeAspect="1"/>
            </wp:cNvGraphicFramePr>
            <a:graphic>
              <a:graphicData uri="http://schemas.openxmlformats.org/drawingml/2006/picture">
                <pic:pic>
                  <pic:nvPicPr>
                    <pic:cNvPr id="0" name="p3_c3_matrix.png"/>
                    <pic:cNvPicPr/>
                  </pic:nvPicPr>
                  <pic:blipFill>
                    <a:blip r:embed="rId11"/>
                    <a:stretch>
                      <a:fillRect/>
                    </a:stretch>
                  </pic:blipFill>
                  <pic:spPr>
                    <a:xfrm>
                      <a:off x="0" y="0"/>
                      <a:ext cx="4140000" cy="3755609"/>
                    </a:xfrm>
                    <a:prstGeom prst="rect"/>
                  </pic:spPr>
                </pic:pic>
              </a:graphicData>
            </a:graphic>
          </wp:inline>
        </w:drawing>
      </w:r>
    </w:p>
    <w:p>
      <w:pPr>
        <w:spacing w:before="40" w:after="160" w:line="240" w:lineRule="auto"/>
        <w:jc w:val="center"/>
      </w:pPr>
      <w:r>
        <w:rPr>
          <w:rFonts w:ascii="Times New Roman" w:hAnsi="Times New Roman" w:eastAsia="黑体"/>
          <w:b w:val="0"/>
          <w:sz w:val="21"/>
        </w:rPr>
        <w:t>图 3  相关方分类分级二维矩阵与差异化监管强度</w:t>
      </w:r>
    </w:p>
    <w:p>
      <w:pPr>
        <w:spacing w:before="0" w:after="0" w:line="360" w:lineRule="auto"/>
        <w:ind w:firstLine="480"/>
        <w:jc w:val="both"/>
      </w:pPr>
      <w:r>
        <w:rPr>
          <w:rFonts w:ascii="Times New Roman" w:hAnsi="Times New Roman" w:eastAsia="宋体"/>
          <w:b w:val="0"/>
          <w:sz w:val="24"/>
        </w:rPr>
        <w:t>九宫格对应三级监管强度：A 级实行专人旁站、全过程监督，月度检查不少于 2 次，作业逐项审批；B 级实行重点抽查、作业前审批，月度检查 1 次；C 级实行常态管理、季度检查，以资料核验为主。定级逻辑遵循一条基本原则：</w:t>
      </w:r>
      <w:r>
        <w:rPr>
          <w:rFonts w:ascii="Times New Roman" w:hAnsi="Times New Roman" w:eastAsia="宋体"/>
          <w:b/>
          <w:sz w:val="24"/>
        </w:rPr>
        <w:t>风险越高、能力越弱，监管强度越高</w:t>
      </w:r>
      <w:r>
        <w:rPr>
          <w:rFonts w:ascii="Times New Roman" w:hAnsi="Times New Roman" w:eastAsia="宋体"/>
          <w:b w:val="0"/>
          <w:sz w:val="24"/>
        </w:rPr>
        <w:t>。值得注意的是，高风险但能力强的相关方（B1 级）监管强度低于中风险但能力弱的相关方（A2 级）——这体现了监管资源应向“最可能出事”而非“最可能造成后果”的对象倾斜。</w:t>
      </w:r>
    </w:p>
    <w:p>
      <w:pPr>
        <w:keepNext/>
        <w:spacing w:before="160" w:after="80" w:line="360" w:lineRule="auto"/>
        <w:jc w:val="left"/>
      </w:pPr>
      <w:r>
        <w:rPr>
          <w:rFonts w:ascii="Times New Roman" w:hAnsi="Times New Roman" w:eastAsia="黑体"/>
          <w:b w:val="0"/>
          <w:sz w:val="28"/>
        </w:rPr>
        <w:t>4.2  情景样本上的模型验证</w:t>
      </w:r>
    </w:p>
    <w:p>
      <w:pPr>
        <w:spacing w:before="0" w:after="0" w:line="360" w:lineRule="auto"/>
        <w:ind w:firstLine="480"/>
        <w:jc w:val="both"/>
      </w:pPr>
      <w:r>
        <w:rPr>
          <w:rFonts w:ascii="Times New Roman" w:hAnsi="Times New Roman" w:eastAsia="宋体"/>
          <w:b w:val="0"/>
          <w:sz w:val="24"/>
        </w:rPr>
        <w:t>为检验模型的区分能力，本文构造 60 家相关方的情景样本，按工程施工、设备维护、物流辅助、服务保障四类设定不同的 L、E、C 分布与能力评分分布，分布参数依据烟草商业企业相关方的通常构成设定。</w:t>
      </w:r>
      <w:r>
        <w:rPr>
          <w:rFonts w:ascii="Times New Roman" w:hAnsi="Times New Roman" w:eastAsia="宋体"/>
          <w:b/>
          <w:sz w:val="24"/>
        </w:rPr>
        <w:t>需说明：本节及第 6 章的数值结果为情景分析，由可复现代码实际运行产生，用于验证方法可行性与揭示量级关系，不代表某一具体单位的实测数据；实际应用时应以本单位相关方台账替换样本。</w:t>
      </w:r>
      <w:r>
        <w:rPr>
          <w:rFonts w:ascii="Times New Roman" w:hAnsi="Times New Roman" w:eastAsia="宋体"/>
          <w:b w:val="0"/>
          <w:sz w:val="24"/>
        </w:rPr>
        <w:t>样本概况如表 2 所示，定级结果的二维分布如图 4 所示。</w:t>
      </w:r>
    </w:p>
    <w:p>
      <w:pPr>
        <w:keepNext/>
        <w:spacing w:before="160" w:after="40" w:line="240" w:lineRule="auto"/>
        <w:jc w:val="center"/>
      </w:pPr>
      <w:r>
        <w:rPr>
          <w:rFonts w:ascii="Times New Roman" w:hAnsi="Times New Roman" w:eastAsia="黑体"/>
          <w:b w:val="0"/>
          <w:sz w:val="21"/>
        </w:rPr>
        <w:t>表 2  相关方情景样本概况（N=60）</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263"/>
        <w:gridCol w:w="1263"/>
        <w:gridCol w:w="1263"/>
        <w:gridCol w:w="1263"/>
        <w:gridCol w:w="1263"/>
        <w:gridCol w:w="1263"/>
        <w:gridCol w:w="1263"/>
      </w:tblGrid>
      <w:tr>
        <w:tc>
          <w:tcPr>
            <w:tcW w:type="dxa" w:w="1587"/>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类别</w:t>
            </w:r>
          </w:p>
        </w:tc>
        <w:tc>
          <w:tcPr>
            <w:tcW w:type="dxa" w:w="1020"/>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样本数</w:t>
            </w:r>
          </w:p>
        </w:tc>
        <w:tc>
          <w:tcPr>
            <w:tcW w:type="dxa" w:w="147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风险值 D 均值</w:t>
            </w:r>
          </w:p>
        </w:tc>
        <w:tc>
          <w:tcPr>
            <w:tcW w:type="dxa" w:w="1247"/>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D 中位数</w:t>
            </w:r>
          </w:p>
        </w:tc>
        <w:tc>
          <w:tcPr>
            <w:tcW w:type="dxa" w:w="1247"/>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D 最大值</w:t>
            </w:r>
          </w:p>
        </w:tc>
        <w:tc>
          <w:tcPr>
            <w:tcW w:type="dxa" w:w="147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能力评分均值</w:t>
            </w:r>
          </w:p>
        </w:tc>
        <w:tc>
          <w:tcPr>
            <w:tcW w:type="dxa" w:w="147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高风险占比 / %</w:t>
            </w:r>
          </w:p>
        </w:tc>
      </w:tr>
      <w:tr>
        <w:tc>
          <w:tcPr>
            <w:tcW w:type="dxa" w:w="1587"/>
          </w:tcPr>
          <w:p>
            <w:pPr>
              <w:spacing w:before="40" w:after="40" w:line="240" w:lineRule="auto"/>
              <w:jc w:val="left"/>
            </w:pPr>
            <w:r/>
            <w:r>
              <w:rPr>
                <w:rFonts w:ascii="Times New Roman" w:hAnsi="Times New Roman" w:eastAsia="宋体"/>
                <w:b w:val="0"/>
                <w:sz w:val="19"/>
              </w:rPr>
              <w:t>工程施工类</w:t>
            </w:r>
          </w:p>
        </w:tc>
        <w:tc>
          <w:tcPr>
            <w:tcW w:type="dxa" w:w="1020"/>
          </w:tcPr>
          <w:p>
            <w:pPr>
              <w:spacing w:before="40" w:after="40" w:line="240" w:lineRule="auto"/>
              <w:jc w:val="center"/>
            </w:pPr>
            <w:r/>
            <w:r>
              <w:rPr>
                <w:rFonts w:ascii="Times New Roman" w:hAnsi="Times New Roman" w:eastAsia="宋体"/>
                <w:b w:val="0"/>
                <w:sz w:val="19"/>
              </w:rPr>
              <w:t>12</w:t>
            </w:r>
          </w:p>
        </w:tc>
        <w:tc>
          <w:tcPr>
            <w:tcW w:type="dxa" w:w="1474"/>
          </w:tcPr>
          <w:p>
            <w:pPr>
              <w:spacing w:before="40" w:after="40" w:line="240" w:lineRule="auto"/>
              <w:jc w:val="center"/>
            </w:pPr>
            <w:r/>
            <w:r>
              <w:rPr>
                <w:rFonts w:ascii="Times New Roman" w:hAnsi="Times New Roman" w:eastAsia="宋体"/>
                <w:b w:val="0"/>
                <w:sz w:val="19"/>
              </w:rPr>
              <w:t>268.4</w:t>
            </w:r>
          </w:p>
        </w:tc>
        <w:tc>
          <w:tcPr>
            <w:tcW w:type="dxa" w:w="1247"/>
          </w:tcPr>
          <w:p>
            <w:pPr>
              <w:spacing w:before="40" w:after="40" w:line="240" w:lineRule="auto"/>
              <w:jc w:val="center"/>
            </w:pPr>
            <w:r/>
            <w:r>
              <w:rPr>
                <w:rFonts w:ascii="Times New Roman" w:hAnsi="Times New Roman" w:eastAsia="宋体"/>
                <w:b w:val="0"/>
                <w:sz w:val="19"/>
              </w:rPr>
              <w:t>231.1</w:t>
            </w:r>
          </w:p>
        </w:tc>
        <w:tc>
          <w:tcPr>
            <w:tcW w:type="dxa" w:w="1247"/>
          </w:tcPr>
          <w:p>
            <w:pPr>
              <w:spacing w:before="40" w:after="40" w:line="240" w:lineRule="auto"/>
              <w:jc w:val="center"/>
            </w:pPr>
            <w:r/>
            <w:r>
              <w:rPr>
                <w:rFonts w:ascii="Times New Roman" w:hAnsi="Times New Roman" w:eastAsia="宋体"/>
                <w:b w:val="0"/>
                <w:sz w:val="19"/>
              </w:rPr>
              <w:t>577.9</w:t>
            </w:r>
          </w:p>
        </w:tc>
        <w:tc>
          <w:tcPr>
            <w:tcW w:type="dxa" w:w="1474"/>
          </w:tcPr>
          <w:p>
            <w:pPr>
              <w:spacing w:before="40" w:after="40" w:line="240" w:lineRule="auto"/>
              <w:jc w:val="center"/>
            </w:pPr>
            <w:r/>
            <w:r>
              <w:rPr>
                <w:rFonts w:ascii="Times New Roman" w:hAnsi="Times New Roman" w:eastAsia="宋体"/>
                <w:b w:val="0"/>
                <w:sz w:val="19"/>
              </w:rPr>
              <w:t>58.0</w:t>
            </w:r>
          </w:p>
        </w:tc>
        <w:tc>
          <w:tcPr>
            <w:tcW w:type="dxa" w:w="1474"/>
          </w:tcPr>
          <w:p>
            <w:pPr>
              <w:spacing w:before="40" w:after="40" w:line="240" w:lineRule="auto"/>
              <w:jc w:val="center"/>
            </w:pPr>
            <w:r/>
            <w:r>
              <w:rPr>
                <w:rFonts w:ascii="Times New Roman" w:hAnsi="Times New Roman" w:eastAsia="宋体"/>
                <w:b w:val="0"/>
                <w:sz w:val="19"/>
              </w:rPr>
              <w:t>91.7</w:t>
            </w:r>
          </w:p>
        </w:tc>
      </w:tr>
      <w:tr>
        <w:tc>
          <w:tcPr>
            <w:tcW w:type="dxa" w:w="1587"/>
          </w:tcPr>
          <w:p>
            <w:pPr>
              <w:spacing w:before="40" w:after="40" w:line="240" w:lineRule="auto"/>
              <w:jc w:val="left"/>
            </w:pPr>
            <w:r/>
            <w:r>
              <w:rPr>
                <w:rFonts w:ascii="Times New Roman" w:hAnsi="Times New Roman" w:eastAsia="宋体"/>
                <w:b w:val="0"/>
                <w:sz w:val="19"/>
              </w:rPr>
              <w:t>设备维护类</w:t>
            </w:r>
          </w:p>
        </w:tc>
        <w:tc>
          <w:tcPr>
            <w:tcW w:type="dxa" w:w="1020"/>
          </w:tcPr>
          <w:p>
            <w:pPr>
              <w:spacing w:before="40" w:after="40" w:line="240" w:lineRule="auto"/>
              <w:jc w:val="center"/>
            </w:pPr>
            <w:r/>
            <w:r>
              <w:rPr>
                <w:rFonts w:ascii="Times New Roman" w:hAnsi="Times New Roman" w:eastAsia="宋体"/>
                <w:b w:val="0"/>
                <w:sz w:val="19"/>
              </w:rPr>
              <w:t>16</w:t>
            </w:r>
          </w:p>
        </w:tc>
        <w:tc>
          <w:tcPr>
            <w:tcW w:type="dxa" w:w="1474"/>
          </w:tcPr>
          <w:p>
            <w:pPr>
              <w:spacing w:before="40" w:after="40" w:line="240" w:lineRule="auto"/>
              <w:jc w:val="center"/>
            </w:pPr>
            <w:r/>
            <w:r>
              <w:rPr>
                <w:rFonts w:ascii="Times New Roman" w:hAnsi="Times New Roman" w:eastAsia="宋体"/>
                <w:b w:val="0"/>
                <w:sz w:val="19"/>
              </w:rPr>
              <w:t>94.8</w:t>
            </w:r>
          </w:p>
        </w:tc>
        <w:tc>
          <w:tcPr>
            <w:tcW w:type="dxa" w:w="1247"/>
          </w:tcPr>
          <w:p>
            <w:pPr>
              <w:spacing w:before="40" w:after="40" w:line="240" w:lineRule="auto"/>
              <w:jc w:val="center"/>
            </w:pPr>
            <w:r/>
            <w:r>
              <w:rPr>
                <w:rFonts w:ascii="Times New Roman" w:hAnsi="Times New Roman" w:eastAsia="宋体"/>
                <w:b w:val="0"/>
                <w:sz w:val="19"/>
              </w:rPr>
              <w:t>76.9</w:t>
            </w:r>
          </w:p>
        </w:tc>
        <w:tc>
          <w:tcPr>
            <w:tcW w:type="dxa" w:w="1247"/>
          </w:tcPr>
          <w:p>
            <w:pPr>
              <w:spacing w:before="40" w:after="40" w:line="240" w:lineRule="auto"/>
              <w:jc w:val="center"/>
            </w:pPr>
            <w:r/>
            <w:r>
              <w:rPr>
                <w:rFonts w:ascii="Times New Roman" w:hAnsi="Times New Roman" w:eastAsia="宋体"/>
                <w:b w:val="0"/>
                <w:sz w:val="19"/>
              </w:rPr>
              <w:t>178.9</w:t>
            </w:r>
          </w:p>
        </w:tc>
        <w:tc>
          <w:tcPr>
            <w:tcW w:type="dxa" w:w="1474"/>
          </w:tcPr>
          <w:p>
            <w:pPr>
              <w:spacing w:before="40" w:after="40" w:line="240" w:lineRule="auto"/>
              <w:jc w:val="center"/>
            </w:pPr>
            <w:r/>
            <w:r>
              <w:rPr>
                <w:rFonts w:ascii="Times New Roman" w:hAnsi="Times New Roman" w:eastAsia="宋体"/>
                <w:b w:val="0"/>
                <w:sz w:val="19"/>
              </w:rPr>
              <w:t>70.1</w:t>
            </w:r>
          </w:p>
        </w:tc>
        <w:tc>
          <w:tcPr>
            <w:tcW w:type="dxa" w:w="1474"/>
          </w:tcPr>
          <w:p>
            <w:pPr>
              <w:spacing w:before="40" w:after="40" w:line="240" w:lineRule="auto"/>
              <w:jc w:val="center"/>
            </w:pPr>
            <w:r/>
            <w:r>
              <w:rPr>
                <w:rFonts w:ascii="Times New Roman" w:hAnsi="Times New Roman" w:eastAsia="宋体"/>
                <w:b w:val="0"/>
                <w:sz w:val="19"/>
              </w:rPr>
              <w:t>18.8</w:t>
            </w:r>
          </w:p>
        </w:tc>
      </w:tr>
      <w:tr>
        <w:tc>
          <w:tcPr>
            <w:tcW w:type="dxa" w:w="1587"/>
          </w:tcPr>
          <w:p>
            <w:pPr>
              <w:spacing w:before="40" w:after="40" w:line="240" w:lineRule="auto"/>
              <w:jc w:val="left"/>
            </w:pPr>
            <w:r/>
            <w:r>
              <w:rPr>
                <w:rFonts w:ascii="Times New Roman" w:hAnsi="Times New Roman" w:eastAsia="宋体"/>
                <w:b w:val="0"/>
                <w:sz w:val="19"/>
              </w:rPr>
              <w:t>物流辅助类</w:t>
            </w:r>
          </w:p>
        </w:tc>
        <w:tc>
          <w:tcPr>
            <w:tcW w:type="dxa" w:w="1020"/>
          </w:tcPr>
          <w:p>
            <w:pPr>
              <w:spacing w:before="40" w:after="40" w:line="240" w:lineRule="auto"/>
              <w:jc w:val="center"/>
            </w:pPr>
            <w:r/>
            <w:r>
              <w:rPr>
                <w:rFonts w:ascii="Times New Roman" w:hAnsi="Times New Roman" w:eastAsia="宋体"/>
                <w:b w:val="0"/>
                <w:sz w:val="19"/>
              </w:rPr>
              <w:t>14</w:t>
            </w:r>
          </w:p>
        </w:tc>
        <w:tc>
          <w:tcPr>
            <w:tcW w:type="dxa" w:w="1474"/>
          </w:tcPr>
          <w:p>
            <w:pPr>
              <w:spacing w:before="40" w:after="40" w:line="240" w:lineRule="auto"/>
              <w:jc w:val="center"/>
            </w:pPr>
            <w:r/>
            <w:r>
              <w:rPr>
                <w:rFonts w:ascii="Times New Roman" w:hAnsi="Times New Roman" w:eastAsia="宋体"/>
                <w:b w:val="0"/>
                <w:sz w:val="19"/>
              </w:rPr>
              <w:t>65.8</w:t>
            </w:r>
          </w:p>
        </w:tc>
        <w:tc>
          <w:tcPr>
            <w:tcW w:type="dxa" w:w="1247"/>
          </w:tcPr>
          <w:p>
            <w:pPr>
              <w:spacing w:before="40" w:after="40" w:line="240" w:lineRule="auto"/>
              <w:jc w:val="center"/>
            </w:pPr>
            <w:r/>
            <w:r>
              <w:rPr>
                <w:rFonts w:ascii="Times New Roman" w:hAnsi="Times New Roman" w:eastAsia="宋体"/>
                <w:b w:val="0"/>
                <w:sz w:val="19"/>
              </w:rPr>
              <w:t>57.8</w:t>
            </w:r>
          </w:p>
        </w:tc>
        <w:tc>
          <w:tcPr>
            <w:tcW w:type="dxa" w:w="1247"/>
          </w:tcPr>
          <w:p>
            <w:pPr>
              <w:spacing w:before="40" w:after="40" w:line="240" w:lineRule="auto"/>
              <w:jc w:val="center"/>
            </w:pPr>
            <w:r/>
            <w:r>
              <w:rPr>
                <w:rFonts w:ascii="Times New Roman" w:hAnsi="Times New Roman" w:eastAsia="宋体"/>
                <w:b w:val="0"/>
                <w:sz w:val="19"/>
              </w:rPr>
              <w:t>136.7</w:t>
            </w:r>
          </w:p>
        </w:tc>
        <w:tc>
          <w:tcPr>
            <w:tcW w:type="dxa" w:w="1474"/>
          </w:tcPr>
          <w:p>
            <w:pPr>
              <w:spacing w:before="40" w:after="40" w:line="240" w:lineRule="auto"/>
              <w:jc w:val="center"/>
            </w:pPr>
            <w:r/>
            <w:r>
              <w:rPr>
                <w:rFonts w:ascii="Times New Roman" w:hAnsi="Times New Roman" w:eastAsia="宋体"/>
                <w:b w:val="0"/>
                <w:sz w:val="19"/>
              </w:rPr>
              <w:t>72.3</w:t>
            </w:r>
          </w:p>
        </w:tc>
        <w:tc>
          <w:tcPr>
            <w:tcW w:type="dxa" w:w="1474"/>
          </w:tcPr>
          <w:p>
            <w:pPr>
              <w:spacing w:before="40" w:after="40" w:line="240" w:lineRule="auto"/>
              <w:jc w:val="center"/>
            </w:pPr>
            <w:r/>
            <w:r>
              <w:rPr>
                <w:rFonts w:ascii="Times New Roman" w:hAnsi="Times New Roman" w:eastAsia="宋体"/>
                <w:b w:val="0"/>
                <w:sz w:val="19"/>
              </w:rPr>
              <w:t>0.0</w:t>
            </w:r>
          </w:p>
        </w:tc>
      </w:tr>
      <w:tr>
        <w:tc>
          <w:tcPr>
            <w:tcW w:type="dxa" w:w="1587"/>
            <w:tcBorders>
              <w:bottom w:val="single" w:sz="12" w:space="0" w:color="000000"/>
            </w:tcBorders>
          </w:tcPr>
          <w:p>
            <w:pPr>
              <w:spacing w:before="40" w:after="40" w:line="240" w:lineRule="auto"/>
              <w:jc w:val="left"/>
            </w:pPr>
            <w:r/>
            <w:r>
              <w:rPr>
                <w:rFonts w:ascii="Times New Roman" w:hAnsi="Times New Roman" w:eastAsia="宋体"/>
                <w:b w:val="0"/>
                <w:sz w:val="19"/>
              </w:rPr>
              <w:t>服务保障类</w:t>
            </w:r>
          </w:p>
        </w:tc>
        <w:tc>
          <w:tcPr>
            <w:tcW w:type="dxa" w:w="1020"/>
            <w:tcBorders>
              <w:bottom w:val="single" w:sz="12" w:space="0" w:color="000000"/>
            </w:tcBorders>
          </w:tcPr>
          <w:p>
            <w:pPr>
              <w:spacing w:before="40" w:after="40" w:line="240" w:lineRule="auto"/>
              <w:jc w:val="center"/>
            </w:pPr>
            <w:r/>
            <w:r>
              <w:rPr>
                <w:rFonts w:ascii="Times New Roman" w:hAnsi="Times New Roman" w:eastAsia="宋体"/>
                <w:b w:val="0"/>
                <w:sz w:val="19"/>
              </w:rPr>
              <w:t>18</w:t>
            </w:r>
          </w:p>
        </w:tc>
        <w:tc>
          <w:tcPr>
            <w:tcW w:type="dxa" w:w="1474"/>
            <w:tcBorders>
              <w:bottom w:val="single" w:sz="12" w:space="0" w:color="000000"/>
            </w:tcBorders>
          </w:tcPr>
          <w:p>
            <w:pPr>
              <w:spacing w:before="40" w:after="40" w:line="240" w:lineRule="auto"/>
              <w:jc w:val="center"/>
            </w:pPr>
            <w:r/>
            <w:r>
              <w:rPr>
                <w:rFonts w:ascii="Times New Roman" w:hAnsi="Times New Roman" w:eastAsia="宋体"/>
                <w:b w:val="0"/>
                <w:sz w:val="19"/>
              </w:rPr>
              <w:t>28.4</w:t>
            </w:r>
          </w:p>
        </w:tc>
        <w:tc>
          <w:tcPr>
            <w:tcW w:type="dxa" w:w="1247"/>
            <w:tcBorders>
              <w:bottom w:val="single" w:sz="12" w:space="0" w:color="000000"/>
            </w:tcBorders>
          </w:tcPr>
          <w:p>
            <w:pPr>
              <w:spacing w:before="40" w:after="40" w:line="240" w:lineRule="auto"/>
              <w:jc w:val="center"/>
            </w:pPr>
            <w:r/>
            <w:r>
              <w:rPr>
                <w:rFonts w:ascii="Times New Roman" w:hAnsi="Times New Roman" w:eastAsia="宋体"/>
                <w:b w:val="0"/>
                <w:sz w:val="19"/>
              </w:rPr>
              <w:t>27.7</w:t>
            </w:r>
          </w:p>
        </w:tc>
        <w:tc>
          <w:tcPr>
            <w:tcW w:type="dxa" w:w="1247"/>
            <w:tcBorders>
              <w:bottom w:val="single" w:sz="12" w:space="0" w:color="000000"/>
            </w:tcBorders>
          </w:tcPr>
          <w:p>
            <w:pPr>
              <w:spacing w:before="40" w:after="40" w:line="240" w:lineRule="auto"/>
              <w:jc w:val="center"/>
            </w:pPr>
            <w:r/>
            <w:r>
              <w:rPr>
                <w:rFonts w:ascii="Times New Roman" w:hAnsi="Times New Roman" w:eastAsia="宋体"/>
                <w:b w:val="0"/>
                <w:sz w:val="19"/>
              </w:rPr>
              <w:t>90.6</w:t>
            </w:r>
          </w:p>
        </w:tc>
        <w:tc>
          <w:tcPr>
            <w:tcW w:type="dxa" w:w="1474"/>
            <w:tcBorders>
              <w:bottom w:val="single" w:sz="12" w:space="0" w:color="000000"/>
            </w:tcBorders>
          </w:tcPr>
          <w:p>
            <w:pPr>
              <w:spacing w:before="40" w:after="40" w:line="240" w:lineRule="auto"/>
              <w:jc w:val="center"/>
            </w:pPr>
            <w:r/>
            <w:r>
              <w:rPr>
                <w:rFonts w:ascii="Times New Roman" w:hAnsi="Times New Roman" w:eastAsia="宋体"/>
                <w:b w:val="0"/>
                <w:sz w:val="19"/>
              </w:rPr>
              <w:t>75.7</w:t>
            </w:r>
          </w:p>
        </w:tc>
        <w:tc>
          <w:tcPr>
            <w:tcW w:type="dxa" w:w="1474"/>
            <w:tcBorders>
              <w:bottom w:val="single" w:sz="12" w:space="0" w:color="000000"/>
            </w:tcBorders>
          </w:tcPr>
          <w:p>
            <w:pPr>
              <w:spacing w:before="40" w:after="40" w:line="240" w:lineRule="auto"/>
              <w:jc w:val="center"/>
            </w:pPr>
            <w:r/>
            <w:r>
              <w:rPr>
                <w:rFonts w:ascii="Times New Roman" w:hAnsi="Times New Roman" w:eastAsia="宋体"/>
                <w:b w:val="0"/>
                <w:sz w:val="19"/>
              </w:rPr>
              <w:t>0.0</w:t>
            </w:r>
          </w:p>
        </w:tc>
      </w:tr>
    </w:tbl>
    <w:p>
      <w:pPr>
        <w:spacing w:before="40" w:after="160" w:line="240" w:lineRule="auto"/>
        <w:ind w:firstLine="0"/>
        <w:jc w:val="left"/>
      </w:pPr>
      <w:r>
        <w:rPr>
          <w:rFonts w:ascii="Times New Roman" w:hAnsi="Times New Roman" w:eastAsia="宋体"/>
          <w:b w:val="0"/>
          <w:sz w:val="18"/>
        </w:rPr>
        <w:t>注：D = L×E×C；高风险指 D&gt;160。能力评分为百分制。</w:t>
      </w:r>
    </w:p>
    <w:p>
      <w:pPr>
        <w:keepNext/>
        <w:spacing w:before="120" w:after="0" w:line="240" w:lineRule="auto"/>
        <w:jc w:val="center"/>
      </w:pPr>
      <w:r>
        <w:drawing>
          <wp:inline xmlns:a="http://schemas.openxmlformats.org/drawingml/2006/main" xmlns:pic="http://schemas.openxmlformats.org/drawingml/2006/picture">
            <wp:extent cx="4500000" cy="3093750"/>
            <wp:docPr id="4" name="Picture 4"/>
            <wp:cNvGraphicFramePr>
              <a:graphicFrameLocks noChangeAspect="1"/>
            </wp:cNvGraphicFramePr>
            <a:graphic>
              <a:graphicData uri="http://schemas.openxmlformats.org/drawingml/2006/picture">
                <pic:pic>
                  <pic:nvPicPr>
                    <pic:cNvPr id="0" name="p3_d1_grid.png"/>
                    <pic:cNvPicPr/>
                  </pic:nvPicPr>
                  <pic:blipFill>
                    <a:blip r:embed="rId12"/>
                    <a:stretch>
                      <a:fillRect/>
                    </a:stretch>
                  </pic:blipFill>
                  <pic:spPr>
                    <a:xfrm>
                      <a:off x="0" y="0"/>
                      <a:ext cx="4500000" cy="3093750"/>
                    </a:xfrm>
                    <a:prstGeom prst="rect"/>
                  </pic:spPr>
                </pic:pic>
              </a:graphicData>
            </a:graphic>
          </wp:inline>
        </w:drawing>
      </w:r>
    </w:p>
    <w:p>
      <w:pPr>
        <w:spacing w:before="40" w:after="160" w:line="240" w:lineRule="auto"/>
        <w:jc w:val="center"/>
      </w:pPr>
      <w:r>
        <w:rPr>
          <w:rFonts w:ascii="Times New Roman" w:hAnsi="Times New Roman" w:eastAsia="黑体"/>
          <w:b w:val="0"/>
          <w:sz w:val="21"/>
        </w:rPr>
        <w:t>图 4  相关方在风险—能力二维平面上的分布与定级</w:t>
      </w:r>
    </w:p>
    <w:p>
      <w:pPr>
        <w:spacing w:before="0" w:after="0" w:line="360" w:lineRule="auto"/>
        <w:ind w:firstLine="480"/>
        <w:jc w:val="both"/>
      </w:pPr>
      <w:r>
        <w:rPr>
          <w:rFonts w:ascii="Times New Roman" w:hAnsi="Times New Roman" w:eastAsia="宋体"/>
          <w:b w:val="0"/>
          <w:sz w:val="24"/>
        </w:rPr>
        <w:t>由表 2 与图 4 可见，四类相关方的风险分布差异极为显著：工程施工类风险值均值达 268.4，高风险占比 91.7%；设备维护类均值 94.8，高风险占比 18.8%；物流辅助类与服务保障类的高风险占比均为 0。</w:t>
      </w:r>
      <w:r>
        <w:rPr>
          <w:rFonts w:ascii="Times New Roman" w:hAnsi="Times New Roman" w:eastAsia="宋体"/>
          <w:b/>
          <w:sz w:val="24"/>
        </w:rPr>
        <w:t>这从数据侧证明了统一标准监管的不合理性</w:t>
      </w:r>
      <w:r>
        <w:rPr>
          <w:rFonts w:ascii="Times New Roman" w:hAnsi="Times New Roman" w:eastAsia="宋体"/>
          <w:b w:val="0"/>
          <w:sz w:val="24"/>
        </w:rPr>
        <w:t>——若对全部相关方采用相同的检查频次，既会使工程施工类相关方的监管严重不足，也会在服务保障类上浪费监管资源。</w:t>
      </w:r>
    </w:p>
    <w:p>
      <w:pPr>
        <w:spacing w:before="0" w:after="0" w:line="360" w:lineRule="auto"/>
        <w:ind w:firstLine="480"/>
        <w:jc w:val="both"/>
      </w:pPr>
      <w:r>
        <w:rPr>
          <w:rFonts w:ascii="Times New Roman" w:hAnsi="Times New Roman" w:eastAsia="宋体"/>
          <w:b w:val="0"/>
          <w:sz w:val="24"/>
        </w:rPr>
        <w:t>按二维模型定级的结果为：A1 级 7 家、A2 级 8 家、B1 级 10 家、B2 级 6 家、C1 级 22 家、C2 级 7 家。即需要重点监管的 A 级对象共 15 家，占全部相关方的 25.0%，监管资源应主要投向这一部分。</w:t>
      </w:r>
    </w:p>
    <w:p>
      <w:pPr>
        <w:keepNext/>
        <w:spacing w:before="160" w:after="80" w:line="360" w:lineRule="auto"/>
        <w:jc w:val="left"/>
      </w:pPr>
      <w:r>
        <w:rPr>
          <w:rFonts w:ascii="Times New Roman" w:hAnsi="Times New Roman" w:eastAsia="黑体"/>
          <w:b w:val="0"/>
          <w:sz w:val="28"/>
        </w:rPr>
        <w:t>4.3  差异化监管措施</w:t>
      </w:r>
    </w:p>
    <w:p>
      <w:pPr>
        <w:spacing w:before="0" w:after="0" w:line="360" w:lineRule="auto"/>
        <w:ind w:firstLine="480"/>
        <w:jc w:val="both"/>
      </w:pPr>
      <w:r>
        <w:rPr>
          <w:rFonts w:ascii="Times New Roman" w:hAnsi="Times New Roman" w:eastAsia="宋体"/>
          <w:b w:val="0"/>
          <w:sz w:val="24"/>
        </w:rPr>
        <w:t>定级结果须对应到具体的监管动作，否则分级没有意义。表 3 给出三级监管强度的具体措施清单。</w:t>
      </w:r>
    </w:p>
    <w:p>
      <w:pPr>
        <w:keepNext/>
        <w:spacing w:before="160" w:after="40" w:line="240" w:lineRule="auto"/>
        <w:jc w:val="center"/>
      </w:pPr>
      <w:r>
        <w:rPr>
          <w:rFonts w:ascii="Times New Roman" w:hAnsi="Times New Roman" w:eastAsia="黑体"/>
          <w:b w:val="0"/>
          <w:sz w:val="21"/>
        </w:rPr>
        <w:t>表 3  分级监管措施清单</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768"/>
        <w:gridCol w:w="1768"/>
        <w:gridCol w:w="1768"/>
        <w:gridCol w:w="1768"/>
        <w:gridCol w:w="1768"/>
      </w:tblGrid>
      <w:tr>
        <w:tc>
          <w:tcPr>
            <w:tcW w:type="dxa" w:w="170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8"/>
              </w:rPr>
              <w:t>监管等级</w:t>
            </w:r>
          </w:p>
        </w:tc>
        <w:tc>
          <w:tcPr>
            <w:tcW w:type="dxa" w:w="226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检查频次</w:t>
            </w:r>
          </w:p>
        </w:tc>
        <w:tc>
          <w:tcPr>
            <w:tcW w:type="dxa" w:w="249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作业管控</w:t>
            </w:r>
          </w:p>
        </w:tc>
        <w:tc>
          <w:tcPr>
            <w:tcW w:type="dxa" w:w="19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资料核验</w:t>
            </w:r>
          </w:p>
        </w:tc>
        <w:tc>
          <w:tcPr>
            <w:tcW w:type="dxa" w:w="215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经济约束</w:t>
            </w:r>
          </w:p>
        </w:tc>
      </w:tr>
      <w:tr>
        <w:tc>
          <w:tcPr>
            <w:tcW w:type="dxa" w:w="1701"/>
          </w:tcPr>
          <w:p>
            <w:pPr>
              <w:spacing w:before="40" w:after="40" w:line="240" w:lineRule="auto"/>
              <w:jc w:val="left"/>
            </w:pPr>
            <w:r/>
            <w:r>
              <w:rPr>
                <w:rFonts w:ascii="Times New Roman" w:hAnsi="Times New Roman" w:eastAsia="宋体"/>
                <w:b w:val="0"/>
                <w:sz w:val="18"/>
              </w:rPr>
              <w:t>A 级（A1、A2）</w:t>
            </w:r>
          </w:p>
        </w:tc>
        <w:tc>
          <w:tcPr>
            <w:tcW w:type="dxa" w:w="2268"/>
          </w:tcPr>
          <w:p>
            <w:pPr>
              <w:spacing w:before="40" w:after="40" w:line="240" w:lineRule="auto"/>
              <w:jc w:val="center"/>
            </w:pPr>
            <w:r/>
            <w:r>
              <w:rPr>
                <w:rFonts w:ascii="Times New Roman" w:hAnsi="Times New Roman" w:eastAsia="宋体"/>
                <w:b w:val="0"/>
                <w:sz w:val="18"/>
              </w:rPr>
              <w:t>月度不少于 2 次；特殊作业 100% 旁站</w:t>
            </w:r>
          </w:p>
        </w:tc>
        <w:tc>
          <w:tcPr>
            <w:tcW w:type="dxa" w:w="2494"/>
          </w:tcPr>
          <w:p>
            <w:pPr>
              <w:spacing w:before="40" w:after="40" w:line="240" w:lineRule="auto"/>
              <w:jc w:val="center"/>
            </w:pPr>
            <w:r/>
            <w:r>
              <w:rPr>
                <w:rFonts w:ascii="Times New Roman" w:hAnsi="Times New Roman" w:eastAsia="宋体"/>
                <w:b w:val="0"/>
                <w:sz w:val="18"/>
              </w:rPr>
              <w:t>作业逐项审批；专人监护；变更作业重新交底</w:t>
            </w:r>
          </w:p>
        </w:tc>
        <w:tc>
          <w:tcPr>
            <w:tcW w:type="dxa" w:w="1928"/>
          </w:tcPr>
          <w:p>
            <w:pPr>
              <w:spacing w:before="40" w:after="40" w:line="240" w:lineRule="auto"/>
              <w:jc w:val="center"/>
            </w:pPr>
            <w:r/>
            <w:r>
              <w:rPr>
                <w:rFonts w:ascii="Times New Roman" w:hAnsi="Times New Roman" w:eastAsia="宋体"/>
                <w:b w:val="0"/>
                <w:sz w:val="18"/>
              </w:rPr>
              <w:t>每次进场核验人证一致；每月核验保险有效期</w:t>
            </w:r>
          </w:p>
        </w:tc>
        <w:tc>
          <w:tcPr>
            <w:tcW w:type="dxa" w:w="2154"/>
          </w:tcPr>
          <w:p>
            <w:pPr>
              <w:spacing w:before="40" w:after="40" w:line="240" w:lineRule="auto"/>
              <w:jc w:val="center"/>
            </w:pPr>
            <w:r/>
            <w:r>
              <w:rPr>
                <w:rFonts w:ascii="Times New Roman" w:hAnsi="Times New Roman" w:eastAsia="宋体"/>
                <w:b w:val="0"/>
                <w:sz w:val="18"/>
              </w:rPr>
              <w:t>保证金比例上浮；违章计分权重×1.5</w:t>
            </w:r>
          </w:p>
        </w:tc>
      </w:tr>
      <w:tr>
        <w:tc>
          <w:tcPr>
            <w:tcW w:type="dxa" w:w="1701"/>
          </w:tcPr>
          <w:p>
            <w:pPr>
              <w:spacing w:before="40" w:after="40" w:line="240" w:lineRule="auto"/>
              <w:jc w:val="left"/>
            </w:pPr>
            <w:r/>
            <w:r>
              <w:rPr>
                <w:rFonts w:ascii="Times New Roman" w:hAnsi="Times New Roman" w:eastAsia="宋体"/>
                <w:b w:val="0"/>
                <w:sz w:val="18"/>
              </w:rPr>
              <w:t>B 级（B1、B2）</w:t>
            </w:r>
          </w:p>
        </w:tc>
        <w:tc>
          <w:tcPr>
            <w:tcW w:type="dxa" w:w="2268"/>
          </w:tcPr>
          <w:p>
            <w:pPr>
              <w:spacing w:before="40" w:after="40" w:line="240" w:lineRule="auto"/>
              <w:jc w:val="center"/>
            </w:pPr>
            <w:r/>
            <w:r>
              <w:rPr>
                <w:rFonts w:ascii="Times New Roman" w:hAnsi="Times New Roman" w:eastAsia="宋体"/>
                <w:b w:val="0"/>
                <w:sz w:val="18"/>
              </w:rPr>
              <w:t>月度 1 次；特殊作业 100% 审批</w:t>
            </w:r>
          </w:p>
        </w:tc>
        <w:tc>
          <w:tcPr>
            <w:tcW w:type="dxa" w:w="2494"/>
          </w:tcPr>
          <w:p>
            <w:pPr>
              <w:spacing w:before="40" w:after="40" w:line="240" w:lineRule="auto"/>
              <w:jc w:val="center"/>
            </w:pPr>
            <w:r/>
            <w:r>
              <w:rPr>
                <w:rFonts w:ascii="Times New Roman" w:hAnsi="Times New Roman" w:eastAsia="宋体"/>
                <w:b w:val="0"/>
                <w:sz w:val="18"/>
              </w:rPr>
              <w:t>作业前审批；重点环节抽查监护</w:t>
            </w:r>
          </w:p>
        </w:tc>
        <w:tc>
          <w:tcPr>
            <w:tcW w:type="dxa" w:w="1928"/>
          </w:tcPr>
          <w:p>
            <w:pPr>
              <w:spacing w:before="40" w:after="40" w:line="240" w:lineRule="auto"/>
              <w:jc w:val="center"/>
            </w:pPr>
            <w:r/>
            <w:r>
              <w:rPr>
                <w:rFonts w:ascii="Times New Roman" w:hAnsi="Times New Roman" w:eastAsia="宋体"/>
                <w:b w:val="0"/>
                <w:sz w:val="18"/>
              </w:rPr>
              <w:t>季度核验资质与培训记录</w:t>
            </w:r>
          </w:p>
        </w:tc>
        <w:tc>
          <w:tcPr>
            <w:tcW w:type="dxa" w:w="2154"/>
          </w:tcPr>
          <w:p>
            <w:pPr>
              <w:spacing w:before="40" w:after="40" w:line="240" w:lineRule="auto"/>
              <w:jc w:val="center"/>
            </w:pPr>
            <w:r/>
            <w:r>
              <w:rPr>
                <w:rFonts w:ascii="Times New Roman" w:hAnsi="Times New Roman" w:eastAsia="宋体"/>
                <w:b w:val="0"/>
                <w:sz w:val="18"/>
              </w:rPr>
              <w:t>标准保证金比例；标准计分权重</w:t>
            </w:r>
          </w:p>
        </w:tc>
      </w:tr>
      <w:tr>
        <w:tc>
          <w:tcPr>
            <w:tcW w:type="dxa" w:w="1701"/>
            <w:tcBorders>
              <w:bottom w:val="single" w:sz="12" w:space="0" w:color="000000"/>
            </w:tcBorders>
          </w:tcPr>
          <w:p>
            <w:pPr>
              <w:spacing w:before="40" w:after="40" w:line="240" w:lineRule="auto"/>
              <w:jc w:val="left"/>
            </w:pPr>
            <w:r/>
            <w:r>
              <w:rPr>
                <w:rFonts w:ascii="Times New Roman" w:hAnsi="Times New Roman" w:eastAsia="宋体"/>
                <w:b w:val="0"/>
                <w:sz w:val="18"/>
              </w:rPr>
              <w:t>C 级（C1、C2）</w:t>
            </w:r>
          </w:p>
        </w:tc>
        <w:tc>
          <w:tcPr>
            <w:tcW w:type="dxa" w:w="2268"/>
            <w:tcBorders>
              <w:bottom w:val="single" w:sz="12" w:space="0" w:color="000000"/>
            </w:tcBorders>
          </w:tcPr>
          <w:p>
            <w:pPr>
              <w:spacing w:before="40" w:after="40" w:line="240" w:lineRule="auto"/>
              <w:jc w:val="center"/>
            </w:pPr>
            <w:r/>
            <w:r>
              <w:rPr>
                <w:rFonts w:ascii="Times New Roman" w:hAnsi="Times New Roman" w:eastAsia="宋体"/>
                <w:b w:val="0"/>
                <w:sz w:val="18"/>
              </w:rPr>
              <w:t>季度 1 次</w:t>
            </w:r>
          </w:p>
        </w:tc>
        <w:tc>
          <w:tcPr>
            <w:tcW w:type="dxa" w:w="2494"/>
            <w:tcBorders>
              <w:bottom w:val="single" w:sz="12" w:space="0" w:color="000000"/>
            </w:tcBorders>
          </w:tcPr>
          <w:p>
            <w:pPr>
              <w:spacing w:before="40" w:after="40" w:line="240" w:lineRule="auto"/>
              <w:jc w:val="center"/>
            </w:pPr>
            <w:r/>
            <w:r>
              <w:rPr>
                <w:rFonts w:ascii="Times New Roman" w:hAnsi="Times New Roman" w:eastAsia="宋体"/>
                <w:b w:val="0"/>
                <w:sz w:val="18"/>
              </w:rPr>
              <w:t>常态化告知与交底</w:t>
            </w:r>
          </w:p>
        </w:tc>
        <w:tc>
          <w:tcPr>
            <w:tcW w:type="dxa" w:w="1928"/>
            <w:tcBorders>
              <w:bottom w:val="single" w:sz="12" w:space="0" w:color="000000"/>
            </w:tcBorders>
          </w:tcPr>
          <w:p>
            <w:pPr>
              <w:spacing w:before="40" w:after="40" w:line="240" w:lineRule="auto"/>
              <w:jc w:val="center"/>
            </w:pPr>
            <w:r/>
            <w:r>
              <w:rPr>
                <w:rFonts w:ascii="Times New Roman" w:hAnsi="Times New Roman" w:eastAsia="宋体"/>
                <w:b w:val="0"/>
                <w:sz w:val="18"/>
              </w:rPr>
              <w:t>半年核验一次资质</w:t>
            </w:r>
          </w:p>
        </w:tc>
        <w:tc>
          <w:tcPr>
            <w:tcW w:type="dxa" w:w="2154"/>
            <w:tcBorders>
              <w:bottom w:val="single" w:sz="12" w:space="0" w:color="000000"/>
            </w:tcBorders>
          </w:tcPr>
          <w:p>
            <w:pPr>
              <w:spacing w:before="40" w:after="40" w:line="240" w:lineRule="auto"/>
              <w:jc w:val="center"/>
            </w:pPr>
            <w:r/>
            <w:r>
              <w:rPr>
                <w:rFonts w:ascii="Times New Roman" w:hAnsi="Times New Roman" w:eastAsia="宋体"/>
                <w:b w:val="0"/>
                <w:sz w:val="18"/>
              </w:rPr>
              <w:t>保证金比例下浮；连续两年无违章可享免检额度</w:t>
            </w:r>
          </w:p>
        </w:tc>
      </w:tr>
    </w:tbl>
    <w:p>
      <w:pPr>
        <w:spacing w:before="40" w:after="160" w:line="240" w:lineRule="auto"/>
        <w:ind w:firstLine="0"/>
        <w:jc w:val="left"/>
      </w:pPr>
      <w:r>
        <w:rPr>
          <w:rFonts w:ascii="Times New Roman" w:hAnsi="Times New Roman" w:eastAsia="宋体"/>
          <w:b w:val="0"/>
          <w:sz w:val="18"/>
        </w:rPr>
        <w:t>注：等级每半年动态调整一次，依据为最近半年的检查结果与安全绩效评价得分。</w:t>
      </w:r>
    </w:p>
    <w:p>
      <w:pPr>
        <w:keepNext/>
        <w:spacing w:before="240" w:after="120" w:line="360" w:lineRule="auto"/>
        <w:jc w:val="left"/>
      </w:pPr>
      <w:r>
        <w:rPr>
          <w:rFonts w:ascii="Times New Roman" w:hAnsi="Times New Roman" w:eastAsia="黑体"/>
          <w:b/>
          <w:sz w:val="30"/>
        </w:rPr>
        <w:t>5  全过程闭环监管与经济约束</w:t>
      </w:r>
    </w:p>
    <w:p>
      <w:pPr>
        <w:keepNext/>
        <w:spacing w:before="160" w:after="80" w:line="360" w:lineRule="auto"/>
        <w:jc w:val="left"/>
      </w:pPr>
      <w:r>
        <w:rPr>
          <w:rFonts w:ascii="Times New Roman" w:hAnsi="Times New Roman" w:eastAsia="黑体"/>
          <w:b w:val="0"/>
          <w:sz w:val="28"/>
        </w:rPr>
        <w:t>5.1  全过程闭环流程</w:t>
      </w:r>
    </w:p>
    <w:p>
      <w:pPr>
        <w:spacing w:before="0" w:after="0" w:line="360" w:lineRule="auto"/>
        <w:ind w:firstLine="480"/>
        <w:jc w:val="both"/>
      </w:pPr>
      <w:r>
        <w:rPr>
          <w:rFonts w:ascii="Times New Roman" w:hAnsi="Times New Roman" w:eastAsia="宋体"/>
          <w:b w:val="0"/>
          <w:sz w:val="24"/>
        </w:rPr>
        <w:t>相关方安全风险贯穿准入、合同、作业、验收、评价全过程。本文构建的闭环监管流程如图 5 所示，包含六个环节，关键在于</w:t>
      </w:r>
      <w:r>
        <w:rPr>
          <w:rFonts w:ascii="Times New Roman" w:hAnsi="Times New Roman" w:eastAsia="宋体"/>
          <w:b/>
          <w:sz w:val="24"/>
        </w:rPr>
        <w:t>评价结果回流至准入环节</w:t>
      </w:r>
      <w:r>
        <w:rPr>
          <w:rFonts w:ascii="Times New Roman" w:hAnsi="Times New Roman" w:eastAsia="宋体"/>
          <w:b w:val="0"/>
          <w:sz w:val="24"/>
        </w:rPr>
        <w:t>，形成对相关方的持续约束。</w:t>
      </w:r>
    </w:p>
    <w:p>
      <w:pPr>
        <w:keepNext/>
        <w:spacing w:before="120" w:after="0" w:line="240" w:lineRule="auto"/>
        <w:jc w:val="center"/>
      </w:pPr>
      <w:r>
        <w:drawing>
          <wp:inline xmlns:a="http://schemas.openxmlformats.org/drawingml/2006/main" xmlns:pic="http://schemas.openxmlformats.org/drawingml/2006/picture">
            <wp:extent cx="4320000" cy="2450588"/>
            <wp:docPr id="5" name="Picture 5"/>
            <wp:cNvGraphicFramePr>
              <a:graphicFrameLocks noChangeAspect="1"/>
            </wp:cNvGraphicFramePr>
            <a:graphic>
              <a:graphicData uri="http://schemas.openxmlformats.org/drawingml/2006/picture">
                <pic:pic>
                  <pic:nvPicPr>
                    <pic:cNvPr id="0" name="p3_c4_closedloop.png"/>
                    <pic:cNvPicPr/>
                  </pic:nvPicPr>
                  <pic:blipFill>
                    <a:blip r:embed="rId13"/>
                    <a:stretch>
                      <a:fillRect/>
                    </a:stretch>
                  </pic:blipFill>
                  <pic:spPr>
                    <a:xfrm>
                      <a:off x="0" y="0"/>
                      <a:ext cx="4320000" cy="2450588"/>
                    </a:xfrm>
                    <a:prstGeom prst="rect"/>
                  </pic:spPr>
                </pic:pic>
              </a:graphicData>
            </a:graphic>
          </wp:inline>
        </w:drawing>
      </w:r>
    </w:p>
    <w:p>
      <w:pPr>
        <w:spacing w:before="40" w:after="160" w:line="240" w:lineRule="auto"/>
        <w:jc w:val="center"/>
      </w:pPr>
      <w:r>
        <w:rPr>
          <w:rFonts w:ascii="Times New Roman" w:hAnsi="Times New Roman" w:eastAsia="黑体"/>
          <w:b w:val="0"/>
          <w:sz w:val="21"/>
        </w:rPr>
        <w:t>图 5  相关方安全管理的全过程闭环监管流程</w:t>
      </w:r>
    </w:p>
    <w:p>
      <w:pPr>
        <w:spacing w:before="0" w:after="0" w:line="360" w:lineRule="auto"/>
        <w:ind w:firstLine="480"/>
        <w:jc w:val="both"/>
      </w:pPr>
      <w:r>
        <w:rPr>
          <w:rFonts w:ascii="Times New Roman" w:hAnsi="Times New Roman" w:eastAsia="宋体"/>
          <w:b w:val="0"/>
          <w:sz w:val="24"/>
        </w:rPr>
        <w:t>在准入审核环节，除资质与服务能力外，应重点审核安全管理体系建设情况、安全人员配置、安全培训机制以及类似项目的安全管理表现。在合同与安全协议环节，应明确双方安全责任、风险防控要求、违章处理方式与事故责任承担。在作业前交底环节，应完成风险告知并办理电子作业票。在作业中监督环节，应针对重点作业、特殊作业和高风险环节落实作业审批、安全交底、现场监护与隐患检查，并对变更作业重新评估。在验收与绩效评价环节，应对相关方安全管理表现进行量化评分并归档。在分析改进环节，应对隐患做归因分析，从制度、能力、流程三个层面推动改进。</w:t>
      </w:r>
    </w:p>
    <w:p>
      <w:pPr>
        <w:keepNext/>
        <w:spacing w:before="160" w:after="80" w:line="360" w:lineRule="auto"/>
        <w:jc w:val="left"/>
      </w:pPr>
      <w:r>
        <w:rPr>
          <w:rFonts w:ascii="Times New Roman" w:hAnsi="Times New Roman" w:eastAsia="黑体"/>
          <w:b w:val="0"/>
          <w:sz w:val="28"/>
        </w:rPr>
        <w:t>5.2  合同与经济杠杆</w:t>
      </w:r>
    </w:p>
    <w:p>
      <w:pPr>
        <w:spacing w:before="0" w:after="0" w:line="360" w:lineRule="auto"/>
        <w:ind w:firstLine="480"/>
        <w:jc w:val="both"/>
      </w:pPr>
      <w:r>
        <w:rPr>
          <w:rFonts w:ascii="Times New Roman" w:hAnsi="Times New Roman" w:eastAsia="宋体"/>
          <w:b w:val="0"/>
          <w:sz w:val="24"/>
        </w:rPr>
        <w:t>责任落实必须有经济约束作为支撑。本文提出四类可直接写入合同、无需新增管理机构的杠杆，如表 4 所示。</w:t>
      </w:r>
    </w:p>
    <w:p>
      <w:pPr>
        <w:keepNext/>
        <w:spacing w:before="160" w:after="40" w:line="240" w:lineRule="auto"/>
        <w:jc w:val="center"/>
      </w:pPr>
      <w:r>
        <w:rPr>
          <w:rFonts w:ascii="Times New Roman" w:hAnsi="Times New Roman" w:eastAsia="黑体"/>
          <w:b w:val="0"/>
          <w:sz w:val="21"/>
        </w:rPr>
        <w:t>表 4  相关方安全责任落实的经济与准入杠杆</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1928"/>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8"/>
              </w:rPr>
              <w:t>杠杆类型</w:t>
            </w:r>
          </w:p>
        </w:tc>
        <w:tc>
          <w:tcPr>
            <w:tcW w:type="dxa" w:w="3515"/>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具体条款设计</w:t>
            </w:r>
          </w:p>
        </w:tc>
        <w:tc>
          <w:tcPr>
            <w:tcW w:type="dxa" w:w="204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执行节点</w:t>
            </w:r>
          </w:p>
        </w:tc>
        <w:tc>
          <w:tcPr>
            <w:tcW w:type="dxa" w:w="19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预期作用</w:t>
            </w:r>
          </w:p>
        </w:tc>
      </w:tr>
      <w:tr>
        <w:tc>
          <w:tcPr>
            <w:tcW w:type="dxa" w:w="1928"/>
          </w:tcPr>
          <w:p>
            <w:pPr>
              <w:spacing w:before="40" w:after="40" w:line="240" w:lineRule="auto"/>
              <w:jc w:val="left"/>
            </w:pPr>
            <w:r/>
            <w:r>
              <w:rPr>
                <w:rFonts w:ascii="Times New Roman" w:hAnsi="Times New Roman" w:eastAsia="宋体"/>
                <w:b w:val="0"/>
                <w:sz w:val="18"/>
              </w:rPr>
              <w:t>安全生产费用专款专用</w:t>
            </w:r>
          </w:p>
        </w:tc>
        <w:tc>
          <w:tcPr>
            <w:tcW w:type="dxa" w:w="3515"/>
          </w:tcPr>
          <w:p>
            <w:pPr>
              <w:spacing w:before="40" w:after="40" w:line="240" w:lineRule="auto"/>
              <w:jc w:val="center"/>
            </w:pPr>
            <w:r/>
            <w:r>
              <w:rPr>
                <w:rFonts w:ascii="Times New Roman" w:hAnsi="Times New Roman" w:eastAsia="宋体"/>
                <w:b w:val="0"/>
                <w:sz w:val="18"/>
              </w:rPr>
              <w:t>合同中单列安全生产费用金额与用途清单，禁止挪用</w:t>
            </w:r>
          </w:p>
        </w:tc>
        <w:tc>
          <w:tcPr>
            <w:tcW w:type="dxa" w:w="2041"/>
          </w:tcPr>
          <w:p>
            <w:pPr>
              <w:spacing w:before="40" w:after="40" w:line="240" w:lineRule="auto"/>
              <w:jc w:val="center"/>
            </w:pPr>
            <w:r/>
            <w:r>
              <w:rPr>
                <w:rFonts w:ascii="Times New Roman" w:hAnsi="Times New Roman" w:eastAsia="宋体"/>
                <w:b w:val="0"/>
                <w:sz w:val="18"/>
              </w:rPr>
              <w:t>验工计价时核验使用凭证</w:t>
            </w:r>
          </w:p>
        </w:tc>
        <w:tc>
          <w:tcPr>
            <w:tcW w:type="dxa" w:w="1928"/>
          </w:tcPr>
          <w:p>
            <w:pPr>
              <w:spacing w:before="40" w:after="40" w:line="240" w:lineRule="auto"/>
              <w:jc w:val="center"/>
            </w:pPr>
            <w:r/>
            <w:r>
              <w:rPr>
                <w:rFonts w:ascii="Times New Roman" w:hAnsi="Times New Roman" w:eastAsia="宋体"/>
                <w:b w:val="0"/>
                <w:sz w:val="18"/>
              </w:rPr>
              <w:t>保障安全投入不被压缩</w:t>
            </w:r>
          </w:p>
        </w:tc>
      </w:tr>
      <w:tr>
        <w:tc>
          <w:tcPr>
            <w:tcW w:type="dxa" w:w="1928"/>
          </w:tcPr>
          <w:p>
            <w:pPr>
              <w:spacing w:before="40" w:after="40" w:line="240" w:lineRule="auto"/>
              <w:jc w:val="left"/>
            </w:pPr>
            <w:r/>
            <w:r>
              <w:rPr>
                <w:rFonts w:ascii="Times New Roman" w:hAnsi="Times New Roman" w:eastAsia="宋体"/>
                <w:b w:val="0"/>
                <w:sz w:val="18"/>
              </w:rPr>
              <w:t>安全履约保证金</w:t>
            </w:r>
          </w:p>
        </w:tc>
        <w:tc>
          <w:tcPr>
            <w:tcW w:type="dxa" w:w="3515"/>
          </w:tcPr>
          <w:p>
            <w:pPr>
              <w:spacing w:before="40" w:after="40" w:line="240" w:lineRule="auto"/>
              <w:jc w:val="center"/>
            </w:pPr>
            <w:r/>
            <w:r>
              <w:rPr>
                <w:rFonts w:ascii="Times New Roman" w:hAnsi="Times New Roman" w:eastAsia="宋体"/>
                <w:b w:val="0"/>
                <w:sz w:val="18"/>
              </w:rPr>
              <w:t>按合同额一定比例收取，按违章计分比例扣罚</w:t>
            </w:r>
          </w:p>
        </w:tc>
        <w:tc>
          <w:tcPr>
            <w:tcW w:type="dxa" w:w="2041"/>
          </w:tcPr>
          <w:p>
            <w:pPr>
              <w:spacing w:before="40" w:after="40" w:line="240" w:lineRule="auto"/>
              <w:jc w:val="center"/>
            </w:pPr>
            <w:r/>
            <w:r>
              <w:rPr>
                <w:rFonts w:ascii="Times New Roman" w:hAnsi="Times New Roman" w:eastAsia="宋体"/>
                <w:b w:val="0"/>
                <w:sz w:val="18"/>
              </w:rPr>
              <w:t>违章确认后 5 个工作日内扣罚</w:t>
            </w:r>
          </w:p>
        </w:tc>
        <w:tc>
          <w:tcPr>
            <w:tcW w:type="dxa" w:w="1928"/>
          </w:tcPr>
          <w:p>
            <w:pPr>
              <w:spacing w:before="40" w:after="40" w:line="240" w:lineRule="auto"/>
              <w:jc w:val="center"/>
            </w:pPr>
            <w:r/>
            <w:r>
              <w:rPr>
                <w:rFonts w:ascii="Times New Roman" w:hAnsi="Times New Roman" w:eastAsia="宋体"/>
                <w:b w:val="0"/>
                <w:sz w:val="18"/>
              </w:rPr>
              <w:t>把违章成本前置到相关方</w:t>
            </w:r>
          </w:p>
        </w:tc>
      </w:tr>
      <w:tr>
        <w:tc>
          <w:tcPr>
            <w:tcW w:type="dxa" w:w="1928"/>
          </w:tcPr>
          <w:p>
            <w:pPr>
              <w:spacing w:before="40" w:after="40" w:line="240" w:lineRule="auto"/>
              <w:jc w:val="left"/>
            </w:pPr>
            <w:r/>
            <w:r>
              <w:rPr>
                <w:rFonts w:ascii="Times New Roman" w:hAnsi="Times New Roman" w:eastAsia="宋体"/>
                <w:b w:val="0"/>
                <w:sz w:val="18"/>
              </w:rPr>
              <w:t>违章计分制</w:t>
            </w:r>
          </w:p>
        </w:tc>
        <w:tc>
          <w:tcPr>
            <w:tcW w:type="dxa" w:w="3515"/>
          </w:tcPr>
          <w:p>
            <w:pPr>
              <w:spacing w:before="40" w:after="40" w:line="240" w:lineRule="auto"/>
              <w:jc w:val="center"/>
            </w:pPr>
            <w:r/>
            <w:r>
              <w:rPr>
                <w:rFonts w:ascii="Times New Roman" w:hAnsi="Times New Roman" w:eastAsia="宋体"/>
                <w:b w:val="0"/>
                <w:sz w:val="18"/>
              </w:rPr>
              <w:t>按违章严重程度计 1～12 分，累计达阈值停工整改、清退现场</w:t>
            </w:r>
          </w:p>
        </w:tc>
        <w:tc>
          <w:tcPr>
            <w:tcW w:type="dxa" w:w="2041"/>
          </w:tcPr>
          <w:p>
            <w:pPr>
              <w:spacing w:before="40" w:after="40" w:line="240" w:lineRule="auto"/>
              <w:jc w:val="center"/>
            </w:pPr>
            <w:r/>
            <w:r>
              <w:rPr>
                <w:rFonts w:ascii="Times New Roman" w:hAnsi="Times New Roman" w:eastAsia="宋体"/>
                <w:b w:val="0"/>
                <w:sz w:val="18"/>
              </w:rPr>
              <w:t>每次检查后当场计分并书面告知</w:t>
            </w:r>
          </w:p>
        </w:tc>
        <w:tc>
          <w:tcPr>
            <w:tcW w:type="dxa" w:w="1928"/>
          </w:tcPr>
          <w:p>
            <w:pPr>
              <w:spacing w:before="40" w:after="40" w:line="240" w:lineRule="auto"/>
              <w:jc w:val="center"/>
            </w:pPr>
            <w:r/>
            <w:r>
              <w:rPr>
                <w:rFonts w:ascii="Times New Roman" w:hAnsi="Times New Roman" w:eastAsia="宋体"/>
                <w:b w:val="0"/>
                <w:sz w:val="18"/>
              </w:rPr>
              <w:t>形成累进式约束</w:t>
            </w:r>
          </w:p>
        </w:tc>
      </w:tr>
      <w:tr>
        <w:tc>
          <w:tcPr>
            <w:tcW w:type="dxa" w:w="1928"/>
            <w:tcBorders>
              <w:bottom w:val="single" w:sz="12" w:space="0" w:color="000000"/>
            </w:tcBorders>
          </w:tcPr>
          <w:p>
            <w:pPr>
              <w:spacing w:before="40" w:after="40" w:line="240" w:lineRule="auto"/>
              <w:jc w:val="left"/>
            </w:pPr>
            <w:r/>
            <w:r>
              <w:rPr>
                <w:rFonts w:ascii="Times New Roman" w:hAnsi="Times New Roman" w:eastAsia="宋体"/>
                <w:b w:val="0"/>
                <w:sz w:val="18"/>
              </w:rPr>
              <w:t>评价结果与准入挂钩</w:t>
            </w:r>
          </w:p>
        </w:tc>
        <w:tc>
          <w:tcPr>
            <w:tcW w:type="dxa" w:w="3515"/>
            <w:tcBorders>
              <w:bottom w:val="single" w:sz="12" w:space="0" w:color="000000"/>
            </w:tcBorders>
          </w:tcPr>
          <w:p>
            <w:pPr>
              <w:spacing w:before="40" w:after="40" w:line="240" w:lineRule="auto"/>
              <w:jc w:val="center"/>
            </w:pPr>
            <w:r/>
            <w:r>
              <w:rPr>
                <w:rFonts w:ascii="Times New Roman" w:hAnsi="Times New Roman" w:eastAsia="宋体"/>
                <w:b w:val="0"/>
                <w:sz w:val="18"/>
              </w:rPr>
              <w:t>安全绩效评价结果与续签、优质优价、供应商库分级直接关联；设红黑名单，黑名单单位一定期限内不得入围</w:t>
            </w:r>
          </w:p>
        </w:tc>
        <w:tc>
          <w:tcPr>
            <w:tcW w:type="dxa" w:w="2041"/>
            <w:tcBorders>
              <w:bottom w:val="single" w:sz="12" w:space="0" w:color="000000"/>
            </w:tcBorders>
          </w:tcPr>
          <w:p>
            <w:pPr>
              <w:spacing w:before="40" w:after="40" w:line="240" w:lineRule="auto"/>
              <w:jc w:val="center"/>
            </w:pPr>
            <w:r/>
            <w:r>
              <w:rPr>
                <w:rFonts w:ascii="Times New Roman" w:hAnsi="Times New Roman" w:eastAsia="宋体"/>
                <w:b w:val="0"/>
                <w:sz w:val="18"/>
              </w:rPr>
              <w:t>年度评价后更新供应商库</w:t>
            </w:r>
          </w:p>
        </w:tc>
        <w:tc>
          <w:tcPr>
            <w:tcW w:type="dxa" w:w="1928"/>
            <w:tcBorders>
              <w:bottom w:val="single" w:sz="12" w:space="0" w:color="000000"/>
            </w:tcBorders>
          </w:tcPr>
          <w:p>
            <w:pPr>
              <w:spacing w:before="40" w:after="40" w:line="240" w:lineRule="auto"/>
              <w:jc w:val="center"/>
            </w:pPr>
            <w:r/>
            <w:r>
              <w:rPr>
                <w:rFonts w:ascii="Times New Roman" w:hAnsi="Times New Roman" w:eastAsia="宋体"/>
                <w:b w:val="0"/>
                <w:sz w:val="18"/>
              </w:rPr>
              <w:t>把安全表现转化为市场机会</w:t>
            </w:r>
          </w:p>
        </w:tc>
      </w:tr>
    </w:tbl>
    <w:p>
      <w:pPr>
        <w:spacing w:before="40" w:after="160" w:line="240" w:lineRule="auto"/>
        <w:ind w:firstLine="0"/>
        <w:jc w:val="left"/>
      </w:pPr>
      <w:r>
        <w:rPr>
          <w:rFonts w:ascii="Times New Roman" w:hAnsi="Times New Roman" w:eastAsia="宋体"/>
          <w:b w:val="0"/>
          <w:sz w:val="18"/>
        </w:rPr>
        <w:t>注：保证金比例与计分阈值应结合合同额与行业惯例确定，并在招标文件中事先公示。</w:t>
      </w:r>
    </w:p>
    <w:p>
      <w:pPr>
        <w:keepNext/>
        <w:spacing w:before="160" w:after="80" w:line="360" w:lineRule="auto"/>
        <w:jc w:val="left"/>
      </w:pPr>
      <w:r>
        <w:rPr>
          <w:rFonts w:ascii="Times New Roman" w:hAnsi="Times New Roman" w:eastAsia="黑体"/>
          <w:b w:val="0"/>
          <w:sz w:val="28"/>
        </w:rPr>
        <w:t>5.3  安全绩效评价指标体系与权重</w:t>
      </w:r>
    </w:p>
    <w:p>
      <w:pPr>
        <w:spacing w:before="0" w:after="0" w:line="360" w:lineRule="auto"/>
        <w:ind w:firstLine="480"/>
        <w:jc w:val="both"/>
      </w:pPr>
      <w:r>
        <w:rPr>
          <w:rFonts w:ascii="Times New Roman" w:hAnsi="Times New Roman" w:eastAsia="宋体"/>
          <w:b w:val="0"/>
          <w:sz w:val="24"/>
        </w:rPr>
        <w:t>评价指标必须能算出权重，否则评价结果不具可比性。本文构建六项指标的评价体系，采用 AHP 与熵权法组合赋权，结果如表 5 与图 6 所示。</w:t>
      </w:r>
    </w:p>
    <w:p>
      <w:pPr>
        <w:keepNext/>
        <w:spacing w:before="160" w:after="40" w:line="240" w:lineRule="auto"/>
        <w:jc w:val="center"/>
      </w:pPr>
      <w:r>
        <w:rPr>
          <w:rFonts w:ascii="Times New Roman" w:hAnsi="Times New Roman" w:eastAsia="黑体"/>
          <w:b w:val="0"/>
          <w:sz w:val="21"/>
        </w:rPr>
        <w:t>表 5  相关方安全绩效评价指标体系与组合权重</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768"/>
        <w:gridCol w:w="1768"/>
        <w:gridCol w:w="1768"/>
        <w:gridCol w:w="1768"/>
        <w:gridCol w:w="1768"/>
      </w:tblGrid>
      <w:tr>
        <w:tc>
          <w:tcPr>
            <w:tcW w:type="dxa" w:w="1814"/>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指标</w:t>
            </w:r>
          </w:p>
        </w:tc>
        <w:tc>
          <w:tcPr>
            <w:tcW w:type="dxa" w:w="36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测量口径</w:t>
            </w:r>
          </w:p>
        </w:tc>
        <w:tc>
          <w:tcPr>
            <w:tcW w:type="dxa" w:w="136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AHP 权重</w:t>
            </w:r>
          </w:p>
        </w:tc>
        <w:tc>
          <w:tcPr>
            <w:tcW w:type="dxa" w:w="136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熵权权重</w:t>
            </w:r>
          </w:p>
        </w:tc>
        <w:tc>
          <w:tcPr>
            <w:tcW w:type="dxa" w:w="136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组合权重</w:t>
            </w:r>
          </w:p>
        </w:tc>
      </w:tr>
      <w:tr>
        <w:tc>
          <w:tcPr>
            <w:tcW w:type="dxa" w:w="1814"/>
          </w:tcPr>
          <w:p>
            <w:pPr>
              <w:spacing w:before="40" w:after="40" w:line="240" w:lineRule="auto"/>
              <w:jc w:val="left"/>
            </w:pPr>
            <w:r/>
            <w:r>
              <w:rPr>
                <w:rFonts w:ascii="Times New Roman" w:hAnsi="Times New Roman" w:eastAsia="宋体"/>
                <w:b w:val="0"/>
                <w:sz w:val="19"/>
              </w:rPr>
              <w:t>安全责任落实</w:t>
            </w:r>
          </w:p>
        </w:tc>
        <w:tc>
          <w:tcPr>
            <w:tcW w:type="dxa" w:w="3628"/>
          </w:tcPr>
          <w:p>
            <w:pPr>
              <w:spacing w:before="40" w:after="40" w:line="240" w:lineRule="auto"/>
              <w:jc w:val="center"/>
            </w:pPr>
            <w:r/>
            <w:r>
              <w:rPr>
                <w:rFonts w:ascii="Times New Roman" w:hAnsi="Times New Roman" w:eastAsia="宋体"/>
                <w:b w:val="0"/>
                <w:sz w:val="19"/>
              </w:rPr>
              <w:t>安全管理机构与人员配置、安全责任制签订率</w:t>
            </w:r>
          </w:p>
        </w:tc>
        <w:tc>
          <w:tcPr>
            <w:tcW w:type="dxa" w:w="1361"/>
          </w:tcPr>
          <w:p>
            <w:pPr>
              <w:spacing w:before="40" w:after="40" w:line="240" w:lineRule="auto"/>
              <w:jc w:val="center"/>
            </w:pPr>
            <w:r/>
            <w:r>
              <w:rPr>
                <w:rFonts w:ascii="Times New Roman" w:hAnsi="Times New Roman" w:eastAsia="宋体"/>
                <w:b w:val="0"/>
                <w:sz w:val="19"/>
              </w:rPr>
              <w:t>0.1357</w:t>
            </w:r>
          </w:p>
        </w:tc>
        <w:tc>
          <w:tcPr>
            <w:tcW w:type="dxa" w:w="1361"/>
          </w:tcPr>
          <w:p>
            <w:pPr>
              <w:spacing w:before="40" w:after="40" w:line="240" w:lineRule="auto"/>
              <w:jc w:val="center"/>
            </w:pPr>
            <w:r/>
            <w:r>
              <w:rPr>
                <w:rFonts w:ascii="Times New Roman" w:hAnsi="Times New Roman" w:eastAsia="宋体"/>
                <w:b w:val="0"/>
                <w:sz w:val="19"/>
              </w:rPr>
              <w:t>0.1296</w:t>
            </w:r>
          </w:p>
        </w:tc>
        <w:tc>
          <w:tcPr>
            <w:tcW w:type="dxa" w:w="1361"/>
          </w:tcPr>
          <w:p>
            <w:pPr>
              <w:spacing w:before="40" w:after="40" w:line="240" w:lineRule="auto"/>
              <w:jc w:val="center"/>
            </w:pPr>
            <w:r/>
            <w:r>
              <w:rPr>
                <w:rFonts w:ascii="Times New Roman" w:hAnsi="Times New Roman" w:eastAsia="宋体"/>
                <w:b w:val="0"/>
                <w:sz w:val="19"/>
              </w:rPr>
              <w:t>0.1374</w:t>
            </w:r>
          </w:p>
        </w:tc>
      </w:tr>
      <w:tr>
        <w:tc>
          <w:tcPr>
            <w:tcW w:type="dxa" w:w="1814"/>
          </w:tcPr>
          <w:p>
            <w:pPr>
              <w:spacing w:before="40" w:after="40" w:line="240" w:lineRule="auto"/>
              <w:jc w:val="left"/>
            </w:pPr>
            <w:r/>
            <w:r>
              <w:rPr>
                <w:rFonts w:ascii="Times New Roman" w:hAnsi="Times New Roman" w:eastAsia="宋体"/>
                <w:b w:val="0"/>
                <w:sz w:val="19"/>
              </w:rPr>
              <w:t>人员资质与培训</w:t>
            </w:r>
          </w:p>
        </w:tc>
        <w:tc>
          <w:tcPr>
            <w:tcW w:type="dxa" w:w="3628"/>
          </w:tcPr>
          <w:p>
            <w:pPr>
              <w:spacing w:before="40" w:after="40" w:line="240" w:lineRule="auto"/>
              <w:jc w:val="center"/>
            </w:pPr>
            <w:r/>
            <w:r>
              <w:rPr>
                <w:rFonts w:ascii="Times New Roman" w:hAnsi="Times New Roman" w:eastAsia="宋体"/>
                <w:b w:val="0"/>
                <w:sz w:val="19"/>
              </w:rPr>
              <w:t>特种作业持证率、培训学时完成率</w:t>
            </w:r>
          </w:p>
        </w:tc>
        <w:tc>
          <w:tcPr>
            <w:tcW w:type="dxa" w:w="1361"/>
          </w:tcPr>
          <w:p>
            <w:pPr>
              <w:spacing w:before="40" w:after="40" w:line="240" w:lineRule="auto"/>
              <w:jc w:val="center"/>
            </w:pPr>
            <w:r/>
            <w:r>
              <w:rPr>
                <w:rFonts w:ascii="Times New Roman" w:hAnsi="Times New Roman" w:eastAsia="宋体"/>
                <w:b w:val="0"/>
                <w:sz w:val="19"/>
              </w:rPr>
              <w:t>0.1357</w:t>
            </w:r>
          </w:p>
        </w:tc>
        <w:tc>
          <w:tcPr>
            <w:tcW w:type="dxa" w:w="1361"/>
          </w:tcPr>
          <w:p>
            <w:pPr>
              <w:spacing w:before="40" w:after="40" w:line="240" w:lineRule="auto"/>
              <w:jc w:val="center"/>
            </w:pPr>
            <w:r/>
            <w:r>
              <w:rPr>
                <w:rFonts w:ascii="Times New Roman" w:hAnsi="Times New Roman" w:eastAsia="宋体"/>
                <w:b w:val="0"/>
                <w:sz w:val="19"/>
              </w:rPr>
              <w:t>0.0683</w:t>
            </w:r>
          </w:p>
        </w:tc>
        <w:tc>
          <w:tcPr>
            <w:tcW w:type="dxa" w:w="1361"/>
          </w:tcPr>
          <w:p>
            <w:pPr>
              <w:spacing w:before="40" w:after="40" w:line="240" w:lineRule="auto"/>
              <w:jc w:val="center"/>
            </w:pPr>
            <w:r/>
            <w:r>
              <w:rPr>
                <w:rFonts w:ascii="Times New Roman" w:hAnsi="Times New Roman" w:eastAsia="宋体"/>
                <w:b w:val="0"/>
                <w:sz w:val="19"/>
              </w:rPr>
              <w:t>0.0997</w:t>
            </w:r>
          </w:p>
        </w:tc>
      </w:tr>
      <w:tr>
        <w:tc>
          <w:tcPr>
            <w:tcW w:type="dxa" w:w="1814"/>
          </w:tcPr>
          <w:p>
            <w:pPr>
              <w:spacing w:before="40" w:after="40" w:line="240" w:lineRule="auto"/>
              <w:jc w:val="left"/>
            </w:pPr>
            <w:r/>
            <w:r>
              <w:rPr>
                <w:rFonts w:ascii="Times New Roman" w:hAnsi="Times New Roman" w:eastAsia="宋体"/>
                <w:b w:val="0"/>
                <w:sz w:val="19"/>
              </w:rPr>
              <w:t>作业票与交底执行</w:t>
            </w:r>
          </w:p>
        </w:tc>
        <w:tc>
          <w:tcPr>
            <w:tcW w:type="dxa" w:w="3628"/>
          </w:tcPr>
          <w:p>
            <w:pPr>
              <w:spacing w:before="40" w:after="40" w:line="240" w:lineRule="auto"/>
              <w:jc w:val="center"/>
            </w:pPr>
            <w:r/>
            <w:r>
              <w:rPr>
                <w:rFonts w:ascii="Times New Roman" w:hAnsi="Times New Roman" w:eastAsia="宋体"/>
                <w:b w:val="0"/>
                <w:sz w:val="19"/>
              </w:rPr>
              <w:t>作业票办理率、交底记录完整率</w:t>
            </w:r>
          </w:p>
        </w:tc>
        <w:tc>
          <w:tcPr>
            <w:tcW w:type="dxa" w:w="1361"/>
          </w:tcPr>
          <w:p>
            <w:pPr>
              <w:spacing w:before="40" w:after="40" w:line="240" w:lineRule="auto"/>
              <w:jc w:val="center"/>
            </w:pPr>
            <w:r/>
            <w:r>
              <w:rPr>
                <w:rFonts w:ascii="Times New Roman" w:hAnsi="Times New Roman" w:eastAsia="宋体"/>
                <w:b w:val="0"/>
                <w:sz w:val="19"/>
              </w:rPr>
              <w:t>0.2589</w:t>
            </w:r>
          </w:p>
        </w:tc>
        <w:tc>
          <w:tcPr>
            <w:tcW w:type="dxa" w:w="1361"/>
          </w:tcPr>
          <w:p>
            <w:pPr>
              <w:spacing w:before="40" w:after="40" w:line="240" w:lineRule="auto"/>
              <w:jc w:val="center"/>
            </w:pPr>
            <w:r/>
            <w:r>
              <w:rPr>
                <w:rFonts w:ascii="Times New Roman" w:hAnsi="Times New Roman" w:eastAsia="宋体"/>
                <w:b w:val="0"/>
                <w:sz w:val="19"/>
              </w:rPr>
              <w:t>0.3002</w:t>
            </w:r>
          </w:p>
        </w:tc>
        <w:tc>
          <w:tcPr>
            <w:tcW w:type="dxa" w:w="1361"/>
          </w:tcPr>
          <w:p>
            <w:pPr>
              <w:spacing w:before="40" w:after="40" w:line="240" w:lineRule="auto"/>
              <w:jc w:val="center"/>
            </w:pPr>
            <w:r/>
            <w:r>
              <w:rPr>
                <w:rFonts w:ascii="Times New Roman" w:hAnsi="Times New Roman" w:eastAsia="宋体"/>
                <w:b w:val="0"/>
                <w:sz w:val="19"/>
              </w:rPr>
              <w:t>0.2887</w:t>
            </w:r>
          </w:p>
        </w:tc>
      </w:tr>
      <w:tr>
        <w:tc>
          <w:tcPr>
            <w:tcW w:type="dxa" w:w="1814"/>
          </w:tcPr>
          <w:p>
            <w:pPr>
              <w:spacing w:before="40" w:after="40" w:line="240" w:lineRule="auto"/>
              <w:jc w:val="left"/>
            </w:pPr>
            <w:r/>
            <w:r>
              <w:rPr>
                <w:rFonts w:ascii="Times New Roman" w:hAnsi="Times New Roman" w:eastAsia="宋体"/>
                <w:b w:val="0"/>
                <w:sz w:val="19"/>
              </w:rPr>
              <w:t>现场违章频次</w:t>
            </w:r>
          </w:p>
        </w:tc>
        <w:tc>
          <w:tcPr>
            <w:tcW w:type="dxa" w:w="3628"/>
          </w:tcPr>
          <w:p>
            <w:pPr>
              <w:spacing w:before="40" w:after="40" w:line="240" w:lineRule="auto"/>
              <w:jc w:val="center"/>
            </w:pPr>
            <w:r/>
            <w:r>
              <w:rPr>
                <w:rFonts w:ascii="Times New Roman" w:hAnsi="Times New Roman" w:eastAsia="宋体"/>
                <w:b w:val="0"/>
                <w:sz w:val="19"/>
              </w:rPr>
              <w:t>每千工时违章次数</w:t>
            </w:r>
          </w:p>
        </w:tc>
        <w:tc>
          <w:tcPr>
            <w:tcW w:type="dxa" w:w="1361"/>
          </w:tcPr>
          <w:p>
            <w:pPr>
              <w:spacing w:before="40" w:after="40" w:line="240" w:lineRule="auto"/>
              <w:jc w:val="center"/>
            </w:pPr>
            <w:r/>
            <w:r>
              <w:rPr>
                <w:rFonts w:ascii="Times New Roman" w:hAnsi="Times New Roman" w:eastAsia="宋体"/>
                <w:b w:val="0"/>
                <w:sz w:val="19"/>
              </w:rPr>
              <w:t>0.2589</w:t>
            </w:r>
          </w:p>
        </w:tc>
        <w:tc>
          <w:tcPr>
            <w:tcW w:type="dxa" w:w="1361"/>
          </w:tcPr>
          <w:p>
            <w:pPr>
              <w:spacing w:before="40" w:after="40" w:line="240" w:lineRule="auto"/>
              <w:jc w:val="center"/>
            </w:pPr>
            <w:r/>
            <w:r>
              <w:rPr>
                <w:rFonts w:ascii="Times New Roman" w:hAnsi="Times New Roman" w:eastAsia="宋体"/>
                <w:b w:val="0"/>
                <w:sz w:val="19"/>
              </w:rPr>
              <w:t>0.1710</w:t>
            </w:r>
          </w:p>
        </w:tc>
        <w:tc>
          <w:tcPr>
            <w:tcW w:type="dxa" w:w="1361"/>
          </w:tcPr>
          <w:p>
            <w:pPr>
              <w:spacing w:before="40" w:after="40" w:line="240" w:lineRule="auto"/>
              <w:jc w:val="center"/>
            </w:pPr>
            <w:r/>
            <w:r>
              <w:rPr>
                <w:rFonts w:ascii="Times New Roman" w:hAnsi="Times New Roman" w:eastAsia="宋体"/>
                <w:b w:val="0"/>
                <w:sz w:val="19"/>
              </w:rPr>
              <w:t>0.2179</w:t>
            </w:r>
          </w:p>
        </w:tc>
      </w:tr>
      <w:tr>
        <w:tc>
          <w:tcPr>
            <w:tcW w:type="dxa" w:w="1814"/>
          </w:tcPr>
          <w:p>
            <w:pPr>
              <w:spacing w:before="40" w:after="40" w:line="240" w:lineRule="auto"/>
              <w:jc w:val="left"/>
            </w:pPr>
            <w:r/>
            <w:r>
              <w:rPr>
                <w:rFonts w:ascii="Times New Roman" w:hAnsi="Times New Roman" w:eastAsia="宋体"/>
                <w:b w:val="0"/>
                <w:sz w:val="19"/>
              </w:rPr>
              <w:t>隐患整改及时率</w:t>
            </w:r>
          </w:p>
        </w:tc>
        <w:tc>
          <w:tcPr>
            <w:tcW w:type="dxa" w:w="3628"/>
          </w:tcPr>
          <w:p>
            <w:pPr>
              <w:spacing w:before="40" w:after="40" w:line="240" w:lineRule="auto"/>
              <w:jc w:val="center"/>
            </w:pPr>
            <w:r/>
            <w:r>
              <w:rPr>
                <w:rFonts w:ascii="Times New Roman" w:hAnsi="Times New Roman" w:eastAsia="宋体"/>
                <w:b w:val="0"/>
                <w:sz w:val="19"/>
              </w:rPr>
              <w:t>隐患按期整改率、复发率（逆向）</w:t>
            </w:r>
          </w:p>
        </w:tc>
        <w:tc>
          <w:tcPr>
            <w:tcW w:type="dxa" w:w="1361"/>
          </w:tcPr>
          <w:p>
            <w:pPr>
              <w:spacing w:before="40" w:after="40" w:line="240" w:lineRule="auto"/>
              <w:jc w:val="center"/>
            </w:pPr>
            <w:r/>
            <w:r>
              <w:rPr>
                <w:rFonts w:ascii="Times New Roman" w:hAnsi="Times New Roman" w:eastAsia="宋体"/>
                <w:b w:val="0"/>
                <w:sz w:val="19"/>
              </w:rPr>
              <w:t>0.1357</w:t>
            </w:r>
          </w:p>
        </w:tc>
        <w:tc>
          <w:tcPr>
            <w:tcW w:type="dxa" w:w="1361"/>
          </w:tcPr>
          <w:p>
            <w:pPr>
              <w:spacing w:before="40" w:after="40" w:line="240" w:lineRule="auto"/>
              <w:jc w:val="center"/>
            </w:pPr>
            <w:r/>
            <w:r>
              <w:rPr>
                <w:rFonts w:ascii="Times New Roman" w:hAnsi="Times New Roman" w:eastAsia="宋体"/>
                <w:b w:val="0"/>
                <w:sz w:val="19"/>
              </w:rPr>
              <w:t>0.0979</w:t>
            </w:r>
          </w:p>
        </w:tc>
        <w:tc>
          <w:tcPr>
            <w:tcW w:type="dxa" w:w="1361"/>
          </w:tcPr>
          <w:p>
            <w:pPr>
              <w:spacing w:before="40" w:after="40" w:line="240" w:lineRule="auto"/>
              <w:jc w:val="center"/>
            </w:pPr>
            <w:r/>
            <w:r>
              <w:rPr>
                <w:rFonts w:ascii="Times New Roman" w:hAnsi="Times New Roman" w:eastAsia="宋体"/>
                <w:b w:val="0"/>
                <w:sz w:val="19"/>
              </w:rPr>
              <w:t>0.1194</w:t>
            </w:r>
          </w:p>
        </w:tc>
      </w:tr>
      <w:tr>
        <w:tc>
          <w:tcPr>
            <w:tcW w:type="dxa" w:w="1814"/>
            <w:tcBorders>
              <w:bottom w:val="single" w:sz="12" w:space="0" w:color="000000"/>
            </w:tcBorders>
          </w:tcPr>
          <w:p>
            <w:pPr>
              <w:spacing w:before="40" w:after="40" w:line="240" w:lineRule="auto"/>
              <w:jc w:val="left"/>
            </w:pPr>
            <w:r/>
            <w:r>
              <w:rPr>
                <w:rFonts w:ascii="Times New Roman" w:hAnsi="Times New Roman" w:eastAsia="宋体"/>
                <w:b w:val="0"/>
                <w:sz w:val="19"/>
              </w:rPr>
              <w:t>应急能力</w:t>
            </w:r>
          </w:p>
        </w:tc>
        <w:tc>
          <w:tcPr>
            <w:tcW w:type="dxa" w:w="3628"/>
            <w:tcBorders>
              <w:bottom w:val="single" w:sz="12" w:space="0" w:color="000000"/>
            </w:tcBorders>
          </w:tcPr>
          <w:p>
            <w:pPr>
              <w:spacing w:before="40" w:after="40" w:line="240" w:lineRule="auto"/>
              <w:jc w:val="center"/>
            </w:pPr>
            <w:r/>
            <w:r>
              <w:rPr>
                <w:rFonts w:ascii="Times New Roman" w:hAnsi="Times New Roman" w:eastAsia="宋体"/>
                <w:b w:val="0"/>
                <w:sz w:val="19"/>
              </w:rPr>
              <w:t>应急预案与演练次数、事故响应时效</w:t>
            </w:r>
          </w:p>
        </w:tc>
        <w:tc>
          <w:tcPr>
            <w:tcW w:type="dxa" w:w="1361"/>
            <w:tcBorders>
              <w:bottom w:val="single" w:sz="12" w:space="0" w:color="000000"/>
            </w:tcBorders>
          </w:tcPr>
          <w:p>
            <w:pPr>
              <w:spacing w:before="40" w:after="40" w:line="240" w:lineRule="auto"/>
              <w:jc w:val="center"/>
            </w:pPr>
            <w:r/>
            <w:r>
              <w:rPr>
                <w:rFonts w:ascii="Times New Roman" w:hAnsi="Times New Roman" w:eastAsia="宋体"/>
                <w:b w:val="0"/>
                <w:sz w:val="19"/>
              </w:rPr>
              <w:t>0.0750</w:t>
            </w:r>
          </w:p>
        </w:tc>
        <w:tc>
          <w:tcPr>
            <w:tcW w:type="dxa" w:w="1361"/>
            <w:tcBorders>
              <w:bottom w:val="single" w:sz="12" w:space="0" w:color="000000"/>
            </w:tcBorders>
          </w:tcPr>
          <w:p>
            <w:pPr>
              <w:spacing w:before="40" w:after="40" w:line="240" w:lineRule="auto"/>
              <w:jc w:val="center"/>
            </w:pPr>
            <w:r/>
            <w:r>
              <w:rPr>
                <w:rFonts w:ascii="Times New Roman" w:hAnsi="Times New Roman" w:eastAsia="宋体"/>
                <w:b w:val="0"/>
                <w:sz w:val="19"/>
              </w:rPr>
              <w:t>0.2330</w:t>
            </w:r>
          </w:p>
        </w:tc>
        <w:tc>
          <w:tcPr>
            <w:tcW w:type="dxa" w:w="1361"/>
            <w:tcBorders>
              <w:bottom w:val="single" w:sz="12" w:space="0" w:color="000000"/>
            </w:tcBorders>
          </w:tcPr>
          <w:p>
            <w:pPr>
              <w:spacing w:before="40" w:after="40" w:line="240" w:lineRule="auto"/>
              <w:jc w:val="center"/>
            </w:pPr>
            <w:r/>
            <w:r>
              <w:rPr>
                <w:rFonts w:ascii="Times New Roman" w:hAnsi="Times New Roman" w:eastAsia="宋体"/>
                <w:b w:val="0"/>
                <w:sz w:val="19"/>
              </w:rPr>
              <w:t>0.1369</w:t>
            </w:r>
          </w:p>
        </w:tc>
      </w:tr>
    </w:tbl>
    <w:p>
      <w:pPr>
        <w:spacing w:before="40" w:after="160" w:line="240" w:lineRule="auto"/>
        <w:ind w:firstLine="0"/>
        <w:jc w:val="left"/>
      </w:pPr>
      <w:r>
        <w:rPr>
          <w:rFonts w:ascii="Times New Roman" w:hAnsi="Times New Roman" w:eastAsia="宋体"/>
          <w:b w:val="0"/>
          <w:sz w:val="18"/>
        </w:rPr>
        <w:t>注：AHP 判断矩阵一致性比率 CR=0.0022&lt;0.10，一致性通过。熵权基于 60 家相关方的评分矩阵计算，反映指标在对象间的区分度。</w:t>
      </w:r>
    </w:p>
    <w:p>
      <w:pPr>
        <w:keepNext/>
        <w:spacing w:before="120" w:after="0" w:line="240" w:lineRule="auto"/>
        <w:jc w:val="center"/>
      </w:pPr>
      <w:r>
        <w:drawing>
          <wp:inline xmlns:a="http://schemas.openxmlformats.org/drawingml/2006/main" xmlns:pic="http://schemas.openxmlformats.org/drawingml/2006/picture">
            <wp:extent cx="4680000" cy="2426152"/>
            <wp:docPr id="6" name="Picture 6"/>
            <wp:cNvGraphicFramePr>
              <a:graphicFrameLocks noChangeAspect="1"/>
            </wp:cNvGraphicFramePr>
            <a:graphic>
              <a:graphicData uri="http://schemas.openxmlformats.org/drawingml/2006/picture">
                <pic:pic>
                  <pic:nvPicPr>
                    <pic:cNvPr id="0" name="p3_d2_weights.png"/>
                    <pic:cNvPicPr/>
                  </pic:nvPicPr>
                  <pic:blipFill>
                    <a:blip r:embed="rId14"/>
                    <a:stretch>
                      <a:fillRect/>
                    </a:stretch>
                  </pic:blipFill>
                  <pic:spPr>
                    <a:xfrm>
                      <a:off x="0" y="0"/>
                      <a:ext cx="4680000" cy="2426152"/>
                    </a:xfrm>
                    <a:prstGeom prst="rect"/>
                  </pic:spPr>
                </pic:pic>
              </a:graphicData>
            </a:graphic>
          </wp:inline>
        </w:drawing>
      </w:r>
    </w:p>
    <w:p>
      <w:pPr>
        <w:spacing w:before="40" w:after="160" w:line="240" w:lineRule="auto"/>
        <w:jc w:val="center"/>
      </w:pPr>
      <w:r>
        <w:rPr>
          <w:rFonts w:ascii="Times New Roman" w:hAnsi="Times New Roman" w:eastAsia="黑体"/>
          <w:b w:val="0"/>
          <w:sz w:val="21"/>
        </w:rPr>
        <w:t>图 6  相关方安全绩效评价指标的组合权重</w:t>
      </w:r>
    </w:p>
    <w:p>
      <w:pPr>
        <w:spacing w:before="0" w:after="0" w:line="360" w:lineRule="auto"/>
        <w:ind w:firstLine="480"/>
        <w:jc w:val="both"/>
      </w:pPr>
      <w:r>
        <w:rPr>
          <w:rFonts w:ascii="Times New Roman" w:hAnsi="Times New Roman" w:eastAsia="宋体"/>
          <w:b w:val="0"/>
          <w:sz w:val="24"/>
        </w:rPr>
        <w:t>表 5 与图 6 显示，权重最高的两项指标是</w:t>
      </w:r>
      <w:r>
        <w:rPr>
          <w:rFonts w:ascii="Times New Roman" w:hAnsi="Times New Roman" w:eastAsia="宋体"/>
          <w:b/>
          <w:sz w:val="24"/>
        </w:rPr>
        <w:t>作业票与交底执行（0.289）</w:t>
      </w:r>
      <w:r>
        <w:rPr>
          <w:rFonts w:ascii="Times New Roman" w:hAnsi="Times New Roman" w:eastAsia="宋体"/>
          <w:b w:val="0"/>
          <w:sz w:val="24"/>
        </w:rPr>
        <w:t>与</w:t>
      </w:r>
      <w:r>
        <w:rPr>
          <w:rFonts w:ascii="Times New Roman" w:hAnsi="Times New Roman" w:eastAsia="宋体"/>
          <w:b/>
          <w:sz w:val="24"/>
        </w:rPr>
        <w:t>现场违章频次（0.218）</w:t>
      </w:r>
      <w:r>
        <w:rPr>
          <w:rFonts w:ascii="Times New Roman" w:hAnsi="Times New Roman" w:eastAsia="宋体"/>
          <w:b w:val="0"/>
          <w:sz w:val="24"/>
        </w:rPr>
        <w:t>，二者合计权重超过 0.50，而这两项均为</w:t>
      </w:r>
      <w:r>
        <w:rPr>
          <w:rFonts w:ascii="Times New Roman" w:hAnsi="Times New Roman" w:eastAsia="宋体"/>
          <w:b/>
          <w:sz w:val="24"/>
        </w:rPr>
        <w:t>过程行为指标</w:t>
      </w:r>
      <w:r>
        <w:rPr>
          <w:rFonts w:ascii="Times New Roman" w:hAnsi="Times New Roman" w:eastAsia="宋体"/>
          <w:b w:val="0"/>
          <w:sz w:val="24"/>
        </w:rPr>
        <w:t>而非结果指标。这一结果对实践具有明确的指导意义：相关方安全绩效评价应以过程管控为主、以结果指标为辅——因为事故是小概率事件，用事故率评价相关方在统计上几乎没有区分度，而过程行为指标既有区分度又可即时观测。这与传统的“出事才追究”做法方向相反。</w:t>
      </w:r>
    </w:p>
    <w:p>
      <w:pPr>
        <w:keepNext/>
        <w:spacing w:before="240" w:after="120" w:line="360" w:lineRule="auto"/>
        <w:jc w:val="left"/>
      </w:pPr>
      <w:r>
        <w:rPr>
          <w:rFonts w:ascii="Times New Roman" w:hAnsi="Times New Roman" w:eastAsia="黑体"/>
          <w:b/>
          <w:sz w:val="30"/>
        </w:rPr>
        <w:t>6  监管资源优化配置</w:t>
      </w:r>
    </w:p>
    <w:p>
      <w:pPr>
        <w:keepNext/>
        <w:spacing w:before="160" w:after="80" w:line="360" w:lineRule="auto"/>
        <w:jc w:val="left"/>
      </w:pPr>
      <w:r>
        <w:rPr>
          <w:rFonts w:ascii="Times New Roman" w:hAnsi="Times New Roman" w:eastAsia="黑体"/>
          <w:b w:val="0"/>
          <w:sz w:val="28"/>
        </w:rPr>
        <w:t>6.1  配置模型</w:t>
      </w:r>
    </w:p>
    <w:p>
      <w:pPr>
        <w:spacing w:before="0" w:after="0" w:line="360" w:lineRule="auto"/>
        <w:ind w:firstLine="480"/>
        <w:jc w:val="both"/>
      </w:pPr>
      <w:r>
        <w:rPr>
          <w:rFonts w:ascii="Times New Roman" w:hAnsi="Times New Roman" w:eastAsia="宋体"/>
          <w:b w:val="0"/>
          <w:sz w:val="24"/>
        </w:rPr>
        <w:t>安全管理部门的检查人日是硬约束。本文构建资源优化配置模型：设对第 i 家相关方投入 xᵢ 次检查，其风险削减量为</w:t>
      </w:r>
    </w:p>
    <w:p>
      <w:pPr>
        <w:spacing w:before="0" w:after="0" w:line="360" w:lineRule="auto"/>
        <w:ind w:firstLine="0"/>
        <w:jc w:val="center"/>
      </w:pPr>
      <w:r>
        <w:rPr>
          <w:rFonts w:ascii="Times New Roman" w:hAnsi="Times New Roman" w:eastAsia="宋体"/>
          <w:b w:val="0"/>
          <w:sz w:val="24"/>
        </w:rPr>
        <w:t>ΔRᵢ = Dᵢ · [1 − exp(−γᵢ · xᵢ)]</w:t>
      </w:r>
    </w:p>
    <w:p>
      <w:pPr>
        <w:spacing w:before="0" w:after="0" w:line="360" w:lineRule="auto"/>
        <w:ind w:firstLine="480"/>
        <w:jc w:val="both"/>
      </w:pPr>
      <w:r>
        <w:rPr>
          <w:rFonts w:ascii="Times New Roman" w:hAnsi="Times New Roman" w:eastAsia="宋体"/>
          <w:b w:val="0"/>
          <w:sz w:val="24"/>
        </w:rPr>
        <w:t>式中 Dᵢ 为该相关方的 LEC 风险值，γᵢ 为单次检查的风险削减系数，并设定 γᵢ 随安全管理能力评分递减——能力弱的相关方，单次检查的边际削减更大。目标函数为在总量约束 Σxᵢ ≤ T 下最大化 ΣΔRᵢ。由于边际收益递减，贪心分配即为全局最优解。</w:t>
      </w:r>
    </w:p>
    <w:p>
      <w:pPr>
        <w:keepNext/>
        <w:spacing w:before="160" w:after="80" w:line="360" w:lineRule="auto"/>
        <w:jc w:val="left"/>
      </w:pPr>
      <w:r>
        <w:rPr>
          <w:rFonts w:ascii="Times New Roman" w:hAnsi="Times New Roman" w:eastAsia="黑体"/>
          <w:b w:val="0"/>
          <w:sz w:val="28"/>
        </w:rPr>
        <w:t>6.2  四种配置策略的比较</w:t>
      </w:r>
    </w:p>
    <w:p>
      <w:pPr>
        <w:spacing w:before="0" w:after="0" w:line="360" w:lineRule="auto"/>
        <w:ind w:firstLine="480"/>
        <w:jc w:val="both"/>
      </w:pPr>
      <w:r>
        <w:rPr>
          <w:rFonts w:ascii="Times New Roman" w:hAnsi="Times New Roman" w:eastAsia="宋体"/>
          <w:b w:val="0"/>
          <w:sz w:val="24"/>
        </w:rPr>
        <w:t>在年度检查总量 T=240 次的约束下，比较四种配置策略：平均分配、按风险线性分配、二维分级分配（按 A1、A2、B1、B2、C1、C2 分别赋予 8、6、4、3、2、1 的相对权重）与边际收益最优分配。结果如表 6 与图 7 所示。</w:t>
      </w:r>
    </w:p>
    <w:p>
      <w:pPr>
        <w:keepNext/>
        <w:spacing w:before="160" w:after="40" w:line="240" w:lineRule="auto"/>
        <w:jc w:val="center"/>
      </w:pPr>
      <w:r>
        <w:rPr>
          <w:rFonts w:ascii="Times New Roman" w:hAnsi="Times New Roman" w:eastAsia="黑体"/>
          <w:b w:val="0"/>
          <w:sz w:val="21"/>
        </w:rPr>
        <w:t>表 6  四种监管资源配置策略的效果比较（T=240 次）</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768"/>
        <w:gridCol w:w="1768"/>
        <w:gridCol w:w="1768"/>
        <w:gridCol w:w="1768"/>
        <w:gridCol w:w="1768"/>
      </w:tblGrid>
      <w:tr>
        <w:tc>
          <w:tcPr>
            <w:tcW w:type="dxa" w:w="2268"/>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配置策略</w:t>
            </w:r>
          </w:p>
        </w:tc>
        <w:tc>
          <w:tcPr>
            <w:tcW w:type="dxa" w:w="181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风险削减总量</w:t>
            </w:r>
          </w:p>
        </w:tc>
        <w:tc>
          <w:tcPr>
            <w:tcW w:type="dxa" w:w="19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较平均分配提升 / %</w:t>
            </w:r>
          </w:p>
        </w:tc>
        <w:tc>
          <w:tcPr>
            <w:tcW w:type="dxa" w:w="204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达到最优解的比例 / %</w:t>
            </w:r>
          </w:p>
        </w:tc>
        <w:tc>
          <w:tcPr>
            <w:tcW w:type="dxa" w:w="249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规则复杂度</w:t>
            </w:r>
          </w:p>
        </w:tc>
      </w:tr>
      <w:tr>
        <w:tc>
          <w:tcPr>
            <w:tcW w:type="dxa" w:w="2268"/>
          </w:tcPr>
          <w:p>
            <w:pPr>
              <w:spacing w:before="40" w:after="40" w:line="240" w:lineRule="auto"/>
              <w:jc w:val="left"/>
            </w:pPr>
            <w:r/>
            <w:r>
              <w:rPr>
                <w:rFonts w:ascii="Times New Roman" w:hAnsi="Times New Roman" w:eastAsia="宋体"/>
                <w:b w:val="0"/>
                <w:sz w:val="19"/>
              </w:rPr>
              <w:t>平均分配</w:t>
            </w:r>
          </w:p>
        </w:tc>
        <w:tc>
          <w:tcPr>
            <w:tcW w:type="dxa" w:w="1814"/>
          </w:tcPr>
          <w:p>
            <w:pPr>
              <w:spacing w:before="40" w:after="40" w:line="240" w:lineRule="auto"/>
              <w:jc w:val="center"/>
            </w:pPr>
            <w:r/>
            <w:r>
              <w:rPr>
                <w:rFonts w:ascii="Times New Roman" w:hAnsi="Times New Roman" w:eastAsia="宋体"/>
                <w:b w:val="0"/>
                <w:sz w:val="19"/>
              </w:rPr>
              <w:t>4174.0</w:t>
            </w:r>
          </w:p>
        </w:tc>
        <w:tc>
          <w:tcPr>
            <w:tcW w:type="dxa" w:w="1928"/>
          </w:tcPr>
          <w:p>
            <w:pPr>
              <w:spacing w:before="40" w:after="40" w:line="240" w:lineRule="auto"/>
              <w:jc w:val="center"/>
            </w:pPr>
            <w:r/>
            <w:r>
              <w:rPr>
                <w:rFonts w:ascii="Times New Roman" w:hAnsi="Times New Roman" w:eastAsia="宋体"/>
                <w:b w:val="0"/>
                <w:sz w:val="19"/>
              </w:rPr>
              <w:t>0.0</w:t>
            </w:r>
          </w:p>
        </w:tc>
        <w:tc>
          <w:tcPr>
            <w:tcW w:type="dxa" w:w="2041"/>
          </w:tcPr>
          <w:p>
            <w:pPr>
              <w:spacing w:before="40" w:after="40" w:line="240" w:lineRule="auto"/>
              <w:jc w:val="center"/>
            </w:pPr>
            <w:r/>
            <w:r>
              <w:rPr>
                <w:rFonts w:ascii="Times New Roman" w:hAnsi="Times New Roman" w:eastAsia="宋体"/>
                <w:b w:val="0"/>
                <w:sz w:val="19"/>
              </w:rPr>
              <w:t>85.9</w:t>
            </w:r>
          </w:p>
        </w:tc>
        <w:tc>
          <w:tcPr>
            <w:tcW w:type="dxa" w:w="2494"/>
          </w:tcPr>
          <w:p>
            <w:pPr>
              <w:spacing w:before="40" w:after="40" w:line="240" w:lineRule="auto"/>
              <w:jc w:val="center"/>
            </w:pPr>
            <w:r/>
            <w:r>
              <w:rPr>
                <w:rFonts w:ascii="Times New Roman" w:hAnsi="Times New Roman" w:eastAsia="宋体"/>
                <w:b w:val="0"/>
                <w:sz w:val="19"/>
              </w:rPr>
              <w:t>最低</w:t>
            </w:r>
          </w:p>
        </w:tc>
      </w:tr>
      <w:tr>
        <w:tc>
          <w:tcPr>
            <w:tcW w:type="dxa" w:w="2268"/>
          </w:tcPr>
          <w:p>
            <w:pPr>
              <w:spacing w:before="40" w:after="40" w:line="240" w:lineRule="auto"/>
              <w:jc w:val="left"/>
            </w:pPr>
            <w:r/>
            <w:r>
              <w:rPr>
                <w:rFonts w:ascii="Times New Roman" w:hAnsi="Times New Roman" w:eastAsia="宋体"/>
                <w:b w:val="0"/>
                <w:sz w:val="19"/>
              </w:rPr>
              <w:t>按风险线性分配</w:t>
            </w:r>
          </w:p>
        </w:tc>
        <w:tc>
          <w:tcPr>
            <w:tcW w:type="dxa" w:w="1814"/>
          </w:tcPr>
          <w:p>
            <w:pPr>
              <w:spacing w:before="40" w:after="40" w:line="240" w:lineRule="auto"/>
              <w:jc w:val="center"/>
            </w:pPr>
            <w:r/>
            <w:r>
              <w:rPr>
                <w:rFonts w:ascii="Times New Roman" w:hAnsi="Times New Roman" w:eastAsia="宋体"/>
                <w:b w:val="0"/>
                <w:sz w:val="19"/>
              </w:rPr>
              <w:t>4686.0</w:t>
            </w:r>
          </w:p>
        </w:tc>
        <w:tc>
          <w:tcPr>
            <w:tcW w:type="dxa" w:w="1928"/>
          </w:tcPr>
          <w:p>
            <w:pPr>
              <w:spacing w:before="40" w:after="40" w:line="240" w:lineRule="auto"/>
              <w:jc w:val="center"/>
            </w:pPr>
            <w:r/>
            <w:r>
              <w:rPr>
                <w:rFonts w:ascii="Times New Roman" w:hAnsi="Times New Roman" w:eastAsia="宋体"/>
                <w:b w:val="0"/>
                <w:sz w:val="19"/>
              </w:rPr>
              <w:t>12.3</w:t>
            </w:r>
          </w:p>
        </w:tc>
        <w:tc>
          <w:tcPr>
            <w:tcW w:type="dxa" w:w="2041"/>
          </w:tcPr>
          <w:p>
            <w:pPr>
              <w:spacing w:before="40" w:after="40" w:line="240" w:lineRule="auto"/>
              <w:jc w:val="center"/>
            </w:pPr>
            <w:r/>
            <w:r>
              <w:rPr>
                <w:rFonts w:ascii="Times New Roman" w:hAnsi="Times New Roman" w:eastAsia="宋体"/>
                <w:b w:val="0"/>
                <w:sz w:val="19"/>
              </w:rPr>
              <w:t>96.4</w:t>
            </w:r>
          </w:p>
        </w:tc>
        <w:tc>
          <w:tcPr>
            <w:tcW w:type="dxa" w:w="2494"/>
          </w:tcPr>
          <w:p>
            <w:pPr>
              <w:spacing w:before="40" w:after="40" w:line="240" w:lineRule="auto"/>
              <w:jc w:val="center"/>
            </w:pPr>
            <w:r/>
            <w:r>
              <w:rPr>
                <w:rFonts w:ascii="Times New Roman" w:hAnsi="Times New Roman" w:eastAsia="宋体"/>
                <w:b w:val="0"/>
                <w:sz w:val="19"/>
              </w:rPr>
              <w:t>中</w:t>
            </w:r>
          </w:p>
        </w:tc>
      </w:tr>
      <w:tr>
        <w:tc>
          <w:tcPr>
            <w:tcW w:type="dxa" w:w="2268"/>
          </w:tcPr>
          <w:p>
            <w:pPr>
              <w:spacing w:before="40" w:after="40" w:line="240" w:lineRule="auto"/>
              <w:jc w:val="left"/>
            </w:pPr>
            <w:r/>
            <w:r>
              <w:rPr>
                <w:rFonts w:ascii="Times New Roman" w:hAnsi="Times New Roman" w:eastAsia="宋体"/>
                <w:b w:val="0"/>
                <w:sz w:val="19"/>
              </w:rPr>
              <w:t>二维分级分配</w:t>
            </w:r>
          </w:p>
        </w:tc>
        <w:tc>
          <w:tcPr>
            <w:tcW w:type="dxa" w:w="1814"/>
          </w:tcPr>
          <w:p>
            <w:pPr>
              <w:spacing w:before="40" w:after="40" w:line="240" w:lineRule="auto"/>
              <w:jc w:val="center"/>
            </w:pPr>
            <w:r/>
            <w:r>
              <w:rPr>
                <w:rFonts w:ascii="Times New Roman" w:hAnsi="Times New Roman" w:eastAsia="宋体"/>
                <w:b w:val="0"/>
                <w:sz w:val="19"/>
              </w:rPr>
              <w:t>4698.8</w:t>
            </w:r>
          </w:p>
        </w:tc>
        <w:tc>
          <w:tcPr>
            <w:tcW w:type="dxa" w:w="1928"/>
          </w:tcPr>
          <w:p>
            <w:pPr>
              <w:spacing w:before="40" w:after="40" w:line="240" w:lineRule="auto"/>
              <w:jc w:val="center"/>
            </w:pPr>
            <w:r/>
            <w:r>
              <w:rPr>
                <w:rFonts w:ascii="Times New Roman" w:hAnsi="Times New Roman" w:eastAsia="宋体"/>
                <w:b w:val="0"/>
                <w:sz w:val="19"/>
              </w:rPr>
              <w:t>12.6</w:t>
            </w:r>
          </w:p>
        </w:tc>
        <w:tc>
          <w:tcPr>
            <w:tcW w:type="dxa" w:w="2041"/>
          </w:tcPr>
          <w:p>
            <w:pPr>
              <w:spacing w:before="40" w:after="40" w:line="240" w:lineRule="auto"/>
              <w:jc w:val="center"/>
            </w:pPr>
            <w:r/>
            <w:r>
              <w:rPr>
                <w:rFonts w:ascii="Times New Roman" w:hAnsi="Times New Roman" w:eastAsia="宋体"/>
                <w:b w:val="0"/>
                <w:sz w:val="19"/>
              </w:rPr>
              <w:t>96.7</w:t>
            </w:r>
          </w:p>
        </w:tc>
        <w:tc>
          <w:tcPr>
            <w:tcW w:type="dxa" w:w="2494"/>
          </w:tcPr>
          <w:p>
            <w:pPr>
              <w:spacing w:before="40" w:after="40" w:line="240" w:lineRule="auto"/>
              <w:jc w:val="center"/>
            </w:pPr>
            <w:r/>
            <w:r>
              <w:rPr>
                <w:rFonts w:ascii="Times New Roman" w:hAnsi="Times New Roman" w:eastAsia="宋体"/>
                <w:b w:val="0"/>
                <w:sz w:val="19"/>
              </w:rPr>
              <w:t>低</w:t>
            </w:r>
          </w:p>
        </w:tc>
      </w:tr>
      <w:tr>
        <w:tc>
          <w:tcPr>
            <w:tcW w:type="dxa" w:w="2268"/>
            <w:tcBorders>
              <w:bottom w:val="single" w:sz="12" w:space="0" w:color="000000"/>
            </w:tcBorders>
          </w:tcPr>
          <w:p>
            <w:pPr>
              <w:spacing w:before="40" w:after="40" w:line="240" w:lineRule="auto"/>
              <w:jc w:val="left"/>
            </w:pPr>
            <w:r/>
            <w:r>
              <w:rPr>
                <w:rFonts w:ascii="Times New Roman" w:hAnsi="Times New Roman" w:eastAsia="宋体"/>
                <w:b w:val="0"/>
                <w:sz w:val="19"/>
              </w:rPr>
              <w:t>边际收益最优分配</w:t>
            </w:r>
          </w:p>
        </w:tc>
        <w:tc>
          <w:tcPr>
            <w:tcW w:type="dxa" w:w="1814"/>
            <w:tcBorders>
              <w:bottom w:val="single" w:sz="12" w:space="0" w:color="000000"/>
            </w:tcBorders>
          </w:tcPr>
          <w:p>
            <w:pPr>
              <w:spacing w:before="40" w:after="40" w:line="240" w:lineRule="auto"/>
              <w:jc w:val="center"/>
            </w:pPr>
            <w:r/>
            <w:r>
              <w:rPr>
                <w:rFonts w:ascii="Times New Roman" w:hAnsi="Times New Roman" w:eastAsia="宋体"/>
                <w:b w:val="0"/>
                <w:sz w:val="19"/>
              </w:rPr>
              <w:t>4859.1</w:t>
            </w:r>
          </w:p>
        </w:tc>
        <w:tc>
          <w:tcPr>
            <w:tcW w:type="dxa" w:w="1928"/>
            <w:tcBorders>
              <w:bottom w:val="single" w:sz="12" w:space="0" w:color="000000"/>
            </w:tcBorders>
          </w:tcPr>
          <w:p>
            <w:pPr>
              <w:spacing w:before="40" w:after="40" w:line="240" w:lineRule="auto"/>
              <w:jc w:val="center"/>
            </w:pPr>
            <w:r/>
            <w:r>
              <w:rPr>
                <w:rFonts w:ascii="Times New Roman" w:hAnsi="Times New Roman" w:eastAsia="宋体"/>
                <w:b w:val="0"/>
                <w:sz w:val="19"/>
              </w:rPr>
              <w:t>16.4</w:t>
            </w:r>
          </w:p>
        </w:tc>
        <w:tc>
          <w:tcPr>
            <w:tcW w:type="dxa" w:w="2041"/>
            <w:tcBorders>
              <w:bottom w:val="single" w:sz="12" w:space="0" w:color="000000"/>
            </w:tcBorders>
          </w:tcPr>
          <w:p>
            <w:pPr>
              <w:spacing w:before="40" w:after="40" w:line="240" w:lineRule="auto"/>
              <w:jc w:val="center"/>
            </w:pPr>
            <w:r/>
            <w:r>
              <w:rPr>
                <w:rFonts w:ascii="Times New Roman" w:hAnsi="Times New Roman" w:eastAsia="宋体"/>
                <w:b w:val="0"/>
                <w:sz w:val="19"/>
              </w:rPr>
              <w:t>100.0</w:t>
            </w:r>
          </w:p>
        </w:tc>
        <w:tc>
          <w:tcPr>
            <w:tcW w:type="dxa" w:w="2494"/>
            <w:tcBorders>
              <w:bottom w:val="single" w:sz="12" w:space="0" w:color="000000"/>
            </w:tcBorders>
          </w:tcPr>
          <w:p>
            <w:pPr>
              <w:spacing w:before="40" w:after="40" w:line="240" w:lineRule="auto"/>
              <w:jc w:val="center"/>
            </w:pPr>
            <w:r/>
            <w:r>
              <w:rPr>
                <w:rFonts w:ascii="Times New Roman" w:hAnsi="Times New Roman" w:eastAsia="宋体"/>
                <w:b w:val="0"/>
                <w:sz w:val="19"/>
              </w:rPr>
              <w:t>高（需逐次计算边际收益）</w:t>
            </w:r>
          </w:p>
        </w:tc>
      </w:tr>
    </w:tbl>
    <w:p>
      <w:pPr>
        <w:spacing w:before="40" w:after="160" w:line="240" w:lineRule="auto"/>
        <w:ind w:firstLine="0"/>
        <w:jc w:val="left"/>
      </w:pPr>
      <w:r>
        <w:rPr>
          <w:rFonts w:ascii="Times New Roman" w:hAnsi="Times New Roman" w:eastAsia="宋体"/>
          <w:b w:val="0"/>
          <w:sz w:val="18"/>
        </w:rPr>
        <w:t>注：风险削减总量为无量纲相对值，用于策略间横向比较。</w:t>
      </w:r>
    </w:p>
    <w:p>
      <w:pPr>
        <w:keepNext/>
        <w:spacing w:before="120" w:after="0" w:line="240" w:lineRule="auto"/>
        <w:jc w:val="center"/>
      </w:pPr>
      <w:r>
        <w:drawing>
          <wp:inline xmlns:a="http://schemas.openxmlformats.org/drawingml/2006/main" xmlns:pic="http://schemas.openxmlformats.org/drawingml/2006/picture">
            <wp:extent cx="5400000" cy="2595887"/>
            <wp:docPr id="7" name="Picture 7"/>
            <wp:cNvGraphicFramePr>
              <a:graphicFrameLocks noChangeAspect="1"/>
            </wp:cNvGraphicFramePr>
            <a:graphic>
              <a:graphicData uri="http://schemas.openxmlformats.org/drawingml/2006/picture">
                <pic:pic>
                  <pic:nvPicPr>
                    <pic:cNvPr id="0" name="p3_d3_alloc.png"/>
                    <pic:cNvPicPr/>
                  </pic:nvPicPr>
                  <pic:blipFill>
                    <a:blip r:embed="rId15"/>
                    <a:stretch>
                      <a:fillRect/>
                    </a:stretch>
                  </pic:blipFill>
                  <pic:spPr>
                    <a:xfrm>
                      <a:off x="0" y="0"/>
                      <a:ext cx="5400000" cy="2595887"/>
                    </a:xfrm>
                    <a:prstGeom prst="rect"/>
                  </pic:spPr>
                </pic:pic>
              </a:graphicData>
            </a:graphic>
          </wp:inline>
        </w:drawing>
      </w:r>
    </w:p>
    <w:p>
      <w:pPr>
        <w:spacing w:before="40" w:after="160" w:line="240" w:lineRule="auto"/>
        <w:jc w:val="center"/>
      </w:pPr>
      <w:r>
        <w:rPr>
          <w:rFonts w:ascii="Times New Roman" w:hAnsi="Times New Roman" w:eastAsia="黑体"/>
          <w:b w:val="0"/>
          <w:sz w:val="21"/>
        </w:rPr>
        <w:t>图 7  监管资源配置策略的效果比较与投入产出曲线</w:t>
      </w:r>
    </w:p>
    <w:p>
      <w:pPr>
        <w:spacing w:before="0" w:after="0" w:line="360" w:lineRule="auto"/>
        <w:ind w:firstLine="480"/>
        <w:jc w:val="both"/>
      </w:pPr>
      <w:r>
        <w:rPr>
          <w:rFonts w:ascii="Times New Roman" w:hAnsi="Times New Roman" w:eastAsia="宋体"/>
          <w:b w:val="0"/>
          <w:sz w:val="24"/>
        </w:rPr>
        <w:t>表 6 与图 7 给出三点结论。第一，</w:t>
      </w:r>
      <w:r>
        <w:rPr>
          <w:rFonts w:ascii="Times New Roman" w:hAnsi="Times New Roman" w:eastAsia="宋体"/>
          <w:b/>
          <w:sz w:val="24"/>
        </w:rPr>
        <w:t>同等投入下，差异化配置的效果显著优于平均分配</w:t>
      </w:r>
      <w:r>
        <w:rPr>
          <w:rFonts w:ascii="Times New Roman" w:hAnsi="Times New Roman" w:eastAsia="宋体"/>
          <w:b w:val="0"/>
          <w:sz w:val="24"/>
        </w:rPr>
        <w:t>：边际收益最优配置的风险削减总量较平均分配提升 16.4%，按风险线性分配与二维分级分配分别提升 12.3% 与 12.6%。第二，</w:t>
      </w:r>
      <w:r>
        <w:rPr>
          <w:rFonts w:ascii="Times New Roman" w:hAnsi="Times New Roman" w:eastAsia="宋体"/>
          <w:b/>
          <w:sz w:val="24"/>
        </w:rPr>
        <w:t>二维分级分配是推荐方案</w:t>
      </w:r>
      <w:r>
        <w:rPr>
          <w:rFonts w:ascii="Times New Roman" w:hAnsi="Times New Roman" w:eastAsia="宋体"/>
          <w:b w:val="0"/>
          <w:sz w:val="24"/>
        </w:rPr>
        <w:t>：它已实现最优解的 96.7%，而规则简单、便于一线执行，无需逐次计算边际收益，在效果与可操作性之间取得了较好平衡。第三，也是最具实践价值的一点：</w:t>
      </w:r>
      <w:r>
        <w:rPr>
          <w:rFonts w:ascii="Times New Roman" w:hAnsi="Times New Roman" w:eastAsia="宋体"/>
          <w:b/>
          <w:sz w:val="24"/>
        </w:rPr>
        <w:t>最优配置仅需 153 次检查即可达到平均分配 240 次的风险削减效果，节省监管人力 36.3%</w:t>
      </w:r>
      <w:r>
        <w:rPr>
          <w:rFonts w:ascii="Times New Roman" w:hAnsi="Times New Roman" w:eastAsia="宋体"/>
          <w:b w:val="0"/>
          <w:sz w:val="24"/>
        </w:rPr>
        <w:t>。这意味着差异化配置的价值不仅在于“同样投入做得更好”，更在于“更少投入即可达到原有水平”，为安全管理人员紧张的基层单位提供了直接的减负路径。</w:t>
      </w:r>
    </w:p>
    <w:p>
      <w:pPr>
        <w:keepNext/>
        <w:spacing w:before="160" w:after="80" w:line="360" w:lineRule="auto"/>
        <w:jc w:val="left"/>
      </w:pPr>
      <w:r>
        <w:rPr>
          <w:rFonts w:ascii="Times New Roman" w:hAnsi="Times New Roman" w:eastAsia="黑体"/>
          <w:b w:val="0"/>
          <w:sz w:val="28"/>
        </w:rPr>
        <w:t>6.3  隐患帕累托分析与靶向治理</w:t>
      </w:r>
    </w:p>
    <w:p>
      <w:pPr>
        <w:spacing w:before="0" w:after="0" w:line="360" w:lineRule="auto"/>
        <w:ind w:firstLine="480"/>
        <w:jc w:val="both"/>
      </w:pPr>
      <w:r>
        <w:rPr>
          <w:rFonts w:ascii="Times New Roman" w:hAnsi="Times New Roman" w:eastAsia="宋体"/>
          <w:b w:val="0"/>
          <w:sz w:val="24"/>
        </w:rPr>
        <w:t>专项治理不必面面俱到。本文对情景样本的隐患数据做帕累托分析，结果如表 7 与图 8 所示。</w:t>
      </w:r>
    </w:p>
    <w:p>
      <w:pPr>
        <w:keepNext/>
        <w:spacing w:before="160" w:after="40" w:line="240" w:lineRule="auto"/>
        <w:jc w:val="center"/>
      </w:pPr>
      <w:r>
        <w:rPr>
          <w:rFonts w:ascii="Times New Roman" w:hAnsi="Times New Roman" w:eastAsia="黑体"/>
          <w:b w:val="0"/>
          <w:sz w:val="21"/>
        </w:rPr>
        <w:t>表 7  相关方隐患类型的帕累托分析</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3175"/>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隐患类型</w:t>
            </w:r>
          </w:p>
        </w:tc>
        <w:tc>
          <w:tcPr>
            <w:tcW w:type="dxa" w:w="147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发生频次</w:t>
            </w:r>
          </w:p>
        </w:tc>
        <w:tc>
          <w:tcPr>
            <w:tcW w:type="dxa" w:w="147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占比 / %</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累计占比 / %</w:t>
            </w:r>
          </w:p>
        </w:tc>
      </w:tr>
      <w:tr>
        <w:tc>
          <w:tcPr>
            <w:tcW w:type="dxa" w:w="3175"/>
          </w:tcPr>
          <w:p>
            <w:pPr>
              <w:spacing w:before="40" w:after="40" w:line="240" w:lineRule="auto"/>
              <w:jc w:val="left"/>
            </w:pPr>
            <w:r/>
            <w:r>
              <w:rPr>
                <w:rFonts w:ascii="Times New Roman" w:hAnsi="Times New Roman" w:eastAsia="宋体"/>
                <w:b w:val="0"/>
                <w:sz w:val="19"/>
              </w:rPr>
              <w:t>个体防护用品缺失</w:t>
            </w:r>
          </w:p>
        </w:tc>
        <w:tc>
          <w:tcPr>
            <w:tcW w:type="dxa" w:w="1474"/>
          </w:tcPr>
          <w:p>
            <w:pPr>
              <w:spacing w:before="40" w:after="40" w:line="240" w:lineRule="auto"/>
              <w:jc w:val="center"/>
            </w:pPr>
            <w:r/>
            <w:r>
              <w:rPr>
                <w:rFonts w:ascii="Times New Roman" w:hAnsi="Times New Roman" w:eastAsia="宋体"/>
                <w:b w:val="0"/>
                <w:sz w:val="19"/>
              </w:rPr>
              <w:t>87</w:t>
            </w:r>
          </w:p>
        </w:tc>
        <w:tc>
          <w:tcPr>
            <w:tcW w:type="dxa" w:w="1474"/>
          </w:tcPr>
          <w:p>
            <w:pPr>
              <w:spacing w:before="40" w:after="40" w:line="240" w:lineRule="auto"/>
              <w:jc w:val="center"/>
            </w:pPr>
            <w:r/>
            <w:r>
              <w:rPr>
                <w:rFonts w:ascii="Times New Roman" w:hAnsi="Times New Roman" w:eastAsia="宋体"/>
                <w:b w:val="0"/>
                <w:sz w:val="19"/>
              </w:rPr>
              <w:t>22.4</w:t>
            </w:r>
          </w:p>
        </w:tc>
        <w:tc>
          <w:tcPr>
            <w:tcW w:type="dxa" w:w="1701"/>
          </w:tcPr>
          <w:p>
            <w:pPr>
              <w:spacing w:before="40" w:after="40" w:line="240" w:lineRule="auto"/>
              <w:jc w:val="center"/>
            </w:pPr>
            <w:r/>
            <w:r>
              <w:rPr>
                <w:rFonts w:ascii="Times New Roman" w:hAnsi="Times New Roman" w:eastAsia="宋体"/>
                <w:b w:val="0"/>
                <w:sz w:val="19"/>
              </w:rPr>
              <w:t>22.4</w:t>
            </w:r>
          </w:p>
        </w:tc>
      </w:tr>
      <w:tr>
        <w:tc>
          <w:tcPr>
            <w:tcW w:type="dxa" w:w="3175"/>
          </w:tcPr>
          <w:p>
            <w:pPr>
              <w:spacing w:before="40" w:after="40" w:line="240" w:lineRule="auto"/>
              <w:jc w:val="left"/>
            </w:pPr>
            <w:r/>
            <w:r>
              <w:rPr>
                <w:rFonts w:ascii="Times New Roman" w:hAnsi="Times New Roman" w:eastAsia="宋体"/>
                <w:b w:val="0"/>
                <w:sz w:val="19"/>
              </w:rPr>
              <w:t>临时用电不规范</w:t>
            </w:r>
          </w:p>
        </w:tc>
        <w:tc>
          <w:tcPr>
            <w:tcW w:type="dxa" w:w="1474"/>
          </w:tcPr>
          <w:p>
            <w:pPr>
              <w:spacing w:before="40" w:after="40" w:line="240" w:lineRule="auto"/>
              <w:jc w:val="center"/>
            </w:pPr>
            <w:r/>
            <w:r>
              <w:rPr>
                <w:rFonts w:ascii="Times New Roman" w:hAnsi="Times New Roman" w:eastAsia="宋体"/>
                <w:b w:val="0"/>
                <w:sz w:val="19"/>
              </w:rPr>
              <w:t>84</w:t>
            </w:r>
          </w:p>
        </w:tc>
        <w:tc>
          <w:tcPr>
            <w:tcW w:type="dxa" w:w="1474"/>
          </w:tcPr>
          <w:p>
            <w:pPr>
              <w:spacing w:before="40" w:after="40" w:line="240" w:lineRule="auto"/>
              <w:jc w:val="center"/>
            </w:pPr>
            <w:r/>
            <w:r>
              <w:rPr>
                <w:rFonts w:ascii="Times New Roman" w:hAnsi="Times New Roman" w:eastAsia="宋体"/>
                <w:b w:val="0"/>
                <w:sz w:val="19"/>
              </w:rPr>
              <w:t>21.6</w:t>
            </w:r>
          </w:p>
        </w:tc>
        <w:tc>
          <w:tcPr>
            <w:tcW w:type="dxa" w:w="1701"/>
          </w:tcPr>
          <w:p>
            <w:pPr>
              <w:spacing w:before="40" w:after="40" w:line="240" w:lineRule="auto"/>
              <w:jc w:val="center"/>
            </w:pPr>
            <w:r/>
            <w:r>
              <w:rPr>
                <w:rFonts w:ascii="Times New Roman" w:hAnsi="Times New Roman" w:eastAsia="宋体"/>
                <w:b w:val="0"/>
                <w:sz w:val="19"/>
              </w:rPr>
              <w:t>44.0</w:t>
            </w:r>
          </w:p>
        </w:tc>
      </w:tr>
      <w:tr>
        <w:tc>
          <w:tcPr>
            <w:tcW w:type="dxa" w:w="3175"/>
          </w:tcPr>
          <w:p>
            <w:pPr>
              <w:spacing w:before="40" w:after="40" w:line="240" w:lineRule="auto"/>
              <w:jc w:val="left"/>
            </w:pPr>
            <w:r/>
            <w:r>
              <w:rPr>
                <w:rFonts w:ascii="Times New Roman" w:hAnsi="Times New Roman" w:eastAsia="宋体"/>
                <w:b w:val="0"/>
                <w:sz w:val="19"/>
              </w:rPr>
              <w:t>高处作业无防护</w:t>
            </w:r>
          </w:p>
        </w:tc>
        <w:tc>
          <w:tcPr>
            <w:tcW w:type="dxa" w:w="1474"/>
          </w:tcPr>
          <w:p>
            <w:pPr>
              <w:spacing w:before="40" w:after="40" w:line="240" w:lineRule="auto"/>
              <w:jc w:val="center"/>
            </w:pPr>
            <w:r/>
            <w:r>
              <w:rPr>
                <w:rFonts w:ascii="Times New Roman" w:hAnsi="Times New Roman" w:eastAsia="宋体"/>
                <w:b w:val="0"/>
                <w:sz w:val="19"/>
              </w:rPr>
              <w:t>62</w:t>
            </w:r>
          </w:p>
        </w:tc>
        <w:tc>
          <w:tcPr>
            <w:tcW w:type="dxa" w:w="1474"/>
          </w:tcPr>
          <w:p>
            <w:pPr>
              <w:spacing w:before="40" w:after="40" w:line="240" w:lineRule="auto"/>
              <w:jc w:val="center"/>
            </w:pPr>
            <w:r/>
            <w:r>
              <w:rPr>
                <w:rFonts w:ascii="Times New Roman" w:hAnsi="Times New Roman" w:eastAsia="宋体"/>
                <w:b w:val="0"/>
                <w:sz w:val="19"/>
              </w:rPr>
              <w:t>15.9</w:t>
            </w:r>
          </w:p>
        </w:tc>
        <w:tc>
          <w:tcPr>
            <w:tcW w:type="dxa" w:w="1701"/>
          </w:tcPr>
          <w:p>
            <w:pPr>
              <w:spacing w:before="40" w:after="40" w:line="240" w:lineRule="auto"/>
              <w:jc w:val="center"/>
            </w:pPr>
            <w:r/>
            <w:r>
              <w:rPr>
                <w:rFonts w:ascii="Times New Roman" w:hAnsi="Times New Roman" w:eastAsia="宋体"/>
                <w:b w:val="0"/>
                <w:sz w:val="19"/>
              </w:rPr>
              <w:t>59.9</w:t>
            </w:r>
          </w:p>
        </w:tc>
      </w:tr>
      <w:tr>
        <w:tc>
          <w:tcPr>
            <w:tcW w:type="dxa" w:w="3175"/>
          </w:tcPr>
          <w:p>
            <w:pPr>
              <w:spacing w:before="40" w:after="40" w:line="240" w:lineRule="auto"/>
              <w:jc w:val="left"/>
            </w:pPr>
            <w:r/>
            <w:r>
              <w:rPr>
                <w:rFonts w:ascii="Times New Roman" w:hAnsi="Times New Roman" w:eastAsia="宋体"/>
                <w:b w:val="0"/>
                <w:sz w:val="19"/>
              </w:rPr>
              <w:t>动火作业未办票</w:t>
            </w:r>
          </w:p>
        </w:tc>
        <w:tc>
          <w:tcPr>
            <w:tcW w:type="dxa" w:w="1474"/>
          </w:tcPr>
          <w:p>
            <w:pPr>
              <w:spacing w:before="40" w:after="40" w:line="240" w:lineRule="auto"/>
              <w:jc w:val="center"/>
            </w:pPr>
            <w:r/>
            <w:r>
              <w:rPr>
                <w:rFonts w:ascii="Times New Roman" w:hAnsi="Times New Roman" w:eastAsia="宋体"/>
                <w:b w:val="0"/>
                <w:sz w:val="19"/>
              </w:rPr>
              <w:t>49</w:t>
            </w:r>
          </w:p>
        </w:tc>
        <w:tc>
          <w:tcPr>
            <w:tcW w:type="dxa" w:w="1474"/>
          </w:tcPr>
          <w:p>
            <w:pPr>
              <w:spacing w:before="40" w:after="40" w:line="240" w:lineRule="auto"/>
              <w:jc w:val="center"/>
            </w:pPr>
            <w:r/>
            <w:r>
              <w:rPr>
                <w:rFonts w:ascii="Times New Roman" w:hAnsi="Times New Roman" w:eastAsia="宋体"/>
                <w:b w:val="0"/>
                <w:sz w:val="19"/>
              </w:rPr>
              <w:t>12.6</w:t>
            </w:r>
          </w:p>
        </w:tc>
        <w:tc>
          <w:tcPr>
            <w:tcW w:type="dxa" w:w="1701"/>
          </w:tcPr>
          <w:p>
            <w:pPr>
              <w:spacing w:before="40" w:after="40" w:line="240" w:lineRule="auto"/>
              <w:jc w:val="center"/>
            </w:pPr>
            <w:r/>
            <w:r>
              <w:rPr>
                <w:rFonts w:ascii="Times New Roman" w:hAnsi="Times New Roman" w:eastAsia="宋体"/>
                <w:b w:val="0"/>
                <w:sz w:val="19"/>
              </w:rPr>
              <w:t>72.5</w:t>
            </w:r>
          </w:p>
        </w:tc>
      </w:tr>
      <w:tr>
        <w:tc>
          <w:tcPr>
            <w:tcW w:type="dxa" w:w="3175"/>
          </w:tcPr>
          <w:p>
            <w:pPr>
              <w:spacing w:before="40" w:after="40" w:line="240" w:lineRule="auto"/>
              <w:jc w:val="left"/>
            </w:pPr>
            <w:r/>
            <w:r>
              <w:rPr>
                <w:rFonts w:ascii="Times New Roman" w:hAnsi="Times New Roman" w:eastAsia="宋体"/>
                <w:b w:val="0"/>
                <w:sz w:val="19"/>
              </w:rPr>
              <w:t>现场围挡与警示缺失</w:t>
            </w:r>
          </w:p>
        </w:tc>
        <w:tc>
          <w:tcPr>
            <w:tcW w:type="dxa" w:w="1474"/>
          </w:tcPr>
          <w:p>
            <w:pPr>
              <w:spacing w:before="40" w:after="40" w:line="240" w:lineRule="auto"/>
              <w:jc w:val="center"/>
            </w:pPr>
            <w:r/>
            <w:r>
              <w:rPr>
                <w:rFonts w:ascii="Times New Roman" w:hAnsi="Times New Roman" w:eastAsia="宋体"/>
                <w:b w:val="0"/>
                <w:sz w:val="19"/>
              </w:rPr>
              <w:t>29</w:t>
            </w:r>
          </w:p>
        </w:tc>
        <w:tc>
          <w:tcPr>
            <w:tcW w:type="dxa" w:w="1474"/>
          </w:tcPr>
          <w:p>
            <w:pPr>
              <w:spacing w:before="40" w:after="40" w:line="240" w:lineRule="auto"/>
              <w:jc w:val="center"/>
            </w:pPr>
            <w:r/>
            <w:r>
              <w:rPr>
                <w:rFonts w:ascii="Times New Roman" w:hAnsi="Times New Roman" w:eastAsia="宋体"/>
                <w:b w:val="0"/>
                <w:sz w:val="19"/>
              </w:rPr>
              <w:t>7.5</w:t>
            </w:r>
          </w:p>
        </w:tc>
        <w:tc>
          <w:tcPr>
            <w:tcW w:type="dxa" w:w="1701"/>
          </w:tcPr>
          <w:p>
            <w:pPr>
              <w:spacing w:before="40" w:after="40" w:line="240" w:lineRule="auto"/>
              <w:jc w:val="center"/>
            </w:pPr>
            <w:r/>
            <w:r>
              <w:rPr>
                <w:rFonts w:ascii="Times New Roman" w:hAnsi="Times New Roman" w:eastAsia="宋体"/>
                <w:b w:val="0"/>
                <w:sz w:val="19"/>
              </w:rPr>
              <w:t>79.9</w:t>
            </w:r>
          </w:p>
        </w:tc>
      </w:tr>
      <w:tr>
        <w:tc>
          <w:tcPr>
            <w:tcW w:type="dxa" w:w="3175"/>
          </w:tcPr>
          <w:p>
            <w:pPr>
              <w:spacing w:before="40" w:after="40" w:line="240" w:lineRule="auto"/>
              <w:jc w:val="left"/>
            </w:pPr>
            <w:r/>
            <w:r>
              <w:rPr>
                <w:rFonts w:ascii="Times New Roman" w:hAnsi="Times New Roman" w:eastAsia="宋体"/>
                <w:b w:val="0"/>
                <w:sz w:val="19"/>
              </w:rPr>
              <w:t>特种作业人员无证</w:t>
            </w:r>
          </w:p>
        </w:tc>
        <w:tc>
          <w:tcPr>
            <w:tcW w:type="dxa" w:w="1474"/>
          </w:tcPr>
          <w:p>
            <w:pPr>
              <w:spacing w:before="40" w:after="40" w:line="240" w:lineRule="auto"/>
              <w:jc w:val="center"/>
            </w:pPr>
            <w:r/>
            <w:r>
              <w:rPr>
                <w:rFonts w:ascii="Times New Roman" w:hAnsi="Times New Roman" w:eastAsia="宋体"/>
                <w:b w:val="0"/>
                <w:sz w:val="19"/>
              </w:rPr>
              <w:t>22</w:t>
            </w:r>
          </w:p>
        </w:tc>
        <w:tc>
          <w:tcPr>
            <w:tcW w:type="dxa" w:w="1474"/>
          </w:tcPr>
          <w:p>
            <w:pPr>
              <w:spacing w:before="40" w:after="40" w:line="240" w:lineRule="auto"/>
              <w:jc w:val="center"/>
            </w:pPr>
            <w:r/>
            <w:r>
              <w:rPr>
                <w:rFonts w:ascii="Times New Roman" w:hAnsi="Times New Roman" w:eastAsia="宋体"/>
                <w:b w:val="0"/>
                <w:sz w:val="19"/>
              </w:rPr>
              <w:t>5.7</w:t>
            </w:r>
          </w:p>
        </w:tc>
        <w:tc>
          <w:tcPr>
            <w:tcW w:type="dxa" w:w="1701"/>
          </w:tcPr>
          <w:p>
            <w:pPr>
              <w:spacing w:before="40" w:after="40" w:line="240" w:lineRule="auto"/>
              <w:jc w:val="center"/>
            </w:pPr>
            <w:r/>
            <w:r>
              <w:rPr>
                <w:rFonts w:ascii="Times New Roman" w:hAnsi="Times New Roman" w:eastAsia="宋体"/>
                <w:b w:val="0"/>
                <w:sz w:val="19"/>
              </w:rPr>
              <w:t>85.6</w:t>
            </w:r>
          </w:p>
        </w:tc>
      </w:tr>
      <w:tr>
        <w:tc>
          <w:tcPr>
            <w:tcW w:type="dxa" w:w="3175"/>
          </w:tcPr>
          <w:p>
            <w:pPr>
              <w:spacing w:before="40" w:after="40" w:line="240" w:lineRule="auto"/>
              <w:jc w:val="left"/>
            </w:pPr>
            <w:r/>
            <w:r>
              <w:rPr>
                <w:rFonts w:ascii="Times New Roman" w:hAnsi="Times New Roman" w:eastAsia="宋体"/>
                <w:b w:val="0"/>
                <w:sz w:val="19"/>
              </w:rPr>
              <w:t>设备检修未挂牌上锁</w:t>
            </w:r>
          </w:p>
        </w:tc>
        <w:tc>
          <w:tcPr>
            <w:tcW w:type="dxa" w:w="1474"/>
          </w:tcPr>
          <w:p>
            <w:pPr>
              <w:spacing w:before="40" w:after="40" w:line="240" w:lineRule="auto"/>
              <w:jc w:val="center"/>
            </w:pPr>
            <w:r/>
            <w:r>
              <w:rPr>
                <w:rFonts w:ascii="Times New Roman" w:hAnsi="Times New Roman" w:eastAsia="宋体"/>
                <w:b w:val="0"/>
                <w:sz w:val="19"/>
              </w:rPr>
              <w:t>20</w:t>
            </w:r>
          </w:p>
        </w:tc>
        <w:tc>
          <w:tcPr>
            <w:tcW w:type="dxa" w:w="1474"/>
          </w:tcPr>
          <w:p>
            <w:pPr>
              <w:spacing w:before="40" w:after="40" w:line="240" w:lineRule="auto"/>
              <w:jc w:val="center"/>
            </w:pPr>
            <w:r/>
            <w:r>
              <w:rPr>
                <w:rFonts w:ascii="Times New Roman" w:hAnsi="Times New Roman" w:eastAsia="宋体"/>
                <w:b w:val="0"/>
                <w:sz w:val="19"/>
              </w:rPr>
              <w:t>5.1</w:t>
            </w:r>
          </w:p>
        </w:tc>
        <w:tc>
          <w:tcPr>
            <w:tcW w:type="dxa" w:w="1701"/>
          </w:tcPr>
          <w:p>
            <w:pPr>
              <w:spacing w:before="40" w:after="40" w:line="240" w:lineRule="auto"/>
              <w:jc w:val="center"/>
            </w:pPr>
            <w:r/>
            <w:r>
              <w:rPr>
                <w:rFonts w:ascii="Times New Roman" w:hAnsi="Times New Roman" w:eastAsia="宋体"/>
                <w:b w:val="0"/>
                <w:sz w:val="19"/>
              </w:rPr>
              <w:t>90.7</w:t>
            </w:r>
          </w:p>
        </w:tc>
      </w:tr>
      <w:tr>
        <w:tc>
          <w:tcPr>
            <w:tcW w:type="dxa" w:w="3175"/>
          </w:tcPr>
          <w:p>
            <w:pPr>
              <w:spacing w:before="40" w:after="40" w:line="240" w:lineRule="auto"/>
              <w:jc w:val="left"/>
            </w:pPr>
            <w:r/>
            <w:r>
              <w:rPr>
                <w:rFonts w:ascii="Times New Roman" w:hAnsi="Times New Roman" w:eastAsia="宋体"/>
                <w:b w:val="0"/>
                <w:sz w:val="19"/>
              </w:rPr>
              <w:t>受限空间未检测</w:t>
            </w:r>
          </w:p>
        </w:tc>
        <w:tc>
          <w:tcPr>
            <w:tcW w:type="dxa" w:w="1474"/>
          </w:tcPr>
          <w:p>
            <w:pPr>
              <w:spacing w:before="40" w:after="40" w:line="240" w:lineRule="auto"/>
              <w:jc w:val="center"/>
            </w:pPr>
            <w:r/>
            <w:r>
              <w:rPr>
                <w:rFonts w:ascii="Times New Roman" w:hAnsi="Times New Roman" w:eastAsia="宋体"/>
                <w:b w:val="0"/>
                <w:sz w:val="19"/>
              </w:rPr>
              <w:t>16</w:t>
            </w:r>
          </w:p>
        </w:tc>
        <w:tc>
          <w:tcPr>
            <w:tcW w:type="dxa" w:w="1474"/>
          </w:tcPr>
          <w:p>
            <w:pPr>
              <w:spacing w:before="40" w:after="40" w:line="240" w:lineRule="auto"/>
              <w:jc w:val="center"/>
            </w:pPr>
            <w:r/>
            <w:r>
              <w:rPr>
                <w:rFonts w:ascii="Times New Roman" w:hAnsi="Times New Roman" w:eastAsia="宋体"/>
                <w:b w:val="0"/>
                <w:sz w:val="19"/>
              </w:rPr>
              <w:t>4.1</w:t>
            </w:r>
          </w:p>
        </w:tc>
        <w:tc>
          <w:tcPr>
            <w:tcW w:type="dxa" w:w="1701"/>
          </w:tcPr>
          <w:p>
            <w:pPr>
              <w:spacing w:before="40" w:after="40" w:line="240" w:lineRule="auto"/>
              <w:jc w:val="center"/>
            </w:pPr>
            <w:r/>
            <w:r>
              <w:rPr>
                <w:rFonts w:ascii="Times New Roman" w:hAnsi="Times New Roman" w:eastAsia="宋体"/>
                <w:b w:val="0"/>
                <w:sz w:val="19"/>
              </w:rPr>
              <w:t>94.9</w:t>
            </w:r>
          </w:p>
        </w:tc>
      </w:tr>
      <w:tr>
        <w:tc>
          <w:tcPr>
            <w:tcW w:type="dxa" w:w="3175"/>
          </w:tcPr>
          <w:p>
            <w:pPr>
              <w:spacing w:before="40" w:after="40" w:line="240" w:lineRule="auto"/>
              <w:jc w:val="left"/>
            </w:pPr>
            <w:r/>
            <w:r>
              <w:rPr>
                <w:rFonts w:ascii="Times New Roman" w:hAnsi="Times New Roman" w:eastAsia="宋体"/>
                <w:b w:val="0"/>
                <w:sz w:val="19"/>
              </w:rPr>
              <w:t>消防通道占用</w:t>
            </w:r>
          </w:p>
        </w:tc>
        <w:tc>
          <w:tcPr>
            <w:tcW w:type="dxa" w:w="1474"/>
          </w:tcPr>
          <w:p>
            <w:pPr>
              <w:spacing w:before="40" w:after="40" w:line="240" w:lineRule="auto"/>
              <w:jc w:val="center"/>
            </w:pPr>
            <w:r/>
            <w:r>
              <w:rPr>
                <w:rFonts w:ascii="Times New Roman" w:hAnsi="Times New Roman" w:eastAsia="宋体"/>
                <w:b w:val="0"/>
                <w:sz w:val="19"/>
              </w:rPr>
              <w:t>14</w:t>
            </w:r>
          </w:p>
        </w:tc>
        <w:tc>
          <w:tcPr>
            <w:tcW w:type="dxa" w:w="1474"/>
          </w:tcPr>
          <w:p>
            <w:pPr>
              <w:spacing w:before="40" w:after="40" w:line="240" w:lineRule="auto"/>
              <w:jc w:val="center"/>
            </w:pPr>
            <w:r/>
            <w:r>
              <w:rPr>
                <w:rFonts w:ascii="Times New Roman" w:hAnsi="Times New Roman" w:eastAsia="宋体"/>
                <w:b w:val="0"/>
                <w:sz w:val="19"/>
              </w:rPr>
              <w:t>3.6</w:t>
            </w:r>
          </w:p>
        </w:tc>
        <w:tc>
          <w:tcPr>
            <w:tcW w:type="dxa" w:w="1701"/>
          </w:tcPr>
          <w:p>
            <w:pPr>
              <w:spacing w:before="40" w:after="40" w:line="240" w:lineRule="auto"/>
              <w:jc w:val="center"/>
            </w:pPr>
            <w:r/>
            <w:r>
              <w:rPr>
                <w:rFonts w:ascii="Times New Roman" w:hAnsi="Times New Roman" w:eastAsia="宋体"/>
                <w:b w:val="0"/>
                <w:sz w:val="19"/>
              </w:rPr>
              <w:t>98.5</w:t>
            </w:r>
          </w:p>
        </w:tc>
      </w:tr>
      <w:tr>
        <w:tc>
          <w:tcPr>
            <w:tcW w:type="dxa" w:w="3175"/>
            <w:tcBorders>
              <w:bottom w:val="single" w:sz="12" w:space="0" w:color="000000"/>
            </w:tcBorders>
          </w:tcPr>
          <w:p>
            <w:pPr>
              <w:spacing w:before="40" w:after="40" w:line="240" w:lineRule="auto"/>
              <w:jc w:val="left"/>
            </w:pPr>
            <w:r/>
            <w:r>
              <w:rPr>
                <w:rFonts w:ascii="Times New Roman" w:hAnsi="Times New Roman" w:eastAsia="宋体"/>
                <w:b w:val="0"/>
                <w:sz w:val="19"/>
              </w:rPr>
              <w:t>交叉作业未协调</w:t>
            </w:r>
          </w:p>
        </w:tc>
        <w:tc>
          <w:tcPr>
            <w:tcW w:type="dxa" w:w="1474"/>
            <w:tcBorders>
              <w:bottom w:val="single" w:sz="12" w:space="0" w:color="000000"/>
            </w:tcBorders>
          </w:tcPr>
          <w:p>
            <w:pPr>
              <w:spacing w:before="40" w:after="40" w:line="240" w:lineRule="auto"/>
              <w:jc w:val="center"/>
            </w:pPr>
            <w:r/>
            <w:r>
              <w:rPr>
                <w:rFonts w:ascii="Times New Roman" w:hAnsi="Times New Roman" w:eastAsia="宋体"/>
                <w:b w:val="0"/>
                <w:sz w:val="19"/>
              </w:rPr>
              <w:t>6</w:t>
            </w:r>
          </w:p>
        </w:tc>
        <w:tc>
          <w:tcPr>
            <w:tcW w:type="dxa" w:w="1474"/>
            <w:tcBorders>
              <w:bottom w:val="single" w:sz="12" w:space="0" w:color="000000"/>
            </w:tcBorders>
          </w:tcPr>
          <w:p>
            <w:pPr>
              <w:spacing w:before="40" w:after="40" w:line="240" w:lineRule="auto"/>
              <w:jc w:val="center"/>
            </w:pPr>
            <w:r/>
            <w:r>
              <w:rPr>
                <w:rFonts w:ascii="Times New Roman" w:hAnsi="Times New Roman" w:eastAsia="宋体"/>
                <w:b w:val="0"/>
                <w:sz w:val="19"/>
              </w:rPr>
              <w:t>1.5</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19"/>
              </w:rPr>
              <w:t>100.0</w:t>
            </w:r>
          </w:p>
        </w:tc>
      </w:tr>
    </w:tbl>
    <w:p>
      <w:pPr>
        <w:spacing w:before="40" w:after="160" w:line="240" w:lineRule="auto"/>
        <w:ind w:firstLine="0"/>
        <w:jc w:val="left"/>
      </w:pPr>
      <w:r>
        <w:rPr>
          <w:rFonts w:ascii="Times New Roman" w:hAnsi="Times New Roman" w:eastAsia="宋体"/>
          <w:b w:val="0"/>
          <w:sz w:val="18"/>
        </w:rPr>
        <w:t>注：合计 389 项隐患。前 6 类累计占比 85.6%。</w:t>
      </w:r>
    </w:p>
    <w:p>
      <w:pPr>
        <w:keepNext/>
        <w:spacing w:before="120" w:after="0" w:line="240" w:lineRule="auto"/>
        <w:jc w:val="center"/>
      </w:pPr>
      <w:r>
        <w:drawing>
          <wp:inline xmlns:a="http://schemas.openxmlformats.org/drawingml/2006/main" xmlns:pic="http://schemas.openxmlformats.org/drawingml/2006/picture">
            <wp:extent cx="4860000" cy="2880000"/>
            <wp:docPr id="8" name="Picture 8"/>
            <wp:cNvGraphicFramePr>
              <a:graphicFrameLocks noChangeAspect="1"/>
            </wp:cNvGraphicFramePr>
            <a:graphic>
              <a:graphicData uri="http://schemas.openxmlformats.org/drawingml/2006/picture">
                <pic:pic>
                  <pic:nvPicPr>
                    <pic:cNvPr id="0" name="p3_d4_pareto.png"/>
                    <pic:cNvPicPr/>
                  </pic:nvPicPr>
                  <pic:blipFill>
                    <a:blip r:embed="rId16"/>
                    <a:stretch>
                      <a:fillRect/>
                    </a:stretch>
                  </pic:blipFill>
                  <pic:spPr>
                    <a:xfrm>
                      <a:off x="0" y="0"/>
                      <a:ext cx="4860000" cy="2880000"/>
                    </a:xfrm>
                    <a:prstGeom prst="rect"/>
                  </pic:spPr>
                </pic:pic>
              </a:graphicData>
            </a:graphic>
          </wp:inline>
        </w:drawing>
      </w:r>
    </w:p>
    <w:p>
      <w:pPr>
        <w:spacing w:before="40" w:after="160" w:line="240" w:lineRule="auto"/>
        <w:jc w:val="center"/>
      </w:pPr>
      <w:r>
        <w:rPr>
          <w:rFonts w:ascii="Times New Roman" w:hAnsi="Times New Roman" w:eastAsia="黑体"/>
          <w:b w:val="0"/>
          <w:sz w:val="21"/>
        </w:rPr>
        <w:t>图 8  相关方隐患类型的帕累托分析</w:t>
      </w:r>
    </w:p>
    <w:p>
      <w:pPr>
        <w:spacing w:before="0" w:after="0" w:line="360" w:lineRule="auto"/>
        <w:ind w:firstLine="480"/>
        <w:jc w:val="both"/>
      </w:pPr>
      <w:r>
        <w:rPr>
          <w:rFonts w:ascii="Times New Roman" w:hAnsi="Times New Roman" w:eastAsia="宋体"/>
          <w:b w:val="0"/>
          <w:sz w:val="24"/>
        </w:rPr>
        <w:t>由表 7 与图 8 可见，前 6 类隐患（占隐患类型总数的 60%）贡献了 85.6% 的隐患量，符合帕累托规律。</w:t>
      </w:r>
      <w:r>
        <w:rPr>
          <w:rFonts w:ascii="Times New Roman" w:hAnsi="Times New Roman" w:eastAsia="宋体"/>
          <w:b/>
          <w:sz w:val="24"/>
        </w:rPr>
        <w:t>专项治理应集中攻克这几类隐患</w:t>
      </w:r>
      <w:r>
        <w:rPr>
          <w:rFonts w:ascii="Times New Roman" w:hAnsi="Times New Roman" w:eastAsia="宋体"/>
          <w:b w:val="0"/>
          <w:sz w:val="24"/>
        </w:rPr>
        <w:t>，且这几类均有明确的验收标准（是否佩戴、是否办票、是否设防护），便于检查与考核。相比之下，把有限的治理资源平均分配到全部隐患类型上，既难以形成声势，也难以取得可测量的成效。</w:t>
      </w:r>
    </w:p>
    <w:p>
      <w:pPr>
        <w:keepNext/>
        <w:spacing w:before="240" w:after="120" w:line="360" w:lineRule="auto"/>
        <w:jc w:val="left"/>
      </w:pPr>
      <w:r>
        <w:rPr>
          <w:rFonts w:ascii="Times New Roman" w:hAnsi="Times New Roman" w:eastAsia="黑体"/>
          <w:b/>
          <w:sz w:val="30"/>
        </w:rPr>
        <w:t>7  数字化赋能</w:t>
      </w:r>
    </w:p>
    <w:p>
      <w:pPr>
        <w:spacing w:before="0" w:after="0" w:line="360" w:lineRule="auto"/>
        <w:ind w:firstLine="480"/>
        <w:jc w:val="both"/>
      </w:pPr>
      <w:r>
        <w:rPr>
          <w:rFonts w:ascii="Times New Roman" w:hAnsi="Times New Roman" w:eastAsia="宋体"/>
          <w:b w:val="0"/>
          <w:sz w:val="24"/>
        </w:rPr>
        <w:t>数字化是支撑上述机制落地的手段而非目的。相关方安全监管涉及主体多、信息量大、过程复杂，传统人工管理方式难以满足精细化要求。本文提出四层技术架构，如图 9 所示。</w:t>
      </w:r>
    </w:p>
    <w:p>
      <w:pPr>
        <w:keepNext/>
        <w:spacing w:before="120" w:after="0" w:line="240" w:lineRule="auto"/>
        <w:jc w:val="center"/>
      </w:pPr>
      <w:r>
        <w:drawing>
          <wp:inline xmlns:a="http://schemas.openxmlformats.org/drawingml/2006/main" xmlns:pic="http://schemas.openxmlformats.org/drawingml/2006/picture">
            <wp:extent cx="5220000" cy="3028793"/>
            <wp:docPr id="9" name="Picture 9"/>
            <wp:cNvGraphicFramePr>
              <a:graphicFrameLocks noChangeAspect="1"/>
            </wp:cNvGraphicFramePr>
            <a:graphic>
              <a:graphicData uri="http://schemas.openxmlformats.org/drawingml/2006/picture">
                <pic:pic>
                  <pic:nvPicPr>
                    <pic:cNvPr id="0" name="p3_c5_digital.png"/>
                    <pic:cNvPicPr/>
                  </pic:nvPicPr>
                  <pic:blipFill>
                    <a:blip r:embed="rId17"/>
                    <a:stretch>
                      <a:fillRect/>
                    </a:stretch>
                  </pic:blipFill>
                  <pic:spPr>
                    <a:xfrm>
                      <a:off x="0" y="0"/>
                      <a:ext cx="5220000" cy="3028793"/>
                    </a:xfrm>
                    <a:prstGeom prst="rect"/>
                  </pic:spPr>
                </pic:pic>
              </a:graphicData>
            </a:graphic>
          </wp:inline>
        </w:drawing>
      </w:r>
    </w:p>
    <w:p>
      <w:pPr>
        <w:spacing w:before="40" w:after="160" w:line="240" w:lineRule="auto"/>
        <w:jc w:val="center"/>
      </w:pPr>
      <w:r>
        <w:rPr>
          <w:rFonts w:ascii="Times New Roman" w:hAnsi="Times New Roman" w:eastAsia="黑体"/>
          <w:b w:val="0"/>
          <w:sz w:val="21"/>
        </w:rPr>
        <w:t>图 9  相关方安全监管数字化赋能架构</w:t>
      </w:r>
    </w:p>
    <w:p>
      <w:pPr>
        <w:spacing w:before="0" w:after="0" w:line="360" w:lineRule="auto"/>
        <w:ind w:firstLine="480"/>
        <w:jc w:val="both"/>
      </w:pPr>
      <w:r>
        <w:rPr>
          <w:rFonts w:ascii="Times New Roman" w:hAnsi="Times New Roman" w:eastAsia="宋体"/>
          <w:b w:val="0"/>
          <w:sz w:val="24"/>
        </w:rPr>
        <w:t>感知层通过人员定位标签、现场摄像头、气体检测仪与移动终端采集现场数据；主数据层建立相关方“一档管理”，统一管理资质档案、人员与证书、违章计分台账与评价结果；监管应用层提供电子作业票、隐患随手拍、视频行为预警与培训考试功能；决策支持层输出风险热力图、分级排名看板与监管资源配置建议。</w:t>
      </w:r>
    </w:p>
    <w:p>
      <w:pPr>
        <w:spacing w:before="0" w:after="0" w:line="360" w:lineRule="auto"/>
        <w:ind w:firstLine="480"/>
        <w:jc w:val="both"/>
      </w:pPr>
      <w:r>
        <w:rPr>
          <w:rFonts w:ascii="Times New Roman" w:hAnsi="Times New Roman" w:eastAsia="宋体"/>
          <w:b w:val="0"/>
          <w:sz w:val="24"/>
        </w:rPr>
        <w:t>从投入产出角度，建议优先落地</w:t>
      </w:r>
      <w:r>
        <w:rPr>
          <w:rFonts w:ascii="Times New Roman" w:hAnsi="Times New Roman" w:eastAsia="宋体"/>
          <w:b/>
          <w:sz w:val="24"/>
        </w:rPr>
        <w:t>电子作业票</w:t>
      </w:r>
      <w:r>
        <w:rPr>
          <w:rFonts w:ascii="Times New Roman" w:hAnsi="Times New Roman" w:eastAsia="宋体"/>
          <w:b w:val="0"/>
          <w:sz w:val="24"/>
        </w:rPr>
        <w:t>与</w:t>
      </w:r>
      <w:r>
        <w:rPr>
          <w:rFonts w:ascii="Times New Roman" w:hAnsi="Times New Roman" w:eastAsia="宋体"/>
          <w:b/>
          <w:sz w:val="24"/>
        </w:rPr>
        <w:t>隐患随手拍</w:t>
      </w:r>
      <w:r>
        <w:rPr>
          <w:rFonts w:ascii="Times New Roman" w:hAnsi="Times New Roman" w:eastAsia="宋体"/>
          <w:b w:val="0"/>
          <w:sz w:val="24"/>
        </w:rPr>
        <w:t>两项应用：二者投入低、见效快，且直接对应第 6.3 节识别出的高频隐患类型（动火作业未办票、个体防护用品缺失等）。人员定位与视频行为识别投入较高，建议在 A 级相关方的高风险作业场景先行试点。需要强调的是，数字化不替代人工监管，而是把原本“看不见的履责过程”变成可留痕、可比对、可考核的数据[13]。</w:t>
      </w:r>
    </w:p>
    <w:p>
      <w:pPr>
        <w:keepNext/>
        <w:spacing w:before="240" w:after="120" w:line="360" w:lineRule="auto"/>
        <w:jc w:val="left"/>
      </w:pPr>
      <w:r>
        <w:rPr>
          <w:rFonts w:ascii="Times New Roman" w:hAnsi="Times New Roman" w:eastAsia="黑体"/>
          <w:b/>
          <w:sz w:val="30"/>
        </w:rPr>
        <w:t>8  结论</w:t>
      </w:r>
    </w:p>
    <w:p>
      <w:pPr>
        <w:spacing w:before="0" w:after="0" w:line="360" w:lineRule="auto"/>
        <w:ind w:firstLine="480"/>
        <w:jc w:val="both"/>
      </w:pPr>
      <w:r>
        <w:rPr>
          <w:rFonts w:ascii="Times New Roman" w:hAnsi="Times New Roman" w:eastAsia="宋体"/>
          <w:b w:val="0"/>
          <w:sz w:val="24"/>
        </w:rPr>
        <w:t>相关方作为烟草商业企业安全生产管理体系中的重要参与主体，其安全管理水平直接影响企业整体安全绩效。本文以精细化管理为视角，针对既有研究方法缺位的问题，提出三项可直接使用的工具。</w:t>
      </w:r>
    </w:p>
    <w:p>
      <w:pPr>
        <w:spacing w:before="0" w:after="0" w:line="360" w:lineRule="auto"/>
        <w:ind w:firstLine="480"/>
        <w:jc w:val="both"/>
      </w:pPr>
      <w:r>
        <w:rPr>
          <w:rFonts w:ascii="Times New Roman" w:hAnsi="Times New Roman" w:eastAsia="宋体"/>
          <w:b w:val="0"/>
          <w:sz w:val="24"/>
        </w:rPr>
        <w:t>第一，二维分类分级模型。以 LEC 风险值与安全管理能力评分交叉定级，对应 A、B、C 三级监管强度与具体措施清单。情景样本验证显示四类相关方的风险分布差异极大（工程施工类高风险占比 91.7%，服务保障类为 0），统一标准监管确不合理。</w:t>
      </w:r>
    </w:p>
    <w:p>
      <w:pPr>
        <w:spacing w:before="0" w:after="0" w:line="360" w:lineRule="auto"/>
        <w:ind w:firstLine="480"/>
        <w:jc w:val="both"/>
      </w:pPr>
      <w:r>
        <w:rPr>
          <w:rFonts w:ascii="Times New Roman" w:hAnsi="Times New Roman" w:eastAsia="宋体"/>
          <w:b w:val="0"/>
          <w:sz w:val="24"/>
        </w:rPr>
        <w:t>第二，责任落实的经济与准入杠杆。把“明确责任”转化为安全生产费用专款专用、安全履约保证金、违章计分制、评价结果与准入挂钩四类可写入合同的条款，为外部市场主体提供守约动力。</w:t>
      </w:r>
    </w:p>
    <w:p>
      <w:pPr>
        <w:spacing w:before="0" w:after="0" w:line="360" w:lineRule="auto"/>
        <w:ind w:firstLine="480"/>
        <w:jc w:val="both"/>
      </w:pPr>
      <w:r>
        <w:rPr>
          <w:rFonts w:ascii="Times New Roman" w:hAnsi="Times New Roman" w:eastAsia="宋体"/>
          <w:b w:val="0"/>
          <w:sz w:val="24"/>
        </w:rPr>
        <w:t>第三，监管资源优化配置方法。差异化配置较平均分配提升风险削减 16.4%；最优配置仅需 153 次检查即可达到平均分配 240 次的效果，节省监管人力 36.3%；而规则简单的二维分级配置已能实现最优解的 96.7%，是推荐方案。隐患帕累托分析显示前 6 类隐患贡献 85.6% 的隐患量，为专项治理提供了靶向。</w:t>
      </w:r>
    </w:p>
    <w:p>
      <w:pPr>
        <w:spacing w:before="0" w:after="0" w:line="360" w:lineRule="auto"/>
        <w:ind w:firstLine="480"/>
        <w:jc w:val="both"/>
      </w:pPr>
      <w:r>
        <w:rPr>
          <w:rFonts w:ascii="Times New Roman" w:hAnsi="Times New Roman" w:eastAsia="宋体"/>
          <w:b w:val="0"/>
          <w:sz w:val="24"/>
        </w:rPr>
        <w:t>本文的局限在于，模型验证基于情景样本而非实测数据。后续应采集本单位相关方台账、近三年检查记录与隐患数据，对 LEC 参数、能力评分与风险削减系数 γ 做实证估计后重跑模型，形成本地化的分级标准与配置方案。同时建议补充交叉作业与变更作业两个高发环节的专门规则，并把安全共同体理念落到具体的正向激励设计上——对安全绩效前列的相关方给予免检额度、保证金下浮与优先入围资格，此类“减负式激励”往往比罚款更能改变行为。</w:t>
      </w:r>
    </w:p>
    <w:p>
      <w:pPr>
        <w:keepNext/>
        <w:spacing w:before="240" w:after="120" w:line="360" w:lineRule="auto"/>
        <w:jc w:val="left"/>
      </w:pPr>
      <w:r>
        <w:rPr>
          <w:rFonts w:ascii="Times New Roman" w:hAnsi="Times New Roman" w:eastAsia="黑体"/>
          <w:b/>
          <w:sz w:val="30"/>
        </w:rPr>
        <w:t>参考文献</w:t>
      </w:r>
    </w:p>
    <w:p>
      <w:pPr>
        <w:spacing w:before="0" w:after="0" w:line="360" w:lineRule="auto"/>
        <w:ind w:firstLine="0"/>
        <w:jc w:val="both"/>
      </w:pPr>
      <w:r>
        <w:rPr>
          <w:rFonts w:ascii="Times New Roman" w:hAnsi="Times New Roman" w:eastAsia="宋体"/>
          <w:b w:val="0"/>
          <w:sz w:val="24"/>
        </w:rPr>
        <w:t>[1] 刘献娜. 基于“双控机制”的区县级特种设备安全精细化监管模式[J]. 中国特种设备安全, 2026, 42(5): 13-17+24.</w:t>
      </w:r>
    </w:p>
    <w:p>
      <w:pPr>
        <w:spacing w:before="0" w:after="0" w:line="360" w:lineRule="auto"/>
        <w:ind w:firstLine="0"/>
        <w:jc w:val="both"/>
      </w:pPr>
      <w:r>
        <w:rPr>
          <w:rFonts w:ascii="Times New Roman" w:hAnsi="Times New Roman" w:eastAsia="宋体"/>
          <w:b w:val="0"/>
          <w:sz w:val="24"/>
        </w:rPr>
        <w:t>[2] 沈明杰. 以精细化管理提升公共服务水平 落实落细各项交通安全监管措施[N]. 九江日报, 2025-05-07(001).</w:t>
      </w:r>
    </w:p>
    <w:p>
      <w:pPr>
        <w:spacing w:before="0" w:after="0" w:line="360" w:lineRule="auto"/>
        <w:ind w:firstLine="0"/>
        <w:jc w:val="both"/>
      </w:pPr>
      <w:r>
        <w:rPr>
          <w:rFonts w:ascii="Times New Roman" w:hAnsi="Times New Roman" w:eastAsia="宋体"/>
          <w:b w:val="0"/>
          <w:sz w:val="24"/>
        </w:rPr>
        <w:t>[3] 杨青春. 油品销售企业承包商安全监管现状及提升措施[J]. 安全、健康和环境, 2022, 22(10): 63-66.</w:t>
      </w:r>
    </w:p>
    <w:p>
      <w:pPr>
        <w:spacing w:before="0" w:after="0" w:line="360" w:lineRule="auto"/>
        <w:ind w:firstLine="0"/>
        <w:jc w:val="both"/>
      </w:pPr>
      <w:r>
        <w:rPr>
          <w:rFonts w:ascii="Times New Roman" w:hAnsi="Times New Roman" w:eastAsia="宋体"/>
          <w:b w:val="0"/>
          <w:sz w:val="24"/>
        </w:rPr>
        <w:t>[4] 牛思明. “智慧化”赋能食安监管“精细化”优化营商环境[N]. 安阳日报, 2023-10-11(004).</w:t>
      </w:r>
    </w:p>
    <w:p>
      <w:pPr>
        <w:spacing w:before="0" w:after="0" w:line="360" w:lineRule="auto"/>
        <w:ind w:firstLine="0"/>
        <w:jc w:val="both"/>
      </w:pPr>
      <w:r>
        <w:rPr>
          <w:rFonts w:ascii="Times New Roman" w:hAnsi="Times New Roman" w:eastAsia="宋体"/>
          <w:b w:val="0"/>
          <w:sz w:val="24"/>
        </w:rPr>
        <w:t>[5] 刘江. 关于风险隐患数字化提升安全监管效能的探讨[J]. 湖北应急管理, 2026(13): 71-73.</w:t>
      </w:r>
    </w:p>
    <w:p>
      <w:pPr>
        <w:spacing w:before="0" w:after="0" w:line="360" w:lineRule="auto"/>
        <w:ind w:firstLine="0"/>
        <w:jc w:val="both"/>
      </w:pPr>
      <w:r>
        <w:rPr>
          <w:rFonts w:ascii="Times New Roman" w:hAnsi="Times New Roman" w:eastAsia="宋体"/>
          <w:b w:val="0"/>
          <w:sz w:val="24"/>
        </w:rPr>
        <w:t>[6] 殷浩楠, 龚梦泽. 新能源汽车产业安全监管进入新阶段[N]. 中国证券报, 2026-07-03(A06).</w:t>
      </w:r>
    </w:p>
    <w:p>
      <w:pPr>
        <w:spacing w:before="0" w:after="0" w:line="360" w:lineRule="auto"/>
        <w:ind w:firstLine="0"/>
        <w:jc w:val="both"/>
      </w:pPr>
      <w:r>
        <w:rPr>
          <w:rFonts w:ascii="Times New Roman" w:hAnsi="Times New Roman" w:eastAsia="宋体"/>
          <w:b w:val="0"/>
          <w:sz w:val="24"/>
        </w:rPr>
        <w:t>[7] 张利, 赵晋峰, 白捷. 戒烟贴类新型烟草替代品的安全监管现状与检测技术分析[J]. 中国人民公安大学学报(自然科学版), 2026, 32(1): 87-93.</w:t>
      </w:r>
    </w:p>
    <w:p>
      <w:pPr>
        <w:spacing w:before="0" w:after="0" w:line="360" w:lineRule="auto"/>
        <w:ind w:firstLine="0"/>
        <w:jc w:val="both"/>
      </w:pPr>
      <w:r>
        <w:rPr>
          <w:rFonts w:ascii="Times New Roman" w:hAnsi="Times New Roman" w:eastAsia="宋体"/>
          <w:b w:val="0"/>
          <w:sz w:val="24"/>
        </w:rPr>
        <w:t>[8] 唐波. 基于精细化管理的烟草运输车辆安全监管方法探究[J]. 商用汽车, 2025(2): 97-99.</w:t>
      </w:r>
    </w:p>
    <w:p>
      <w:pPr>
        <w:spacing w:before="0" w:after="0" w:line="360" w:lineRule="auto"/>
        <w:ind w:firstLine="0"/>
        <w:jc w:val="both"/>
      </w:pPr>
      <w:r>
        <w:rPr>
          <w:rFonts w:ascii="Times New Roman" w:hAnsi="Times New Roman" w:eastAsia="宋体"/>
          <w:b w:val="0"/>
          <w:sz w:val="24"/>
        </w:rPr>
        <w:t>[9] 汪高. 安全生产标准化在烟草行业发展中的应用[J]. 化工设计通讯, 2016, 42(2): 141+143.</w:t>
      </w:r>
    </w:p>
    <w:p>
      <w:pPr>
        <w:spacing w:before="0" w:after="0" w:line="360" w:lineRule="auto"/>
        <w:ind w:firstLine="0"/>
        <w:jc w:val="both"/>
      </w:pPr>
      <w:r>
        <w:rPr>
          <w:rFonts w:ascii="Times New Roman" w:hAnsi="Times New Roman" w:eastAsia="宋体"/>
          <w:b w:val="0"/>
          <w:sz w:val="24"/>
        </w:rPr>
        <w:t>[10] 文洋, 冯永琴, 朱云尧. 国内外汽车安全沙盒监管实践及监管建议[J]. 汽车文摘, 2026(7): 37-44.</w:t>
      </w:r>
    </w:p>
    <w:p>
      <w:pPr>
        <w:spacing w:before="0" w:after="0" w:line="360" w:lineRule="auto"/>
        <w:ind w:firstLine="0"/>
        <w:jc w:val="both"/>
      </w:pPr>
      <w:r>
        <w:rPr>
          <w:rFonts w:ascii="Times New Roman" w:hAnsi="Times New Roman" w:eastAsia="宋体"/>
          <w:b w:val="0"/>
          <w:sz w:val="24"/>
        </w:rPr>
        <w:t>[11] 石巍. 河北推进校园食品安全监管工作[N]. 中国食品安全报, 2026-07-04(B02).</w:t>
      </w:r>
    </w:p>
    <w:p>
      <w:pPr>
        <w:spacing w:before="0" w:after="0" w:line="360" w:lineRule="auto"/>
        <w:ind w:firstLine="0"/>
        <w:jc w:val="both"/>
      </w:pPr>
      <w:r>
        <w:rPr>
          <w:rFonts w:ascii="Times New Roman" w:hAnsi="Times New Roman" w:eastAsia="宋体"/>
          <w:b w:val="0"/>
          <w:sz w:val="24"/>
        </w:rPr>
        <w:t>[12] 张丹波. 我市加强人畜共患病防控和畜禽肉品质量安全监管[N]. 商洛日报, 2026-06-30(002).</w:t>
      </w:r>
    </w:p>
    <w:p>
      <w:pPr>
        <w:spacing w:before="0" w:after="0" w:line="360" w:lineRule="auto"/>
        <w:ind w:firstLine="0"/>
        <w:jc w:val="both"/>
      </w:pPr>
      <w:r>
        <w:rPr>
          <w:rFonts w:ascii="Times New Roman" w:hAnsi="Times New Roman" w:eastAsia="宋体"/>
          <w:b w:val="0"/>
          <w:sz w:val="24"/>
        </w:rPr>
        <w:t>[13] 张云飞. 新形势下建设工程安全监督信息化建设研究[J]. 智能建筑与智慧城市, 2026(S1): 222-225.</w:t>
      </w:r>
    </w:p>
    <w:p>
      <w:pPr>
        <w:spacing w:before="0" w:after="0" w:line="360" w:lineRule="auto"/>
        <w:ind w:firstLine="0"/>
        <w:jc w:val="both"/>
      </w:pPr>
      <w:r>
        <w:rPr>
          <w:rFonts w:ascii="Times New Roman" w:hAnsi="Times New Roman" w:eastAsia="宋体"/>
          <w:b w:val="0"/>
          <w:sz w:val="24"/>
        </w:rPr>
        <w:t>[14] 中华人民共和国安全生产法[Z]. 2021 年修正.</w:t>
      </w:r>
    </w:p>
    <w:p>
      <w:pPr>
        <w:spacing w:before="0" w:after="0" w:line="360" w:lineRule="auto"/>
        <w:ind w:firstLine="0"/>
        <w:jc w:val="both"/>
      </w:pPr>
      <w:r>
        <w:rPr>
          <w:rFonts w:ascii="Times New Roman" w:hAnsi="Times New Roman" w:eastAsia="宋体"/>
          <w:b w:val="0"/>
          <w:sz w:val="24"/>
        </w:rPr>
        <w:t>[15] 危险化学品企业特殊作业安全规范: GB 30871—2022[S]. 北京: 中国标准出版社, 2022.</w:t>
      </w:r>
    </w:p>
    <w:p>
      <w:pPr>
        <w:spacing w:before="0" w:after="0" w:line="360" w:lineRule="auto"/>
        <w:ind w:firstLine="0"/>
        <w:jc w:val="both"/>
      </w:pPr>
      <w:r>
        <w:rPr>
          <w:rFonts w:ascii="Times New Roman" w:hAnsi="Times New Roman" w:eastAsia="宋体"/>
          <w:b w:val="0"/>
          <w:sz w:val="24"/>
        </w:rPr>
        <w:t>[16] Reason J. Human error: models and management[J]. BMJ, 2000, 320(7237): 768-770.</w:t>
      </w:r>
    </w:p>
    <w:p>
      <w:pPr>
        <w:spacing w:before="0" w:after="0" w:line="360" w:lineRule="auto"/>
        <w:ind w:firstLine="0"/>
        <w:jc w:val="both"/>
      </w:pPr>
      <w:r>
        <w:rPr>
          <w:rFonts w:ascii="Times New Roman" w:hAnsi="Times New Roman" w:eastAsia="宋体"/>
          <w:b w:val="0"/>
          <w:sz w:val="24"/>
        </w:rPr>
        <w:t>[17] Saaty T L. A scaling method for priorities in hierarchical structures[J]. Journal of Mathematical Psychology, 1977, 15(3): 234-281.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