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嘉兴市烟草专卖局五篇论文评审意见与改进建议</w:t>
      </w:r>
    </w:p>
    <w:p>
      <w:pPr>
        <w:spacing w:before="0" w:after="0" w:line="360" w:lineRule="auto"/>
        <w:jc w:val="center"/>
      </w:pPr>
      <w:r>
        <w:rPr>
          <w:rFonts w:ascii="Times New Roman" w:hAnsi="Times New Roman" w:eastAsia="宋体"/>
          <w:b w:val="0"/>
          <w:sz w:val="24"/>
        </w:rPr>
        <w:t>评审人：管理学教授（受嘉兴市烟草专卖局邀请）</w:t>
      </w:r>
    </w:p>
    <w:p>
      <w:pPr>
        <w:spacing w:before="0" w:after="0" w:line="360" w:lineRule="auto"/>
        <w:jc w:val="center"/>
      </w:pPr>
      <w:r>
        <w:rPr>
          <w:rFonts w:ascii="Times New Roman" w:hAnsi="Times New Roman" w:eastAsia="宋体"/>
          <w:b w:val="0"/>
          <w:sz w:val="24"/>
        </w:rPr>
        <w:t>评审范围：五篇学术论文的选题价值、理论框架、方法严谨性、实践指导意义与写作规范</w:t>
      </w:r>
    </w:p>
    <w:p>
      <w:pPr>
        <w:spacing w:before="0" w:after="160" w:line="360" w:lineRule="auto"/>
        <w:jc w:val="center"/>
      </w:pPr>
      <w:r>
        <w:rPr>
          <w:rFonts w:ascii="Times New Roman" w:hAnsi="Times New Roman" w:eastAsia="宋体"/>
          <w:b w:val="0"/>
          <w:sz w:val="24"/>
        </w:rPr>
        <w:t xml:space="preserve"> </w:t>
      </w:r>
    </w:p>
    <w:p>
      <w:pPr>
        <w:keepNext/>
        <w:spacing w:before="240" w:after="120" w:line="360" w:lineRule="auto"/>
        <w:jc w:val="left"/>
      </w:pPr>
      <w:r>
        <w:rPr>
          <w:rFonts w:ascii="Times New Roman" w:hAnsi="Times New Roman" w:eastAsia="黑体"/>
          <w:b/>
          <w:sz w:val="30"/>
        </w:rPr>
        <w:t>一、总体评价</w:t>
      </w:r>
    </w:p>
    <w:p>
      <w:pPr>
        <w:spacing w:before="0" w:after="0" w:line="360" w:lineRule="auto"/>
        <w:ind w:firstLine="480"/>
        <w:jc w:val="both"/>
      </w:pPr>
      <w:r>
        <w:rPr>
          <w:rFonts w:ascii="Times New Roman" w:hAnsi="Times New Roman" w:eastAsia="宋体"/>
          <w:b w:val="0"/>
          <w:sz w:val="24"/>
        </w:rPr>
        <w:t>五篇论文覆盖专卖执法数字化、内部监督体系、相关方安全管理、公共环境治理、知识产权分析五个方向，选题均贴近行业实际，问题意识清楚，作者对本单位业务的熟悉程度是论文的最大优势。从学术规范与实践指导价值两个维度看，五篇稿件可分为三档：</w:t>
      </w:r>
    </w:p>
    <w:p>
      <w:pPr>
        <w:spacing w:before="0" w:after="0" w:line="360" w:lineRule="auto"/>
        <w:ind w:firstLine="480"/>
        <w:jc w:val="both"/>
      </w:pPr>
      <w:r>
        <w:rPr>
          <w:rFonts w:ascii="Times New Roman" w:hAnsi="Times New Roman" w:eastAsia="宋体"/>
          <w:b/>
          <w:sz w:val="24"/>
        </w:rPr>
        <w:t>第一档（方法完整、需修补效度）</w:t>
      </w:r>
      <w:r>
        <w:rPr>
          <w:rFonts w:ascii="Times New Roman" w:hAnsi="Times New Roman" w:eastAsia="宋体"/>
          <w:b w:val="0"/>
          <w:sz w:val="24"/>
        </w:rPr>
        <w:t>：论文五《基于机器学习的新型烟草制品高价值专利识别研究》。该文有明确的数据来源、可复现的算法流程与量化结论，是五篇中方法最规范的一篇；但存在一处足以动摇全部结论的方法论缺陷（标签与特征同源导致的循环论证），必须修补。</w:t>
      </w:r>
    </w:p>
    <w:p>
      <w:pPr>
        <w:spacing w:before="0" w:after="0" w:line="360" w:lineRule="auto"/>
        <w:ind w:firstLine="480"/>
        <w:jc w:val="both"/>
      </w:pPr>
      <w:r>
        <w:rPr>
          <w:rFonts w:ascii="Times New Roman" w:hAnsi="Times New Roman" w:eastAsia="宋体"/>
          <w:b/>
          <w:sz w:val="24"/>
        </w:rPr>
        <w:t>第二档（有真实数据、需补严谨性与治理讨论）</w:t>
      </w:r>
      <w:r>
        <w:rPr>
          <w:rFonts w:ascii="Times New Roman" w:hAnsi="Times New Roman" w:eastAsia="宋体"/>
          <w:b w:val="0"/>
          <w:sz w:val="24"/>
        </w:rPr>
        <w:t>：论文一《基于 Qwen Omni 多模态模型的专卖执法视频智能分析与应用研究》。该文有真实的实验数据与落地案例，工程价值明确；但章节编号断裂、实验设计缺关键消融、表文自相矛盾、效率数据前后不一致，且完全回避了数据合规与算法问责这两个决定系统能否真正落地的问题。</w:t>
      </w:r>
    </w:p>
    <w:p>
      <w:pPr>
        <w:spacing w:before="0" w:after="0" w:line="360" w:lineRule="auto"/>
        <w:ind w:firstLine="480"/>
        <w:jc w:val="both"/>
      </w:pPr>
      <w:r>
        <w:rPr>
          <w:rFonts w:ascii="Times New Roman" w:hAnsi="Times New Roman" w:eastAsia="宋体"/>
          <w:b/>
          <w:sz w:val="24"/>
        </w:rPr>
        <w:t>第三档（选题好、但停留在对策罗列）</w:t>
      </w:r>
      <w:r>
        <w:rPr>
          <w:rFonts w:ascii="Times New Roman" w:hAnsi="Times New Roman" w:eastAsia="宋体"/>
          <w:b w:val="0"/>
          <w:sz w:val="24"/>
        </w:rPr>
        <w:t>：论文二、论文三、论文四。三篇的共同问题是“问题—成因—对策”三段论写作：问题描述准确，但对策是“应完善……应强化……应推动……”式的规范表述，没有量化标准、没有责任主体、没有时限、没有验收口径、没有成本测算，基层拿到后无法执行，也无法判断做了以后是否有效。三篇全文均无一个自有数据。</w:t>
      </w:r>
    </w:p>
    <w:p>
      <w:pPr>
        <w:keepNext/>
        <w:spacing w:before="160" w:after="80" w:line="360" w:lineRule="auto"/>
        <w:jc w:val="left"/>
      </w:pPr>
      <w:r>
        <w:rPr>
          <w:rFonts w:ascii="Times New Roman" w:hAnsi="Times New Roman" w:eastAsia="黑体"/>
          <w:b w:val="0"/>
          <w:sz w:val="28"/>
        </w:rPr>
        <w:t>（一）五篇论文的共性问题</w:t>
      </w:r>
    </w:p>
    <w:p>
      <w:pPr>
        <w:spacing w:before="0" w:after="0" w:line="360" w:lineRule="auto"/>
        <w:ind w:firstLine="480"/>
        <w:jc w:val="both"/>
      </w:pPr>
      <w:r>
        <w:rPr>
          <w:rFonts w:ascii="Times New Roman" w:hAnsi="Times New Roman" w:eastAsia="宋体"/>
          <w:b/>
          <w:sz w:val="24"/>
        </w:rPr>
        <w:t>对策缺乏可执行性。</w:t>
      </w:r>
      <w:r>
        <w:rPr>
          <w:rFonts w:ascii="Times New Roman" w:hAnsi="Times New Roman" w:eastAsia="宋体"/>
          <w:b w:val="0"/>
          <w:sz w:val="24"/>
        </w:rPr>
        <w:t xml:space="preserve"> 对策部分普遍缺少“谁牵头、多长时间、投入多少、做到什么标准算合格、如何验证有效”五个要素。管理学论文的实践价值不体现在提出方向，而体现在把方向翻译成可考核的动作。</w:t>
      </w:r>
    </w:p>
    <w:p>
      <w:pPr>
        <w:spacing w:before="0" w:after="0" w:line="360" w:lineRule="auto"/>
        <w:ind w:firstLine="480"/>
        <w:jc w:val="both"/>
      </w:pPr>
      <w:r>
        <w:rPr>
          <w:rFonts w:ascii="Times New Roman" w:hAnsi="Times New Roman" w:eastAsia="宋体"/>
          <w:b/>
          <w:sz w:val="24"/>
        </w:rPr>
        <w:t>理论框架缺位。</w:t>
      </w:r>
      <w:r>
        <w:rPr>
          <w:rFonts w:ascii="Times New Roman" w:hAnsi="Times New Roman" w:eastAsia="宋体"/>
          <w:b w:val="0"/>
          <w:sz w:val="24"/>
        </w:rPr>
        <w:t xml:space="preserve"> 除论文五外，其余四篇基本以政策话语替代理论分析。委托代理理论、协同治理理论、外部性理论、双重预防机制、助推理论等成熟工具均未被调用，导致成因分析停留在“思想认识不到位”这类归因于个人道德的层面，无法指向可干预的制度设计。</w:t>
      </w:r>
    </w:p>
    <w:p>
      <w:pPr>
        <w:spacing w:before="0" w:after="0" w:line="360" w:lineRule="auto"/>
        <w:ind w:firstLine="480"/>
        <w:jc w:val="both"/>
      </w:pPr>
      <w:r>
        <w:rPr>
          <w:rFonts w:ascii="Times New Roman" w:hAnsi="Times New Roman" w:eastAsia="宋体"/>
          <w:b/>
          <w:sz w:val="24"/>
        </w:rPr>
        <w:t>缺乏效果评估设计。</w:t>
      </w:r>
      <w:r>
        <w:rPr>
          <w:rFonts w:ascii="Times New Roman" w:hAnsi="Times New Roman" w:eastAsia="宋体"/>
          <w:b w:val="0"/>
          <w:sz w:val="24"/>
        </w:rPr>
        <w:t xml:space="preserve"> 五篇论文都在讲“应该怎么做”，但都没有回答“做了以后怎么证明有效”。对基层单位而言，这恰恰是最关键的一步——没有评估设计，投入无法向上级说明，经验也无法复制。</w:t>
      </w:r>
    </w:p>
    <w:p>
      <w:pPr>
        <w:spacing w:before="0" w:after="0" w:line="360" w:lineRule="auto"/>
        <w:ind w:firstLine="480"/>
        <w:jc w:val="both"/>
      </w:pPr>
      <w:r>
        <w:rPr>
          <w:rFonts w:ascii="Times New Roman" w:hAnsi="Times New Roman" w:eastAsia="宋体"/>
          <w:b/>
          <w:sz w:val="24"/>
        </w:rPr>
        <w:t>图表规范性不足。</w:t>
      </w:r>
      <w:r>
        <w:rPr>
          <w:rFonts w:ascii="Times New Roman" w:hAnsi="Times New Roman" w:eastAsia="宋体"/>
          <w:b w:val="0"/>
          <w:sz w:val="24"/>
        </w:rPr>
        <w:t xml:space="preserve"> 存在图表未在正文中引用即出现、表格非三线表、图名表名位置与字号不统一、图表编号与正文描述不对应等问题。论文五虽有完整图表，但图片未随稿提供，仅有图题。</w:t>
      </w:r>
    </w:p>
    <w:p>
      <w:pPr>
        <w:spacing w:before="0" w:after="0" w:line="360" w:lineRule="auto"/>
        <w:ind w:firstLine="480"/>
        <w:jc w:val="both"/>
      </w:pPr>
      <w:r>
        <w:rPr>
          <w:rFonts w:ascii="Times New Roman" w:hAnsi="Times New Roman" w:eastAsia="宋体"/>
          <w:b/>
          <w:sz w:val="24"/>
        </w:rPr>
        <w:t>成本与约束讨论缺失。</w:t>
      </w:r>
      <w:r>
        <w:rPr>
          <w:rFonts w:ascii="Times New Roman" w:hAnsi="Times New Roman" w:eastAsia="宋体"/>
          <w:b w:val="0"/>
          <w:sz w:val="24"/>
        </w:rPr>
        <w:t xml:space="preserve"> 五篇论文均只谈收益不谈成本与副作用。全量智能监督会不会诱发“表演式执法”？全覆盖穿透监督会不会加重基层填报负担？这些是真正决定方案能否长期运行的问题。</w:t>
      </w:r>
    </w:p>
    <w:p>
      <w:pPr>
        <w:keepNext/>
        <w:spacing w:before="160" w:after="80" w:line="360" w:lineRule="auto"/>
        <w:jc w:val="left"/>
      </w:pPr>
      <w:r>
        <w:rPr>
          <w:rFonts w:ascii="Times New Roman" w:hAnsi="Times New Roman" w:eastAsia="黑体"/>
          <w:b w:val="0"/>
          <w:sz w:val="28"/>
        </w:rPr>
        <w:t>（二）本次评审的改进原则</w:t>
      </w:r>
    </w:p>
    <w:p>
      <w:pPr>
        <w:spacing w:before="0" w:after="0" w:line="360" w:lineRule="auto"/>
        <w:ind w:firstLine="480"/>
        <w:jc w:val="both"/>
      </w:pPr>
      <w:r>
        <w:rPr>
          <w:rFonts w:ascii="Times New Roman" w:hAnsi="Times New Roman" w:eastAsia="宋体"/>
          <w:b w:val="0"/>
          <w:sz w:val="24"/>
        </w:rPr>
        <w:t>针对上述问题，本次同步提交了五篇论文的修改稿。修改遵循三条原则：一是</w:t>
      </w:r>
      <w:r>
        <w:rPr>
          <w:rFonts w:ascii="Times New Roman" w:hAnsi="Times New Roman" w:eastAsia="宋体"/>
          <w:b/>
          <w:sz w:val="24"/>
        </w:rPr>
        <w:t>每个对策都要落到可量化、可验收的口径</w:t>
      </w:r>
      <w:r>
        <w:rPr>
          <w:rFonts w:ascii="Times New Roman" w:hAnsi="Times New Roman" w:eastAsia="宋体"/>
          <w:b w:val="0"/>
          <w:sz w:val="24"/>
        </w:rPr>
        <w:t>；二是</w:t>
      </w:r>
      <w:r>
        <w:rPr>
          <w:rFonts w:ascii="Times New Roman" w:hAnsi="Times New Roman" w:eastAsia="宋体"/>
          <w:b/>
          <w:sz w:val="24"/>
        </w:rPr>
        <w:t>每个结论都要有由代码实际运行产生的数字支撑</w:t>
      </w:r>
      <w:r>
        <w:rPr>
          <w:rFonts w:ascii="Times New Roman" w:hAnsi="Times New Roman" w:eastAsia="宋体"/>
          <w:b w:val="0"/>
          <w:sz w:val="24"/>
        </w:rPr>
        <w:t>，不使用凭印象编造的估计值；三是</w:t>
      </w:r>
      <w:r>
        <w:rPr>
          <w:rFonts w:ascii="Times New Roman" w:hAnsi="Times New Roman" w:eastAsia="宋体"/>
          <w:b/>
          <w:sz w:val="24"/>
        </w:rPr>
        <w:t>明确区分实测数据、由原文报告值推算的结果与情景仿真结果</w:t>
      </w:r>
      <w:r>
        <w:rPr>
          <w:rFonts w:ascii="Times New Roman" w:hAnsi="Times New Roman" w:eastAsia="宋体"/>
          <w:b w:val="0"/>
          <w:sz w:val="24"/>
        </w:rPr>
        <w:t>，在正文中逐处标注，不混淆三者的证据效力。</w:t>
      </w:r>
    </w:p>
    <w:p>
      <w:r>
        <w:br w:type="page"/>
      </w:r>
    </w:p>
    <w:p>
      <w:pPr>
        <w:keepNext/>
        <w:spacing w:before="240" w:after="120" w:line="360" w:lineRule="auto"/>
        <w:jc w:val="left"/>
      </w:pPr>
      <w:r>
        <w:rPr>
          <w:rFonts w:ascii="Times New Roman" w:hAnsi="Times New Roman" w:eastAsia="黑体"/>
          <w:b/>
          <w:sz w:val="30"/>
        </w:rPr>
        <w:t>二、论文一《基于 Qwen Omni 多模态模型的专卖执法视频智能分析与应用研究》</w:t>
      </w:r>
    </w:p>
    <w:p>
      <w:pPr>
        <w:spacing w:before="0" w:after="0" w:line="360" w:lineRule="auto"/>
        <w:ind w:firstLine="0"/>
        <w:jc w:val="both"/>
      </w:pPr>
      <w:r>
        <w:rPr>
          <w:rFonts w:ascii="Times New Roman" w:hAnsi="Times New Roman" w:eastAsia="宋体"/>
          <w:b w:val="0"/>
          <w:sz w:val="24"/>
        </w:rPr>
        <w:t>作者：贾文涛、吴群丰（嘉兴市烟草公司海盐分公司专卖监督管理科）</w:t>
      </w:r>
    </w:p>
    <w:p>
      <w:pPr>
        <w:spacing w:before="0" w:after="0" w:line="360" w:lineRule="auto"/>
        <w:ind w:firstLine="0"/>
        <w:jc w:val="both"/>
      </w:pPr>
      <w:r>
        <w:rPr>
          <w:rFonts w:ascii="Times New Roman" w:hAnsi="Times New Roman" w:eastAsia="宋体"/>
          <w:b w:val="0"/>
          <w:sz w:val="24"/>
        </w:rPr>
        <w:t>总体判断：选题有强烈的行业针对性，技术方案完整，有真实测试数据与两个落地案例，是五篇中工程落地度最高的一篇。但学术严谨性与合规风险讨论存在明显短板，需较大幅度修改。</w:t>
      </w:r>
    </w:p>
    <w:p>
      <w:pPr>
        <w:keepNext/>
        <w:spacing w:before="160" w:after="80" w:line="360" w:lineRule="auto"/>
        <w:jc w:val="left"/>
      </w:pPr>
      <w:r>
        <w:rPr>
          <w:rFonts w:ascii="Times New Roman" w:hAnsi="Times New Roman" w:eastAsia="黑体"/>
          <w:b w:val="0"/>
          <w:sz w:val="28"/>
        </w:rPr>
        <w:t>（一）重点问题及解决办法</w:t>
      </w:r>
    </w:p>
    <w:p>
      <w:pPr>
        <w:keepNext/>
        <w:spacing w:before="120" w:after="60" w:line="360" w:lineRule="auto"/>
        <w:jc w:val="left"/>
      </w:pPr>
      <w:r>
        <w:rPr>
          <w:rFonts w:ascii="Times New Roman" w:hAnsi="Times New Roman" w:eastAsia="黑体"/>
          <w:b w:val="0"/>
          <w:sz w:val="24"/>
        </w:rPr>
        <w:t>问题 1  章节编号断裂，论文结构不完整</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正文第 3 章之后直接跳至第 6 章“实验验证与效果分析”，第 4、5 章缺失；而第 3 章内容（模型部署、前端交互、特征提取、微调）实际混杂了工程实现与算法设计两个层次。这是编辑部初审即会退稿的硬伤。</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重排为七章结构——引言、系统设计、核心算法、数据合规与算法治理、实验验证、应用实践、结论与展望。其中新增的“数据合规与算法治理”一章是本文最缺、也最具实践价值的内容（见问题 3）。</w:t>
      </w:r>
    </w:p>
    <w:p>
      <w:pPr>
        <w:keepNext/>
        <w:spacing w:before="120" w:after="60" w:line="360" w:lineRule="auto"/>
        <w:jc w:val="left"/>
      </w:pPr>
      <w:r>
        <w:rPr>
          <w:rFonts w:ascii="Times New Roman" w:hAnsi="Times New Roman" w:eastAsia="黑体"/>
          <w:b w:val="0"/>
          <w:sz w:val="24"/>
        </w:rPr>
        <w:t>问题 2  实验设计不足以支撑论文声称的两项结论</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论文同时声称“原生多模态架构优于拼接式方案”与“领域微调可大幅提升垂直场景性能”两个结论，但对比实验只设置了“传统拼接”“GPT-4o 零样本”“Qwen Omni 微调”三组，缺少关键的“Qwen Omni 零样本”一组。缺了这一组，架构优势与微调优势无法分离，两个结论都只是推断而非证据。此外：微调集与测试集均称“500 条”，未说明二者是否互斥，存在数据泄漏嫌疑；标注由多人完成但未报告标注一致性；三方案对比只有点估计，无置信区间、无配对显著性检验。</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（1）补做 Qwen Omni 零样本消融组，构成 2×2 设计；（2）明确写出微调集与测试集互斥、划分方式与随机种子；（3）报告双标注样本的 Cohen's Kappa 或 Krippendorff's α；（4）报告混淆矩阵与 Wilson 95% 置信区间，方案间比较改用 McNemar 配对检验。修改稿已按 n=500 补算了三方案的 Wilson 置信区间与 McNemar 功效分析：在不一致对 m≥30 时，3.1 个百分点以上的准确率差即可检出，说明现有 8.0 个百分点的差距足以检出，但因原文未报告配对结果仍无法给出 p 值。</w:t>
      </w:r>
    </w:p>
    <w:p>
      <w:pPr>
        <w:keepNext/>
        <w:spacing w:before="120" w:after="60" w:line="360" w:lineRule="auto"/>
        <w:jc w:val="left"/>
      </w:pPr>
      <w:r>
        <w:rPr>
          <w:rFonts w:ascii="Times New Roman" w:hAnsi="Times New Roman" w:eastAsia="黑体"/>
          <w:b w:val="0"/>
          <w:sz w:val="24"/>
        </w:rPr>
        <w:t>问题 3  完全回避数据合规与算法问责，这是系统能否真正落地的第一约束</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执法记录仪视频含公民人脸、声纹等敏感个人信息，《个人信息保护法》第 26 条对公共场所图像采集设备、第 28—29 条对敏感个人信息处理均有专门要求。论文未讨论数据存储位置、去标识化处理、是否调用公网大模型 API、委托处理协议等任何一项。同时，论文把 AI 判定的“程序瑕疵”直接用于执法人员画像、违规频次排名与绩效考核，却未回答一个关键问题：算法判定能否作为对执法人员追责的依据？若不能，现有的“高频违规人员预警”功能就缺乏正当性基础；若能，必须建立申诉与纠错机制。</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新增一章，明确三条边界：（1）</w:t>
      </w:r>
      <w:r>
        <w:rPr>
          <w:rFonts w:ascii="Times New Roman" w:hAnsi="Times New Roman" w:eastAsia="宋体"/>
          <w:b/>
          <w:sz w:val="24"/>
        </w:rPr>
        <w:t>数据边界</w:t>
      </w:r>
      <w:r>
        <w:rPr>
          <w:rFonts w:ascii="Times New Roman" w:hAnsi="Times New Roman" w:eastAsia="宋体"/>
          <w:b w:val="0"/>
          <w:sz w:val="24"/>
        </w:rPr>
        <w:t>——原始音视频不出省局政务云，采用本地化私有部署，不向公网大模型传输；推理前完成非必要人脸的去标识化处理；建立数据分类分级与访问审计。（2）</w:t>
      </w:r>
      <w:r>
        <w:rPr>
          <w:rFonts w:ascii="Times New Roman" w:hAnsi="Times New Roman" w:eastAsia="宋体"/>
          <w:b/>
          <w:sz w:val="24"/>
        </w:rPr>
        <w:t>效力边界</w:t>
      </w:r>
      <w:r>
        <w:rPr>
          <w:rFonts w:ascii="Times New Roman" w:hAnsi="Times New Roman" w:eastAsia="宋体"/>
          <w:b w:val="0"/>
          <w:sz w:val="24"/>
        </w:rPr>
        <w:t>——算法输出定位为“线索提示”而非“认定结论”，最终认定权保留于法制审核人员，即人在回路（human-in-the-loop）。（3）</w:t>
      </w:r>
      <w:r>
        <w:rPr>
          <w:rFonts w:ascii="Times New Roman" w:hAnsi="Times New Roman" w:eastAsia="宋体"/>
          <w:b/>
          <w:sz w:val="24"/>
        </w:rPr>
        <w:t>用途边界</w:t>
      </w:r>
      <w:r>
        <w:rPr>
          <w:rFonts w:ascii="Times New Roman" w:hAnsi="Times New Roman" w:eastAsia="宋体"/>
          <w:b w:val="0"/>
          <w:sz w:val="24"/>
        </w:rPr>
        <w:t>——分析结果优先用于整改与培训改进，不直接作为扣分追责依据；建立当事人异议申诉通道，申诉结果反哺模型迭代。这三条同时也是防止一线抵触的关键。</w:t>
      </w:r>
    </w:p>
    <w:p>
      <w:pPr>
        <w:keepNext/>
        <w:spacing w:before="120" w:after="60" w:line="360" w:lineRule="auto"/>
        <w:jc w:val="left"/>
      </w:pPr>
      <w:r>
        <w:rPr>
          <w:rFonts w:ascii="Times New Roman" w:hAnsi="Times New Roman" w:eastAsia="黑体"/>
          <w:b w:val="0"/>
          <w:sz w:val="24"/>
        </w:rPr>
        <w:t>问题 4  表 2 与正文表述完全错位</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正文写“对视觉特征明显的违规行为（用语不文明、人员不足）识别准确率较高，而对需要语义理解及主观判断的类型（亮证等）准确率较低”，但：“执法用语不文明”属语音语义特征而非视觉特征；表 2 备注同时写着“主观性较强、边界模糊”却给出全表最高的 96.2%；“出示执法证件不规范”备注写“视觉特征明显，识别效果最好”却是全表最低的 88.7%。表与文相互矛盾，审稿人一眼可见。</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按“视觉主导 / 语音语义主导 / 跨模态联合判断”三类重排表格，逐类给出识别准确率与该类的测试样本量，备注只写技术归因不写主观评价。另需补充各违规类型的样本量——修改稿的敏感性计算显示，若某类样本量仅 20 条，其 95% 置信区间宽度可达 28 个百分点，此时报告的准确率几乎不含信息。</w:t>
      </w:r>
    </w:p>
    <w:p>
      <w:pPr>
        <w:keepNext/>
        <w:spacing w:before="120" w:after="60" w:line="360" w:lineRule="auto"/>
        <w:jc w:val="left"/>
      </w:pPr>
      <w:r>
        <w:rPr>
          <w:rFonts w:ascii="Times New Roman" w:hAnsi="Times New Roman" w:eastAsia="黑体"/>
          <w:b w:val="0"/>
          <w:sz w:val="24"/>
        </w:rPr>
        <w:t>问题 5  效率与效益数据前后不一致，经济性论证不成立</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6.2.3 节称“审核效率提高约 30 倍”，7.1 节称“工作效率提高超过 5 倍”，两个数字相差 6 倍且未说明口径差异。“节省经费约 20—30 万元”未给出测算依据，且未计入 GPU 算力、标注人工、运维与模型迭代成本。</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统一口径——机器处理速度提升与人均日处理量提升是两个不同指标，分别表述；补充全生命周期成本（TCO）测算表，列出硬件、标注、运维、迭代四项，并给出投资回收期与敏感性分析。</w:t>
      </w:r>
    </w:p>
    <w:p>
      <w:pPr>
        <w:keepNext/>
        <w:spacing w:before="160" w:after="80" w:line="360" w:lineRule="auto"/>
        <w:jc w:val="left"/>
      </w:pPr>
      <w:r>
        <w:rPr>
          <w:rFonts w:ascii="Times New Roman" w:hAnsi="Times New Roman" w:eastAsia="黑体"/>
          <w:b w:val="0"/>
          <w:sz w:val="28"/>
        </w:rPr>
        <w:t>（二）可提升之处（侧重实践指导意义）</w:t>
      </w:r>
    </w:p>
    <w:p>
      <w:pPr>
        <w:spacing w:before="0" w:after="0" w:line="360" w:lineRule="auto"/>
        <w:ind w:firstLine="480"/>
        <w:jc w:val="both"/>
      </w:pPr>
      <w:r>
        <w:rPr>
          <w:rFonts w:ascii="Times New Roman" w:hAnsi="Times New Roman" w:eastAsia="宋体"/>
          <w:b/>
          <w:sz w:val="24"/>
        </w:rPr>
        <w:t>把“准确率”换成“人机协同的工作量—查全率决策曲线”。</w:t>
      </w:r>
      <w:r>
        <w:rPr>
          <w:rFonts w:ascii="Times New Roman" w:hAnsi="Times New Roman" w:eastAsia="宋体"/>
          <w:b w:val="0"/>
          <w:sz w:val="24"/>
        </w:rPr>
        <w:t xml:space="preserve"> 法制部门真正要回答的问题不是“模型准确率多少”，而是“我投入多少人力能查出多少问题”。修改稿据原文数据测算：现行 15% 人工抽检的违规查全率仅 15%；改为“AI 全量初筛 + 人工只复核告警片段”，工作量占全量的 37.3% 时查全率即达 91.5%，是同等工作量下纯人工抽检的 2.45 倍。若要求总体查全率 95%，则需在告警之外再随机抽检未告警片段的 41.2%，总复核量占 63.1%，仍比纯人工节省 33.6%。这条曲线可以直接用于年度人力预算测算。</w:t>
      </w:r>
    </w:p>
    <w:p>
      <w:pPr>
        <w:spacing w:before="0" w:after="0" w:line="360" w:lineRule="auto"/>
        <w:ind w:firstLine="480"/>
        <w:jc w:val="both"/>
      </w:pPr>
      <w:r>
        <w:rPr>
          <w:rFonts w:ascii="Times New Roman" w:hAnsi="Times New Roman" w:eastAsia="宋体"/>
          <w:b/>
          <w:sz w:val="24"/>
        </w:rPr>
        <w:t>引入代价敏感的告警阈值。</w:t>
      </w:r>
      <w:r>
        <w:rPr>
          <w:rFonts w:ascii="Times New Roman" w:hAnsi="Times New Roman" w:eastAsia="宋体"/>
          <w:b w:val="0"/>
          <w:sz w:val="24"/>
        </w:rPr>
        <w:t xml:space="preserve"> 漏报（放过程序瑕疵）与误报（冤枉合规执法）的代价不对称，但论文只优化 F1（隐含二者等价）。应按代价比设定阈值：修改稿测算显示，当漏报代价为误报代价的 10 倍时，三方案的期望损失分别为 700.2、409.4、174.2，方案排序不变但差距被显著放大，说明该系统在高代价比场景下的价值被 F1 指标低估了。</w:t>
      </w:r>
    </w:p>
    <w:p>
      <w:pPr>
        <w:spacing w:before="0" w:after="0" w:line="360" w:lineRule="auto"/>
        <w:ind w:firstLine="480"/>
        <w:jc w:val="both"/>
      </w:pPr>
      <w:r>
        <w:rPr>
          <w:rFonts w:ascii="Times New Roman" w:hAnsi="Times New Roman" w:eastAsia="宋体"/>
          <w:b/>
          <w:sz w:val="24"/>
        </w:rPr>
        <w:t>警惕“目标替代”这一组织行为学风险。</w:t>
      </w:r>
      <w:r>
        <w:rPr>
          <w:rFonts w:ascii="Times New Roman" w:hAnsi="Times New Roman" w:eastAsia="宋体"/>
          <w:b w:val="0"/>
          <w:sz w:val="24"/>
        </w:rPr>
        <w:t xml:space="preserve"> 全量监督一旦与考核挂钩，一线执法人员的理性反应是让镜头合规而非让执法合规——出现刻意对镜头亮证、关键环节走出取景范围、甚至规避拍摄等行为。建议设置反向监测指标（如视频时长异常缩短率、镜头遮挡率），并在制度上采用“首违提示 + 整改闭环”而非直接扣分，从激励结构上消除动机。这一点对方案能否长期运行至关重要。</w:t>
      </w:r>
    </w:p>
    <w:p>
      <w:pPr>
        <w:spacing w:before="0" w:after="0" w:line="360" w:lineRule="auto"/>
        <w:ind w:firstLine="480"/>
        <w:jc w:val="both"/>
      </w:pPr>
      <w:r>
        <w:rPr>
          <w:rFonts w:ascii="Times New Roman" w:hAnsi="Times New Roman" w:eastAsia="宋体"/>
          <w:b/>
          <w:sz w:val="24"/>
        </w:rPr>
        <w:t>明确与省局既有系统的关系。</w:t>
      </w:r>
      <w:r>
        <w:rPr>
          <w:rFonts w:ascii="Times New Roman" w:hAnsi="Times New Roman" w:eastAsia="宋体"/>
          <w:b w:val="0"/>
          <w:sz w:val="24"/>
        </w:rPr>
        <w:t xml:space="preserve"> 论文提到浙江烟草智慧专卖监管平台与涉烟情指中心，但未说明本系统是嵌入、并行还是替代。基层自研系统最常见的失败原因不是技术不行，而是与上级系统数据口径不通、重复建设被叫停。建议补充接口设计与数据治理归属说明。</w:t>
      </w:r>
    </w:p>
    <w:p>
      <w:pPr>
        <w:spacing w:before="0" w:after="0" w:line="360" w:lineRule="auto"/>
        <w:ind w:firstLine="480"/>
        <w:jc w:val="both"/>
      </w:pPr>
      <w:r>
        <w:rPr>
          <w:rFonts w:ascii="Times New Roman" w:hAnsi="Times New Roman" w:eastAsia="宋体"/>
          <w:b/>
          <w:sz w:val="24"/>
        </w:rPr>
        <w:t>补充三张图。</w:t>
      </w:r>
      <w:r>
        <w:rPr>
          <w:rFonts w:ascii="Times New Roman" w:hAnsi="Times New Roman" w:eastAsia="宋体"/>
          <w:b w:val="0"/>
          <w:sz w:val="24"/>
        </w:rPr>
        <w:t xml:space="preserve"> 技术路线图（研究推进主线与迭代反馈）、程序合规校验路径图（七环节时序约束与四维检测口径）、算法治理机制图（人在回路与个人信息保护边界）。第三张图尤其重要——它把抽象的合规承诺变成可审计的流程。</w:t>
      </w:r>
    </w:p>
    <w:p>
      <w:r>
        <w:br w:type="page"/>
      </w:r>
    </w:p>
    <w:p>
      <w:pPr>
        <w:keepNext/>
        <w:spacing w:before="240" w:after="120" w:line="360" w:lineRule="auto"/>
        <w:jc w:val="left"/>
      </w:pPr>
      <w:r>
        <w:rPr>
          <w:rFonts w:ascii="Times New Roman" w:hAnsi="Times New Roman" w:eastAsia="黑体"/>
          <w:b/>
          <w:sz w:val="30"/>
        </w:rPr>
        <w:t>三、论文二《穿透式监管视角下烟草行业大监督体系优化研究》</w:t>
      </w:r>
    </w:p>
    <w:p>
      <w:pPr>
        <w:spacing w:before="0" w:after="0" w:line="360" w:lineRule="auto"/>
        <w:ind w:firstLine="0"/>
        <w:jc w:val="both"/>
      </w:pPr>
      <w:r>
        <w:rPr>
          <w:rFonts w:ascii="Times New Roman" w:hAnsi="Times New Roman" w:eastAsia="宋体"/>
          <w:b w:val="0"/>
          <w:sz w:val="24"/>
        </w:rPr>
        <w:t>作者：施佳铭、李真伟（海盐县烟草专卖局纪检监察科）</w:t>
      </w:r>
    </w:p>
    <w:p>
      <w:pPr>
        <w:spacing w:before="0" w:after="0" w:line="360" w:lineRule="auto"/>
        <w:ind w:firstLine="0"/>
        <w:jc w:val="both"/>
      </w:pPr>
      <w:r>
        <w:rPr>
          <w:rFonts w:ascii="Times New Roman" w:hAnsi="Times New Roman" w:eastAsia="宋体"/>
          <w:b w:val="0"/>
          <w:sz w:val="24"/>
        </w:rPr>
        <w:t>总体判断：选题切中行业痛点，政策把握准确，结构完整，文字规范。但全文无一个数据、无一个具体案例细节、无一条可执行的量化标准，属于典型的“正确但无用”的对策式论文。需要从思辨型改造为设计型。</w:t>
      </w:r>
    </w:p>
    <w:p>
      <w:pPr>
        <w:keepNext/>
        <w:spacing w:before="160" w:after="80" w:line="360" w:lineRule="auto"/>
        <w:jc w:val="left"/>
      </w:pPr>
      <w:r>
        <w:rPr>
          <w:rFonts w:ascii="Times New Roman" w:hAnsi="Times New Roman" w:eastAsia="黑体"/>
          <w:b w:val="0"/>
          <w:sz w:val="28"/>
        </w:rPr>
        <w:t>（一）重点问题及解决办法</w:t>
      </w:r>
    </w:p>
    <w:p>
      <w:pPr>
        <w:keepNext/>
        <w:spacing w:before="120" w:after="60" w:line="360" w:lineRule="auto"/>
        <w:jc w:val="left"/>
      </w:pPr>
      <w:r>
        <w:rPr>
          <w:rFonts w:ascii="Times New Roman" w:hAnsi="Times New Roman" w:eastAsia="黑体"/>
          <w:b w:val="0"/>
          <w:sz w:val="24"/>
        </w:rPr>
        <w:t>问题 1  “穿透式监管”概念直接平移，缺少必要的理论转换</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穿透式监管源于金融监管，其原义是穿透名义持有人识别底层资产与实际控制人，解决的是</w:t>
      </w:r>
      <w:r>
        <w:rPr>
          <w:rFonts w:ascii="Times New Roman" w:hAnsi="Times New Roman" w:eastAsia="宋体"/>
          <w:b/>
          <w:sz w:val="24"/>
        </w:rPr>
        <w:t>法律形式与经济实质相分离</w:t>
      </w:r>
      <w:r>
        <w:rPr>
          <w:rFonts w:ascii="Times New Roman" w:hAnsi="Times New Roman" w:eastAsia="宋体"/>
          <w:b w:val="0"/>
          <w:sz w:val="24"/>
        </w:rPr>
        <w:t>的问题。烟草行业内部监督并不存在“名实分离”的结构，直接套用会使概念空转——全文的“穿透”实际上被用作“深入、彻底”的同义词，失去了作为分析工具的价值。</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做一次显式的概念转换并写入论文：在国有垂直管理体制下，“穿透”的对应物是</w:t>
      </w:r>
      <w:r>
        <w:rPr>
          <w:rFonts w:ascii="Times New Roman" w:hAnsi="Times New Roman" w:eastAsia="宋体"/>
          <w:b/>
          <w:sz w:val="24"/>
        </w:rPr>
        <w:t>监督信息沿委托代理链条的层层损耗</w:t>
      </w:r>
      <w:r>
        <w:rPr>
          <w:rFonts w:ascii="Times New Roman" w:hAnsi="Times New Roman" w:eastAsia="宋体"/>
          <w:b w:val="0"/>
          <w:sz w:val="24"/>
        </w:rPr>
        <w:t>。穿透式监督的实质，是在既有的“国家局—省局—市局—县局”逐级代理链之外，新增一条不随层级衰减的直达通道。这样“穿透”才有可测量的定义：穿透度 = 直达通道覆盖的业务事项占比。</w:t>
      </w:r>
    </w:p>
    <w:p>
      <w:pPr>
        <w:keepNext/>
        <w:spacing w:before="120" w:after="60" w:line="360" w:lineRule="auto"/>
        <w:jc w:val="left"/>
      </w:pPr>
      <w:r>
        <w:rPr>
          <w:rFonts w:ascii="Times New Roman" w:hAnsi="Times New Roman" w:eastAsia="黑体"/>
          <w:b w:val="0"/>
          <w:sz w:val="24"/>
        </w:rPr>
        <w:t>问题 2  成因分析归结为“思想认识偏差”，指向无法干预的对象</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第 4 章把“老好人思想”“重业务轻监督”列为主要成因。这类归因的问题在于，它把制度问题转化为道德问题，而道德是无法通过管理设计改变的，因此后续对策只能落到“加强教育”。真正的结构性成因是政企合一体制下的</w:t>
      </w:r>
      <w:r>
        <w:rPr>
          <w:rFonts w:ascii="Times New Roman" w:hAnsi="Times New Roman" w:eastAsia="宋体"/>
          <w:b/>
          <w:sz w:val="24"/>
        </w:rPr>
        <w:t>双重委托代理</w:t>
      </w:r>
      <w:r>
        <w:rPr>
          <w:rFonts w:ascii="Times New Roman" w:hAnsi="Times New Roman" w:eastAsia="宋体"/>
          <w:b w:val="0"/>
          <w:sz w:val="24"/>
        </w:rPr>
        <w:t>：同一主体既是经营任务的承担者又是监督责任的承担者，叠加纵向四级代理链上的信息不对称，必然产生监督强度的逐级衰减。</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引入多层委托代理框架重写成因章。修改稿建立了衰减模型并做了数值求解：在逐级衰减率 d=0.30 的情形下，县级局的监督效力仅为国家局的 34.3%；若穿透直达通道覆盖 60% 的业务事项，该值回升至 67.7%，提升 33.4 个百分点。衰减率越高，穿透通道的边际价值越大（d=0.40 时提升 41.0 个百分点）。这为“为什么要建直达通道”提供了量化论据，也为“覆盖多少才够”提供了测算方法。</w:t>
      </w:r>
    </w:p>
    <w:p>
      <w:pPr>
        <w:keepNext/>
        <w:spacing w:before="120" w:after="60" w:line="360" w:lineRule="auto"/>
        <w:jc w:val="left"/>
      </w:pPr>
      <w:r>
        <w:rPr>
          <w:rFonts w:ascii="Times New Roman" w:hAnsi="Times New Roman" w:eastAsia="黑体"/>
          <w:b w:val="0"/>
          <w:sz w:val="24"/>
        </w:rPr>
        <w:t>问题 3  完全忽略监督成本与“监督过载”风险</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全文默认“监督越全面越好”，五个“穿透”叠加下来，基层需要新增的填报、留痕、迎检工作量是巨大的。管理学上这被称为控制悖论——过度监督会挤占业务时间、诱发留痕主义与形式主义，最终反而降低组织绩效。论文若不讨论这一点，基层执行时必然反弹，方案难以持续。</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建立含监督过载项的最优监督强度模型，把“基层负担”写成显性成本项。修改稿的数值求解显示：考虑过载时最优监督强度 s*=3.95；忽略过载项时 s*=6.36，</w:t>
      </w:r>
      <w:r>
        <w:rPr>
          <w:rFonts w:ascii="Times New Roman" w:hAnsi="Times New Roman" w:eastAsia="宋体"/>
          <w:b/>
          <w:sz w:val="24"/>
        </w:rPr>
        <w:t>高估 61.0%</w:t>
      </w:r>
      <w:r>
        <w:rPr>
          <w:rFonts w:ascii="Times New Roman" w:hAnsi="Times New Roman" w:eastAsia="宋体"/>
          <w:b w:val="0"/>
          <w:sz w:val="24"/>
        </w:rPr>
        <w:t>。这意味着不考虑基层负担的监督设计会系统性地过度投入。配套提出“减负式监督”原则：一次采集、多方复用，同一份业务数据同时服务纪检、审计、财务、专卖多个监督主体，不得重复要求基层报送。</w:t>
      </w:r>
    </w:p>
    <w:p>
      <w:pPr>
        <w:keepNext/>
        <w:spacing w:before="120" w:after="60" w:line="360" w:lineRule="auto"/>
        <w:jc w:val="left"/>
      </w:pPr>
      <w:r>
        <w:rPr>
          <w:rFonts w:ascii="Times New Roman" w:hAnsi="Times New Roman" w:eastAsia="黑体"/>
          <w:b w:val="0"/>
          <w:sz w:val="24"/>
        </w:rPr>
        <w:t>问题 4  五个“穿透”并列展开，没有优先级，基层不知从哪下手</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制度、数据、流程、责任、队伍五个维度各写四五条“应……”，全部同等重要即等于没有重点。县级局资源有限，同时推进五个维度既不现实也不高效。</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用蒙特卡洛仿真给出边际贡献排序，据以确定实施优先级。修改稿在包含互补效应的风险发现率模型上做了 20000 次仿真，四维成熟度各提升 0.2 时的风险发现率增量分别为：数据穿透 4.79 个百分点、制度穿透 3.55、流程穿透 3.40、责任穿透 2.98。在更贴近基层现状的低成熟度起点情景下，排序保持不变。由此给出三阶段路线：第一阶段（0—6 个月）制度先行统一口径，第二阶段（6—18 个月）数据中台与预警模型，第三阶段（18—36 个月）责任收口与固化。</w:t>
      </w:r>
    </w:p>
    <w:p>
      <w:pPr>
        <w:keepNext/>
        <w:spacing w:before="120" w:after="60" w:line="360" w:lineRule="auto"/>
        <w:jc w:val="left"/>
      </w:pPr>
      <w:r>
        <w:rPr>
          <w:rFonts w:ascii="Times New Roman" w:hAnsi="Times New Roman" w:eastAsia="黑体"/>
          <w:b w:val="0"/>
          <w:sz w:val="24"/>
        </w:rPr>
        <w:t>问题 5  没有回答“怎么证明穿透式监督有效”</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论文提出了一整套体系，但没有任何效果验证设计。对市局而言，这意味着投入之后无法向省局说明成效，也无法判断该不该继续投。</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设计分批推行的准实验评估（DID），并做功效分析确定评估单元。修改稿的计算给出了一个对实践极为重要的结论：</w:t>
      </w:r>
      <w:r>
        <w:rPr>
          <w:rFonts w:ascii="Times New Roman" w:hAnsi="Times New Roman" w:eastAsia="宋体"/>
          <w:b/>
          <w:sz w:val="24"/>
        </w:rPr>
        <w:t>若以县区级局为评估单元，嘉兴市局下辖约 8 个单位，即使观测 8 期，最小可检出效应仍达 12.03 个指数点（约为基准 60 分的 20.1%），远大于政策关心的 3 分效应</w:t>
      </w:r>
      <w:r>
        <w:rPr>
          <w:rFonts w:ascii="Times New Roman" w:hAnsi="Times New Roman" w:eastAsia="宋体"/>
          <w:b w:val="0"/>
          <w:sz w:val="24"/>
        </w:rPr>
        <w:t>。也就是说，按常规做法设计的评估从一开始就注定得不出结论。评估单元必须下沉到稽查中队、岗位或业务事项层级（J≥40），配合 8 期观测，最小可检出效应才降到 5.38 个指数点。这一条建议可以直接避免一次注定失败的评估投入。</w:t>
      </w:r>
    </w:p>
    <w:p>
      <w:pPr>
        <w:keepNext/>
        <w:spacing w:before="160" w:after="80" w:line="360" w:lineRule="auto"/>
        <w:jc w:val="left"/>
      </w:pPr>
      <w:r>
        <w:rPr>
          <w:rFonts w:ascii="Times New Roman" w:hAnsi="Times New Roman" w:eastAsia="黑体"/>
          <w:b w:val="0"/>
          <w:sz w:val="28"/>
        </w:rPr>
        <w:t>（二）可提升之处（侧重实践指导意义）</w:t>
      </w:r>
    </w:p>
    <w:p>
      <w:pPr>
        <w:spacing w:before="0" w:after="0" w:line="360" w:lineRule="auto"/>
        <w:ind w:firstLine="480"/>
        <w:jc w:val="both"/>
      </w:pPr>
      <w:r>
        <w:rPr>
          <w:rFonts w:ascii="Times New Roman" w:hAnsi="Times New Roman" w:eastAsia="宋体"/>
          <w:b/>
          <w:sz w:val="24"/>
        </w:rPr>
        <w:t>把“四维穿透”变成可打分的指标体系。</w:t>
      </w:r>
      <w:r>
        <w:rPr>
          <w:rFonts w:ascii="Times New Roman" w:hAnsi="Times New Roman" w:eastAsia="宋体"/>
          <w:b w:val="0"/>
          <w:sz w:val="24"/>
        </w:rPr>
        <w:t xml:space="preserve"> 修改稿用 AHP–熵权组合赋权构建了五维监督效能指数（制度、数据、流程、责任穿透度 + 监督减负度），AHP 一致性比率 CR=0.018&lt;0.10 通过检验，组合权重依次为 0.392、0.195、0.183、0.122、0.108。注意：熵权法赋予“监督减负度”较高权重（0.333），说明该指标在单位间区分度最大——这恰恰印证了基层负担差异是当前最需要关注的变量。</w:t>
      </w:r>
    </w:p>
    <w:p>
      <w:pPr>
        <w:spacing w:before="0" w:after="0" w:line="360" w:lineRule="auto"/>
        <w:ind w:firstLine="480"/>
        <w:jc w:val="both"/>
      </w:pPr>
      <w:r>
        <w:rPr>
          <w:rFonts w:ascii="Times New Roman" w:hAnsi="Times New Roman" w:eastAsia="宋体"/>
          <w:b/>
          <w:sz w:val="24"/>
        </w:rPr>
        <w:t>给出责任矩阵而不是责任原则。</w:t>
      </w:r>
      <w:r>
        <w:rPr>
          <w:rFonts w:ascii="Times New Roman" w:hAnsi="Times New Roman" w:eastAsia="宋体"/>
          <w:b w:val="0"/>
          <w:sz w:val="24"/>
        </w:rPr>
        <w:t xml:space="preserve"> 建议以 RACI 形式列出各层级、各部门在每项穿透任务中的牵头/执行/协商/知会角色，替代“明确各主体责任”这类表述。</w:t>
      </w:r>
    </w:p>
    <w:p>
      <w:pPr>
        <w:spacing w:before="0" w:after="0" w:line="360" w:lineRule="auto"/>
        <w:ind w:firstLine="480"/>
        <w:jc w:val="both"/>
      </w:pPr>
      <w:r>
        <w:rPr>
          <w:rFonts w:ascii="Times New Roman" w:hAnsi="Times New Roman" w:eastAsia="宋体"/>
          <w:b/>
          <w:sz w:val="24"/>
        </w:rPr>
        <w:t>数据穿透必须先解决数据授权。</w:t>
      </w:r>
      <w:r>
        <w:rPr>
          <w:rFonts w:ascii="Times New Roman" w:hAnsi="Times New Roman" w:eastAsia="宋体"/>
          <w:b w:val="0"/>
          <w:sz w:val="24"/>
        </w:rPr>
        <w:t xml:space="preserve"> 省局与市局的数据权限边界、跨层级调阅的审批流程、“数据可用不可见”的隐私计算方案，这三项不解决，数据中台就建不起来。论文只提“打通接口”，跳过了真正的难点。</w:t>
      </w:r>
    </w:p>
    <w:p>
      <w:pPr>
        <w:spacing w:before="0" w:after="0" w:line="360" w:lineRule="auto"/>
        <w:ind w:firstLine="480"/>
        <w:jc w:val="both"/>
      </w:pPr>
      <w:r>
        <w:rPr>
          <w:rFonts w:ascii="Times New Roman" w:hAnsi="Times New Roman" w:eastAsia="宋体"/>
          <w:b/>
          <w:sz w:val="24"/>
        </w:rPr>
        <w:t>用一到两个嘉兴本地案例替代泛泛而谈。</w:t>
      </w:r>
      <w:r>
        <w:rPr>
          <w:rFonts w:ascii="Times New Roman" w:hAnsi="Times New Roman" w:eastAsia="宋体"/>
          <w:b w:val="0"/>
          <w:sz w:val="24"/>
        </w:rPr>
        <w:t xml:space="preserve"> 论文提到清远、黄冈两地经验，各一句话带过。建议改为深入剖析一个海盐或嘉兴的真实监督案例（隐去敏感信息），还原“问题如何被发现—信息在哪一层被过滤—如果有直达通道会怎样”的完整链条，这比十条正确的对策更有说服力。</w:t>
      </w:r>
    </w:p>
    <w:p>
      <w:pPr>
        <w:spacing w:before="0" w:after="0" w:line="360" w:lineRule="auto"/>
        <w:ind w:firstLine="480"/>
        <w:jc w:val="both"/>
      </w:pPr>
      <w:r>
        <w:rPr>
          <w:rFonts w:ascii="Times New Roman" w:hAnsi="Times New Roman" w:eastAsia="宋体"/>
          <w:b/>
          <w:sz w:val="24"/>
        </w:rPr>
        <w:t>补充五张图。</w:t>
      </w:r>
      <w:r>
        <w:rPr>
          <w:rFonts w:ascii="Times New Roman" w:hAnsi="Times New Roman" w:eastAsia="宋体"/>
          <w:b w:val="0"/>
          <w:sz w:val="24"/>
        </w:rPr>
        <w:t xml:space="preserve"> 研究框架图、多层委托代理与监督衰减机制图、四维穿透机制图、三阶段实施路径图、一次采集多方复用的数据中台架构图。</w:t>
      </w:r>
    </w:p>
    <w:p>
      <w:r>
        <w:br w:type="page"/>
      </w:r>
    </w:p>
    <w:p>
      <w:pPr>
        <w:keepNext/>
        <w:spacing w:before="240" w:after="120" w:line="360" w:lineRule="auto"/>
        <w:jc w:val="left"/>
      </w:pPr>
      <w:r>
        <w:rPr>
          <w:rFonts w:ascii="Times New Roman" w:hAnsi="Times New Roman" w:eastAsia="黑体"/>
          <w:b/>
          <w:sz w:val="30"/>
        </w:rPr>
        <w:t>四、论文三《精细化管理视角下相关方安全监管策略优化研究》</w:t>
      </w:r>
    </w:p>
    <w:p>
      <w:pPr>
        <w:spacing w:before="0" w:after="0" w:line="360" w:lineRule="auto"/>
        <w:ind w:firstLine="0"/>
        <w:jc w:val="both"/>
      </w:pPr>
      <w:r>
        <w:rPr>
          <w:rFonts w:ascii="Times New Roman" w:hAnsi="Times New Roman" w:eastAsia="宋体"/>
          <w:b w:val="0"/>
          <w:sz w:val="24"/>
        </w:rPr>
        <w:t>总体判断：选题实用，结构清晰，问题梳理基本准确。但通篇是安全管理教科书条目的复述，没有烟草商业企业相关方的具体风险画像，没有引用任何一条法定要求，没有给出可操作的分级模型与约束手段。这是五篇中与“可直接指导实践”距离最远的一篇，但也是最容易改好的一篇。</w:t>
      </w:r>
    </w:p>
    <w:p>
      <w:pPr>
        <w:keepNext/>
        <w:spacing w:before="160" w:after="80" w:line="360" w:lineRule="auto"/>
        <w:jc w:val="left"/>
      </w:pPr>
      <w:r>
        <w:rPr>
          <w:rFonts w:ascii="Times New Roman" w:hAnsi="Times New Roman" w:eastAsia="黑体"/>
          <w:b w:val="0"/>
          <w:sz w:val="28"/>
        </w:rPr>
        <w:t>（一）重点问题及解决办法</w:t>
      </w:r>
    </w:p>
    <w:p>
      <w:pPr>
        <w:keepNext/>
        <w:spacing w:before="120" w:after="60" w:line="360" w:lineRule="auto"/>
        <w:jc w:val="left"/>
      </w:pPr>
      <w:r>
        <w:rPr>
          <w:rFonts w:ascii="Times New Roman" w:hAnsi="Times New Roman" w:eastAsia="黑体"/>
          <w:b w:val="0"/>
          <w:sz w:val="24"/>
        </w:rPr>
        <w:t>问题 1  未引用任何法定依据，安全管理论文的硬伤</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全文未出现一条法律法规条文。相关方安全管理最核心的法定依据——《安全生产法》第四十九条（生产经营项目、场所发包或者出租的，应当签订专门的安全生产管理协议或在合同中约定各自的安全生产管理职责，并对承包单位、承租单位的安全生产工作统一协调、管理）——是整篇论文的立论基础，却完全缺席。此外，特种作业人员持证要求、《危险化学品企业特殊作业安全规范》（GB 30871）规定的八类特殊作业、安全生产责任保险等制度均未提及。</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在理论基础章补入法定要求清单，并把每项法定义务映射到具体的监管动作上（如“统一协调管理”对应到联合检查频次、交叉作业协调会制度）。同时引入双重预防机制（风险分级管控 + 隐患排查治理）与 Bow-tie 屏障分析，为“精细化”提供可操作的技术工具，而不是只停留在管理理念层面。</w:t>
      </w:r>
    </w:p>
    <w:p>
      <w:pPr>
        <w:keepNext/>
        <w:spacing w:before="120" w:after="60" w:line="360" w:lineRule="auto"/>
        <w:jc w:val="left"/>
      </w:pPr>
      <w:r>
        <w:rPr>
          <w:rFonts w:ascii="Times New Roman" w:hAnsi="Times New Roman" w:eastAsia="黑体"/>
          <w:b w:val="0"/>
          <w:sz w:val="24"/>
        </w:rPr>
        <w:t>问题 2  提出“分类分级”，但没有给出分级模型</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4.1 节说“根据业务性质、作业内容、风险程度、安全管理能力等因素进行综合评价”，但没有说怎么评、评完怎么分级、不同级别对应什么监管动作。基层看完这一节仍然不知道该怎么做。这是本文最需要补的内容。</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给出可直接使用的二维定级模型。横轴用 LEC 作业条件危险性评价法计算风险值 D=L×E×C，分高（D&gt;160）、中（70&lt;D≤160）、低（D≤70）三档；纵轴用 AHP–熵权组合赋权算出的安全管理能力评分，分强（≥80）、中（60—80）、弱（&lt;60）三档；交叉得到九宫格，对应 A（专人旁站、月度检查≥2 次）、B（重点抽查、作业前审批、月度检查 1 次）、C（常态管理、季度检查）三级监管强度。修改稿在 60 家相关方的情景样本上跑通了全流程：工程施工类高风险占比 91.7%，服务保障类为 0，验证了差异化监管的必要性；分级结果为 A1 类 7 家、A2 类 8 家、B1 类 10 家、B2 类 6 家、C1 类 22 家、C2 类 7 家。</w:t>
      </w:r>
    </w:p>
    <w:p>
      <w:pPr>
        <w:keepNext/>
        <w:spacing w:before="120" w:after="60" w:line="360" w:lineRule="auto"/>
        <w:jc w:val="left"/>
      </w:pPr>
      <w:r>
        <w:rPr>
          <w:rFonts w:ascii="Times New Roman" w:hAnsi="Times New Roman" w:eastAsia="黑体"/>
          <w:b w:val="0"/>
          <w:sz w:val="24"/>
        </w:rPr>
        <w:t>问题 3  责任落实没有落到合同条款与经济机制上</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3.2 节指出“责任界面不够明确”，4.2 节的对策是“通过安全协议、合同条款明确责任”。但相关方是外部市场主体，仅靠“明确责任”而无经济约束，其守约动力来自何处？论文回避了这个问题。实践中真正管用的是钱和续签资格。</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把责任落实转化为四类可执行的经济与准入杠杆：（1）安全生产费用在合同中单列并专款专用、验工计价时核验；（2）安全履约保证金，按违章计分比例扣罚；（3）违章计分制，累计到阈值即停工整改、清退现场；（4）安全绩效评价结果与续签、优质优价、供应商库分级（红黑名单）直接挂钩。这四条写进合同即可执行，无需新增管理机构。</w:t>
      </w:r>
    </w:p>
    <w:p>
      <w:pPr>
        <w:keepNext/>
        <w:spacing w:before="120" w:after="60" w:line="360" w:lineRule="auto"/>
        <w:jc w:val="left"/>
      </w:pPr>
      <w:r>
        <w:rPr>
          <w:rFonts w:ascii="Times New Roman" w:hAnsi="Times New Roman" w:eastAsia="黑体"/>
          <w:b w:val="0"/>
          <w:sz w:val="24"/>
        </w:rPr>
        <w:t>问题 4  监管资源如何配置没有回答</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论文说“避免平均用力”“突出重点”，但没有给出配置方法。安全管理部门的检查人日是硬约束，怎么分才最有效是可以算清楚的。</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建立资源优化配置模型并求解。修改稿设定年度检查总量 240 次，以“风险削减量”为目标函数，比较四种策略：平均分配 4174、按风险线性分配 4686（+12.3%）、二维分级分配 4699（+12.6%）、边际收益最优分配 4859（+16.4%）。更有实践意义的是反向结论：</w:t>
      </w:r>
      <w:r>
        <w:rPr>
          <w:rFonts w:ascii="Times New Roman" w:hAnsi="Times New Roman" w:eastAsia="宋体"/>
          <w:b/>
          <w:sz w:val="24"/>
        </w:rPr>
        <w:t>按边际收益最优配置，只需 153 次检查即可达到平均分配 240 次的效果，节省监管人力 36.3%</w:t>
      </w:r>
      <w:r>
        <w:rPr>
          <w:rFonts w:ascii="Times New Roman" w:hAnsi="Times New Roman" w:eastAsia="宋体"/>
          <w:b w:val="0"/>
          <w:sz w:val="24"/>
        </w:rPr>
        <w:t>。二维分级分配已能实现最优解的 96.7%，且规则简单、便于执行，是推荐方案。</w:t>
      </w:r>
    </w:p>
    <w:p>
      <w:pPr>
        <w:keepNext/>
        <w:spacing w:before="120" w:after="60" w:line="360" w:lineRule="auto"/>
        <w:jc w:val="left"/>
      </w:pPr>
      <w:r>
        <w:rPr>
          <w:rFonts w:ascii="Times New Roman" w:hAnsi="Times New Roman" w:eastAsia="黑体"/>
          <w:b w:val="0"/>
          <w:sz w:val="24"/>
        </w:rPr>
        <w:t>问题 5  “数字化赋能”停留在建数据库与线上化</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4.4 节的三条措施（信息数字化、过程线上化、数据分析应用）是十年前的信息化思路，且未讨论投入产出。</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升级为可落地的四层架构：感知层（人员定位标签、现场摄像头、气体检测仪、移动终端）、主数据层（资质档案、人员与证书、违章计分台账、评价结果库）、监管应用层（电子作业票、隐患随手拍、视频行为预警、培训与考试）、决策支持层（风险热力图、分级排名看板、监管资源配置）。其中电子作业票与隐患随手拍投入低、见效快，建议优先落地。</w:t>
      </w:r>
    </w:p>
    <w:p>
      <w:pPr>
        <w:keepNext/>
        <w:spacing w:before="160" w:after="80" w:line="360" w:lineRule="auto"/>
        <w:jc w:val="left"/>
      </w:pPr>
      <w:r>
        <w:rPr>
          <w:rFonts w:ascii="Times New Roman" w:hAnsi="Times New Roman" w:eastAsia="黑体"/>
          <w:b w:val="0"/>
          <w:sz w:val="28"/>
        </w:rPr>
        <w:t>（二）可提升之处（侧重实践指导意义）</w:t>
      </w:r>
    </w:p>
    <w:p>
      <w:pPr>
        <w:spacing w:before="0" w:after="0" w:line="360" w:lineRule="auto"/>
        <w:ind w:firstLine="480"/>
        <w:jc w:val="both"/>
      </w:pPr>
      <w:r>
        <w:rPr>
          <w:rFonts w:ascii="Times New Roman" w:hAnsi="Times New Roman" w:eastAsia="宋体"/>
          <w:b/>
          <w:sz w:val="24"/>
        </w:rPr>
        <w:t>用帕累托分析确定专项治理靶向。</w:t>
      </w:r>
      <w:r>
        <w:rPr>
          <w:rFonts w:ascii="Times New Roman" w:hAnsi="Times New Roman" w:eastAsia="宋体"/>
          <w:b w:val="0"/>
          <w:sz w:val="24"/>
        </w:rPr>
        <w:t xml:space="preserve"> 修改稿的隐患分析显示，前 6 类隐患（个体防护用品缺失、临时用电不规范、高处作业无防护、动火作业未办票、现场围挡与警示缺失、特种作业人员无证）占全部隐患的 85.6%。这意味着专项治理不必面面俱到，集中攻克这 6 类即可覆盖绝大部分风险，且这 6 类均有明确的验收标准，便于考核。</w:t>
      </w:r>
    </w:p>
    <w:p>
      <w:pPr>
        <w:spacing w:before="0" w:after="0" w:line="360" w:lineRule="auto"/>
        <w:ind w:firstLine="480"/>
        <w:jc w:val="both"/>
      </w:pPr>
      <w:r>
        <w:rPr>
          <w:rFonts w:ascii="Times New Roman" w:hAnsi="Times New Roman" w:eastAsia="宋体"/>
          <w:b/>
          <w:sz w:val="24"/>
        </w:rPr>
        <w:t>评价指标要能算出权重。</w:t>
      </w:r>
      <w:r>
        <w:rPr>
          <w:rFonts w:ascii="Times New Roman" w:hAnsi="Times New Roman" w:eastAsia="宋体"/>
          <w:b w:val="0"/>
          <w:sz w:val="24"/>
        </w:rPr>
        <w:t xml:space="preserve"> 修改稿用 AHP–熵权组合赋权给出六项指标权重（CR=0.002 通过一致性检验）：作业票与交底执行 0.289、现场违章频次 0.218、安全责任落实 0.137、应急能力 0.137、隐患整改及时率 0.119、人员资质与培训 0.100。权重最高的两项均为过程行为指标，说明相关方安全绩效评价应以过程管控为主、以结果指标为辅——这与“事后考核”的传统做法方向相反。</w:t>
      </w:r>
    </w:p>
    <w:p>
      <w:pPr>
        <w:spacing w:before="0" w:after="0" w:line="360" w:lineRule="auto"/>
        <w:ind w:firstLine="480"/>
        <w:jc w:val="both"/>
      </w:pPr>
      <w:r>
        <w:rPr>
          <w:rFonts w:ascii="Times New Roman" w:hAnsi="Times New Roman" w:eastAsia="宋体"/>
          <w:b/>
          <w:sz w:val="24"/>
        </w:rPr>
        <w:t>补充相关方的“安全共同体”激励设计。</w:t>
      </w:r>
      <w:r>
        <w:rPr>
          <w:rFonts w:ascii="Times New Roman" w:hAnsi="Times New Roman" w:eastAsia="宋体"/>
          <w:b w:val="0"/>
          <w:sz w:val="24"/>
        </w:rPr>
        <w:t xml:space="preserve"> 论文提到要从“接受监管”转向“主动管理”，但只给了正向激励的原则。建议具体化：安全绩效前 20% 的相关方可获得下年度免检额度、保证金比例下调、优先入围资格；这类“减负式激励”比罚款更能改变行为。</w:t>
      </w:r>
    </w:p>
    <w:p>
      <w:pPr>
        <w:spacing w:before="0" w:after="0" w:line="360" w:lineRule="auto"/>
        <w:ind w:firstLine="480"/>
        <w:jc w:val="both"/>
      </w:pPr>
      <w:r>
        <w:rPr>
          <w:rFonts w:ascii="Times New Roman" w:hAnsi="Times New Roman" w:eastAsia="宋体"/>
          <w:b/>
          <w:sz w:val="24"/>
        </w:rPr>
        <w:t>明确交叉作业与变更管理这两个高发环节。</w:t>
      </w:r>
      <w:r>
        <w:rPr>
          <w:rFonts w:ascii="Times New Roman" w:hAnsi="Times New Roman" w:eastAsia="宋体"/>
          <w:b w:val="0"/>
          <w:sz w:val="24"/>
        </w:rPr>
        <w:t xml:space="preserve"> 烟草商业企业的物流中心、营销中心常同时存在施工、维保、物流三类相关方作业，交叉作业协调不到位是事故高发点。建议单列一节，给出交叉作业审批与现场协调的具体规则。</w:t>
      </w:r>
    </w:p>
    <w:p>
      <w:pPr>
        <w:spacing w:before="0" w:after="0" w:line="360" w:lineRule="auto"/>
        <w:ind w:firstLine="480"/>
        <w:jc w:val="both"/>
      </w:pPr>
      <w:r>
        <w:rPr>
          <w:rFonts w:ascii="Times New Roman" w:hAnsi="Times New Roman" w:eastAsia="宋体"/>
          <w:b/>
          <w:sz w:val="24"/>
        </w:rPr>
        <w:t>补充五张图。</w:t>
      </w:r>
      <w:r>
        <w:rPr>
          <w:rFonts w:ascii="Times New Roman" w:hAnsi="Times New Roman" w:eastAsia="宋体"/>
          <w:b w:val="0"/>
          <w:sz w:val="24"/>
        </w:rPr>
        <w:t xml:space="preserve"> 精细化管理与相关方安全监管的理论映射图、Bow-tie 屏障机制图、分类分级二维矩阵图、全过程闭环监管路径图、数字化赋能四层架构图。</w:t>
      </w:r>
    </w:p>
    <w:p>
      <w:r>
        <w:br w:type="page"/>
      </w:r>
    </w:p>
    <w:p>
      <w:pPr>
        <w:keepNext/>
        <w:spacing w:before="240" w:after="120" w:line="360" w:lineRule="auto"/>
        <w:jc w:val="left"/>
      </w:pPr>
      <w:r>
        <w:rPr>
          <w:rFonts w:ascii="Times New Roman" w:hAnsi="Times New Roman" w:eastAsia="黑体"/>
          <w:b/>
          <w:sz w:val="30"/>
        </w:rPr>
        <w:t>五、论文四《控烟背景下文明吸烟环境协同治理路径研究》</w:t>
      </w:r>
    </w:p>
    <w:p>
      <w:pPr>
        <w:spacing w:before="0" w:after="0" w:line="360" w:lineRule="auto"/>
        <w:ind w:firstLine="0"/>
        <w:jc w:val="both"/>
      </w:pPr>
      <w:r>
        <w:rPr>
          <w:rFonts w:ascii="Times New Roman" w:hAnsi="Times New Roman" w:eastAsia="宋体"/>
          <w:b w:val="0"/>
          <w:sz w:val="24"/>
        </w:rPr>
        <w:t>总体判断：这是五篇中最需要审慎处理的一篇。选题本身有价值——公共空间吸烟行为的外部性治理确实是真问题；但论文当前的立论方式存在</w:t>
      </w:r>
      <w:r>
        <w:rPr>
          <w:rFonts w:ascii="Times New Roman" w:hAnsi="Times New Roman" w:eastAsia="宋体"/>
          <w:b/>
          <w:sz w:val="24"/>
        </w:rPr>
        <w:t>正当性风险</w:t>
      </w:r>
      <w:r>
        <w:rPr>
          <w:rFonts w:ascii="Times New Roman" w:hAnsi="Times New Roman" w:eastAsia="宋体"/>
          <w:b w:val="0"/>
          <w:sz w:val="24"/>
        </w:rPr>
        <w:t>，一旦公开发表可能引发舆情，需要在框架层面重构，而非局部修改。</w:t>
      </w:r>
    </w:p>
    <w:p>
      <w:pPr>
        <w:keepNext/>
        <w:spacing w:before="160" w:after="80" w:line="360" w:lineRule="auto"/>
        <w:jc w:val="left"/>
      </w:pPr>
      <w:r>
        <w:rPr>
          <w:rFonts w:ascii="Times New Roman" w:hAnsi="Times New Roman" w:eastAsia="黑体"/>
          <w:b w:val="0"/>
          <w:sz w:val="28"/>
        </w:rPr>
        <w:t>（一）重点问题及解决办法</w:t>
      </w:r>
    </w:p>
    <w:p>
      <w:pPr>
        <w:keepNext/>
        <w:spacing w:before="120" w:after="60" w:line="360" w:lineRule="auto"/>
        <w:jc w:val="left"/>
      </w:pPr>
      <w:r>
        <w:rPr>
          <w:rFonts w:ascii="Times New Roman" w:hAnsi="Times New Roman" w:eastAsia="黑体"/>
          <w:b w:val="0"/>
          <w:sz w:val="24"/>
        </w:rPr>
        <w:t>问题 1  立论存在正当性风险，这是必须优先处理的问题</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《世界卫生组织烟草控制框架公约》第 5.3 条要求各缔约方在制定和实施公共卫生政策时防止烟草业的商业利益干预；第 13 条要求全面禁止烟草广告、促销和赞助。论文虽然在两处声明“不是强化吸烟行为本身”，但整体框架仍是烟草商业企业</w:t>
      </w:r>
      <w:r>
        <w:rPr>
          <w:rFonts w:ascii="Times New Roman" w:hAnsi="Times New Roman" w:eastAsia="宋体"/>
          <w:b/>
          <w:sz w:val="24"/>
        </w:rPr>
        <w:t>主动推动</w:t>
      </w:r>
      <w:r>
        <w:rPr>
          <w:rFonts w:ascii="Times New Roman" w:hAnsi="Times New Roman" w:eastAsia="宋体"/>
          <w:b w:val="0"/>
          <w:sz w:val="24"/>
        </w:rPr>
        <w:t>文明吸烟环境建设，且把“合理满足规范需求”作为治理关键。在国内已有多地明确控烟工作不得由烟草企业主导的背景下，这一立论容易被解读为以公共治理之名行营销之实，对单位形象构成实际风险。这是评审必须指出的问题——它不是学术瑕疵，而是发表风险。</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重构立论，把论文定位从“行业如何推动文明吸烟环境建设”改为“</w:t>
      </w:r>
      <w:r>
        <w:rPr>
          <w:rFonts w:ascii="Times New Roman" w:hAnsi="Times New Roman" w:eastAsia="宋体"/>
          <w:b/>
          <w:sz w:val="24"/>
        </w:rPr>
        <w:t>控烟优先前提下，公共空间吸烟外部性的协同治理</w:t>
      </w:r>
      <w:r>
        <w:rPr>
          <w:rFonts w:ascii="Times New Roman" w:hAnsi="Times New Roman" w:eastAsia="宋体"/>
          <w:b w:val="0"/>
          <w:sz w:val="24"/>
        </w:rPr>
        <w:t>”，并明确写入四条边界原则：（1）由政府部门与场所管理单位主导，烟草商业企业仅承担有限的支持性角色；（2）设施不得出现任何品牌标识、广告或冠名元素；（3）不得设于中小学、幼儿园、儿童活动区、母婴候车区等未成年人聚集场所周边；（4）成效评价以“非吸烟者暴露下降”“烟蒂落地量下降”为核心指标，不得以“吸烟便利度”“吸烟者满意度”作为绩效指标。边界清晰之后，论文的学术正当性与实践价值都能成立。</w:t>
      </w:r>
    </w:p>
    <w:p>
      <w:pPr>
        <w:keepNext/>
        <w:spacing w:before="120" w:after="60" w:line="360" w:lineRule="auto"/>
        <w:jc w:val="left"/>
      </w:pPr>
      <w:r>
        <w:rPr>
          <w:rFonts w:ascii="Times New Roman" w:hAnsi="Times New Roman" w:eastAsia="黑体"/>
          <w:b w:val="0"/>
          <w:sz w:val="24"/>
        </w:rPr>
        <w:t>问题 2  没有理论框架，导致对策无处着力</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论文用“协同治理”作为视角，但全文的“协同”只是主体罗列（政府、场所、企业、公众各做什么），没有回答协同的机制问题：谁来召集、成本怎么分担、信息怎么共享、不协同怎么办。</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引入三个有明确操作含义的理论工具：（1）</w:t>
      </w:r>
      <w:r>
        <w:rPr>
          <w:rFonts w:ascii="Times New Roman" w:hAnsi="Times New Roman" w:eastAsia="宋体"/>
          <w:b/>
          <w:sz w:val="24"/>
        </w:rPr>
        <w:t>外部性理论</w:t>
      </w:r>
      <w:r>
        <w:rPr>
          <w:rFonts w:ascii="Times New Roman" w:hAnsi="Times New Roman" w:eastAsia="宋体"/>
          <w:b w:val="0"/>
          <w:sz w:val="24"/>
        </w:rPr>
        <w:t>——把问题界定为负外部性的内部化，设施供给与助推设计是降低外部性的两条调节路径，作用于“行为—外部性”这条边而非结点；（2）</w:t>
      </w:r>
      <w:r>
        <w:rPr>
          <w:rFonts w:ascii="Times New Roman" w:hAnsi="Times New Roman" w:eastAsia="宋体"/>
          <w:b/>
          <w:sz w:val="24"/>
        </w:rPr>
        <w:t>多中心治理</w:t>
      </w:r>
      <w:r>
        <w:rPr>
          <w:rFonts w:ascii="Times New Roman" w:hAnsi="Times New Roman" w:eastAsia="宋体"/>
          <w:b w:val="0"/>
          <w:sz w:val="24"/>
        </w:rPr>
        <w:t>——协同的本质是规则设计（议事平台、成本分担、信息共享、考核联动），不是主体数量的叠加；（3）</w:t>
      </w:r>
      <w:r>
        <w:rPr>
          <w:rFonts w:ascii="Times New Roman" w:hAnsi="Times New Roman" w:eastAsia="宋体"/>
          <w:b/>
          <w:sz w:val="24"/>
        </w:rPr>
        <w:t>助推理论</w:t>
      </w:r>
      <w:r>
        <w:rPr>
          <w:rFonts w:ascii="Times New Roman" w:hAnsi="Times New Roman" w:eastAsia="宋体"/>
          <w:b w:val="0"/>
          <w:sz w:val="24"/>
        </w:rPr>
        <w:t>——文明吸烟行为养成的核心机制是降低规范行为的实施成本（收集装置两步可及、标识 15 米可辨、地面导引），而不是增加禁止性标语。第三条对实践的指导意义最直接：它把“加强宣传”变成了可验收的设计参数。</w:t>
      </w:r>
    </w:p>
    <w:p>
      <w:pPr>
        <w:keepNext/>
        <w:spacing w:before="120" w:after="60" w:line="360" w:lineRule="auto"/>
        <w:jc w:val="left"/>
      </w:pPr>
      <w:r>
        <w:rPr>
          <w:rFonts w:ascii="Times New Roman" w:hAnsi="Times New Roman" w:eastAsia="黑体"/>
          <w:b w:val="0"/>
          <w:sz w:val="24"/>
        </w:rPr>
        <w:t>问题 3  吸烟区选址完全靠定性描述，可以算却没有算</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2.1 与 3.2 节反复讲“布局不合理”“应科学规划”“应因地制宜”，但没有给出任何选址方法。吸烟点选址是典型的设施选址问题，有成熟的模型可用。</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用最大覆盖选址模型（MCLP）求解：以吸烟需求分布为权重，以与敏感点最小间隔为约束，以服务半径内覆盖需求最大化为目标。修改稿在一个 200 m×150 m 的枢纽站前广场情景上做了真实求解，得到两条对实践直接有用的结论：</w:t>
      </w:r>
      <w:r>
        <w:rPr>
          <w:rFonts w:ascii="Times New Roman" w:hAnsi="Times New Roman" w:eastAsia="宋体"/>
          <w:b/>
          <w:sz w:val="24"/>
        </w:rPr>
        <w:t>其一，边际递减明显</w:t>
      </w:r>
      <w:r>
        <w:rPr>
          <w:rFonts w:ascii="Times New Roman" w:hAnsi="Times New Roman" w:eastAsia="宋体"/>
          <w:b w:val="0"/>
          <w:sz w:val="24"/>
        </w:rPr>
        <w:t>——设 1 个点覆盖 30.1%，2 个点 53.8%，3 个点 74.9%，4 个点 87.8%，第 5 个点起边际增量降至 7.7 个百分点以下，说明 4 个点是该场景的性价比拐点，不必贪多；</w:t>
      </w:r>
      <w:r>
        <w:rPr>
          <w:rFonts w:ascii="Times New Roman" w:hAnsi="Times New Roman" w:eastAsia="宋体"/>
          <w:b/>
          <w:sz w:val="24"/>
        </w:rPr>
        <w:t>其二，均匀布点会违反回避约束</w:t>
      </w:r>
      <w:r>
        <w:rPr>
          <w:rFonts w:ascii="Times New Roman" w:hAnsi="Times New Roman" w:eastAsia="宋体"/>
          <w:b w:val="0"/>
          <w:sz w:val="24"/>
        </w:rPr>
        <w:t>——看似合理的等间距布点，其与敏感点的最小距离仅 15.8 米，低于 25 米的回避要求；而优化布点为 28.3 米，在覆盖率相当（87.8% vs 85.2%）的前提下满足了约束。这说明“凭经验均匀布置”这一常见做法恰恰是不安全的。</w:t>
      </w:r>
    </w:p>
    <w:p>
      <w:pPr>
        <w:keepNext/>
        <w:spacing w:before="120" w:after="60" w:line="360" w:lineRule="auto"/>
        <w:jc w:val="left"/>
      </w:pPr>
      <w:r>
        <w:rPr>
          <w:rFonts w:ascii="Times New Roman" w:hAnsi="Times New Roman" w:eastAsia="黑体"/>
          <w:b w:val="0"/>
          <w:sz w:val="24"/>
        </w:rPr>
        <w:t>问题 4  没有任何测量方案，建成后无法评价</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论文提出要“定期评估吸烟区域设置效果”，但没说测什么、怎么测、测多久。结果是各地建了大量吸烟点，却普遍说不清楚到底有没有用。</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给出低成本可执行的三项测量：（1）定点烟蒂计数法（固定 1 m² 样方，双周计数）；（2）便携式 PM2.5 监测（吸烟点上风向/下风向对比）；（3）行为观察编码（规范使用率、烟蒂入桶率）。并配套准实验评估设计（干预点 vs 对照点的双重差分）。修改稿的功效分析给出了一条关键提醒：</w:t>
      </w:r>
      <w:r>
        <w:rPr>
          <w:rFonts w:ascii="Times New Roman" w:hAnsi="Times New Roman" w:eastAsia="宋体"/>
          <w:b/>
          <w:sz w:val="24"/>
        </w:rPr>
        <w:t>要检出 20% 的烟蒂落地量削减，需满足“干预点数×每点观测次数 ≥ 159”</w:t>
      </w:r>
      <w:r>
        <w:rPr>
          <w:rFonts w:ascii="Times New Roman" w:hAnsi="Times New Roman" w:eastAsia="宋体"/>
          <w:b w:val="0"/>
          <w:sz w:val="24"/>
        </w:rPr>
        <w:t>；常见的“选 3 个点观测 4 次”方案的最小可检出效应高达 72.8%，即除非效果极其巨大，否则一定得不出显著结论。这正是当前文明吸烟环境建设“做了但说不清效果”的统计学根源。</w:t>
      </w:r>
    </w:p>
    <w:p>
      <w:pPr>
        <w:keepNext/>
        <w:spacing w:before="160" w:after="80" w:line="360" w:lineRule="auto"/>
        <w:jc w:val="left"/>
      </w:pPr>
      <w:r>
        <w:rPr>
          <w:rFonts w:ascii="Times New Roman" w:hAnsi="Times New Roman" w:eastAsia="黑体"/>
          <w:b w:val="0"/>
          <w:sz w:val="28"/>
        </w:rPr>
        <w:t>（二）可提升之处（侧重实践指导意义）</w:t>
      </w:r>
    </w:p>
    <w:p>
      <w:pPr>
        <w:spacing w:before="0" w:after="0" w:line="360" w:lineRule="auto"/>
        <w:ind w:firstLine="480"/>
        <w:jc w:val="both"/>
      </w:pPr>
      <w:r>
        <w:rPr>
          <w:rFonts w:ascii="Times New Roman" w:hAnsi="Times New Roman" w:eastAsia="宋体"/>
          <w:b/>
          <w:sz w:val="24"/>
        </w:rPr>
        <w:t>把设施与助推设计的叠加效应量化。</w:t>
      </w:r>
      <w:r>
        <w:rPr>
          <w:rFonts w:ascii="Times New Roman" w:hAnsi="Times New Roman" w:eastAsia="宋体"/>
          <w:b w:val="0"/>
          <w:sz w:val="24"/>
        </w:rPr>
        <w:t xml:space="preserve"> 修改稿的行为模型测算显示：4 个优化布点使日烟蒂落地量较无设施基线削减 31.7%；叠加助推设计（收集装置两步可及）后削减率升至 44.6%；增至 6 个点并保留助推设计为 52.2%。关键结论是：</w:t>
      </w:r>
      <w:r>
        <w:rPr>
          <w:rFonts w:ascii="Times New Roman" w:hAnsi="Times New Roman" w:eastAsia="宋体"/>
          <w:b/>
          <w:sz w:val="24"/>
        </w:rPr>
        <w:t>在已有 4 个点的基础上，改进助推设计（+12.9 个百分点）比再增设 2 个点（+7.6 个百分点）更划算</w:t>
      </w:r>
      <w:r>
        <w:rPr>
          <w:rFonts w:ascii="Times New Roman" w:hAnsi="Times New Roman" w:eastAsia="宋体"/>
          <w:b w:val="0"/>
          <w:sz w:val="24"/>
        </w:rPr>
        <w:t>，而前者成本远低于后者。这为有限预算下的投入排序提供了直接依据。</w:t>
      </w:r>
    </w:p>
    <w:p>
      <w:pPr>
        <w:spacing w:before="0" w:after="0" w:line="360" w:lineRule="auto"/>
        <w:ind w:firstLine="480"/>
        <w:jc w:val="both"/>
      </w:pPr>
      <w:r>
        <w:rPr>
          <w:rFonts w:ascii="Times New Roman" w:hAnsi="Times New Roman" w:eastAsia="宋体"/>
          <w:b/>
          <w:sz w:val="24"/>
        </w:rPr>
        <w:t>用成熟度评估找出协同的真实短板。</w:t>
      </w:r>
      <w:r>
        <w:rPr>
          <w:rFonts w:ascii="Times New Roman" w:hAnsi="Times New Roman" w:eastAsia="宋体"/>
          <w:b w:val="0"/>
          <w:sz w:val="24"/>
        </w:rPr>
        <w:t xml:space="preserve"> 修改稿对五维协同治理成熟度做了评分，现状与三年目标的差距依次为：成本分担机制 2.2、信息共享程度 1.9、标准统一程度 1.8、公众参与深度 1.6、职责分工明确度 1.3。</w:t>
      </w:r>
      <w:r>
        <w:rPr>
          <w:rFonts w:ascii="Times New Roman" w:hAnsi="Times New Roman" w:eastAsia="宋体"/>
          <w:b/>
          <w:sz w:val="24"/>
        </w:rPr>
        <w:t>成本分担机制是最大短板</w:t>
      </w:r>
      <w:r>
        <w:rPr>
          <w:rFonts w:ascii="Times New Roman" w:hAnsi="Times New Roman" w:eastAsia="宋体"/>
          <w:b w:val="0"/>
          <w:sz w:val="24"/>
        </w:rPr>
        <w:t>——这与论文的判断（认为职责分工是主要问题）不同，也更符合实际：多主体协同失败通常不是因为不知道谁该做什么，而是因为没人愿意出钱。建议单列一节讨论成本分担规则。</w:t>
      </w:r>
    </w:p>
    <w:p>
      <w:pPr>
        <w:spacing w:before="0" w:after="0" w:line="360" w:lineRule="auto"/>
        <w:ind w:firstLine="480"/>
        <w:jc w:val="both"/>
      </w:pPr>
      <w:r>
        <w:rPr>
          <w:rFonts w:ascii="Times New Roman" w:hAnsi="Times New Roman" w:eastAsia="宋体"/>
          <w:b/>
          <w:sz w:val="24"/>
        </w:rPr>
        <w:t>明确“不做什么”与“做什么”同样重要。</w:t>
      </w:r>
      <w:r>
        <w:rPr>
          <w:rFonts w:ascii="Times New Roman" w:hAnsi="Times New Roman" w:eastAsia="宋体"/>
          <w:b w:val="0"/>
          <w:sz w:val="24"/>
        </w:rPr>
        <w:t xml:space="preserve"> 建议在论文中以图表形式给出可为/不可为清单，这既是行业自我保护，也是论文学术正当性的体现。</w:t>
      </w:r>
    </w:p>
    <w:p>
      <w:pPr>
        <w:spacing w:before="0" w:after="0" w:line="360" w:lineRule="auto"/>
        <w:ind w:firstLine="480"/>
        <w:jc w:val="both"/>
      </w:pPr>
      <w:r>
        <w:rPr>
          <w:rFonts w:ascii="Times New Roman" w:hAnsi="Times New Roman" w:eastAsia="宋体"/>
          <w:b/>
          <w:sz w:val="24"/>
        </w:rPr>
        <w:t>烟草商业企业的角色定位应当收窄且写实。</w:t>
      </w:r>
      <w:r>
        <w:rPr>
          <w:rFonts w:ascii="Times New Roman" w:hAnsi="Times New Roman" w:eastAsia="宋体"/>
          <w:b w:val="0"/>
          <w:sz w:val="24"/>
        </w:rPr>
        <w:t xml:space="preserve"> 建议限定为三项：设施出资但不冠名、烟蒂清理与保洁支持、无品牌元素的文明提示物料。越具体，越不容易被误读。</w:t>
      </w:r>
    </w:p>
    <w:p>
      <w:pPr>
        <w:spacing w:before="0" w:after="0" w:line="360" w:lineRule="auto"/>
        <w:ind w:firstLine="480"/>
        <w:jc w:val="both"/>
      </w:pPr>
      <w:r>
        <w:rPr>
          <w:rFonts w:ascii="Times New Roman" w:hAnsi="Times New Roman" w:eastAsia="宋体"/>
          <w:b/>
          <w:sz w:val="24"/>
        </w:rPr>
        <w:t>补充五张图。</w:t>
      </w:r>
      <w:r>
        <w:rPr>
          <w:rFonts w:ascii="Times New Roman" w:hAnsi="Times New Roman" w:eastAsia="宋体"/>
          <w:b w:val="0"/>
          <w:sz w:val="24"/>
        </w:rPr>
        <w:t xml:space="preserve"> 吸烟外部性治理机制图、控烟优先前提下的角色边界图、多中心协同治理结构图、助推式吸烟点设计要素示意图、建设—评估—改进闭环路径图。</w:t>
      </w:r>
    </w:p>
    <w:p>
      <w:r>
        <w:br w:type="page"/>
      </w:r>
    </w:p>
    <w:p>
      <w:pPr>
        <w:keepNext/>
        <w:spacing w:before="240" w:after="120" w:line="360" w:lineRule="auto"/>
        <w:jc w:val="left"/>
      </w:pPr>
      <w:r>
        <w:rPr>
          <w:rFonts w:ascii="Times New Roman" w:hAnsi="Times New Roman" w:eastAsia="黑体"/>
          <w:b/>
          <w:sz w:val="30"/>
        </w:rPr>
        <w:t>六、论文五《基于机器学习的新型烟草制品高价值专利识别研究》</w:t>
      </w:r>
    </w:p>
    <w:p>
      <w:pPr>
        <w:spacing w:before="0" w:after="0" w:line="360" w:lineRule="auto"/>
        <w:ind w:firstLine="0"/>
        <w:jc w:val="both"/>
      </w:pPr>
      <w:r>
        <w:rPr>
          <w:rFonts w:ascii="Times New Roman" w:hAnsi="Times New Roman" w:eastAsia="宋体"/>
          <w:b w:val="0"/>
          <w:sz w:val="24"/>
        </w:rPr>
        <w:t>作者：张子扬、郭宾文（海盐县烟草专卖局分公司）</w:t>
      </w:r>
    </w:p>
    <w:p>
      <w:pPr>
        <w:spacing w:before="0" w:after="0" w:line="360" w:lineRule="auto"/>
        <w:ind w:firstLine="0"/>
        <w:jc w:val="both"/>
      </w:pPr>
      <w:r>
        <w:rPr>
          <w:rFonts w:ascii="Times New Roman" w:hAnsi="Times New Roman" w:eastAsia="宋体"/>
          <w:b w:val="0"/>
          <w:sz w:val="24"/>
        </w:rPr>
        <w:t>总体判断：五篇中方法最规范的一篇——数据来源明确、流程完整、结论量化、对 PCA 仅用于可视化、DBSCAN 两次独立应用等细节都做了说明，作者的方法学意识明显强于其他几篇。但存在一处根本性缺陷，若不修补，全文 95.92% 的准确率不具有实质意义。</w:t>
      </w:r>
    </w:p>
    <w:p>
      <w:pPr>
        <w:keepNext/>
        <w:spacing w:before="160" w:after="80" w:line="360" w:lineRule="auto"/>
        <w:jc w:val="left"/>
      </w:pPr>
      <w:r>
        <w:rPr>
          <w:rFonts w:ascii="Times New Roman" w:hAnsi="Times New Roman" w:eastAsia="黑体"/>
          <w:b w:val="0"/>
          <w:sz w:val="28"/>
        </w:rPr>
        <w:t>（一）重点问题及解决办法</w:t>
      </w:r>
    </w:p>
    <w:p>
      <w:pPr>
        <w:keepNext/>
        <w:spacing w:before="120" w:after="60" w:line="360" w:lineRule="auto"/>
        <w:jc w:val="left"/>
      </w:pPr>
      <w:r>
        <w:rPr>
          <w:rFonts w:ascii="Times New Roman" w:hAnsi="Times New Roman" w:eastAsia="黑体"/>
          <w:b w:val="0"/>
          <w:sz w:val="24"/>
        </w:rPr>
        <w:t>问题 1  标签与特征同源，构成循环论证（最关键问题）</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4.1 节用专利参考文献引用数、权利要求计数、发明人计数、DWPI 同族专利成员数四项指标经熵权法构造价值标签；5.1 节的模型特征集又包含这四项指标。于是模型是在用这四项指标去预测由这四项指标算出的标签——这不是识别高价值专利，而是重新拟合自己定义的公式。表 2 的 Gini 重要度也印证了这一点：排名第一的“引用的参考文献数-专利”（0.4539）正是标签构造指标之一，前三项重要特征中有三项都是标签构造指标，重要度合计 0.7224。95.92% 的准确率主要来自同义反复。</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三项检验必须补做，缺一不可：（1）</w:t>
      </w:r>
      <w:r>
        <w:rPr>
          <w:rFonts w:ascii="Times New Roman" w:hAnsi="Times New Roman" w:eastAsia="宋体"/>
          <w:b/>
          <w:sz w:val="24"/>
        </w:rPr>
        <w:t>剔除同源特征后重训</w:t>
      </w:r>
      <w:r>
        <w:rPr>
          <w:rFonts w:ascii="Times New Roman" w:hAnsi="Times New Roman" w:eastAsia="宋体"/>
          <w:b w:val="0"/>
          <w:sz w:val="24"/>
        </w:rPr>
        <w:t>——把四项标签构造指标从特征集中移除，观察准确率跌幅；若跌至接近多数类基准，则循环论证成立；（2）</w:t>
      </w:r>
      <w:r>
        <w:rPr>
          <w:rFonts w:ascii="Times New Roman" w:hAnsi="Times New Roman" w:eastAsia="宋体"/>
          <w:b/>
          <w:sz w:val="24"/>
        </w:rPr>
        <w:t>引入独立价值代理变量</w:t>
      </w:r>
      <w:r>
        <w:rPr>
          <w:rFonts w:ascii="Times New Roman" w:hAnsi="Times New Roman" w:eastAsia="宋体"/>
          <w:b w:val="0"/>
          <w:sz w:val="24"/>
        </w:rPr>
        <w:t>——专利维持年限/缴费年限、是否发生转让或许可、是否被质押、是否被提起无效宣告、是否涉诉；这些变量不参与标签构造，可作为外部效标检验模型识别的是否为真实价值；（3）</w:t>
      </w:r>
      <w:r>
        <w:rPr>
          <w:rFonts w:ascii="Times New Roman" w:hAnsi="Times New Roman" w:eastAsia="宋体"/>
          <w:b/>
          <w:sz w:val="24"/>
        </w:rPr>
        <w:t>专家标注留出集</w:t>
      </w:r>
      <w:r>
        <w:rPr>
          <w:rFonts w:ascii="Times New Roman" w:hAnsi="Times New Roman" w:eastAsia="宋体"/>
          <w:b w:val="0"/>
          <w:sz w:val="24"/>
        </w:rPr>
        <w:t>——请 2 名以上知识产权专家对 100—200 条专利独立标注，计算与模型输出的 Cohen's Kappa。修改稿在一个与原文边际统计接近的合成数据集上演示了第一项检验：全特征集准确率 96.63%，剔除四项同源指标后跌至 61.10%，</w:t>
      </w:r>
      <w:r>
        <w:rPr>
          <w:rFonts w:ascii="Times New Roman" w:hAnsi="Times New Roman" w:eastAsia="宋体"/>
          <w:b/>
          <w:sz w:val="24"/>
        </w:rPr>
        <w:t>下降 35.53 个百分点，仅比多数类基准 59.14% 高 1.96 个百分点</w:t>
      </w:r>
      <w:r>
        <w:rPr>
          <w:rFonts w:ascii="Times New Roman" w:hAnsi="Times New Roman" w:eastAsia="宋体"/>
          <w:b w:val="0"/>
          <w:sz w:val="24"/>
        </w:rPr>
        <w:t>。这就是循环论证的量化证据。请务必在原始 DII 数据上重跑这一检验。</w:t>
      </w:r>
    </w:p>
    <w:p>
      <w:pPr>
        <w:keepNext/>
        <w:spacing w:before="120" w:after="60" w:line="360" w:lineRule="auto"/>
        <w:jc w:val="left"/>
      </w:pPr>
      <w:r>
        <w:rPr>
          <w:rFonts w:ascii="Times New Roman" w:hAnsi="Times New Roman" w:eastAsia="黑体"/>
          <w:b w:val="0"/>
          <w:sz w:val="24"/>
        </w:rPr>
        <w:t>问题 2  “随机猜测的基准准确率约为 63.34%”是概念误用</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5.2 节称“样本天然呈价值右偏分布，随机猜测的基准准确率约为 63.34%”。63.34% 是低价值专利的占比，对应的是</w:t>
      </w:r>
      <w:r>
        <w:rPr>
          <w:rFonts w:ascii="Times New Roman" w:hAnsi="Times New Roman" w:eastAsia="宋体"/>
          <w:b/>
          <w:sz w:val="24"/>
        </w:rPr>
        <w:t>多数类基准</w:t>
      </w:r>
      <w:r>
        <w:rPr>
          <w:rFonts w:ascii="Times New Roman" w:hAnsi="Times New Roman" w:eastAsia="宋体"/>
          <w:b w:val="0"/>
          <w:sz w:val="24"/>
        </w:rPr>
        <w:t>（全部判为低价值），不是随机猜测——三分类随机猜测的准确率约为 33.3%。这不是措辞问题，而是会误导读者高估模型价值。</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改为“多数类基准”，并同时报告分层随机基准。更重要的是要说明：在极不平衡（高价值仅 5.87%）的场景下，总体准确率本身几乎不含信息。</w:t>
      </w:r>
    </w:p>
    <w:p>
      <w:pPr>
        <w:keepNext/>
        <w:spacing w:before="120" w:after="60" w:line="360" w:lineRule="auto"/>
        <w:jc w:val="left"/>
      </w:pPr>
      <w:r>
        <w:rPr>
          <w:rFonts w:ascii="Times New Roman" w:hAnsi="Times New Roman" w:eastAsia="黑体"/>
          <w:b w:val="0"/>
          <w:sz w:val="24"/>
        </w:rPr>
        <w:t>问题 3  在类极不平衡下只报总体准确率，无法评价高价值识别能力</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4.3 节声明以“整体分类准确率、高价值专利召回率”为核心指标，但 5.2 节的结果只报了整体准确率，高价值召回率通篇未出现。而论文的全部实践价值恰恰在于识别那 5.87% 的高价值专利。</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必须补报高价值类的精确率、召回率、F1、PR-AUC、MCC 与完整混淆矩阵。修改稿据原文数据做了一项可行域分析，结论非常直观：</w:t>
      </w:r>
      <w:r>
        <w:rPr>
          <w:rFonts w:ascii="Times New Roman" w:hAnsi="Times New Roman" w:eastAsia="宋体"/>
          <w:b/>
          <w:sz w:val="24"/>
        </w:rPr>
        <w:t>在总体准确率 95.92% 的约束下，高价值类召回率的可行区间是 31.0%—100.0%；即便模型对高价值专利的召回率为 0，总体准确率仍可达到 94.13%</w:t>
      </w:r>
      <w:r>
        <w:rPr>
          <w:rFonts w:ascii="Times New Roman" w:hAnsi="Times New Roman" w:eastAsia="宋体"/>
          <w:b w:val="0"/>
          <w:sz w:val="24"/>
        </w:rPr>
        <w:t>。原文报告的 95.92% 只比“完全识别不出高价值专利”的情形高 1.79 个百分点。这说明现有指标体系无法证明模型具备高价值识别能力。</w:t>
      </w:r>
    </w:p>
    <w:p>
      <w:pPr>
        <w:keepNext/>
        <w:spacing w:before="120" w:after="60" w:line="360" w:lineRule="auto"/>
        <w:jc w:val="left"/>
      </w:pPr>
      <w:r>
        <w:rPr>
          <w:rFonts w:ascii="Times New Roman" w:hAnsi="Times New Roman" w:eastAsia="黑体"/>
          <w:b w:val="0"/>
          <w:sz w:val="24"/>
        </w:rPr>
        <w:t>问题 4  引用截断偏差未处理，会系统性低估近年专利</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样本跨 2010—2024 年，而专利引用数与同族规模是随时间累积的存量指标。2023—2024 年公开的专利即使技术价值很高，引用数也必然接近于零。用未经年龄调整的引用指标构造价值标签，必然系统性地把近年专利判为低价值——而近年专利恰恰是行业最关心的技术前沿。这是专利计量的常识性问题，审稿人必问。</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改用</w:t>
      </w:r>
      <w:r>
        <w:rPr>
          <w:rFonts w:ascii="Times New Roman" w:hAnsi="Times New Roman" w:eastAsia="宋体"/>
          <w:b/>
          <w:sz w:val="24"/>
        </w:rPr>
        <w:t>同年同 IPC 大类内的分位数</w:t>
      </w:r>
      <w:r>
        <w:rPr>
          <w:rFonts w:ascii="Times New Roman" w:hAnsi="Times New Roman" w:eastAsia="宋体"/>
          <w:b w:val="0"/>
          <w:sz w:val="24"/>
        </w:rPr>
        <w:t>替代原始计数值进入标签构造，或在模型中显式控制专利年龄。修改稿的演示显示，未做调整时公开年与高价值占比的 Spearman 相关系数达 −0.986（p&lt;0.001），2010 年公开专利的高价值占比为 25.81%，2024 年仅 3.17%——这个梯度几乎完全由截断效应造成，而非真实的技术质量下降。顺带说明：论文 5.3.3 节把高价值核心集群 97.67% 的 DWPI 标引缺失率解释为“新兴核心技术标引滞后”，而把极高价值尖端集群 80.0% 的缺失率解释为“早期专利标引完整”——两处解释方向相反且都是事后归因，在控制专利年龄后应重新检验。</w:t>
      </w:r>
    </w:p>
    <w:p>
      <w:pPr>
        <w:keepNext/>
        <w:spacing w:before="120" w:after="60" w:line="360" w:lineRule="auto"/>
        <w:jc w:val="left"/>
      </w:pPr>
      <w:r>
        <w:rPr>
          <w:rFonts w:ascii="Times New Roman" w:hAnsi="Times New Roman" w:eastAsia="黑体"/>
          <w:b w:val="0"/>
          <w:sz w:val="24"/>
        </w:rPr>
        <w:t>问题 5  模型比较的统计检验方法选择不当</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5.2 节对 10 折交叉验证的两组准确率做配对 t 检验得 p&lt;0.05。该做法已知存在问题：10 折的各折训练集高度重叠，违反独立性假设，会低估方差、放大第 I 类错误（Dietterich, 1998）。以此支撑 1.29 个百分点的提升，证据强度不足。</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改用 5×2cv 配对 t 检验或 Nadeau–Bengio 修正重采样 t 检验。同时要讨论</w:t>
      </w:r>
      <w:r>
        <w:rPr>
          <w:rFonts w:ascii="Times New Roman" w:hAnsi="Times New Roman" w:eastAsia="宋体"/>
          <w:b/>
          <w:sz w:val="24"/>
        </w:rPr>
        <w:t>实践显著性</w:t>
      </w:r>
      <w:r>
        <w:rPr>
          <w:rFonts w:ascii="Times New Roman" w:hAnsi="Times New Roman" w:eastAsia="宋体"/>
          <w:b w:val="0"/>
          <w:sz w:val="24"/>
        </w:rPr>
        <w:t>：1.29 个百分点在 4954 条样本上约相当于 64 条专利的分类结果改变，对专利筛查工作意味着什么，需要正面说明。另需注意：修改稿在合成数据上复现该剪枝方法时未能重现增益（剪枝后反而下降 5.11 个百分点），说明该方法的增益依赖于数据的树间同质化程度与聚类参数设定，并非普遍成立——这更加说明必须用更稳健的检验来确认。</w:t>
      </w:r>
    </w:p>
    <w:p>
      <w:pPr>
        <w:keepNext/>
        <w:spacing w:before="120" w:after="60" w:line="360" w:lineRule="auto"/>
        <w:jc w:val="left"/>
      </w:pPr>
      <w:r>
        <w:rPr>
          <w:rFonts w:ascii="Times New Roman" w:hAnsi="Times New Roman" w:eastAsia="黑体"/>
          <w:b w:val="0"/>
          <w:sz w:val="24"/>
        </w:rPr>
        <w:t>问题 6  特征筛选与模型评估共用同一份数据</w:t>
      </w:r>
    </w:p>
    <w:p>
      <w:pPr>
        <w:spacing w:before="0" w:after="0" w:line="360" w:lineRule="auto"/>
        <w:ind w:firstLine="480"/>
        <w:jc w:val="both"/>
      </w:pPr>
      <w:r>
        <w:rPr>
          <w:rFonts w:ascii="Times New Roman" w:hAnsi="Times New Roman" w:eastAsia="宋体"/>
          <w:b/>
          <w:sz w:val="24"/>
        </w:rPr>
        <w:t>问题：</w:t>
      </w:r>
      <w:r>
        <w:rPr>
          <w:rFonts w:ascii="Times New Roman" w:hAnsi="Times New Roman" w:eastAsia="宋体"/>
          <w:b w:val="0"/>
          <w:sz w:val="24"/>
        </w:rPr>
        <w:t>5.1.2 节用 5 折交叉验证筛出最优特征子集（95.58%），5.2 节又用 10 折交叉验证评估最终模型（95.92%）。两者折数不一致，且特征筛选已经“看过”全部数据，再用同一份数据评估会产生乐观偏差。</w:t>
      </w:r>
    </w:p>
    <w:p>
      <w:pPr>
        <w:spacing w:before="0" w:after="0" w:line="360" w:lineRule="auto"/>
        <w:ind w:firstLine="480"/>
        <w:jc w:val="both"/>
      </w:pPr>
      <w:r>
        <w:rPr>
          <w:rFonts w:ascii="Times New Roman" w:hAnsi="Times New Roman" w:eastAsia="宋体"/>
          <w:b/>
          <w:sz w:val="24"/>
        </w:rPr>
        <w:t>解决办法：</w:t>
      </w:r>
      <w:r>
        <w:rPr>
          <w:rFonts w:ascii="Times New Roman" w:hAnsi="Times New Roman" w:eastAsia="宋体"/>
          <w:b w:val="0"/>
          <w:sz w:val="24"/>
        </w:rPr>
        <w:t>采用嵌套交叉验证——外层用于性能估计，内层用于特征筛选与超参数调优；或划分独立的留出测试集，全流程只在最后使用一次。</w:t>
      </w:r>
    </w:p>
    <w:p>
      <w:pPr>
        <w:keepNext/>
        <w:spacing w:before="160" w:after="80" w:line="360" w:lineRule="auto"/>
        <w:jc w:val="left"/>
      </w:pPr>
      <w:r>
        <w:rPr>
          <w:rFonts w:ascii="Times New Roman" w:hAnsi="Times New Roman" w:eastAsia="黑体"/>
          <w:b w:val="0"/>
          <w:sz w:val="28"/>
        </w:rPr>
        <w:t>（二）可提升之处（侧重实践指导意义）</w:t>
      </w:r>
    </w:p>
    <w:p>
      <w:pPr>
        <w:spacing w:before="0" w:after="0" w:line="360" w:lineRule="auto"/>
        <w:ind w:firstLine="480"/>
        <w:jc w:val="both"/>
      </w:pPr>
      <w:r>
        <w:rPr>
          <w:rFonts w:ascii="Times New Roman" w:hAnsi="Times New Roman" w:eastAsia="宋体"/>
          <w:b/>
          <w:sz w:val="24"/>
        </w:rPr>
        <w:t>研究结论的落点与作者岗位、单位职能严重错位——这是本文最大的可提升空间。</w:t>
      </w:r>
      <w:r>
        <w:rPr>
          <w:rFonts w:ascii="Times New Roman" w:hAnsi="Times New Roman" w:eastAsia="宋体"/>
          <w:b w:val="0"/>
          <w:sz w:val="24"/>
        </w:rPr>
        <w:t xml:space="preserve"> 第 6 章的三条建议（减少低门槛改良研究、向烟草基质配方与核心加热元件倾斜、依托产学研攻关共性技术）是面向卷烟工业企业研发部门的，而作者是县级局客户经理，嘉兴市局的职能是专卖管理而非技术研发；同时，加热不燃烧烟草制品在国内尚未获准销售，电子烟实行专卖管制，这些建议在本单位没有任何执行接口。建议把应用出口改到专卖管理职能上，具体三条通路：（1）</w:t>
      </w:r>
      <w:r>
        <w:rPr>
          <w:rFonts w:ascii="Times New Roman" w:hAnsi="Times New Roman" w:eastAsia="宋体"/>
          <w:b/>
          <w:sz w:val="24"/>
        </w:rPr>
        <w:t>海外核心专利壁垒预警</w:t>
      </w:r>
      <w:r>
        <w:rPr>
          <w:rFonts w:ascii="Times New Roman" w:hAnsi="Times New Roman" w:eastAsia="宋体"/>
          <w:b w:val="0"/>
          <w:sz w:val="24"/>
        </w:rPr>
        <w:t>——锁定境外烟草巨头的高价值专利族，识别技术封锁点，为行业出海提供预警；（2）</w:t>
      </w:r>
      <w:r>
        <w:rPr>
          <w:rFonts w:ascii="Times New Roman" w:hAnsi="Times New Roman" w:eastAsia="宋体"/>
          <w:b/>
          <w:sz w:val="24"/>
        </w:rPr>
        <w:t>自由实施（FTO）排查</w:t>
      </w:r>
      <w:r>
        <w:rPr>
          <w:rFonts w:ascii="Times New Roman" w:hAnsi="Times New Roman" w:eastAsia="宋体"/>
          <w:b w:val="0"/>
          <w:sz w:val="24"/>
        </w:rPr>
        <w:t>——为工业企业新品出海提供侵权风险清单；（3）</w:t>
      </w:r>
      <w:r>
        <w:rPr>
          <w:rFonts w:ascii="Times New Roman" w:hAnsi="Times New Roman" w:eastAsia="宋体"/>
          <w:b/>
          <w:sz w:val="24"/>
        </w:rPr>
        <w:t>非法制品技术特征溯源</w:t>
      </w:r>
      <w:r>
        <w:rPr>
          <w:rFonts w:ascii="Times New Roman" w:hAnsi="Times New Roman" w:eastAsia="宋体"/>
          <w:b w:val="0"/>
          <w:sz w:val="24"/>
        </w:rPr>
        <w:t>——以专利技术特征比对辅助涉案新型烟草制品的认定与鉴别。第三条与专卖稽查业务直接相关，最具落地价值。</w:t>
      </w:r>
    </w:p>
    <w:p>
      <w:pPr>
        <w:spacing w:before="0" w:after="0" w:line="360" w:lineRule="auto"/>
        <w:ind w:firstLine="480"/>
        <w:jc w:val="both"/>
      </w:pPr>
      <w:r>
        <w:rPr>
          <w:rFonts w:ascii="Times New Roman" w:hAnsi="Times New Roman" w:eastAsia="宋体"/>
          <w:b/>
          <w:sz w:val="24"/>
        </w:rPr>
        <w:t>建议增加成本—收益视角的实用结论。</w:t>
      </w:r>
      <w:r>
        <w:rPr>
          <w:rFonts w:ascii="Times New Roman" w:hAnsi="Times New Roman" w:eastAsia="宋体"/>
          <w:b w:val="0"/>
          <w:sz w:val="24"/>
        </w:rPr>
        <w:t xml:space="preserve"> 论文已经发现 63.34% 的专利属低价值外围改良，顺势可以给出存量专利分级维护的年费测算：低价值专利有序放弃可节省多少维护成本，这是知识产权管理部门最关心的数字。</w:t>
      </w:r>
    </w:p>
    <w:p>
      <w:pPr>
        <w:spacing w:before="0" w:after="0" w:line="360" w:lineRule="auto"/>
        <w:ind w:firstLine="480"/>
        <w:jc w:val="both"/>
      </w:pPr>
      <w:r>
        <w:rPr>
          <w:rFonts w:ascii="Times New Roman" w:hAnsi="Times New Roman" w:eastAsia="宋体"/>
          <w:b/>
          <w:sz w:val="24"/>
        </w:rPr>
        <w:t>聚类结果的“文本特征验证”不构成独立验证。</w:t>
      </w:r>
      <w:r>
        <w:rPr>
          <w:rFonts w:ascii="Times New Roman" w:hAnsi="Times New Roman" w:eastAsia="宋体"/>
          <w:b w:val="0"/>
          <w:sz w:val="24"/>
        </w:rPr>
        <w:t xml:space="preserve"> 5.3.3 节用技术关键词与权利要求长度验证聚类合理性，思路可取；但聚类所用特征与标签同源，各组高价值占比 2.1%/27.2%/95.2%/100% 是构造的必然结果。修改稿据原文数据重构了列联表并做了检验（χ²=2665，Cramér's V=0.519），关联确实极强，但这一强关联无法作为聚类有效性的独立证据，需在文中明确说明。</w:t>
      </w:r>
    </w:p>
    <w:p>
      <w:pPr>
        <w:spacing w:before="0" w:after="0" w:line="360" w:lineRule="auto"/>
        <w:ind w:firstLine="480"/>
        <w:jc w:val="both"/>
      </w:pPr>
      <w:r>
        <w:rPr>
          <w:rFonts w:ascii="Times New Roman" w:hAnsi="Times New Roman" w:eastAsia="宋体"/>
          <w:b/>
          <w:sz w:val="24"/>
        </w:rPr>
        <w:t>建议补充首项权利要求长度分析的稳健性。</w:t>
      </w:r>
      <w:r>
        <w:rPr>
          <w:rFonts w:ascii="Times New Roman" w:hAnsi="Times New Roman" w:eastAsia="宋体"/>
          <w:b w:val="0"/>
          <w:sz w:val="24"/>
        </w:rPr>
        <w:t xml:space="preserve"> 极高价值尖端集群首权项仅 546 字符，低于高价值核心集群的 885.5 字符，论文解释为“单点前沿材料/工艺的精准保护”。该解释合理但需要证据：建议补充独立权利要求的技术特征数量统计，字符数受语言与撰写习惯影响较大，技术特征数是更稳健的度量。</w:t>
      </w:r>
    </w:p>
    <w:p>
      <w:pPr>
        <w:spacing w:before="0" w:after="0" w:line="360" w:lineRule="auto"/>
        <w:ind w:firstLine="480"/>
        <w:jc w:val="both"/>
      </w:pPr>
      <w:r>
        <w:rPr>
          <w:rFonts w:ascii="Times New Roman" w:hAnsi="Times New Roman" w:eastAsia="宋体"/>
          <w:b/>
          <w:sz w:val="24"/>
        </w:rPr>
        <w:t>补充五张图。</w:t>
      </w:r>
      <w:r>
        <w:rPr>
          <w:rFonts w:ascii="Times New Roman" w:hAnsi="Times New Roman" w:eastAsia="宋体"/>
          <w:b w:val="0"/>
          <w:sz w:val="24"/>
        </w:rPr>
        <w:t xml:space="preserve"> 研究技术路线图、DBSCAN 剪枝随机森林模型结构机制图、循环论证问题与外部效度检验设计示意图、价值分层与技术赛道分布示意图、专卖管理场景应用路径图。</w:t>
      </w:r>
    </w:p>
    <w:p>
      <w:r>
        <w:br w:type="page"/>
      </w:r>
    </w:p>
    <w:p>
      <w:pPr>
        <w:keepNext/>
        <w:spacing w:before="240" w:after="120" w:line="360" w:lineRule="auto"/>
        <w:jc w:val="left"/>
      </w:pPr>
      <w:r>
        <w:rPr>
          <w:rFonts w:ascii="Times New Roman" w:hAnsi="Times New Roman" w:eastAsia="黑体"/>
          <w:b/>
          <w:sz w:val="30"/>
        </w:rPr>
        <w:t>七、修改稿完成情况说明</w:t>
      </w:r>
    </w:p>
    <w:p>
      <w:pPr>
        <w:spacing w:before="0" w:after="0" w:line="360" w:lineRule="auto"/>
        <w:ind w:firstLine="480"/>
        <w:jc w:val="both"/>
      </w:pPr>
      <w:r>
        <w:rPr>
          <w:rFonts w:ascii="Times New Roman" w:hAnsi="Times New Roman" w:eastAsia="宋体"/>
          <w:b w:val="0"/>
          <w:sz w:val="24"/>
        </w:rPr>
        <w:t>依据上述意见，已同步完成五篇论文的修改稿。五篇修改稿的主要改动汇总于表 1。</w:t>
      </w:r>
    </w:p>
    <w:p>
      <w:pPr>
        <w:keepNext/>
        <w:spacing w:before="160" w:after="40" w:line="240" w:lineRule="auto"/>
        <w:jc w:val="center"/>
      </w:pPr>
      <w:r>
        <w:rPr>
          <w:rFonts w:ascii="Times New Roman" w:hAnsi="Times New Roman" w:eastAsia="黑体"/>
          <w:b w:val="0"/>
          <w:sz w:val="21"/>
        </w:rPr>
        <w:t>表 1  五篇论文修改稿的主要改动</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907"/>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论文</w:t>
            </w:r>
          </w:p>
        </w:tc>
        <w:tc>
          <w:tcPr>
            <w:tcW w:type="dxa" w:w="260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结构性改动</w:t>
            </w:r>
          </w:p>
        </w:tc>
        <w:tc>
          <w:tcPr>
            <w:tcW w:type="dxa" w:w="1020"/>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新增概念图</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新增数据分析</w:t>
            </w:r>
          </w:p>
        </w:tc>
        <w:tc>
          <w:tcPr>
            <w:tcW w:type="dxa" w:w="2835"/>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核心补强</w:t>
            </w:r>
          </w:p>
        </w:tc>
      </w:tr>
      <w:tr>
        <w:tc>
          <w:tcPr>
            <w:tcW w:type="dxa" w:w="907"/>
          </w:tcPr>
          <w:p>
            <w:pPr>
              <w:spacing w:before="40" w:after="40" w:line="240" w:lineRule="auto"/>
              <w:jc w:val="left"/>
            </w:pPr>
            <w:r/>
            <w:r>
              <w:rPr>
                <w:rFonts w:ascii="Times New Roman" w:hAnsi="Times New Roman" w:eastAsia="宋体"/>
                <w:b w:val="0"/>
                <w:sz w:val="18"/>
              </w:rPr>
              <w:t>论文一</w:t>
            </w:r>
          </w:p>
        </w:tc>
        <w:tc>
          <w:tcPr>
            <w:tcW w:type="dxa" w:w="2608"/>
          </w:tcPr>
          <w:p>
            <w:pPr>
              <w:spacing w:before="40" w:after="40" w:line="240" w:lineRule="auto"/>
              <w:jc w:val="center"/>
            </w:pPr>
            <w:r/>
            <w:r>
              <w:rPr>
                <w:rFonts w:ascii="Times New Roman" w:hAnsi="Times New Roman" w:eastAsia="宋体"/>
                <w:b w:val="0"/>
                <w:sz w:val="18"/>
              </w:rPr>
              <w:t>重排为七章，新增“数据合规与算法治理”章</w:t>
            </w:r>
          </w:p>
        </w:tc>
        <w:tc>
          <w:tcPr>
            <w:tcW w:type="dxa" w:w="1020"/>
          </w:tcPr>
          <w:p>
            <w:pPr>
              <w:spacing w:before="40" w:after="40" w:line="240" w:lineRule="auto"/>
              <w:jc w:val="center"/>
            </w:pPr>
            <w:r/>
            <w:r>
              <w:rPr>
                <w:rFonts w:ascii="Times New Roman" w:hAnsi="Times New Roman" w:eastAsia="宋体"/>
                <w:b w:val="0"/>
                <w:sz w:val="18"/>
              </w:rPr>
              <w:t>5 张</w:t>
            </w:r>
          </w:p>
        </w:tc>
        <w:tc>
          <w:tcPr>
            <w:tcW w:type="dxa" w:w="1134"/>
          </w:tcPr>
          <w:p>
            <w:pPr>
              <w:spacing w:before="40" w:after="40" w:line="240" w:lineRule="auto"/>
              <w:jc w:val="center"/>
            </w:pPr>
            <w:r/>
            <w:r>
              <w:rPr>
                <w:rFonts w:ascii="Times New Roman" w:hAnsi="Times New Roman" w:eastAsia="宋体"/>
                <w:b w:val="0"/>
                <w:sz w:val="18"/>
              </w:rPr>
              <w:t>4 图 6 表</w:t>
            </w:r>
          </w:p>
        </w:tc>
        <w:tc>
          <w:tcPr>
            <w:tcW w:type="dxa" w:w="2835"/>
          </w:tcPr>
          <w:p>
            <w:pPr>
              <w:spacing w:before="40" w:after="40" w:line="240" w:lineRule="auto"/>
              <w:jc w:val="center"/>
            </w:pPr>
            <w:r/>
            <w:r>
              <w:rPr>
                <w:rFonts w:ascii="Times New Roman" w:hAnsi="Times New Roman" w:eastAsia="宋体"/>
                <w:b w:val="0"/>
                <w:sz w:val="18"/>
              </w:rPr>
              <w:t>人机协同决策曲线、代价敏感阈值、置信区间与功效分析</w:t>
            </w:r>
          </w:p>
        </w:tc>
      </w:tr>
      <w:tr>
        <w:tc>
          <w:tcPr>
            <w:tcW w:type="dxa" w:w="907"/>
          </w:tcPr>
          <w:p>
            <w:pPr>
              <w:spacing w:before="40" w:after="40" w:line="240" w:lineRule="auto"/>
              <w:jc w:val="left"/>
            </w:pPr>
            <w:r/>
            <w:r>
              <w:rPr>
                <w:rFonts w:ascii="Times New Roman" w:hAnsi="Times New Roman" w:eastAsia="宋体"/>
                <w:b w:val="0"/>
                <w:sz w:val="18"/>
              </w:rPr>
              <w:t>论文二</w:t>
            </w:r>
          </w:p>
        </w:tc>
        <w:tc>
          <w:tcPr>
            <w:tcW w:type="dxa" w:w="2608"/>
          </w:tcPr>
          <w:p>
            <w:pPr>
              <w:spacing w:before="40" w:after="40" w:line="240" w:lineRule="auto"/>
              <w:jc w:val="center"/>
            </w:pPr>
            <w:r/>
            <w:r>
              <w:rPr>
                <w:rFonts w:ascii="Times New Roman" w:hAnsi="Times New Roman" w:eastAsia="宋体"/>
                <w:b w:val="0"/>
                <w:sz w:val="18"/>
              </w:rPr>
              <w:t>新增理论框架章与效能验证章</w:t>
            </w:r>
          </w:p>
        </w:tc>
        <w:tc>
          <w:tcPr>
            <w:tcW w:type="dxa" w:w="1020"/>
          </w:tcPr>
          <w:p>
            <w:pPr>
              <w:spacing w:before="40" w:after="40" w:line="240" w:lineRule="auto"/>
              <w:jc w:val="center"/>
            </w:pPr>
            <w:r/>
            <w:r>
              <w:rPr>
                <w:rFonts w:ascii="Times New Roman" w:hAnsi="Times New Roman" w:eastAsia="宋体"/>
                <w:b w:val="0"/>
                <w:sz w:val="18"/>
              </w:rPr>
              <w:t>5 张</w:t>
            </w:r>
          </w:p>
        </w:tc>
        <w:tc>
          <w:tcPr>
            <w:tcW w:type="dxa" w:w="1134"/>
          </w:tcPr>
          <w:p>
            <w:pPr>
              <w:spacing w:before="40" w:after="40" w:line="240" w:lineRule="auto"/>
              <w:jc w:val="center"/>
            </w:pPr>
            <w:r/>
            <w:r>
              <w:rPr>
                <w:rFonts w:ascii="Times New Roman" w:hAnsi="Times New Roman" w:eastAsia="宋体"/>
                <w:b w:val="0"/>
                <w:sz w:val="18"/>
              </w:rPr>
              <w:t>5 图 5 表</w:t>
            </w:r>
          </w:p>
        </w:tc>
        <w:tc>
          <w:tcPr>
            <w:tcW w:type="dxa" w:w="2835"/>
          </w:tcPr>
          <w:p>
            <w:pPr>
              <w:spacing w:before="40" w:after="40" w:line="240" w:lineRule="auto"/>
              <w:jc w:val="center"/>
            </w:pPr>
            <w:r/>
            <w:r>
              <w:rPr>
                <w:rFonts w:ascii="Times New Roman" w:hAnsi="Times New Roman" w:eastAsia="宋体"/>
                <w:b w:val="0"/>
                <w:sz w:val="18"/>
              </w:rPr>
              <w:t>委托代理衰减模型、最优监督强度、边际贡献仿真、DID 功效</w:t>
            </w:r>
          </w:p>
        </w:tc>
      </w:tr>
      <w:tr>
        <w:tc>
          <w:tcPr>
            <w:tcW w:type="dxa" w:w="907"/>
          </w:tcPr>
          <w:p>
            <w:pPr>
              <w:spacing w:before="40" w:after="40" w:line="240" w:lineRule="auto"/>
              <w:jc w:val="left"/>
            </w:pPr>
            <w:r/>
            <w:r>
              <w:rPr>
                <w:rFonts w:ascii="Times New Roman" w:hAnsi="Times New Roman" w:eastAsia="宋体"/>
                <w:b w:val="0"/>
                <w:sz w:val="18"/>
              </w:rPr>
              <w:t>论文三</w:t>
            </w:r>
          </w:p>
        </w:tc>
        <w:tc>
          <w:tcPr>
            <w:tcW w:type="dxa" w:w="2608"/>
          </w:tcPr>
          <w:p>
            <w:pPr>
              <w:spacing w:before="40" w:after="40" w:line="240" w:lineRule="auto"/>
              <w:jc w:val="center"/>
            </w:pPr>
            <w:r/>
            <w:r>
              <w:rPr>
                <w:rFonts w:ascii="Times New Roman" w:hAnsi="Times New Roman" w:eastAsia="宋体"/>
                <w:b w:val="0"/>
                <w:sz w:val="18"/>
              </w:rPr>
              <w:t>补入法定依据，新增量化分级与资源配置章</w:t>
            </w:r>
          </w:p>
        </w:tc>
        <w:tc>
          <w:tcPr>
            <w:tcW w:type="dxa" w:w="1020"/>
          </w:tcPr>
          <w:p>
            <w:pPr>
              <w:spacing w:before="40" w:after="40" w:line="240" w:lineRule="auto"/>
              <w:jc w:val="center"/>
            </w:pPr>
            <w:r/>
            <w:r>
              <w:rPr>
                <w:rFonts w:ascii="Times New Roman" w:hAnsi="Times New Roman" w:eastAsia="宋体"/>
                <w:b w:val="0"/>
                <w:sz w:val="18"/>
              </w:rPr>
              <w:t>5 张</w:t>
            </w:r>
          </w:p>
        </w:tc>
        <w:tc>
          <w:tcPr>
            <w:tcW w:type="dxa" w:w="1134"/>
          </w:tcPr>
          <w:p>
            <w:pPr>
              <w:spacing w:before="40" w:after="40" w:line="240" w:lineRule="auto"/>
              <w:jc w:val="center"/>
            </w:pPr>
            <w:r/>
            <w:r>
              <w:rPr>
                <w:rFonts w:ascii="Times New Roman" w:hAnsi="Times New Roman" w:eastAsia="宋体"/>
                <w:b w:val="0"/>
                <w:sz w:val="18"/>
              </w:rPr>
              <w:t>4 图 4 表</w:t>
            </w:r>
          </w:p>
        </w:tc>
        <w:tc>
          <w:tcPr>
            <w:tcW w:type="dxa" w:w="2835"/>
          </w:tcPr>
          <w:p>
            <w:pPr>
              <w:spacing w:before="40" w:after="40" w:line="240" w:lineRule="auto"/>
              <w:jc w:val="center"/>
            </w:pPr>
            <w:r/>
            <w:r>
              <w:rPr>
                <w:rFonts w:ascii="Times New Roman" w:hAnsi="Times New Roman" w:eastAsia="宋体"/>
                <w:b w:val="0"/>
                <w:sz w:val="18"/>
              </w:rPr>
              <w:t>LEC×能力二维定级、组合赋权、资源优化配置、帕累托分析</w:t>
            </w:r>
          </w:p>
        </w:tc>
      </w:tr>
      <w:tr>
        <w:tc>
          <w:tcPr>
            <w:tcW w:type="dxa" w:w="907"/>
          </w:tcPr>
          <w:p>
            <w:pPr>
              <w:spacing w:before="40" w:after="40" w:line="240" w:lineRule="auto"/>
              <w:jc w:val="left"/>
            </w:pPr>
            <w:r/>
            <w:r>
              <w:rPr>
                <w:rFonts w:ascii="Times New Roman" w:hAnsi="Times New Roman" w:eastAsia="宋体"/>
                <w:b w:val="0"/>
                <w:sz w:val="18"/>
              </w:rPr>
              <w:t>论文四</w:t>
            </w:r>
          </w:p>
        </w:tc>
        <w:tc>
          <w:tcPr>
            <w:tcW w:type="dxa" w:w="2608"/>
          </w:tcPr>
          <w:p>
            <w:pPr>
              <w:spacing w:before="40" w:after="40" w:line="240" w:lineRule="auto"/>
              <w:jc w:val="center"/>
            </w:pPr>
            <w:r/>
            <w:r>
              <w:rPr>
                <w:rFonts w:ascii="Times New Roman" w:hAnsi="Times New Roman" w:eastAsia="宋体"/>
                <w:b w:val="0"/>
                <w:sz w:val="18"/>
              </w:rPr>
              <w:t>重构立论为控烟优先框架，新增评估设计章</w:t>
            </w:r>
          </w:p>
        </w:tc>
        <w:tc>
          <w:tcPr>
            <w:tcW w:type="dxa" w:w="1020"/>
          </w:tcPr>
          <w:p>
            <w:pPr>
              <w:spacing w:before="40" w:after="40" w:line="240" w:lineRule="auto"/>
              <w:jc w:val="center"/>
            </w:pPr>
            <w:r/>
            <w:r>
              <w:rPr>
                <w:rFonts w:ascii="Times New Roman" w:hAnsi="Times New Roman" w:eastAsia="宋体"/>
                <w:b w:val="0"/>
                <w:sz w:val="18"/>
              </w:rPr>
              <w:t>5 张</w:t>
            </w:r>
          </w:p>
        </w:tc>
        <w:tc>
          <w:tcPr>
            <w:tcW w:type="dxa" w:w="1134"/>
          </w:tcPr>
          <w:p>
            <w:pPr>
              <w:spacing w:before="40" w:after="40" w:line="240" w:lineRule="auto"/>
              <w:jc w:val="center"/>
            </w:pPr>
            <w:r/>
            <w:r>
              <w:rPr>
                <w:rFonts w:ascii="Times New Roman" w:hAnsi="Times New Roman" w:eastAsia="宋体"/>
                <w:b w:val="0"/>
                <w:sz w:val="18"/>
              </w:rPr>
              <w:t>4 图 5 表</w:t>
            </w:r>
          </w:p>
        </w:tc>
        <w:tc>
          <w:tcPr>
            <w:tcW w:type="dxa" w:w="2835"/>
          </w:tcPr>
          <w:p>
            <w:pPr>
              <w:spacing w:before="40" w:after="40" w:line="240" w:lineRule="auto"/>
              <w:jc w:val="center"/>
            </w:pPr>
            <w:r/>
            <w:r>
              <w:rPr>
                <w:rFonts w:ascii="Times New Roman" w:hAnsi="Times New Roman" w:eastAsia="宋体"/>
                <w:b w:val="0"/>
                <w:sz w:val="18"/>
              </w:rPr>
              <w:t>MCLP 选址优化、烟蒂削减测算、DID 功效、成熟度评估</w:t>
            </w:r>
          </w:p>
        </w:tc>
      </w:tr>
      <w:tr>
        <w:tc>
          <w:tcPr>
            <w:tcW w:type="dxa" w:w="907"/>
            <w:tcBorders>
              <w:bottom w:val="single" w:sz="12" w:space="0" w:color="000000"/>
            </w:tcBorders>
          </w:tcPr>
          <w:p>
            <w:pPr>
              <w:spacing w:before="40" w:after="40" w:line="240" w:lineRule="auto"/>
              <w:jc w:val="left"/>
            </w:pPr>
            <w:r/>
            <w:r>
              <w:rPr>
                <w:rFonts w:ascii="Times New Roman" w:hAnsi="Times New Roman" w:eastAsia="宋体"/>
                <w:b w:val="0"/>
                <w:sz w:val="18"/>
              </w:rPr>
              <w:t>论文五</w:t>
            </w:r>
          </w:p>
        </w:tc>
        <w:tc>
          <w:tcPr>
            <w:tcW w:type="dxa" w:w="2608"/>
            <w:tcBorders>
              <w:bottom w:val="single" w:sz="12" w:space="0" w:color="000000"/>
            </w:tcBorders>
          </w:tcPr>
          <w:p>
            <w:pPr>
              <w:spacing w:before="40" w:after="40" w:line="240" w:lineRule="auto"/>
              <w:jc w:val="center"/>
            </w:pPr>
            <w:r/>
            <w:r>
              <w:rPr>
                <w:rFonts w:ascii="Times New Roman" w:hAnsi="Times New Roman" w:eastAsia="宋体"/>
                <w:b w:val="0"/>
                <w:sz w:val="18"/>
              </w:rPr>
              <w:t>新增外部效度检验章，重写应用建议章</w:t>
            </w:r>
          </w:p>
        </w:tc>
        <w:tc>
          <w:tcPr>
            <w:tcW w:type="dxa" w:w="1020"/>
            <w:tcBorders>
              <w:bottom w:val="single" w:sz="12" w:space="0" w:color="000000"/>
            </w:tcBorders>
          </w:tcPr>
          <w:p>
            <w:pPr>
              <w:spacing w:before="40" w:after="40" w:line="240" w:lineRule="auto"/>
              <w:jc w:val="center"/>
            </w:pPr>
            <w:r/>
            <w:r>
              <w:rPr>
                <w:rFonts w:ascii="Times New Roman" w:hAnsi="Times New Roman" w:eastAsia="宋体"/>
                <w:b w:val="0"/>
                <w:sz w:val="18"/>
              </w:rPr>
              <w:t>5 张</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4 图 5 表</w:t>
            </w:r>
          </w:p>
        </w:tc>
        <w:tc>
          <w:tcPr>
            <w:tcW w:type="dxa" w:w="2835"/>
            <w:tcBorders>
              <w:bottom w:val="single" w:sz="12" w:space="0" w:color="000000"/>
            </w:tcBorders>
          </w:tcPr>
          <w:p>
            <w:pPr>
              <w:spacing w:before="40" w:after="40" w:line="240" w:lineRule="auto"/>
              <w:jc w:val="center"/>
            </w:pPr>
            <w:r/>
            <w:r>
              <w:rPr>
                <w:rFonts w:ascii="Times New Roman" w:hAnsi="Times New Roman" w:eastAsia="宋体"/>
                <w:b w:val="0"/>
                <w:sz w:val="18"/>
              </w:rPr>
              <w:t>循环论证消融、可行域分析、截断偏差检验、检验方法比较</w:t>
            </w:r>
          </w:p>
        </w:tc>
      </w:tr>
    </w:tbl>
    <w:p>
      <w:pPr>
        <w:spacing w:before="40" w:after="160" w:line="240" w:lineRule="auto"/>
        <w:ind w:firstLine="0"/>
        <w:jc w:val="left"/>
      </w:pPr>
      <w:r>
        <w:rPr>
          <w:rFonts w:ascii="Times New Roman" w:hAnsi="Times New Roman" w:eastAsia="宋体"/>
          <w:b w:val="0"/>
          <w:sz w:val="18"/>
        </w:rPr>
        <w:t>注：概念图（示意图、机制图、路径图、技术路线图）共 25 张；数据分析图表全部由可复现代码实际运行产生。</w:t>
      </w:r>
    </w:p>
    <w:p>
      <w:pPr>
        <w:keepNext/>
        <w:spacing w:before="160" w:after="80" w:line="360" w:lineRule="auto"/>
        <w:jc w:val="left"/>
      </w:pPr>
      <w:r>
        <w:rPr>
          <w:rFonts w:ascii="Times New Roman" w:hAnsi="Times New Roman" w:eastAsia="黑体"/>
          <w:b w:val="0"/>
          <w:sz w:val="28"/>
        </w:rPr>
        <w:t>（一）关于数据来源与证据效力的说明</w:t>
      </w:r>
    </w:p>
    <w:p>
      <w:pPr>
        <w:spacing w:before="0" w:after="0" w:line="360" w:lineRule="auto"/>
        <w:ind w:firstLine="480"/>
        <w:jc w:val="both"/>
      </w:pPr>
      <w:r>
        <w:rPr>
          <w:rFonts w:ascii="Times New Roman" w:hAnsi="Times New Roman" w:eastAsia="宋体"/>
          <w:b w:val="0"/>
          <w:sz w:val="24"/>
        </w:rPr>
        <w:t>五篇论文的证据基础差异很大，修改稿在每一处均作了标注，请审阅时注意区分：</w:t>
      </w:r>
    </w:p>
    <w:p>
      <w:pPr>
        <w:spacing w:before="0" w:after="0" w:line="360" w:lineRule="auto"/>
        <w:ind w:firstLine="480"/>
        <w:jc w:val="both"/>
      </w:pPr>
      <w:r>
        <w:rPr>
          <w:rFonts w:ascii="Times New Roman" w:hAnsi="Times New Roman" w:eastAsia="宋体"/>
          <w:b/>
          <w:sz w:val="24"/>
        </w:rPr>
        <w:t>第一类：原文报告的实测值。</w:t>
      </w:r>
      <w:r>
        <w:rPr>
          <w:rFonts w:ascii="Times New Roman" w:hAnsi="Times New Roman" w:eastAsia="宋体"/>
          <w:b w:val="0"/>
          <w:sz w:val="24"/>
        </w:rPr>
        <w:t xml:space="preserve"> 论文一的三方案性能指标与测试集构成、论文五的样本量、价值等级分布、聚类组规模与准确率，均为原文提供的真实数据。修改稿在其基础上做的推算（置信区间、混淆矩阵反推、可行域、卡方检验）结论对原文直接有效。</w:t>
      </w:r>
    </w:p>
    <w:p>
      <w:pPr>
        <w:spacing w:before="0" w:after="0" w:line="360" w:lineRule="auto"/>
        <w:ind w:firstLine="480"/>
        <w:jc w:val="both"/>
      </w:pPr>
      <w:r>
        <w:rPr>
          <w:rFonts w:ascii="Times New Roman" w:hAnsi="Times New Roman" w:eastAsia="宋体"/>
          <w:b/>
          <w:sz w:val="24"/>
        </w:rPr>
        <w:t>第二类：情景仿真结果。</w:t>
      </w:r>
      <w:r>
        <w:rPr>
          <w:rFonts w:ascii="Times New Roman" w:hAnsi="Times New Roman" w:eastAsia="宋体"/>
          <w:b w:val="0"/>
          <w:sz w:val="24"/>
        </w:rPr>
        <w:t xml:space="preserve"> 论文二、三、四原本无任何一手数据。修改稿构建了参数化模型（监督衰减模型、LEC 定级、MCLP 选址、行为响应模型）并做了真实的数值求解与蒙特卡洛仿真。这类结果揭示的是</w:t>
      </w:r>
      <w:r>
        <w:rPr>
          <w:rFonts w:ascii="Times New Roman" w:hAnsi="Times New Roman" w:eastAsia="宋体"/>
          <w:b/>
          <w:sz w:val="24"/>
        </w:rPr>
        <w:t>机制方向与量级关系</w:t>
      </w:r>
      <w:r>
        <w:rPr>
          <w:rFonts w:ascii="Times New Roman" w:hAnsi="Times New Roman" w:eastAsia="宋体"/>
          <w:b w:val="0"/>
          <w:sz w:val="24"/>
        </w:rPr>
        <w:t>（如“忽略基层负担会高估最优监督强度 61%”“最优配置可节省 36.3% 监管人力”），参数取值依据已在正文逐条说明，并配有敏感性分析。它们不是对嘉兴市局真实指标的观测值，建议后续用本单位真实数据替换参数后重跑。</w:t>
      </w:r>
    </w:p>
    <w:p>
      <w:pPr>
        <w:spacing w:before="0" w:after="0" w:line="360" w:lineRule="auto"/>
        <w:ind w:firstLine="480"/>
        <w:jc w:val="both"/>
      </w:pPr>
      <w:r>
        <w:rPr>
          <w:rFonts w:ascii="Times New Roman" w:hAnsi="Times New Roman" w:eastAsia="宋体"/>
          <w:b/>
          <w:sz w:val="24"/>
        </w:rPr>
        <w:t>第三类：方法学演示。</w:t>
      </w:r>
      <w:r>
        <w:rPr>
          <w:rFonts w:ascii="Times New Roman" w:hAnsi="Times New Roman" w:eastAsia="宋体"/>
          <w:b w:val="0"/>
          <w:sz w:val="24"/>
        </w:rPr>
        <w:t xml:space="preserve"> 论文五 B 部分的合成数据集实验，用于演示原文缺失的关键检验会得出什么结果。具体数值仅具方法学意义，</w:t>
      </w:r>
      <w:r>
        <w:rPr>
          <w:rFonts w:ascii="Times New Roman" w:hAnsi="Times New Roman" w:eastAsia="宋体"/>
          <w:b/>
          <w:sz w:val="24"/>
        </w:rPr>
        <w:t>必须在原始 DII 数据上重跑后方可写入结论</w:t>
      </w:r>
      <w:r>
        <w:rPr>
          <w:rFonts w:ascii="Times New Roman" w:hAnsi="Times New Roman" w:eastAsia="宋体"/>
          <w:b w:val="0"/>
          <w:sz w:val="24"/>
        </w:rPr>
        <w:t>，修改稿已在相应位置以显著方式标注。</w:t>
      </w:r>
    </w:p>
    <w:p>
      <w:pPr>
        <w:keepNext/>
        <w:spacing w:before="160" w:after="80" w:line="360" w:lineRule="auto"/>
        <w:jc w:val="left"/>
      </w:pPr>
      <w:r>
        <w:rPr>
          <w:rFonts w:ascii="Times New Roman" w:hAnsi="Times New Roman" w:eastAsia="黑体"/>
          <w:b w:val="0"/>
          <w:sz w:val="28"/>
        </w:rPr>
        <w:t>（二）关于示意图生成方式的说明</w:t>
      </w:r>
    </w:p>
    <w:p>
      <w:pPr>
        <w:spacing w:before="0" w:after="0" w:line="360" w:lineRule="auto"/>
        <w:ind w:firstLine="480"/>
        <w:jc w:val="both"/>
      </w:pPr>
      <w:r>
        <w:rPr>
          <w:rFonts w:ascii="Times New Roman" w:hAnsi="Times New Roman" w:eastAsia="宋体"/>
          <w:b w:val="0"/>
          <w:sz w:val="24"/>
        </w:rPr>
        <w:t>原计划全部概念图（示意图、机制图、路径图、技术路线图）调用 gpt-image-2 生成。生成过程中该模型网关返回 GROUP_NOT_ALLOWED（HTTP 403），提示“API Key 所属专属分组不再允许当前用户使用”，连通性自检与实际生成均已不可用，且经多次间隔重试确认非瞬时故障。为不影响交付，25 张概念图改以矢量绘图方式生成，风格保持一致（白底、细等宽描边、克制配色、无阴影无渐变，符合学术期刊插图规范）。此方式的一个额外优点是中文标签不会出现生成式模型常见的字形错乱。已编写好的英文提示词清单一并保留，待权限恢复后可一键重出。</w:t>
      </w:r>
    </w:p>
    <w:p>
      <w:pPr>
        <w:keepNext/>
        <w:spacing w:before="160" w:after="80" w:line="360" w:lineRule="auto"/>
        <w:jc w:val="left"/>
      </w:pPr>
      <w:r>
        <w:rPr>
          <w:rFonts w:ascii="Times New Roman" w:hAnsi="Times New Roman" w:eastAsia="黑体"/>
          <w:b w:val="0"/>
          <w:sz w:val="28"/>
        </w:rPr>
        <w:t>（三）后续建议</w:t>
      </w:r>
    </w:p>
    <w:p>
      <w:pPr>
        <w:spacing w:before="0" w:after="0" w:line="360" w:lineRule="auto"/>
        <w:ind w:firstLine="480"/>
        <w:jc w:val="both"/>
      </w:pPr>
      <w:r>
        <w:rPr>
          <w:rFonts w:ascii="Times New Roman" w:hAnsi="Times New Roman" w:eastAsia="宋体"/>
          <w:b w:val="0"/>
          <w:sz w:val="24"/>
        </w:rPr>
        <w:t>论文一：补做 Qwen Omni 零样本消融组与标注一致性检验，这两项无法由外部推算，必须实测。</w:t>
      </w:r>
    </w:p>
    <w:p>
      <w:pPr>
        <w:spacing w:before="0" w:after="0" w:line="360" w:lineRule="auto"/>
        <w:ind w:firstLine="480"/>
        <w:jc w:val="both"/>
      </w:pPr>
      <w:r>
        <w:rPr>
          <w:rFonts w:ascii="Times New Roman" w:hAnsi="Times New Roman" w:eastAsia="宋体"/>
          <w:b w:val="0"/>
          <w:sz w:val="24"/>
        </w:rPr>
        <w:t>论文二、三、四：用本单位真实数据替换情景仿真的参数。论文二需要监督事项台账与基层填报工时数据；论文三需要相关方台账与近三年隐患记录；论文四需要至少一个吸烟点的烟蒂计数与人流观测数据。这三项数据的采集成本都不高。</w:t>
      </w:r>
    </w:p>
    <w:p>
      <w:pPr>
        <w:spacing w:before="0" w:after="0" w:line="360" w:lineRule="auto"/>
        <w:ind w:firstLine="480"/>
        <w:jc w:val="both"/>
      </w:pPr>
      <w:r>
        <w:rPr>
          <w:rFonts w:ascii="Times New Roman" w:hAnsi="Times New Roman" w:eastAsia="宋体"/>
          <w:b w:val="0"/>
          <w:sz w:val="24"/>
        </w:rPr>
        <w:t>论文五：在原始 DII 数据上重跑三项外部效度检验，并按年龄标准化后重构标签。若剔除同源特征后准确率跌幅较大，需在论文中如实报告并调整结论表述——这不会削弱论文价值，反而会大幅提升其可信度。</w:t>
      </w:r>
    </w:p>
    <w:p>
      <w:pPr>
        <w:spacing w:before="0" w:after="0" w:line="360" w:lineRule="auto"/>
        <w:ind w:firstLine="480"/>
        <w:jc w:val="both"/>
      </w:pPr>
      <w:r>
        <w:rPr>
          <w:rFonts w:ascii="Times New Roman" w:hAnsi="Times New Roman" w:eastAsia="宋体"/>
          <w:b w:val="0"/>
          <w:sz w:val="24"/>
        </w:rPr>
        <w:t>五篇论文均建议在投稿前补充与嘉兴市局实际工作衔接的一节，说明研究成果在本单位的落地路径、责任部门与推进时序。</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