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09AEF"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作者简介：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施佳铭、女、海盐县烟草专卖局（分公司）、纪检监察员、15957193750。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李真伟、男、海盐县烟草专卖局（分公司）、纪检监察科科长、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15168293203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。</w:t>
      </w:r>
    </w:p>
    <w:p w14:paraId="3F11124B">
      <w:pP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7C8D7B7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穿透式监管视角下烟草行业大监督体系优化研究</w:t>
      </w:r>
    </w:p>
    <w:p w14:paraId="6E3322FF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vertAlign w:val="superscript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施佳铭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vertAlign w:val="superscript"/>
          <w:lang w:val="en-US" w:eastAsia="zh-CN"/>
        </w:rPr>
        <w:t>1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，李真伟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vertAlign w:val="superscript"/>
          <w:lang w:val="en-US" w:eastAsia="zh-CN"/>
        </w:rPr>
        <w:t>2</w:t>
      </w:r>
    </w:p>
    <w:p w14:paraId="6D07BA46">
      <w:pPr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vertAlign w:val="baseline"/>
          <w:lang w:val="en-US" w:eastAsia="zh-CN"/>
        </w:rPr>
        <w:t>1 海盐县烟草专卖局（分公司），314300</w:t>
      </w:r>
    </w:p>
    <w:p w14:paraId="03DC8481">
      <w:pPr>
        <w:jc w:val="center"/>
        <w:rPr>
          <w:rFonts w:hint="eastAsia" w:asciiTheme="minorEastAsia" w:hAnsiTheme="minorEastAsia" w:cstheme="minorEastAsia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vertAlign w:val="baseline"/>
          <w:lang w:val="en-US" w:eastAsia="zh-CN"/>
        </w:rPr>
        <w:t>2 海盐县烟草专卖局（分公司），314300</w:t>
      </w:r>
    </w:p>
    <w:p w14:paraId="652A2D98">
      <w:pPr>
        <w:jc w:val="center"/>
        <w:rPr>
          <w:rFonts w:hint="eastAsia" w:asciiTheme="minorEastAsia" w:hAnsiTheme="minorEastAsia" w:cstheme="minorEastAsia"/>
          <w:b w:val="0"/>
          <w:bCs w:val="0"/>
          <w:sz w:val="24"/>
          <w:szCs w:val="24"/>
          <w:vertAlign w:val="baseline"/>
          <w:lang w:val="en-US" w:eastAsia="zh-CN"/>
        </w:rPr>
      </w:pPr>
    </w:p>
    <w:p w14:paraId="4746207E">
      <w:pPr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vertAlign w:val="baseline"/>
          <w:lang w:val="en-US" w:eastAsia="zh-CN"/>
        </w:rPr>
        <w:t>摘  要：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vertAlign w:val="baseline"/>
          <w:lang w:val="en-US" w:eastAsia="zh-CN"/>
        </w:rPr>
        <w:t>烟草行业作为国家核心财税支柱与特殊国有垄断行业，实行政企合一、专卖专营的垂直管理体制，具备产业链条完整、资金体量庞大、权力点位集中、风险交织叠加的行业特征，是国有资产监管与廉政风险防控的核心重点领域。穿透式监管作为新时代现代化创新治理范式，能够有效破解烟草行业表层化、形式化、碎片化的监督困境。本文立足烟草行业专属体制机制与全链条业务特征，系统梳理大监督体系建设成效与现实短板，深度剖析问题深层成因，构建制度、数据、流程、责任四维一体的穿透式大监督优化体系，提出适配行业全业务场景的实操路径与长效保障机制。</w:t>
      </w:r>
    </w:p>
    <w:p w14:paraId="7510D0AA"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vertAlign w:val="baseline"/>
          <w:lang w:val="en-US" w:eastAsia="zh-CN"/>
        </w:rPr>
        <w:t>关键词：穿透式大监督体系；烟草行业；数智监督；治理现代化</w:t>
      </w:r>
    </w:p>
    <w:p w14:paraId="73CC0CD6"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vertAlign w:val="baseline"/>
          <w:lang w:val="en-US" w:eastAsia="zh-CN"/>
        </w:rPr>
      </w:pPr>
    </w:p>
    <w:p w14:paraId="2880D757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党的二十大报告指出，要健全党统一领导、全面覆盖、权威高效的监督体系。二十届中央纪委四次全会强调，要加强嵌入式监督、穿透式检视、立体式研判。习近平总书记在二十届中央纪委五次全会上发表重要讲话指出，“要把握腐败的新动向新特点，创新手段方式，完善反腐败责任落实机制，及时发现、准确识别、有效治理各类腐败问题，不断提高反腐败穿透力。”由此可见，穿透式监督已然成为破解多层级、链条化隐性腐败、实现监督全域覆盖的核心路径。烟草行业专卖专营、垂直管理，业务链条长、资金资源集中、层级关联复杂，传统监督模式易存在层级阻隔、溯源不深、协同不足等短板。立足穿透式监管视角优化行业大监督体系，既是落实全面从严治党政治要求，也是补齐行业监管漏洞、防范廉洁风险、提升治理现代化水平的现实课题。</w:t>
      </w:r>
    </w:p>
    <w:p w14:paraId="444A040B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1研究背景</w:t>
      </w:r>
    </w:p>
    <w:p w14:paraId="6DA2FC25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依托国家专卖制度的政策优势，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烟草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行业构建了覆盖烟叶种植、卷烟生产、物流配送、专卖执法、内控管理的全链条产业体系，广义产业链延伸至烟叶复烤、技术研发、市场营销等多个领域，业务场景多元、业态结构复杂。</w:t>
      </w:r>
    </w:p>
    <w:p w14:paraId="102C63D1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1.1行业属性特殊：监督治理风险复杂</w:t>
      </w:r>
    </w:p>
    <w:p w14:paraId="32D89B6F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烟草行业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存在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“管办融合”的特殊治理格局。该体制有效保障了行业集中统一管理、持续稳定输出财税收益，但也衍生出权力集中化、自由裁量空间较大、监督圈层封闭、风险隐蔽性强等治理难题。在工程建设、物资采购、烟叶收购、卷烟营销、行政许可审批、财政资金使用等权力集中、资金密集的高风险领域，业务流程繁琐、利益关联度高，极易滋生隐蔽性、链条式、常态化的廉政风险与经营风险，对行业监督的全面性、穿透性、精准性提出了更高标准、更严要求。</w:t>
      </w:r>
    </w:p>
    <w:p w14:paraId="66FE36C9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1.2政策导向明确：监督体系持续升级</w:t>
      </w:r>
    </w:p>
    <w:p w14:paraId="2D428865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伴随国家治理现代化战略的纵深推进，国有企业规范化监管、数智化监督转型、风险闭环管控已成为新时代国企治理的核心导向，为烟草行业完善监督体系、推进穿透式监管建设提供了政策指引与方向遵循。烟草行业紧跟国家国资监管与廉政建设部署，持续深化大监督体系建设，整合纪检巡察、审计合规、财务监管、专卖稽查、人事风控等多元监督力量，打破了单一部门分散监督、孤立履职的传统格局，初步构建全域覆盖的监督架构，为行业经营管理秩序规范化运转筑牢基础支撑。</w:t>
      </w:r>
    </w:p>
    <w:p w14:paraId="74EFA283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1.3现实短板突出：传统监督效能受限</w:t>
      </w:r>
    </w:p>
    <w:p w14:paraId="6CB0520E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从基层落地实效来看，当前烟草行业大监督体系仅完成了监督主体的“物理整合”，尚未实现监督资源、监督机制、监督效能的“化学融合”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四级垂直管理架构催生监督梯度衰减现象，行业整体呈现“上热中温下冷”的监督格局，上级监督难以实现常态化下沉全覆盖，同级监督碍于职级人情存在监督缺位，基层监督受人员、权限、环境制约难以落地见效。各业务部门与监督部门条块分割、各自为战，数据孤岛、成果闲置、重复督查问题突出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同时，行业监督仍以事后人工核查为主要模式，事前风险预警、事中动态管控能力薄弱，监督流程繁琐、响应时效滞后；数字化监督建设碎片化发展，智能研判、数据溯源、风险预警能力不足；监督责任传导虚化、考核问责力度偏软，问题屡改屡犯、反弹回潮现象频发，传统表层化监督模式已无法适配行业高质量发展与现代化治理需求。</w:t>
      </w:r>
    </w:p>
    <w:p w14:paraId="3B0BF8E9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1.4范式适配性强：穿透式监管契合行业治理需求</w:t>
      </w:r>
    </w:p>
    <w:p w14:paraId="553DE272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穿透式监管是适配封闭性、高风险垄断行业的现代化治理范式，其核心要义是打破层级、部门、数据、责任四大壁垒，穿透业务表象、直达风险源头、压实末端履职责任。将穿透式监管理念深度融入烟草大监督体系建设，能够精准破解专卖体制下监督不深入、覆盖不全面、响应不及时的核心痛点，推动行业监督实现四大转型：从表层式督查向深层次穿透转型、从事后追责补救向全周期闭环管控转型、从人工经验排查向数智精准防控转型、从分散独立监管向多元协同共治转型，是烟草行业推进治理体系和治理能力现代化的必然选择。</w:t>
      </w:r>
    </w:p>
    <w:p w14:paraId="428D4E3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2烟草行业大监督体系建设现状与成效</w:t>
      </w:r>
    </w:p>
    <w:p w14:paraId="2E0567F6">
      <w:pPr>
        <w:spacing w:line="360" w:lineRule="auto"/>
        <w:ind w:firstLine="480" w:firstLineChars="200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为应对专卖体制下多元廉政与经营风险，烟草行业持续推进大监督体系系统性建设。行业从制度、组织、数字、风控多维度发力，逐步搭建全域协同监督框架并取得阶段性治理成效。</w:t>
      </w:r>
    </w:p>
    <w:p w14:paraId="43FBA2CB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2.1监督制度体系持续完善，四级联动制度框架成型</w:t>
      </w:r>
    </w:p>
    <w:p w14:paraId="720ADF7A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国家烟草专卖局持续推进大监督体系制度化、规范化建设，先后出台内部监督协同管理、廉政风险防控、审计巡察管理等一系列专项制度，同步修订完善《烟草行业多元化经营管理办法》《烟草系统内部审计工作规定》等细化规章，明确大监督体系的建设目标、组织架构、职责边界与运行规范，聚焦高风险领域，标准化规范核心监督流程，搭建起行业顶层监督制度框架。各省市县三级烟草单位立足基层业务实际，细化配套实施细则、风险管控清单、整改问责机制，逐步构建形成“国家局统筹、省局细化、市局落地、县局落实”的四级联动制度体系，有效规范监督工作流程、杜绝监督随意化、形式化问题，为大监督体系常态化、规范化运行筑牢制度根基。</w:t>
      </w:r>
    </w:p>
    <w:p w14:paraId="1518A3CE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2.2监督组织架构持续优化，多元协同监督格局初步构建</w:t>
      </w:r>
    </w:p>
    <w:p w14:paraId="37FF2560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烟草行业持续优化监督组织架构，全面构建“党委统一领导、纪检统筹协调、部门各司其职、全员协同共治”的大监督治理格局。各级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行业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单位建立常态化监督联席会议机制，定期组织纪检、审计、财务、专卖、业务管理等部门开展风险会商、信息互通、成果共享，通过联合督查、交叉检查、线索联审、专项整治等模式整合监督资源，有效破解重复督查、资源内耗、监管空白等问题，打破单一部门监督的局限性，行业上下联动、横向协同、全域覆盖的多元监督格局基本成型。</w:t>
      </w:r>
    </w:p>
    <w:p w14:paraId="287AF8AB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2.3数字烟草建设稳步落地，智能监督基础不断夯实</w:t>
      </w:r>
    </w:p>
    <w:p w14:paraId="30678083">
      <w:pPr>
        <w:spacing w:line="360" w:lineRule="auto"/>
        <w:ind w:firstLine="480" w:firstLineChars="200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依托数字烟草发展战略，行业全面推进核心业务数字化转型，建成烟叶溯源、卷烟营销、物流调度、物资采购、财务核算、专卖执法等一体化线上业务平台，实现核心业务全流程线上流转、全程留痕。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比如，建设了全国统一烟叶生产经营管理平台、全国统一卷烟营销管理平台，同时各省级、市级烟草单位积极探索智能监督创新，搭建大数据风险预警平台，围绕采购异常、费用超标、许可违规、工程量价异常等高频风险场景设置量化预警指标，实现风险实时监测、异常自动预警，推动监督模式从传统人工事后排查向数据化实时监测转型，为穿透式数智监督落地筑牢技术根基。</w:t>
      </w:r>
    </w:p>
    <w:p w14:paraId="1B8CDF75">
      <w:pPr>
        <w:spacing w:line="360" w:lineRule="auto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2.4风险防控机制日趋健全，闭环治理效能持续凸显</w:t>
      </w:r>
    </w:p>
    <w:p w14:paraId="31575276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各级烟草单位坚持风险导向、问题导向、结果导向，常态化开展全领域、全覆盖风险排查，聚焦权力集中、资金密集、风险高发的核心业务环节，全面梳理风险点位、建立标准化风险台账、制定针对性防控举措，搭建岗位、业务、层级三类风险清单，从源头规范权力运行、防控经营风险。同时持续健全问题整改闭环管控机制，针对巡察、审计、专项督查发现的各类问题，实行台账式管理、清单式推进、销号式整改、回头式核验的全流程管控，坚决杜绝虚假整改、纸面整改、问题反弹，有效整治各类显性违规问题，持续规范行业经营管理秩序，筑牢行业廉政建设与合规经营双重防线。</w:t>
      </w:r>
    </w:p>
    <w:p w14:paraId="758D3B69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3烟草行业大监督体系存在的突出问题</w:t>
      </w:r>
    </w:p>
    <w:p w14:paraId="74A18995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3.1层级穿透不足，末梢监督盲区突出</w:t>
      </w:r>
    </w:p>
    <w:p w14:paraId="4AF57B2F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上级监督多以阶段性专项督查为主，督查频次有限、基层下沉力度不足，难以实现基层点位常态化、动态化管控；同级监督受人情关系、职级平行因素制约，存在不敢监督、不愿监督、不会较真的现象，权力制衡效能严重不足。基层县级局直面烟农、零售客户与一线市场，风险点位最密集、问题隐蔽性最强，但基层监督岗位普遍以兼职为主，工作人员精力分散、专业监督能力不足，叠加基层熟人社会圈层影响，“老好人”思想普遍存在，大量小微隐蔽风险长期隐匿，形成基层监督盲区。当前行业已有成熟实践可破解上述难题，清远市烟草系统通过推行网格化监督机制，吸纳基层员工、零售户、种烟大户参与民主监督，构建全方位阳光监督体系；黄冈红安、罗田烟草依托数字化平台，实现专卖许可、市场监管领域协同监督突破，为基层末梢监督提质增效提供了可复制的实践范本。</w:t>
      </w:r>
      <w:bookmarkStart w:id="1" w:name="_GoBack"/>
      <w:bookmarkEnd w:id="1"/>
    </w:p>
    <w:p w14:paraId="5EDC26D4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3.2资源整合不足，监督协同合力缺失</w:t>
      </w:r>
    </w:p>
    <w:p w14:paraId="17CBE6C8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当前行业大监督体系仅实现监督主体的形式化整合，未达成监督资源、运行机制、工作效能的深度融合，部门条块分割、各自为战的问题依然突出。各业务部门、监督部门独立制定监督标准、搭建工作台账、设计检查流程，监督标准不统一、工作节奏不一致、督查重点不契合，难以形成监督合力。</w:t>
      </w:r>
    </w:p>
    <w:p w14:paraId="375F55EF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3.3数据穿透不畅，数智监督赋能滞后</w:t>
      </w:r>
    </w:p>
    <w:p w14:paraId="598AB42E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行业数字化监督建设缺乏顶层统筹，碎片化建设问题突出，严重制约数据穿透监督效能。各业务系统、监督系统分条线独立开发、分散运维，系统建设标准不统一、数据接口不兼容、资源不互通，形成大量数据孤岛与数据烟囱，无法实现全行业业务数据、监督数据的全域汇聚与深度整合。</w:t>
      </w:r>
    </w:p>
    <w:p w14:paraId="4E76B31F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3.4重事后轻事前，全周期管控体系缺失</w:t>
      </w:r>
    </w:p>
    <w:p w14:paraId="0F9C397E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行业监督整体仍延续传统事后追责的被动管控模式，事前预判、事中管控、事后复盘的全周期主动监督体系尚未完全构建。监督工作重心过度聚焦事后问题查处、整改追责，对业务发起、推进的前置环节风险预判不足，对业务运行过程的动态管控力度薄弱。</w:t>
      </w:r>
    </w:p>
    <w:p w14:paraId="3FA5FF0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3.5监督队伍薄弱，人才适配度偏低</w:t>
      </w:r>
    </w:p>
    <w:p w14:paraId="4CCA5D65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从行业内管实践来看，传统监督人员普遍擅长人工核查、基础审计、常规纪检工作，但缺乏大数据分析、智能平台运维、风险建模、数据溯源等数智监督新型能力。同时，监督岗位晋升渠道狭窄、评优激励权重低、工作压力大，岗位吸引力不足，复合型监督人才流失严重、队伍稳定性差，数智化、专业化监督人才储备匮乏，无法适配穿透式大监督体系的建设落地需求。</w:t>
      </w:r>
    </w:p>
    <w:p w14:paraId="3AA385B7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4烟草行业大监督体系问题成因深度分析</w:t>
      </w:r>
    </w:p>
    <w:p w14:paraId="0F30D196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4.1体制机制特殊</w:t>
      </w:r>
    </w:p>
    <w:p w14:paraId="552A68CE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行业“一套人马、两块牌子”的运行模式，使同一主体同时承担经营发展与监督管控双重职能，形成“既当运动员、又当裁判员”的治理格局，内部监督天然存在包容性、松弛性缺陷。</w:t>
      </w:r>
    </w:p>
    <w:p w14:paraId="1161FA3A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4.2思想认知偏差</w:t>
      </w:r>
    </w:p>
    <w:p w14:paraId="27C32EBD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长期以来，行业以税利增长、市场规范、产业稳定为核心发展导向，催生了“重业务发展、轻规范监督，重业绩指标、轻风险防控”的片面认知。基层工作人员受熟人社会氛围影响，普遍存在“老好人”思想，不愿较真碰硬、不敢从严监督。全员主动风控、全程监督、全域合规的现代化治理理念尚未深入人心，被动应付、消极履职的工作心态普遍存在，从思想根源上制约了监督质效的提升。</w:t>
      </w:r>
    </w:p>
    <w:p w14:paraId="576D0D6C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4.3顶层设计粗放</w:t>
      </w:r>
    </w:p>
    <w:p w14:paraId="6EF3243B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行业大监督顶层制度体系偏框架化、原则化，实操性、针对性、适配性不足。现有制度多聚焦传统人工监督、事后督查场景，针对穿透式监督、数据共享、线索移交、精准问责、数智风控等新型监督场景的细化制度、操作标准、实施规范严重缺失，基层开展新型监督工作弹性过大、标准不一、无据可依。制度迭代更新滞后于行业业务业态升级与风险形态演变，面对新型卷烟非法经营、数字化违规、链条式利益输送等新型风险，现有制度存在明显断层与空白，新旧制度衔接不畅，难以适配现代化监督治理的实操需求。</w:t>
      </w:r>
    </w:p>
    <w:p w14:paraId="6D3742AA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4.4技术赋能滞后</w:t>
      </w:r>
    </w:p>
    <w:p w14:paraId="5570C8E7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行业未搭建统一的监督数字化建设标准与全域数据中台，各部门自主开展系统建设，数据标准、接口规范、运维体系各不相同，数据汇聚、互通、共享存在实质性壁垒。智能监督技术应用浅层化，未搭建适配烟草全业务场景的专业化风险预警模型与算法体系，前沿大数据、人工智能技术未深度融入采购、销售、库存、财务、专卖等监督全流程。同时，数字化监督系统运维保障薄弱、迭代更新缓慢、场景适配性差，科技强监、数智赋能的现代化治理优势无法充分释放。</w:t>
      </w:r>
    </w:p>
    <w:p w14:paraId="0EBE9A1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4.5人才体系不完善</w:t>
      </w:r>
    </w:p>
    <w:p w14:paraId="3A30CFFF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行业尚未构建适配数智化、穿透式监督需求的现代化人才培育体系，人才培养、激励、晋升机制固化滞后。现有培训体系以基础业务、廉政教育、传统监督技能培训为主，针对大数据分析、数据溯源等新型监督能力的专项培训稀缺，人员能力迭代滞后于监督模式升级。</w:t>
      </w:r>
    </w:p>
    <w:p w14:paraId="1D676902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5穿透式监管视角下烟草行业大监督体系优化路径</w:t>
      </w:r>
    </w:p>
    <w:p w14:paraId="5F470559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针对行业大监督体系存在的六大突出问题，立足烟草专卖专营、四级垂直管理的体制特征，以穿透式监管理念为核心，构建制度、数据、流程、责任四维一体的穿透式大监督优化体系，全方位破除层级、部门、数据、责任四大监督壁垒，实现行业监督全域穿透、全程闭环、精准高效、协同共治。</w:t>
      </w:r>
    </w:p>
    <w:p w14:paraId="6761EBE3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5.1制度穿透：完善顶层设计，破除监督壁垒</w:t>
      </w:r>
    </w:p>
    <w:p w14:paraId="4BD0C73D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制度穿透是穿透式监督落地见效的基础保障。一是强化顶层制度统筹，由国家局牵头出台穿透式大监督建设专项实施细则，统一行业四维穿透监督的建设标准、运行框架、履职规范与考核体系，构建适配烟草专卖体制的专属监督制度体系，填补新型监督制度空白。二是细化权责清单体系，全面梳理各层级、各部门、各岗位的监督职责、风险点位、履职边界，编制标准化监督责任清单、业务风险清单、岗位负面清单，精准破解监督重叠、监督空白、责任推诿等问题。三是统一高风险领域监督标准，针对工程建设、物资采购、烟叶收购、卷烟营销、资金使用等核心领域，制定量化、标准化、可落地的监督规范，明确烟叶收购合规核查标准、工程采购全流程管控标准、资金使用审核标准，实现高风险领域监督有据可依、有章可循。四是健全刚性协同机制，完善监督联席会议、线索双向移交、联合专项督查、监督成果共用等刚性制度，明确协同履职硬性要求，对拒不配合、推诿懈怠、协同不力的单位和个人严肃追责问责，推动多元监督力量从形式整合走向深度融合。</w:t>
      </w:r>
    </w:p>
    <w:p w14:paraId="0EA90C5A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5.2数据穿透：搭建数智中台，实现全域智能赋能</w:t>
      </w:r>
    </w:p>
    <w:p w14:paraId="1BF77995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数据穿透是实现监督智能化、精准化、前置化的核心支撑。一是搭建行业统一监督数据中台，统筹整合烟叶生产、卷烟营销、物资采购、工程建设、财务资金、专卖执法等全领域业务数据，统一数据采集、清洗、校核、共享标准，打通各系统数据接口，彻底破除数据孤岛与数据烟囱，构建全域互通、全程可溯、动态更新的监督大数据库。二是打造一体化智能监督平台，集成实时监测、分级预警、数据溯源、线索生成、整改督办、考核评价、成果复盘七大功能，设置多层级、多场景风险预警指标，实现业务风险全天候、动态化、智能化监测。三是深化数字技术深度应用，引入大数据、人工智能、算法建模技术，针对围标串标、虚列费用、违规审批、异常交易等隐蔽性、链条式风险搭建专属预警模型。通过挖掘招投标历史数据、分析投标行为规律、比对报价与方案相似度，精准识别围标串标异常行为；借鉴广州公共资源交易中心智能监管经验，依托复杂网络建模、智能关联规则挖掘技术，刻画违规交易轨迹，提升风险识别精准度。四是健全数据安全管控机制，建立数据分级分类管控、权限精细化管理、常态化保密审查制度，在保障数据安全合规的前提下，畅通数据共享复用通道，最大化释放数智监督赋能效能。</w:t>
      </w:r>
    </w:p>
    <w:p w14:paraId="4A36E24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5.3流程穿透：嵌入全链监督，构建全周期闭环管控</w:t>
      </w:r>
    </w:p>
    <w:p w14:paraId="62798C69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流程穿透的核心是实现监督与业务深度融合，做到业务推进到哪里、监督穿透到哪里。将标准化监督节点、管控规则、核查流程全面嵌入烟叶收购、卷烟营销、物流配送、工程采购、资金拨付、人事管理等全业务链条，覆盖业务发起、过程推进、收尾验收、归档复盘全流程，彻底消除监督断点与管控盲区。强化事前预判、事中管控的嵌入式监督效能，在权力集中、资金密集、风险高发的前置关键节点设置刚性监督卡点，对业务合规性、资金使用规范性、岗位履职有效性进行实时审核、动态纠偏，从源头遏制风险滋生蔓延。构建“事前风险精准预判、事中动态实时监管、事后全面复盘整改”的全周期闭环监督模式，及时处置苗头性、倾向性风险隐患，杜绝问题反弹回潮，彻底扭转重事后追责、轻事前预防的被动监督格局。</w:t>
      </w:r>
    </w:p>
    <w:p w14:paraId="2B2040A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5.4责任穿透：压实层级权责，健全刚性问责机制</w:t>
      </w:r>
    </w:p>
    <w:p w14:paraId="4949EE99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责任穿透是保障各项监督举措刚性落地、长效运行的根本保障。逐级细化四级垂直管理体系监督权责，精准划分党委主体责任、纪检监督责任、业务部门监管责任、岗位个人履职责任，清晰界定各层级、各岗位权责边界，彻底杜绝权责模糊、履职缺位、推诿扯皮等问题。建立自上而下的责任述职、专项约谈、督办问责机制，打通责任传导梗阻，有效破解监督“上热中温下冷”的梯度衰减问题，确保监督责任直达基层末梢、落地生根。严格落实问题整改台账化、销号式、回头看闭环管理机制，坚持整改问题、深挖根源、补齐短板、完善制度一体推进，杜绝纸面整改、虚假整改、敷衍整改。优化监督考核评价体系，大幅提升风险防控、合规履职、监督成效的考核权重，健全奖惩分明的激励问责机制，对履职尽责、风控有效的予以正向激励，对履职不力、风险失控、违规违纪的严肃刚性问责，以精准问责倒逼全员履职尽责。</w:t>
      </w:r>
    </w:p>
    <w:p w14:paraId="3AE8530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5.5队伍穿透：建强专业梯队，夯实人才支撑</w:t>
      </w:r>
    </w:p>
    <w:p w14:paraId="44A6E034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聚焦监督队伍能力短板与人才结构痛点，全方位打造专业化、复合型、数智化监督人才梯队。推进基层监督岗位专职化改革，优化基层岗位人员配置，大幅压减兼职监督岗位，足额配齐纪检、审计、数智监督专职人员，保障监督工作常态化、专业化开展。搭建系统化、分层级、场景化的培训体系，重点开展大数据分析、智能平台操作、风险建模、数据溯源、新型风险识别等新型能力专项培训，培育“懂业务、懂技术、懂监督、懂风控”的复合型监督人才。完善岗位激励与晋升机制，拓宽监督岗位晋升通道，优化评优评先、绩效分配政策，提升监督岗位吸引力，从源头遏制人才流失。依托交叉检查、专项督查、案例研讨、实战练兵等常态化模式，积淀监督实战经验，全面淬炼队伍穿透式、智能化、精准化监督能力，适配行业治理现代化的核心需求。</w:t>
      </w:r>
    </w:p>
    <w:p w14:paraId="0125C0BC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6结语</w:t>
      </w:r>
    </w:p>
    <w:p w14:paraId="55224503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穿透式监管作为适配垄断行业封闭治理、权力集中、风险隐蔽特征的现代化治理范式，能够精准破解烟草专卖体制下的各类监督顽疾。本文构建的制度、数据、流程、责任四维一体穿透式大监督体系，紧密贴合烟草行业体制特征与业务痛点，可有效打破各类监督壁垒，推动行业监督实现数智化转型、深层次穿透、全方位协同、全闭环管控，全方位提升行业监督治理质效，精准防范系统性、隐蔽性、链条式风险，筑牢国有资产安全、行业合规经营、干部廉洁履职的三重防线。</w:t>
      </w:r>
    </w:p>
    <w:p w14:paraId="6AFA812E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未来，伴随数字烟草战略持续深化，行业大监督体系将朝着数字化、智能化、全域化、闭环化方向持续迭代升级。后续可依托大数据、人工智能等前沿技术，持续优化智能风险预警模型与量化指标体系，细化基层穿透监督实操规范，完善协同监督、刚性问责、人才培育长效机制，持续提升行业监督治理精细化、科学化、现代化水平，为烟草行业长期高质量、规范化、可持续发展提供坚实的监督保障。</w:t>
      </w:r>
    </w:p>
    <w:p w14:paraId="1146371C">
      <w:pPr>
        <w:spacing w:line="360" w:lineRule="auto"/>
        <w:ind w:firstLine="480" w:firstLineChars="20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54F7CE7">
      <w:pPr>
        <w:pStyle w:val="26"/>
        <w:pageBreakBefore/>
        <w:widowControl/>
        <w:rPr>
          <w:b w:val="0"/>
          <w:bCs/>
          <w:sz w:val="28"/>
          <w:szCs w:val="36"/>
        </w:rPr>
      </w:pPr>
      <w:bookmarkStart w:id="0" w:name="_Toc21710"/>
      <w:r>
        <w:rPr>
          <w:b w:val="0"/>
          <w:bCs/>
          <w:sz w:val="28"/>
          <w:szCs w:val="36"/>
        </w:rPr>
        <w:t>参考文献</w:t>
      </w:r>
      <w:bookmarkEnd w:id="0"/>
    </w:p>
    <w:p w14:paraId="2377DC84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[1]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张磊,王静.穿透式监管视角下国企大监督体系构建路径研究[J].中国集体经济,2023(12):112-114.</w:t>
      </w:r>
    </w:p>
    <w:p w14:paraId="0D68D694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[2]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李建军,刘阳.烟草行业大监督体系协同治理困境与优化对策[J].商业经济,2024(02):135-137.</w:t>
      </w:r>
    </w:p>
    <w:p w14:paraId="50B0170F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[3]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陈曦.数字化赋能烟草行业穿透式监督机制建设研究[J].全国流通经济,2023(28):115-118.</w:t>
      </w:r>
    </w:p>
    <w:p w14:paraId="4DE0861B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[4]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周明,赵宇.国企垂直管理模式下监督梯度衰减问题治理研究[J].现代国企研究,2023(18):45-47.</w:t>
      </w:r>
    </w:p>
    <w:p w14:paraId="2B4422E5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[5]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王浩.烟草行业廉政风险闭环防控体系建设实践与思考[J].财经界,2024(05):90-92.</w:t>
      </w:r>
    </w:p>
    <w:p w14:paraId="52F81E05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[6]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黄凯.数智化背景下企业内部监督协同机制优化研究[J].财会通讯,2023(15):120-124.</w:t>
      </w:r>
    </w:p>
    <w:p w14:paraId="28C6EE38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[7]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刘博文.垄断行业穿透式监管的理论逻辑与实践路径[J].改革与战略,2023,39(07):89-96.</w:t>
      </w:r>
    </w:p>
    <w:p w14:paraId="7A4B2165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[8]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覃晓峰.基层烟草数字化监督体系建设短板及完善路径[J].企业改革与管理,2024(03):136-138.</w:t>
      </w:r>
    </w:p>
    <w:p w14:paraId="63E16CD7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[9]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张明哲.国有企业大监督体系协同共治模式构建研究[J].国有资产管理,2023(09):67-71.</w:t>
      </w:r>
    </w:p>
    <w:p w14:paraId="794F59FC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[10]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李文娟.大数据视角下企业风险智能预警监督体系搭建[J].信息技术与信息化,2023(11):201-204.</w:t>
      </w:r>
    </w:p>
    <w:p w14:paraId="302B89AE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[11]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赵鑫.政企合一体制下烟草行业监督制衡机制优化探析[J].现代商业,2024(08):102-104.</w:t>
      </w:r>
    </w:p>
    <w:p w14:paraId="3664E6A4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[12]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陈雨桐.国外穿透式监管制度实践及对我国国企监管的启示[J].金融经济,2023(16):78-81.</w:t>
      </w:r>
    </w:p>
    <w:p w14:paraId="493E1B5A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[13]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吴志远.烟草行业四级联动监督制度体系完善路径研究[J].中国市场,2024(10):129-131.</w:t>
      </w:r>
    </w:p>
    <w:p w14:paraId="7F582939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[14]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孙杰.基层国企监督队伍专业化建设困境与提升策略[J].人才资源开发,2023(22):56-58.</w:t>
      </w:r>
    </w:p>
    <w:p w14:paraId="34C91B87">
      <w:pPr>
        <w:pStyle w:val="25"/>
        <w:widowControl/>
        <w:numPr>
          <w:ilvl w:val="0"/>
          <w:numId w:val="0"/>
        </w:numPr>
        <w:ind w:firstLine="480" w:firstLineChars="20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[15]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高瑞.闭环管理视角下企业监督整改效能提升研究[J].当代经济,2023(06):113-116.</w:t>
      </w:r>
    </w:p>
    <w:p w14:paraId="4027BD1A">
      <w:pPr>
        <w:spacing w:line="360" w:lineRule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18406DF">
      <w:pPr>
        <w:spacing w:line="360" w:lineRule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yOTEyY2UxNzM0YmNiNjU4MzZlMmZlMmI3YmRiZmMifQ=="/>
  </w:docVars>
  <w:rsids>
    <w:rsidRoot w:val="055974EF"/>
    <w:rsid w:val="0A430C59"/>
    <w:rsid w:val="16E25960"/>
    <w:rsid w:val="47CE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50" w:beforeLines="50" w:after="50" w:afterLines="50" w:line="240" w:lineRule="auto"/>
      <w:jc w:val="left"/>
      <w:outlineLvl w:val="0"/>
    </w:pPr>
    <w:rPr>
      <w:rFonts w:ascii="Times New Roman" w:hAnsi="Times New Roman" w:eastAsia="黑体" w:cs="Times New Roman"/>
      <w:b/>
      <w:kern w:val="44"/>
      <w:sz w:val="24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1"/>
      <w:szCs w:val="28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1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1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1"/>
      <w:szCs w:val="24"/>
    </w:rPr>
  </w:style>
  <w:style w:type="paragraph" w:styleId="12">
    <w:name w:val="toc 3"/>
    <w:next w:val="1"/>
    <w:qFormat/>
    <w:uiPriority w:val="0"/>
    <w:pPr>
      <w:adjustRightInd w:val="0"/>
      <w:spacing w:line="400" w:lineRule="exact"/>
      <w:ind w:left="0" w:leftChars="0" w:firstLine="960" w:firstLineChars="400"/>
    </w:pPr>
    <w:rPr>
      <w:rFonts w:ascii="Times New Roman" w:hAnsi="Times New Roman" w:eastAsia="宋体" w:cs="Times New Roman"/>
      <w:sz w:val="21"/>
      <w:szCs w:val="24"/>
    </w:rPr>
  </w:style>
  <w:style w:type="paragraph" w:styleId="13">
    <w:name w:val="toc 1"/>
    <w:next w:val="1"/>
    <w:qFormat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1"/>
      <w:szCs w:val="24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32"/>
    </w:rPr>
  </w:style>
  <w:style w:type="paragraph" w:styleId="15">
    <w:name w:val="toc 2"/>
    <w:next w:val="1"/>
    <w:qFormat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1"/>
      <w:szCs w:val="24"/>
    </w:rPr>
  </w:style>
  <w:style w:type="paragraph" w:styleId="16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b/>
      <w:kern w:val="2"/>
      <w:sz w:val="36"/>
      <w:szCs w:val="36"/>
      <w:lang w:bidi="ar-SA"/>
    </w:rPr>
  </w:style>
  <w:style w:type="character" w:styleId="19">
    <w:name w:val="Strong"/>
    <w:basedOn w:val="18"/>
    <w:qFormat/>
    <w:uiPriority w:val="0"/>
    <w:rPr>
      <w:b/>
    </w:rPr>
  </w:style>
  <w:style w:type="paragraph" w:customStyle="1" w:styleId="20">
    <w:name w:val="摘要正文"/>
    <w:next w:val="1"/>
    <w:qFormat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仿宋" w:cs="Times New Roman"/>
      <w:kern w:val="2"/>
      <w:sz w:val="18"/>
      <w:szCs w:val="24"/>
    </w:rPr>
  </w:style>
  <w:style w:type="paragraph" w:customStyle="1" w:styleId="21">
    <w:name w:val="关键词正文"/>
    <w:next w:val="1"/>
    <w:qFormat/>
    <w:uiPriority w:val="0"/>
    <w:pPr>
      <w:widowControl w:val="0"/>
      <w:adjustRightInd w:val="0"/>
      <w:spacing w:line="400" w:lineRule="exact"/>
      <w:ind w:firstLine="0" w:firstLineChars="0"/>
      <w:jc w:val="both"/>
      <w:outlineLvl w:val="9"/>
    </w:pPr>
    <w:rPr>
      <w:rFonts w:ascii="Times New Roman" w:hAnsi="Times New Roman" w:eastAsia="仿宋" w:cs="Times New Roman"/>
      <w:kern w:val="2"/>
      <w:sz w:val="18"/>
      <w:szCs w:val="24"/>
      <w:lang w:bidi="ar-SA"/>
    </w:rPr>
  </w:style>
  <w:style w:type="character" w:customStyle="1" w:styleId="22">
    <w:name w:val="关键词"/>
    <w:qFormat/>
    <w:uiPriority w:val="0"/>
    <w:rPr>
      <w:rFonts w:ascii="Times New Roman" w:hAnsi="Times New Roman" w:eastAsia="黑体" w:cs="Times New Roman"/>
      <w:kern w:val="2"/>
      <w:sz w:val="18"/>
      <w:szCs w:val="24"/>
      <w:lang w:bidi="ar-SA"/>
    </w:rPr>
  </w:style>
  <w:style w:type="paragraph" w:customStyle="1" w:styleId="23">
    <w:name w:val="摘要标题"/>
    <w:next w:val="1"/>
    <w:qFormat/>
    <w:uiPriority w:val="0"/>
    <w:pPr>
      <w:keepNext w:val="0"/>
      <w:keepLines w:val="0"/>
      <w:widowControl w:val="0"/>
      <w:adjustRightInd w:val="0"/>
      <w:spacing w:before="313" w:beforeLines="100" w:after="313" w:afterLines="100" w:line="240" w:lineRule="auto"/>
      <w:jc w:val="center"/>
      <w:outlineLvl w:val="9"/>
    </w:pPr>
    <w:rPr>
      <w:rFonts w:ascii="Times New Roman" w:hAnsi="Times New Roman" w:eastAsia="黑体" w:cs="Times New Roman"/>
      <w:b/>
      <w:kern w:val="44"/>
      <w:sz w:val="24"/>
      <w:szCs w:val="32"/>
      <w:lang w:bidi="ar-SA"/>
    </w:rPr>
  </w:style>
  <w:style w:type="paragraph" w:customStyle="1" w:styleId="24">
    <w:name w:val="目录标题"/>
    <w:next w:val="1"/>
    <w:qFormat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b/>
      <w:kern w:val="2"/>
      <w:sz w:val="24"/>
      <w:szCs w:val="32"/>
      <w:lang w:bidi="ar-SA"/>
    </w:rPr>
  </w:style>
  <w:style w:type="paragraph" w:customStyle="1" w:styleId="25">
    <w:name w:val="参考文献条目"/>
    <w:next w:val="1"/>
    <w:qFormat/>
    <w:uiPriority w:val="0"/>
    <w:pPr>
      <w:widowControl w:val="0"/>
      <w:adjustRightInd w:val="0"/>
      <w:spacing w:line="400" w:lineRule="exact"/>
      <w:ind w:left="420" w:hanging="420" w:hangingChars="200"/>
      <w:jc w:val="both"/>
      <w:outlineLvl w:val="9"/>
    </w:pPr>
    <w:rPr>
      <w:rFonts w:ascii="Times New Roman" w:hAnsi="Times New Roman" w:eastAsia="宋体" w:cs="Times New Roman"/>
      <w:kern w:val="0"/>
      <w:sz w:val="21"/>
      <w:szCs w:val="21"/>
    </w:rPr>
  </w:style>
  <w:style w:type="paragraph" w:customStyle="1" w:styleId="26">
    <w:name w:val="参考文献标题"/>
    <w:next w:val="1"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center"/>
      <w:outlineLvl w:val="0"/>
    </w:pPr>
    <w:rPr>
      <w:rFonts w:ascii="Times New Roman" w:hAnsi="Times New Roman" w:eastAsia="黑体" w:cs="Times New Roman"/>
      <w:b/>
      <w:kern w:val="44"/>
      <w:sz w:val="24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7906</Words>
  <Characters>8309</Characters>
  <Lines>0</Lines>
  <Paragraphs>0</Paragraphs>
  <TotalTime>5</TotalTime>
  <ScaleCrop>false</ScaleCrop>
  <LinksUpToDate>false</LinksUpToDate>
  <CharactersWithSpaces>8313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2026-06-22T07:25:00Z</dcterms:created>
  <dc:creator>郑国洪</dc:creator>
  <cp:lastModifiedBy>眀眀无晴</cp:lastModifiedBy>
  <dcterms:modified xsi:type="dcterms:W3CDTF">2026-07-13T11:26:01Z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FA323641DAAB42D3AA57430282792C46_11</vt:lpwstr>
  </property>
  <property fmtid="{D5CDD505-2E9C-101B-9397-08002B2CF9AE}" pid="4" name="KSOTemplateDocerSaveRecord">
    <vt:lpwstr>eyJoZGlkIjoiYzdiODU0NjZiNWRjNGUyY2YyZGFhOGZkM2UxNzYxMGUiLCJ1c2VySWQiOiIzNzI1OTE1NzgifQ==</vt:lpwstr>
  </property>
</Properties>
</file>