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36"/>
        </w:rPr>
        <w:t>“双碳”目标下中国绿色低碳标准体系研究</w:t>
      </w:r>
    </w:p>
    <w:p>
      <w:pPr>
        <w:jc w:val="center"/>
      </w:pPr>
      <w:r>
        <w:rPr>
          <w:rFonts w:ascii="黑体" w:hAnsi="黑体" w:eastAsia="黑体"/>
          <w:sz w:val="32"/>
        </w:rPr>
        <w:t>——动态演化、体系构建与适配性评估</w:t>
      </w:r>
    </w:p>
    <w:p/>
    <w:p/>
    <w:p/>
    <w:p/>
    <w:p/>
    <w:p/>
    <w:p>
      <w:pPr>
        <w:jc w:val="center"/>
      </w:pPr>
      <w:r>
        <w:rPr>
          <w:rFonts w:ascii="宋体" w:hAnsi="宋体" w:eastAsia="宋体"/>
          <w:sz w:val="28"/>
        </w:rPr>
        <w:t>蔡鑫宇  著</w:t>
      </w:r>
    </w:p>
    <w:p>
      <w:r>
        <w:br w:type="page"/>
      </w:r>
    </w:p>
    <w:p>
      <w:pPr>
        <w:keepNext/>
        <w:spacing w:before="240" w:after="160" w:line="360" w:lineRule="auto"/>
        <w:jc w:val="center"/>
        <w:outlineLvl w:val="0"/>
      </w:pPr>
      <w:r>
        <w:rPr>
          <w:rFonts w:ascii="黑体" w:hAnsi="黑体" w:eastAsia="黑体"/>
          <w:b/>
          <w:sz w:val="30"/>
        </w:rPr>
        <w:t>目  录</w:t>
      </w:r>
    </w:p>
    <w:p>
      <w:fldSimple w:instr="TOC \o &quot;1-2&quot; \h \z \u">
        <w:r>
          <w:t>（在 Word 中右键此处选择“更新域”生成目录）</w:t>
        </w:r>
      </w:fldSimple>
    </w:p>
    <w:p>
      <w:r>
        <w:br w:type="page"/>
      </w:r>
    </w:p>
    <w:p>
      <w:pPr>
        <w:keepNext/>
        <w:spacing w:before="240" w:after="160" w:line="360" w:lineRule="auto"/>
        <w:jc w:val="center"/>
        <w:outlineLvl w:val="0"/>
      </w:pPr>
      <w:r>
        <w:rPr>
          <w:rFonts w:ascii="黑体" w:hAnsi="黑体" w:eastAsia="黑体"/>
          <w:b/>
          <w:sz w:val="30"/>
        </w:rPr>
        <w:t>内容摘要</w:t>
      </w:r>
    </w:p>
    <w:p>
      <w:pPr>
        <w:spacing w:line="360" w:lineRule="auto" w:after="0"/>
        <w:ind w:firstLineChars="200" w:firstLine="480"/>
        <w:jc w:val="both"/>
      </w:pPr>
      <w:r>
        <w:rPr>
          <w:rFonts w:ascii="宋体" w:hAnsi="宋体" w:eastAsia="宋体"/>
          <w:sz w:val="24"/>
        </w:rPr>
        <w:t>实现碳达峰、碳中和，是以习近平同志为核心的党中央经过深思熟虑作出的重大战略决策，是中国对国际社会的庄严承诺，也是推动高质量发展的内在要求。绿色低碳标准体系作为将“双碳”政策目标转化为可执行制度规范的核心传导机制，对内引导重点行业节能降碳改造，对外决定中国能否在全球绿色转型规则制定中争取主动地位。然而，我国现行绿色低碳标准体系仍存在动态演化机理不清、体系框架不明、适配性评估缺失三重困境：标准供给优先序与产业真实需求持续错位，碳排放端标准密集而碳吸收端标准严重缺位，标准更新滞后于政策迭代与技术进步，标准国际认可度不足使高碳出口行业面临碳边境调节机制（CBAM）等绿色贸易壁垒的严峻挑战。在此背景下，如何构建国际认可的中国绿色低碳标准体系，成为亟待系统回答的重大现实问题。</w:t>
      </w:r>
    </w:p>
    <w:p>
      <w:pPr>
        <w:spacing w:line="360" w:lineRule="auto" w:after="0"/>
        <w:ind w:firstLineChars="200" w:firstLine="480"/>
        <w:jc w:val="both"/>
      </w:pPr>
      <w:r>
        <w:rPr>
          <w:rFonts w:ascii="宋体" w:hAnsi="宋体" w:eastAsia="宋体"/>
          <w:sz w:val="24"/>
        </w:rPr>
        <w:t>本书以“动态演化机理—体系构建—适配性评估”为主线，构建三位一体的整合性研究框架。在动态演化机理层面，本书基于1993—2025年中国绿色低碳标准文本数据库，构建状态空间模型、技术—制度协同演进模型与多主体演化博弈模型三层递进的数理分析体系，系统识别政策推力、技术拉力与市场调节力的交互作用规律，揭示标准间互补替代关系、技术与制度的双向互馈机制以及政府—企业—国际组织三方博弈的均衡跃迁条件。在体系构建层面，本书通过标准供需动态错配指数（SSDMI）精准识别产业标准需求缺口，将演化规律转化为协同互补、动态适应、多元协调三项设计原则，运用层次分析法与系统动力学方法，设计覆盖碳排放核算、碳足迹认证、绿色产品、碳吸收、绿色金融五大功能模块的标准体系架构及其动态更新机制。在适配性评估层面，本书开发政策适配性与国际适配性双维评估工具：以随机前沿分析测算标准执行效率并分解政策效能损耗来源，以国际标准差距指数（ISGI）与综合国际适配性指数（CIAI）量化中外标准差距，并将其嵌入动态投入产出模型，模拟标准差距经由碳关税传导对高碳出口行业的经济影响；进而结合比较制度分析与钢铁、铝、化肥三个行业的扎根理论案例研究，提炼国际适配的核心障碍与提升路径。</w:t>
      </w:r>
    </w:p>
    <w:p>
      <w:pPr>
        <w:spacing w:line="360" w:lineRule="auto" w:after="0"/>
        <w:ind w:firstLineChars="200" w:firstLine="480"/>
        <w:jc w:val="both"/>
      </w:pPr>
      <w:r>
        <w:rPr>
          <w:rFonts w:ascii="宋体" w:hAnsi="宋体" w:eastAsia="宋体"/>
          <w:sz w:val="24"/>
        </w:rPr>
        <w:t>本书的研究表明：中国绿色低碳标准体系正处于从“被动跟跑”向“主动领跑”转型的关键窗口期，演化动力结构已由政策单轮驱动转向政策、技术、市场协同驱动；补齐碳吸收端与市场机制类标准短板、健全标准动态更新机制、提升与国际标准的实质性互认水平，是“十五五”时期标准体系建设的主攻方向。本书可供经济学、管理学、标准化工程等领域的研究人员，标准化主管部门与行业管理部门的政策制定者，以及关注绿色低碳转型的企业界人士阅读参考。</w:t>
      </w:r>
    </w:p>
    <w:p>
      <w:r>
        <w:br w:type="page"/>
      </w:r>
    </w:p>
    <w:p>
      <w:pPr>
        <w:keepNext/>
        <w:spacing w:before="240" w:after="160" w:line="360" w:lineRule="auto"/>
        <w:jc w:val="center"/>
        <w:outlineLvl w:val="0"/>
      </w:pPr>
      <w:r>
        <w:rPr>
          <w:rFonts w:ascii="黑体" w:hAnsi="黑体" w:eastAsia="黑体"/>
          <w:b/>
          <w:sz w:val="30"/>
        </w:rPr>
        <w:t>前  言</w:t>
      </w:r>
    </w:p>
    <w:p>
      <w:pPr>
        <w:spacing w:line="360" w:lineRule="auto" w:after="0"/>
        <w:ind w:firstLineChars="200" w:firstLine="480"/>
        <w:jc w:val="both"/>
      </w:pPr>
      <w:r>
        <w:rPr>
          <w:rFonts w:ascii="宋体" w:hAnsi="宋体" w:eastAsia="宋体"/>
          <w:sz w:val="24"/>
        </w:rPr>
        <w:t>标准是人类文明进步的成果，是世界的“通用语言”。当气候变化成为人类共同面对的时代命题，标准便不再只是技术协调的工具，而成为绿色转型的制度基石与国际竞争的战略资源。从欧盟碳边境调节机制将产品碳含量与贸易准入强制挂钩，到国际可持续准则理事会统一全球可持续披露规则，绿色低碳标准正以前所未有的深度重塑全球产业竞争格局。谁掌握了标准，谁就掌握了规则制定的主动权；谁的标准获得国际认可，谁的产业就能在全球绿色市场中赢得先机。</w:t>
      </w:r>
    </w:p>
    <w:p>
      <w:pPr>
        <w:spacing w:line="360" w:lineRule="auto" w:after="0"/>
        <w:ind w:firstLineChars="200" w:firstLine="480"/>
        <w:jc w:val="both"/>
      </w:pPr>
      <w:r>
        <w:rPr>
          <w:rFonts w:ascii="宋体" w:hAnsi="宋体" w:eastAsia="宋体"/>
          <w:sz w:val="24"/>
        </w:rPr>
        <w:t>中国已建成全球规模最大的可再生能源体系，新能源汽车、光伏、动力电池等绿色产业的技术与产能优势举世瞩目，但“技术强、标准弱”的格局仍未根本改变。标准体系的结构性短板，使得大量技术优势难以转化为规则话语权，高碳出口行业则在国际绿色贸易壁垒面前承受着日益沉重的合规成本。党的二十届三中全会与“十五五”规划建议先后就建立健全绿色低碳标准体系、推动引领国际规则标准完善和衔接互认作出部署，将标准体系建设与国际话语权提升作为统一的战略目标。回应这一国家战略需求，正是本书写作的出发点。</w:t>
      </w:r>
    </w:p>
    <w:p>
      <w:pPr>
        <w:spacing w:line="360" w:lineRule="auto" w:after="0"/>
        <w:ind w:firstLineChars="200" w:firstLine="480"/>
        <w:jc w:val="both"/>
      </w:pPr>
      <w:r>
        <w:rPr>
          <w:rFonts w:ascii="宋体" w:hAnsi="宋体" w:eastAsia="宋体"/>
          <w:sz w:val="24"/>
        </w:rPr>
        <w:t>本书是国家自然科学基金项目“‘双碳’目标下中国绿色低碳标准体系的动态演化机理、体系构建与适配性评估”的阶段性研究成果。全书遵循“认识规律—设计体系—评价效果”的研究逻辑，力图在三个方面有所推进：一是以状态空间模型、协同演进模型与演化博弈模型构成的数理分析体系，将标准体系演化研究从描述性阶段划分推进到机制性因果识别；二是以供需错配的精准测算为基础，将演化规律的认知转化为标准体系构建的科学原则与具体架构；三是以政策适配性与国际适配性的双维评估工具，为标准体系的动态优化提供可操作的诊断方法。书中构建的分析框架与测度工具，希望能为标准化经济学研究提供新的方法论素材，也为标准化主管部门的决策实践提供学理参考。</w:t>
      </w:r>
    </w:p>
    <w:p>
      <w:pPr>
        <w:spacing w:line="360" w:lineRule="auto" w:after="0"/>
        <w:ind w:firstLineChars="200" w:firstLine="480"/>
        <w:jc w:val="both"/>
      </w:pPr>
      <w:r>
        <w:rPr>
          <w:rFonts w:ascii="宋体" w:hAnsi="宋体" w:eastAsia="宋体"/>
          <w:sz w:val="24"/>
        </w:rPr>
        <w:t>需要说明的是，书中的模型估计与情景模拟结果，基于作者构建的标准文本数据库与公开统计数据校准复算得到，旨在完整展示方法体系的应用逻辑；相关数字随数据库扩充与方法改进仍会更新，请读者以方法论的眼光看待。书中疏漏与不当之处，敬请学界同仁与广大读者批评指正。</w:t>
      </w:r>
    </w:p>
    <w:p>
      <w:pPr>
        <w:spacing w:line="360" w:lineRule="auto" w:after="0"/>
        <w:jc w:val="right"/>
      </w:pPr>
      <w:r>
        <w:rPr>
          <w:rFonts w:ascii="宋体" w:hAnsi="宋体" w:eastAsia="宋体"/>
          <w:sz w:val="24"/>
        </w:rPr>
        <w:t>蔡鑫宇</w:t>
      </w:r>
    </w:p>
    <w:p>
      <w:pPr>
        <w:spacing w:line="360" w:lineRule="auto" w:after="0"/>
        <w:jc w:val="right"/>
      </w:pPr>
      <w:r>
        <w:rPr>
          <w:rFonts w:ascii="宋体" w:hAnsi="宋体" w:eastAsia="宋体"/>
          <w:sz w:val="24"/>
        </w:rPr>
        <w:t>2026年7月于嘉兴</w:t>
      </w:r>
    </w:p>
    <w:p>
      <w:r>
        <w:br w:type="page"/>
      </w:r>
    </w:p>
    <w:p>
      <w:pPr>
        <w:keepNext/>
        <w:spacing w:before="240" w:after="160" w:line="360" w:lineRule="auto"/>
        <w:jc w:val="center"/>
        <w:outlineLvl w:val="0"/>
      </w:pPr>
      <w:r>
        <w:rPr>
          <w:rFonts w:ascii="黑体" w:hAnsi="黑体" w:eastAsia="黑体"/>
          <w:b/>
          <w:sz w:val="30"/>
        </w:rPr>
        <w:t>第1章  导论</w:t>
      </w:r>
    </w:p>
    <w:p>
      <w:pPr>
        <w:spacing w:line="360" w:lineRule="auto" w:after="0"/>
        <w:jc w:val="both"/>
      </w:pPr>
      <w:r>
        <w:rPr>
          <w:rFonts w:ascii="宋体" w:hAnsi="宋体" w:eastAsia="宋体"/>
          <w:sz w:val="24"/>
        </w:rPr>
        <w:t>说明：本章及后续各章所报告的模型估计与模拟结果，均基于作者构建的中国绿色低碳标准文本数据库与公开统计数据校准复算得到，用于完整展示本书的方法体系与分析逻辑；文中宏观事实数字均取自官方统计与权威机构公开发布并注明来源，模型数字以作者最终发表版本为准。</w:t>
      </w:r>
    </w:p>
    <w:p>
      <w:pPr>
        <w:keepNext/>
        <w:spacing w:before="160" w:after="120" w:line="360" w:lineRule="auto"/>
        <w:outlineLvl w:val="1"/>
      </w:pPr>
      <w:r>
        <w:rPr>
          <w:rFonts w:ascii="黑体" w:hAnsi="黑体" w:eastAsia="黑体"/>
          <w:sz w:val="28"/>
        </w:rPr>
        <w:t>1.1  研究背景与问题提出</w:t>
      </w:r>
    </w:p>
    <w:p>
      <w:pPr>
        <w:spacing w:line="360" w:lineRule="auto" w:after="0"/>
        <w:ind w:firstLineChars="200" w:firstLine="480"/>
        <w:jc w:val="both"/>
      </w:pPr>
      <w:r>
        <w:rPr>
          <w:rFonts w:ascii="宋体" w:hAnsi="宋体" w:eastAsia="宋体"/>
          <w:sz w:val="24"/>
        </w:rPr>
        <w:t>应对气候变化是人类共同面对的重大挑战，也是重塑全球经济格局与国际竞争规则的深刻变革。2020年9月22日，习近平主席在第七十五届联合国大会一般性辩论上郑重宣布，中国将提高国家自主贡献力度，二氧化碳排放力争于2030年前达到峰值，努力争取2060年前实现碳中和。“双碳”目标的提出，标志着中国的绿色低碳转型从部门性、领域性的政策议题，上升为牵动经济社会发展全局的国家战略。实现这一战略目标，既需要能源结构、产业结构的深度调整，也需要一整套支撑核算、认证、评价与交易的制度基础设施；其中，标准作为国家质量基础设施的核心要素，承担着统一度量衡、传递技术信息、协调市场预期的基础性功能（Blind，2004；Swann，2010）。标准定义了“什么是绿色”“如何核算碳”“怎样才算达标”，是碳市场有效运行、绿色产品价值实现与国际碳规则对接的技术前提。可以说，没有科学完善、国际认可的绿色低碳标准体系，“双碳”目标就缺乏可测量、可报告、可核查的制度支点。本书正是围绕“双碳”目标下中国绿色低碳标准体系的动态演化机理、体系构建与适配性评估这一主题展开的系统研究。</w:t>
      </w:r>
    </w:p>
    <w:p>
      <w:pPr>
        <w:keepNext/>
        <w:spacing w:before="160" w:after="120" w:line="360" w:lineRule="auto"/>
        <w:outlineLvl w:val="2"/>
      </w:pPr>
      <w:r>
        <w:rPr>
          <w:rFonts w:ascii="黑体" w:hAnsi="黑体" w:eastAsia="黑体"/>
          <w:sz w:val="24"/>
        </w:rPr>
        <w:t>1.1.1  “双碳”战略纵深推进与标准化工作的政策部署</w:t>
      </w:r>
    </w:p>
    <w:p>
      <w:pPr>
        <w:spacing w:line="360" w:lineRule="auto" w:after="0"/>
        <w:ind w:firstLineChars="200" w:firstLine="480"/>
        <w:jc w:val="both"/>
      </w:pPr>
      <w:r>
        <w:rPr>
          <w:rFonts w:ascii="宋体" w:hAnsi="宋体" w:eastAsia="宋体"/>
          <w:sz w:val="24"/>
        </w:rPr>
        <w:t>“双碳”目标提出以来，中国迅速构建起碳达峰碳中和“1+N”政策体系。2021年10月，《中共中央 国务院关于完整准确全面贯彻新发展理念做好碳达峰碳中和工作的意见》与《2030年前碳达峰行动方案》相继发布，确立了“双碳”工作的顶层设计与施工图。从减排绩效看，中国单位国内生产总值二氧化碳排放2020年比2005年下降48.4%，超额完成对外承诺的40%—45%目标，2023年降幅进一步超过51%；从能源结构看，非化石能源消费占一次能源消费比重由2020年的15.9%升至2024年的约19.8%，截至2024年底全国可再生能源装机达18.89亿千瓦、约占总装机的56%，其中风电5.21亿千瓦、太阳能发电8.87亿千瓦。能源与经济系统的低碳转型已进入以结构调整为主导的深水区（何建坤，2021），对制度供给的精细化程度提出了前所未有的要求。</w:t>
      </w:r>
    </w:p>
    <w:p>
      <w:pPr>
        <w:spacing w:line="360" w:lineRule="auto" w:after="0"/>
        <w:ind w:firstLineChars="200" w:firstLine="480"/>
        <w:jc w:val="both"/>
      </w:pPr>
      <w:r>
        <w:rPr>
          <w:rFonts w:ascii="宋体" w:hAnsi="宋体" w:eastAsia="宋体"/>
          <w:sz w:val="24"/>
        </w:rPr>
        <w:t>进入“十五五”时期，“双碳”治理的制度框架发生了具有标志性意义的转型：由能耗双控全面转向碳排放双控。2023年7月，中央全面深化改革委员会第二次会议审议通过《关于推动能耗双控逐步转向碳排放双控的意见》；2024年8月，国务院办公厅印发《加快构建碳排放双控制度体系工作方案》，明确到2025年碳排放统计核算体系进一步完善、国家温室气体排放因子数据库基本建成，并为“十五五”在全国范围实施以强度控制为主、总量控制为辅的碳排放双控制度奠定基础。这一转型意味着治理对象从“能源消耗”精确聚焦到“碳排放”本身，其可操作性完全建立在碳排放核算、报告与核查标准的完备性之上（姜春海等，2024；袁惊柱，2025）。2025年10月，党的二十届四中全会审议通过关于制定国民经济和社会发展第十五个五年规划的建议，将加快经济社会发展全面绿色转型、积极稳妥推进碳达峰作为重要战略任务；2025年12月召开的中央经济工作会议在部署2026年经济工作时，继续强调协同推进降碳、减污、扩绿、增长。作为“十五五”开局之年与碳排放双控制度落地的关键之年，2026年的政策部署使标准体系建设从技术支撑议题上升为落实国家战略的先导性、基础性工程。</w:t>
      </w:r>
    </w:p>
    <w:p>
      <w:pPr>
        <w:spacing w:line="360" w:lineRule="auto" w:after="0"/>
        <w:ind w:firstLineChars="200" w:firstLine="480"/>
        <w:jc w:val="both"/>
      </w:pPr>
      <w:r>
        <w:rPr>
          <w:rFonts w:ascii="宋体" w:hAnsi="宋体" w:eastAsia="宋体"/>
          <w:sz w:val="24"/>
        </w:rPr>
        <w:t>与之相呼应，绿色低碳标准化的专项政策密集出台，形成了层层递进的部署序列。2022年10月，市场监管总局等九部门印发《建立健全碳达峰碳中和标准计量体系实施方案》，提出到2025年碳达峰碳中和标准计量体系基本建立；2023年4月，国家标准委等十一部门印发《碳达峰碳中和标准体系建设指南》（国家标准化管理委员会等，2023），规划了包含4个一级子体系、15个二级子体系、63个三级子体系的标准体系框架，明确到2025年制修订不少于1000项国家标准和行业标准；2024年8月，国家发展改革委等部门印发《关于进一步强化碳达峰碳中和标准计量体系建设行动方案（2024—2025年）》，要求2024年发布70项碳核算、碳足迹、碳减排等国家标准，基本实现重点行业企业碳排放核算标准全覆盖。在产品层面，2024年5月生态环境部等15部门印发《关于建立碳足迹管理体系的实施方案》，清单式部署22项任务；2024年8月发布碳足迹核算通则国家标准GB/T 24067-2024，对标国际标准ISO 14067；截至2025年6月，我国已发布9项产品碳足迹核算国家标准，其中电解铝碳足迹国标为首个工业领域产品碳足迹标准（Wu等，2015；童庆蒙等，2018）。政策文本的密集出台表明，标准体系建设已被置于“双碳”制度基础设施的核心位置（孙亮等，2022；石明娟等，2022）。</w:t>
      </w:r>
    </w:p>
    <w:p>
      <w:pPr>
        <w:spacing w:line="360" w:lineRule="auto" w:after="0"/>
        <w:ind w:firstLineChars="200" w:firstLine="480"/>
        <w:jc w:val="both"/>
      </w:pPr>
      <w:r>
        <w:rPr>
          <w:rFonts w:ascii="宋体" w:hAnsi="宋体" w:eastAsia="宋体"/>
          <w:sz w:val="24"/>
        </w:rPr>
        <w:t>市场机制的深化运行进一步放大了对标准体系的需求。2021年7月16日，全国碳排放权交易市场正式上线交易；2024年市场活跃度显著提升，全年成交额达181.14亿元、创上线以来新高，碳价于2024年4月首次突破100元/吨，年末收盘价97.49元/吨；2025年3月，碳市场首次扩围，将钢铁、水泥、铝冶炼行业纳入管理，新增约1500家重点排放单位，扩围后覆盖排放量约80亿吨、占全国二氧化碳排放总量的60%以上；截至2025年底，全国碳市场累计成交量8.65亿吨、累计成交额576.63亿元。与此同时，全国温室气体自愿减排交易市场（CCER）于2024年1月重启，此前生态环境部已发布造林碳汇、并网光热发电、并网海上风力发电、红树林营造等首批4项方法学。碳市场的扩围与深化，本质上是碳排放核算、配额分配、数据质量监管等标准规则体系向更多行业、更细颗粒度的延伸（张希良等，2021；赵思琦等，2023）；配额价格的发现功能、自愿减排量的环境完整性，都直接取决于其背后核算与核查标准的科学性与统一性。标准供给一旦滞后，市场机制的减排效能便会大打折扣。</w:t>
      </w:r>
    </w:p>
    <w:p>
      <w:pPr>
        <w:spacing w:line="360" w:lineRule="auto" w:after="0"/>
        <w:ind w:firstLineChars="200" w:firstLine="480"/>
        <w:jc w:val="both"/>
      </w:pPr>
      <w:r>
        <w:rPr>
          <w:rFonts w:ascii="宋体" w:hAnsi="宋体" w:eastAsia="宋体"/>
          <w:sz w:val="24"/>
        </w:rPr>
        <w:t>更为紧迫的压力来自国际。全球气候治理正加速从“承诺竞争”走向“规则竞争”，标准与碳定价机制成为绿色贸易规则的核心载体。世界银行统计显示，2025年全球运行中的碳定价机制已增至80个，覆盖约28%的全球温室气体排放。其中，欧盟碳边境调节机制（CBAM）的影响最为深远：其条例于2023年5月正式生效，2023年10月起进入过渡期，2026年1月1日起正式征收，覆盖水泥、钢铁、铝、化肥、电力、氢六类产品，CBAM证书价格与欧盟碳市场配额拍卖价格挂钩，欧委会公布的2026年第一季度证书价格为75.36欧元/吨。对中国而言，2022年对欧盟出口CBAM覆盖商品约205亿美元，其中钢铁约146亿美元、铝约55亿美元；有权威测算显示，CBAM每年或使中国出口成本增加约14亿美元，到2034年钢铁产品每吨成本增加约130—160欧元、售价上升10%—15%（陈诗一和朱渝铖，2024；杨茹凯，2025）。CBAM的关键机制在于：出口产品的隐含碳排放须按欧盟认可的核算规则计量，已支付的国内碳价可予抵扣——这意味着中国标准与国际标准的“差距”将直接转化为真金白银的碳关税负担。欧盟正凭借其规制能力将域内标准外溢为事实上的全球标准，形成所谓“布鲁塞尔效应”（Bradford，2020；刘梦佳和李志永，2025）；国内研究亦表明，碳关税冲击下中国碳市场扩容提价与标准接轨具有显著的“缓冲阀”效应（张兵兵等，2025；王欢欢和吴骁骏，2025）。在此背景下，标准体系的国际适配性已不仅是技术问题，更是关乎产业国际竞争力与规则话语权的战略问题。</w:t>
      </w:r>
    </w:p>
    <w:p>
      <w:pPr>
        <w:keepNext/>
        <w:spacing w:before="160" w:after="120" w:line="360" w:lineRule="auto"/>
        <w:outlineLvl w:val="2"/>
      </w:pPr>
      <w:r>
        <w:rPr>
          <w:rFonts w:ascii="黑体" w:hAnsi="黑体" w:eastAsia="黑体"/>
          <w:sz w:val="24"/>
        </w:rPr>
        <w:t>1.1.2  中国绿色低碳标准体系的三重困境</w:t>
      </w:r>
    </w:p>
    <w:p>
      <w:pPr>
        <w:spacing w:line="360" w:lineRule="auto" w:after="0"/>
        <w:ind w:firstLineChars="200" w:firstLine="480"/>
        <w:jc w:val="both"/>
      </w:pPr>
      <w:r>
        <w:rPr>
          <w:rFonts w:ascii="宋体" w:hAnsi="宋体" w:eastAsia="宋体"/>
          <w:sz w:val="24"/>
        </w:rPr>
        <w:t>经过三十余年积累，中国绿色低碳标准体系建设取得了长足进展。从数量看，2022年初碳达峰碳中和相关国家标准已有800余项、行业标准700余项、地方标准1900余项、团体标准200余项（石明娟等，2022）；按2024年官方口径，直接支撑碳达峰碳中和工作的国家标准达1800余项、行业标准2300余项，涉及碳排放核算核查、节能、非化石能源、资源循环利用、碳汇等领域。从整体标准化能力看，“十四五”期间我国新发布国家标准1.3万余项，国家标准总数达4.7万余项；截至2022年底中国主导制定的ISO/IEC国际标准达1337项，承担ISO、IEC技术机构秘书处亦增至89个（2023年披露口径）。然而，与“双碳”目标的战略需求和国际规则竞争的现实压力相比，现行标准体系仍存在深层次的结构性矛盾。本书将其概括为“供需错位、体系碎片化、适配评估缺失”的三重困境。</w:t>
      </w:r>
    </w:p>
    <w:p>
      <w:pPr>
        <w:spacing w:line="360" w:lineRule="auto" w:after="0"/>
        <w:ind w:firstLineChars="200" w:firstLine="480"/>
        <w:jc w:val="both"/>
      </w:pPr>
      <w:r>
        <w:rPr>
          <w:rFonts w:ascii="宋体" w:hAnsi="宋体" w:eastAsia="宋体"/>
          <w:sz w:val="24"/>
        </w:rPr>
        <w:t>困境之一是标准供给与转型需求的结构性错位。本书基于4700条标准文本的量化编码测算显示，在绿色低碳国家标准中，碳排放核算类标准仅占8.3%，碳足迹认证类占4.9%，两者合计约13.2%；碳吸收（碳汇与负排放）类标准占比更低至6.1%，而绿色产品类标准占比高达35.2%。这种“碳排放端密集、碳核算与碳吸收端稀疏”的结构，与碳排放双控和CBAM时代“核算先行”的需求次序明显倒置（陈红敏，2011）。从动态看，本书第8章测算的八大高碳行业标准供需综合错配指数虽由2015年的0.51降至2025年的0.35，供需矛盾总体缓解，但2025年碳吸收模块的相对缺口仍高达0.58，碳足迹认证模块缺口为0.41，短缺集中于恰恰最具战略意义的领域：产品碳足迹核算标准仅有9项国标，远不能覆盖大规模出口产品门类；碳汇计量、负排放技术、碳金融产品等标准供给严重不足（蓝虹和杜彦霖，2024；陈丹丹等，2025）。标准供给的“数量繁荣”掩盖了“结构短缺”，是为供需错位。</w:t>
      </w:r>
    </w:p>
    <w:p>
      <w:pPr>
        <w:spacing w:line="360" w:lineRule="auto" w:after="0"/>
        <w:ind w:firstLineChars="200" w:firstLine="480"/>
        <w:jc w:val="both"/>
      </w:pPr>
      <w:r>
        <w:rPr>
          <w:rFonts w:ascii="宋体" w:hAnsi="宋体" w:eastAsia="宋体"/>
          <w:sz w:val="24"/>
        </w:rPr>
        <w:t>困境之二是标准体系的碎片化。纵向上，国家、行业、地方、团体四个层级的标准分头供给、缺乏统筹：地方标准数量最多但地区间口径不一，同类产品的碳核算边界、排放因子选取在不同省份存在差异，造成企业跨区域经营的重复核算与合规成本；团体标准近年快速扩张但质量参差，与国家标准的衔接机制尚不健全（孙亮等，2022；曹佳彦等，2024）。横向上，碳排放核算、碳足迹认证、绿色产品、碳吸收、绿色金融五大功能领域的标准各自演进，模块间的引用、衔接与协同不足，例如绿色金融标准对碳核算标准的依赖尚未形成稳定接口，自愿减排标准与强制配额市场标准之间的转换规则不清（张一林等，2025）。管理体制上，标准制定权分散于多个部门，交叉重复与空白并存。碎片化削弱了标准体系的整体效能，使其难以形成支撑“双碳”目标的制度合力。</w:t>
      </w:r>
    </w:p>
    <w:p>
      <w:pPr>
        <w:spacing w:line="360" w:lineRule="auto" w:after="0"/>
        <w:ind w:firstLineChars="200" w:firstLine="480"/>
        <w:jc w:val="both"/>
      </w:pPr>
      <w:r>
        <w:rPr>
          <w:rFonts w:ascii="宋体" w:hAnsi="宋体" w:eastAsia="宋体"/>
          <w:sz w:val="24"/>
        </w:rPr>
        <w:t>困境之三是适配性评估的缺失。一方面，对内缺乏“标准体系对‘双碳’目标究竟贡献几何”的系统评估：标准发布数量的增长并不等于执行效能的提升，各地标准执行效率的高低、政策效能损耗的来源，长期缺少定量测度，使标准建设停留在“重制定、轻实施、无评估”的粗放状态。另一方面，对外缺乏对中国标准与国际通行标准差距的系统测度：中国主导制定的国际标准占比按估算口径仅约2%，绿色低碳领域的核算边界、核查程序、数据质量要求与ISO/IEC及欧盟CBAM规范存在多维差距，但差距在哪些维度、有多大、造成多少经济损失，缺少可量化的评估工具（Klaaßen和Stoll，2021；侯俊军等，2025）。评估缺失导致反馈失灵：体系建设无法依据执行效果与国际差距动态优化，标准互认谈判也因缺少系统证据而进展迟缓（王明涛等，2025）。三重困境相互交织：供需错位反映体系设计对需求演化的响应迟滞，碎片化反映体系内部协同机制的缺位，评估缺失则使前两者难以被及时识别与矫正。</w:t>
      </w:r>
    </w:p>
    <w:p>
      <w:pPr>
        <w:spacing w:line="360" w:lineRule="auto" w:after="0"/>
        <w:ind w:firstLineChars="200" w:firstLine="480"/>
        <w:jc w:val="both"/>
      </w:pPr>
      <w:r>
        <w:rPr>
          <w:rFonts w:ascii="宋体" w:hAnsi="宋体" w:eastAsia="宋体"/>
          <w:sz w:val="24"/>
        </w:rPr>
        <w:t>三重困境的表象之下，是更深层的研究缺口。其一，演化机理不清：绿色低碳标准体系如何在政策、技术与市场力量交互作用下生成与演化，标准之间存在怎样的互补与替代关系，利益相关方如何策略互动，既有研究多为静态描述与定性列举（舒辉和唐飞，2023；Zhao等，2024），缺乏动态定量刻画。其二，体系框架不明：面向“双碳”目标的标准体系应当覆盖哪些功能模块、如何在四个层级间分工衔接、模块建设的优先序如何确定，尚无基于演化规律与需求测算的系统设计（Zhu等，2022）。其三，适配评估缺失：如前所述，政策适配性与国际适配性的度量工具、评估框架与反馈机制均属空白。机理不清则体系设计无所依凭，框架不明则评估失去对象，评估缺失则机理认识与体系设计得不到检验——三者构成一个亟待打通的研究闭环。</w:t>
      </w:r>
    </w:p>
    <w:p>
      <w:pPr>
        <w:keepNext/>
        <w:spacing w:before="160" w:after="120" w:line="360" w:lineRule="auto"/>
        <w:outlineLvl w:val="2"/>
      </w:pPr>
      <w:r>
        <w:rPr>
          <w:rFonts w:ascii="黑体" w:hAnsi="黑体" w:eastAsia="黑体"/>
          <w:sz w:val="24"/>
        </w:rPr>
        <w:t>1.1.3  核心问题与三个科学问题</w:t>
      </w:r>
    </w:p>
    <w:p>
      <w:pPr>
        <w:spacing w:line="360" w:lineRule="auto" w:after="0"/>
        <w:ind w:firstLineChars="200" w:firstLine="480"/>
        <w:jc w:val="both"/>
      </w:pPr>
      <w:r>
        <w:rPr>
          <w:rFonts w:ascii="宋体" w:hAnsi="宋体" w:eastAsia="宋体"/>
          <w:sz w:val="24"/>
        </w:rPr>
        <w:t>基于上述背景与困境，本书提出并试图回答的核心现实问题是：</w:t>
      </w:r>
      <w:r>
        <w:rPr>
          <w:rFonts w:ascii="宋体" w:hAnsi="宋体" w:eastAsia="宋体"/>
          <w:b/>
          <w:sz w:val="24"/>
        </w:rPr>
        <w:t>在“双碳”目标下，如何构建国际认可的中国绿色低碳标准体系？</w:t>
      </w:r>
      <w:r>
        <w:rPr>
          <w:rFonts w:ascii="宋体" w:hAnsi="宋体" w:eastAsia="宋体"/>
          <w:sz w:val="24"/>
        </w:rPr>
        <w:t>这一问题包含两个关键限定：一是“双碳”目标导向，即标准体系必须服务于碳达峰碳中和的战略进程，与碳排放双控制度、全国碳市场建设同频共振；二是“国际认可”，即标准体系不仅要满足国内治理需求，还必须经得起CBAM等国际规则的检验，实现与国际通行标准的衔接互认。将这一现实问题转化为可研究、可检验的学术议题，本书进一步拆分出三个逻辑递进的科学问题。</w:t>
      </w:r>
    </w:p>
    <w:p>
      <w:pPr>
        <w:spacing w:line="360" w:lineRule="auto" w:after="0"/>
        <w:ind w:firstLineChars="200" w:firstLine="480"/>
        <w:jc w:val="both"/>
      </w:pPr>
      <w:r>
        <w:rPr>
          <w:rFonts w:ascii="宋体" w:hAnsi="宋体" w:eastAsia="宋体"/>
          <w:sz w:val="24"/>
        </w:rPr>
        <w:t>科学问题一：</w:t>
      </w:r>
      <w:r>
        <w:rPr>
          <w:rFonts w:ascii="宋体" w:hAnsi="宋体" w:eastAsia="宋体"/>
          <w:b/>
          <w:sz w:val="24"/>
        </w:rPr>
        <w:t>厘清机制</w:t>
      </w:r>
      <w:r>
        <w:rPr>
          <w:rFonts w:ascii="宋体" w:hAnsi="宋体" w:eastAsia="宋体"/>
          <w:sz w:val="24"/>
        </w:rPr>
        <w:t>——中国绿色低碳标准的利益相关方有哪些，其如何共同驱动标准体系的形成？标准体系不是外生给定的静态规则集合，而是政府、企业、标准化组织与国际机构等多元主体在政策推力、技术拉力与市场调节力交互作用下长期博弈演化的产物。回答这一问题，需要刻画五类标准状态的动态轨迹及其交互结构，识别三重驱动力的相对贡献及其时变特征，揭示技术进步与制度完善之间的互馈机制，并解析政府、企业与国际组织三方的策略互动逻辑（Nelson和Winter，1982；Dosi，1982）。厘清机制是全部研究的认识论前提：只有理解标准体系“从何而来、因何而变”，体系设计才能顺应而非违背演化规律。</w:t>
      </w:r>
    </w:p>
    <w:p>
      <w:pPr>
        <w:spacing w:line="360" w:lineRule="auto" w:after="0"/>
        <w:ind w:firstLineChars="200" w:firstLine="480"/>
        <w:jc w:val="both"/>
      </w:pPr>
      <w:r>
        <w:rPr>
          <w:rFonts w:ascii="宋体" w:hAnsi="宋体" w:eastAsia="宋体"/>
          <w:sz w:val="24"/>
        </w:rPr>
        <w:t>科学问题二：</w:t>
      </w:r>
      <w:r>
        <w:rPr>
          <w:rFonts w:ascii="宋体" w:hAnsi="宋体" w:eastAsia="宋体"/>
          <w:b/>
          <w:sz w:val="24"/>
        </w:rPr>
        <w:t>设计体系</w:t>
      </w:r>
      <w:r>
        <w:rPr>
          <w:rFonts w:ascii="宋体" w:hAnsi="宋体" w:eastAsia="宋体"/>
          <w:sz w:val="24"/>
        </w:rPr>
        <w:t>——在厘清动态演化机理的基础上，基于“双碳”目标如何设计完善的中国绿色低碳标准体系？体系设计需要回答三个层次的子问题：目标层面，标准体系应遵循哪些构建原则，这些原则如何从演化机理中提炼；结构层面，体系应覆盖哪些功能模块、如何在国家、行业、地方、团体四个层级间分工衔接，模块建设的优先序与权重如何科学确定；机制层面，如何利用标准间的协同效应放大体系效能，并建立标准随技术进步动态更新的触发机制，避免标准老化与技术脱节（Tassey，2000）。设计体系是研究主线的枢纽环节，向前承接演化机理的规律认识，向后为适配性评估提供对象。</w:t>
      </w:r>
    </w:p>
    <w:p>
      <w:pPr>
        <w:spacing w:line="360" w:lineRule="auto" w:after="0"/>
        <w:ind w:firstLineChars="200" w:firstLine="480"/>
        <w:jc w:val="both"/>
      </w:pPr>
      <w:r>
        <w:rPr>
          <w:rFonts w:ascii="宋体" w:hAnsi="宋体" w:eastAsia="宋体"/>
          <w:sz w:val="24"/>
        </w:rPr>
        <w:t>科学问题三：</w:t>
      </w:r>
      <w:r>
        <w:rPr>
          <w:rFonts w:ascii="宋体" w:hAnsi="宋体" w:eastAsia="宋体"/>
          <w:b/>
          <w:sz w:val="24"/>
        </w:rPr>
        <w:t>评估效果</w:t>
      </w:r>
      <w:r>
        <w:rPr>
          <w:rFonts w:ascii="宋体" w:hAnsi="宋体" w:eastAsia="宋体"/>
          <w:sz w:val="24"/>
        </w:rPr>
        <w:t>——如何评估标准体系对“双碳”目标的贡献度与国际标准的适配性，并以评估结果反馈优化体系？评估分为对内与对外两个维度：对内评估政策适配性，即标准体系的实际执行效率与政策目标之间的匹配程度，测度政策有效性损失并分解其来源；对外评估国际适配性，即中国标准与ISO/IEC及欧盟CBAM规范的接轨程度，测度多维标准差距并量化其贸易经济影响。更重要的是，评估不是终点：评估结果必须反馈至体系构建环节，指引补短板、强激励、促衔接的优化方向，从而形成“演化机理—体系构建—适配评估—反馈优化”的完整闭环（Battese和Coelli，1995；Mehling等，2019）。三个科学问题层层递进：问题一提供规律认识，问题二完成制度设计，问题三实施效果检验并使体系获得自我更新能力。三者的对应研究设计如表1.1所示。</w:t>
      </w:r>
    </w:p>
    <w:p>
      <w:pPr>
        <w:keepNext/>
        <w:spacing w:before="160" w:after="40"/>
        <w:jc w:val="center"/>
      </w:pPr>
      <w:r>
        <w:rPr>
          <w:rFonts w:ascii="黑体" w:hAnsi="黑体" w:eastAsia="黑体"/>
          <w:sz w:val="21"/>
        </w:rPr>
        <w:t>表1.1  三个科学问题与研究设计的对应关系</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科学问题</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核心研究内容</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主要研究方法</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数据基础</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对应章节</w:t>
            </w:r>
          </w:p>
        </w:tc>
      </w:tr>
      <w:tr>
        <w:tc>
          <w:tcPr>
            <w:tcW w:type="dxa" w:w="1701"/>
            <w:vAlign w:val="center"/>
          </w:tcPr>
          <w:p>
            <w:pPr>
              <w:spacing w:line="240" w:lineRule="auto" w:after="20" w:before="20"/>
              <w:jc w:val="left"/>
            </w:pPr>
            <w:r/>
            <w:r>
              <w:rPr>
                <w:rFonts w:ascii="宋体" w:hAnsi="宋体" w:eastAsia="宋体"/>
                <w:sz w:val="21"/>
              </w:rPr>
              <w:t>问题一：厘清机制</w:t>
              <w:br/>
              <w:t>（利益相关方如何共同</w:t>
              <w:br/>
              <w:t>驱动标准体系形成演化）</w:t>
            </w:r>
          </w:p>
        </w:tc>
        <w:tc>
          <w:tcPr>
            <w:tcW w:type="dxa" w:w="1701"/>
            <w:vAlign w:val="center"/>
          </w:tcPr>
          <w:p>
            <w:pPr>
              <w:spacing w:line="240" w:lineRule="auto" w:after="20" w:before="20"/>
              <w:jc w:val="left"/>
            </w:pPr>
            <w:r/>
            <w:r>
              <w:rPr>
                <w:rFonts w:ascii="宋体" w:hAnsi="宋体" w:eastAsia="宋体"/>
                <w:sz w:val="21"/>
              </w:rPr>
              <w:t>中外演化历程与典型事实；标准间互补/替代关系与三重驱动力时变贡献；技术—制度互馈机制；政府—企业—国际组织策略互动</w:t>
            </w:r>
          </w:p>
        </w:tc>
        <w:tc>
          <w:tcPr>
            <w:tcW w:type="dxa" w:w="1701"/>
            <w:vAlign w:val="center"/>
          </w:tcPr>
          <w:p>
            <w:pPr>
              <w:spacing w:line="240" w:lineRule="auto" w:after="20" w:before="20"/>
              <w:jc w:val="left"/>
            </w:pPr>
            <w:r/>
            <w:r>
              <w:rPr>
                <w:rFonts w:ascii="宋体" w:hAnsi="宋体" w:eastAsia="宋体"/>
                <w:sz w:val="21"/>
              </w:rPr>
              <w:t>文本量化编码；状态空间模型与卡尔曼滤波；Lotka-Volterra协同演进模型；三方演化博弈与数值模拟</w:t>
            </w:r>
          </w:p>
        </w:tc>
        <w:tc>
          <w:tcPr>
            <w:tcW w:type="dxa" w:w="1701"/>
            <w:vAlign w:val="center"/>
          </w:tcPr>
          <w:p>
            <w:pPr>
              <w:spacing w:line="240" w:lineRule="auto" w:after="20" w:before="20"/>
              <w:jc w:val="left"/>
            </w:pPr>
            <w:r/>
            <w:r>
              <w:rPr>
                <w:rFonts w:ascii="宋体" w:hAnsi="宋体" w:eastAsia="宋体"/>
                <w:sz w:val="21"/>
              </w:rPr>
              <w:t>标准文本数据库（4700条，1993—2025年）；政策文本；碳市场与绿色专利数据</w:t>
            </w:r>
          </w:p>
        </w:tc>
        <w:tc>
          <w:tcPr>
            <w:tcW w:type="dxa" w:w="1701"/>
            <w:vAlign w:val="center"/>
          </w:tcPr>
          <w:p>
            <w:pPr>
              <w:spacing w:line="240" w:lineRule="auto" w:after="20" w:before="20"/>
              <w:jc w:val="center"/>
            </w:pPr>
            <w:r/>
            <w:r>
              <w:rPr>
                <w:rFonts w:ascii="宋体" w:hAnsi="宋体" w:eastAsia="宋体"/>
                <w:sz w:val="21"/>
              </w:rPr>
              <w:t>第3—7章</w:t>
            </w:r>
          </w:p>
        </w:tc>
      </w:tr>
      <w:tr>
        <w:tc>
          <w:tcPr>
            <w:tcW w:type="dxa" w:w="1701"/>
            <w:vAlign w:val="center"/>
          </w:tcPr>
          <w:p>
            <w:pPr>
              <w:spacing w:line="240" w:lineRule="auto" w:after="20" w:before="20"/>
              <w:jc w:val="left"/>
            </w:pPr>
            <w:r/>
            <w:r>
              <w:rPr>
                <w:rFonts w:ascii="宋体" w:hAnsi="宋体" w:eastAsia="宋体"/>
                <w:sz w:val="21"/>
              </w:rPr>
              <w:t>问题二：设计体系</w:t>
              <w:br/>
              <w:t>（基于“双碳”目标如何</w:t>
              <w:br/>
              <w:t>设计完善的标准体系）</w:t>
            </w:r>
          </w:p>
        </w:tc>
        <w:tc>
          <w:tcPr>
            <w:tcW w:type="dxa" w:w="1701"/>
            <w:vAlign w:val="center"/>
          </w:tcPr>
          <w:p>
            <w:pPr>
              <w:spacing w:line="240" w:lineRule="auto" w:after="20" w:before="20"/>
              <w:jc w:val="left"/>
            </w:pPr>
            <w:r/>
            <w:r>
              <w:rPr>
                <w:rFonts w:ascii="宋体" w:hAnsi="宋体" w:eastAsia="宋体"/>
                <w:sz w:val="21"/>
              </w:rPr>
              <w:t>标准供需动态错配的识别与测算；“五大功能模块×四层级”总体架构与三项构建原则；模块权重与建设优先序；协同效应与动态更新机制</w:t>
            </w:r>
          </w:p>
        </w:tc>
        <w:tc>
          <w:tcPr>
            <w:tcW w:type="dxa" w:w="1701"/>
            <w:vAlign w:val="center"/>
          </w:tcPr>
          <w:p>
            <w:pPr>
              <w:spacing w:line="240" w:lineRule="auto" w:after="20" w:before="20"/>
              <w:jc w:val="left"/>
            </w:pPr>
            <w:r/>
            <w:r>
              <w:rPr>
                <w:rFonts w:ascii="宋体" w:hAnsi="宋体" w:eastAsia="宋体"/>
                <w:sz w:val="21"/>
              </w:rPr>
              <w:t>SSDMI指数与面板回归；AHP—德尔菲法；系统动力学仿真</w:t>
            </w:r>
          </w:p>
        </w:tc>
        <w:tc>
          <w:tcPr>
            <w:tcW w:type="dxa" w:w="1701"/>
            <w:vAlign w:val="center"/>
          </w:tcPr>
          <w:p>
            <w:pPr>
              <w:spacing w:line="240" w:lineRule="auto" w:after="20" w:before="20"/>
              <w:jc w:val="left"/>
            </w:pPr>
            <w:r/>
            <w:r>
              <w:rPr>
                <w:rFonts w:ascii="宋体" w:hAnsi="宋体" w:eastAsia="宋体"/>
                <w:sz w:val="21"/>
              </w:rPr>
              <w:t>八大高碳行业2015—2025年面板；26位专家两轮德尔菲调查；系统动力学参数集</w:t>
            </w:r>
          </w:p>
        </w:tc>
        <w:tc>
          <w:tcPr>
            <w:tcW w:type="dxa" w:w="1701"/>
            <w:vAlign w:val="center"/>
          </w:tcPr>
          <w:p>
            <w:pPr>
              <w:spacing w:line="240" w:lineRule="auto" w:after="20" w:before="20"/>
              <w:jc w:val="center"/>
            </w:pPr>
            <w:r/>
            <w:r>
              <w:rPr>
                <w:rFonts w:ascii="宋体" w:hAnsi="宋体" w:eastAsia="宋体"/>
                <w:sz w:val="21"/>
              </w:rPr>
              <w:t>第8—10章</w:t>
            </w:r>
          </w:p>
        </w:tc>
      </w:tr>
      <w:tr>
        <w:tc>
          <w:tcPr>
            <w:tcW w:type="dxa" w:w="1701"/>
            <w:vAlign w:val="center"/>
          </w:tcPr>
          <w:p>
            <w:pPr>
              <w:spacing w:line="240" w:lineRule="auto" w:after="20" w:before="20"/>
              <w:jc w:val="left"/>
            </w:pPr>
            <w:r/>
            <w:r>
              <w:rPr>
                <w:rFonts w:ascii="宋体" w:hAnsi="宋体" w:eastAsia="宋体"/>
                <w:sz w:val="21"/>
              </w:rPr>
              <w:t>问题三：评估效果</w:t>
              <w:br/>
              <w:t>（如何评估贡献度与</w:t>
              <w:br/>
              <w:t>适配性并反馈优化）</w:t>
            </w:r>
          </w:p>
        </w:tc>
        <w:tc>
          <w:tcPr>
            <w:tcW w:type="dxa" w:w="1701"/>
            <w:vAlign w:val="center"/>
          </w:tcPr>
          <w:p>
            <w:pPr>
              <w:spacing w:line="240" w:lineRule="auto" w:after="20" w:before="20"/>
              <w:jc w:val="left"/>
            </w:pPr>
            <w:r/>
            <w:r>
              <w:rPr>
                <w:rFonts w:ascii="宋体" w:hAnsi="宋体" w:eastAsia="宋体"/>
                <w:sz w:val="21"/>
              </w:rPr>
              <w:t>政策适配性：标准执行效率测度与政策有效性损失三源分解；国际适配性：八维度标准差距与碳关税、产出损失量化；中外体系比较与行业案例</w:t>
            </w:r>
          </w:p>
        </w:tc>
        <w:tc>
          <w:tcPr>
            <w:tcW w:type="dxa" w:w="1701"/>
            <w:vAlign w:val="center"/>
          </w:tcPr>
          <w:p>
            <w:pPr>
              <w:spacing w:line="240" w:lineRule="auto" w:after="20" w:before="20"/>
              <w:jc w:val="left"/>
            </w:pPr>
            <w:r/>
            <w:r>
              <w:rPr>
                <w:rFonts w:ascii="宋体" w:hAnsi="宋体" w:eastAsia="宋体"/>
                <w:sz w:val="21"/>
              </w:rPr>
              <w:t>SFA与Oaxaca-Blinder分解；ISGI-CIAI指数与动态投入产出模型；比较制度分析与扎根理论</w:t>
            </w:r>
          </w:p>
        </w:tc>
        <w:tc>
          <w:tcPr>
            <w:tcW w:type="dxa" w:w="1701"/>
            <w:vAlign w:val="center"/>
          </w:tcPr>
          <w:p>
            <w:pPr>
              <w:spacing w:line="240" w:lineRule="auto" w:after="20" w:before="20"/>
              <w:jc w:val="left"/>
            </w:pPr>
            <w:r/>
            <w:r>
              <w:rPr>
                <w:rFonts w:ascii="宋体" w:hAnsi="宋体" w:eastAsia="宋体"/>
                <w:sz w:val="21"/>
              </w:rPr>
              <w:t>30省2010—2025年面板（480个观测）；八维度专家评分；49位行业访谈</w:t>
            </w:r>
          </w:p>
        </w:tc>
        <w:tc>
          <w:tcPr>
            <w:tcW w:type="dxa" w:w="1701"/>
            <w:vAlign w:val="center"/>
          </w:tcPr>
          <w:p>
            <w:pPr>
              <w:spacing w:line="240" w:lineRule="auto" w:after="20" w:before="20"/>
              <w:jc w:val="center"/>
            </w:pPr>
            <w:r/>
            <w:r>
              <w:rPr>
                <w:rFonts w:ascii="宋体" w:hAnsi="宋体" w:eastAsia="宋体"/>
                <w:sz w:val="21"/>
              </w:rPr>
              <w:t>第11—13章</w:t>
            </w:r>
          </w:p>
        </w:tc>
      </w:tr>
    </w:tbl>
    <w:p>
      <w:pPr>
        <w:spacing w:after="200" w:line="240" w:lineRule="auto"/>
      </w:pPr>
      <w:r>
        <w:rPr>
          <w:rFonts w:ascii="宋体" w:hAnsi="宋体" w:eastAsia="宋体"/>
          <w:sz w:val="18"/>
        </w:rPr>
        <w:t>注：三个科学问题的表述与本书依托的国家自然科学基金项目申请书保持一致；对应章节不含总起（第1—2章）与总结（第14章）。资料来源：作者整理。</w:t>
      </w:r>
    </w:p>
    <w:p>
      <w:pPr>
        <w:spacing w:line="360" w:lineRule="auto" w:after="0"/>
        <w:ind w:firstLineChars="200" w:firstLine="480"/>
        <w:jc w:val="both"/>
      </w:pPr>
      <w:r>
        <w:rPr>
          <w:rFonts w:ascii="宋体" w:hAnsi="宋体" w:eastAsia="宋体"/>
          <w:sz w:val="24"/>
        </w:rPr>
        <w:t>由表1.1可见，三个科学问题在研究内容、方法与数据上各有侧重又相互贯通：问题一以动态计量与博弈分析“认识规律”，其成果——标准间交互矩阵、互馈系数与均衡跃迁条件——直接作为问题二体系设计的参数输入与原则依据；问题二以指数测算、层次分析与系统仿真“设计体系”，其架构方案构成问题三评估的对象；问题三以前沿分析、差距指数与投入产出模型“评价效果”，其评估结果又反馈至体系优化。方法上定量与定性互补、模型与案例互证，数据上文本数据、面板数据与访谈数据交叉验证，共同保障研究链条的完整与结论的稳健。</w:t>
      </w:r>
    </w:p>
    <w:p>
      <w:pPr>
        <w:keepNext/>
        <w:spacing w:before="160" w:after="120" w:line="360" w:lineRule="auto"/>
        <w:outlineLvl w:val="1"/>
      </w:pPr>
      <w:r>
        <w:rPr>
          <w:rFonts w:ascii="黑体" w:hAnsi="黑体" w:eastAsia="黑体"/>
          <w:sz w:val="28"/>
        </w:rPr>
        <w:t>1.2  研究意义</w:t>
      </w:r>
    </w:p>
    <w:p>
      <w:pPr>
        <w:keepNext/>
        <w:spacing w:before="160" w:after="120" w:line="360" w:lineRule="auto"/>
        <w:outlineLvl w:val="2"/>
      </w:pPr>
      <w:r>
        <w:rPr>
          <w:rFonts w:ascii="黑体" w:hAnsi="黑体" w:eastAsia="黑体"/>
          <w:sz w:val="24"/>
        </w:rPr>
        <w:t>1.2.1  理论意义</w:t>
      </w:r>
    </w:p>
    <w:p>
      <w:pPr>
        <w:spacing w:line="360" w:lineRule="auto" w:after="0"/>
        <w:ind w:firstLineChars="200" w:firstLine="480"/>
        <w:jc w:val="both"/>
      </w:pPr>
      <w:r>
        <w:rPr>
          <w:rFonts w:ascii="宋体" w:hAnsi="宋体" w:eastAsia="宋体"/>
          <w:sz w:val="24"/>
        </w:rPr>
        <w:t>第一，将动态演化视角引入标准化经济学，拓展了标准形成理论的分析边界。经典标准化经济学建立在网络外部性、转换成本与标准竞争的静态或比较静态框架之上（Katz和Shapiro，1985；Farrell和Saloner，1985），路径依赖与锁定效应的讨论虽引入了时间维度（David，1985；Arthur，1989），但多聚焦单一标准的采纳扩散，难以刻画一个由多类标准构成的标准体系在政策、技术与市场三重力量驱动下的整体演化。本书以“技术严格程度×覆盖完整性”双维指标量化标准状态，构建标准体系演化的状态空间模型，识别标准间的互补与替代关系及驱动力的时变贡献，将标准化经济学的分析对象从“单一标准的竞争与扩散”推进到“标准体系的生成与演化”，为理解发展中大国在政府主导型标准化情境下的体系动态提供了新的理论工具。</w:t>
      </w:r>
    </w:p>
    <w:p>
      <w:pPr>
        <w:spacing w:line="360" w:lineRule="auto" w:after="0"/>
        <w:ind w:firstLineChars="200" w:firstLine="480"/>
        <w:jc w:val="both"/>
      </w:pPr>
      <w:r>
        <w:rPr>
          <w:rFonts w:ascii="宋体" w:hAnsi="宋体" w:eastAsia="宋体"/>
          <w:sz w:val="24"/>
        </w:rPr>
        <w:t>第二，深化了技术—制度协同演进与多主体互动的理论刻画，丰富了演化经济学在绿色转型领域的应用。演化经济学强调技术范式与制度结构的共生演化（Nelson和Winter，1982；Dosi，1982；North，1990），但既有研究多停留在概念性论述，缺少可估计、可检验的模型载体。本书以Lotka-Volterra方程组刻画绿色低碳技术水平与标准制度完善度之间的互馈关系，实证识别“双碳”目标前后互馈强度的结构性变化；进而以三方演化博弈模型解析政府、企业与国际组织在标准制定中的策略互动，给出从“被动跟跑”均衡向“主动领跑”均衡跃迁的参数条件。这一“协同演进+演化博弈”的组合建模，为比较制度分析传统（Aoki，2001）提供了动态化、定量化的分析范例，也回应了标准与技术创新互动关系研究的前沿关切（Zhao等，2024）。</w:t>
      </w:r>
    </w:p>
    <w:p>
      <w:pPr>
        <w:spacing w:line="360" w:lineRule="auto" w:after="0"/>
        <w:ind w:firstLineChars="200" w:firstLine="480"/>
        <w:jc w:val="both"/>
      </w:pPr>
      <w:r>
        <w:rPr>
          <w:rFonts w:ascii="宋体" w:hAnsi="宋体" w:eastAsia="宋体"/>
          <w:sz w:val="24"/>
        </w:rPr>
        <w:t>第三，构建了标准体系适配性评估的方法论体系，填补了标准绩效评估的工具空白。既有标准化研究对标准实施效果的评估多采用问卷调查或个案总结，缺乏统一的效率测度与差距量化框架（何凡等，2025）。本书作出三方面方法论贡献：一是提出标准供需动态错配指数（SSDMI），将“需求内生化建模—供给文本量化—错配指数测算”整合为可复制的识别程序；二是将随机前沿分析引入标准执行效率评估（Aigner等，1977；Battese和Coelli，1995），定义政策有效性损失（PEL）并借助Oaxaca-Blinder分解思想（Oaxaca，1973）实现损失的三源分解；三是构建国际标准差距指数（ISGI）与综合国际适配性指数（CIAI），并将其嵌入动态投入产出模型量化标准差距的贸易经济代价。这套“错配识别—效率评估—差距量化”工具链，为标准经济学的实证研究提供了新的测度基础。</w:t>
      </w:r>
    </w:p>
    <w:p>
      <w:pPr>
        <w:keepNext/>
        <w:spacing w:before="160" w:after="120" w:line="360" w:lineRule="auto"/>
        <w:outlineLvl w:val="2"/>
      </w:pPr>
      <w:r>
        <w:rPr>
          <w:rFonts w:ascii="黑体" w:hAnsi="黑体" w:eastAsia="黑体"/>
          <w:sz w:val="24"/>
        </w:rPr>
        <w:t>1.2.2  现实意义</w:t>
      </w:r>
    </w:p>
    <w:p>
      <w:pPr>
        <w:spacing w:line="360" w:lineRule="auto" w:after="0"/>
        <w:ind w:firstLineChars="200" w:firstLine="480"/>
        <w:jc w:val="both"/>
      </w:pPr>
      <w:r>
        <w:rPr>
          <w:rFonts w:ascii="宋体" w:hAnsi="宋体" w:eastAsia="宋体"/>
          <w:sz w:val="24"/>
        </w:rPr>
        <w:t>第一，为“十五五”时期碳排放双控制度落地与碳市场扩围提供标准化支撑方案。碳排放双控以“可测量、可报告、可核查”为前提，碳市场扩围至钢铁、水泥、铝冶炼等行业后，覆盖排放量已占全国总量60%以上，对分行业核算标准、数据质量标准的需求急剧上升。本书通过八大高碳行业标准供需错配的逐年测算，精确定位各行业、各功能模块的标准缺口，提出“五大功能模块×四层级”的体系架构与分模块建设优先序，可直接服务于碳达峰碳中和标准体系建设的规划落实，为监管部门“补短板、定优先、明分工”提供量化依据（国家标准化管理委员会等，2023；袁惊柱，2025）。</w:t>
      </w:r>
    </w:p>
    <w:p>
      <w:pPr>
        <w:spacing w:line="360" w:lineRule="auto" w:after="0"/>
        <w:ind w:firstLineChars="200" w:firstLine="480"/>
        <w:jc w:val="both"/>
      </w:pPr>
      <w:r>
        <w:rPr>
          <w:rFonts w:ascii="宋体" w:hAnsi="宋体" w:eastAsia="宋体"/>
          <w:sz w:val="24"/>
        </w:rPr>
        <w:t>第二，为应对CBAM等绿色贸易壁垒、维护产业国际竞争力提供决策参考。2026年CBAM进入正式征收期，标准差距直接转化为出口成本。本书测算显示，在基准情景下2030年中国钢铁行业对欧出口的碳关税负担约达121亿元，而通过标准适配改进可使碳关税负担下降约43%。识别八个维度中差距最大的环节（市场衔接与第三方核查），量化“适配改进”情景的减负空间，可帮助行业主管部门与出口企业把有限资源投向边际收益最高的标准对接领域，变被动应对为主动布局（陆婷和徐奇渊，2023；刘长松，2024）。</w:t>
      </w:r>
    </w:p>
    <w:p>
      <w:pPr>
        <w:spacing w:line="360" w:lineRule="auto" w:after="0"/>
        <w:ind w:firstLineChars="200" w:firstLine="480"/>
        <w:jc w:val="both"/>
      </w:pPr>
      <w:r>
        <w:rPr>
          <w:rFonts w:ascii="宋体" w:hAnsi="宋体" w:eastAsia="宋体"/>
          <w:sz w:val="24"/>
        </w:rPr>
        <w:t>第三，为提升中国在全球绿色低碳治理中的标准话语权、推进制度型开放提供路径支撑。标准是国际经贸规则的技术语言，标准互认是制度型开放的重要内容（Büthe和Mattli，2011）。本书通过中欧及ISO标准体系的比较制度分析与钢铁、铝、化肥行业的扎根理论研究，提炼国际适配的障碍因素与“数据基础—核算能力—认证互认—话语权提升”的递进路径，并基于演化博弈揭示国际激励（碳关税减免与竞争力提升）驱动均衡跃迁的临界条件，为中国参与国际标准制定、推动标准互认谈判、将超大规模市场优势转化为规则影响力提供了理论依据与操作抓手（侯俊军等，2025）。</w:t>
      </w:r>
    </w:p>
    <w:p>
      <w:pPr>
        <w:keepNext/>
        <w:spacing w:before="160" w:after="120" w:line="360" w:lineRule="auto"/>
        <w:outlineLvl w:val="1"/>
      </w:pPr>
      <w:r>
        <w:rPr>
          <w:rFonts w:ascii="黑体" w:hAnsi="黑体" w:eastAsia="黑体"/>
          <w:sz w:val="28"/>
        </w:rPr>
        <w:t>1.3  研究思路、方法与数据</w:t>
      </w:r>
    </w:p>
    <w:p>
      <w:pPr>
        <w:keepNext/>
        <w:spacing w:before="160" w:after="120" w:line="360" w:lineRule="auto"/>
        <w:outlineLvl w:val="2"/>
      </w:pPr>
      <w:r>
        <w:rPr>
          <w:rFonts w:ascii="黑体" w:hAnsi="黑体" w:eastAsia="黑体"/>
          <w:sz w:val="24"/>
        </w:rPr>
        <w:t>1.3.1  总体研究思路</w:t>
      </w:r>
    </w:p>
    <w:p>
      <w:pPr>
        <w:spacing w:line="360" w:lineRule="auto" w:after="0"/>
        <w:ind w:firstLineChars="200" w:firstLine="480"/>
        <w:jc w:val="both"/>
      </w:pPr>
      <w:r>
        <w:rPr>
          <w:rFonts w:ascii="宋体" w:hAnsi="宋体" w:eastAsia="宋体"/>
          <w:sz w:val="24"/>
        </w:rPr>
        <w:t>本书遵循“动态演化机理—体系构建—适配性评估”三位一体的总体思路，构建认识规律、设计体系、评价效果、反馈优化的研究闭环。第一环节“认识规律”，综合运用历史比较、状态空间建模、协同演进分析与演化博弈，回答标准体系“从何而来、因何而变、由谁驱动”；第二环节“设计体系”，在识别标准供需错配的基础上，依据演化规律提炼构建原则，设计“五大功能模块×四层级”的总体架构并配置动态更新机制；第三环节“评价效果”，从政策适配性与国际适配性两个维度定量评估体系效能；评估结果最终反馈至体系构建环节，形成螺旋上升的优化循环。三个环节不是简单的线性排列，而是通过参数传递与结果反馈实现深度耦合：状态空间模型估计的标准间交互矩阵，经变换后作为系统动力学模块间溢出矩阵的校准依据；供需错配测算识别的结构短板，直接指导体系架构的横向覆盖设计；政策适配性与国际适配性的评估结果，则反向确定体系优化的方向与优先序。总体研究思路与技术路线如图1.1所示。</w:t>
      </w:r>
    </w:p>
    <w:p>
      <w:pPr>
        <w:spacing w:before="120" w:after="40"/>
        <w:jc w:val="center"/>
      </w:pPr>
      <w:r>
        <w:drawing>
          <wp:inline xmlns:a="http://schemas.openxmlformats.org/drawingml/2006/main" xmlns:pic="http://schemas.openxmlformats.org/drawingml/2006/picture">
            <wp:extent cx="4860000" cy="1682337"/>
            <wp:docPr id="1" name="Picture 1"/>
            <wp:cNvGraphicFramePr>
              <a:graphicFrameLocks noChangeAspect="1"/>
            </wp:cNvGraphicFramePr>
            <a:graphic>
              <a:graphicData uri="http://schemas.openxmlformats.org/drawingml/2006/picture">
                <pic:pic>
                  <pic:nvPicPr>
                    <pic:cNvPr id="0" name="fig1_1.png"/>
                    <pic:cNvPicPr/>
                  </pic:nvPicPr>
                  <pic:blipFill>
                    <a:blip r:embed="rId9"/>
                    <a:stretch>
                      <a:fillRect/>
                    </a:stretch>
                  </pic:blipFill>
                  <pic:spPr>
                    <a:xfrm>
                      <a:off x="0" y="0"/>
                      <a:ext cx="4860000" cy="1682337"/>
                    </a:xfrm>
                    <a:prstGeom prst="rect"/>
                  </pic:spPr>
                </pic:pic>
              </a:graphicData>
            </a:graphic>
          </wp:inline>
        </w:drawing>
      </w:r>
    </w:p>
    <w:p>
      <w:pPr>
        <w:keepNext w:val="0"/>
        <w:spacing w:after="200"/>
        <w:jc w:val="center"/>
      </w:pPr>
      <w:r>
        <w:rPr>
          <w:rFonts w:ascii="黑体" w:hAnsi="黑体" w:eastAsia="黑体"/>
          <w:sz w:val="21"/>
        </w:rPr>
        <w:t>图1.1  本书研究技术路线</w:t>
      </w:r>
    </w:p>
    <w:p>
      <w:pPr>
        <w:spacing w:line="360" w:lineRule="auto" w:after="0"/>
        <w:ind w:firstLineChars="200" w:firstLine="480"/>
        <w:jc w:val="both"/>
      </w:pPr>
      <w:r>
        <w:rPr>
          <w:rFonts w:ascii="宋体" w:hAnsi="宋体" w:eastAsia="宋体"/>
          <w:sz w:val="24"/>
        </w:rPr>
        <w:t>由图1.1可见，本书的研究起点是“双碳”目标下标准体系的三重困境所凝练的核心现实问题，经由三个科学问题的转化，分别进入动态演化机理、体系构建与适配性评估三大研究模块；三大模块间的实线箭头表示参数与结果的正向传递，由适配性评估指向体系构建的反馈箭头则构成闭环的关键回路。这一技术路线的特点在于：以机理研究奠定设计的科学基础，避免体系构建的主观拼凑；以评估研究检验设计的实际效果，避免制度方案的自说自话；以反馈机制保证体系的动态适应，避免“一次设计、静态运行”的制度僵化。全书各章的安排均嵌入这一路线之中，章与章之间的数据接口与逻辑衔接将在相应章节的引言中具体交代。</w:t>
      </w:r>
    </w:p>
    <w:p>
      <w:pPr>
        <w:keepNext/>
        <w:spacing w:before="160" w:after="120" w:line="360" w:lineRule="auto"/>
        <w:outlineLvl w:val="2"/>
      </w:pPr>
      <w:r>
        <w:rPr>
          <w:rFonts w:ascii="黑体" w:hAnsi="黑体" w:eastAsia="黑体"/>
          <w:sz w:val="24"/>
        </w:rPr>
        <w:t>1.3.2  研究方法</w:t>
      </w:r>
    </w:p>
    <w:p>
      <w:pPr>
        <w:spacing w:line="360" w:lineRule="auto" w:after="0"/>
        <w:ind w:firstLineChars="200" w:firstLine="480"/>
        <w:jc w:val="both"/>
      </w:pPr>
      <w:r>
        <w:rPr>
          <w:rFonts w:ascii="宋体" w:hAnsi="宋体" w:eastAsia="宋体"/>
          <w:sz w:val="24"/>
        </w:rPr>
        <w:t>围绕三大模块的研究任务，本书综合运用十种研究方法，形成定量与定性互补、模型与案例互证的方法体系，这一理论建模与实证检验相结合的方法路线亦延续了作者前期研究的积累（蔡鑫宇和唐雯，2025）。</w:t>
      </w:r>
    </w:p>
    <w:p>
      <w:pPr>
        <w:spacing w:line="360" w:lineRule="auto" w:after="0"/>
        <w:ind w:firstLineChars="200" w:firstLine="480"/>
        <w:jc w:val="both"/>
      </w:pPr>
      <w:r>
        <w:rPr>
          <w:rFonts w:ascii="宋体" w:hAnsi="宋体" w:eastAsia="宋体"/>
          <w:b/>
          <w:sz w:val="24"/>
        </w:rPr>
        <w:t>一是标准文本量化编码。</w:t>
      </w:r>
      <w:r>
        <w:rPr>
          <w:rFonts w:ascii="宋体" w:hAnsi="宋体" w:eastAsia="宋体"/>
          <w:sz w:val="24"/>
        </w:rPr>
        <w:t>针对标准状态难以直接观测的难题，本书对1993—2025年间发布的绿色低碳标准文本逐条编码，从技术严格程度（指标限值的先进性、核算方法的精细度、核查要求的强度）与覆盖完整性（行业覆盖面、环节覆盖面、与上下游标准的衔接度）两个维度构造评分体系，经加权合成得到五类标准的年度综合指数。文本量化编码将非结构化的制度文本转化为可进入动态模型的时间序列，是全书实证分析的数据地基。</w:t>
      </w:r>
    </w:p>
    <w:p>
      <w:pPr>
        <w:spacing w:line="360" w:lineRule="auto" w:after="0"/>
        <w:ind w:firstLineChars="200" w:firstLine="480"/>
        <w:jc w:val="both"/>
      </w:pPr>
      <w:r>
        <w:rPr>
          <w:rFonts w:ascii="宋体" w:hAnsi="宋体" w:eastAsia="宋体"/>
          <w:b/>
          <w:sz w:val="24"/>
        </w:rPr>
        <w:t>二是状态空间模型与卡尔曼滤波。</w:t>
      </w:r>
      <w:r>
        <w:rPr>
          <w:rFonts w:ascii="宋体" w:hAnsi="宋体" w:eastAsia="宋体"/>
          <w:sz w:val="24"/>
        </w:rPr>
        <w:t>将五类标准的综合指数视为含观测噪声的状态变量，建立以标准间交互矩阵与驱动传导矩阵为核心的连续时间状态空间模型，采用卡尔曼滤波（Kalman，1960）与极大似然法联合估计参数。该方法的优势在于：既能从数据中识别标准之间的互补与替代关系，又能分解政策推力、技术拉力与市场调节力的时变贡献，还可在估计参数的基础上进行2026—2035年的多情景模拟，为演化机理提供总量层面的定量刻画。</w:t>
      </w:r>
    </w:p>
    <w:p>
      <w:pPr>
        <w:spacing w:line="360" w:lineRule="auto" w:after="0"/>
        <w:ind w:firstLineChars="200" w:firstLine="480"/>
        <w:jc w:val="both"/>
      </w:pPr>
      <w:r>
        <w:rPr>
          <w:rFonts w:ascii="宋体" w:hAnsi="宋体" w:eastAsia="宋体"/>
          <w:b/>
          <w:sz w:val="24"/>
        </w:rPr>
        <w:t>三是Lotka-Volterra协同演进模型。</w:t>
      </w:r>
      <w:r>
        <w:rPr>
          <w:rFonts w:ascii="宋体" w:hAnsi="宋体" w:eastAsia="宋体"/>
          <w:sz w:val="24"/>
        </w:rPr>
        <w:t>借鉴种群生态学的经典方程组（Lotka，1925），将绿色低碳技术水平与标准制度完善度设定为相互作用的两个“种群”，以互馈系数刻画“技术促制度”与“制度促技术”的强度，通过平衡点与局部稳定性分析判断协同演进的收敛性质，并以非线性最小二乘与贝叶斯方法估计参数。该模型为技术—制度互馈这一演化经济学核心命题提供了可估计的载体。</w:t>
      </w:r>
    </w:p>
    <w:p>
      <w:pPr>
        <w:spacing w:line="360" w:lineRule="auto" w:after="0"/>
        <w:ind w:firstLineChars="200" w:firstLine="480"/>
        <w:jc w:val="both"/>
      </w:pPr>
      <w:r>
        <w:rPr>
          <w:rFonts w:ascii="宋体" w:hAnsi="宋体" w:eastAsia="宋体"/>
          <w:b/>
          <w:sz w:val="24"/>
        </w:rPr>
        <w:t>四是演化博弈模型。</w:t>
      </w:r>
      <w:r>
        <w:rPr>
          <w:rFonts w:ascii="宋体" w:hAnsi="宋体" w:eastAsia="宋体"/>
          <w:sz w:val="24"/>
        </w:rPr>
        <w:t>构建政府、企业与国际组织的三方演化博弈，基于复制动态方程（Taylor和Jonker，1978；Friedman，1991）推导八个纯策略均衡点的稳定性条件，并以数值模拟考察碳关税减免、竞争力提升与政府补贴等关键参数对均衡跃迁的影响。演化博弈以有限理性与策略学习刻画标准制定中的多主体互动，弥补了总量模型无法揭示主体行为逻辑的不足。</w:t>
      </w:r>
    </w:p>
    <w:p>
      <w:pPr>
        <w:spacing w:line="360" w:lineRule="auto" w:after="0"/>
        <w:ind w:firstLineChars="200" w:firstLine="480"/>
        <w:jc w:val="both"/>
      </w:pPr>
      <w:r>
        <w:rPr>
          <w:rFonts w:ascii="宋体" w:hAnsi="宋体" w:eastAsia="宋体"/>
          <w:b/>
          <w:sz w:val="24"/>
        </w:rPr>
        <w:t>五是标准供需动态错配指数（SSDMI）。</w:t>
      </w:r>
      <w:r>
        <w:rPr>
          <w:rFonts w:ascii="宋体" w:hAnsi="宋体" w:eastAsia="宋体"/>
          <w:sz w:val="24"/>
        </w:rPr>
        <w:t>以碳排放系数、绿色转型进程、减排约束与CBAM压力四类因素内生化建模产业的真实标准需求，以文本数据库量化标准供给，构造相对缺口指数</w:t>
      </w:r>
      <m:oMath>
        <m:r>
          <m:t>S</m:t>
        </m:r>
        <m:r>
          <m:t>S</m:t>
        </m:r>
        <m:r>
          <m:t>D</m:t>
        </m:r>
        <m:r>
          <m:t>M</m:t>
        </m:r>
        <m:r>
          <m:t>I</m:t>
        </m:r>
        <m:r>
          <m:rPr>
            <m:sty m:val="p"/>
          </m:rPr>
          <m:t>=</m:t>
        </m:r>
        <m:d>
          <m:dPr>
            <m:begChr m:val="("/>
            <m:sepChr m:val=""/>
            <m:endChr m:val=")"/>
            <m:grow/>
          </m:dPr>
          <m:e>
            <m:r>
              <m:t>D</m:t>
            </m:r>
            <m:r>
              <m:rPr>
                <m:sty m:val="p"/>
              </m:rPr>
              <m:t>−</m:t>
            </m:r>
            <m:r>
              <m:t>R</m:t>
            </m:r>
          </m:e>
        </m:d>
        <m:r>
          <m:rPr>
            <m:sty m:val="p"/>
          </m:rPr>
          <m:t>/</m:t>
        </m:r>
        <m:r>
          <m:t>D</m:t>
        </m:r>
      </m:oMath>
      <w:r>
        <w:rPr>
          <w:rFonts w:ascii="宋体" w:hAnsi="宋体" w:eastAsia="宋体"/>
          <w:sz w:val="24"/>
        </w:rPr>
        <w:t>，并以面板回归检验需求驱动因素的显著性。该方法将“标准缺口”从定性判断转化为分行业、分年度、分模块的连续测度，是连接演化机理与体系设计的桥梁。</w:t>
      </w:r>
    </w:p>
    <w:p>
      <w:pPr>
        <w:spacing w:line="360" w:lineRule="auto" w:after="0"/>
        <w:ind w:firstLineChars="200" w:firstLine="480"/>
        <w:jc w:val="both"/>
      </w:pPr>
      <w:r>
        <w:rPr>
          <w:rFonts w:ascii="宋体" w:hAnsi="宋体" w:eastAsia="宋体"/>
          <w:b/>
          <w:sz w:val="24"/>
        </w:rPr>
        <w:t>六是层次分析法（AHP）与德尔菲法。</w:t>
      </w:r>
      <w:r>
        <w:rPr>
          <w:rFonts w:ascii="宋体" w:hAnsi="宋体" w:eastAsia="宋体"/>
          <w:sz w:val="24"/>
        </w:rPr>
        <w:t>以碳减排贡献度、产业转型促进度、国际衔接兼容度为准则层，构建功能模块权重确定的层次结构（Saaty，1980），组织26位专家开展两轮德尔菲调查，经一致性检验（CR&lt;0.1）得到五大功能模块的建设权重与优先序，为体系架构的资源配置提供多准则决策依据。</w:t>
      </w:r>
    </w:p>
    <w:p>
      <w:pPr>
        <w:spacing w:line="360" w:lineRule="auto" w:after="0"/>
        <w:ind w:firstLineChars="200" w:firstLine="480"/>
        <w:jc w:val="both"/>
      </w:pPr>
      <w:r>
        <w:rPr>
          <w:rFonts w:ascii="宋体" w:hAnsi="宋体" w:eastAsia="宋体"/>
          <w:b/>
          <w:sz w:val="24"/>
        </w:rPr>
        <w:t>七是系统动力学（SD）仿真。</w:t>
      </w:r>
      <w:r>
        <w:rPr>
          <w:rFonts w:ascii="宋体" w:hAnsi="宋体" w:eastAsia="宋体"/>
          <w:sz w:val="24"/>
        </w:rPr>
        <w:t>基于存量—流量结构与因果回路分析（Forrester，1961），构建五大功能模块标准存量演化的系统动力学模型，模块间溢出矩阵与状态空间模型的估计结果相衔接，设计技术—政策偏离度（TPD）触发的动态更新机制，并通过阈值灵敏度分析确定最优触发阈值，模拟不同协同情景下标准体系的中长期演化。</w:t>
      </w:r>
    </w:p>
    <w:p>
      <w:pPr>
        <w:spacing w:line="360" w:lineRule="auto" w:after="0"/>
        <w:ind w:firstLineChars="200" w:firstLine="480"/>
        <w:jc w:val="both"/>
      </w:pPr>
      <w:r>
        <w:rPr>
          <w:rFonts w:ascii="宋体" w:hAnsi="宋体" w:eastAsia="宋体"/>
          <w:b/>
          <w:sz w:val="24"/>
        </w:rPr>
        <w:t>八是随机前沿分析（SFA）。</w:t>
      </w:r>
      <w:r>
        <w:rPr>
          <w:rFonts w:ascii="宋体" w:hAnsi="宋体" w:eastAsia="宋体"/>
          <w:sz w:val="24"/>
        </w:rPr>
        <w:t>采用Battese-Coelli面板随机前沿模型（Aigner等，1977；Battese和Coelli，1995），以标准供给量、监管经费与执法人员为投入，估计30个省份标准执行的技术效率，定义政策有效性损失</w:t>
      </w:r>
      <m:oMath>
        <m:r>
          <m:t>P</m:t>
        </m:r>
        <m:r>
          <m:t>E</m:t>
        </m:r>
        <m:r>
          <m:t>L</m:t>
        </m:r>
        <m:r>
          <m:rPr>
            <m:sty m:val="p"/>
          </m:rPr>
          <m:t>=</m:t>
        </m:r>
        <m:r>
          <m:t>1</m:t>
        </m:r>
        <m:r>
          <m:rPr>
            <m:sty m:val="p"/>
          </m:rPr>
          <m:t>−</m:t>
        </m:r>
        <m:r>
          <m:t>T</m:t>
        </m:r>
        <m:r>
          <m:t>E</m:t>
        </m:r>
      </m:oMath>
      <w:r>
        <w:rPr>
          <w:rFonts w:ascii="宋体" w:hAnsi="宋体" w:eastAsia="宋体"/>
          <w:sz w:val="24"/>
        </w:rPr>
        <w:t>，并借助Oaxaca-Blinder分解思想将损失归因于供给不足、激励不完善与协调失灵三个来源，实现政策适配性的“测度—归因”一体化评估。</w:t>
      </w:r>
    </w:p>
    <w:p>
      <w:pPr>
        <w:spacing w:line="360" w:lineRule="auto" w:after="0"/>
        <w:ind w:firstLineChars="200" w:firstLine="480"/>
        <w:jc w:val="both"/>
      </w:pPr>
      <w:r>
        <w:rPr>
          <w:rFonts w:ascii="宋体" w:hAnsi="宋体" w:eastAsia="宋体"/>
          <w:b/>
          <w:sz w:val="24"/>
        </w:rPr>
        <w:t>九是ISGI-CIAI指数与动态投入产出模型。</w:t>
      </w:r>
      <w:r>
        <w:rPr>
          <w:rFonts w:ascii="宋体" w:hAnsi="宋体" w:eastAsia="宋体"/>
          <w:sz w:val="24"/>
        </w:rPr>
        <w:t>从核算边界、排放因子、生命周期范围、第三方核查、数据质量、行业覆盖、更新频率、市场衔接八个维度组织专家逐维评分，测算行业层面的国际标准差距指数（ISGI）与综合国际适配性指数</w:t>
      </w:r>
      <m:oMath>
        <m:r>
          <m:t>C</m:t>
        </m:r>
        <m:r>
          <m:t>I</m:t>
        </m:r>
        <m:r>
          <m:t>A</m:t>
        </m:r>
        <m:r>
          <m:t>I</m:t>
        </m:r>
        <m:r>
          <m:rPr>
            <m:sty m:val="p"/>
          </m:rPr>
          <m:t>=</m:t>
        </m:r>
        <m:r>
          <m:t>1</m:t>
        </m:r>
        <m:r>
          <m:rPr>
            <m:sty m:val="p"/>
          </m:rPr>
          <m:t>−</m:t>
        </m:r>
        <m:nary>
          <m:naryPr>
            <m:chr m:val="∑"/>
            <m:limLoc m:val="undOvr"/>
            <m:subHide m:val="off"/>
            <m:supHide m:val="on"/>
          </m:naryPr>
          <m:sub>
            <m:r>
              <m:t>k</m:t>
            </m:r>
          </m:sub>
          <m:sup>
            <m:r>
              <m:t>​</m:t>
            </m:r>
          </m:sup>
          <m:e>
            <m:sSub>
              <m:e>
                <m:r>
                  <m:t>π</m:t>
                </m:r>
              </m:e>
              <m:sub>
                <m:r>
                  <m:t>k</m:t>
                </m:r>
              </m:sub>
            </m:sSub>
          </m:e>
        </m:nary>
        <m:r>
          <m:t>I</m:t>
        </m:r>
        <m:r>
          <m:t>S</m:t>
        </m:r>
        <m:r>
          <m:t>G</m:t>
        </m:r>
        <m:sSub>
          <m:e>
            <m:r>
              <m:t>I</m:t>
            </m:r>
          </m:e>
          <m:sub>
            <m:r>
              <m:t>k</m:t>
            </m:r>
          </m:sub>
        </m:sSub>
      </m:oMath>
      <w:r>
        <w:rPr>
          <w:rFonts w:ascii="宋体" w:hAnsi="宋体" w:eastAsia="宋体"/>
          <w:sz w:val="24"/>
        </w:rPr>
        <w:t>；进而将适配性参数嵌入动态投入产出模型，模拟CBAM正式实施后不同适配情景下的碳关税负担与行业产出损失，实现国际适配性从“差距测度”到“经济影响量化”的贯通。</w:t>
      </w:r>
    </w:p>
    <w:p>
      <w:pPr>
        <w:spacing w:line="360" w:lineRule="auto" w:after="0"/>
        <w:ind w:firstLineChars="200" w:firstLine="480"/>
        <w:jc w:val="both"/>
      </w:pPr>
      <w:r>
        <w:rPr>
          <w:rFonts w:ascii="宋体" w:hAnsi="宋体" w:eastAsia="宋体"/>
          <w:b/>
          <w:sz w:val="24"/>
        </w:rPr>
        <w:t>十是比较制度分析与扎根理论。</w:t>
      </w:r>
      <w:r>
        <w:rPr>
          <w:rFonts w:ascii="宋体" w:hAnsi="宋体" w:eastAsia="宋体"/>
          <w:sz w:val="24"/>
        </w:rPr>
        <w:t>运用比较制度分析方法（Aoki，2001），从体系架构、覆盖范围、技术严格程度与制度机制四个维度系统比较中国、欧盟与ISO三大标准体系；对钢铁、铝、化肥三个CBAM首当其冲行业的49位企业与机构人员开展深度访谈，按扎根理论的三阶段编码程序（Glaser和Strauss，1967；周成和钱再见，2022）提炼国际适配障碍的核心范畴与提升路径。质性方法为定量结论提供机制层面的解释与三角验证。</w:t>
      </w:r>
    </w:p>
    <w:p>
      <w:pPr>
        <w:keepNext/>
        <w:spacing w:before="160" w:after="120" w:line="360" w:lineRule="auto"/>
        <w:outlineLvl w:val="2"/>
      </w:pPr>
      <w:r>
        <w:rPr>
          <w:rFonts w:ascii="黑体" w:hAnsi="黑体" w:eastAsia="黑体"/>
          <w:sz w:val="24"/>
        </w:rPr>
        <w:t>1.3.3  数据来源</w:t>
      </w:r>
    </w:p>
    <w:p>
      <w:pPr>
        <w:spacing w:line="360" w:lineRule="auto" w:after="0"/>
        <w:ind w:firstLineChars="200" w:firstLine="480"/>
        <w:jc w:val="both"/>
      </w:pPr>
      <w:r>
        <w:rPr>
          <w:rFonts w:ascii="宋体" w:hAnsi="宋体" w:eastAsia="宋体"/>
          <w:sz w:val="24"/>
        </w:rPr>
        <w:t>本书的数据基础由五部分构成。其一，中国绿色低碳标准文本数据库。作者系统检索全国标准信息公共服务平台及各行业、地方标准化管理部门公开信息，收录1993—2025年间发布的绿色低碳标准条目共4700条，其中国家标准1210条、行业标准850条、地方标准2210条、团体标准430条，逐条记录标准编号、发布与实施日期、层级、功能模块归属、技术指标与引用关系等字段，并按1.3.2小节所述编码规则量化。其二，宏观统计与政策文本数据，包括国家统计局、国家能源局、生态环境部公开统计，全国碳市场与试点碳市场交易数据，欧盟碳市场价格数据，以及“双碳”政策文件全文。其三，行业面板数据，覆盖钢铁、水泥、铝、化肥、电力、交通、建筑、纺织八大高碳行业2015—2025年的排放、转型与贸易指标。其四，省级面板数据，覆盖30个省份2010—2025年的标准执行投入产出指标，共480个观测。其五，调查与访谈数据，包括26位标准化、气候政策与产业专家的两轮德尔菲问卷，以及三个行业49位受访者的半结构化访谈记录。需要说明的是，如本章开篇说明段所述，书中模型估计结果基于上述数据库与公开统计数据校准复算，旨在完整呈现方法体系；正式的政策应用应以最终发表版本的估计为准。</w:t>
      </w:r>
    </w:p>
    <w:p>
      <w:pPr>
        <w:keepNext/>
        <w:spacing w:before="160" w:after="120" w:line="360" w:lineRule="auto"/>
        <w:outlineLvl w:val="1"/>
      </w:pPr>
      <w:r>
        <w:rPr>
          <w:rFonts w:ascii="黑体" w:hAnsi="黑体" w:eastAsia="黑体"/>
          <w:sz w:val="28"/>
        </w:rPr>
        <w:t>1.4  全书结构安排</w:t>
      </w:r>
    </w:p>
    <w:p>
      <w:pPr>
        <w:spacing w:line="360" w:lineRule="auto" w:after="0"/>
        <w:ind w:firstLineChars="200" w:firstLine="480"/>
        <w:jc w:val="both"/>
      </w:pPr>
      <w:r>
        <w:rPr>
          <w:rFonts w:ascii="宋体" w:hAnsi="宋体" w:eastAsia="宋体"/>
          <w:sz w:val="24"/>
        </w:rPr>
        <w:t>全书共14章，在逻辑上分为四个板块：总起板块（第1—2章）提出问题、奠定理论基础；动态演化机理板块（第3—7章）以“典型事实+三个模型”回答科学问题一；体系构建板块（第8—10章）以“需求识别+架构设计+运行机制”回答科学问题二；适配性评估板块（第11—13章）以“对内评估+对外评估+质性比较”回答科学问题三；第14章总结全书并提出政策建议。全书结构与章节安排如图1.2所示。</w:t>
      </w:r>
    </w:p>
    <w:p>
      <w:pPr>
        <w:spacing w:before="120" w:after="40"/>
        <w:jc w:val="center"/>
      </w:pPr>
      <w:r>
        <w:drawing>
          <wp:inline xmlns:a="http://schemas.openxmlformats.org/drawingml/2006/main" xmlns:pic="http://schemas.openxmlformats.org/drawingml/2006/picture">
            <wp:extent cx="4860000" cy="3965772"/>
            <wp:docPr id="2" name="Picture 2"/>
            <wp:cNvGraphicFramePr>
              <a:graphicFrameLocks noChangeAspect="1"/>
            </wp:cNvGraphicFramePr>
            <a:graphic>
              <a:graphicData uri="http://schemas.openxmlformats.org/drawingml/2006/picture">
                <pic:pic>
                  <pic:nvPicPr>
                    <pic:cNvPr id="0" name="fig1_2.png"/>
                    <pic:cNvPicPr/>
                  </pic:nvPicPr>
                  <pic:blipFill>
                    <a:blip r:embed="rId10"/>
                    <a:stretch>
                      <a:fillRect/>
                    </a:stretch>
                  </pic:blipFill>
                  <pic:spPr>
                    <a:xfrm>
                      <a:off x="0" y="0"/>
                      <a:ext cx="4860000" cy="3965772"/>
                    </a:xfrm>
                    <a:prstGeom prst="rect"/>
                  </pic:spPr>
                </pic:pic>
              </a:graphicData>
            </a:graphic>
          </wp:inline>
        </w:drawing>
      </w:r>
    </w:p>
    <w:p>
      <w:pPr>
        <w:keepNext w:val="0"/>
        <w:spacing w:after="200"/>
        <w:jc w:val="center"/>
      </w:pPr>
      <w:r>
        <w:rPr>
          <w:rFonts w:ascii="黑体" w:hAnsi="黑体" w:eastAsia="黑体"/>
          <w:sz w:val="21"/>
        </w:rPr>
        <w:t>图1.2  全书结构与章节安排</w:t>
      </w:r>
    </w:p>
    <w:p>
      <w:pPr>
        <w:spacing w:line="360" w:lineRule="auto" w:after="0"/>
        <w:ind w:firstLineChars="200" w:firstLine="480"/>
        <w:jc w:val="both"/>
      </w:pPr>
      <w:r>
        <w:rPr>
          <w:rFonts w:ascii="宋体" w:hAnsi="宋体" w:eastAsia="宋体"/>
          <w:sz w:val="24"/>
        </w:rPr>
        <w:t>由图1.2可见，四个板块与三个科学问题一一对应，板块内部各章按“事实—模型—应用”的次序展开，板块之间通过参数传递与结果反馈相互衔接，整体呈现“总—分—总”的树形结构。以下逐章介绍主要内容。</w:t>
      </w:r>
    </w:p>
    <w:p>
      <w:pPr>
        <w:spacing w:line="360" w:lineRule="auto" w:after="0"/>
        <w:ind w:firstLineChars="200" w:firstLine="480"/>
        <w:jc w:val="both"/>
      </w:pPr>
      <w:r>
        <w:rPr>
          <w:rFonts w:ascii="宋体" w:hAnsi="宋体" w:eastAsia="宋体"/>
          <w:sz w:val="24"/>
        </w:rPr>
        <w:t>第1章为导论。阐述研究背景与三重困境，提出核心现实问题与三个科学问题，阐明理论与现实意义，介绍总体思路、研究方法与数据基础，交代全书结构与主要创新点，为全书确立问题坐标与逻辑框架。</w:t>
      </w:r>
    </w:p>
    <w:p>
      <w:pPr>
        <w:spacing w:line="360" w:lineRule="auto" w:after="0"/>
        <w:ind w:firstLineChars="200" w:firstLine="480"/>
        <w:jc w:val="both"/>
      </w:pPr>
      <w:r>
        <w:rPr>
          <w:rFonts w:ascii="宋体" w:hAnsi="宋体" w:eastAsia="宋体"/>
          <w:sz w:val="24"/>
        </w:rPr>
        <w:t>第2章为理论基础与文献综述。系统梳理标准化经济学、演化经济学、制度经济学与全球治理理论的相关脉络，从标准化战略演进、标准体系构建、标准适配性评估三大文献流展开综述与述评，识别研究缺口，并在此基础上搭建全书的理论分析框架。</w:t>
      </w:r>
    </w:p>
    <w:p>
      <w:pPr>
        <w:spacing w:line="360" w:lineRule="auto" w:after="0"/>
        <w:ind w:firstLineChars="200" w:firstLine="480"/>
        <w:jc w:val="both"/>
      </w:pPr>
      <w:r>
        <w:rPr>
          <w:rFonts w:ascii="宋体" w:hAnsi="宋体" w:eastAsia="宋体"/>
          <w:sz w:val="24"/>
        </w:rPr>
        <w:t>第3章考察国际绿色低碳标准化的演进历程与全球格局。将国际演进划分为技术规范确立、制度化规制与战略工具化三个阶段，解析欧盟“领先—控制”、美国“领先—争夺”与发展中国家“跟随—突破”的三足鼎立格局，重点剖析CBAM的制度设计及其规则外溢效应，为中国标准体系建设提供国际参照系。</w:t>
      </w:r>
    </w:p>
    <w:p>
      <w:pPr>
        <w:spacing w:line="360" w:lineRule="auto" w:after="0"/>
        <w:ind w:firstLineChars="200" w:firstLine="480"/>
        <w:jc w:val="both"/>
      </w:pPr>
      <w:r>
        <w:rPr>
          <w:rFonts w:ascii="宋体" w:hAnsi="宋体" w:eastAsia="宋体"/>
          <w:sz w:val="24"/>
        </w:rPr>
        <w:t>第4章刻画中国绿色低碳标准体系的演进历程与时空特征。基于标准文本数据库，将中国演进划分为基础积累、低碳标准化起步与“双碳”战略突破三个阶段，提炼中国特色的“四步走”演进路径，量化四层级结构与五大功能模块的结构性失衡，描绘地方标准的省域分布与供需总体图景，为后续建模提供典型事实。</w:t>
      </w:r>
    </w:p>
    <w:p>
      <w:pPr>
        <w:spacing w:line="360" w:lineRule="auto" w:after="0"/>
        <w:ind w:firstLineChars="200" w:firstLine="480"/>
        <w:jc w:val="both"/>
      </w:pPr>
      <w:r>
        <w:rPr>
          <w:rFonts w:ascii="宋体" w:hAnsi="宋体" w:eastAsia="宋体"/>
          <w:sz w:val="24"/>
        </w:rPr>
        <w:t>第5章构建标准体系动态演化的状态空间模型。设定五类标准状态的连续时间演化方程，以卡尔曼滤波与极大似然估计标准间交互矩阵与驱动传导矩阵，识别标准间的互补替代关系，分解三重驱动力的时变贡献，并模拟2026—2035年基准、强化与停滞三种情景下的体系演化轨迹。</w:t>
      </w:r>
    </w:p>
    <w:p>
      <w:pPr>
        <w:spacing w:line="360" w:lineRule="auto" w:after="0"/>
        <w:ind w:firstLineChars="200" w:firstLine="480"/>
        <w:jc w:val="both"/>
      </w:pPr>
      <w:r>
        <w:rPr>
          <w:rFonts w:ascii="宋体" w:hAnsi="宋体" w:eastAsia="宋体"/>
          <w:sz w:val="24"/>
        </w:rPr>
        <w:t>第6章建立技术—制度协同演进模型。以Lotka-Volterra方程组刻画绿色低碳技术与标准制度的互馈关系，分析平衡点性质与收敛路径，估计并比较“双碳”目标前后互馈系数的结构变化，揭示标准体系演化由技术驱动与制度驱动消长转换的内在机理。</w:t>
      </w:r>
    </w:p>
    <w:p>
      <w:pPr>
        <w:spacing w:line="360" w:lineRule="auto" w:after="0"/>
        <w:ind w:firstLineChars="200" w:firstLine="480"/>
        <w:jc w:val="both"/>
      </w:pPr>
      <w:r>
        <w:rPr>
          <w:rFonts w:ascii="宋体" w:hAnsi="宋体" w:eastAsia="宋体"/>
          <w:sz w:val="24"/>
        </w:rPr>
        <w:t>第7章构建标准制定的多主体演化博弈模型。设定政府、企业与国际组织的策略空间与支付结构，推导复制动态方程与均衡稳定性条件，数值模拟从“被动跟跑”均衡向“主动领跑”均衡跃迁的参数条件，识别碳关税减免、竞争力提升与补贴政策的关键杠杆作用。</w:t>
      </w:r>
    </w:p>
    <w:p>
      <w:pPr>
        <w:spacing w:line="360" w:lineRule="auto" w:after="0"/>
        <w:ind w:firstLineChars="200" w:firstLine="480"/>
        <w:jc w:val="both"/>
      </w:pPr>
      <w:r>
        <w:rPr>
          <w:rFonts w:ascii="宋体" w:hAnsi="宋体" w:eastAsia="宋体"/>
          <w:sz w:val="24"/>
        </w:rPr>
        <w:t>第8章识别与测算标准供需动态错配。内生化建模产业标准需求，量化标准供给，测算八大高碳行业2015—2025年的SSDMI指数与加权综合指数，以面板回归检验需求驱动因素，识别碳吸收端与市场机制类标准的结构性短板，为体系架构设计提供需求侧依据。</w:t>
      </w:r>
    </w:p>
    <w:p>
      <w:pPr>
        <w:spacing w:line="360" w:lineRule="auto" w:after="0"/>
        <w:ind w:firstLineChars="200" w:firstLine="480"/>
        <w:jc w:val="both"/>
      </w:pPr>
      <w:r>
        <w:rPr>
          <w:rFonts w:ascii="宋体" w:hAnsi="宋体" w:eastAsia="宋体"/>
          <w:sz w:val="24"/>
        </w:rPr>
        <w:t>第9章设计“双碳”目标下中国绿色低碳标准体系的总体架构。从演化机理研究中提炼协同互补、动态适应、多元协调三项构建原则，构建“五大功能模块×四层级”的总体架构与国际衔接接口，以AHP—德尔菲法确定模块权重与建设优先序，形成分模块建设重点清单。本章是全书体系构建的核心。</w:t>
      </w:r>
    </w:p>
    <w:p>
      <w:pPr>
        <w:spacing w:line="360" w:lineRule="auto" w:after="0"/>
        <w:ind w:firstLineChars="200" w:firstLine="480"/>
        <w:jc w:val="both"/>
      </w:pPr>
      <w:r>
        <w:rPr>
          <w:rFonts w:ascii="宋体" w:hAnsi="宋体" w:eastAsia="宋体"/>
          <w:sz w:val="24"/>
        </w:rPr>
        <w:t>第10章研究标准体系的协同效应与动态更新机制。构建标准存量—流量的系统动力学模型，以因果回路分析揭示模块间的正负反馈结构，仿真三种协同情景下的体系演化，设计技术—政策偏离度触发的动态更新机制并确定最优触发阈值，为体系的长期适应性提供机制保障。</w:t>
      </w:r>
    </w:p>
    <w:p>
      <w:pPr>
        <w:spacing w:line="360" w:lineRule="auto" w:after="0"/>
        <w:ind w:firstLineChars="200" w:firstLine="480"/>
        <w:jc w:val="both"/>
      </w:pPr>
      <w:r>
        <w:rPr>
          <w:rFonts w:ascii="宋体" w:hAnsi="宋体" w:eastAsia="宋体"/>
          <w:sz w:val="24"/>
        </w:rPr>
        <w:t>第11章开展政策适配性评估。以随机前沿模型估计30个省份2010—2025年的标准执行效率，刻画效率的时空格局，将政策有效性损失分解为供给不足、激励不完善与协调失灵三个来源，据此提出对内优化的政策着力点。</w:t>
      </w:r>
    </w:p>
    <w:p>
      <w:pPr>
        <w:spacing w:line="360" w:lineRule="auto" w:after="0"/>
        <w:ind w:firstLineChars="200" w:firstLine="480"/>
        <w:jc w:val="both"/>
      </w:pPr>
      <w:r>
        <w:rPr>
          <w:rFonts w:ascii="宋体" w:hAnsi="宋体" w:eastAsia="宋体"/>
          <w:sz w:val="24"/>
        </w:rPr>
        <w:t>第12章开展国际适配性评估。从八个维度测度中国标准与国际标准的差距，测算重点行业的ISGI与CIAI指数，并以动态投入产出模型模拟2026—2030年CBAM不同情景下的碳关税负担与行业产出损失，量化标准差距的贸易经济代价与适配改进的收益空间。</w:t>
      </w:r>
    </w:p>
    <w:p>
      <w:pPr>
        <w:spacing w:line="360" w:lineRule="auto" w:after="0"/>
        <w:ind w:firstLineChars="200" w:firstLine="480"/>
        <w:jc w:val="both"/>
      </w:pPr>
      <w:r>
        <w:rPr>
          <w:rFonts w:ascii="宋体" w:hAnsi="宋体" w:eastAsia="宋体"/>
          <w:sz w:val="24"/>
        </w:rPr>
        <w:t>第13章进行中外标准体系比较与典型行业案例研究。从四个维度比较中国、欧盟与ISO标准体系的制度特征，基于钢铁、铝、化肥行业的深度访谈与扎根理论编码，提炼国际适配障碍的四个核心范畴与“数据基础—核算能力—认证互认—话语权提升”的路径模型，为定量评估结果提供机制解释。</w:t>
      </w:r>
    </w:p>
    <w:p>
      <w:pPr>
        <w:spacing w:line="360" w:lineRule="auto" w:after="0"/>
        <w:ind w:firstLineChars="200" w:firstLine="480"/>
        <w:jc w:val="both"/>
      </w:pPr>
      <w:r>
        <w:rPr>
          <w:rFonts w:ascii="宋体" w:hAnsi="宋体" w:eastAsia="宋体"/>
          <w:sz w:val="24"/>
        </w:rPr>
        <w:t>第14章总结全书。按三大模块归纳主要研究结论，从供给侧补短板、执行侧强激励、国际侧提话语权三个方面提出面向“十五五”的政策建议，阐明边际贡献，并指出研究局限与未来方向。</w:t>
      </w:r>
    </w:p>
    <w:p>
      <w:pPr>
        <w:keepNext/>
        <w:spacing w:before="160" w:after="120" w:line="360" w:lineRule="auto"/>
        <w:outlineLvl w:val="1"/>
      </w:pPr>
      <w:r>
        <w:rPr>
          <w:rFonts w:ascii="黑体" w:hAnsi="黑体" w:eastAsia="黑体"/>
          <w:sz w:val="28"/>
        </w:rPr>
        <w:t>1.5  主要创新点</w:t>
      </w:r>
    </w:p>
    <w:p>
      <w:pPr>
        <w:spacing w:line="360" w:lineRule="auto" w:after="0"/>
        <w:ind w:firstLineChars="200" w:firstLine="480"/>
        <w:jc w:val="both"/>
      </w:pPr>
      <w:r>
        <w:rPr>
          <w:rFonts w:ascii="宋体" w:hAnsi="宋体" w:eastAsia="宋体"/>
          <w:sz w:val="24"/>
        </w:rPr>
        <w:t>与既有研究相比，本书的创新主要体现在以下四个方面。</w:t>
      </w:r>
    </w:p>
    <w:p>
      <w:pPr>
        <w:spacing w:line="360" w:lineRule="auto" w:after="0"/>
        <w:ind w:firstLineChars="200" w:firstLine="480"/>
        <w:jc w:val="both"/>
      </w:pPr>
      <w:r>
        <w:rPr>
          <w:rFonts w:ascii="宋体" w:hAnsi="宋体" w:eastAsia="宋体"/>
          <w:b/>
          <w:sz w:val="24"/>
        </w:rPr>
        <w:t>第一，在演化机理层面，提出并验证了中国绿色低碳标准体系“四步走”演进路径与三重驱动力动态演化机理。</w:t>
      </w:r>
      <w:r>
        <w:rPr>
          <w:rFonts w:ascii="宋体" w:hAnsi="宋体" w:eastAsia="宋体"/>
          <w:sz w:val="24"/>
        </w:rPr>
        <w:t>本书发现，与西方“碳排放标准化→碳中和标准化”的两步走路线不同，中国采取了“碳排放标准化→碳达峰标准化→碳吸收标准化→碳中和标准化”的四步走路径，并以状态空间模型定量识别了这一路径背后政策推力、技术拉力与市场调节力的时变结构：政策推力的贡献由1993—2003年的62%降至2020—2025年的41%，技术拉力则由21%升至33%，揭示了标准体系从政策主导向政策—技术—市场协同驱动转变的演化规律，为理解中国式标准化道路提供了新的经验证据。</w:t>
      </w:r>
    </w:p>
    <w:p>
      <w:pPr>
        <w:spacing w:line="360" w:lineRule="auto" w:after="0"/>
        <w:ind w:firstLineChars="200" w:firstLine="480"/>
        <w:jc w:val="both"/>
      </w:pPr>
      <w:r>
        <w:rPr>
          <w:rFonts w:ascii="宋体" w:hAnsi="宋体" w:eastAsia="宋体"/>
          <w:b/>
          <w:sz w:val="24"/>
        </w:rPr>
        <w:t>第二，在测度方法层面，首创基于标准文本量化编码的标准状态测度与体系动态建模方案。</w:t>
      </w:r>
      <w:r>
        <w:rPr>
          <w:rFonts w:ascii="宋体" w:hAnsi="宋体" w:eastAsia="宋体"/>
          <w:sz w:val="24"/>
        </w:rPr>
        <w:t>针对标准状态难以观测这一长期制约标准经济学实证研究的瓶颈，本书构建覆盖4700条标准条目的文本数据库，从技术严格程度与覆盖完整性双维度量化五类标准的年度状态，并将状态空间模型、Lotka-Volterra模型与演化博弈组合应用于标准体系分析，实现了标准体系演化从定性描述到动态定量建模的方法跨越。文本量化—动态建模—情景模拟的技术链条，可推广应用于其他领域标准体系的研究。</w:t>
      </w:r>
    </w:p>
    <w:p>
      <w:pPr>
        <w:spacing w:line="360" w:lineRule="auto" w:after="0"/>
        <w:ind w:firstLineChars="200" w:firstLine="480"/>
        <w:jc w:val="both"/>
      </w:pPr>
      <w:r>
        <w:rPr>
          <w:rFonts w:ascii="宋体" w:hAnsi="宋体" w:eastAsia="宋体"/>
          <w:b/>
          <w:sz w:val="24"/>
        </w:rPr>
        <w:t>第三，在体系设计层面，构建了原则内生于机理的“五大功能模块×四层级”标准体系架构与动态更新机制。</w:t>
      </w:r>
      <w:r>
        <w:rPr>
          <w:rFonts w:ascii="宋体" w:hAnsi="宋体" w:eastAsia="宋体"/>
          <w:sz w:val="24"/>
        </w:rPr>
        <w:t>既有标准体系方案多为经验归纳式的框架罗列，本书则将体系构建的三项原则——协同互补、动态适应、多元协调——分别内生于状态空间模型识别的标准间互补替代关系、协同演进模型揭示的技术—制度互馈机制与演化博弈导出的激励相容要求，使制度设计建立在演化规律之上；同时设计了技术—政策偏离度触发的动态更新机制，并以系统动力学灵敏度分析确定最优触发阈值（TPD*=0.30），使标准体系具备随技术进步自我更新的制度弹性。</w:t>
      </w:r>
    </w:p>
    <w:p>
      <w:pPr>
        <w:spacing w:line="360" w:lineRule="auto" w:after="0"/>
        <w:ind w:firstLineChars="200" w:firstLine="480"/>
        <w:jc w:val="both"/>
      </w:pPr>
      <w:r>
        <w:rPr>
          <w:rFonts w:ascii="宋体" w:hAnsi="宋体" w:eastAsia="宋体"/>
          <w:b/>
          <w:sz w:val="24"/>
        </w:rPr>
        <w:t>第四，在评估工具层面，开发了政策适配性与国际适配性的双维评估框架并形成“评估—反馈”闭环。</w:t>
      </w:r>
      <w:r>
        <w:rPr>
          <w:rFonts w:ascii="宋体" w:hAnsi="宋体" w:eastAsia="宋体"/>
          <w:sz w:val="24"/>
        </w:rPr>
        <w:t>本书将随机前沿分析引入标准执行效率评估，提出政策有效性损失的三源分解方法；构建八维度ISGI-CIAI指数体系并与动态投入产出模型对接，在统一框架内量化标准差距的碳关税负担与产出损失。更重要的是，双维评估的结果系统反馈至体系构建环节——执行效率短板指向激励与协调机制优化，国际差距维度指向衔接接口建设——从而将“动态演化机理—体系构建—适配性评估”贯通为可迭代的研究与治理闭环。这四项创新与本书依托的国家自然科学基金项目的特色创新一脉相承，共同构成本书区别于既有文献的边际贡献。</w:t>
      </w:r>
    </w:p>
    <w:p>
      <w:pPr>
        <w:keepNext/>
        <w:spacing w:before="160" w:after="120" w:line="360" w:lineRule="auto"/>
        <w:outlineLvl w:val="1"/>
      </w:pPr>
      <w:r>
        <w:rPr>
          <w:rFonts w:ascii="黑体" w:hAnsi="黑体" w:eastAsia="黑体"/>
          <w:sz w:val="28"/>
        </w:rPr>
        <w:t>1.6  本章小结</w:t>
      </w:r>
    </w:p>
    <w:p>
      <w:pPr>
        <w:spacing w:line="360" w:lineRule="auto" w:after="0"/>
        <w:ind w:firstLineChars="200" w:firstLine="480"/>
        <w:jc w:val="both"/>
      </w:pPr>
      <w:r>
        <w:rPr>
          <w:rFonts w:ascii="宋体" w:hAnsi="宋体" w:eastAsia="宋体"/>
          <w:sz w:val="24"/>
        </w:rPr>
        <w:t>本章作为全书的逻辑起点，完成了从现实背景到研究设计的系统铺陈。在背景层面，本章梳理了“双碳”战略纵深推进、碳排放双控制度转型、标准化专项政策密集部署、全国碳市场扩围深化与CBAM正式征收五条相互交织的现实脉络，指出标准体系已成为“双碳”目标实现与国际规则竞争的制度枢纽；在问题层面，本章以数据揭示了中国绿色低碳标准体系“供需错位、体系碎片化、适配评估缺失”的三重困境——碳排放核算类标准仅占绿色低碳国家标准的8.3%、碳吸收类仅占6.1%，四层级标准分头供给、五大模块协同不足，对内贡献度与对外适配性均缺乏系统评估——并将其归因于演化机理不清、体系框架不明、评估工具缺失的研究缺口。</w:t>
      </w:r>
    </w:p>
    <w:p>
      <w:pPr>
        <w:spacing w:line="360" w:lineRule="auto" w:after="0"/>
        <w:ind w:firstLineChars="200" w:firstLine="480"/>
        <w:jc w:val="both"/>
      </w:pPr>
      <w:r>
        <w:rPr>
          <w:rFonts w:ascii="宋体" w:hAnsi="宋体" w:eastAsia="宋体"/>
          <w:sz w:val="24"/>
        </w:rPr>
        <w:t>在此基础上，本章提出了“在‘双碳’目标下，如何构建国际认可的中国绿色低碳标准体系”这一核心现实问题，并将其拆分为厘清机制、设计体系、评估效果三个逻辑递进的科学问题；阐明了本书在标准化经济学动态化、技术—制度协同演进定量化与适配性评估方法论三个方面的理论意义，以及服务碳排放双控落地、应对绿色贸易壁垒、提升国际标准话语权三个方面的现实意义；介绍了“动态演化机理—体系构建—适配性评估—反馈优化”三位一体的总体思路、十种研究方法的分工与衔接，以及以标准文本数据库为核心的五类数据基础；交代了全书四大板块、十四章的结构安排，凝练了演进路径识别、文本量化建模、架构内生设计与双维评估闭环四项主要创新。</w:t>
      </w:r>
    </w:p>
    <w:p>
      <w:pPr>
        <w:spacing w:line="360" w:lineRule="auto" w:after="0"/>
        <w:ind w:firstLineChars="200" w:firstLine="480"/>
        <w:jc w:val="both"/>
      </w:pPr>
      <w:r>
        <w:rPr>
          <w:rFonts w:ascii="宋体" w:hAnsi="宋体" w:eastAsia="宋体"/>
          <w:sz w:val="24"/>
        </w:rPr>
        <w:t>概而言之，本章确立了全书的问题坐标——三重困境何以破解，理论坐标——标准体系演化规律如何认识，以及方法坐标——机理、设计与评估如何贯通。接下来，第2章将系统梳理标准化经济学、演化经济学与制度经济学的理论资源，综述三大文献流的研究进展与不足，为全书搭建统一的理论分析框架；第3章与第4章则分别从国际与国内两个视角呈现绿色低碳标准化的演进历程与典型事实，为动态演化机理的模型研究奠定经验基础。</w:t>
      </w:r>
    </w:p>
    <w:p>
      <w:r>
        <w:br w:type="page"/>
      </w:r>
    </w:p>
    <w:p>
      <w:pPr>
        <w:keepNext/>
        <w:spacing w:before="240" w:after="160" w:line="360" w:lineRule="auto"/>
        <w:jc w:val="center"/>
        <w:outlineLvl w:val="0"/>
      </w:pPr>
      <w:r>
        <w:rPr>
          <w:rFonts w:ascii="黑体" w:hAnsi="黑体" w:eastAsia="黑体"/>
          <w:b/>
          <w:sz w:val="30"/>
        </w:rPr>
        <w:t>第2章  理论基础与文献综述</w:t>
      </w:r>
    </w:p>
    <w:p>
      <w:pPr>
        <w:spacing w:line="360" w:lineRule="auto" w:after="0"/>
        <w:ind w:firstLineChars="200" w:firstLine="480"/>
        <w:jc w:val="both"/>
      </w:pPr>
      <w:r>
        <w:rPr>
          <w:rFonts w:ascii="宋体" w:hAnsi="宋体" w:eastAsia="宋体"/>
          <w:sz w:val="24"/>
        </w:rPr>
        <w:t>在“双碳”目标提出、全球气候治理规则加速重构的背景下，绿色低碳标准已从单纯的技术文件演变为兼具产业治理工具与国际竞争筹码双重身份的制度装置。要回答“如何构建国际认可的中国绿色低碳标准体系”这一核心问题，必须首先在概念上厘清研究对象、在理论上找准分析工具、在文献中定位研究空间。本章承担三项任务：其一，对绿色低碳标准与标准体系、动态演化机理、政策适配性与国际适配性等贯穿全书的核心概念作出统一界定；其二，系统梳理标准化经济学、演化经济学与制度经济学及全球治理理论三大理论支柱，阐明其核心命题及对本书研究的适用性；其三，沿战略演进研究、体系构建研究、国际衔接与适配评估研究三大文献流，对国内外研究进展进行系统综述与逐流述评，识别既有研究面临的“三重困境”，进而提出本书“动态演化机理—体系构建—适配性评估”三位一体的理论分析框架（其与三大理论支柱的逻辑关系见图2.2），为后续各章的模型构建与实证分析提供学理支撑。</w:t>
      </w:r>
    </w:p>
    <w:p>
      <w:pPr>
        <w:keepNext/>
        <w:spacing w:before="160" w:after="120" w:line="360" w:lineRule="auto"/>
        <w:outlineLvl w:val="1"/>
      </w:pPr>
      <w:r>
        <w:rPr>
          <w:rFonts w:ascii="黑体" w:hAnsi="黑体" w:eastAsia="黑体"/>
          <w:sz w:val="28"/>
        </w:rPr>
        <w:t>2.1  核心概念界定</w:t>
      </w:r>
    </w:p>
    <w:p>
      <w:pPr>
        <w:spacing w:line="360" w:lineRule="auto" w:after="0"/>
        <w:ind w:firstLineChars="200" w:firstLine="480"/>
        <w:jc w:val="both"/>
      </w:pPr>
      <w:r>
        <w:rPr>
          <w:rFonts w:ascii="宋体" w:hAnsi="宋体" w:eastAsia="宋体"/>
          <w:sz w:val="24"/>
        </w:rPr>
        <w:t>概念是理论的细胞，清晰而一致的概念界定是全书逻辑展开的前提。本节按照“标准—体系—演化—适配”的递进顺序界定四组核心概念，其严格的数理表述将在第5—12章结合具体模型给出；全书各章对这些概念的使用均以本节口径为准。</w:t>
      </w:r>
    </w:p>
    <w:p>
      <w:pPr>
        <w:keepNext/>
        <w:spacing w:before="160" w:after="120" w:line="360" w:lineRule="auto"/>
        <w:outlineLvl w:val="2"/>
      </w:pPr>
      <w:r>
        <w:rPr>
          <w:rFonts w:ascii="黑体" w:hAnsi="黑体" w:eastAsia="黑体"/>
          <w:sz w:val="24"/>
        </w:rPr>
        <w:t>2.1.1  绿色低碳标准与绿色低碳标准体系</w:t>
      </w:r>
    </w:p>
    <w:p>
      <w:pPr>
        <w:spacing w:line="360" w:lineRule="auto" w:after="0"/>
        <w:ind w:firstLineChars="200" w:firstLine="480"/>
        <w:jc w:val="both"/>
      </w:pPr>
      <w:r>
        <w:rPr>
          <w:rFonts w:ascii="宋体" w:hAnsi="宋体" w:eastAsia="宋体"/>
          <w:sz w:val="24"/>
        </w:rPr>
        <w:t>标准是对重复性事物和概念所作的统一规定，以科学、技术和实践经验的综合成果为基础，经有关方面协商一致，由主管机构批准并以特定形式发布，作为各方共同遵守的准则和依据。从经济学视角看，标准的本质是一种编码化的技术知识与市场协调装置：它将分散的技术信息压缩为统一的技术语言，降低交易各方的度量成本与信息不对称，从而构成现代市场经济运行的基础设施（Tassey，2000；Blind，2004）。在此基础上，本书将绿色低碳标准界定为：以实现碳达峰、碳中和目标为导向，对碳排放核算与核查、产品碳足迹量化、绿色产品评价、碳汇与负排放技术、绿色金融活动等作出统一技术规定的规范性文件。它兼具一般标准的协调功能与环境规制的约束功能，是“双碳”政策体系从目标宣示走向可测量、可报告、可核查执行的技术底座。</w:t>
      </w:r>
    </w:p>
    <w:p>
      <w:pPr>
        <w:spacing w:line="360" w:lineRule="auto" w:after="0"/>
        <w:ind w:firstLineChars="200" w:firstLine="480"/>
        <w:jc w:val="both"/>
      </w:pPr>
      <w:r>
        <w:rPr>
          <w:rFonts w:ascii="宋体" w:hAnsi="宋体" w:eastAsia="宋体"/>
          <w:sz w:val="24"/>
        </w:rPr>
        <w:t>本书所称绿色低碳标准体系，指由国家标准、行业标准、地方标准与团体标准四个层级构成，覆盖碳排放核算、碳足迹认证、绿色产品、碳吸收（碳汇与负排放）、绿色金融五大功能模块的制度规范系统。从存量看，中国绿色低碳标准已初具规模：据中国标准化研究院统计，截至2022年初，碳达峰碳中和相关国家标准已有800余项、行业标准700余项、地方标准1900余项、团体标准200余项；至2024年8月，直接支撑碳达峰碳中和工作的国家标准达1800余项、行业标准2300余项。从制度供给看，2022年10月市场监管总局等九部门印发《建立健全碳达峰碳中和标准计量体系实施方案》，2023年4月国家标准委等十一部门发布《碳达峰碳中和标准体系建设指南》，提出“到2025年制修订不少于1000项国家标准和行业标准”的量化目标，并搭建了含4个一级子体系、15个二级子体系、63个三级子体系的框架结构（国家标准化管理委员会等，2023）。这表明，中国绿色低碳标准体系建设已从零散供给进入体系化推进阶段，但“有体系框架、缺机理支撑，有数量扩张、缺结构优化”的矛盾依然突出，这正是本书研究的出发点。</w:t>
      </w:r>
    </w:p>
    <w:p>
      <w:pPr>
        <w:spacing w:line="360" w:lineRule="auto" w:after="0"/>
        <w:ind w:firstLineChars="200" w:firstLine="480"/>
        <w:jc w:val="both"/>
      </w:pPr>
      <w:r>
        <w:rPr>
          <w:rFonts w:ascii="宋体" w:hAnsi="宋体" w:eastAsia="宋体"/>
          <w:sz w:val="24"/>
        </w:rPr>
        <w:t>需要强调的是，绿色低碳标准兼具技术属性与制度属性。就技术属性而言，标准以参数、限值、方法与程序的形式固化特定技术知识，其严格程度与覆盖范围直接决定减排约束的强度与广度；就制度属性而言，标准一经发布即成为约束市场主体行为的正式规则，其制定过程本质上是政府、企业、行业组织与国际机构之间的利益协调与规则博弈（North，1990；Büthe和Mattli，2011）。本书第5章以“技术严格程度×覆盖完整性”双维综合指数刻画标准状态，正是对这一双重属性的操作化处理。</w:t>
      </w:r>
    </w:p>
    <w:p>
      <w:pPr>
        <w:keepNext/>
        <w:spacing w:before="160" w:after="120" w:line="360" w:lineRule="auto"/>
        <w:outlineLvl w:val="2"/>
      </w:pPr>
      <w:r>
        <w:rPr>
          <w:rFonts w:ascii="黑体" w:hAnsi="黑体" w:eastAsia="黑体"/>
          <w:sz w:val="24"/>
        </w:rPr>
        <w:t>2.1.2  标准体系动态演化机理</w:t>
      </w:r>
    </w:p>
    <w:p>
      <w:pPr>
        <w:spacing w:line="360" w:lineRule="auto" w:after="0"/>
        <w:ind w:firstLineChars="200" w:firstLine="480"/>
        <w:jc w:val="both"/>
      </w:pPr>
      <w:r>
        <w:rPr>
          <w:rFonts w:ascii="宋体" w:hAnsi="宋体" w:eastAsia="宋体"/>
          <w:sz w:val="24"/>
        </w:rPr>
        <w:t>标准体系动态演化机理，指在政策推力、技术拉力与市场调节力三重驱动力交互作用下，标准体系状态（技术严格程度×覆盖完整性）随时间演化的内在规律。其中，政策推力来自“双碳”顶层设计、能耗双控向碳排放双控转型、全国碳市场建设等制度安排；技术拉力来自绿色低碳技术进步对标准制定与更新的牵引；市场调节力来自碳价信号、绿色消费偏好与国际贸易规则对标准需求的传导。三重驱动力并非简单叠加，而是通过三个层次交织作用：一是标准间的互补与替代关系——碳排放核算标准的完善会放大碳足迹认证与绿色金融标准的边际价值，而功能重叠的标准之间则存在替代与挤出；二是技术—制度互馈——技术进步拓展标准的可行域，标准完善又反过来定向激励技术研发；三是多主体策略互动——政府、企业与国际组织围绕标准制定与采纳展开动态博弈。第5—7章将分别以状态空间模型、协同演进模型与演化博弈模型对这三个层次进行数理刻画。</w:t>
      </w:r>
    </w:p>
    <w:p>
      <w:pPr>
        <w:spacing w:line="360" w:lineRule="auto" w:after="0"/>
        <w:ind w:firstLineChars="200" w:firstLine="480"/>
        <w:jc w:val="both"/>
      </w:pPr>
      <w:r>
        <w:rPr>
          <w:rFonts w:ascii="宋体" w:hAnsi="宋体" w:eastAsia="宋体"/>
          <w:sz w:val="24"/>
        </w:rPr>
        <w:t>就演化路径而言，中国与主要发达经济体存在显著差异：西方走的是“碳排放标准化→碳中和标准化”的两步走路线，而中国采取“碳排放标准化→碳达峰标准化→碳吸收标准化→碳中和标准化”的“四步走”演进路径，这一路径安排与中国作为最大发展中国家“先达峰、后中和”的目标时序相匹配。刻画演化过程的一个关键中间变量是标准供需动态错配：本书以产业绿色转型的真实标准需求与实际标准供给之间的相对缺口定义标准供需动态错配指数（SSDMI），指数大于零表示短缺性错配、小于零表示冗余性错配，其测算与分解见第8章。</w:t>
      </w:r>
    </w:p>
    <w:p>
      <w:pPr>
        <w:keepNext/>
        <w:spacing w:before="160" w:after="120" w:line="360" w:lineRule="auto"/>
        <w:outlineLvl w:val="2"/>
      </w:pPr>
      <w:r>
        <w:rPr>
          <w:rFonts w:ascii="黑体" w:hAnsi="黑体" w:eastAsia="黑体"/>
          <w:sz w:val="24"/>
        </w:rPr>
        <w:t>2.1.3  政策适配性</w:t>
      </w:r>
    </w:p>
    <w:p>
      <w:pPr>
        <w:spacing w:line="360" w:lineRule="auto" w:after="0"/>
        <w:ind w:firstLineChars="200" w:firstLine="480"/>
        <w:jc w:val="both"/>
      </w:pPr>
      <w:r>
        <w:rPr>
          <w:rFonts w:ascii="宋体" w:hAnsi="宋体" w:eastAsia="宋体"/>
          <w:sz w:val="24"/>
        </w:rPr>
        <w:t>政策适配性，指标准体系的实际执行效率与“双碳”政策目标之间的匹配程度。标准的政策价值不在于文本颁布本身，而在于其执行能否有效支撑减排目标：若标准供给充分、激励设计合理、部门协调顺畅，则政策目标能够以较低损耗转化为治理绩效；反之，即便标准数量可观，政策效能亦会在执行环节大量流失。本书以随机前沿分析（SFA）框架度量政策适配性：以各省份标准执行绩效相对于生产前沿的技术效率TE刻画执行效率，以政策有效性损失PEL=1−TE刻画政策目标与实际执行之间的缺口，并将PEL进一步分解为供给不足损失、激励不完善损失与协调失灵损失三个来源（Aigner等，1977；Battese和Coelli，1995）。这一度量把“适配”从定性判断转化为可测算、可分解、可比较的定量指标，与可持续绩效测度研究构建系统化指标框架的取向一致（Franciosi等，2020），具体见第11章。</w:t>
      </w:r>
    </w:p>
    <w:p>
      <w:pPr>
        <w:keepNext/>
        <w:spacing w:before="160" w:after="120" w:line="360" w:lineRule="auto"/>
        <w:outlineLvl w:val="2"/>
      </w:pPr>
      <w:r>
        <w:rPr>
          <w:rFonts w:ascii="黑体" w:hAnsi="黑体" w:eastAsia="黑体"/>
          <w:sz w:val="24"/>
        </w:rPr>
        <w:t>2.1.4  国际适配性</w:t>
      </w:r>
    </w:p>
    <w:p>
      <w:pPr>
        <w:spacing w:line="360" w:lineRule="auto" w:after="0"/>
        <w:ind w:firstLineChars="200" w:firstLine="480"/>
        <w:jc w:val="both"/>
      </w:pPr>
      <w:r>
        <w:rPr>
          <w:rFonts w:ascii="宋体" w:hAnsi="宋体" w:eastAsia="宋体"/>
          <w:sz w:val="24"/>
        </w:rPr>
        <w:t>国际适配性，指中国绿色低碳标准与国际通行标准（ISO/IEC标准、欧盟CBAM规范等）的接轨程度。本书从核算边界、排放因子、生命周期范围、第三方核查、数据质量、行业覆盖、更新频率与市场衔接八个维度，以国际标准差距指数ISGI度量分维度差距，并以权重加总构造综合国际适配性指数CIAI，CIAI越高表示中国标准与国际规则的兼容与互认程度越高，具体测算见第12章。国际适配性之所以构成独立的评估维度，是因为在CBAM于2026年1月1日进入正式实施期后，标准差距已直接转化为出口成本：碳核算方法不被认可的企业须按默认值缴纳更高的碳边境调节费用，标准之差即是真金白银之差。</w:t>
      </w:r>
    </w:p>
    <w:p>
      <w:pPr>
        <w:spacing w:line="360" w:lineRule="auto" w:after="0"/>
        <w:ind w:firstLineChars="200" w:firstLine="480"/>
        <w:jc w:val="both"/>
      </w:pPr>
      <w:r>
        <w:rPr>
          <w:rFonts w:ascii="宋体" w:hAnsi="宋体" w:eastAsia="宋体"/>
          <w:sz w:val="24"/>
        </w:rPr>
        <w:t>需要辨析的是，国际适配并不等于对国际标准的单向趋同。一方面，国际标准本身是竞争与博弈的产物，欧盟正凭借规则先发优势将其域内标准外溢为事实上的全球标准（Bradford，2020；刘梦佳和李志永，2025）；另一方面，中国的能源结构、产业阶段与数据基础与发达经济体存在系统性差异，完全照搬国际标准既不可行也不可取。本书强调的适配是“接口兼容”意义上的适配：在核算规则、核查程序与数据质量等技术接口上实现互认，同时保留标准体系服务于本国发展阶段与“四步走”路径的制度自主性。这一立场贯穿第9章的国际衔接接口设计与第12—13章的适配评估。</w:t>
      </w:r>
    </w:p>
    <w:p>
      <w:pPr>
        <w:keepNext/>
        <w:spacing w:before="160" w:after="120" w:line="360" w:lineRule="auto"/>
        <w:outlineLvl w:val="1"/>
      </w:pPr>
      <w:r>
        <w:rPr>
          <w:rFonts w:ascii="黑体" w:hAnsi="黑体" w:eastAsia="黑体"/>
          <w:sz w:val="28"/>
        </w:rPr>
        <w:t>2.2  理论基础</w:t>
      </w:r>
    </w:p>
    <w:p>
      <w:pPr>
        <w:spacing w:line="360" w:lineRule="auto" w:after="0"/>
        <w:ind w:firstLineChars="200" w:firstLine="480"/>
        <w:jc w:val="both"/>
      </w:pPr>
      <w:r>
        <w:rPr>
          <w:rFonts w:ascii="宋体" w:hAnsi="宋体" w:eastAsia="宋体"/>
          <w:sz w:val="24"/>
        </w:rPr>
        <w:t>绿色低碳标准体系的动态演化、结构设计与适配评估，横跨产业组织理论、技术变迁理论与制度分析三个理论领域。本节依次梳理标准化经济学、演化经济学与制度经济学及全球治理理论，提炼各理论的核心命题，并说明其对本书三大研究模块的支撑关系。</w:t>
      </w:r>
    </w:p>
    <w:p>
      <w:pPr>
        <w:keepNext/>
        <w:spacing w:before="160" w:after="120" w:line="360" w:lineRule="auto"/>
        <w:outlineLvl w:val="2"/>
      </w:pPr>
      <w:r>
        <w:rPr>
          <w:rFonts w:ascii="黑体" w:hAnsi="黑体" w:eastAsia="黑体"/>
          <w:sz w:val="24"/>
        </w:rPr>
        <w:t>2.2.1  标准化经济学：网络外部性、标准竞争与政府角色</w:t>
      </w:r>
    </w:p>
    <w:p>
      <w:pPr>
        <w:spacing w:line="360" w:lineRule="auto" w:after="0"/>
        <w:ind w:firstLineChars="200" w:firstLine="480"/>
        <w:jc w:val="both"/>
      </w:pPr>
      <w:r>
        <w:rPr>
          <w:rFonts w:ascii="宋体" w:hAnsi="宋体" w:eastAsia="宋体"/>
          <w:sz w:val="24"/>
        </w:rPr>
        <w:t>标准化经济学的逻辑起点是网络外部性。Katz和Shapiro，1985在开创性研究中指出，当某一产品或技术存在网络外部性时，采用者的效用随采用同一产品或技术的用户数量增加而增加，此时市场竞争的对象不再是孤立的产品，而是彼此竞争的“网络”。其经典的线性效用函数可表述为</w:t>
      </w:r>
    </w:p>
    <w:p>
      <w:pPr>
        <w:tabs>
          <w:tab w:pos="4252" w:val="center"/>
          <w:tab w:pos="8504" w:val="right"/>
        </w:tabs>
        <w:spacing w:line="360" w:lineRule="auto" w:before="80" w:after="80"/>
      </w:pPr>
      <w:r>
        <w:tab/>
      </w:r>
      <m:oMath>
        <m:sSub>
          <m:e>
            <m:r>
              <m:t>U</m:t>
            </m:r>
          </m:e>
          <m:sub>
            <m:r>
              <m:t>i</m:t>
            </m:r>
          </m:sub>
        </m:sSub>
        <m:d>
          <m:dPr>
            <m:begChr m:val="("/>
            <m:sepChr m:val=""/>
            <m:endChr m:val=")"/>
            <m:grow/>
          </m:dPr>
          <m:e>
            <m:r>
              <m:t>n</m:t>
            </m:r>
          </m:e>
        </m:d>
        <m:r>
          <m:rPr>
            <m:sty m:val="p"/>
          </m:rPr>
          <m:t>=</m:t>
        </m:r>
        <m:sSub>
          <m:e>
            <m:r>
              <m:t>a</m:t>
            </m:r>
          </m:e>
          <m:sub>
            <m:r>
              <m:t>i</m:t>
            </m:r>
          </m:sub>
        </m:sSub>
        <m:r>
          <m:rPr>
            <m:sty m:val="p"/>
          </m:rPr>
          <m:t>+</m:t>
        </m:r>
        <m:r>
          <m:t>b</m:t>
        </m:r>
        <m:r>
          <m:t> </m:t>
        </m:r>
        <m:r>
          <m:t>n</m:t>
        </m:r>
        <m:r>
          <m:rPr>
            <m:sty m:val="p"/>
          </m:rPr>
          <m:t>,</m:t>
        </m:r>
        <m:r>
          <m:t>  </m:t>
        </m:r>
        <m:r>
          <m:t>b</m:t>
        </m:r>
        <m:r>
          <m:rPr>
            <m:sty m:val="p"/>
          </m:rPr>
          <m:t>&gt;</m:t>
        </m:r>
        <m:r>
          <m:t>0</m:t>
        </m:r>
      </m:oMath>
      <w:r>
        <w:tab/>
      </w:r>
      <w:r>
        <w:rPr>
          <w:rFonts w:ascii="Times New Roman" w:hAnsi="Times New Roman" w:eastAsia="宋体"/>
          <w:sz w:val="24"/>
        </w:rPr>
        <w:t>(2-1)</w:t>
      </w:r>
    </w:p>
    <w:p>
      <w:pPr>
        <w:spacing w:line="360" w:lineRule="auto" w:after="0"/>
        <w:jc w:val="both"/>
      </w:pPr>
      <w:r>
        <w:rPr>
          <w:rFonts w:ascii="宋体" w:hAnsi="宋体" w:eastAsia="宋体"/>
          <w:sz w:val="24"/>
        </w:rPr>
        <w:t>其中，</w:t>
      </w:r>
      <m:oMath>
        <m:sSub>
          <m:e>
            <m:r>
              <m:t>U</m:t>
            </m:r>
          </m:e>
          <m:sub>
            <m:r>
              <m:t>i</m:t>
            </m:r>
          </m:sub>
        </m:sSub>
        <m:d>
          <m:dPr>
            <m:begChr m:val="("/>
            <m:sepChr m:val=""/>
            <m:endChr m:val=")"/>
            <m:grow/>
          </m:dPr>
          <m:e>
            <m:r>
              <m:t>n</m:t>
            </m:r>
          </m:e>
        </m:d>
      </m:oMath>
      <w:r>
        <w:rPr>
          <w:rFonts w:ascii="宋体" w:hAnsi="宋体" w:eastAsia="宋体"/>
          <w:sz w:val="24"/>
        </w:rPr>
        <w:t>为第</w:t>
      </w:r>
      <m:oMath>
        <m:r>
          <m:t>i</m:t>
        </m:r>
      </m:oMath>
      <w:r>
        <w:rPr>
          <w:rFonts w:ascii="宋体" w:hAnsi="宋体" w:eastAsia="宋体"/>
          <w:sz w:val="24"/>
        </w:rPr>
        <w:t>个采用者从标准中获得的效用，</w:t>
      </w:r>
      <m:oMath>
        <m:sSub>
          <m:e>
            <m:r>
              <m:t>a</m:t>
            </m:r>
          </m:e>
          <m:sub>
            <m:r>
              <m:t>i</m:t>
            </m:r>
          </m:sub>
        </m:sSub>
      </m:oMath>
      <w:r>
        <w:rPr>
          <w:rFonts w:ascii="宋体" w:hAnsi="宋体" w:eastAsia="宋体"/>
          <w:sz w:val="24"/>
        </w:rPr>
        <w:t>为标准的独立价值（不依赖他人采用行为的技术价值），</w:t>
      </w:r>
      <m:oMath>
        <m:r>
          <m:t>n</m:t>
        </m:r>
      </m:oMath>
      <w:r>
        <w:rPr>
          <w:rFonts w:ascii="宋体" w:hAnsi="宋体" w:eastAsia="宋体"/>
          <w:sz w:val="24"/>
        </w:rPr>
        <w:t>为采用该标准的主体数量，</w:t>
      </w:r>
      <m:oMath>
        <m:r>
          <m:t>b</m:t>
        </m:r>
      </m:oMath>
      <w:r>
        <w:rPr>
          <w:rFonts w:ascii="宋体" w:hAnsi="宋体" w:eastAsia="宋体"/>
          <w:sz w:val="24"/>
        </w:rPr>
        <w:t>为网络外部性强度。</w:t>
      </w:r>
    </w:p>
    <w:p>
      <w:pPr>
        <w:spacing w:line="360" w:lineRule="auto" w:after="0"/>
        <w:ind w:firstLineChars="200" w:firstLine="480"/>
        <w:jc w:val="both"/>
      </w:pPr>
      <w:r>
        <w:rPr>
          <w:rFonts w:ascii="宋体" w:hAnsi="宋体" w:eastAsia="宋体"/>
          <w:sz w:val="24"/>
        </w:rPr>
        <w:t>式(2-1)虽形式简洁，却刻画了标准经济学最核心的机制：标准的价值内生于采用网络的规模。对绿色低碳标准而言，</w:t>
      </w:r>
      <m:oMath>
        <m:r>
          <m:t>n</m:t>
        </m:r>
      </m:oMath>
      <w:r>
        <w:rPr>
          <w:rFonts w:ascii="宋体" w:hAnsi="宋体" w:eastAsia="宋体"/>
          <w:sz w:val="24"/>
        </w:rPr>
        <w:t>可以理解为采用同一碳核算方法、碳足迹规范或绿色产品评价规则的企业数量乃至司法辖区数量。当越多的贸易伙伴采用同一套核算与认证规则时，单个企业的合规投入即可在更大的市场范围内获得回报，第三方核查、因子数据库、检测认证等配套服务的单位成本亦随规模摊薄，标准的网络价值随之上升。这一机制解释了国际标准竞争为何呈现“赢者通吃”的格局：一旦某套规则获得关键多数市场的采纳，其网络价值优势将自我强化，后来者的替代成本呈指数级上升（Shapiro和Varian，1999）。这也正是本书第5章状态空间模型中标准间互补关系（交互矩阵非对角元为正）的微观基础。</w:t>
      </w:r>
    </w:p>
    <w:p>
      <w:pPr>
        <w:spacing w:line="360" w:lineRule="auto" w:after="0"/>
        <w:ind w:firstLineChars="200" w:firstLine="480"/>
        <w:jc w:val="both"/>
      </w:pPr>
      <w:r>
        <w:rPr>
          <w:rFonts w:ascii="宋体" w:hAnsi="宋体" w:eastAsia="宋体"/>
          <w:sz w:val="24"/>
        </w:rPr>
        <w:t>网络外部性进一步引出标准采用中的协调失灵问题。Farrell和Saloner，1985证明，在信息不完全条件下，分散决策的标准转换可能产生两类无效率：一是“过度惯性”，即尽管新标准在社会层面更优，各主体因担心率先转换而承担孤立成本，相互观望导致旧标准过度存续；二是“过度冲动”，即在网络收益预期驱动下，各主体争先恐后转向尚不成熟的新标准，锁定次优技术路线。对绿色低碳标准而言，过度惯性表现为高碳技术标准的迟滞退出——即便更严格的低碳标准更符合社会最优，单个企业仍可能因合规成本与孤立风险选择被动观望；过度冲动则表现为在负排放等技术路线尚未收敛时仓促统一技术标准，抑制多元技术试错。两类失灵均指向同一结论：标准转换存在系统性的协调需求，政府作为协调者介入具有效率依据。这为本书第7章刻画政府“强制推行/激励引导”的策略选择、第10章设计动态更新触发机制提供了学理来源。</w:t>
      </w:r>
    </w:p>
    <w:p>
      <w:pPr>
        <w:spacing w:line="360" w:lineRule="auto" w:after="0"/>
        <w:ind w:firstLineChars="200" w:firstLine="480"/>
        <w:jc w:val="both"/>
      </w:pPr>
      <w:r>
        <w:rPr>
          <w:rFonts w:ascii="宋体" w:hAnsi="宋体" w:eastAsia="宋体"/>
          <w:sz w:val="24"/>
        </w:rPr>
        <w:t>标准竞争的动态后果由路径依赖与锁定理论揭示。David，1985以QWERTY键盘为例说明，在报酬递增条件下，偶然的历史事件可能使技术竞争收敛于并非最优的均衡；Arthur，1989进一步以非线性随机过程刻画了这一机制：当技术采用存在学习效应与协调效应时，早期微小的采用优势会被正反馈不断放大，最终形成难以逆转的锁定。这一逻辑对绿色低碳标准的国际竞争具有直接含义：碳核算边界、排放因子、生命周期范围等技术参数一旦被主要市场的规则体系吸收固化，后来者即便拥有更优的技术方案也难以撼动在位标准的网络优势。欧盟凭借EU ETS与CBAM的规则先发地位向全球输出核算与核查规则，正是先发优势自我强化的现实写照；而能源与交通领域的经验研究也表明，碳价与规制引致的技术变迁存在显著的路径依赖，初始条件的差异会被动态放大（Acemoglu等，2012；Aghion等，2016）。中国若长期处于标准跟随者位置，将在绿色贸易规则的锁定结构中承受持续的转换成本与话语权损失——这构成本书强调“主动领跑”战略的理论警示。</w:t>
      </w:r>
    </w:p>
    <w:p>
      <w:pPr>
        <w:spacing w:line="360" w:lineRule="auto" w:after="0"/>
        <w:ind w:firstLineChars="200" w:firstLine="480"/>
        <w:jc w:val="both"/>
      </w:pPr>
      <w:r>
        <w:rPr>
          <w:rFonts w:ascii="宋体" w:hAnsi="宋体" w:eastAsia="宋体"/>
          <w:sz w:val="24"/>
        </w:rPr>
        <w:t>标准的供给侧同样存在市场失灵。标准兼具非竞争性与高度正外部性，接近于准公共品：单个企业投入资源制定的标准一旦公开即可被同行无偿使用，私人激励不足导致市场自发供给系统性偏低（Tassey，2000）。Blind，2004系统梳理了标准的四类经济功能——兼容与接口、最低质量与安全、信息提供、品种减少，并以跨国经验证据表明标准化对经济增长具有可观的正向贡献；Swann，2010的综述进一步显示，标准通过降低交易成本、传播技术知识与支撑规模经济，对贸易与创新产生系统性影响。公共品属性与协调功能共同决定了政府在标准供给中的不可替代角色：或直接供给（政府主导制定强制性与推荐性标准），或搭建平台引导市场供给（认可团体标准、采信社会组织标准）。中国“国家标准兜底、行业标准细化、地方标准先行、团体标准创新”的四层级结构，本质上正是政府主导与市场补充相结合的混合供给制度安排，其分工逻辑与衔接机制将在第9章展开。</w:t>
      </w:r>
    </w:p>
    <w:p>
      <w:pPr>
        <w:spacing w:line="360" w:lineRule="auto" w:after="0"/>
        <w:ind w:firstLineChars="200" w:firstLine="480"/>
        <w:jc w:val="both"/>
      </w:pPr>
      <w:r>
        <w:rPr>
          <w:rFonts w:ascii="宋体" w:hAnsi="宋体" w:eastAsia="宋体"/>
          <w:sz w:val="24"/>
        </w:rPr>
        <w:t>标准与技术创新的关系是标准化经济学的前沿议题，也是绿色低碳标准区别于一般标准的关键之处。绿色低碳标准位于标准化政策与环境规制的交叉点：作为环境规制，适度严格的标准可通过“创新补偿”效应倒逼企业绿色技术创新（Porter和van der Linde，1995），能源价格与规制强度的变化会系统性诱导节能减排方向的技术进步（Popp，2002），美国制造业的证据亦证实规制压力与环境创新显著正相关（Brunnermeier和Cohen，2003）；作为标准化政策，标准通过统一技术语言降低创新的市场不确定性。Blind等，2017基于欧洲企业数据发现，在市场不确定性较高的情形下，标准相对于直接规制更有利于创新；Foucart和Li，2021的理论与经验分析表明，技术标准通过筛选技术路线影响产品创新的方向与强度；Blind等，2022则揭示了企业参与标准制定与专利、发表等创新产出之间的互补关系。这些研究共同提示：标准的技术严格程度并非越高越好，过严或滞后于技术前沿的标准都会抑制创新，标准体系必须随技术演进动态更新——这正是本书第6章技术—制度协同演进模型与第10章动态更新机制的问题意识所在。表2.1归纳了标准化经济学的核心理论脉络及其对本书的启示。</w:t>
      </w:r>
    </w:p>
    <w:p>
      <w:pPr>
        <w:keepNext/>
        <w:spacing w:before="160" w:after="40"/>
        <w:jc w:val="center"/>
      </w:pPr>
      <w:r>
        <w:rPr>
          <w:rFonts w:ascii="黑体" w:hAnsi="黑体" w:eastAsia="黑体"/>
          <w:sz w:val="21"/>
        </w:rPr>
        <w:t>表2.1  标准化经济学核心理论脉络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理论分支</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代表性文献</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核心命题</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对本书的启示</w:t>
            </w:r>
          </w:p>
        </w:tc>
      </w:tr>
      <w:tr>
        <w:tc>
          <w:tcPr>
            <w:tcW w:type="dxa" w:w="2126"/>
            <w:vAlign w:val="center"/>
          </w:tcPr>
          <w:p>
            <w:pPr>
              <w:spacing w:line="240" w:lineRule="auto" w:after="20" w:before="20"/>
              <w:jc w:val="left"/>
            </w:pPr>
            <w:r/>
            <w:r>
              <w:rPr>
                <w:rFonts w:ascii="宋体" w:hAnsi="宋体" w:eastAsia="宋体"/>
                <w:sz w:val="21"/>
              </w:rPr>
              <w:t>网络外部性与标准竞争</w:t>
            </w:r>
          </w:p>
        </w:tc>
        <w:tc>
          <w:tcPr>
            <w:tcW w:type="dxa" w:w="2126"/>
            <w:vAlign w:val="center"/>
          </w:tcPr>
          <w:p>
            <w:pPr>
              <w:spacing w:line="240" w:lineRule="auto" w:after="20" w:before="20"/>
              <w:jc w:val="left"/>
            </w:pPr>
            <w:r/>
            <w:r>
              <w:rPr>
                <w:rFonts w:ascii="宋体" w:hAnsi="宋体" w:eastAsia="宋体"/>
                <w:sz w:val="21"/>
              </w:rPr>
              <w:t>（Katz和Shapiro，1985；Farrell和Saloner，1985）</w:t>
            </w:r>
          </w:p>
        </w:tc>
        <w:tc>
          <w:tcPr>
            <w:tcW w:type="dxa" w:w="2126"/>
            <w:vAlign w:val="center"/>
          </w:tcPr>
          <w:p>
            <w:pPr>
              <w:spacing w:line="240" w:lineRule="auto" w:after="20" w:before="20"/>
              <w:jc w:val="left"/>
            </w:pPr>
            <w:r/>
            <w:r>
              <w:rPr>
                <w:rFonts w:ascii="宋体" w:hAnsi="宋体" w:eastAsia="宋体"/>
                <w:sz w:val="21"/>
              </w:rPr>
              <w:t>标准的价值随采用网络规模递增；分散决策存在过度惯性与过度冲动两类协调失灵</w:t>
            </w:r>
          </w:p>
        </w:tc>
        <w:tc>
          <w:tcPr>
            <w:tcW w:type="dxa" w:w="2126"/>
            <w:vAlign w:val="center"/>
          </w:tcPr>
          <w:p>
            <w:pPr>
              <w:spacing w:line="240" w:lineRule="auto" w:after="20" w:before="20"/>
              <w:jc w:val="left"/>
            </w:pPr>
            <w:r/>
            <w:r>
              <w:rPr>
                <w:rFonts w:ascii="宋体" w:hAnsi="宋体" w:eastAsia="宋体"/>
                <w:sz w:val="21"/>
              </w:rPr>
              <w:t>标准价值取决于采用网络规模，标准转换需要政府协调；支撑第5章标准间互补关系与第7章政府策略刻画</w:t>
            </w:r>
          </w:p>
        </w:tc>
      </w:tr>
      <w:tr>
        <w:tc>
          <w:tcPr>
            <w:tcW w:type="dxa" w:w="2126"/>
            <w:vAlign w:val="center"/>
          </w:tcPr>
          <w:p>
            <w:pPr>
              <w:spacing w:line="240" w:lineRule="auto" w:after="20" w:before="20"/>
              <w:jc w:val="left"/>
            </w:pPr>
            <w:r/>
            <w:r>
              <w:rPr>
                <w:rFonts w:ascii="宋体" w:hAnsi="宋体" w:eastAsia="宋体"/>
                <w:sz w:val="21"/>
              </w:rPr>
              <w:t>路径依赖与技术锁定</w:t>
            </w:r>
          </w:p>
        </w:tc>
        <w:tc>
          <w:tcPr>
            <w:tcW w:type="dxa" w:w="2126"/>
            <w:vAlign w:val="center"/>
          </w:tcPr>
          <w:p>
            <w:pPr>
              <w:spacing w:line="240" w:lineRule="auto" w:after="20" w:before="20"/>
              <w:jc w:val="left"/>
            </w:pPr>
            <w:r/>
            <w:r>
              <w:rPr>
                <w:rFonts w:ascii="宋体" w:hAnsi="宋体" w:eastAsia="宋体"/>
                <w:sz w:val="21"/>
              </w:rPr>
              <w:t>（David，1985；Arthur，1989）</w:t>
            </w:r>
          </w:p>
        </w:tc>
        <w:tc>
          <w:tcPr>
            <w:tcW w:type="dxa" w:w="2126"/>
            <w:vAlign w:val="center"/>
          </w:tcPr>
          <w:p>
            <w:pPr>
              <w:spacing w:line="240" w:lineRule="auto" w:after="20" w:before="20"/>
              <w:jc w:val="left"/>
            </w:pPr>
            <w:r/>
            <w:r>
              <w:rPr>
                <w:rFonts w:ascii="宋体" w:hAnsi="宋体" w:eastAsia="宋体"/>
                <w:sz w:val="21"/>
              </w:rPr>
              <w:t>报酬递增条件下微小的先发优势会被正反馈放大，可能锁定次优标准</w:t>
            </w:r>
          </w:p>
        </w:tc>
        <w:tc>
          <w:tcPr>
            <w:tcW w:type="dxa" w:w="2126"/>
            <w:vAlign w:val="center"/>
          </w:tcPr>
          <w:p>
            <w:pPr>
              <w:spacing w:line="240" w:lineRule="auto" w:after="20" w:before="20"/>
              <w:jc w:val="left"/>
            </w:pPr>
            <w:r/>
            <w:r>
              <w:rPr>
                <w:rFonts w:ascii="宋体" w:hAnsi="宋体" w:eastAsia="宋体"/>
                <w:sz w:val="21"/>
              </w:rPr>
              <w:t>国际标准竞争具有先发优势与锁定风险，被动跟随将承受规则锁定成本</w:t>
            </w:r>
          </w:p>
        </w:tc>
      </w:tr>
      <w:tr>
        <w:tc>
          <w:tcPr>
            <w:tcW w:type="dxa" w:w="2126"/>
            <w:vAlign w:val="center"/>
          </w:tcPr>
          <w:p>
            <w:pPr>
              <w:spacing w:line="240" w:lineRule="auto" w:after="20" w:before="20"/>
              <w:jc w:val="left"/>
            </w:pPr>
            <w:r/>
            <w:r>
              <w:rPr>
                <w:rFonts w:ascii="宋体" w:hAnsi="宋体" w:eastAsia="宋体"/>
                <w:sz w:val="21"/>
              </w:rPr>
              <w:t>信息经济与标准战略</w:t>
            </w:r>
          </w:p>
        </w:tc>
        <w:tc>
          <w:tcPr>
            <w:tcW w:type="dxa" w:w="2126"/>
            <w:vAlign w:val="center"/>
          </w:tcPr>
          <w:p>
            <w:pPr>
              <w:spacing w:line="240" w:lineRule="auto" w:after="20" w:before="20"/>
              <w:jc w:val="left"/>
            </w:pPr>
            <w:r/>
            <w:r>
              <w:rPr>
                <w:rFonts w:ascii="宋体" w:hAnsi="宋体" w:eastAsia="宋体"/>
                <w:sz w:val="21"/>
              </w:rPr>
              <w:t>（Shapiro和Varian，1999）</w:t>
            </w:r>
          </w:p>
        </w:tc>
        <w:tc>
          <w:tcPr>
            <w:tcW w:type="dxa" w:w="2126"/>
            <w:vAlign w:val="center"/>
          </w:tcPr>
          <w:p>
            <w:pPr>
              <w:spacing w:line="240" w:lineRule="auto" w:after="20" w:before="20"/>
              <w:jc w:val="left"/>
            </w:pPr>
            <w:r/>
            <w:r>
              <w:rPr>
                <w:rFonts w:ascii="宋体" w:hAnsi="宋体" w:eastAsia="宋体"/>
                <w:sz w:val="21"/>
              </w:rPr>
              <w:t>标准竞争的成败取决于装机基础、互补品供给与预期管理等战略要素</w:t>
            </w:r>
          </w:p>
        </w:tc>
        <w:tc>
          <w:tcPr>
            <w:tcW w:type="dxa" w:w="2126"/>
            <w:vAlign w:val="center"/>
          </w:tcPr>
          <w:p>
            <w:pPr>
              <w:spacing w:line="240" w:lineRule="auto" w:after="20" w:before="20"/>
              <w:jc w:val="left"/>
            </w:pPr>
            <w:r/>
            <w:r>
              <w:rPr>
                <w:rFonts w:ascii="宋体" w:hAnsi="宋体" w:eastAsia="宋体"/>
                <w:sz w:val="21"/>
              </w:rPr>
              <w:t>标准国际化是战略互动过程，需统筹产业布局与规则布局</w:t>
            </w:r>
          </w:p>
        </w:tc>
      </w:tr>
      <w:tr>
        <w:tc>
          <w:tcPr>
            <w:tcW w:type="dxa" w:w="2126"/>
            <w:vAlign w:val="center"/>
          </w:tcPr>
          <w:p>
            <w:pPr>
              <w:spacing w:line="240" w:lineRule="auto" w:after="20" w:before="20"/>
              <w:jc w:val="left"/>
            </w:pPr>
            <w:r/>
            <w:r>
              <w:rPr>
                <w:rFonts w:ascii="宋体" w:hAnsi="宋体" w:eastAsia="宋体"/>
                <w:sz w:val="21"/>
              </w:rPr>
              <w:t>标准的公共品属性</w:t>
            </w:r>
          </w:p>
        </w:tc>
        <w:tc>
          <w:tcPr>
            <w:tcW w:type="dxa" w:w="2126"/>
            <w:vAlign w:val="center"/>
          </w:tcPr>
          <w:p>
            <w:pPr>
              <w:spacing w:line="240" w:lineRule="auto" w:after="20" w:before="20"/>
              <w:jc w:val="left"/>
            </w:pPr>
            <w:r/>
            <w:r>
              <w:rPr>
                <w:rFonts w:ascii="宋体" w:hAnsi="宋体" w:eastAsia="宋体"/>
                <w:sz w:val="21"/>
              </w:rPr>
              <w:t>（Tassey，2000；Blind，2004；Swann，2010）</w:t>
            </w:r>
          </w:p>
        </w:tc>
        <w:tc>
          <w:tcPr>
            <w:tcW w:type="dxa" w:w="2126"/>
            <w:vAlign w:val="center"/>
          </w:tcPr>
          <w:p>
            <w:pPr>
              <w:spacing w:line="240" w:lineRule="auto" w:after="20" w:before="20"/>
              <w:jc w:val="left"/>
            </w:pPr>
            <w:r/>
            <w:r>
              <w:rPr>
                <w:rFonts w:ascii="宋体" w:hAnsi="宋体" w:eastAsia="宋体"/>
                <w:sz w:val="21"/>
              </w:rPr>
              <w:t>标准具有基础设施与准公共品性质，市场自发供给不足，标准化对增长、贸易与创新有正向贡献</w:t>
            </w:r>
          </w:p>
        </w:tc>
        <w:tc>
          <w:tcPr>
            <w:tcW w:type="dxa" w:w="2126"/>
            <w:vAlign w:val="center"/>
          </w:tcPr>
          <w:p>
            <w:pPr>
              <w:spacing w:line="240" w:lineRule="auto" w:after="20" w:before="20"/>
              <w:jc w:val="left"/>
            </w:pPr>
            <w:r/>
            <w:r>
              <w:rPr>
                <w:rFonts w:ascii="宋体" w:hAnsi="宋体" w:eastAsia="宋体"/>
                <w:sz w:val="21"/>
              </w:rPr>
              <w:t>政府在绿色低碳标准供给中承担主导责任，四层级体系是混合供给的制度安排</w:t>
            </w:r>
          </w:p>
        </w:tc>
      </w:tr>
      <w:tr>
        <w:tc>
          <w:tcPr>
            <w:tcW w:type="dxa" w:w="2126"/>
            <w:vAlign w:val="center"/>
          </w:tcPr>
          <w:p>
            <w:pPr>
              <w:spacing w:line="240" w:lineRule="auto" w:after="20" w:before="20"/>
              <w:jc w:val="left"/>
            </w:pPr>
            <w:r/>
            <w:r>
              <w:rPr>
                <w:rFonts w:ascii="宋体" w:hAnsi="宋体" w:eastAsia="宋体"/>
                <w:sz w:val="21"/>
              </w:rPr>
              <w:t>标准与创新互动</w:t>
            </w:r>
          </w:p>
        </w:tc>
        <w:tc>
          <w:tcPr>
            <w:tcW w:type="dxa" w:w="2126"/>
            <w:vAlign w:val="center"/>
          </w:tcPr>
          <w:p>
            <w:pPr>
              <w:spacing w:line="240" w:lineRule="auto" w:after="20" w:before="20"/>
              <w:jc w:val="left"/>
            </w:pPr>
            <w:r/>
            <w:r>
              <w:rPr>
                <w:rFonts w:ascii="宋体" w:hAnsi="宋体" w:eastAsia="宋体"/>
                <w:sz w:val="21"/>
              </w:rPr>
              <w:t>（Blind等，2017；Foucart和Li，2021；Blind等，2022）</w:t>
            </w:r>
          </w:p>
        </w:tc>
        <w:tc>
          <w:tcPr>
            <w:tcW w:type="dxa" w:w="2126"/>
            <w:vAlign w:val="center"/>
          </w:tcPr>
          <w:p>
            <w:pPr>
              <w:spacing w:line="240" w:lineRule="auto" w:after="20" w:before="20"/>
              <w:jc w:val="left"/>
            </w:pPr>
            <w:r/>
            <w:r>
              <w:rPr>
                <w:rFonts w:ascii="宋体" w:hAnsi="宋体" w:eastAsia="宋体"/>
                <w:sz w:val="21"/>
              </w:rPr>
              <w:t>标准通过降低不确定性促进创新，但过严或滞后的标准抑制创新</w:t>
            </w:r>
          </w:p>
        </w:tc>
        <w:tc>
          <w:tcPr>
            <w:tcW w:type="dxa" w:w="2126"/>
            <w:vAlign w:val="center"/>
          </w:tcPr>
          <w:p>
            <w:pPr>
              <w:spacing w:line="240" w:lineRule="auto" w:after="20" w:before="20"/>
              <w:jc w:val="left"/>
            </w:pPr>
            <w:r/>
            <w:r>
              <w:rPr>
                <w:rFonts w:ascii="宋体" w:hAnsi="宋体" w:eastAsia="宋体"/>
                <w:sz w:val="21"/>
              </w:rPr>
              <w:t>标准严格程度应与技术前沿协同演进，体系需内嵌动态更新机制</w:t>
            </w:r>
          </w:p>
        </w:tc>
      </w:tr>
    </w:tbl>
    <w:p>
      <w:pPr>
        <w:spacing w:after="200" w:line="240" w:lineRule="auto"/>
      </w:pPr>
      <w:r>
        <w:rPr>
          <w:rFonts w:ascii="宋体" w:hAnsi="宋体" w:eastAsia="宋体"/>
          <w:sz w:val="18"/>
        </w:rPr>
        <w:t>注：作者根据相关文献整理。</w:t>
      </w:r>
    </w:p>
    <w:p>
      <w:pPr>
        <w:spacing w:line="360" w:lineRule="auto" w:after="0"/>
        <w:ind w:firstLineChars="200" w:firstLine="480"/>
        <w:jc w:val="both"/>
      </w:pPr>
      <w:r>
        <w:rPr>
          <w:rFonts w:ascii="宋体" w:hAnsi="宋体" w:eastAsia="宋体"/>
          <w:sz w:val="24"/>
        </w:rPr>
        <w:t>由表2.1可见，标准化经济学从需求侧（网络外部性）、动态侧（路径依赖）、供给侧（公共品属性）与创新侧（标准—创新互动）四个方向，为理解绿色低碳标准体系提供了完整的微观理论基础。但也应看到，这一理论传统主要以信息通信等兼容性标准为原型，其分析单元多为单一标准的竞争与扩散；绿色低碳标准体系则是数千项标准构成的复杂系统，标准之间存在互补、替代与层级嵌套关系，且其演化受政策目标的强约束。将标准化经济学的微观机制拓展到标准体系的系统层面，需要借助演化经济学与制度经济学的分析工具。</w:t>
      </w:r>
    </w:p>
    <w:p>
      <w:pPr>
        <w:keepNext/>
        <w:spacing w:before="160" w:after="120" w:line="360" w:lineRule="auto"/>
        <w:outlineLvl w:val="2"/>
      </w:pPr>
      <w:r>
        <w:rPr>
          <w:rFonts w:ascii="黑体" w:hAnsi="黑体" w:eastAsia="黑体"/>
          <w:sz w:val="24"/>
        </w:rPr>
        <w:t>2.2.2  演化经济学与技术—制度协同演进</w:t>
      </w:r>
    </w:p>
    <w:p>
      <w:pPr>
        <w:spacing w:line="360" w:lineRule="auto" w:after="0"/>
        <w:ind w:firstLineChars="200" w:firstLine="480"/>
        <w:jc w:val="both"/>
      </w:pPr>
      <w:r>
        <w:rPr>
          <w:rFonts w:ascii="宋体" w:hAnsi="宋体" w:eastAsia="宋体"/>
          <w:sz w:val="24"/>
        </w:rPr>
        <w:t>演化经济学为刻画标准体系的动态过程提供了总体框架。Nelson和Winter，1982在其奠基性著作中，以“惯例—搜寻—选择”三元结构替代新古典的最优化假设：企业依赖惯例组织生产，在绩效压力下搜寻新技术，市场作为选择环境淘汰不适应的惯例。从这一视角看，标准可以被理解为超越单个企业边界的“制度化惯例”——它将分散于企业内部的技术惯例加以编码化、公共化与强制化，使技术知识在更大范围内得以复制与遗传；标准体系的演化因而呈现出“变异（新标准提出）—选择（市场与政府筛选）—保留（纳入体系并扩散）”的演化逻辑，而非一步到位的最优设计。这一定位决定了本书对标准体系的研究必须采用动态演化的方法论，而非静态比较的均衡分析。</w:t>
      </w:r>
    </w:p>
    <w:p>
      <w:pPr>
        <w:spacing w:line="360" w:lineRule="auto" w:after="0"/>
        <w:ind w:firstLineChars="200" w:firstLine="480"/>
        <w:jc w:val="both"/>
      </w:pPr>
      <w:r>
        <w:rPr>
          <w:rFonts w:ascii="宋体" w:hAnsi="宋体" w:eastAsia="宋体"/>
          <w:sz w:val="24"/>
        </w:rPr>
        <w:t>Dosi，1982提出的技术范式与技术轨道概念，进一步刻画了技术变迁的方向性。技术范式界定了“值得解决的问题”与“解决问题的模式”，技术轨道则是范式内技术进步的常规路径；范式转换期往往伴随激烈的路线竞争与制度重构。“双碳”目标驱动的绿色转型正是一场典型的技术—经济范式转换：能源系统从化石基转向零碳基，工业过程从末端治理转向全生命周期管理，数字化能否真正降低能源需求亦成为范式转换中悬而未决的议题（Lange等，2020）。在这一转换中，标准扮演着“守门人”的角色——它既是新范式技术知识的载体，又构成旧范式技术退出的选择环境；标准的严格程度与更新速度，直接决定范式转换的节奏。与之相关，碳锁定研究警示：既有高碳技术—制度复合体具有强大的自我维持能力，突破锁定需要政策、技术与市场的协同发力（Arthur，1989；Aghion等，2016），这为“三重驱动力”的分析框架提供了演化经济学注脚。</w:t>
      </w:r>
    </w:p>
    <w:p>
      <w:pPr>
        <w:spacing w:line="360" w:lineRule="auto" w:after="0"/>
        <w:ind w:firstLineChars="200" w:firstLine="480"/>
        <w:jc w:val="both"/>
      </w:pPr>
      <w:r>
        <w:rPr>
          <w:rFonts w:ascii="宋体" w:hAnsi="宋体" w:eastAsia="宋体"/>
          <w:sz w:val="24"/>
        </w:rPr>
        <w:t>标准体系演化的深层机制在于技术与制度的协同演进。技术进步拓展标准的可行域：没有成熟的监测计量技术，就不可能有严格的碳排放核算标准；制度完善又反向塑造技术演进的方向：标准确立的技术门槛与互认规则，改变企业研发投入的预期收益，定向牵引绿色技术创新。二者互为条件、相互催化，构成正反馈耦合系统。本书第6章借鉴种群生态学中的互惠共生模型（Lotka，1925）刻画这一机制：以技术水平与制度完善度为两个相互作用的“种群”，以互馈系数度量技术促制度、制度促技术的强度，进而分析系统的平衡点与稳定性。类似的协同演化思想已在绿色技术创新生态系统研究中得到应用，如Zhao等，2024对绿色建筑技术创新生态系统中利益相关者策略共演机制的演化博弈分析。需要指出的是，将生态学模型应用于技术—制度系统并非简单类比：其成立的前提是两个“种群”均存在自增长、容量约束与交互作用，这些条件在标准化情境中具有明确的经济学对应物，第6章将逐一给出。</w:t>
      </w:r>
    </w:p>
    <w:p>
      <w:pPr>
        <w:spacing w:line="360" w:lineRule="auto" w:after="0"/>
        <w:ind w:firstLineChars="200" w:firstLine="480"/>
        <w:jc w:val="both"/>
      </w:pPr>
      <w:r>
        <w:rPr>
          <w:rFonts w:ascii="宋体" w:hAnsi="宋体" w:eastAsia="宋体"/>
          <w:sz w:val="24"/>
        </w:rPr>
        <w:t>演化博弈理论为多主体策略互动提供了分析工具。Taylor和Jonker，1978提出的复制动态方程刻画了有限理性主体通过模仿与学习调整策略的群体动态，Friedman，1991系统论证了演化博弈方法在经济学中的适用性：当博弈方数量众多、信息不完全、理性有限时，演化稳定均衡比完全理性的纳什均衡更贴近现实。绿色低碳标准的制定与采纳恰属此类情境：政府在强制推行与激励引导之间权衡，企业在积极响应与被动观望之间摇摆，国际组织在接纳衔接与排斥壁垒之间选择，三方策略通过支付结构相互耦合、动态调整。与演化视角一脉相承的还有适应性治理思想：面对深度不确定的技术与政策环境，治理架构不应追求一次性最优设计，而应内嵌感知—反馈—修订的适应回路，通过小步快调保持制度与环境的动态匹配，技术在泛化扩散中经由使用者持续再配置而演化的经验事实亦印证了这一逻辑（Hyysalo和Juntunen，2023）。本书第7章的三方演化博弈模型、第10章基于技术—政策偏离度的动态更新触发机制，分别是这一理论传统在机理刻画与机制设计上的具体运用。</w:t>
      </w:r>
    </w:p>
    <w:p>
      <w:pPr>
        <w:keepNext/>
        <w:spacing w:before="160" w:after="120" w:line="360" w:lineRule="auto"/>
        <w:outlineLvl w:val="2"/>
      </w:pPr>
      <w:r>
        <w:rPr>
          <w:rFonts w:ascii="黑体" w:hAnsi="黑体" w:eastAsia="黑体"/>
          <w:sz w:val="24"/>
        </w:rPr>
        <w:t>2.2.3  制度经济学与全球治理理论</w:t>
      </w:r>
    </w:p>
    <w:p>
      <w:pPr>
        <w:spacing w:line="360" w:lineRule="auto" w:after="0"/>
        <w:ind w:firstLineChars="200" w:firstLine="480"/>
        <w:jc w:val="both"/>
      </w:pPr>
      <w:r>
        <w:rPr>
          <w:rFonts w:ascii="宋体" w:hAnsi="宋体" w:eastAsia="宋体"/>
          <w:sz w:val="24"/>
        </w:rPr>
        <w:t>制度经济学将标准置于更宏观的制度变迁图景之中。North，1990把制度定义为“社会的博弈规则”，强调制度通过约束人际互动降低不确定性与交易成本；制度变迁通常是渐进的、边际的，且因组织的学习与既得利益的存在而呈现路径依赖。这一框架对本书有三点启示：其一，标准是典型的正式制度，绿色低碳标准体系建设本质上是一场制度变迁，其速度与方向受制于制度矩阵的整体状态；其二，制度变迁的行动主体是组织——政府部门、行业协会、领军企业与国际机构在相对价格变化（碳价上升、绿色溢价显现）的激励下推动规则重构，制度压力驱动中小企业绿色商业模式创新的微观证据即是明证（Lee等，2024），这为第7章的博弈主体设定提供了依据；其三，制度的报酬递增特性意味着标准体系一旦形成即难以整体重构，体系设计必须在起点上审慎对待结构选择——这正是第9章将体系架构作为独立研究对象的理由。</w:t>
      </w:r>
    </w:p>
    <w:p>
      <w:pPr>
        <w:spacing w:line="360" w:lineRule="auto" w:after="0"/>
        <w:ind w:firstLineChars="200" w:firstLine="480"/>
        <w:jc w:val="both"/>
      </w:pPr>
      <w:r>
        <w:rPr>
          <w:rFonts w:ascii="宋体" w:hAnsi="宋体" w:eastAsia="宋体"/>
          <w:sz w:val="24"/>
        </w:rPr>
        <w:t>Aoki，2001的比较制度分析进一步揭示了制度的系统性与互补性。在其框架中，制度是博弈参与人共有信念的自我实施系统，不同域的制度安排相互支撑、形成互补性整体；由于制度互补性的存在，单项制度的跨国移植往往因缺乏配套制度而失效。这一命题构成本书“适配性”概念的深层理论根基：中国的标准化体制以政府主导、层级供给为特征，欧美体制则以市场自愿、私营机构主导为特征，两种体制各自嵌入不同的法律传统、产业组织与政商关系之中；标准的国际衔接因而不是简单的文本对齐，而是两套制度系统在技术接口上的兼容性构造。第13章对中国、欧盟与ISO三大标准体系的比较制度分析，正是这一方法论的具体展开。</w:t>
      </w:r>
    </w:p>
    <w:p>
      <w:pPr>
        <w:spacing w:line="360" w:lineRule="auto" w:after="0"/>
        <w:ind w:firstLineChars="200" w:firstLine="480"/>
        <w:jc w:val="both"/>
      </w:pPr>
      <w:r>
        <w:rPr>
          <w:rFonts w:ascii="宋体" w:hAnsi="宋体" w:eastAsia="宋体"/>
          <w:sz w:val="24"/>
        </w:rPr>
        <w:t>全球治理理论则揭示了标准背后的规则权力。Büthe和Mattli，2011的研究表明，全球经济中的产品与过程规则日益由ISO、IEC等私营或半私营机构制定，一国在国际标准制定中的影响力取决于其国内标准化制度禀赋与协调能力——制度化程度高、能够以“一个声音”参与国际议程的国家，更能将本国偏好写入全球规则。以此观照中国：截至2022年底，中国主导制定的ISO/IEC国际标准达1337项，承担ISO、IEC技术机构秘书处89个（2023年披露口径），国际标准化参与度显著提升；但按现行国际标准总量折算，中国主导标准占比仍仅约2%（估算口径），与制造业规模和贸易体量明显不匹配。规则权力的这种不对称，意味着中国绿色低碳标准的国际适配在相当程度上仍是“单向适配”，提升规则话语权因而成为标准体系建设的战略目标之一。</w:t>
      </w:r>
    </w:p>
    <w:p>
      <w:pPr>
        <w:spacing w:line="360" w:lineRule="auto" w:after="0"/>
        <w:ind w:firstLineChars="200" w:firstLine="480"/>
        <w:jc w:val="both"/>
      </w:pPr>
      <w:r>
        <w:rPr>
          <w:rFonts w:ascii="宋体" w:hAnsi="宋体" w:eastAsia="宋体"/>
          <w:sz w:val="24"/>
        </w:rPr>
        <w:t>与规则权力紧密相关的是“布鲁塞尔效应”。Bradford，2015最早刻画了欧盟通过市场机制外化其规制标准的路径：凭借巨大的统一市场、强规制能力与不可分割的生产标准，欧盟规则经由跨国企业的全球供应链自动扩散为事实上的全球标准；Bradford，2020将其系统化为“事实的布鲁塞尔效应”（企业自愿采用）与“法律的布鲁塞尔效应”（他国立法跟进）两条通道。CBAM是这一机制在气候领域的最新运用：它以碳排放核算规则为支点，迫使出口国企业按欧盟方法学核算与核查排放，进而牵引出口国的标准与碳定价制度向欧盟靠拢（刘梦佳和李志永，2025）。对中国而言，布鲁塞尔效应既是外压也是镜鉴：它揭示了“市场规模×规制能力”转化为标准输出能力的一般机制，而中国恰恰具备超大规模市场这一必要条件，缺的是规制体系的完备性与国际公信力——这正是本书体系构建与适配评估两大模块试图回应的现实命题。</w:t>
      </w:r>
    </w:p>
    <w:p>
      <w:pPr>
        <w:spacing w:line="360" w:lineRule="auto" w:after="0"/>
        <w:ind w:firstLineChars="200" w:firstLine="480"/>
        <w:jc w:val="both"/>
      </w:pPr>
      <w:r>
        <w:rPr>
          <w:rFonts w:ascii="宋体" w:hAnsi="宋体" w:eastAsia="宋体"/>
          <w:sz w:val="24"/>
        </w:rPr>
        <w:t>在全球气候治理的宏观层面，气候政策历来是经济逻辑与政治约束交织的产物（Helm和Hepburn，2009），治理架构的演变深刻塑造着标准的功能定位。Victor，2011指出，全球气候合作长期陷入“僵局”，全面且有约束力的多边条约难以达成；Keohane和Victor，2016将现实中的气候治理概括为松散耦合的“机制复合体”，合作与分歧并存；Falkner，2016认为《巴黎协定》确立了“国家自主贡献+全球盘点”的新逻辑，将治理重心从国际谈判转向国内政策；Hale，2020则以“催化合作”理论说明，在收益随参与规模递增的议题上，先行者的行动能够改变后来者的成本收益结构，触发滚雪球式的合作扩张。这些理论共同勾勒出一个判断：在缺乏统一世界政府的分散治理格局中，标准正在成为连接各国自主行动的“技术接口”与事实上的治理工具——谁的标准被更多主体采纳，谁就在气候治理中拥有结构性权力。这为第3章考察国际标准化的战略工具化趋势、第7章将国际组织纳入博弈主体、第12章评估国际适配性提供了共同的理论背景。</w:t>
      </w:r>
    </w:p>
    <w:p>
      <w:pPr>
        <w:keepNext/>
        <w:spacing w:before="160" w:after="120" w:line="360" w:lineRule="auto"/>
        <w:outlineLvl w:val="1"/>
      </w:pPr>
      <w:r>
        <w:rPr>
          <w:rFonts w:ascii="黑体" w:hAnsi="黑体" w:eastAsia="黑体"/>
          <w:sz w:val="28"/>
        </w:rPr>
        <w:t>2.3  文献综述：三大文献流的进展</w:t>
      </w:r>
    </w:p>
    <w:p>
      <w:pPr>
        <w:spacing w:line="360" w:lineRule="auto" w:after="0"/>
        <w:ind w:firstLineChars="200" w:firstLine="480"/>
        <w:jc w:val="both"/>
      </w:pPr>
      <w:r>
        <w:rPr>
          <w:rFonts w:ascii="宋体" w:hAnsi="宋体" w:eastAsia="宋体"/>
          <w:sz w:val="24"/>
        </w:rPr>
        <w:t>在理论基础之上，本节转向对绿色低碳标准研究文献的系统梳理。为整体把握研究态势，图2.1给出2000—2025年绿色低碳标准相关研究的年度发文趋势。</w:t>
      </w:r>
    </w:p>
    <w:p>
      <w:pPr>
        <w:spacing w:before="120" w:after="40"/>
        <w:jc w:val="center"/>
      </w:pPr>
      <w:r>
        <w:drawing>
          <wp:inline xmlns:a="http://schemas.openxmlformats.org/drawingml/2006/main" xmlns:pic="http://schemas.openxmlformats.org/drawingml/2006/picture">
            <wp:extent cx="4860000" cy="2844216"/>
            <wp:docPr id="3" name="Picture 3"/>
            <wp:cNvGraphicFramePr>
              <a:graphicFrameLocks noChangeAspect="1"/>
            </wp:cNvGraphicFramePr>
            <a:graphic>
              <a:graphicData uri="http://schemas.openxmlformats.org/drawingml/2006/picture">
                <pic:pic>
                  <pic:nvPicPr>
                    <pic:cNvPr id="0" name="fig2_1.png"/>
                    <pic:cNvPicPr/>
                  </pic:nvPicPr>
                  <pic:blipFill>
                    <a:blip r:embed="rId11"/>
                    <a:stretch>
                      <a:fillRect/>
                    </a:stretch>
                  </pic:blipFill>
                  <pic:spPr>
                    <a:xfrm>
                      <a:off x="0" y="0"/>
                      <a:ext cx="4860000" cy="2844216"/>
                    </a:xfrm>
                    <a:prstGeom prst="rect"/>
                  </pic:spPr>
                </pic:pic>
              </a:graphicData>
            </a:graphic>
          </wp:inline>
        </w:drawing>
      </w:r>
    </w:p>
    <w:p>
      <w:pPr>
        <w:keepNext w:val="0"/>
        <w:spacing w:after="200"/>
        <w:jc w:val="center"/>
      </w:pPr>
      <w:r>
        <w:rPr>
          <w:rFonts w:ascii="黑体" w:hAnsi="黑体" w:eastAsia="黑体"/>
          <w:sz w:val="21"/>
        </w:rPr>
        <w:t>图2.1  绿色低碳标准相关研究年度发文趋势（2000—2025）</w:t>
      </w:r>
    </w:p>
    <w:p>
      <w:pPr>
        <w:spacing w:line="360" w:lineRule="auto" w:after="0"/>
        <w:ind w:firstLineChars="200" w:firstLine="480"/>
        <w:jc w:val="both"/>
      </w:pPr>
      <w:r>
        <w:rPr>
          <w:rFonts w:ascii="宋体" w:hAnsi="宋体" w:eastAsia="宋体"/>
          <w:sz w:val="24"/>
        </w:rPr>
        <w:t>由图2.1可见，相关研究呈现“长期缓增、近年爆发”的鲜明特征：Web of Science口径的年度发文量由2000年的约120篇增至2015年的约1250篇，2020年达约4300篇，2025年进一步升至约12400篇；CNKI口径的中文文献在2020年之前长期低于每年千篇，2020年9月“双碳”目标宣示后急剧放量，2021年跃升至约8200篇，约为2020年的三倍，2025年达约12900篇。这一拐点式增长与文献计量研究揭示的碳中和主题发文规律高度一致（Bortoletto等，2023）。需要说明的是，图中数据基于公开文献计量研究整理，属量级示意口径，供刻画趋势之用。在数量扩张的同时，研究主题也从早期的碳核算方法与个案描述，扩展到标准体系设计、碳边境调节与国际规则竞争等系统性议题。循此脉络，既有研究可归入三大文献流：战略演进研究关注“标准从哪里来、向何处去”，体系构建研究关注“体系应当如何设计”，国际衔接与适配评估研究关注“标准差距造成什么后果、如何弥合”。以下逐流综述并评析。</w:t>
      </w:r>
    </w:p>
    <w:p>
      <w:pPr>
        <w:keepNext/>
        <w:spacing w:before="160" w:after="120" w:line="360" w:lineRule="auto"/>
        <w:outlineLvl w:val="2"/>
      </w:pPr>
      <w:r>
        <w:rPr>
          <w:rFonts w:ascii="黑体" w:hAnsi="黑体" w:eastAsia="黑体"/>
          <w:sz w:val="24"/>
        </w:rPr>
        <w:t>2.3.1  绿色低碳标准化的战略演进研究</w:t>
      </w:r>
    </w:p>
    <w:p>
      <w:pPr>
        <w:spacing w:line="360" w:lineRule="auto" w:after="0"/>
        <w:ind w:firstLineChars="200" w:firstLine="480"/>
        <w:jc w:val="both"/>
      </w:pPr>
      <w:r>
        <w:rPr>
          <w:rFonts w:ascii="宋体" w:hAnsi="宋体" w:eastAsia="宋体"/>
          <w:sz w:val="24"/>
        </w:rPr>
        <w:t>第一支文献流考察绿色低碳标准化的历史演进、全球格局与战略取向，可进一步分为国际谱系梳理与中国路径研究两个分支。就国际谱系而言，陈红敏，2011较早系统评述了国际碳核算体系的发展脉络，指出宏观层面的国家温室气体清单、中观层面的组织碳核算与微观层面的产品碳足迹构成层层嵌套的方法学体系；He等，2022对《京都议定书》至《巴黎协定》期间企业碳会计研究的综述表明，核算框架的演进始终与国际气候制度的阶段转换同频。在产品碳足迹方向，冯相昭等，2010评介了英国PAS 2050标准的开创性意义，童庆蒙等，2018梳理了基于生命周期评价的碳足迹核算国际标准与实践，Wu等，2015则专门考察了ISO 14067对全球温室气体标准演进的贡献，揭示了“国家清单—组织核算—产品足迹”标准谱系逐步细化、相互援引的演进规律。</w:t>
      </w:r>
    </w:p>
    <w:p>
      <w:pPr>
        <w:spacing w:line="360" w:lineRule="auto" w:after="0"/>
        <w:ind w:firstLineChars="200" w:firstLine="480"/>
        <w:jc w:val="both"/>
      </w:pPr>
      <w:r>
        <w:rPr>
          <w:rFonts w:ascii="宋体" w:hAnsi="宋体" w:eastAsia="宋体"/>
          <w:sz w:val="24"/>
        </w:rPr>
        <w:t>国际谱系研究的一个重要发现是标准碎片化及其后果。Klaaßen和Stoll，2021对企业碳足迹披露的分析表明，核算边界与方法选择的差异使同类企业的披露结果缺乏可比性，口径不一已成为碳信息基础设施的系统性缺陷；Bjørn等，2022进一步警示，绿色电力证书的滥用可能使企业“科学碳目标”的完成度严重失真。这些研究从反面凸显了标准统一的价值：没有可比的核算规则，碳定价、绿色金融与碳边境调节都将建立在流沙之上。就全球格局而言，郭晓娜等，2024梳理了全球气候治理的演变历程与实践框架，庄贵阳和王思博，2023分析了治理变革期主要经济体的碳中和战略博弈，指出发达经济体正将气候议题与贸易规则、产业竞争深度捆绑；碳定价机制的全球扩散研究（Narassimhan等，2018；Green，2021）以及对碳定价减排效果的系统性再评估（Döbbeling-Hildebrandt等，2024）则表明，规则设计细节对政策效果具有一阶影响——这从经验上说明了“标准质量”而非“标准有无”才是关键变量。</w:t>
      </w:r>
    </w:p>
    <w:p>
      <w:pPr>
        <w:spacing w:line="360" w:lineRule="auto" w:after="0"/>
        <w:ind w:firstLineChars="200" w:firstLine="480"/>
        <w:jc w:val="both"/>
      </w:pPr>
      <w:r>
        <w:rPr>
          <w:rFonts w:ascii="宋体" w:hAnsi="宋体" w:eastAsia="宋体"/>
          <w:sz w:val="24"/>
        </w:rPr>
        <w:t>就中国路径而言，舒辉和唐飞，2023对“双碳”标准化战略演进轨迹的研究具有代表性，该文将中国低碳标准化进程划分为跟踪引进、本土探索与战略突破等阶段，并构建了涵盖战略目标、重点领域与支撑体系的研究框架；石明娟等，2022盘点了碳达峰碳中和标准建设现状，识别出碳核算核查、碳汇计量等领域的标准缺口；Zhang和Yu，2023分析了中国“双碳”标准化建设的形势与对策；周成和钱再见，2022以扎根理论与制度语法学双重方法解析中国碳达峰碳中和的政策路径，揭示了政策工具从行政主导向多元协同的演变；袁惊柱，2025考察了能耗双控向碳排放双控全面转型的进展、问题与路径，指出计量、核算与考核标准的滞后是转型的主要堵点；孙亮等，2022与《碳达峰碳中和标准体系建设指南》（国家标准化管理委员会等，2023）则从官方视角给出了标准体系建设的目标序列与任务清单。</w:t>
      </w:r>
    </w:p>
    <w:p>
      <w:pPr>
        <w:spacing w:line="360" w:lineRule="auto" w:after="0"/>
        <w:ind w:firstLineChars="200" w:firstLine="480"/>
        <w:jc w:val="both"/>
      </w:pPr>
      <w:r>
        <w:rPr>
          <w:rFonts w:ascii="宋体" w:hAnsi="宋体" w:eastAsia="宋体"/>
          <w:sz w:val="24"/>
        </w:rPr>
        <w:t>总体上，战略演进文献流在事实积累与阶段划分上取得了丰富成果，为理解绿色低碳标准化的来龙去脉提供了基础图景。但其局限也较为明显：一是方法上以定性描述与历史梳理为主，缺乏对演化过程的数理刻画，阶段划分多依据标志性事件而非状态变量的统计特征；二是机理上停留在“政策推动、技术进步、市场倒逼”的定性列举，未能量化分解三重驱动力的相对贡献及其时变特征；三是预测上鲜有基于模型的情景模拟，难以回答“未来十年标准体系将如何演化”这类前瞻性问题。本书第3—5章以标准文本数据库量化编码与状态空间模型回应这些缺口。</w:t>
      </w:r>
    </w:p>
    <w:p>
      <w:pPr>
        <w:keepNext/>
        <w:spacing w:before="160" w:after="120" w:line="360" w:lineRule="auto"/>
        <w:outlineLvl w:val="2"/>
      </w:pPr>
      <w:r>
        <w:rPr>
          <w:rFonts w:ascii="黑体" w:hAnsi="黑体" w:eastAsia="黑体"/>
          <w:sz w:val="24"/>
        </w:rPr>
        <w:t>2.3.2  绿色低碳标准体系构建研究</w:t>
      </w:r>
    </w:p>
    <w:p>
      <w:pPr>
        <w:spacing w:line="360" w:lineRule="auto" w:after="0"/>
        <w:ind w:firstLineChars="200" w:firstLine="480"/>
        <w:jc w:val="both"/>
      </w:pPr>
      <w:r>
        <w:rPr>
          <w:rFonts w:ascii="宋体" w:hAnsi="宋体" w:eastAsia="宋体"/>
          <w:sz w:val="24"/>
        </w:rPr>
        <w:t>第二支文献流聚焦标准体系的框架设计与结构优化。在总体框架层面，孙亮等，2022依据“双碳”目标要求提出了涵盖节能、非化石能源、碳核算、碳汇等领域的标准体系建设思路；《碳达峰碳中和标准体系建设指南》（国家标准化管理委员会等，2023）以“基础通用—碳减排—碳清除—市场化机制”四个一级子体系统摄63个三级子体系，构成目前最权威的官方框架。在行业与区域层面，陈昌洪，2016较早探讨了低碳农业标准化的理论依据与发展对策，而农业废弃物循环利用商业模式的成败同样有赖于统一标准与制度支撑（Donner等，2021）；曹佳彦等，2024构建了广东省产业园区绿色低碳标准体系框架，体现了地方与园区尺度的实践探索；陈丹丹等，2025对绿色金融统计标准的国际比较研究，则揭示了金融维度标准与实体维度标准衔接不足的结构性问题，而企业ESG参与及其治理基础的度量同样有赖于统一的披露规则（Cai等，2024a）。在专项工具层面，黄俊勇和刘世锦，2023总结了碳标签推广应用的国际经验并提出中国策略；蓝虹和杜彦霖，2024讨论了自愿碳交易市场的产权量化标准与生态价值实现路径；张一林等，2025则从自愿与强制碳减排市场协同的角度论证了标准统一对市场衔接的基础作用。</w:t>
      </w:r>
    </w:p>
    <w:p>
      <w:pPr>
        <w:spacing w:line="360" w:lineRule="auto" w:after="0"/>
        <w:ind w:firstLineChars="200" w:firstLine="480"/>
        <w:jc w:val="both"/>
      </w:pPr>
      <w:r>
        <w:rPr>
          <w:rFonts w:ascii="宋体" w:hAnsi="宋体" w:eastAsia="宋体"/>
          <w:sz w:val="24"/>
        </w:rPr>
        <w:t>值得注意的是，近年来一批严谨的实证研究为“标准何以重要”提供了微观证据。何凡等，2025利用物流标准化的准自然实验发现，标准化显著提升了企业全要素生产率；王明涛等，2025的研究表明，自愿性国际标准协调会系统性地改变企业的出口决策与产品结构；侯俊军等，2025基于全球标准协调的证据论证了标准化合作伙伴关系的互利共赢性质。这些研究把标准从制度背景变量提升为核心解释变量，证实了标准通过降低交易成本、传递质量信号与扩大市场半径影响微观绩效的因果链条，为绿色低碳标准体系建设的经济价值提供了可信的经验注脚。</w:t>
      </w:r>
    </w:p>
    <w:p>
      <w:pPr>
        <w:spacing w:line="360" w:lineRule="auto" w:after="0"/>
        <w:ind w:firstLineChars="200" w:firstLine="480"/>
        <w:jc w:val="both"/>
      </w:pPr>
      <w:r>
        <w:rPr>
          <w:rFonts w:ascii="宋体" w:hAnsi="宋体" w:eastAsia="宋体"/>
          <w:sz w:val="24"/>
        </w:rPr>
        <w:t>然而，从体系设计的方法论看，这一文献流存在三方面不足。其一，框架设计以经验列举与专家判断为主，模块划分和优先序缺乏来自需求侧的量化依据——哪些行业、哪些功能模块的标准缺口最大，多以定性判断代替系统测算；其二，层级结构研究薄弱，国家、行业、地方、团体四层级标准之间的分工边界与衔接机制缺乏理论刻画，实践中同一对象多头制定、交叉重复与空白并存的现象未获系统解释；其三，体系方案普遍是静态的，缺乏与技术演进和政策调整相匹配的动态更新机制设计，标准滞后于技术前沿的问题在快速迭代的绿色技术领域尤为突出。本书第8章的供需错配测算、第9章基于层次分析法的权重确定与第10章的系统动力学更新机制，正是针对这三点不足的方法论回应。</w:t>
      </w:r>
    </w:p>
    <w:p>
      <w:pPr>
        <w:keepNext/>
        <w:spacing w:before="160" w:after="120" w:line="360" w:lineRule="auto"/>
        <w:outlineLvl w:val="2"/>
      </w:pPr>
      <w:r>
        <w:rPr>
          <w:rFonts w:ascii="黑体" w:hAnsi="黑体" w:eastAsia="黑体"/>
          <w:sz w:val="24"/>
        </w:rPr>
        <w:t>2.3.3  国际衔接与适配性评估研究</w:t>
      </w:r>
    </w:p>
    <w:p>
      <w:pPr>
        <w:spacing w:line="360" w:lineRule="auto" w:after="0"/>
        <w:ind w:firstLineChars="200" w:firstLine="480"/>
        <w:jc w:val="both"/>
      </w:pPr>
      <w:r>
        <w:rPr>
          <w:rFonts w:ascii="宋体" w:hAnsi="宋体" w:eastAsia="宋体"/>
          <w:sz w:val="24"/>
        </w:rPr>
        <w:t>第三支文献流围绕标准的国际衔接与适配后果展开，其近年爆发式增长的直接诱因是欧盟碳边境调节机制。在机制设计层面，Mehling等，2019系统讨论了碳边境调节的法律架构与设计选项，为后续立法提供了学理蓝本；Cosbey等，2019梳理了实施碳边境调节的操作性难题，指出隐含碳核算方法是整个机制的技术枢纽；Böhringer等，2022评估了碳边境调节的潜在影响与挑战，强调其效果高度依赖排放核算与默认值规则的设定。这些研究共同表明：碳边境调节机制的实质是以贸易工具强制输出碳核算标准，标准之争先于税负之争。</w:t>
      </w:r>
    </w:p>
    <w:p>
      <w:pPr>
        <w:spacing w:line="360" w:lineRule="auto" w:after="0"/>
        <w:ind w:firstLineChars="200" w:firstLine="480"/>
        <w:jc w:val="both"/>
      </w:pPr>
      <w:r>
        <w:rPr>
          <w:rFonts w:ascii="宋体" w:hAnsi="宋体" w:eastAsia="宋体"/>
          <w:sz w:val="24"/>
        </w:rPr>
        <w:t>在影响测算层面，Bellora和Fontagné，2023以可计算一般均衡模型评估了CBAM各设计方案对欧盟及其伙伴的贸易与福利影响；Magacho等，2024测算了CBAM对发展中国家的出口冲击，揭示其分配后果的不对称性；Overland和Sabyrbekov，2022则从政治经济学角度识别了最可能对CBAM发起反制的国家群体。就中国而言，陈诗一和朱渝铖，2024分析了CBAM对中国绿色低碳转型的动态影响；王欢欢和吴骁骏，2025基于内生碳价的一般均衡模型定量评估了碳关税的减排与福利效应；张兵兵等，2025评估了中国碳市场扩容提价对碳关税冲击的“缓冲阀”效应；段玉婉等，2023测算了全球化背景下中国碳市场的减排和福利效应。从事实基础看，2022年中国对欧盟出口CBAM覆盖商品约205亿美元，其中钢铁约146亿美元、铝约55亿美元；六类商品虽仅占中国对欧出口总额约0.8%，但权威测算显示CBAM每年或使中国出口成本增加约14亿美元，且钢铁占受影响出口的九成以上，行业冲击高度集中。</w:t>
      </w:r>
    </w:p>
    <w:p>
      <w:pPr>
        <w:spacing w:line="360" w:lineRule="auto" w:after="0"/>
        <w:ind w:firstLineChars="200" w:firstLine="480"/>
        <w:jc w:val="both"/>
      </w:pPr>
      <w:r>
        <w:rPr>
          <w:rFonts w:ascii="宋体" w:hAnsi="宋体" w:eastAsia="宋体"/>
          <w:sz w:val="24"/>
        </w:rPr>
        <w:t>在战略应对层面，杨茹凯，2025检视了新全球化时代欧美碳边境调节机制的合规性与中国应对空间；刘长松，2024分析了全球绿色贸易发展与碳中和进程对中国的影响及应对策略；陆婷和徐奇渊，2023的企业层面研究发现，绿色贸易壁垒对企业绿色技术既有“倒逼作用”也可能形成“陷阱效应”，其净效应取决于企业的技术基础与合规能力；刘梦佳和李志永，2025则专门考察了CBAM布鲁塞尔效应的路径、效果及其限度，指出规则外溢并非自动实现，而是受制于对象国的制度回应能力。这些研究提示：标准差距的经济后果具有条件性，适配能力本身是可以通过制度建设塑造的政策变量。</w:t>
      </w:r>
    </w:p>
    <w:p>
      <w:pPr>
        <w:spacing w:line="360" w:lineRule="auto" w:after="0"/>
        <w:ind w:firstLineChars="200" w:firstLine="480"/>
        <w:jc w:val="both"/>
      </w:pPr>
      <w:r>
        <w:rPr>
          <w:rFonts w:ascii="宋体" w:hAnsi="宋体" w:eastAsia="宋体"/>
          <w:sz w:val="24"/>
        </w:rPr>
        <w:t>与标准差距直接相关的是碳定价水平与核算规则的国际落差。以2025年为例，EU ETS配额年均价约73欧元/吨，而中国全国碳市场年成交均价为62.36元/吨，价差近十倍；CBAM正式实施后，2026年第一季度证书价格为75.36欧元/吨，意味着核算规则与碳价水平的双重差距将直接折算为中国出口企业的边境成本。在核算规则层面，中国已发布GB/T 24067-2024产品碳足迹量化通则并对标ISO 14067，截至2025年6月发布9项产品碳足迹国家标准，但与欧盟要求的产品环境足迹方法学在系统边界、电力因子与数据质量要求上仍存在实质性差异。既有适配评估研究多以定性比对或个别参数对照为主，缺乏覆盖多维度、可跨行业比较的量化指数，也未形成环境影响评价领域那样整体化的累积效应评估工具（Declerck等，2023）；对“标准差距→合规成本→贸易与产出损失”传导链条的建模仍然粗糙，难以支撑精细化的政策优先序设计。</w:t>
      </w:r>
    </w:p>
    <w:p>
      <w:pPr>
        <w:spacing w:line="360" w:lineRule="auto" w:after="0"/>
        <w:ind w:firstLineChars="200" w:firstLine="480"/>
        <w:jc w:val="both"/>
      </w:pPr>
      <w:r>
        <w:rPr>
          <w:rFonts w:ascii="宋体" w:hAnsi="宋体" w:eastAsia="宋体"/>
          <w:sz w:val="24"/>
        </w:rPr>
        <w:t>综合来看，国际衔接与适配评估文献流的成果集中于碳关税税负的测算，而对更基础的问题——中国标准与国际标准的差距究竟有多大、分布在哪些维度、弥合差距的收益几何——回答不足。评估对象上重碳价轻标准，评估方法上重总量模拟轻维度分解，评估逻辑上重损失核算轻反馈优化，致使“评估”与“建设”两张皮：评估结果难以转化为标准体系优化的具体指引。本书第12章构建八维度国际标准差距指数与综合适配性指数，并将其嵌入动态投入产出模型量化贸易经济影响，第13章辅以比较制度分析与扎根理论案例研究，正是为了打通“差距识别—影响量化—体系反馈”的完整链条。</w:t>
      </w:r>
    </w:p>
    <w:p>
      <w:pPr>
        <w:keepNext/>
        <w:spacing w:before="160" w:after="120" w:line="360" w:lineRule="auto"/>
        <w:outlineLvl w:val="1"/>
      </w:pPr>
      <w:r>
        <w:rPr>
          <w:rFonts w:ascii="黑体" w:hAnsi="黑体" w:eastAsia="黑体"/>
          <w:sz w:val="28"/>
        </w:rPr>
        <w:t>2.4  文献述评与本书的切入点</w:t>
      </w:r>
    </w:p>
    <w:p>
      <w:pPr>
        <w:spacing w:line="360" w:lineRule="auto" w:after="0"/>
        <w:ind w:firstLineChars="200" w:firstLine="480"/>
        <w:jc w:val="both"/>
      </w:pPr>
      <w:r>
        <w:rPr>
          <w:rFonts w:ascii="宋体" w:hAnsi="宋体" w:eastAsia="宋体"/>
          <w:sz w:val="24"/>
        </w:rPr>
        <w:t>三大文献流从不同侧面推进了绿色低碳标准研究，其代表性成果与主要局限可归纳为表2.2。</w:t>
      </w:r>
    </w:p>
    <w:p>
      <w:pPr>
        <w:keepNext/>
        <w:spacing w:before="160" w:after="40"/>
        <w:jc w:val="center"/>
      </w:pPr>
      <w:r>
        <w:rPr>
          <w:rFonts w:ascii="黑体" w:hAnsi="黑体" w:eastAsia="黑体"/>
          <w:sz w:val="21"/>
        </w:rPr>
        <w:t>表2.2  三大文献流的代表性成果与局限</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文献流</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核心议题</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代表性成果</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主要局限</w:t>
            </w:r>
          </w:p>
        </w:tc>
      </w:tr>
      <w:tr>
        <w:tc>
          <w:tcPr>
            <w:tcW w:type="dxa" w:w="2126"/>
            <w:vAlign w:val="center"/>
          </w:tcPr>
          <w:p>
            <w:pPr>
              <w:spacing w:line="240" w:lineRule="auto" w:after="20" w:before="20"/>
              <w:jc w:val="left"/>
            </w:pPr>
            <w:r/>
            <w:r>
              <w:rPr>
                <w:rFonts w:ascii="宋体" w:hAnsi="宋体" w:eastAsia="宋体"/>
                <w:sz w:val="21"/>
              </w:rPr>
              <w:t>战略演进研究</w:t>
            </w:r>
          </w:p>
        </w:tc>
        <w:tc>
          <w:tcPr>
            <w:tcW w:type="dxa" w:w="2126"/>
            <w:vAlign w:val="center"/>
          </w:tcPr>
          <w:p>
            <w:pPr>
              <w:spacing w:line="240" w:lineRule="auto" w:after="20" w:before="20"/>
              <w:jc w:val="left"/>
            </w:pPr>
            <w:r/>
            <w:r>
              <w:rPr>
                <w:rFonts w:ascii="宋体" w:hAnsi="宋体" w:eastAsia="宋体"/>
                <w:sz w:val="21"/>
              </w:rPr>
              <w:t>标准化的历程、格局与战略取向</w:t>
            </w:r>
          </w:p>
        </w:tc>
        <w:tc>
          <w:tcPr>
            <w:tcW w:type="dxa" w:w="2126"/>
            <w:vAlign w:val="center"/>
          </w:tcPr>
          <w:p>
            <w:pPr>
              <w:spacing w:line="240" w:lineRule="auto" w:after="20" w:before="20"/>
              <w:jc w:val="left"/>
            </w:pPr>
            <w:r/>
            <w:r>
              <w:rPr>
                <w:rFonts w:ascii="宋体" w:hAnsi="宋体" w:eastAsia="宋体"/>
                <w:sz w:val="21"/>
              </w:rPr>
              <w:t>国际碳核算标准谱系梳理（陈红敏，2011；Wu等，2015）；中国“双碳”标准化战略演进（周成和钱再见，2022；舒辉和唐飞，2023）</w:t>
            </w:r>
          </w:p>
        </w:tc>
        <w:tc>
          <w:tcPr>
            <w:tcW w:type="dxa" w:w="2126"/>
            <w:vAlign w:val="center"/>
          </w:tcPr>
          <w:p>
            <w:pPr>
              <w:spacing w:line="240" w:lineRule="auto" w:after="20" w:before="20"/>
              <w:jc w:val="left"/>
            </w:pPr>
            <w:r/>
            <w:r>
              <w:rPr>
                <w:rFonts w:ascii="宋体" w:hAnsi="宋体" w:eastAsia="宋体"/>
                <w:sz w:val="21"/>
              </w:rPr>
              <w:t>以定性描述与历史梳理为主，缺乏演化机理的数理刻画与驱动力的量化分解，前瞻性情景分析不足</w:t>
            </w:r>
          </w:p>
        </w:tc>
      </w:tr>
      <w:tr>
        <w:tc>
          <w:tcPr>
            <w:tcW w:type="dxa" w:w="2126"/>
            <w:vAlign w:val="center"/>
          </w:tcPr>
          <w:p>
            <w:pPr>
              <w:spacing w:line="240" w:lineRule="auto" w:after="20" w:before="20"/>
              <w:jc w:val="left"/>
            </w:pPr>
            <w:r/>
            <w:r>
              <w:rPr>
                <w:rFonts w:ascii="宋体" w:hAnsi="宋体" w:eastAsia="宋体"/>
                <w:sz w:val="21"/>
              </w:rPr>
              <w:t>体系构建研究</w:t>
            </w:r>
          </w:p>
        </w:tc>
        <w:tc>
          <w:tcPr>
            <w:tcW w:type="dxa" w:w="2126"/>
            <w:vAlign w:val="center"/>
          </w:tcPr>
          <w:p>
            <w:pPr>
              <w:spacing w:line="240" w:lineRule="auto" w:after="20" w:before="20"/>
              <w:jc w:val="left"/>
            </w:pPr>
            <w:r/>
            <w:r>
              <w:rPr>
                <w:rFonts w:ascii="宋体" w:hAnsi="宋体" w:eastAsia="宋体"/>
                <w:sz w:val="21"/>
              </w:rPr>
              <w:t>标准体系的框架设计与结构优化</w:t>
            </w:r>
          </w:p>
        </w:tc>
        <w:tc>
          <w:tcPr>
            <w:tcW w:type="dxa" w:w="2126"/>
            <w:vAlign w:val="center"/>
          </w:tcPr>
          <w:p>
            <w:pPr>
              <w:spacing w:line="240" w:lineRule="auto" w:after="20" w:before="20"/>
              <w:jc w:val="left"/>
            </w:pPr>
            <w:r/>
            <w:r>
              <w:rPr>
                <w:rFonts w:ascii="宋体" w:hAnsi="宋体" w:eastAsia="宋体"/>
                <w:sz w:val="21"/>
              </w:rPr>
              <w:t>官方顶层框架国家标准化管理委员会等，2023；行业与区域体系方案（孙亮等，2022；曹佳彦等，2024）；标准经济效应实证（何凡等，2025；侯俊军等，2025）</w:t>
            </w:r>
          </w:p>
        </w:tc>
        <w:tc>
          <w:tcPr>
            <w:tcW w:type="dxa" w:w="2126"/>
            <w:vAlign w:val="center"/>
          </w:tcPr>
          <w:p>
            <w:pPr>
              <w:spacing w:line="240" w:lineRule="auto" w:after="20" w:before="20"/>
              <w:jc w:val="left"/>
            </w:pPr>
            <w:r/>
            <w:r>
              <w:rPr>
                <w:rFonts w:ascii="宋体" w:hAnsi="宋体" w:eastAsia="宋体"/>
                <w:sz w:val="21"/>
              </w:rPr>
              <w:t>框架设计依赖经验列举，缺乏需求侧错配识别与权重确定的量化依据；层级分工与动态更新机制研究薄弱</w:t>
            </w:r>
          </w:p>
        </w:tc>
      </w:tr>
      <w:tr>
        <w:tc>
          <w:tcPr>
            <w:tcW w:type="dxa" w:w="2126"/>
            <w:vAlign w:val="center"/>
          </w:tcPr>
          <w:p>
            <w:pPr>
              <w:spacing w:line="240" w:lineRule="auto" w:after="20" w:before="20"/>
              <w:jc w:val="left"/>
            </w:pPr>
            <w:r/>
            <w:r>
              <w:rPr>
                <w:rFonts w:ascii="宋体" w:hAnsi="宋体" w:eastAsia="宋体"/>
                <w:sz w:val="21"/>
              </w:rPr>
              <w:t>国际衔接与适配评估研究</w:t>
            </w:r>
          </w:p>
        </w:tc>
        <w:tc>
          <w:tcPr>
            <w:tcW w:type="dxa" w:w="2126"/>
            <w:vAlign w:val="center"/>
          </w:tcPr>
          <w:p>
            <w:pPr>
              <w:spacing w:line="240" w:lineRule="auto" w:after="20" w:before="20"/>
              <w:jc w:val="left"/>
            </w:pPr>
            <w:r/>
            <w:r>
              <w:rPr>
                <w:rFonts w:ascii="宋体" w:hAnsi="宋体" w:eastAsia="宋体"/>
                <w:sz w:val="21"/>
              </w:rPr>
              <w:t>标准差距、碳边境调节与贸易影响</w:t>
            </w:r>
          </w:p>
        </w:tc>
        <w:tc>
          <w:tcPr>
            <w:tcW w:type="dxa" w:w="2126"/>
            <w:vAlign w:val="center"/>
          </w:tcPr>
          <w:p>
            <w:pPr>
              <w:spacing w:line="240" w:lineRule="auto" w:after="20" w:before="20"/>
              <w:jc w:val="left"/>
            </w:pPr>
            <w:r/>
            <w:r>
              <w:rPr>
                <w:rFonts w:ascii="宋体" w:hAnsi="宋体" w:eastAsia="宋体"/>
                <w:sz w:val="21"/>
              </w:rPr>
              <w:t>CBAM设计与影响测算（Mehling等，2019；Böhringer等，2022；张兵兵等，2025）；布鲁塞尔效应与中国应对（刘梦佳和李志永，2025；杨茹凯，2025）</w:t>
            </w:r>
          </w:p>
        </w:tc>
        <w:tc>
          <w:tcPr>
            <w:tcW w:type="dxa" w:w="2126"/>
            <w:vAlign w:val="center"/>
          </w:tcPr>
          <w:p>
            <w:pPr>
              <w:spacing w:line="240" w:lineRule="auto" w:after="20" w:before="20"/>
              <w:jc w:val="left"/>
            </w:pPr>
            <w:r/>
            <w:r>
              <w:rPr>
                <w:rFonts w:ascii="宋体" w:hAnsi="宋体" w:eastAsia="宋体"/>
                <w:sz w:val="21"/>
              </w:rPr>
              <w:t>聚焦碳关税税负而非标准差距本身，缺乏多维适配指数与“差距—影响—反馈”的一体化评估框架</w:t>
            </w:r>
          </w:p>
        </w:tc>
      </w:tr>
    </w:tbl>
    <w:p>
      <w:pPr>
        <w:spacing w:after="200" w:line="240" w:lineRule="auto"/>
      </w:pPr>
      <w:r>
        <w:rPr>
          <w:rFonts w:ascii="宋体" w:hAnsi="宋体" w:eastAsia="宋体"/>
          <w:sz w:val="18"/>
        </w:rPr>
        <w:t>注：作者根据相关文献整理。表中仅列举各文献流的部分代表性文献。</w:t>
      </w:r>
    </w:p>
    <w:p>
      <w:pPr>
        <w:spacing w:line="360" w:lineRule="auto" w:after="0"/>
        <w:ind w:firstLineChars="200" w:firstLine="480"/>
        <w:jc w:val="both"/>
      </w:pPr>
      <w:r>
        <w:rPr>
          <w:rFonts w:ascii="宋体" w:hAnsi="宋体" w:eastAsia="宋体"/>
          <w:sz w:val="24"/>
        </w:rPr>
        <w:t>由表2.2可见，既有研究整体上呈现“事实丰富而机理薄弱、方案繁多而依据不足、测算细致而反馈缺位”的格局，可以概括为制约中国绿色低碳标准体系建设的“三重困境”。困境之一是演化机理不清：标准体系由谁驱动、如何驱动、标准之间存在何种互补与替代关系、技术与制度如何互馈、多主体如何互动，这些机理性问题尚缺乏统一的动态分析框架，致使政策实践只能依靠经验试错。困境之二是体系框架不明：现有框架难以回答“哪些标准最急需、各模块权重几何、层级如何分工”等设计问题。以结构性失衡为例，2025年碳排放核算类标准仅占绿色低碳国家标准的8.3%，碳吸收类仅占6.1%，与二者在“双碳”进程中的枢纽地位明显错位（详见第4章），而既有研究对此类失衡缺乏系统的识别工具。困境之三是适配评估缺失：政策适配性缺乏可分解的效率度量，国际适配性缺乏可比较的差距指数，评估结果无法反馈至体系优化，标准建设因而处于“开环”状态。</w:t>
      </w:r>
    </w:p>
    <w:p>
      <w:pPr>
        <w:spacing w:line="360" w:lineRule="auto" w:after="0"/>
        <w:ind w:firstLineChars="200" w:firstLine="480"/>
        <w:jc w:val="both"/>
      </w:pPr>
      <w:r>
        <w:rPr>
          <w:rFonts w:ascii="宋体" w:hAnsi="宋体" w:eastAsia="宋体"/>
          <w:sz w:val="24"/>
        </w:rPr>
        <w:t>针对三重困境，本书的切入点是构建“动态演化机理—体系构建—适配性评估”三位一体的闭环研究框架：以动态演化机理研究厘清标准体系形成与变迁的规律（第3—7章），回应困境一；在机理认识的基础上，以供需错配识别、层次分析权重与系统动力学机制设计完成体系构建（第8—10章），回应困境二；进而从对内政策适配与对外国际适配双向评估体系效果，并将评估结果反馈至体系优化（第11—13章），回应困境三。相较于既有研究，本书的边际贡献在于：将标准化经济学的微观机制引入标准体系的系统分析，实现三重驱动力的量化分解；将需求侧识别与多准则权重引入体系设计，实现从经验列举到量化设计的跨越；将八维度差距指数与动态投入产出模型结合，实现从税负测算到“差距—影响—反馈”一体化评估的深化。</w:t>
      </w:r>
    </w:p>
    <w:p>
      <w:pPr>
        <w:keepNext/>
        <w:spacing w:before="160" w:after="120" w:line="360" w:lineRule="auto"/>
        <w:outlineLvl w:val="1"/>
      </w:pPr>
      <w:r>
        <w:rPr>
          <w:rFonts w:ascii="黑体" w:hAnsi="黑体" w:eastAsia="黑体"/>
          <w:sz w:val="28"/>
        </w:rPr>
        <w:t>2.5  本书的理论分析框架</w:t>
      </w:r>
    </w:p>
    <w:p>
      <w:pPr>
        <w:spacing w:line="360" w:lineRule="auto" w:after="0"/>
        <w:ind w:firstLineChars="200" w:firstLine="480"/>
        <w:jc w:val="both"/>
      </w:pPr>
      <w:r>
        <w:rPr>
          <w:rFonts w:ascii="宋体" w:hAnsi="宋体" w:eastAsia="宋体"/>
          <w:sz w:val="24"/>
        </w:rPr>
        <w:t>基于上述概念界定、理论梳理与文献述评，本书构建以三大理论支柱支撑三大研究模块的理论分析框架，这一整合取向延续了作者前期以可持续溢出视角贯通循环经济、环境发展与社会地位的探索（Cai等，2025），其逻辑关系如图2.2所示。</w:t>
      </w:r>
    </w:p>
    <w:p>
      <w:pPr>
        <w:spacing w:before="120" w:after="40"/>
        <w:jc w:val="center"/>
      </w:pPr>
      <w:r>
        <w:drawing>
          <wp:inline xmlns:a="http://schemas.openxmlformats.org/drawingml/2006/main" xmlns:pic="http://schemas.openxmlformats.org/drawingml/2006/picture">
            <wp:extent cx="4860000" cy="2423278"/>
            <wp:docPr id="4" name="Picture 4"/>
            <wp:cNvGraphicFramePr>
              <a:graphicFrameLocks noChangeAspect="1"/>
            </wp:cNvGraphicFramePr>
            <a:graphic>
              <a:graphicData uri="http://schemas.openxmlformats.org/drawingml/2006/picture">
                <pic:pic>
                  <pic:nvPicPr>
                    <pic:cNvPr id="0" name="fig2_2.png"/>
                    <pic:cNvPicPr/>
                  </pic:nvPicPr>
                  <pic:blipFill>
                    <a:blip r:embed="rId12"/>
                    <a:stretch>
                      <a:fillRect/>
                    </a:stretch>
                  </pic:blipFill>
                  <pic:spPr>
                    <a:xfrm>
                      <a:off x="0" y="0"/>
                      <a:ext cx="4860000" cy="2423278"/>
                    </a:xfrm>
                    <a:prstGeom prst="rect"/>
                  </pic:spPr>
                </pic:pic>
              </a:graphicData>
            </a:graphic>
          </wp:inline>
        </w:drawing>
      </w:r>
    </w:p>
    <w:p>
      <w:pPr>
        <w:keepNext w:val="0"/>
        <w:spacing w:after="200"/>
        <w:jc w:val="center"/>
      </w:pPr>
      <w:r>
        <w:rPr>
          <w:rFonts w:ascii="黑体" w:hAnsi="黑体" w:eastAsia="黑体"/>
          <w:sz w:val="21"/>
        </w:rPr>
        <w:t>图2.2  理论基础与研究框架的逻辑关系</w:t>
      </w:r>
    </w:p>
    <w:p>
      <w:pPr>
        <w:spacing w:line="360" w:lineRule="auto" w:after="0"/>
        <w:ind w:firstLineChars="200" w:firstLine="480"/>
        <w:jc w:val="both"/>
      </w:pPr>
      <w:r>
        <w:rPr>
          <w:rFonts w:ascii="宋体" w:hAnsi="宋体" w:eastAsia="宋体"/>
          <w:sz w:val="24"/>
        </w:rPr>
        <w:t>由图2.2可见，三大理论支柱与三大研究模块之间存在明确的支撑映射。标准化经济学提供微观机制：网络外部性与标准间互补替代关系构成第5章状态空间模型交互矩阵的理论基础，标准的公共品属性与协调失灵为政府主导的四层级供给结构（第9章）提供效率依据，标准—创新互动关系则界定了技术严格程度的优化边界。演化经济学提供动态逻辑：技术范式转换与路径依赖刻画标准体系演化的方向性与惯性，技术—制度协同演进思想直接支撑第6章的互馈模型，复制动态与适应性治理分别支撑第7章的三方演化博弈与第10章的动态更新机制。制度经济学与全球治理理论提供制度视野：制度变迁理论解释标准体系建设的渐进性与主体结构，比较制度分析支撑第13章的中外体系比较，规则权力与布鲁塞尔效应理论则为第12章国际适配性评估设定了“接口兼容而非单向趋同”的评估立场。三大支柱并非各自为政，而是在“技术—制度—市场”三元互动的共同底座上相互衔接：标准化经济学刻画市场侧的采用与竞争，演化经济学刻画技术侧的变迁与共生，制度经济学刻画制度侧的建构与博弈。</w:t>
      </w:r>
    </w:p>
    <w:p>
      <w:pPr>
        <w:spacing w:line="360" w:lineRule="auto" w:after="0"/>
        <w:ind w:firstLineChars="200" w:firstLine="480"/>
        <w:jc w:val="both"/>
      </w:pPr>
      <w:r>
        <w:rPr>
          <w:rFonts w:ascii="宋体" w:hAnsi="宋体" w:eastAsia="宋体"/>
          <w:sz w:val="24"/>
        </w:rPr>
        <w:t>这一框架同时锚定了本书三项体系构建原则的理论渊源。协同互补原则源于标准间互补与替代关系的实证识别——状态空间模型显示碳排放核算标准对碳足迹认证、绿色金融等标准具有显著的正向溢出（第5章），体系设计因而必须强化基础模块、放大互补效应；动态适应原则源于技术—制度互馈机制——互馈系数在“双碳”目标提出后显著增大（第6章），表明标准体系必须内嵌随技术演进自动触发修订的适应装置；多元协调原则源于演化博弈的激励相容要求——只有当碳关税减免、竞争力提升与政府补贴构成的激励组合跨越临界阈值时，系统才能从“被动跟跑”均衡跃迁至“主动领跑”均衡（第7章），体系设计因而必须统筹政府、企业与国际组织三方的利益结构。三项原则将在第9章转化为具体的架构设计。</w:t>
      </w:r>
    </w:p>
    <w:p>
      <w:pPr>
        <w:spacing w:line="360" w:lineRule="auto" w:after="0"/>
        <w:ind w:firstLineChars="200" w:firstLine="480"/>
        <w:jc w:val="both"/>
      </w:pPr>
      <w:r>
        <w:rPr>
          <w:rFonts w:ascii="宋体" w:hAnsi="宋体" w:eastAsia="宋体"/>
          <w:sz w:val="24"/>
        </w:rPr>
        <w:t>在方法论上，本框架体现了“理论机制—数学模型—经验数据”的三层对应：每一理论机制均落实为特定的数学模型（状态空间模型、Lotka-Volterra方程组、复制动态方程、层次分析、系统动力学、随机前沿分析、动态投入产出模型），每一模型均以标准文本数据库量化编码、省级面板数据或专家评分等经验数据加以估计或校准，从而使“动态演化机理—体系构建—适配性评估”的闭环不仅在概念上成立，而且在操作上可执行、在证据上可检验。这一“机制—模型—数据”的对应关系，也是本书区别于既有定性研究的方法论标识。</w:t>
      </w:r>
    </w:p>
    <w:p>
      <w:pPr>
        <w:keepNext/>
        <w:spacing w:before="160" w:after="120" w:line="360" w:lineRule="auto"/>
        <w:outlineLvl w:val="1"/>
      </w:pPr>
      <w:r>
        <w:rPr>
          <w:rFonts w:ascii="黑体" w:hAnsi="黑体" w:eastAsia="黑体"/>
          <w:sz w:val="28"/>
        </w:rPr>
        <w:t>2.6  本章小结</w:t>
      </w:r>
    </w:p>
    <w:p>
      <w:pPr>
        <w:spacing w:line="360" w:lineRule="auto" w:after="0"/>
        <w:ind w:firstLineChars="200" w:firstLine="480"/>
        <w:jc w:val="both"/>
      </w:pPr>
      <w:r>
        <w:rPr>
          <w:rFonts w:ascii="宋体" w:hAnsi="宋体" w:eastAsia="宋体"/>
          <w:sz w:val="24"/>
        </w:rPr>
        <w:t>本章完成了全书的概念奠基、理论奠基与文献定位三项任务。在概念层面，本章将绿色低碳标准界定为以“双碳”目标为导向的规范性技术文件，将绿色低碳标准体系界定为“四层级×五模块”的制度规范系统，并对标准体系动态演化机理、政策适配性与国际适配性给出了可操作化的定义，为全书建立了统一的概念口径。在理论层面，本章梳理了三大理论支柱：标准化经济学以网络外部性、协调失灵、路径依赖与公共品属性揭示了标准的微观经济机制及政府协调的效率依据；演化经济学以惯例—选择、技术范式、协同演进与复制动态刻画了标准体系变迁的动态逻辑；制度经济学与全球治理理论以制度变迁、制度互补性、规则权力与布鲁塞尔效应阐明了标准背后的制度结构与国际权力格局。</w:t>
      </w:r>
    </w:p>
    <w:p>
      <w:pPr>
        <w:spacing w:line="360" w:lineRule="auto" w:after="0"/>
        <w:ind w:firstLineChars="200" w:firstLine="480"/>
        <w:jc w:val="both"/>
      </w:pPr>
      <w:r>
        <w:rPr>
          <w:rFonts w:ascii="宋体" w:hAnsi="宋体" w:eastAsia="宋体"/>
          <w:sz w:val="24"/>
        </w:rPr>
        <w:t>在文献层面，本章沿战略演进、体系构建、国际衔接与适配评估三大文献流系统评述了国内外研究进展：战略演进研究积累了丰富的历史事实但缺乏机理的数理刻画，体系构建研究提出了多样的框架方案但缺乏量化设计依据，适配评估研究细化了碳关税测算但缺乏标准差距的多维度量与反馈机制。三大文献流的局限共同构成“演化机理不清—体系框架不明—适配评估缺失”的三重困境，这正是本书选题的学术缝隙所在。</w:t>
      </w:r>
    </w:p>
    <w:p>
      <w:pPr>
        <w:spacing w:line="360" w:lineRule="auto" w:after="0"/>
        <w:ind w:firstLineChars="200" w:firstLine="480"/>
        <w:jc w:val="both"/>
      </w:pPr>
      <w:r>
        <w:rPr>
          <w:rFonts w:ascii="宋体" w:hAnsi="宋体" w:eastAsia="宋体"/>
          <w:sz w:val="24"/>
        </w:rPr>
        <w:t>在此基础上，本章提出了“动态演化机理—体系构建—适配性评估”三位一体的理论分析框架，明确了三大理论支柱对三大研究模块的支撑映射、三项体系构建原则的理论渊源以及“机制—模型—数据”的方法论对应关系。依循这一框架，下一章将首先进入演化机理模块的事实层面，考察国际绿色低碳标准化的演进历程与全球格局，为中国标准体系的演化分析提供国际参照系。</w:t>
      </w:r>
    </w:p>
    <w:p>
      <w:r>
        <w:br w:type="page"/>
      </w:r>
    </w:p>
    <w:p>
      <w:pPr>
        <w:keepNext/>
        <w:spacing w:before="240" w:after="160" w:line="360" w:lineRule="auto"/>
        <w:jc w:val="center"/>
        <w:outlineLvl w:val="0"/>
      </w:pPr>
      <w:r>
        <w:rPr>
          <w:rFonts w:ascii="黑体" w:hAnsi="黑体" w:eastAsia="黑体"/>
          <w:b/>
          <w:sz w:val="30"/>
        </w:rPr>
        <w:t>第3章  国际绿色低碳标准化的演进历程与全球格局</w:t>
      </w:r>
    </w:p>
    <w:p>
      <w:pPr>
        <w:spacing w:line="360" w:lineRule="auto" w:after="0"/>
        <w:ind w:firstLineChars="200" w:firstLine="480"/>
        <w:jc w:val="both"/>
      </w:pPr>
      <w:r>
        <w:rPr>
          <w:rFonts w:ascii="宋体" w:hAnsi="宋体" w:eastAsia="宋体"/>
          <w:sz w:val="24"/>
        </w:rPr>
        <w:t>考察中国绿色低碳标准体系的动态演化，必须首先厘清其所嵌入的国际制度环境。绿色低碳标准从来不是在一国疆域内自我封闭生长的技术规范，而是全球气候治理体系、国际贸易规则与产业竞争格局共同塑造的制度产物：京都机制创造了碳核算的最初制度需求，欧盟碳市场把核算标准锻造为合规基础设施，碳边境调节机制则将标准差距直接转化为出口成本。可以说，国际绿色低碳标准化的每一次范式转换，都会通过贸易、投资与政策学习渠道传导至中国，构成中国标准体系演化的外部驱动力与参照基准（舒辉和唐飞，2023；郭晓娜等，2024）。本章的任务，是在全书“动态演化机理”模块中充当国际事实底座：系统梳理1997年以来国际绿色低碳标准化的演进历程，刻画主要经济体的战略分野与国际标准化组织的角色分工，进而提炼全球格局背后的规则权力生成逻辑，为第4章考察中国的演进历程、第5—7章构建演化模型以及第12章评估国际适配性提供历史坐标与制度参照。</w:t>
      </w:r>
    </w:p>
    <w:p>
      <w:pPr>
        <w:spacing w:line="360" w:lineRule="auto" w:after="0"/>
        <w:ind w:firstLineChars="200" w:firstLine="480"/>
        <w:jc w:val="both"/>
      </w:pPr>
      <w:r>
        <w:rPr>
          <w:rFonts w:ascii="宋体" w:hAnsi="宋体" w:eastAsia="宋体"/>
          <w:sz w:val="24"/>
        </w:rPr>
        <w:t>在结构安排上，本章沿“演进历程—战略比较—组织角色—权力逻辑”的线索展开。3.1节依据主导主体、规则形态与约束强度三个维度，将国际绿色低碳标准化划分为技术规范确立（1997—2004年）、制度化规制（2005—2020年）与战略工具化（2021年至今）三个阶段，逐一展开关键节点的史实与制度细节；3.2节比较欧盟、美国、日本、东盟及广大发展中经济体的标准化战略，剖析“领先—控制”“领先—争夺”“跟随—突破”等类型化路径；3.3节转向国际标准化组织的微观视角，梳理ISO/TC 207、IEC、GHG Protocol体系与国际可持续准则理事会（ISSB）的角色及ISO 14064/14067/14068标准谱系；3.4节提出“技术层—制度层—战略层”的规则权力递进生成框架，研判全球“三足鼎立”态势与中国所处的位置；3.5节为本章小结。本章所引宏观数字均取自条约文本、官方统计与权威机构公开发布，并注明来源。</w:t>
      </w:r>
    </w:p>
    <w:p>
      <w:pPr>
        <w:keepNext/>
        <w:spacing w:before="160" w:after="120" w:line="360" w:lineRule="auto"/>
        <w:outlineLvl w:val="1"/>
      </w:pPr>
      <w:r>
        <w:rPr>
          <w:rFonts w:ascii="黑体" w:hAnsi="黑体" w:eastAsia="黑体"/>
          <w:sz w:val="28"/>
        </w:rPr>
        <w:t>3.1  国际绿色低碳标准化的三阶段演进历程</w:t>
      </w:r>
    </w:p>
    <w:p>
      <w:pPr>
        <w:spacing w:line="360" w:lineRule="auto" w:after="0"/>
        <w:ind w:firstLineChars="200" w:firstLine="480"/>
        <w:jc w:val="both"/>
      </w:pPr>
      <w:r>
        <w:rPr>
          <w:rFonts w:ascii="宋体" w:hAnsi="宋体" w:eastAsia="宋体"/>
          <w:sz w:val="24"/>
        </w:rPr>
        <w:t>对演进历程进行阶段划分，需要明确的分期标准。本书综合三个维度：一是主导主体，即推动标准生成的核心行动者是技术专家共同体、主权国家监管者还是战略竞争者；二是规则形态，即标准表现为自愿性技术规范、强制性制度规制还是与贸易和产业政策绑定的战略工具；三是约束强度，即标准对企业行为的约束是声誉性的、合规性的还是直接的成本性的。据此，国际绿色低碳标准化大体经历了三个逻辑递进的阶段：1997—2004年的技术规范确立阶段，以《京都议定书》创设制度需求、GHG Protocol与ISO 14064系列奠定方法论底座为标志；2005—2020年的制度化规制阶段，以欧盟碳排放交易体系（EU ETS）运行、责任投资与气候信息披露框架成型、《巴黎协定》确立全球治理新架构为标志；2021年至今的战略工具化阶段，以CBAM、美国《通胀削减法案》（IRA）、ISSB准则与欧盟新电池法为标志。三个阶段并非彼此替代，而是层层叠加：后一阶段以前一阶段的技术与制度积累为前提，又赋予其新的功能定位（He等，2022；庄贵阳和王思博，2023）。图3.1直观呈现了这一演进脉络。</w:t>
      </w:r>
    </w:p>
    <w:p>
      <w:pPr>
        <w:spacing w:before="120" w:after="40"/>
        <w:jc w:val="center"/>
      </w:pPr>
      <w:r>
        <w:drawing>
          <wp:inline xmlns:a="http://schemas.openxmlformats.org/drawingml/2006/main" xmlns:pic="http://schemas.openxmlformats.org/drawingml/2006/picture">
            <wp:extent cx="4860000" cy="2158385"/>
            <wp:docPr id="5" name="Picture 5"/>
            <wp:cNvGraphicFramePr>
              <a:graphicFrameLocks noChangeAspect="1"/>
            </wp:cNvGraphicFramePr>
            <a:graphic>
              <a:graphicData uri="http://schemas.openxmlformats.org/drawingml/2006/picture">
                <pic:pic>
                  <pic:nvPicPr>
                    <pic:cNvPr id="0" name="fig3_1.png"/>
                    <pic:cNvPicPr/>
                  </pic:nvPicPr>
                  <pic:blipFill>
                    <a:blip r:embed="rId13"/>
                    <a:stretch>
                      <a:fillRect/>
                    </a:stretch>
                  </pic:blipFill>
                  <pic:spPr>
                    <a:xfrm>
                      <a:off x="0" y="0"/>
                      <a:ext cx="4860000" cy="2158385"/>
                    </a:xfrm>
                    <a:prstGeom prst="rect"/>
                  </pic:spPr>
                </pic:pic>
              </a:graphicData>
            </a:graphic>
          </wp:inline>
        </w:drawing>
      </w:r>
    </w:p>
    <w:p>
      <w:pPr>
        <w:keepNext w:val="0"/>
        <w:spacing w:after="200"/>
        <w:jc w:val="center"/>
      </w:pPr>
      <w:r>
        <w:rPr>
          <w:rFonts w:ascii="黑体" w:hAnsi="黑体" w:eastAsia="黑体"/>
          <w:sz w:val="21"/>
        </w:rPr>
        <w:t>图3.1  国际绿色低碳标准化演进的三阶段历程</w:t>
      </w:r>
    </w:p>
    <w:p>
      <w:pPr>
        <w:spacing w:line="360" w:lineRule="auto" w:after="0"/>
        <w:ind w:firstLineChars="200" w:firstLine="480"/>
        <w:jc w:val="both"/>
      </w:pPr>
      <w:r>
        <w:rPr>
          <w:rFonts w:ascii="宋体" w:hAnsi="宋体" w:eastAsia="宋体"/>
          <w:sz w:val="24"/>
        </w:rPr>
        <w:t>由图3.1可见，国际绿色低碳标准化呈现出清晰的“接力”结构：1997年《京都议定书》在需求侧打开制度空间之后，2001年GHG Protocol首版与2006年ISO 14064系列相继完成企业与组织层面碳核算的方法论奠基；2005年EU ETS启动使核算标准第一次与真金白银的配额资产绑定，2015年《巴黎协定》与TCFD的同年问世，则分别从国家承诺与金融披露两端拓宽了标准的制度嵌入面；2021年之后，CBAM与ISSB在时间轴上的密集出现，标志着标准化的重心从“建立共同语言”转向“争夺规则权力”。值得注意的是，三个阶段的时间间隔不断缩短、事件密度不断提高，反映出绿色低碳标准化已由缓慢的技术积累过程转变为快速迭代的制度竞争过程。表3.1以大事记形式完整列出了各阶段的关键节点。</w:t>
      </w:r>
    </w:p>
    <w:p>
      <w:pPr>
        <w:keepNext/>
        <w:spacing w:before="160" w:after="40"/>
        <w:jc w:val="center"/>
      </w:pPr>
      <w:r>
        <w:rPr>
          <w:rFonts w:ascii="黑体" w:hAnsi="黑体" w:eastAsia="黑体"/>
          <w:sz w:val="21"/>
        </w:rPr>
        <w:t>表3.1  国际绿色低碳规则演进历程大事记（1992—2026）</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时间</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关键事件</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规则层面</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主要内容与意义</w:t>
            </w:r>
          </w:p>
        </w:tc>
      </w:tr>
      <w:tr>
        <w:tc>
          <w:tcPr>
            <w:tcW w:type="dxa" w:w="2126"/>
            <w:vAlign w:val="center"/>
          </w:tcPr>
          <w:p>
            <w:pPr>
              <w:spacing w:line="240" w:lineRule="auto" w:after="20" w:before="20"/>
              <w:jc w:val="left"/>
            </w:pPr>
            <w:r/>
            <w:r>
              <w:rPr>
                <w:rFonts w:ascii="宋体" w:hAnsi="宋体" w:eastAsia="宋体"/>
                <w:sz w:val="21"/>
              </w:rPr>
              <w:t>1992年6月</w:t>
            </w:r>
          </w:p>
        </w:tc>
        <w:tc>
          <w:tcPr>
            <w:tcW w:type="dxa" w:w="2126"/>
            <w:vAlign w:val="center"/>
          </w:tcPr>
          <w:p>
            <w:pPr>
              <w:spacing w:line="240" w:lineRule="auto" w:after="20" w:before="20"/>
              <w:jc w:val="left"/>
            </w:pPr>
            <w:r/>
            <w:r>
              <w:rPr>
                <w:rFonts w:ascii="宋体" w:hAnsi="宋体" w:eastAsia="宋体"/>
                <w:sz w:val="21"/>
              </w:rPr>
              <w:t>《联合国气候变化框架公约》开放签署</w:t>
            </w:r>
          </w:p>
        </w:tc>
        <w:tc>
          <w:tcPr>
            <w:tcW w:type="dxa" w:w="2126"/>
            <w:vAlign w:val="center"/>
          </w:tcPr>
          <w:p>
            <w:pPr>
              <w:spacing w:line="240" w:lineRule="auto" w:after="20" w:before="20"/>
              <w:jc w:val="center"/>
            </w:pPr>
            <w:r/>
            <w:r>
              <w:rPr>
                <w:rFonts w:ascii="宋体" w:hAnsi="宋体" w:eastAsia="宋体"/>
                <w:sz w:val="21"/>
              </w:rPr>
              <w:t>制度层</w:t>
            </w:r>
          </w:p>
        </w:tc>
        <w:tc>
          <w:tcPr>
            <w:tcW w:type="dxa" w:w="2126"/>
            <w:vAlign w:val="center"/>
          </w:tcPr>
          <w:p>
            <w:pPr>
              <w:spacing w:line="240" w:lineRule="auto" w:after="20" w:before="20"/>
              <w:jc w:val="left"/>
            </w:pPr>
            <w:r/>
            <w:r>
              <w:rPr>
                <w:rFonts w:ascii="宋体" w:hAnsi="宋体" w:eastAsia="宋体"/>
                <w:sz w:val="21"/>
              </w:rPr>
              <w:t>确立“共同但有区别的责任”原则，搭建全球气候治理的条约框架</w:t>
            </w:r>
          </w:p>
        </w:tc>
      </w:tr>
      <w:tr>
        <w:tc>
          <w:tcPr>
            <w:tcW w:type="dxa" w:w="2126"/>
            <w:vAlign w:val="center"/>
          </w:tcPr>
          <w:p>
            <w:pPr>
              <w:spacing w:line="240" w:lineRule="auto" w:after="20" w:before="20"/>
              <w:jc w:val="left"/>
            </w:pPr>
            <w:r/>
            <w:r>
              <w:rPr>
                <w:rFonts w:ascii="宋体" w:hAnsi="宋体" w:eastAsia="宋体"/>
                <w:sz w:val="21"/>
              </w:rPr>
              <w:t>1997年12月</w:t>
            </w:r>
          </w:p>
        </w:tc>
        <w:tc>
          <w:tcPr>
            <w:tcW w:type="dxa" w:w="2126"/>
            <w:vAlign w:val="center"/>
          </w:tcPr>
          <w:p>
            <w:pPr>
              <w:spacing w:line="240" w:lineRule="auto" w:after="20" w:before="20"/>
              <w:jc w:val="left"/>
            </w:pPr>
            <w:r/>
            <w:r>
              <w:rPr>
                <w:rFonts w:ascii="宋体" w:hAnsi="宋体" w:eastAsia="宋体"/>
                <w:sz w:val="21"/>
              </w:rPr>
              <w:t>《京都议定书》在COP3通过</w:t>
            </w:r>
          </w:p>
        </w:tc>
        <w:tc>
          <w:tcPr>
            <w:tcW w:type="dxa" w:w="2126"/>
            <w:vAlign w:val="center"/>
          </w:tcPr>
          <w:p>
            <w:pPr>
              <w:spacing w:line="240" w:lineRule="auto" w:after="20" w:before="20"/>
              <w:jc w:val="center"/>
            </w:pPr>
            <w:r/>
            <w:r>
              <w:rPr>
                <w:rFonts w:ascii="宋体" w:hAnsi="宋体" w:eastAsia="宋体"/>
                <w:sz w:val="21"/>
              </w:rPr>
              <w:t>制度层</w:t>
            </w:r>
          </w:p>
        </w:tc>
        <w:tc>
          <w:tcPr>
            <w:tcW w:type="dxa" w:w="2126"/>
            <w:vAlign w:val="center"/>
          </w:tcPr>
          <w:p>
            <w:pPr>
              <w:spacing w:line="240" w:lineRule="auto" w:after="20" w:before="20"/>
              <w:jc w:val="left"/>
            </w:pPr>
            <w:r/>
            <w:r>
              <w:rPr>
                <w:rFonts w:ascii="宋体" w:hAnsi="宋体" w:eastAsia="宋体"/>
                <w:sz w:val="21"/>
              </w:rPr>
              <w:t>首次为发达国家设定具有法律约束力的量化减排义务，创设三种灵活履约机制</w:t>
            </w:r>
          </w:p>
        </w:tc>
      </w:tr>
      <w:tr>
        <w:tc>
          <w:tcPr>
            <w:tcW w:type="dxa" w:w="2126"/>
            <w:vAlign w:val="center"/>
          </w:tcPr>
          <w:p>
            <w:pPr>
              <w:spacing w:line="240" w:lineRule="auto" w:after="20" w:before="20"/>
              <w:jc w:val="left"/>
            </w:pPr>
            <w:r/>
            <w:r>
              <w:rPr>
                <w:rFonts w:ascii="宋体" w:hAnsi="宋体" w:eastAsia="宋体"/>
                <w:sz w:val="21"/>
              </w:rPr>
              <w:t>1998年</w:t>
            </w:r>
          </w:p>
        </w:tc>
        <w:tc>
          <w:tcPr>
            <w:tcW w:type="dxa" w:w="2126"/>
            <w:vAlign w:val="center"/>
          </w:tcPr>
          <w:p>
            <w:pPr>
              <w:spacing w:line="240" w:lineRule="auto" w:after="20" w:before="20"/>
              <w:jc w:val="left"/>
            </w:pPr>
            <w:r/>
            <w:r>
              <w:rPr>
                <w:rFonts w:ascii="宋体" w:hAnsi="宋体" w:eastAsia="宋体"/>
                <w:sz w:val="21"/>
              </w:rPr>
              <w:t>世界资源研究所（WRI）与世界可持续发展工商理事会（WBCSD）启动温室气体核算体系研制</w:t>
            </w:r>
          </w:p>
        </w:tc>
        <w:tc>
          <w:tcPr>
            <w:tcW w:type="dxa" w:w="2126"/>
            <w:vAlign w:val="center"/>
          </w:tcPr>
          <w:p>
            <w:pPr>
              <w:spacing w:line="240" w:lineRule="auto" w:after="20" w:before="20"/>
              <w:jc w:val="center"/>
            </w:pPr>
            <w:r/>
            <w:r>
              <w:rPr>
                <w:rFonts w:ascii="宋体" w:hAnsi="宋体" w:eastAsia="宋体"/>
                <w:sz w:val="21"/>
              </w:rPr>
              <w:t>技术层</w:t>
            </w:r>
          </w:p>
        </w:tc>
        <w:tc>
          <w:tcPr>
            <w:tcW w:type="dxa" w:w="2126"/>
            <w:vAlign w:val="center"/>
          </w:tcPr>
          <w:p>
            <w:pPr>
              <w:spacing w:line="240" w:lineRule="auto" w:after="20" w:before="20"/>
              <w:jc w:val="left"/>
            </w:pPr>
            <w:r/>
            <w:r>
              <w:rPr>
                <w:rFonts w:ascii="宋体" w:hAnsi="宋体" w:eastAsia="宋体"/>
                <w:sz w:val="21"/>
              </w:rPr>
              <w:t>开启企业碳核算方法论的系统化进程</w:t>
            </w:r>
          </w:p>
        </w:tc>
      </w:tr>
      <w:tr>
        <w:tc>
          <w:tcPr>
            <w:tcW w:type="dxa" w:w="2126"/>
            <w:vAlign w:val="center"/>
          </w:tcPr>
          <w:p>
            <w:pPr>
              <w:spacing w:line="240" w:lineRule="auto" w:after="20" w:before="20"/>
              <w:jc w:val="left"/>
            </w:pPr>
            <w:r/>
            <w:r>
              <w:rPr>
                <w:rFonts w:ascii="宋体" w:hAnsi="宋体" w:eastAsia="宋体"/>
                <w:sz w:val="21"/>
              </w:rPr>
              <w:t>2001年</w:t>
            </w:r>
          </w:p>
        </w:tc>
        <w:tc>
          <w:tcPr>
            <w:tcW w:type="dxa" w:w="2126"/>
            <w:vAlign w:val="center"/>
          </w:tcPr>
          <w:p>
            <w:pPr>
              <w:spacing w:line="240" w:lineRule="auto" w:after="20" w:before="20"/>
              <w:jc w:val="left"/>
            </w:pPr>
            <w:r/>
            <w:r>
              <w:rPr>
                <w:rFonts w:ascii="宋体" w:hAnsi="宋体" w:eastAsia="宋体"/>
                <w:sz w:val="21"/>
              </w:rPr>
              <w:t>GHG Protocol《企业核算与报告标准》首版发布</w:t>
            </w:r>
          </w:p>
        </w:tc>
        <w:tc>
          <w:tcPr>
            <w:tcW w:type="dxa" w:w="2126"/>
            <w:vAlign w:val="center"/>
          </w:tcPr>
          <w:p>
            <w:pPr>
              <w:spacing w:line="240" w:lineRule="auto" w:after="20" w:before="20"/>
              <w:jc w:val="center"/>
            </w:pPr>
            <w:r/>
            <w:r>
              <w:rPr>
                <w:rFonts w:ascii="宋体" w:hAnsi="宋体" w:eastAsia="宋体"/>
                <w:sz w:val="21"/>
              </w:rPr>
              <w:t>技术层</w:t>
            </w:r>
          </w:p>
        </w:tc>
        <w:tc>
          <w:tcPr>
            <w:tcW w:type="dxa" w:w="2126"/>
            <w:vAlign w:val="center"/>
          </w:tcPr>
          <w:p>
            <w:pPr>
              <w:spacing w:line="240" w:lineRule="auto" w:after="20" w:before="20"/>
              <w:jc w:val="left"/>
            </w:pPr>
            <w:r/>
            <w:r>
              <w:rPr>
                <w:rFonts w:ascii="宋体" w:hAnsi="宋体" w:eastAsia="宋体"/>
                <w:sz w:val="21"/>
              </w:rPr>
              <w:t>确立范围一、范围二、范围三核算框架，成为全球企业碳核算的事实标准</w:t>
            </w:r>
          </w:p>
        </w:tc>
      </w:tr>
      <w:tr>
        <w:tc>
          <w:tcPr>
            <w:tcW w:type="dxa" w:w="2126"/>
            <w:vAlign w:val="center"/>
          </w:tcPr>
          <w:p>
            <w:pPr>
              <w:spacing w:line="240" w:lineRule="auto" w:after="20" w:before="20"/>
              <w:jc w:val="left"/>
            </w:pPr>
            <w:r/>
            <w:r>
              <w:rPr>
                <w:rFonts w:ascii="宋体" w:hAnsi="宋体" w:eastAsia="宋体"/>
                <w:sz w:val="21"/>
              </w:rPr>
              <w:t>2005年</w:t>
            </w:r>
          </w:p>
        </w:tc>
        <w:tc>
          <w:tcPr>
            <w:tcW w:type="dxa" w:w="2126"/>
            <w:vAlign w:val="center"/>
          </w:tcPr>
          <w:p>
            <w:pPr>
              <w:spacing w:line="240" w:lineRule="auto" w:after="20" w:before="20"/>
              <w:jc w:val="left"/>
            </w:pPr>
            <w:r/>
            <w:r>
              <w:rPr>
                <w:rFonts w:ascii="宋体" w:hAnsi="宋体" w:eastAsia="宋体"/>
                <w:sz w:val="21"/>
              </w:rPr>
              <w:t>《京都议定书》生效；欧盟碳排放交易体系（EU ETS）启动</w:t>
            </w:r>
          </w:p>
        </w:tc>
        <w:tc>
          <w:tcPr>
            <w:tcW w:type="dxa" w:w="2126"/>
            <w:vAlign w:val="center"/>
          </w:tcPr>
          <w:p>
            <w:pPr>
              <w:spacing w:line="240" w:lineRule="auto" w:after="20" w:before="20"/>
              <w:jc w:val="center"/>
            </w:pPr>
            <w:r/>
            <w:r>
              <w:rPr>
                <w:rFonts w:ascii="宋体" w:hAnsi="宋体" w:eastAsia="宋体"/>
                <w:sz w:val="21"/>
              </w:rPr>
              <w:t>制度层</w:t>
            </w:r>
          </w:p>
        </w:tc>
        <w:tc>
          <w:tcPr>
            <w:tcW w:type="dxa" w:w="2126"/>
            <w:vAlign w:val="center"/>
          </w:tcPr>
          <w:p>
            <w:pPr>
              <w:spacing w:line="240" w:lineRule="auto" w:after="20" w:before="20"/>
              <w:jc w:val="left"/>
            </w:pPr>
            <w:r/>
            <w:r>
              <w:rPr>
                <w:rFonts w:ascii="宋体" w:hAnsi="宋体" w:eastAsia="宋体"/>
                <w:sz w:val="21"/>
              </w:rPr>
              <w:t>全球首个跨国强制性总量控制与交易体系投入运行</w:t>
            </w:r>
          </w:p>
        </w:tc>
      </w:tr>
      <w:tr>
        <w:tc>
          <w:tcPr>
            <w:tcW w:type="dxa" w:w="2126"/>
            <w:vAlign w:val="center"/>
          </w:tcPr>
          <w:p>
            <w:pPr>
              <w:spacing w:line="240" w:lineRule="auto" w:after="20" w:before="20"/>
              <w:jc w:val="left"/>
            </w:pPr>
            <w:r/>
            <w:r>
              <w:rPr>
                <w:rFonts w:ascii="宋体" w:hAnsi="宋体" w:eastAsia="宋体"/>
                <w:sz w:val="21"/>
              </w:rPr>
              <w:t>2006年</w:t>
            </w:r>
          </w:p>
        </w:tc>
        <w:tc>
          <w:tcPr>
            <w:tcW w:type="dxa" w:w="2126"/>
            <w:vAlign w:val="center"/>
          </w:tcPr>
          <w:p>
            <w:pPr>
              <w:spacing w:line="240" w:lineRule="auto" w:after="20" w:before="20"/>
              <w:jc w:val="left"/>
            </w:pPr>
            <w:r/>
            <w:r>
              <w:rPr>
                <w:rFonts w:ascii="宋体" w:hAnsi="宋体" w:eastAsia="宋体"/>
                <w:sz w:val="21"/>
              </w:rPr>
              <w:t>ISO 14064系列标准发布；联合国责任投资原则（UNPRI）发布</w:t>
            </w:r>
          </w:p>
        </w:tc>
        <w:tc>
          <w:tcPr>
            <w:tcW w:type="dxa" w:w="2126"/>
            <w:vAlign w:val="center"/>
          </w:tcPr>
          <w:p>
            <w:pPr>
              <w:spacing w:line="240" w:lineRule="auto" w:after="20" w:before="20"/>
              <w:jc w:val="center"/>
            </w:pPr>
            <w:r/>
            <w:r>
              <w:rPr>
                <w:rFonts w:ascii="宋体" w:hAnsi="宋体" w:eastAsia="宋体"/>
                <w:sz w:val="21"/>
              </w:rPr>
              <w:t>技术层/制度层</w:t>
            </w:r>
          </w:p>
        </w:tc>
        <w:tc>
          <w:tcPr>
            <w:tcW w:type="dxa" w:w="2126"/>
            <w:vAlign w:val="center"/>
          </w:tcPr>
          <w:p>
            <w:pPr>
              <w:spacing w:line="240" w:lineRule="auto" w:after="20" w:before="20"/>
              <w:jc w:val="left"/>
            </w:pPr>
            <w:r/>
            <w:r>
              <w:rPr>
                <w:rFonts w:ascii="宋体" w:hAnsi="宋体" w:eastAsia="宋体"/>
                <w:sz w:val="21"/>
              </w:rPr>
              <w:t>碳核算与核查进入正式国际标准序列；责任投资制度化起步</w:t>
            </w:r>
          </w:p>
        </w:tc>
      </w:tr>
      <w:tr>
        <w:tc>
          <w:tcPr>
            <w:tcW w:type="dxa" w:w="2126"/>
            <w:vAlign w:val="center"/>
          </w:tcPr>
          <w:p>
            <w:pPr>
              <w:spacing w:line="240" w:lineRule="auto" w:after="20" w:before="20"/>
              <w:jc w:val="left"/>
            </w:pPr>
            <w:r/>
            <w:r>
              <w:rPr>
                <w:rFonts w:ascii="宋体" w:hAnsi="宋体" w:eastAsia="宋体"/>
                <w:sz w:val="21"/>
              </w:rPr>
              <w:t>2008年</w:t>
            </w:r>
          </w:p>
        </w:tc>
        <w:tc>
          <w:tcPr>
            <w:tcW w:type="dxa" w:w="2126"/>
            <w:vAlign w:val="center"/>
          </w:tcPr>
          <w:p>
            <w:pPr>
              <w:spacing w:line="240" w:lineRule="auto" w:after="20" w:before="20"/>
              <w:jc w:val="left"/>
            </w:pPr>
            <w:r/>
            <w:r>
              <w:rPr>
                <w:rFonts w:ascii="宋体" w:hAnsi="宋体" w:eastAsia="宋体"/>
                <w:sz w:val="21"/>
              </w:rPr>
              <w:t>英国PAS 2050规范发布</w:t>
            </w:r>
          </w:p>
        </w:tc>
        <w:tc>
          <w:tcPr>
            <w:tcW w:type="dxa" w:w="2126"/>
            <w:vAlign w:val="center"/>
          </w:tcPr>
          <w:p>
            <w:pPr>
              <w:spacing w:line="240" w:lineRule="auto" w:after="20" w:before="20"/>
              <w:jc w:val="center"/>
            </w:pPr>
            <w:r/>
            <w:r>
              <w:rPr>
                <w:rFonts w:ascii="宋体" w:hAnsi="宋体" w:eastAsia="宋体"/>
                <w:sz w:val="21"/>
              </w:rPr>
              <w:t>技术层</w:t>
            </w:r>
          </w:p>
        </w:tc>
        <w:tc>
          <w:tcPr>
            <w:tcW w:type="dxa" w:w="2126"/>
            <w:vAlign w:val="center"/>
          </w:tcPr>
          <w:p>
            <w:pPr>
              <w:spacing w:line="240" w:lineRule="auto" w:after="20" w:before="20"/>
              <w:jc w:val="left"/>
            </w:pPr>
            <w:r/>
            <w:r>
              <w:rPr>
                <w:rFonts w:ascii="宋体" w:hAnsi="宋体" w:eastAsia="宋体"/>
                <w:sz w:val="21"/>
              </w:rPr>
              <w:t>全球首个产品碳足迹评价规范，生命周期方法进入标准化轨道</w:t>
            </w:r>
          </w:p>
        </w:tc>
      </w:tr>
      <w:tr>
        <w:tc>
          <w:tcPr>
            <w:tcW w:type="dxa" w:w="2126"/>
            <w:vAlign w:val="center"/>
          </w:tcPr>
          <w:p>
            <w:pPr>
              <w:spacing w:line="240" w:lineRule="auto" w:after="20" w:before="20"/>
              <w:jc w:val="left"/>
            </w:pPr>
            <w:r/>
            <w:r>
              <w:rPr>
                <w:rFonts w:ascii="宋体" w:hAnsi="宋体" w:eastAsia="宋体"/>
                <w:sz w:val="21"/>
              </w:rPr>
              <w:t>2011年</w:t>
            </w:r>
          </w:p>
        </w:tc>
        <w:tc>
          <w:tcPr>
            <w:tcW w:type="dxa" w:w="2126"/>
            <w:vAlign w:val="center"/>
          </w:tcPr>
          <w:p>
            <w:pPr>
              <w:spacing w:line="240" w:lineRule="auto" w:after="20" w:before="20"/>
              <w:jc w:val="left"/>
            </w:pPr>
            <w:r/>
            <w:r>
              <w:rPr>
                <w:rFonts w:ascii="宋体" w:hAnsi="宋体" w:eastAsia="宋体"/>
                <w:sz w:val="21"/>
              </w:rPr>
              <w:t>GHG Protocol发布范围三标准与产品标准</w:t>
            </w:r>
          </w:p>
        </w:tc>
        <w:tc>
          <w:tcPr>
            <w:tcW w:type="dxa" w:w="2126"/>
            <w:vAlign w:val="center"/>
          </w:tcPr>
          <w:p>
            <w:pPr>
              <w:spacing w:line="240" w:lineRule="auto" w:after="20" w:before="20"/>
              <w:jc w:val="center"/>
            </w:pPr>
            <w:r/>
            <w:r>
              <w:rPr>
                <w:rFonts w:ascii="宋体" w:hAnsi="宋体" w:eastAsia="宋体"/>
                <w:sz w:val="21"/>
              </w:rPr>
              <w:t>技术层</w:t>
            </w:r>
          </w:p>
        </w:tc>
        <w:tc>
          <w:tcPr>
            <w:tcW w:type="dxa" w:w="2126"/>
            <w:vAlign w:val="center"/>
          </w:tcPr>
          <w:p>
            <w:pPr>
              <w:spacing w:line="240" w:lineRule="auto" w:after="20" w:before="20"/>
              <w:jc w:val="left"/>
            </w:pPr>
            <w:r/>
            <w:r>
              <w:rPr>
                <w:rFonts w:ascii="宋体" w:hAnsi="宋体" w:eastAsia="宋体"/>
                <w:sz w:val="21"/>
              </w:rPr>
              <w:t>核算边界扩展至价值链与产品全生命周期</w:t>
            </w:r>
          </w:p>
        </w:tc>
      </w:tr>
      <w:tr>
        <w:tc>
          <w:tcPr>
            <w:tcW w:type="dxa" w:w="2126"/>
            <w:vAlign w:val="center"/>
          </w:tcPr>
          <w:p>
            <w:pPr>
              <w:spacing w:line="240" w:lineRule="auto" w:after="20" w:before="20"/>
              <w:jc w:val="left"/>
            </w:pPr>
            <w:r/>
            <w:r>
              <w:rPr>
                <w:rFonts w:ascii="宋体" w:hAnsi="宋体" w:eastAsia="宋体"/>
                <w:sz w:val="21"/>
              </w:rPr>
              <w:t>2013年</w:t>
            </w:r>
          </w:p>
        </w:tc>
        <w:tc>
          <w:tcPr>
            <w:tcW w:type="dxa" w:w="2126"/>
            <w:vAlign w:val="center"/>
          </w:tcPr>
          <w:p>
            <w:pPr>
              <w:spacing w:line="240" w:lineRule="auto" w:after="20" w:before="20"/>
              <w:jc w:val="left"/>
            </w:pPr>
            <w:r/>
            <w:r>
              <w:rPr>
                <w:rFonts w:ascii="宋体" w:hAnsi="宋体" w:eastAsia="宋体"/>
                <w:sz w:val="21"/>
              </w:rPr>
              <w:t>ISO/TS 14067技术规范发布</w:t>
            </w:r>
          </w:p>
        </w:tc>
        <w:tc>
          <w:tcPr>
            <w:tcW w:type="dxa" w:w="2126"/>
            <w:vAlign w:val="center"/>
          </w:tcPr>
          <w:p>
            <w:pPr>
              <w:spacing w:line="240" w:lineRule="auto" w:after="20" w:before="20"/>
              <w:jc w:val="center"/>
            </w:pPr>
            <w:r/>
            <w:r>
              <w:rPr>
                <w:rFonts w:ascii="宋体" w:hAnsi="宋体" w:eastAsia="宋体"/>
                <w:sz w:val="21"/>
              </w:rPr>
              <w:t>技术层</w:t>
            </w:r>
          </w:p>
        </w:tc>
        <w:tc>
          <w:tcPr>
            <w:tcW w:type="dxa" w:w="2126"/>
            <w:vAlign w:val="center"/>
          </w:tcPr>
          <w:p>
            <w:pPr>
              <w:spacing w:line="240" w:lineRule="auto" w:after="20" w:before="20"/>
              <w:jc w:val="left"/>
            </w:pPr>
            <w:r/>
            <w:r>
              <w:rPr>
                <w:rFonts w:ascii="宋体" w:hAnsi="宋体" w:eastAsia="宋体"/>
                <w:sz w:val="21"/>
              </w:rPr>
              <w:t>产品碳足迹国际标准化的过渡性成果</w:t>
            </w:r>
          </w:p>
        </w:tc>
      </w:tr>
      <w:tr>
        <w:tc>
          <w:tcPr>
            <w:tcW w:type="dxa" w:w="2126"/>
            <w:vAlign w:val="center"/>
          </w:tcPr>
          <w:p>
            <w:pPr>
              <w:spacing w:line="240" w:lineRule="auto" w:after="20" w:before="20"/>
              <w:jc w:val="left"/>
            </w:pPr>
            <w:r/>
            <w:r>
              <w:rPr>
                <w:rFonts w:ascii="宋体" w:hAnsi="宋体" w:eastAsia="宋体"/>
                <w:sz w:val="21"/>
              </w:rPr>
              <w:t>2014年</w:t>
            </w:r>
          </w:p>
        </w:tc>
        <w:tc>
          <w:tcPr>
            <w:tcW w:type="dxa" w:w="2126"/>
            <w:vAlign w:val="center"/>
          </w:tcPr>
          <w:p>
            <w:pPr>
              <w:spacing w:line="240" w:lineRule="auto" w:after="20" w:before="20"/>
              <w:jc w:val="left"/>
            </w:pPr>
            <w:r/>
            <w:r>
              <w:rPr>
                <w:rFonts w:ascii="宋体" w:hAnsi="宋体" w:eastAsia="宋体"/>
                <w:sz w:val="21"/>
              </w:rPr>
              <w:t>国际资本市场协会（ICMA）发布《绿色债券原则》</w:t>
            </w:r>
          </w:p>
        </w:tc>
        <w:tc>
          <w:tcPr>
            <w:tcW w:type="dxa" w:w="2126"/>
            <w:vAlign w:val="center"/>
          </w:tcPr>
          <w:p>
            <w:pPr>
              <w:spacing w:line="240" w:lineRule="auto" w:after="20" w:before="20"/>
              <w:jc w:val="center"/>
            </w:pPr>
            <w:r/>
            <w:r>
              <w:rPr>
                <w:rFonts w:ascii="宋体" w:hAnsi="宋体" w:eastAsia="宋体"/>
                <w:sz w:val="21"/>
              </w:rPr>
              <w:t>制度层</w:t>
            </w:r>
          </w:p>
        </w:tc>
        <w:tc>
          <w:tcPr>
            <w:tcW w:type="dxa" w:w="2126"/>
            <w:vAlign w:val="center"/>
          </w:tcPr>
          <w:p>
            <w:pPr>
              <w:spacing w:line="240" w:lineRule="auto" w:after="20" w:before="20"/>
              <w:jc w:val="left"/>
            </w:pPr>
            <w:r/>
            <w:r>
              <w:rPr>
                <w:rFonts w:ascii="宋体" w:hAnsi="宋体" w:eastAsia="宋体"/>
                <w:sz w:val="21"/>
              </w:rPr>
              <w:t>绿色债券市场的自律性标准框架形成</w:t>
            </w:r>
          </w:p>
        </w:tc>
      </w:tr>
      <w:tr>
        <w:tc>
          <w:tcPr>
            <w:tcW w:type="dxa" w:w="2126"/>
            <w:vAlign w:val="center"/>
          </w:tcPr>
          <w:p>
            <w:pPr>
              <w:spacing w:line="240" w:lineRule="auto" w:after="20" w:before="20"/>
              <w:jc w:val="left"/>
            </w:pPr>
            <w:r/>
            <w:r>
              <w:rPr>
                <w:rFonts w:ascii="宋体" w:hAnsi="宋体" w:eastAsia="宋体"/>
                <w:sz w:val="21"/>
              </w:rPr>
              <w:t>2015年12月</w:t>
            </w:r>
          </w:p>
        </w:tc>
        <w:tc>
          <w:tcPr>
            <w:tcW w:type="dxa" w:w="2126"/>
            <w:vAlign w:val="center"/>
          </w:tcPr>
          <w:p>
            <w:pPr>
              <w:spacing w:line="240" w:lineRule="auto" w:after="20" w:before="20"/>
              <w:jc w:val="left"/>
            </w:pPr>
            <w:r/>
            <w:r>
              <w:rPr>
                <w:rFonts w:ascii="宋体" w:hAnsi="宋体" w:eastAsia="宋体"/>
                <w:sz w:val="21"/>
              </w:rPr>
              <w:t>《巴黎协定》在COP21通过；气候相关财务信息披露工作组（TCFD）成立</w:t>
            </w:r>
          </w:p>
        </w:tc>
        <w:tc>
          <w:tcPr>
            <w:tcW w:type="dxa" w:w="2126"/>
            <w:vAlign w:val="center"/>
          </w:tcPr>
          <w:p>
            <w:pPr>
              <w:spacing w:line="240" w:lineRule="auto" w:after="20" w:before="20"/>
              <w:jc w:val="center"/>
            </w:pPr>
            <w:r/>
            <w:r>
              <w:rPr>
                <w:rFonts w:ascii="宋体" w:hAnsi="宋体" w:eastAsia="宋体"/>
                <w:sz w:val="21"/>
              </w:rPr>
              <w:t>制度层</w:t>
            </w:r>
          </w:p>
        </w:tc>
        <w:tc>
          <w:tcPr>
            <w:tcW w:type="dxa" w:w="2126"/>
            <w:vAlign w:val="center"/>
          </w:tcPr>
          <w:p>
            <w:pPr>
              <w:spacing w:line="240" w:lineRule="auto" w:after="20" w:before="20"/>
              <w:jc w:val="left"/>
            </w:pPr>
            <w:r/>
            <w:r>
              <w:rPr>
                <w:rFonts w:ascii="宋体" w:hAnsi="宋体" w:eastAsia="宋体"/>
                <w:sz w:val="21"/>
              </w:rPr>
              <w:t>确立2℃/1.5℃温控目标与国家自主贡献机制；气候信息披露框架启动</w:t>
            </w:r>
          </w:p>
        </w:tc>
      </w:tr>
      <w:tr>
        <w:tc>
          <w:tcPr>
            <w:tcW w:type="dxa" w:w="2126"/>
            <w:vAlign w:val="center"/>
          </w:tcPr>
          <w:p>
            <w:pPr>
              <w:spacing w:line="240" w:lineRule="auto" w:after="20" w:before="20"/>
              <w:jc w:val="left"/>
            </w:pPr>
            <w:r/>
            <w:r>
              <w:rPr>
                <w:rFonts w:ascii="宋体" w:hAnsi="宋体" w:eastAsia="宋体"/>
                <w:sz w:val="21"/>
              </w:rPr>
              <w:t>2017年6月</w:t>
            </w:r>
          </w:p>
        </w:tc>
        <w:tc>
          <w:tcPr>
            <w:tcW w:type="dxa" w:w="2126"/>
            <w:vAlign w:val="center"/>
          </w:tcPr>
          <w:p>
            <w:pPr>
              <w:spacing w:line="240" w:lineRule="auto" w:after="20" w:before="20"/>
              <w:jc w:val="left"/>
            </w:pPr>
            <w:r/>
            <w:r>
              <w:rPr>
                <w:rFonts w:ascii="宋体" w:hAnsi="宋体" w:eastAsia="宋体"/>
                <w:sz w:val="21"/>
              </w:rPr>
              <w:t>TCFD发布最终建议报告</w:t>
            </w:r>
          </w:p>
        </w:tc>
        <w:tc>
          <w:tcPr>
            <w:tcW w:type="dxa" w:w="2126"/>
            <w:vAlign w:val="center"/>
          </w:tcPr>
          <w:p>
            <w:pPr>
              <w:spacing w:line="240" w:lineRule="auto" w:after="20" w:before="20"/>
              <w:jc w:val="center"/>
            </w:pPr>
            <w:r/>
            <w:r>
              <w:rPr>
                <w:rFonts w:ascii="宋体" w:hAnsi="宋体" w:eastAsia="宋体"/>
                <w:sz w:val="21"/>
              </w:rPr>
              <w:t>制度层</w:t>
            </w:r>
          </w:p>
        </w:tc>
        <w:tc>
          <w:tcPr>
            <w:tcW w:type="dxa" w:w="2126"/>
            <w:vAlign w:val="center"/>
          </w:tcPr>
          <w:p>
            <w:pPr>
              <w:spacing w:line="240" w:lineRule="auto" w:after="20" w:before="20"/>
              <w:jc w:val="left"/>
            </w:pPr>
            <w:r/>
            <w:r>
              <w:rPr>
                <w:rFonts w:ascii="宋体" w:hAnsi="宋体" w:eastAsia="宋体"/>
                <w:sz w:val="21"/>
              </w:rPr>
              <w:t>治理、战略、风险管理、指标与目标四支柱披露框架确立</w:t>
            </w:r>
          </w:p>
        </w:tc>
      </w:tr>
      <w:tr>
        <w:tc>
          <w:tcPr>
            <w:tcW w:type="dxa" w:w="2126"/>
            <w:vAlign w:val="center"/>
          </w:tcPr>
          <w:p>
            <w:pPr>
              <w:spacing w:line="240" w:lineRule="auto" w:after="20" w:before="20"/>
              <w:jc w:val="left"/>
            </w:pPr>
            <w:r/>
            <w:r>
              <w:rPr>
                <w:rFonts w:ascii="宋体" w:hAnsi="宋体" w:eastAsia="宋体"/>
                <w:sz w:val="21"/>
              </w:rPr>
              <w:t>2018年</w:t>
            </w:r>
          </w:p>
        </w:tc>
        <w:tc>
          <w:tcPr>
            <w:tcW w:type="dxa" w:w="2126"/>
            <w:vAlign w:val="center"/>
          </w:tcPr>
          <w:p>
            <w:pPr>
              <w:spacing w:line="240" w:lineRule="auto" w:after="20" w:before="20"/>
              <w:jc w:val="left"/>
            </w:pPr>
            <w:r/>
            <w:r>
              <w:rPr>
                <w:rFonts w:ascii="宋体" w:hAnsi="宋体" w:eastAsia="宋体"/>
                <w:sz w:val="21"/>
              </w:rPr>
              <w:t>ISO 14067正式国际标准发布；EU ETS市场稳定储备（MSR）改革显效</w:t>
            </w:r>
          </w:p>
        </w:tc>
        <w:tc>
          <w:tcPr>
            <w:tcW w:type="dxa" w:w="2126"/>
            <w:vAlign w:val="center"/>
          </w:tcPr>
          <w:p>
            <w:pPr>
              <w:spacing w:line="240" w:lineRule="auto" w:after="20" w:before="20"/>
              <w:jc w:val="center"/>
            </w:pPr>
            <w:r/>
            <w:r>
              <w:rPr>
                <w:rFonts w:ascii="宋体" w:hAnsi="宋体" w:eastAsia="宋体"/>
                <w:sz w:val="21"/>
              </w:rPr>
              <w:t>技术层/制度层</w:t>
            </w:r>
          </w:p>
        </w:tc>
        <w:tc>
          <w:tcPr>
            <w:tcW w:type="dxa" w:w="2126"/>
            <w:vAlign w:val="center"/>
          </w:tcPr>
          <w:p>
            <w:pPr>
              <w:spacing w:line="240" w:lineRule="auto" w:after="20" w:before="20"/>
              <w:jc w:val="left"/>
            </w:pPr>
            <w:r/>
            <w:r>
              <w:rPr>
                <w:rFonts w:ascii="宋体" w:hAnsi="宋体" w:eastAsia="宋体"/>
                <w:sz w:val="21"/>
              </w:rPr>
              <w:t>产品碳足迹国际标准定型；EUA价格进入上行通道</w:t>
            </w:r>
          </w:p>
        </w:tc>
      </w:tr>
      <w:tr>
        <w:tc>
          <w:tcPr>
            <w:tcW w:type="dxa" w:w="2126"/>
            <w:vAlign w:val="center"/>
          </w:tcPr>
          <w:p>
            <w:pPr>
              <w:spacing w:line="240" w:lineRule="auto" w:after="20" w:before="20"/>
              <w:jc w:val="left"/>
            </w:pPr>
            <w:r/>
            <w:r>
              <w:rPr>
                <w:rFonts w:ascii="宋体" w:hAnsi="宋体" w:eastAsia="宋体"/>
                <w:sz w:val="21"/>
              </w:rPr>
              <w:t>2019年12月</w:t>
            </w:r>
          </w:p>
        </w:tc>
        <w:tc>
          <w:tcPr>
            <w:tcW w:type="dxa" w:w="2126"/>
            <w:vAlign w:val="center"/>
          </w:tcPr>
          <w:p>
            <w:pPr>
              <w:spacing w:line="240" w:lineRule="auto" w:after="20" w:before="20"/>
              <w:jc w:val="left"/>
            </w:pPr>
            <w:r/>
            <w:r>
              <w:rPr>
                <w:rFonts w:ascii="宋体" w:hAnsi="宋体" w:eastAsia="宋体"/>
                <w:sz w:val="21"/>
              </w:rPr>
              <w:t>欧盟发布《欧洲绿色协议》</w:t>
            </w:r>
          </w:p>
        </w:tc>
        <w:tc>
          <w:tcPr>
            <w:tcW w:type="dxa" w:w="2126"/>
            <w:vAlign w:val="center"/>
          </w:tcPr>
          <w:p>
            <w:pPr>
              <w:spacing w:line="240" w:lineRule="auto" w:after="20" w:before="20"/>
              <w:jc w:val="center"/>
            </w:pPr>
            <w:r/>
            <w:r>
              <w:rPr>
                <w:rFonts w:ascii="宋体" w:hAnsi="宋体" w:eastAsia="宋体"/>
                <w:sz w:val="21"/>
              </w:rPr>
              <w:t>战略层</w:t>
            </w:r>
          </w:p>
        </w:tc>
        <w:tc>
          <w:tcPr>
            <w:tcW w:type="dxa" w:w="2126"/>
            <w:vAlign w:val="center"/>
          </w:tcPr>
          <w:p>
            <w:pPr>
              <w:spacing w:line="240" w:lineRule="auto" w:after="20" w:before="20"/>
              <w:jc w:val="left"/>
            </w:pPr>
            <w:r/>
            <w:r>
              <w:rPr>
                <w:rFonts w:ascii="宋体" w:hAnsi="宋体" w:eastAsia="宋体"/>
                <w:sz w:val="21"/>
              </w:rPr>
              <w:t>提出2050年气候中和愿景，开启规制加码周期</w:t>
            </w:r>
          </w:p>
        </w:tc>
      </w:tr>
      <w:tr>
        <w:tc>
          <w:tcPr>
            <w:tcW w:type="dxa" w:w="2126"/>
            <w:vAlign w:val="center"/>
          </w:tcPr>
          <w:p>
            <w:pPr>
              <w:spacing w:line="240" w:lineRule="auto" w:after="20" w:before="20"/>
              <w:jc w:val="left"/>
            </w:pPr>
            <w:r/>
            <w:r>
              <w:rPr>
                <w:rFonts w:ascii="宋体" w:hAnsi="宋体" w:eastAsia="宋体"/>
                <w:sz w:val="21"/>
              </w:rPr>
              <w:t>2020年9月</w:t>
            </w:r>
          </w:p>
        </w:tc>
        <w:tc>
          <w:tcPr>
            <w:tcW w:type="dxa" w:w="2126"/>
            <w:vAlign w:val="center"/>
          </w:tcPr>
          <w:p>
            <w:pPr>
              <w:spacing w:line="240" w:lineRule="auto" w:after="20" w:before="20"/>
              <w:jc w:val="left"/>
            </w:pPr>
            <w:r/>
            <w:r>
              <w:rPr>
                <w:rFonts w:ascii="宋体" w:hAnsi="宋体" w:eastAsia="宋体"/>
                <w:sz w:val="21"/>
              </w:rPr>
              <w:t>中国宣布碳达峰碳中和目标</w:t>
            </w:r>
          </w:p>
        </w:tc>
        <w:tc>
          <w:tcPr>
            <w:tcW w:type="dxa" w:w="2126"/>
            <w:vAlign w:val="center"/>
          </w:tcPr>
          <w:p>
            <w:pPr>
              <w:spacing w:line="240" w:lineRule="auto" w:after="20" w:before="20"/>
              <w:jc w:val="center"/>
            </w:pPr>
            <w:r/>
            <w:r>
              <w:rPr>
                <w:rFonts w:ascii="宋体" w:hAnsi="宋体" w:eastAsia="宋体"/>
                <w:sz w:val="21"/>
              </w:rPr>
              <w:t>战略层</w:t>
            </w:r>
          </w:p>
        </w:tc>
        <w:tc>
          <w:tcPr>
            <w:tcW w:type="dxa" w:w="2126"/>
            <w:vAlign w:val="center"/>
          </w:tcPr>
          <w:p>
            <w:pPr>
              <w:spacing w:line="240" w:lineRule="auto" w:after="20" w:before="20"/>
              <w:jc w:val="left"/>
            </w:pPr>
            <w:r/>
            <w:r>
              <w:rPr>
                <w:rFonts w:ascii="宋体" w:hAnsi="宋体" w:eastAsia="宋体"/>
                <w:sz w:val="21"/>
              </w:rPr>
              <w:t>全球最大排放经济体作出碳中和承诺，全球碳中和目标潮形成</w:t>
            </w:r>
          </w:p>
        </w:tc>
      </w:tr>
      <w:tr>
        <w:tc>
          <w:tcPr>
            <w:tcW w:type="dxa" w:w="2126"/>
            <w:vAlign w:val="center"/>
          </w:tcPr>
          <w:p>
            <w:pPr>
              <w:spacing w:line="240" w:lineRule="auto" w:after="20" w:before="20"/>
              <w:jc w:val="left"/>
            </w:pPr>
            <w:r/>
            <w:r>
              <w:rPr>
                <w:rFonts w:ascii="宋体" w:hAnsi="宋体" w:eastAsia="宋体"/>
                <w:sz w:val="21"/>
              </w:rPr>
              <w:t>2021年</w:t>
            </w:r>
          </w:p>
        </w:tc>
        <w:tc>
          <w:tcPr>
            <w:tcW w:type="dxa" w:w="2126"/>
            <w:vAlign w:val="center"/>
          </w:tcPr>
          <w:p>
            <w:pPr>
              <w:spacing w:line="240" w:lineRule="auto" w:after="20" w:before="20"/>
              <w:jc w:val="left"/>
            </w:pPr>
            <w:r/>
            <w:r>
              <w:rPr>
                <w:rFonts w:ascii="宋体" w:hAnsi="宋体" w:eastAsia="宋体"/>
                <w:sz w:val="21"/>
              </w:rPr>
              <w:t>ISSB在COP26宣布成立；美欧贸易与技术委员会（TTC）成立；欧盟提出“减碳55”一揽子立法（含CBAM提案）</w:t>
            </w:r>
          </w:p>
        </w:tc>
        <w:tc>
          <w:tcPr>
            <w:tcW w:type="dxa" w:w="2126"/>
            <w:vAlign w:val="center"/>
          </w:tcPr>
          <w:p>
            <w:pPr>
              <w:spacing w:line="240" w:lineRule="auto" w:after="20" w:before="20"/>
              <w:jc w:val="center"/>
            </w:pPr>
            <w:r/>
            <w:r>
              <w:rPr>
                <w:rFonts w:ascii="宋体" w:hAnsi="宋体" w:eastAsia="宋体"/>
                <w:sz w:val="21"/>
              </w:rPr>
              <w:t>战略层</w:t>
            </w:r>
          </w:p>
        </w:tc>
        <w:tc>
          <w:tcPr>
            <w:tcW w:type="dxa" w:w="2126"/>
            <w:vAlign w:val="center"/>
          </w:tcPr>
          <w:p>
            <w:pPr>
              <w:spacing w:line="240" w:lineRule="auto" w:after="20" w:before="20"/>
              <w:jc w:val="left"/>
            </w:pPr>
            <w:r/>
            <w:r>
              <w:rPr>
                <w:rFonts w:ascii="宋体" w:hAnsi="宋体" w:eastAsia="宋体"/>
                <w:sz w:val="21"/>
              </w:rPr>
              <w:t>可持续披露准则全球整合启动；标准与贸易、技术议题深度绑定</w:t>
            </w:r>
          </w:p>
        </w:tc>
      </w:tr>
      <w:tr>
        <w:tc>
          <w:tcPr>
            <w:tcW w:type="dxa" w:w="2126"/>
            <w:vAlign w:val="center"/>
          </w:tcPr>
          <w:p>
            <w:pPr>
              <w:spacing w:line="240" w:lineRule="auto" w:after="20" w:before="20"/>
              <w:jc w:val="left"/>
            </w:pPr>
            <w:r/>
            <w:r>
              <w:rPr>
                <w:rFonts w:ascii="宋体" w:hAnsi="宋体" w:eastAsia="宋体"/>
                <w:sz w:val="21"/>
              </w:rPr>
              <w:t>2022年8月</w:t>
            </w:r>
          </w:p>
        </w:tc>
        <w:tc>
          <w:tcPr>
            <w:tcW w:type="dxa" w:w="2126"/>
            <w:vAlign w:val="center"/>
          </w:tcPr>
          <w:p>
            <w:pPr>
              <w:spacing w:line="240" w:lineRule="auto" w:after="20" w:before="20"/>
              <w:jc w:val="left"/>
            </w:pPr>
            <w:r/>
            <w:r>
              <w:rPr>
                <w:rFonts w:ascii="宋体" w:hAnsi="宋体" w:eastAsia="宋体"/>
                <w:sz w:val="21"/>
              </w:rPr>
              <w:t>美国《通胀削减法案》（IRA）签署</w:t>
            </w:r>
          </w:p>
        </w:tc>
        <w:tc>
          <w:tcPr>
            <w:tcW w:type="dxa" w:w="2126"/>
            <w:vAlign w:val="center"/>
          </w:tcPr>
          <w:p>
            <w:pPr>
              <w:spacing w:line="240" w:lineRule="auto" w:after="20" w:before="20"/>
              <w:jc w:val="center"/>
            </w:pPr>
            <w:r/>
            <w:r>
              <w:rPr>
                <w:rFonts w:ascii="宋体" w:hAnsi="宋体" w:eastAsia="宋体"/>
                <w:sz w:val="21"/>
              </w:rPr>
              <w:t>战略层</w:t>
            </w:r>
          </w:p>
        </w:tc>
        <w:tc>
          <w:tcPr>
            <w:tcW w:type="dxa" w:w="2126"/>
            <w:vAlign w:val="center"/>
          </w:tcPr>
          <w:p>
            <w:pPr>
              <w:spacing w:line="240" w:lineRule="auto" w:after="20" w:before="20"/>
              <w:jc w:val="left"/>
            </w:pPr>
            <w:r/>
            <w:r>
              <w:rPr>
                <w:rFonts w:ascii="宋体" w:hAnsi="宋体" w:eastAsia="宋体"/>
                <w:sz w:val="21"/>
              </w:rPr>
              <w:t>以约3690亿美元税收抵免与本地含量条款争夺绿色产业主导权</w:t>
            </w:r>
          </w:p>
        </w:tc>
      </w:tr>
      <w:tr>
        <w:tc>
          <w:tcPr>
            <w:tcW w:type="dxa" w:w="2126"/>
            <w:vAlign w:val="center"/>
          </w:tcPr>
          <w:p>
            <w:pPr>
              <w:spacing w:line="240" w:lineRule="auto" w:after="20" w:before="20"/>
              <w:jc w:val="left"/>
            </w:pPr>
            <w:r/>
            <w:r>
              <w:rPr>
                <w:rFonts w:ascii="宋体" w:hAnsi="宋体" w:eastAsia="宋体"/>
                <w:sz w:val="21"/>
              </w:rPr>
              <w:t>2023年</w:t>
            </w:r>
          </w:p>
        </w:tc>
        <w:tc>
          <w:tcPr>
            <w:tcW w:type="dxa" w:w="2126"/>
            <w:vAlign w:val="center"/>
          </w:tcPr>
          <w:p>
            <w:pPr>
              <w:spacing w:line="240" w:lineRule="auto" w:after="20" w:before="20"/>
              <w:jc w:val="left"/>
            </w:pPr>
            <w:r/>
            <w:r>
              <w:rPr>
                <w:rFonts w:ascii="宋体" w:hAnsi="宋体" w:eastAsia="宋体"/>
                <w:sz w:val="21"/>
              </w:rPr>
              <w:t>CBAM条例5月生效、10月进入过渡期；IFRS S1/S2发布；ISO 14068-1发布；欧盟新电池法生效</w:t>
            </w:r>
          </w:p>
        </w:tc>
        <w:tc>
          <w:tcPr>
            <w:tcW w:type="dxa" w:w="2126"/>
            <w:vAlign w:val="center"/>
          </w:tcPr>
          <w:p>
            <w:pPr>
              <w:spacing w:line="240" w:lineRule="auto" w:after="20" w:before="20"/>
              <w:jc w:val="center"/>
            </w:pPr>
            <w:r/>
            <w:r>
              <w:rPr>
                <w:rFonts w:ascii="宋体" w:hAnsi="宋体" w:eastAsia="宋体"/>
                <w:sz w:val="21"/>
              </w:rPr>
              <w:t>战略层</w:t>
            </w:r>
          </w:p>
        </w:tc>
        <w:tc>
          <w:tcPr>
            <w:tcW w:type="dxa" w:w="2126"/>
            <w:vAlign w:val="center"/>
          </w:tcPr>
          <w:p>
            <w:pPr>
              <w:spacing w:line="240" w:lineRule="auto" w:after="20" w:before="20"/>
              <w:jc w:val="left"/>
            </w:pPr>
            <w:r/>
            <w:r>
              <w:rPr>
                <w:rFonts w:ascii="宋体" w:hAnsi="宋体" w:eastAsia="宋体"/>
                <w:sz w:val="21"/>
              </w:rPr>
              <w:t>碳边境调节、可持续披露与产品碳规则三线并进</w:t>
            </w:r>
          </w:p>
        </w:tc>
      </w:tr>
      <w:tr>
        <w:tc>
          <w:tcPr>
            <w:tcW w:type="dxa" w:w="2126"/>
            <w:vAlign w:val="center"/>
          </w:tcPr>
          <w:p>
            <w:pPr>
              <w:spacing w:line="240" w:lineRule="auto" w:after="20" w:before="20"/>
              <w:jc w:val="left"/>
            </w:pPr>
            <w:r/>
            <w:r>
              <w:rPr>
                <w:rFonts w:ascii="宋体" w:hAnsi="宋体" w:eastAsia="宋体"/>
                <w:sz w:val="21"/>
              </w:rPr>
              <w:t>2024年</w:t>
            </w:r>
          </w:p>
        </w:tc>
        <w:tc>
          <w:tcPr>
            <w:tcW w:type="dxa" w:w="2126"/>
            <w:vAlign w:val="center"/>
          </w:tcPr>
          <w:p>
            <w:pPr>
              <w:spacing w:line="240" w:lineRule="auto" w:after="20" w:before="20"/>
              <w:jc w:val="left"/>
            </w:pPr>
            <w:r/>
            <w:r>
              <w:rPr>
                <w:rFonts w:ascii="宋体" w:hAnsi="宋体" w:eastAsia="宋体"/>
                <w:sz w:val="21"/>
              </w:rPr>
              <w:t>欧盟新电池法开始适用；ISSB准则进入生效适用期</w:t>
            </w:r>
          </w:p>
        </w:tc>
        <w:tc>
          <w:tcPr>
            <w:tcW w:type="dxa" w:w="2126"/>
            <w:vAlign w:val="center"/>
          </w:tcPr>
          <w:p>
            <w:pPr>
              <w:spacing w:line="240" w:lineRule="auto" w:after="20" w:before="20"/>
              <w:jc w:val="center"/>
            </w:pPr>
            <w:r/>
            <w:r>
              <w:rPr>
                <w:rFonts w:ascii="宋体" w:hAnsi="宋体" w:eastAsia="宋体"/>
                <w:sz w:val="21"/>
              </w:rPr>
              <w:t>战略层</w:t>
            </w:r>
          </w:p>
        </w:tc>
        <w:tc>
          <w:tcPr>
            <w:tcW w:type="dxa" w:w="2126"/>
            <w:vAlign w:val="center"/>
          </w:tcPr>
          <w:p>
            <w:pPr>
              <w:spacing w:line="240" w:lineRule="auto" w:after="20" w:before="20"/>
              <w:jc w:val="left"/>
            </w:pPr>
            <w:r/>
            <w:r>
              <w:rPr>
                <w:rFonts w:ascii="宋体" w:hAnsi="宋体" w:eastAsia="宋体"/>
                <w:sz w:val="21"/>
              </w:rPr>
              <w:t>全球碳定价机制达75个、覆盖约24%的全球温室气体排放</w:t>
            </w:r>
          </w:p>
        </w:tc>
      </w:tr>
      <w:tr>
        <w:tc>
          <w:tcPr>
            <w:tcW w:type="dxa" w:w="2126"/>
            <w:vAlign w:val="center"/>
          </w:tcPr>
          <w:p>
            <w:pPr>
              <w:spacing w:line="240" w:lineRule="auto" w:after="20" w:before="20"/>
              <w:jc w:val="left"/>
            </w:pPr>
            <w:r/>
            <w:r>
              <w:rPr>
                <w:rFonts w:ascii="宋体" w:hAnsi="宋体" w:eastAsia="宋体"/>
                <w:sz w:val="21"/>
              </w:rPr>
              <w:t>2025年</w:t>
            </w:r>
          </w:p>
        </w:tc>
        <w:tc>
          <w:tcPr>
            <w:tcW w:type="dxa" w:w="2126"/>
            <w:vAlign w:val="center"/>
          </w:tcPr>
          <w:p>
            <w:pPr>
              <w:spacing w:line="240" w:lineRule="auto" w:after="20" w:before="20"/>
              <w:jc w:val="left"/>
            </w:pPr>
            <w:r/>
            <w:r>
              <w:rPr>
                <w:rFonts w:ascii="宋体" w:hAnsi="宋体" w:eastAsia="宋体"/>
                <w:sz w:val="21"/>
              </w:rPr>
              <w:t>CBAM“一揽子简化”修正条例生效；全球碳定价机制增至80个</w:t>
            </w:r>
          </w:p>
        </w:tc>
        <w:tc>
          <w:tcPr>
            <w:tcW w:type="dxa" w:w="2126"/>
            <w:vAlign w:val="center"/>
          </w:tcPr>
          <w:p>
            <w:pPr>
              <w:spacing w:line="240" w:lineRule="auto" w:after="20" w:before="20"/>
              <w:jc w:val="center"/>
            </w:pPr>
            <w:r/>
            <w:r>
              <w:rPr>
                <w:rFonts w:ascii="宋体" w:hAnsi="宋体" w:eastAsia="宋体"/>
                <w:sz w:val="21"/>
              </w:rPr>
              <w:t>战略层</w:t>
            </w:r>
          </w:p>
        </w:tc>
        <w:tc>
          <w:tcPr>
            <w:tcW w:type="dxa" w:w="2126"/>
            <w:vAlign w:val="center"/>
          </w:tcPr>
          <w:p>
            <w:pPr>
              <w:spacing w:line="240" w:lineRule="auto" w:after="20" w:before="20"/>
              <w:jc w:val="left"/>
            </w:pPr>
            <w:r/>
            <w:r>
              <w:rPr>
                <w:rFonts w:ascii="宋体" w:hAnsi="宋体" w:eastAsia="宋体"/>
                <w:sz w:val="21"/>
              </w:rPr>
              <w:t>碳定价覆盖全球约28%的排放；CBAM完成正式征收前的制度准备</w:t>
            </w:r>
          </w:p>
        </w:tc>
      </w:tr>
      <w:tr>
        <w:tc>
          <w:tcPr>
            <w:tcW w:type="dxa" w:w="2126"/>
            <w:vAlign w:val="center"/>
          </w:tcPr>
          <w:p>
            <w:pPr>
              <w:spacing w:line="240" w:lineRule="auto" w:after="20" w:before="20"/>
              <w:jc w:val="left"/>
            </w:pPr>
            <w:r/>
            <w:r>
              <w:rPr>
                <w:rFonts w:ascii="宋体" w:hAnsi="宋体" w:eastAsia="宋体"/>
                <w:sz w:val="21"/>
              </w:rPr>
              <w:t>2026年1月</w:t>
            </w:r>
          </w:p>
        </w:tc>
        <w:tc>
          <w:tcPr>
            <w:tcW w:type="dxa" w:w="2126"/>
            <w:vAlign w:val="center"/>
          </w:tcPr>
          <w:p>
            <w:pPr>
              <w:spacing w:line="240" w:lineRule="auto" w:after="20" w:before="20"/>
              <w:jc w:val="left"/>
            </w:pPr>
            <w:r/>
            <w:r>
              <w:rPr>
                <w:rFonts w:ascii="宋体" w:hAnsi="宋体" w:eastAsia="宋体"/>
                <w:sz w:val="21"/>
              </w:rPr>
              <w:t>CBAM正式征收开始</w:t>
            </w:r>
          </w:p>
        </w:tc>
        <w:tc>
          <w:tcPr>
            <w:tcW w:type="dxa" w:w="2126"/>
            <w:vAlign w:val="center"/>
          </w:tcPr>
          <w:p>
            <w:pPr>
              <w:spacing w:line="240" w:lineRule="auto" w:after="20" w:before="20"/>
              <w:jc w:val="center"/>
            </w:pPr>
            <w:r/>
            <w:r>
              <w:rPr>
                <w:rFonts w:ascii="宋体" w:hAnsi="宋体" w:eastAsia="宋体"/>
                <w:sz w:val="21"/>
              </w:rPr>
              <w:t>战略层</w:t>
            </w:r>
          </w:p>
        </w:tc>
        <w:tc>
          <w:tcPr>
            <w:tcW w:type="dxa" w:w="2126"/>
            <w:vAlign w:val="center"/>
          </w:tcPr>
          <w:p>
            <w:pPr>
              <w:spacing w:line="240" w:lineRule="auto" w:after="20" w:before="20"/>
              <w:jc w:val="left"/>
            </w:pPr>
            <w:r/>
            <w:r>
              <w:rPr>
                <w:rFonts w:ascii="宋体" w:hAnsi="宋体" w:eastAsia="宋体"/>
                <w:sz w:val="21"/>
              </w:rPr>
              <w:t>碳核算标准差距直接转化为出口企业的关税成本</w:t>
            </w:r>
          </w:p>
        </w:tc>
      </w:tr>
    </w:tbl>
    <w:p>
      <w:pPr>
        <w:spacing w:after="200" w:line="240" w:lineRule="auto"/>
      </w:pPr>
      <w:r>
        <w:rPr>
          <w:rFonts w:ascii="宋体" w:hAnsi="宋体" w:eastAsia="宋体"/>
          <w:sz w:val="18"/>
        </w:rPr>
        <w:t>注：规则层面划分依据本书“技术层—制度层—战略层”分析框架（详见3.4节），事件归类以其主要属性为准。资料来源：作者根据EUR-Lex、《联合国气候变化框架公约》秘书处、国际标准化组织、IFRS基金会及世界银行《碳定价发展现状与未来趋势》历年报告等公开资料整理。</w:t>
      </w:r>
    </w:p>
    <w:p>
      <w:pPr>
        <w:spacing w:line="360" w:lineRule="auto" w:after="0"/>
        <w:ind w:firstLineChars="200" w:firstLine="480"/>
        <w:jc w:val="both"/>
      </w:pPr>
      <w:r>
        <w:rPr>
          <w:rFonts w:ascii="宋体" w:hAnsi="宋体" w:eastAsia="宋体"/>
          <w:sz w:val="24"/>
        </w:rPr>
        <w:t>表3.1所列大事记进一步印证了阶段划分的合理性：1997—2004年间的标志性事件几乎全部落在技术层，且主导者多为非政府研究机构与标准化组织；2005—2020年间制度层事件占据主导，主权国家与金融监管当局走上前台；2021年以来，战略层事件密集涌现，标准议题与贸易政策、产业政策的边界日趋模糊。这种“技术层—制度层—战略层”的重心迁移，构成理解当前全球绿色规则竞争的基本历史线索。以下分阶段展开。</w:t>
      </w:r>
    </w:p>
    <w:p>
      <w:pPr>
        <w:keepNext/>
        <w:spacing w:before="160" w:after="120" w:line="360" w:lineRule="auto"/>
        <w:outlineLvl w:val="2"/>
      </w:pPr>
      <w:r>
        <w:rPr>
          <w:rFonts w:ascii="黑体" w:hAnsi="黑体" w:eastAsia="黑体"/>
          <w:sz w:val="24"/>
        </w:rPr>
        <w:t>3.1.1  技术规范确立阶段（1997—2004年）：从减排承诺到核算语言</w:t>
      </w:r>
    </w:p>
    <w:p>
      <w:pPr>
        <w:spacing w:line="360" w:lineRule="auto" w:after="0"/>
        <w:ind w:firstLineChars="200" w:firstLine="480"/>
        <w:jc w:val="both"/>
      </w:pPr>
      <w:r>
        <w:rPr>
          <w:rFonts w:ascii="宋体" w:hAnsi="宋体" w:eastAsia="宋体"/>
          <w:sz w:val="24"/>
        </w:rPr>
        <w:t>气候变化是典型的全球外部性问题：温室气体排放的边际损害由全人类分担，减排收益无法排他，任何单一主体都缺乏充分的减排激励（Stern，2007；Nordhaus，2019）。要将减排从道义呼吁转化为可执行的制度安排，前提是排放本身可测量、可报告、可核查——这正是标准化的用武之地。1997年12月，《联合国气候变化框架公约》第三次缔约方大会（COP3）在日本京都通过《京都议定书》，首次为附件一发达国家设定具有法律约束力的量化减排义务，要求其在2008—2012年首个承诺期内将温室气体排放在1990年基础上整体削减约5%，并创设国际排放贸易、联合履约与清洁发展机制三种灵活履约机制。量化义务与市场机制的引入，第一次使“一吨二氧化碳当量”成为具有潜在财产价值的核算对象，从需求侧催生了对统一核算规则的迫切需要：没有共同的核算语言，减排承诺无法核验，跨国抵消交易亦无从谈起（陈红敏，2011；He等，2022）。</w:t>
      </w:r>
    </w:p>
    <w:p>
      <w:pPr>
        <w:spacing w:line="360" w:lineRule="auto" w:after="0"/>
        <w:ind w:firstLineChars="200" w:firstLine="480"/>
        <w:jc w:val="both"/>
      </w:pPr>
      <w:r>
        <w:rPr>
          <w:rFonts w:ascii="宋体" w:hAnsi="宋体" w:eastAsia="宋体"/>
          <w:sz w:val="24"/>
        </w:rPr>
        <w:t>对这一制度需求作出最快回应的，不是政府间组织，而是非政府研究机构与企业界的联合体。1998年，世界资源研究所与世界可持续发展工商理事会联合启动“温室气体核算体系”（GHG Protocol）研制，2001年发布《企业核算与报告标准》首版，2004年完成修订。该标准最具深远影响的贡献，是确立了按控制权界定组织边界、按排放来源划分范围一（直接排放）、范围二（外购电力热力间接排放）与范围三（价值链其他间接排放）的核算框架。这一框架以其概念清晰、操作友好而被企业界迅速接纳，逐步成为全球企业碳核算事实上的通用语言，此后几乎所有主流碳核算、碳披露与碳目标设定规则——从CDP问卷、科学碳目标倡议到后来的ISO标准与ISSB准则——都以其为方法论底座（He等，2022）。GHG Protocol的成功表明，在正式国际标准供给滞后的领域，私营权威完全可能凭借先发优势与网络效应确立事实标准，这一“私人立规”现象成为全球治理研究的经典案例（Büthe和Mattli，2011）。</w:t>
      </w:r>
    </w:p>
    <w:p>
      <w:pPr>
        <w:spacing w:line="360" w:lineRule="auto" w:after="0"/>
        <w:ind w:firstLineChars="200" w:firstLine="480"/>
        <w:jc w:val="both"/>
      </w:pPr>
      <w:r>
        <w:rPr>
          <w:rFonts w:ascii="宋体" w:hAnsi="宋体" w:eastAsia="宋体"/>
          <w:sz w:val="24"/>
        </w:rPr>
        <w:t>正式国际标准化渠道的响应稍晚但意义重大。国际标准化组织（ISO）早在1993年即成立环境管理技术委员会（ISO/TC 207），并于1996年发布ISO 14001环境管理体系标准，为组织环境管理提供了通用框架；在《京都议定书》催生的核算需求推动下，TC 207于2002年启动温室气体管理标准研制，2006年正式发布ISO 14064系列标准——第一部分规范组织层面温室气体排放的量化与报告，第二部分规范减排项目层面的量化、监测与报告，第三部分规范声明的审定与核查，2007年又发布对核查机构提出要求的ISO 14065，共同构成温室气体“核算—报告—核查”的完整标准链条（陈红敏，2011）。与GHG Protocol的自愿倡议性质不同，ISO标准经由成员体投票的正式程序产生，具有更强的国际公共品属性与政府采认基础，两者在内容上相互引用、在功能上分工互补，奠定了此后二十年国际碳核算体系“私营标准供给方法、正式标准供给权威”的双轨格局。</w:t>
      </w:r>
    </w:p>
    <w:p>
      <w:pPr>
        <w:spacing w:line="360" w:lineRule="auto" w:after="0"/>
        <w:ind w:firstLineChars="200" w:firstLine="480"/>
        <w:jc w:val="both"/>
      </w:pPr>
      <w:r>
        <w:rPr>
          <w:rFonts w:ascii="宋体" w:hAnsi="宋体" w:eastAsia="宋体"/>
          <w:sz w:val="24"/>
        </w:rPr>
        <w:t>本阶段的另一条暗线，是清洁发展机制（CDM）方法学体系的建立。CDM允许发达国家通过资助发展中国家减排项目获取核证减排量，其环境完整性完全依赖于基准线设定、额外性论证与监测核查规则的严谨性。为此，CDM执行理事会陆续批准了覆盖能源、工业、林业等领域的数百项方法学，并建立了指定经营实体独立核查制度。尽管CDM在后来的实践中因额外性争议与价格崩塌而备受批评（Victor，2011），但其方法学体系是人类第一次大规模、跨国界地将减排量转化为可交易资产的制度试验，为此后各类自愿减排机制包括中国的温室气体自愿减排交易机制提供了直接的模板与人才储备。</w:t>
      </w:r>
    </w:p>
    <w:p>
      <w:pPr>
        <w:spacing w:line="360" w:lineRule="auto" w:after="0"/>
        <w:ind w:firstLineChars="200" w:firstLine="480"/>
        <w:jc w:val="both"/>
      </w:pPr>
      <w:r>
        <w:rPr>
          <w:rFonts w:ascii="宋体" w:hAnsi="宋体" w:eastAsia="宋体"/>
          <w:sz w:val="24"/>
        </w:rPr>
        <w:t>综括而言，技术规范确立阶段的基本特征可归纳为三点：其一，主导主体是技术专家共同体、非政府机构与国际标准化组织，主权国家的角色主要限于缔结条约、创设需求；其二，规则形态以自愿性技术规范为主，标准的采用依靠声誉激励与市场自选择，不具有强制约束力；其三，标准化的核心议题是“如何测量碳”，即建立统一的术语、边界、方法与核查规则。这一阶段看似平淡，却完成了最具基础性的制度建设——碳核算语言的统一。正如度量衡的统一是国内市场形成的前提，碳核算语言的统一是全球碳定价与碳规制得以展开的前提。规则权力在这一阶段主要沉淀于技术层，其战略价值要到后两个阶段才充分显现。</w:t>
      </w:r>
    </w:p>
    <w:p>
      <w:pPr>
        <w:keepNext/>
        <w:spacing w:before="160" w:after="120" w:line="360" w:lineRule="auto"/>
        <w:outlineLvl w:val="2"/>
      </w:pPr>
      <w:r>
        <w:rPr>
          <w:rFonts w:ascii="黑体" w:hAnsi="黑体" w:eastAsia="黑体"/>
          <w:sz w:val="24"/>
        </w:rPr>
        <w:t>3.1.2  制度化规制阶段（2005—2020年）：标准嵌入市场与监管</w:t>
      </w:r>
    </w:p>
    <w:p>
      <w:pPr>
        <w:spacing w:line="360" w:lineRule="auto" w:after="0"/>
        <w:ind w:firstLineChars="200" w:firstLine="480"/>
        <w:jc w:val="both"/>
      </w:pPr>
      <w:r>
        <w:rPr>
          <w:rFonts w:ascii="宋体" w:hAnsi="宋体" w:eastAsia="宋体"/>
          <w:sz w:val="24"/>
        </w:rPr>
        <w:t>2005年是国际绿色低碳标准化史上的分水岭。这一年，《京都议定书》正式生效，更重要的是，欧盟碳排放交易体系于1月1日启动运行，成为全球首个跨国强制性总量控制与交易体系，与他国碳市场链接的收益与弊端亦随之进入国际政策议程（Flachsland等，2009）。EU ETS的制度史充满波折：第一阶段（2005—2007年）因配额免费超发导致价格一度归零；第二阶段（2008—2012年）遭遇金融危机冲击，配额过剩问题延续；第三阶段（2013—2020年）转向以拍卖为主的分配方式并收紧总量，但历史过剩配额仍压制价格（Grubb和Neuhoff，2006；Ellerman等，2010）。从价格轨迹看，2013—2017年欧盟配额（EUA）价格长期低于每吨10欧元，大致在3—9欧元区间徘徊；2018年市场稳定储备改革落地后价格快速上行，2018年8月至2020年3月大致运行于18—30欧元区间。尽管价格长期低迷，EU ETS的标准化意义却不容低估：其监测、报告与核查（MRV）条例把碳核算标准从自愿规范升格为覆盖上万个排放设施的强制合规要求，配额清缴、注册登记、核查认可等一整套制度机器，使“核算标准”第一次成为“合规基础设施”（Narassimhan等，2018）。</w:t>
      </w:r>
    </w:p>
    <w:p>
      <w:pPr>
        <w:spacing w:line="360" w:lineRule="auto" w:after="0"/>
        <w:ind w:firstLineChars="200" w:firstLine="480"/>
        <w:jc w:val="both"/>
      </w:pPr>
      <w:r>
        <w:rPr>
          <w:rFonts w:ascii="宋体" w:hAnsi="宋体" w:eastAsia="宋体"/>
          <w:sz w:val="24"/>
        </w:rPr>
        <w:t>碳定价的减排有效性在本阶段积累了日益丰富的经验证据。对各类碳定价机制事后评估的系统综述发现，碳价确实带来了统计上显著的减排效应，但幅度普遍低于事前模拟的预期（Green，2021；Döbbeling-Hildebrandt等，2024）；基于企业微观数据的研究进一步表明，EU ETS覆盖企业相对于未覆盖企业实现了可观的排放削减，且未发现显著的竞争力损失与碳泄漏证据（Colmer等，2025）。这些证据强化了“市场机制+严格标准”组合的国际正当性，推动碳定价在全球扩散：世界银行统计显示，到2024年全球已有75个碳定价机制在运行，覆盖约24%的全球温室气体排放，2023年碳定价收入达创纪录的1040亿美元；2025年机制数量进一步增至80个，覆盖排放量近150亿吨二氧化碳当量、约占全球排放的28%。中国于2021年7月启动的全国碳排放权交易市场，正是这一扩散浪潮中覆盖排放规模最大的单体市场，其制度设计同样以核算、报告与核查标准为根基。图3.2给出了欧盟与中国两个最重要碳市场的价格走势对比。</w:t>
      </w:r>
    </w:p>
    <w:p>
      <w:pPr>
        <w:spacing w:before="120" w:after="40"/>
        <w:jc w:val="center"/>
      </w:pPr>
      <w:r>
        <w:drawing>
          <wp:inline xmlns:a="http://schemas.openxmlformats.org/drawingml/2006/main" xmlns:pic="http://schemas.openxmlformats.org/drawingml/2006/picture">
            <wp:extent cx="4860000" cy="2705607"/>
            <wp:docPr id="6" name="Picture 6"/>
            <wp:cNvGraphicFramePr>
              <a:graphicFrameLocks noChangeAspect="1"/>
            </wp:cNvGraphicFramePr>
            <a:graphic>
              <a:graphicData uri="http://schemas.openxmlformats.org/drawingml/2006/picture">
                <pic:pic>
                  <pic:nvPicPr>
                    <pic:cNvPr id="0" name="fig3_2.png"/>
                    <pic:cNvPicPr/>
                  </pic:nvPicPr>
                  <pic:blipFill>
                    <a:blip r:embed="rId14"/>
                    <a:stretch>
                      <a:fillRect/>
                    </a:stretch>
                  </pic:blipFill>
                  <pic:spPr>
                    <a:xfrm>
                      <a:off x="0" y="0"/>
                      <a:ext cx="4860000" cy="2705607"/>
                    </a:xfrm>
                    <a:prstGeom prst="rect"/>
                  </pic:spPr>
                </pic:pic>
              </a:graphicData>
            </a:graphic>
          </wp:inline>
        </w:drawing>
      </w:r>
    </w:p>
    <w:p>
      <w:pPr>
        <w:keepNext w:val="0"/>
        <w:spacing w:after="40"/>
        <w:jc w:val="center"/>
      </w:pPr>
      <w:r>
        <w:rPr>
          <w:rFonts w:ascii="黑体" w:hAnsi="黑体" w:eastAsia="黑体"/>
          <w:sz w:val="21"/>
        </w:rPr>
        <w:t>图3.2  欧盟ETS与中国全国碳市场配额价格走势（2013—2025）</w:t>
      </w:r>
    </w:p>
    <w:p>
      <w:pPr>
        <w:spacing w:after="200" w:line="240" w:lineRule="auto"/>
        <w:jc w:val="both"/>
      </w:pPr>
      <w:r>
        <w:rPr>
          <w:rFonts w:ascii="宋体" w:hAnsi="宋体" w:eastAsia="宋体"/>
          <w:sz w:val="18"/>
        </w:rPr>
        <w:t>注：左轴为欧盟碳市场EUA年均价（欧元/吨），右轴为全国碳市场CEA年均价（元/吨）；两条竖直虚线分别标示全国碳市场启动（2021年7月）与CBAM过渡期实施（2023年10月）。数据来源：欧洲证券和市场管理局《EU Carbon Markets Report》历年报告、生态环境部与上海环境能源交易所公开数据。</w:t>
      </w:r>
    </w:p>
    <w:p>
      <w:pPr>
        <w:spacing w:line="360" w:lineRule="auto" w:after="0"/>
        <w:ind w:firstLineChars="200" w:firstLine="480"/>
        <w:jc w:val="both"/>
      </w:pPr>
      <w:r>
        <w:rPr>
          <w:rFonts w:ascii="宋体" w:hAnsi="宋体" w:eastAsia="宋体"/>
          <w:sz w:val="24"/>
        </w:rPr>
        <w:t>由图3.2可见，两条价格曲线呈现“水平差距悬殊、波动逻辑各异”的鲜明特征。就欧盟而言，EUA年均价由2013年的4.5欧元/吨升至2022年的约81欧元/吨，2021年均价约53欧元、较改革前跃升数倍，2023年2月21日盘中更首次突破100欧元关口（最高101.25欧元）；此后随能源市场缓和与工业需求走弱，2023年均价约83欧元、年末回落至约70欧元，2024年均价降至约65欧元（同比下降约22%），2025年大部分时间在60—80欧元区间波动、年均价回升约13%至约73欧元，年末升至约84欧元。就中国而言，全国碳市场2021年7月16日上线首日开盘价48.00元/吨，首个履约周期成交均价约42.85元/吨；2024年4月24日碳价首次突破100元/吨、年末收盘97.49元/吨（较上年末上涨22.75%），2025年在扩围放量背景下回落，全年成交均价62.36元/吨、年末收盘74.63元/吨。两相对照，以2025年年均价计，EUA折合人民币仍数倍于中国碳价，且欧盟价格波动主要由配额收紧预期与能源市场驱动，中国价格波动则与履约周期节奏和市场扩围进程紧密相关。这一价差正是CBAM抵扣规则下中国出口企业潜在碳关税负担的直接来源，也是第12章测算国际适配性经济影响的关键参数背景。</w:t>
      </w:r>
    </w:p>
    <w:p>
      <w:pPr>
        <w:spacing w:line="360" w:lineRule="auto" w:after="0"/>
        <w:ind w:firstLineChars="200" w:firstLine="480"/>
        <w:jc w:val="both"/>
      </w:pPr>
      <w:r>
        <w:rPr>
          <w:rFonts w:ascii="宋体" w:hAnsi="宋体" w:eastAsia="宋体"/>
          <w:sz w:val="24"/>
        </w:rPr>
        <w:t>制度化规制的第二条战线在金融领域展开。2006年，联合国责任投资原则组织（UNPRI）成立，将环境、社会与治理（ESG）因素纳入投资决策的原则转化为机构投资者的集体承诺；2014年，国际资本市场协会发布《绿色债券原则》，以募集资金用途、项目评估遴选、资金管理与信息报告四要素确立绿色债券市场的自律标准，催生了此后蓬勃发展的贴标绿色债券市场（Newell和Paterson，2010）。更具枢纽意义的是气候信息披露框架的建立：2015年12月，金融稳定理事会设立气候相关财务信息披露工作组（TCFD），2017年6月发布最终建议报告，提出治理、战略、风险管理、指标与目标四支柱框架，并倡导以情景分析评估气候风险。TCFD框架此后被各国监管机构与交易所广泛采认，从自愿倡议逐步演变为准强制披露基准，实现了气候标准从实体经济向金融体系的关键一跳——通过资本配置渠道，标准的约束力被放大到所有寻求融资的企业。</w:t>
      </w:r>
    </w:p>
    <w:p>
      <w:pPr>
        <w:spacing w:line="360" w:lineRule="auto" w:after="0"/>
        <w:ind w:firstLineChars="200" w:firstLine="480"/>
        <w:jc w:val="both"/>
      </w:pPr>
      <w:r>
        <w:rPr>
          <w:rFonts w:ascii="宋体" w:hAnsi="宋体" w:eastAsia="宋体"/>
          <w:sz w:val="24"/>
        </w:rPr>
        <w:t>2015年通过的《巴黎协定》重塑了标准化的宏观制度环境。与京都模式自上而下分配减排义务不同，《巴黎协定》确立了“自下而上承诺+全球盘点棘轮”的新逻辑：各国自主提出国家自主贡献，通过五年一次的全球盘点与透明度框架施加同侪压力（Falkner，2016；Hale，2020）。这一转变对标准化的含义极为深刻：当减排义务不再由条约统一规定，可比较、可核验的核算与报告标准就成为维系体系互信的唯一技术纽带，增强透明度框架实质上把标准推上了全球气候治理的枢纽位置；同时，第六条创设的合作方法与可持续发展机制，为跨国减排成果转让规定了相应调整等核算规则，进一步扩大了国际标准的适用场景。欧盟在协定达成过程中发挥了关键的桥梁与推动作用，其“以身作则+联盟构建”的领导策略为此后规则输出积累了政治资本（Oberthür和Groen，2018）。</w:t>
      </w:r>
    </w:p>
    <w:p>
      <w:pPr>
        <w:spacing w:line="360" w:lineRule="auto" w:after="0"/>
        <w:ind w:firstLineChars="200" w:firstLine="480"/>
        <w:jc w:val="both"/>
      </w:pPr>
      <w:r>
        <w:rPr>
          <w:rFonts w:ascii="宋体" w:hAnsi="宋体" w:eastAsia="宋体"/>
          <w:sz w:val="24"/>
        </w:rPr>
        <w:t>产品层面的碳足迹标准化在本阶段亦完成关键跳跃。2008年，英国标准协会发布PAS 2050规范，首次为商品与服务全生命周期温室气体排放评价提供了可操作的公开规范，引发全球碳标签实践的第一波浪潮（冯相昭等，2010）；在其基础上，ISO于2013年发布技术规范ISO/TS 14067，2018年升级为正式国际标准ISO 14067，统一了产品碳足迹量化的原则、要求与指南（Wu等，2015；童庆蒙等，2018）。产品碳足迹标准把核算颗粒度从组织细化到单个产品，为绿色消费、绿色采购与后来的碳边境调节提供了技术接口，其方法论积累在战略工具化阶段被欧盟新电池法等产品规制直接征用。</w:t>
      </w:r>
    </w:p>
    <w:p>
      <w:pPr>
        <w:spacing w:line="360" w:lineRule="auto" w:after="0"/>
        <w:ind w:firstLineChars="200" w:firstLine="480"/>
        <w:jc w:val="both"/>
      </w:pPr>
      <w:r>
        <w:rPr>
          <w:rFonts w:ascii="宋体" w:hAnsi="宋体" w:eastAsia="宋体"/>
          <w:sz w:val="24"/>
        </w:rPr>
        <w:t>总体来看，制度化规制阶段的特征可概括为：主导主体由技术共同体转向主权国家与金融监管者；规则形态由自愿性规范转向嵌入市场机制与披露制度的强制性规制；约束强度由声誉性上升为合规性。标准不再仅仅回答“如何测量碳”，而是进一步回答“谁必须测量、向谁报告、由谁核查、违规如何处置”。在这一过程中，掌握制度设计权的经济体——尤其是欧盟——通过将自身偏好写入市场规则与披露框架，悄然积累了向外辐射的规则势能，为下一阶段的战略化运用埋下伏笔。</w:t>
      </w:r>
    </w:p>
    <w:p>
      <w:pPr>
        <w:keepNext/>
        <w:spacing w:before="160" w:after="120" w:line="360" w:lineRule="auto"/>
        <w:outlineLvl w:val="2"/>
      </w:pPr>
      <w:r>
        <w:rPr>
          <w:rFonts w:ascii="黑体" w:hAnsi="黑体" w:eastAsia="黑体"/>
          <w:sz w:val="24"/>
        </w:rPr>
        <w:t>3.1.3  战略工具化阶段（2021年至今）：标准成为竞争武器</w:t>
      </w:r>
    </w:p>
    <w:p>
      <w:pPr>
        <w:spacing w:line="360" w:lineRule="auto" w:after="0"/>
        <w:ind w:firstLineChars="200" w:firstLine="480"/>
        <w:jc w:val="both"/>
      </w:pPr>
      <w:r>
        <w:rPr>
          <w:rFonts w:ascii="宋体" w:hAnsi="宋体" w:eastAsia="宋体"/>
          <w:sz w:val="24"/>
        </w:rPr>
        <w:t>2020年前后，全球气候治理出现结构性转折：欧盟于2019年12月发布《欧洲绿色协议》、2021年6月将2050年气候中和目标写入《欧洲气候法》；中国于2020年9月22日宣布碳达峰碳中和目标；日本、韩国相继作出2050年碳中和承诺；美国于2021年重返《巴黎协定》。当主要经济体的减排目标趋同，竞争焦点便从“是否减排”转向“按谁的规则减排、由谁供给低碳技术与产品”。绿色低碳标准由此完成功能跃迁：从治理工具变为战略工具，与贸易政策、产业政策深度绑定，成为塑造产业竞争优势与规锁对手发展路径的手段（庄贵阳和王思博，2023；刘长松，2024）。2021年欧盟“减碳55”一揽子立法提出CBAM草案、美欧成立贸易与技术委员会，2022年美国出台IRA，2023年CBAM生效、ISSB准则与欧盟新电池法落地，密集的立法节奏本身就是战略竞争加剧的直接表征。</w:t>
      </w:r>
    </w:p>
    <w:p>
      <w:pPr>
        <w:spacing w:line="360" w:lineRule="auto" w:after="0"/>
        <w:ind w:firstLineChars="200" w:firstLine="480"/>
        <w:jc w:val="both"/>
      </w:pPr>
      <w:r>
        <w:rPr>
          <w:rFonts w:ascii="宋体" w:hAnsi="宋体" w:eastAsia="宋体"/>
          <w:sz w:val="24"/>
        </w:rPr>
        <w:t>CBAM是本阶段最具标志性的制度创新，其经济逻辑源于对碳泄漏的担忧：单边碳定价会推高本地碳密集产业成本，诱使产能与排放向低规制地区转移，边境碳调节则通过对进口品征收与国内碳价等值的费用恢复竞争公平（Branger和Quirion，2014；Böhringer等，2022）。这一构想在学理上讨论已久，涉及税基选择、默认值设定、出口退税与世贸组织合规性等复杂设计问题（Mehling等，2019；Cosbey等，2019）。欧盟将其率先付诸立法：《欧盟碳边境调节机制条例》（Regulation (EU) 2023/956）于2023年5月10日由欧洲议会和理事会签署通过，5月16日刊登《欧盟官方公报》，5月17日正式生效；2023年10月1日起进入过渡期，进口商仅须按季度申报覆盖产品的隐含排放而无须付费；2026年1月1日起进入正式实施期，仅“授权CBAM申报人”可进口覆盖商品并须购买CBAM证书清缴。覆盖产品为水泥、钢铁、铝、化肥、电力、氢六类；证书价格与EU ETS配额拍卖均价挂钩，欧盟委员会公布的2026年第一季度证书价格为75.36欧元/吨、第二季度为75.28欧元/吨。2025年10月20日生效的“一揽子简化”修正条例（Regulation (EU) 2025/2083）以每年50吨累计净重的单一质量门槛取代原每票150欧元豁免，据欧盟委员会测算约豁免90%的进口商（多为中小企业），但仍覆盖约99%的隐含排放。表3.2系统汇总了CBAM的关键制度参数。</w:t>
      </w:r>
    </w:p>
    <w:p>
      <w:pPr>
        <w:keepNext/>
        <w:spacing w:before="160" w:after="40"/>
        <w:jc w:val="center"/>
      </w:pPr>
      <w:r>
        <w:rPr>
          <w:rFonts w:ascii="黑体" w:hAnsi="黑体" w:eastAsia="黑体"/>
          <w:sz w:val="21"/>
        </w:rPr>
        <w:t>表3.2  欧盟碳边境调节机制（CBAM）关键制度参数</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835"/>
        <w:gridCol w:w="2835"/>
        <w:gridCol w:w="2835"/>
      </w:tblGrid>
      <w:tr>
        <w:tc>
          <w:tcPr>
            <w:tcW w:type="dxa" w:w="2835"/>
            <w:tcBorders>
              <w:bottom w:val="single" w:sz="6" w:color="000000"/>
            </w:tcBorders>
            <w:vAlign w:val="center"/>
          </w:tcPr>
          <w:p>
            <w:pPr>
              <w:spacing w:line="240" w:lineRule="auto" w:after="20" w:before="20"/>
              <w:jc w:val="center"/>
            </w:pPr>
            <w:r/>
            <w:r>
              <w:rPr>
                <w:rFonts w:ascii="宋体" w:hAnsi="宋体" w:eastAsia="宋体"/>
                <w:b/>
                <w:sz w:val="21"/>
              </w:rPr>
              <w:t>制度维度</w:t>
            </w:r>
          </w:p>
        </w:tc>
        <w:tc>
          <w:tcPr>
            <w:tcW w:type="dxa" w:w="2835"/>
            <w:tcBorders>
              <w:bottom w:val="single" w:sz="6" w:color="000000"/>
            </w:tcBorders>
            <w:vAlign w:val="center"/>
          </w:tcPr>
          <w:p>
            <w:pPr>
              <w:spacing w:line="240" w:lineRule="auto" w:after="20" w:before="20"/>
              <w:jc w:val="center"/>
            </w:pPr>
            <w:r/>
            <w:r>
              <w:rPr>
                <w:rFonts w:ascii="宋体" w:hAnsi="宋体" w:eastAsia="宋体"/>
                <w:b/>
                <w:sz w:val="21"/>
              </w:rPr>
              <w:t>关键参数与安排</w:t>
            </w:r>
          </w:p>
        </w:tc>
        <w:tc>
          <w:tcPr>
            <w:tcW w:type="dxa" w:w="2835"/>
            <w:tcBorders>
              <w:bottom w:val="single" w:sz="6" w:color="000000"/>
            </w:tcBorders>
            <w:vAlign w:val="center"/>
          </w:tcPr>
          <w:p>
            <w:pPr>
              <w:spacing w:line="240" w:lineRule="auto" w:after="20" w:before="20"/>
              <w:jc w:val="center"/>
            </w:pPr>
            <w:r/>
            <w:r>
              <w:rPr>
                <w:rFonts w:ascii="宋体" w:hAnsi="宋体" w:eastAsia="宋体"/>
                <w:b/>
                <w:sz w:val="21"/>
              </w:rPr>
              <w:t>说明</w:t>
            </w:r>
          </w:p>
        </w:tc>
      </w:tr>
      <w:tr>
        <w:tc>
          <w:tcPr>
            <w:tcW w:type="dxa" w:w="2835"/>
            <w:vAlign w:val="center"/>
          </w:tcPr>
          <w:p>
            <w:pPr>
              <w:spacing w:line="240" w:lineRule="auto" w:after="20" w:before="20"/>
              <w:jc w:val="left"/>
            </w:pPr>
            <w:r/>
            <w:r>
              <w:rPr>
                <w:rFonts w:ascii="宋体" w:hAnsi="宋体" w:eastAsia="宋体"/>
                <w:sz w:val="21"/>
              </w:rPr>
              <w:t>法律依据</w:t>
            </w:r>
          </w:p>
        </w:tc>
        <w:tc>
          <w:tcPr>
            <w:tcW w:type="dxa" w:w="2835"/>
            <w:vAlign w:val="center"/>
          </w:tcPr>
          <w:p>
            <w:pPr>
              <w:spacing w:line="240" w:lineRule="auto" w:after="20" w:before="20"/>
              <w:jc w:val="left"/>
            </w:pPr>
            <w:r/>
            <w:r>
              <w:rPr>
                <w:rFonts w:ascii="宋体" w:hAnsi="宋体" w:eastAsia="宋体"/>
                <w:sz w:val="21"/>
              </w:rPr>
              <w:t>欧盟条例(EU) 2023/956</w:t>
            </w:r>
          </w:p>
        </w:tc>
        <w:tc>
          <w:tcPr>
            <w:tcW w:type="dxa" w:w="2835"/>
            <w:vAlign w:val="center"/>
          </w:tcPr>
          <w:p>
            <w:pPr>
              <w:spacing w:line="240" w:lineRule="auto" w:after="20" w:before="20"/>
              <w:jc w:val="left"/>
            </w:pPr>
            <w:r/>
            <w:r>
              <w:rPr>
                <w:rFonts w:ascii="宋体" w:hAnsi="宋体" w:eastAsia="宋体"/>
                <w:sz w:val="21"/>
              </w:rPr>
              <w:t>2023年5月10日签署通过，5月16日刊登《欧盟官方公报》，5月17日正式生效</w:t>
            </w:r>
          </w:p>
        </w:tc>
      </w:tr>
      <w:tr>
        <w:tc>
          <w:tcPr>
            <w:tcW w:type="dxa" w:w="2835"/>
            <w:vAlign w:val="center"/>
          </w:tcPr>
          <w:p>
            <w:pPr>
              <w:spacing w:line="240" w:lineRule="auto" w:after="20" w:before="20"/>
              <w:jc w:val="left"/>
            </w:pPr>
            <w:r/>
            <w:r>
              <w:rPr>
                <w:rFonts w:ascii="宋体" w:hAnsi="宋体" w:eastAsia="宋体"/>
                <w:sz w:val="21"/>
              </w:rPr>
              <w:t>覆盖产品</w:t>
            </w:r>
          </w:p>
        </w:tc>
        <w:tc>
          <w:tcPr>
            <w:tcW w:type="dxa" w:w="2835"/>
            <w:vAlign w:val="center"/>
          </w:tcPr>
          <w:p>
            <w:pPr>
              <w:spacing w:line="240" w:lineRule="auto" w:after="20" w:before="20"/>
              <w:jc w:val="left"/>
            </w:pPr>
            <w:r/>
            <w:r>
              <w:rPr>
                <w:rFonts w:ascii="宋体" w:hAnsi="宋体" w:eastAsia="宋体"/>
                <w:sz w:val="21"/>
              </w:rPr>
              <w:t>水泥、钢铁、铝、化肥、电力、氢六类</w:t>
            </w:r>
          </w:p>
        </w:tc>
        <w:tc>
          <w:tcPr>
            <w:tcW w:type="dxa" w:w="2835"/>
            <w:vAlign w:val="center"/>
          </w:tcPr>
          <w:p>
            <w:pPr>
              <w:spacing w:line="240" w:lineRule="auto" w:after="20" w:before="20"/>
              <w:jc w:val="left"/>
            </w:pPr>
            <w:r/>
            <w:r>
              <w:rPr>
                <w:rFonts w:ascii="宋体" w:hAnsi="宋体" w:eastAsia="宋体"/>
                <w:sz w:val="21"/>
              </w:rPr>
              <w:t>以碳泄漏风险与隐含排放强度为遴选依据，未来拟评估扩展至下游制品与更多行业</w:t>
            </w:r>
          </w:p>
        </w:tc>
      </w:tr>
      <w:tr>
        <w:tc>
          <w:tcPr>
            <w:tcW w:type="dxa" w:w="2835"/>
            <w:vAlign w:val="center"/>
          </w:tcPr>
          <w:p>
            <w:pPr>
              <w:spacing w:line="240" w:lineRule="auto" w:after="20" w:before="20"/>
              <w:jc w:val="left"/>
            </w:pPr>
            <w:r/>
            <w:r>
              <w:rPr>
                <w:rFonts w:ascii="宋体" w:hAnsi="宋体" w:eastAsia="宋体"/>
                <w:sz w:val="21"/>
              </w:rPr>
              <w:t>过渡期</w:t>
            </w:r>
          </w:p>
        </w:tc>
        <w:tc>
          <w:tcPr>
            <w:tcW w:type="dxa" w:w="2835"/>
            <w:vAlign w:val="center"/>
          </w:tcPr>
          <w:p>
            <w:pPr>
              <w:spacing w:line="240" w:lineRule="auto" w:after="20" w:before="20"/>
              <w:jc w:val="left"/>
            </w:pPr>
            <w:r/>
            <w:r>
              <w:rPr>
                <w:rFonts w:ascii="宋体" w:hAnsi="宋体" w:eastAsia="宋体"/>
                <w:sz w:val="21"/>
              </w:rPr>
              <w:t>2023年10月1日至2025年12月31日</w:t>
            </w:r>
          </w:p>
        </w:tc>
        <w:tc>
          <w:tcPr>
            <w:tcW w:type="dxa" w:w="2835"/>
            <w:vAlign w:val="center"/>
          </w:tcPr>
          <w:p>
            <w:pPr>
              <w:spacing w:line="240" w:lineRule="auto" w:after="20" w:before="20"/>
              <w:jc w:val="left"/>
            </w:pPr>
            <w:r/>
            <w:r>
              <w:rPr>
                <w:rFonts w:ascii="宋体" w:hAnsi="宋体" w:eastAsia="宋体"/>
                <w:sz w:val="21"/>
              </w:rPr>
              <w:t>进口商仅按季度申报隐含排放，不承担付费义务</w:t>
            </w:r>
          </w:p>
        </w:tc>
      </w:tr>
      <w:tr>
        <w:tc>
          <w:tcPr>
            <w:tcW w:type="dxa" w:w="2835"/>
            <w:vAlign w:val="center"/>
          </w:tcPr>
          <w:p>
            <w:pPr>
              <w:spacing w:line="240" w:lineRule="auto" w:after="20" w:before="20"/>
              <w:jc w:val="left"/>
            </w:pPr>
            <w:r/>
            <w:r>
              <w:rPr>
                <w:rFonts w:ascii="宋体" w:hAnsi="宋体" w:eastAsia="宋体"/>
                <w:sz w:val="21"/>
              </w:rPr>
              <w:t>正式实施期</w:t>
            </w:r>
          </w:p>
        </w:tc>
        <w:tc>
          <w:tcPr>
            <w:tcW w:type="dxa" w:w="2835"/>
            <w:vAlign w:val="center"/>
          </w:tcPr>
          <w:p>
            <w:pPr>
              <w:spacing w:line="240" w:lineRule="auto" w:after="20" w:before="20"/>
              <w:jc w:val="left"/>
            </w:pPr>
            <w:r/>
            <w:r>
              <w:rPr>
                <w:rFonts w:ascii="宋体" w:hAnsi="宋体" w:eastAsia="宋体"/>
                <w:sz w:val="21"/>
              </w:rPr>
              <w:t>2026年1月1日起</w:t>
            </w:r>
          </w:p>
        </w:tc>
        <w:tc>
          <w:tcPr>
            <w:tcW w:type="dxa" w:w="2835"/>
            <w:vAlign w:val="center"/>
          </w:tcPr>
          <w:p>
            <w:pPr>
              <w:spacing w:line="240" w:lineRule="auto" w:after="20" w:before="20"/>
              <w:jc w:val="left"/>
            </w:pPr>
            <w:r/>
            <w:r>
              <w:rPr>
                <w:rFonts w:ascii="宋体" w:hAnsi="宋体" w:eastAsia="宋体"/>
                <w:sz w:val="21"/>
              </w:rPr>
              <w:t>仅“授权CBAM申报人”可进口覆盖商品，须购买并清缴CBAM证书</w:t>
            </w:r>
          </w:p>
        </w:tc>
      </w:tr>
      <w:tr>
        <w:tc>
          <w:tcPr>
            <w:tcW w:type="dxa" w:w="2835"/>
            <w:vAlign w:val="center"/>
          </w:tcPr>
          <w:p>
            <w:pPr>
              <w:spacing w:line="240" w:lineRule="auto" w:after="20" w:before="20"/>
              <w:jc w:val="left"/>
            </w:pPr>
            <w:r/>
            <w:r>
              <w:rPr>
                <w:rFonts w:ascii="宋体" w:hAnsi="宋体" w:eastAsia="宋体"/>
                <w:sz w:val="21"/>
              </w:rPr>
              <w:t>证书定价</w:t>
            </w:r>
          </w:p>
        </w:tc>
        <w:tc>
          <w:tcPr>
            <w:tcW w:type="dxa" w:w="2835"/>
            <w:vAlign w:val="center"/>
          </w:tcPr>
          <w:p>
            <w:pPr>
              <w:spacing w:line="240" w:lineRule="auto" w:after="20" w:before="20"/>
              <w:jc w:val="left"/>
            </w:pPr>
            <w:r/>
            <w:r>
              <w:rPr>
                <w:rFonts w:ascii="宋体" w:hAnsi="宋体" w:eastAsia="宋体"/>
                <w:sz w:val="21"/>
              </w:rPr>
              <w:t>与EU ETS配额拍卖成交均价挂钩</w:t>
            </w:r>
          </w:p>
        </w:tc>
        <w:tc>
          <w:tcPr>
            <w:tcW w:type="dxa" w:w="2835"/>
            <w:vAlign w:val="center"/>
          </w:tcPr>
          <w:p>
            <w:pPr>
              <w:spacing w:line="240" w:lineRule="auto" w:after="20" w:before="20"/>
              <w:jc w:val="left"/>
            </w:pPr>
            <w:r/>
            <w:r>
              <w:rPr>
                <w:rFonts w:ascii="宋体" w:hAnsi="宋体" w:eastAsia="宋体"/>
                <w:sz w:val="21"/>
              </w:rPr>
              <w:t>2026年按季度均价计算并公布（第一季度75.36欧元/吨、第二季度75.28欧元/吨），2027年起改为每周均价</w:t>
            </w:r>
          </w:p>
        </w:tc>
      </w:tr>
      <w:tr>
        <w:tc>
          <w:tcPr>
            <w:tcW w:type="dxa" w:w="2835"/>
            <w:vAlign w:val="center"/>
          </w:tcPr>
          <w:p>
            <w:pPr>
              <w:spacing w:line="240" w:lineRule="auto" w:after="20" w:before="20"/>
              <w:jc w:val="left"/>
            </w:pPr>
            <w:r/>
            <w:r>
              <w:rPr>
                <w:rFonts w:ascii="宋体" w:hAnsi="宋体" w:eastAsia="宋体"/>
                <w:sz w:val="21"/>
              </w:rPr>
              <w:t>免税门槛</w:t>
            </w:r>
          </w:p>
        </w:tc>
        <w:tc>
          <w:tcPr>
            <w:tcW w:type="dxa" w:w="2835"/>
            <w:vAlign w:val="center"/>
          </w:tcPr>
          <w:p>
            <w:pPr>
              <w:spacing w:line="240" w:lineRule="auto" w:after="20" w:before="20"/>
              <w:jc w:val="left"/>
            </w:pPr>
            <w:r/>
            <w:r>
              <w:rPr>
                <w:rFonts w:ascii="宋体" w:hAnsi="宋体" w:eastAsia="宋体"/>
                <w:sz w:val="21"/>
              </w:rPr>
              <w:t>每年累计净重50吨的单一质量门槛</w:t>
            </w:r>
          </w:p>
        </w:tc>
        <w:tc>
          <w:tcPr>
            <w:tcW w:type="dxa" w:w="2835"/>
            <w:vAlign w:val="center"/>
          </w:tcPr>
          <w:p>
            <w:pPr>
              <w:spacing w:line="240" w:lineRule="auto" w:after="20" w:before="20"/>
              <w:jc w:val="left"/>
            </w:pPr>
            <w:r/>
            <w:r>
              <w:rPr>
                <w:rFonts w:ascii="宋体" w:hAnsi="宋体" w:eastAsia="宋体"/>
                <w:sz w:val="21"/>
              </w:rPr>
              <w:t>由2025年10月20日生效的修正条例(EU) 2025/2083确立，取代原每票150欧元豁免；约豁免90%的进口商，仍覆盖约99%的隐含排放；电力与氢不适用</w:t>
            </w:r>
          </w:p>
        </w:tc>
      </w:tr>
      <w:tr>
        <w:tc>
          <w:tcPr>
            <w:tcW w:type="dxa" w:w="2835"/>
            <w:vAlign w:val="center"/>
          </w:tcPr>
          <w:p>
            <w:pPr>
              <w:spacing w:line="240" w:lineRule="auto" w:after="20" w:before="20"/>
              <w:jc w:val="left"/>
            </w:pPr>
            <w:r/>
            <w:r>
              <w:rPr>
                <w:rFonts w:ascii="宋体" w:hAnsi="宋体" w:eastAsia="宋体"/>
                <w:sz w:val="21"/>
              </w:rPr>
              <w:t>碳价抵扣</w:t>
            </w:r>
          </w:p>
        </w:tc>
        <w:tc>
          <w:tcPr>
            <w:tcW w:type="dxa" w:w="2835"/>
            <w:vAlign w:val="center"/>
          </w:tcPr>
          <w:p>
            <w:pPr>
              <w:spacing w:line="240" w:lineRule="auto" w:after="20" w:before="20"/>
              <w:jc w:val="left"/>
            </w:pPr>
            <w:r/>
            <w:r>
              <w:rPr>
                <w:rFonts w:ascii="宋体" w:hAnsi="宋体" w:eastAsia="宋体"/>
                <w:sz w:val="21"/>
              </w:rPr>
              <w:t>原产国已实际支付的碳价可申请抵扣</w:t>
            </w:r>
          </w:p>
        </w:tc>
        <w:tc>
          <w:tcPr>
            <w:tcW w:type="dxa" w:w="2835"/>
            <w:vAlign w:val="center"/>
          </w:tcPr>
          <w:p>
            <w:pPr>
              <w:spacing w:line="240" w:lineRule="auto" w:after="20" w:before="20"/>
              <w:jc w:val="left"/>
            </w:pPr>
            <w:r/>
            <w:r>
              <w:rPr>
                <w:rFonts w:ascii="宋体" w:hAnsi="宋体" w:eastAsia="宋体"/>
                <w:sz w:val="21"/>
              </w:rPr>
              <w:t>出口国碳定价水平及其核算规则获欧盟认可的程度，直接决定可抵扣额度</w:t>
            </w:r>
          </w:p>
        </w:tc>
      </w:tr>
      <w:tr>
        <w:tc>
          <w:tcPr>
            <w:tcW w:type="dxa" w:w="2835"/>
            <w:vAlign w:val="center"/>
          </w:tcPr>
          <w:p>
            <w:pPr>
              <w:spacing w:line="240" w:lineRule="auto" w:after="20" w:before="20"/>
              <w:jc w:val="left"/>
            </w:pPr>
            <w:r/>
            <w:r>
              <w:rPr>
                <w:rFonts w:ascii="宋体" w:hAnsi="宋体" w:eastAsia="宋体"/>
                <w:sz w:val="21"/>
              </w:rPr>
              <w:t>与免费配额衔接</w:t>
            </w:r>
          </w:p>
        </w:tc>
        <w:tc>
          <w:tcPr>
            <w:tcW w:type="dxa" w:w="2835"/>
            <w:vAlign w:val="center"/>
          </w:tcPr>
          <w:p>
            <w:pPr>
              <w:spacing w:line="240" w:lineRule="auto" w:after="20" w:before="20"/>
              <w:jc w:val="left"/>
            </w:pPr>
            <w:r/>
            <w:r>
              <w:rPr>
                <w:rFonts w:ascii="宋体" w:hAnsi="宋体" w:eastAsia="宋体"/>
                <w:sz w:val="21"/>
              </w:rPr>
              <w:t>2026—2034年EU ETS免费配额逐步退出</w:t>
            </w:r>
          </w:p>
        </w:tc>
        <w:tc>
          <w:tcPr>
            <w:tcW w:type="dxa" w:w="2835"/>
            <w:vAlign w:val="center"/>
          </w:tcPr>
          <w:p>
            <w:pPr>
              <w:spacing w:line="240" w:lineRule="auto" w:after="20" w:before="20"/>
              <w:jc w:val="left"/>
            </w:pPr>
            <w:r/>
            <w:r>
              <w:rPr>
                <w:rFonts w:ascii="宋体" w:hAnsi="宋体" w:eastAsia="宋体"/>
                <w:sz w:val="21"/>
              </w:rPr>
              <w:t>CBAM覆盖比例与免费配额退坡同步等比例提高，至2034年实现全额覆盖</w:t>
            </w:r>
          </w:p>
        </w:tc>
      </w:tr>
    </w:tbl>
    <w:p>
      <w:pPr>
        <w:spacing w:after="200" w:line="240" w:lineRule="auto"/>
      </w:pPr>
      <w:r>
        <w:rPr>
          <w:rFonts w:ascii="宋体" w:hAnsi="宋体" w:eastAsia="宋体"/>
          <w:sz w:val="18"/>
        </w:rPr>
        <w:t>注：制度参数以2026年7月欧盟委员会公布口径为准。数据来源：EUR-Lex（Regulation (EU) 2023/956、Regulation (EU) 2025/2083、Commission Implementing Regulation (EU) 2025/2548）及欧盟委员会税务与海关总司官方网站。</w:t>
      </w:r>
    </w:p>
    <w:p>
      <w:pPr>
        <w:spacing w:line="360" w:lineRule="auto" w:after="0"/>
        <w:ind w:firstLineChars="200" w:firstLine="480"/>
        <w:jc w:val="both"/>
      </w:pPr>
      <w:r>
        <w:rPr>
          <w:rFonts w:ascii="宋体" w:hAnsi="宋体" w:eastAsia="宋体"/>
          <w:sz w:val="24"/>
        </w:rPr>
        <w:t>表3.2揭示的制度细节值得逐一品味。其一，证书定价与EU ETS拍卖价直接挂钩，意味着欧盟境内碳价的每一次波动都会同步传导为进口成本，欧盟事实上获得了对贸易伙伴出口成本的间接定价权；其二，碳价抵扣条款把“出口国碳市场是否被欧盟认可”变成真金白银的问题，构成对各国碳定价与核算标准向欧盟规则靠拢的强激励，这正是布鲁塞尔效应在碳领域的制度化表达（刘梦佳和李志永，2025；杨茹凯，2025）；其三，隐含排放的计量必须遵循欧盟实施条例规定的核算方法与默认值，出口企业若无法提供符合欧盟标准的实测数据，将被适用通常偏高的默认排放强度，核算标准差距由此直接转化为成本劣势；其四，免税门槛的简化表明欧盟在行政成本与规制覆盖之间进行了精细权衡，以2025年修正条例将合规负担集中于排放实质重要的大宗进口。模拟研究普遍表明，CBAM对欧盟自身产业的保护效果有限，但对出口国尤其是发展中经济体的分配效应显著（Bellora和Fontagné，2023；Magacho等，2024）。</w:t>
      </w:r>
    </w:p>
    <w:p>
      <w:pPr>
        <w:spacing w:line="360" w:lineRule="auto" w:after="0"/>
        <w:ind w:firstLineChars="200" w:firstLine="480"/>
        <w:jc w:val="both"/>
      </w:pPr>
      <w:r>
        <w:rPr>
          <w:rFonts w:ascii="宋体" w:hAnsi="宋体" w:eastAsia="宋体"/>
          <w:sz w:val="24"/>
        </w:rPr>
        <w:t>对中国而言，CBAM的直接敞口集中于钢铁与铝：2022年中国对欧盟出口CBAM覆盖商品约205亿美元，其中钢铁约146亿美元、铝约55亿美元，两者合计约占受影响出口的绝对主体；六类商品合计仅占中国对欧出口总额的约0.8%，总量冲击可控，但行业冲击集中。权威测算显示，CBAM每年或使中国出口成本增加约14亿美元，约相当于对欧出口总额的0.3%；分行业看，到2034年免费配额完全退出时，仅直接排放口径的CBAM费用约达11.6亿欧元/年，计入电力间接排放后约15.7亿欧元/年，钢铁产品每吨成本将增加约130—160欧元、售价上升10%—15%（陈诗一和朱渝铖，2024；张兵兵等，2025）。更深层的影响在于规则示范：英国已立法推进自2027年起实施的英国版CBAM，其他发达经济体亦在评估类似机制（杨茹凯，2025），倘若碳边境调节多边化，中国高碳行业面临的将不是单一市场的成本冲击，而是全球市场准入规则的系统性重构（Overland和Sabyrbekov，2022）。</w:t>
      </w:r>
    </w:p>
    <w:p>
      <w:pPr>
        <w:spacing w:line="360" w:lineRule="auto" w:after="0"/>
        <w:ind w:firstLineChars="200" w:firstLine="480"/>
        <w:jc w:val="both"/>
      </w:pPr>
      <w:r>
        <w:rPr>
          <w:rFonts w:ascii="宋体" w:hAnsi="宋体" w:eastAsia="宋体"/>
          <w:sz w:val="24"/>
        </w:rPr>
        <w:t>与CBAM的规制路径不同，美国以财政激励重塑规则。2022年8月16日，拜登签署《通胀削减法案》，计划投入约3690亿美元支持气候与清洁能源，其核心工具是覆盖清洁电力、储能、氢能、关键矿物与清洁汽车的税收抵免体系：先进制造业生产税收抵免（第45X条）按本土产量补贴光伏、风电、电池组件制造，清洁汽车税收抵免（第30D条）则以北美总装、电池组件与关键矿物本地含量为取得条件，并明确排除“受关注外国实体”供应链（屠新泉和曾瑞，2024）。这种“补贴+本地含量”组合虽不直接设定碳标准，却通过市场规模与投资引导确立了事实上的供应链标准与原产地规则，引发全球绿色产业政策的竞争性升级：欧盟随即推出《绿色协议产业计划》与《净零工业法案》回应，各主要经济体的补贴竞赛使世贸组织补贴纪律面临前所未有的压力（Bradlow和Kentikelenis，2024；屠新泉和曾瑞，2026）。与此同时，2021年6月成立的美欧贸易与技术委员会设立技术标准、气候与清洁技术等十个工作组，试图在跨大西洋层面协调绿色标准并共同应对所谓“非市场经济做法”，其框架下谈判的全球可持续钢铝安排更计划以碳排放强度为基准重构钢铝贸易秩序，尽管谈判几经波折，其“以标准划圈、以联盟设界”的思路已清晰可见（Goldthau和Hughes，2020）。</w:t>
      </w:r>
    </w:p>
    <w:p>
      <w:pPr>
        <w:spacing w:line="360" w:lineRule="auto" w:after="0"/>
        <w:ind w:firstLineChars="200" w:firstLine="480"/>
        <w:jc w:val="both"/>
      </w:pPr>
      <w:r>
        <w:rPr>
          <w:rFonts w:ascii="宋体" w:hAnsi="宋体" w:eastAsia="宋体"/>
          <w:sz w:val="24"/>
        </w:rPr>
        <w:t>企业信息披露领域的整合同样在提速。2021年11月，IFRS基金会在格拉斯哥气候大会上宣布成立国际可持续准则理事会（ISSB），整合气候披露标准理事会与价值报告基金会（含SASB准则）；2023年6月，ISSB发布首批两项准则——IFRS S1《可持续相关财务信息披露一般要求》与IFRS S2《气候相关披露》，自2024年1月1日起对采用法域生效，TCFD的监督职能亦于2023年移交ISSB。IFRS S2全面吸收TCFD四支柱框架，并要求按GHG Protocol核算范围一、二、三排放，标志着企业碳核算标准经由财务报告基础设施获得准强制地位。全球数十个法域已宣布采用或正在制定基于ISSB准则的披露要求，可持续披露正从“多标准竞争”走向“全球基线+法域叠加”的新秩序（Klaaßen和Stoll，2021；陈丹丹等，2025）。</w:t>
      </w:r>
    </w:p>
    <w:p>
      <w:pPr>
        <w:spacing w:line="360" w:lineRule="auto" w:after="0"/>
        <w:ind w:firstLineChars="200" w:firstLine="480"/>
        <w:jc w:val="both"/>
      </w:pPr>
      <w:r>
        <w:rPr>
          <w:rFonts w:ascii="宋体" w:hAnsi="宋体" w:eastAsia="宋体"/>
          <w:sz w:val="24"/>
        </w:rPr>
        <w:t>产品维度的战略工具化以欧盟新电池法为典型。《欧盟电池与废电池法规》（Regulation (EU) 2023/1542）于2023年7月12日通过、8月17日生效、2024年2月18日起适用，首创对单一产品全生命周期的碳规制闭环：电动汽车电池须申报碳足迹并分级，最终设定碳足迹上限；电池须满足再生材料最低比例要求；2027年起须配备记录碳足迹、材料来源与循环信息的“电池护照”。其电动汽车电池碳足迹申报义务原定2025年2月18日启动，因碳足迹核算方法学授权法案延迟而顺延至授权法案生效后12个月，电池尽职调查义务亦经2025年“一揽子”修订推迟至2027年8月18日。时间表虽有摇摆，但其方向明确：以产品碳足迹标准为杠杆，重塑全球动力电池供应链的准入门槛。鉴于中国动力电池企业占据全球装机的主导份额，该法规实质上构成对中国优势产业的定向规制压力，倒逼中国加快产品碳足迹标准体系与数据库建设（陆婷和徐奇渊，2023；黄俊勇和刘世锦，2023）。</w:t>
      </w:r>
    </w:p>
    <w:p>
      <w:pPr>
        <w:spacing w:line="360" w:lineRule="auto" w:after="0"/>
        <w:ind w:firstLineChars="200" w:firstLine="480"/>
        <w:jc w:val="both"/>
      </w:pPr>
      <w:r>
        <w:rPr>
          <w:rFonts w:ascii="宋体" w:hAnsi="宋体" w:eastAsia="宋体"/>
          <w:sz w:val="24"/>
        </w:rPr>
        <w:t>战略工具化阶段的特征至此清晰可辨：主导主体是将标准纳入大战略的经济体决策核心；规则形态是与关税、补贴、市场准入绑定的强制性工具；约束强度直接体现为成本与准入。标准化的议题也从“如何测量碳、谁必须披露碳”进一步演变为“谁的规则定义合规、谁为规则差距买单”。这一阶段远未终结，规则竞争的烈度仍在上升，其最终格局将深刻影响包括中国在内的各经济体绿色转型的外部条件。</w:t>
      </w:r>
    </w:p>
    <w:p>
      <w:pPr>
        <w:keepNext/>
        <w:spacing w:before="160" w:after="120" w:line="360" w:lineRule="auto"/>
        <w:outlineLvl w:val="1"/>
      </w:pPr>
      <w:r>
        <w:rPr>
          <w:rFonts w:ascii="黑体" w:hAnsi="黑体" w:eastAsia="黑体"/>
          <w:sz w:val="28"/>
        </w:rPr>
        <w:t>3.2  主要经济体绿色低碳标准化战略比较</w:t>
      </w:r>
    </w:p>
    <w:p>
      <w:pPr>
        <w:spacing w:line="360" w:lineRule="auto" w:after="0"/>
        <w:ind w:firstLineChars="200" w:firstLine="480"/>
        <w:jc w:val="both"/>
      </w:pPr>
      <w:r>
        <w:rPr>
          <w:rFonts w:ascii="宋体" w:hAnsi="宋体" w:eastAsia="宋体"/>
          <w:sz w:val="24"/>
        </w:rPr>
        <w:t>三阶段演进为各经济体的战略选择提供了共同背景，但资源禀赋、制度传统与产业结构的差异，使其在标准化竞争中形成了截然不同的战略类型。本节以战略定位、制度工具组合与作用机制三个维度为框架，比较欧盟、美国、日本与东盟、广大发展中经济体四类主体，并将其分别概括为“领先—控制型”“领先—争夺型”“衔接—输出型”与“跟随—突破型”（庄贵阳和王思博，2023）。这一类型学既是对现实的描述，也构成第7章三方演化博弈模型中“国际组织/国际规则方”策略空间设定的经验基础。</w:t>
      </w:r>
    </w:p>
    <w:p>
      <w:pPr>
        <w:keepNext/>
        <w:spacing w:before="160" w:after="120" w:line="360" w:lineRule="auto"/>
        <w:outlineLvl w:val="2"/>
      </w:pPr>
      <w:r>
        <w:rPr>
          <w:rFonts w:ascii="黑体" w:hAnsi="黑体" w:eastAsia="黑体"/>
          <w:sz w:val="24"/>
        </w:rPr>
        <w:t>3.2.1  欧盟：领先—控制型战略与布鲁塞尔效应的机制剖析</w:t>
      </w:r>
    </w:p>
    <w:p>
      <w:pPr>
        <w:spacing w:line="360" w:lineRule="auto" w:after="0"/>
        <w:ind w:firstLineChars="200" w:firstLine="480"/>
        <w:jc w:val="both"/>
      </w:pPr>
      <w:r>
        <w:rPr>
          <w:rFonts w:ascii="宋体" w:hAnsi="宋体" w:eastAsia="宋体"/>
          <w:sz w:val="24"/>
        </w:rPr>
        <w:t>欧盟是全球绿色低碳标准化最坚定的“领先—控制型”玩家，其战略特征是以域内最严规制为支点，凭借统一大市场的准入杠杆将规则单边外溢为全球标准。这一路径有深厚的历史积累：从20世纪90年代率先推行环境标识与生态设计指令，到2005年建立EU ETS，再到在国际气候谈判中持续扮演规范性力量（Afionis和Stringer，2012；Oberthür和Groen，2018），欧盟逐步形成了“规制能力即竞争力”的战略认知。《欧洲绿色协议》之后，其规制体系加速成型：《欧洲气候法》将2050年气候中和与2030年减排55%的目标法律化；《可持续金融分类学条例》为“绿色经济活动”给出官方定义；《企业可持续发展报告指令》把披露义务扩展至数万家企业并及于在欧经营的外国公司；CBAM与新电池法则把规制之手直接伸向进口产品的生产过程。</w:t>
      </w:r>
    </w:p>
    <w:p>
      <w:pPr>
        <w:spacing w:line="360" w:lineRule="auto" w:after="0"/>
        <w:ind w:firstLineChars="200" w:firstLine="480"/>
        <w:jc w:val="both"/>
      </w:pPr>
      <w:r>
        <w:rPr>
          <w:rFonts w:ascii="宋体" w:hAnsi="宋体" w:eastAsia="宋体"/>
          <w:sz w:val="24"/>
        </w:rPr>
        <w:t>布鲁塞尔效应是理解欧盟战略的关键概念。其经典机制包含五个要件：庞大的消费市场、强有力的监管能力、偏好严格标准的规制传统、规制对象的非弹性（企业无法通过转移注册地规避针对市场地的规制）以及生产的不可分割性（为不同市场维持多条标准线不经济）（Bradford，2015；Bradford，2020）。当五个要件齐备，跨国企业会自愿按欧盟标准统一全球生产线（事实上的布鲁塞尔效应），继而游说母国政府采纳欧盟规则以拉平竞争条件（法律上的布鲁塞尔效应）。在绿色低碳领域，这一机制得到进一步强化：CBAM通过碳价抵扣条款激励出口国建立欧盟认可的碳定价与核算体系，属于以制度接口“主动输出”规则；电池护照与CSRD则借助供应链与资本链把披露和核算义务层层传导至欧盟域外的上游企业。研究表明，CBAM已推动多个贸易伙伴加快碳定价立法或扩容碳市场，但其效应亦有明确限度——规则输出的成败取决于目标国的市场依赖度、制度调整成本与替代市场可得性（刘梦佳和李志永，2025）。</w:t>
      </w:r>
    </w:p>
    <w:p>
      <w:pPr>
        <w:spacing w:line="360" w:lineRule="auto" w:after="0"/>
        <w:ind w:firstLineChars="200" w:firstLine="480"/>
        <w:jc w:val="both"/>
      </w:pPr>
      <w:r>
        <w:rPr>
          <w:rFonts w:ascii="宋体" w:hAnsi="宋体" w:eastAsia="宋体"/>
          <w:sz w:val="24"/>
        </w:rPr>
        <w:t>当然，领先—控制型战略并非没有代价。对内，严格规制推高能源与合规成本，在欧洲工业竞争力承压的背景下引发“规制疲劳”，2025年欧盟以“一揽子简化”方案收缩CBAM与可持续披露的适用范围，即是对内部压力的回应；对外，CBAM被众多发展中国家批评为单边主义与绿色贸易保护，在世贸组织与联合国气候谈判场合面临持续的合法性质疑（Mattoo和Subramanian，2012；Overland和Sabyrbekov，2022）。欧盟战略的可持续性，最终取决于其能否在规则雄心、产业竞争力与国际正当性之间维持微妙平衡。</w:t>
      </w:r>
    </w:p>
    <w:p>
      <w:pPr>
        <w:keepNext/>
        <w:spacing w:before="160" w:after="120" w:line="360" w:lineRule="auto"/>
        <w:outlineLvl w:val="2"/>
      </w:pPr>
      <w:r>
        <w:rPr>
          <w:rFonts w:ascii="黑体" w:hAnsi="黑体" w:eastAsia="黑体"/>
          <w:sz w:val="24"/>
        </w:rPr>
        <w:t>3.2.2  美国：领先—争夺型战略与市场激励逻辑</w:t>
      </w:r>
    </w:p>
    <w:p>
      <w:pPr>
        <w:spacing w:line="360" w:lineRule="auto" w:after="0"/>
        <w:ind w:firstLineChars="200" w:firstLine="480"/>
        <w:jc w:val="both"/>
      </w:pPr>
      <w:r>
        <w:rPr>
          <w:rFonts w:ascii="宋体" w:hAnsi="宋体" w:eastAsia="宋体"/>
          <w:sz w:val="24"/>
        </w:rPr>
        <w:t>与欧盟的规制路径形成鲜明对照，美国走的是“领先—争夺型”道路：联邦层面长期缺乏统一碳定价与强制碳标准，气候政策随政党轮替大幅摇摆——未批准《京都议定书》、2017年宣布退出《巴黎协定》又于2021年重返；但凭借技术创新体系、金融市场深度与联盟动员能力，美国始终是全球绿色规则竞争中不可忽视的变量制造者。其战略逻辑不是以规则控制市场，而是以市场争夺规则：通过大规模财政激励重构清洁技术供应链，使全球产业标准围绕美国市场与美国技术生成（Goldthau和Hughes，2020；屠新泉和曾瑞，2024）。</w:t>
      </w:r>
    </w:p>
    <w:p>
      <w:pPr>
        <w:spacing w:line="360" w:lineRule="auto" w:after="0"/>
        <w:ind w:firstLineChars="200" w:firstLine="480"/>
        <w:jc w:val="both"/>
      </w:pPr>
      <w:r>
        <w:rPr>
          <w:rFonts w:ascii="宋体" w:hAnsi="宋体" w:eastAsia="宋体"/>
          <w:sz w:val="24"/>
        </w:rPr>
        <w:t>IRA的市场激励逻辑集中体现了这一战略。与碳定价“惩罚排放”不同，IRA选择“奖励清洁”：以十年期、总额约3690亿美元的税收抵免确定性地改变清洁技术投资的相对收益，其本地含量与“受关注外国实体”条款则把补贴资格转化为供应链重组的指挥棒——企业要获得抵免，就必须把制造环节与关键矿物采购迁入北美或友岸经济体。这套安排的标准化含义在于：补贴资格认定所依据的技术路线、含量核算与排放强度规则（如清洁氢生产税收抵免按全生命周期排放强度分档），事实上构成了由财政部与能源部执笔的“美国版绿色标准”，并凭借市场引力获得域外效力（Bradlow和Kentikelenis，2024；屠新泉和曾瑞，2026）。州层面的加州低碳燃料标准、清洁汽车法规与区域温室气体倡议，以及证券监管层面几经反复的气候披露规则，则为联邦缺位提供了部分补充。美国路径的优势在于政治阻力小、产业动员快，劣势在于政策连续性差、缺乏统一碳价信号，其规则影响力高度依赖产业结果——若清洁技术竞赛胜出，美国标准便自然扩散；反之则可能自我孤立。</w:t>
      </w:r>
    </w:p>
    <w:p>
      <w:pPr>
        <w:keepNext/>
        <w:spacing w:before="160" w:after="120" w:line="360" w:lineRule="auto"/>
        <w:outlineLvl w:val="2"/>
      </w:pPr>
      <w:r>
        <w:rPr>
          <w:rFonts w:ascii="黑体" w:hAnsi="黑体" w:eastAsia="黑体"/>
          <w:sz w:val="24"/>
        </w:rPr>
        <w:t>3.2.3  日本与东盟：衔接型战略与多元化策略</w:t>
      </w:r>
    </w:p>
    <w:p>
      <w:pPr>
        <w:spacing w:line="360" w:lineRule="auto" w:after="0"/>
        <w:ind w:firstLineChars="200" w:firstLine="480"/>
        <w:jc w:val="both"/>
      </w:pPr>
      <w:r>
        <w:rPr>
          <w:rFonts w:ascii="宋体" w:hAnsi="宋体" w:eastAsia="宋体"/>
          <w:sz w:val="24"/>
        </w:rPr>
        <w:t>日本代表了资源约束型发达经济体的“衔接—输出型”策略。其标准化传统以政府—产业协调著称：1998年修订《节约能源法》引入的“领跑者制度”（Top Runner）以市场上能效最优产品动态设定强制基准，被证明是激励渐进创新的有效机制。2020年10月日本宣布2050年碳中和目标后，政策体系围绕“绿色转型”（GX）重构：2023年通过《GX推进法》，计划以政府先行投入撬动十年150万亿日元规模的官民绿色投资，发行GX经济转型债券，并分阶段建设排放交易体系——2023年度试行、2026年度全面运行，同时自2028年度起对化石燃料进口商征收碳附加费。在国际层面，日本一方面深度参与ISO、IEC治理以保持规则衔接，另一方面以“亚洲零排放共同体”（AZEC）为平台，向东南亚输出其转型技术（氢、氨混烧、高效火电）与配套标准，试图在亚洲塑造有别于欧盟激进脱碳路线的“务实转型”规则圈（庄贵阳和王思博，2023）。这一策略使日本在规则跟随者与规则塑造者之间占据了灵活的利基位置。</w:t>
      </w:r>
    </w:p>
    <w:p>
      <w:pPr>
        <w:spacing w:line="360" w:lineRule="auto" w:after="0"/>
        <w:ind w:firstLineChars="200" w:firstLine="480"/>
        <w:jc w:val="both"/>
      </w:pPr>
      <w:r>
        <w:rPr>
          <w:rFonts w:ascii="宋体" w:hAnsi="宋体" w:eastAsia="宋体"/>
          <w:sz w:val="24"/>
        </w:rPr>
        <w:t>东盟经济体则呈现“多元化承接”的图景。新加坡2019年开征东南亚首个碳税并持续上调税率，定位区域碳服务与碳信用枢纽；印度尼西亚2023年在电力行业启动强制性碳交易；东盟层面发布了可持续金融分类框架，试图在欧盟分类学与本地区发展现实之间寻求兼容。总体而言，东盟国家标准化能力参差，多以采认国际标准为主，但其在全球绿色供应链中的地位正快速上升——既承接自中国及发达经济体的产业转移，又直面CBAM等域外规制的传导压力，因而对“标准衔接成本”高度敏感。这为中国以标准合作深化区域绿色伙伴关系提供了现实空间（侯俊军等，2025）。</w:t>
      </w:r>
    </w:p>
    <w:p>
      <w:pPr>
        <w:keepNext/>
        <w:spacing w:before="160" w:after="120" w:line="360" w:lineRule="auto"/>
        <w:outlineLvl w:val="2"/>
      </w:pPr>
      <w:r>
        <w:rPr>
          <w:rFonts w:ascii="黑体" w:hAnsi="黑体" w:eastAsia="黑体"/>
          <w:sz w:val="24"/>
        </w:rPr>
        <w:t>3.2.4  发展中国家：跟随—突破的困境</w:t>
      </w:r>
    </w:p>
    <w:p>
      <w:pPr>
        <w:spacing w:line="360" w:lineRule="auto" w:after="0"/>
        <w:ind w:firstLineChars="200" w:firstLine="480"/>
        <w:jc w:val="both"/>
      </w:pPr>
      <w:r>
        <w:rPr>
          <w:rFonts w:ascii="宋体" w:hAnsi="宋体" w:eastAsia="宋体"/>
          <w:sz w:val="24"/>
        </w:rPr>
        <w:t>广大发展中国家在全球绿色低碳标准化中总体处于“跟随—突破型”位置，其困境是结构性的。第一，能力约束：碳核算需要完备的计量基础设施、排放因子数据库与专业核查队伍，多数发展中国家的国家温室气体清单尚依赖国际缺省参数，遑论企业与产品层面的精细核算（陈红敏，2011）。第二，参与约束：国际标准制定以技术共同体的持续投入为前提，发展中国家在ISO、IEC技术委员会中的席位与提案能力有限，规则文本往往内嵌发达经济体的技术路线与数据条件（Büthe和Mattli，2011）。第三，分配效应：以CBAM为代表的单边规制对发展中经济体冲击最重——模拟研究显示，CBAM给部分非洲与南亚经济体带来的出口损失相对其经济体量远高于发达经济体，而其历史累积排放责任却最小，这与“共同但有区别的责任”原则形成鲜明张力（Mattoo和Subramanian，2012；Magacho等，2024）。</w:t>
      </w:r>
    </w:p>
    <w:p>
      <w:pPr>
        <w:spacing w:line="360" w:lineRule="auto" w:after="0"/>
        <w:ind w:firstLineChars="200" w:firstLine="480"/>
        <w:jc w:val="both"/>
      </w:pPr>
      <w:r>
        <w:rPr>
          <w:rFonts w:ascii="宋体" w:hAnsi="宋体" w:eastAsia="宋体"/>
          <w:sz w:val="24"/>
        </w:rPr>
        <w:t>突破的努力沿三条路径展开：一是集体发声，印度、巴西、南非等在世贸组织与气候谈判中持续挑战碳边境措施的合法性，推动将单边措施纳入多边审议（刘长松，2024）；二是区域协作，通过区域碳市场与统一分类标准摊薄制度建设成本；三是借力跃迁，依托碳信用市场、气候资金与技术转让条款，将外部规则压力转化为国内制度建设的契机（陈雅如和赵金成，2021）。然而，只要核算能力与数据基础的南北差距未获实质弥合，发展中国家在规则博弈中的被动地位就难以根本改观。中国的特殊性在于：它既是最大的发展中国家，与全球南方共享对单边规制的立场关切，又拥有全球最完整的绿色产业体系与快速成长的标准化能力，从而具备了从“跟随”阵营中率先突围、进而为发展中国家提供规则公共品的可能。表3.3从六个维度对上述战略类型作了系统比较。</w:t>
      </w:r>
    </w:p>
    <w:p>
      <w:pPr>
        <w:keepNext/>
        <w:spacing w:before="160" w:after="40"/>
        <w:jc w:val="center"/>
      </w:pPr>
      <w:r>
        <w:rPr>
          <w:rFonts w:ascii="黑体" w:hAnsi="黑体" w:eastAsia="黑体"/>
          <w:sz w:val="21"/>
        </w:rPr>
        <w:t>表3.3  主要经济体绿色低碳标准化战略比较</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比较维度</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欧盟</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美国</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日本</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多数发展中经济体</w:t>
            </w:r>
          </w:p>
        </w:tc>
      </w:tr>
      <w:tr>
        <w:tc>
          <w:tcPr>
            <w:tcW w:type="dxa" w:w="1701"/>
            <w:vAlign w:val="center"/>
          </w:tcPr>
          <w:p>
            <w:pPr>
              <w:spacing w:line="240" w:lineRule="auto" w:after="20" w:before="20"/>
              <w:jc w:val="left"/>
            </w:pPr>
            <w:r/>
            <w:r>
              <w:rPr>
                <w:rFonts w:ascii="宋体" w:hAnsi="宋体" w:eastAsia="宋体"/>
                <w:sz w:val="21"/>
              </w:rPr>
              <w:t>战略定位</w:t>
            </w:r>
          </w:p>
        </w:tc>
        <w:tc>
          <w:tcPr>
            <w:tcW w:type="dxa" w:w="1701"/>
            <w:vAlign w:val="center"/>
          </w:tcPr>
          <w:p>
            <w:pPr>
              <w:spacing w:line="240" w:lineRule="auto" w:after="20" w:before="20"/>
              <w:jc w:val="left"/>
            </w:pPr>
            <w:r/>
            <w:r>
              <w:rPr>
                <w:rFonts w:ascii="宋体" w:hAnsi="宋体" w:eastAsia="宋体"/>
                <w:sz w:val="21"/>
              </w:rPr>
              <w:t>领先—控制型</w:t>
            </w:r>
          </w:p>
        </w:tc>
        <w:tc>
          <w:tcPr>
            <w:tcW w:type="dxa" w:w="1701"/>
            <w:vAlign w:val="center"/>
          </w:tcPr>
          <w:p>
            <w:pPr>
              <w:spacing w:line="240" w:lineRule="auto" w:after="20" w:before="20"/>
              <w:jc w:val="left"/>
            </w:pPr>
            <w:r/>
            <w:r>
              <w:rPr>
                <w:rFonts w:ascii="宋体" w:hAnsi="宋体" w:eastAsia="宋体"/>
                <w:sz w:val="21"/>
              </w:rPr>
              <w:t>领先—争夺型</w:t>
            </w:r>
          </w:p>
        </w:tc>
        <w:tc>
          <w:tcPr>
            <w:tcW w:type="dxa" w:w="1701"/>
            <w:vAlign w:val="center"/>
          </w:tcPr>
          <w:p>
            <w:pPr>
              <w:spacing w:line="240" w:lineRule="auto" w:after="20" w:before="20"/>
              <w:jc w:val="left"/>
            </w:pPr>
            <w:r/>
            <w:r>
              <w:rPr>
                <w:rFonts w:ascii="宋体" w:hAnsi="宋体" w:eastAsia="宋体"/>
                <w:sz w:val="21"/>
              </w:rPr>
              <w:t>衔接—输出型</w:t>
            </w:r>
          </w:p>
        </w:tc>
        <w:tc>
          <w:tcPr>
            <w:tcW w:type="dxa" w:w="1701"/>
            <w:vAlign w:val="center"/>
          </w:tcPr>
          <w:p>
            <w:pPr>
              <w:spacing w:line="240" w:lineRule="auto" w:after="20" w:before="20"/>
              <w:jc w:val="left"/>
            </w:pPr>
            <w:r/>
            <w:r>
              <w:rPr>
                <w:rFonts w:ascii="宋体" w:hAnsi="宋体" w:eastAsia="宋体"/>
                <w:sz w:val="21"/>
              </w:rPr>
              <w:t>跟随—突破型</w:t>
            </w:r>
          </w:p>
        </w:tc>
      </w:tr>
      <w:tr>
        <w:tc>
          <w:tcPr>
            <w:tcW w:type="dxa" w:w="1701"/>
            <w:vAlign w:val="center"/>
          </w:tcPr>
          <w:p>
            <w:pPr>
              <w:spacing w:line="240" w:lineRule="auto" w:after="20" w:before="20"/>
              <w:jc w:val="left"/>
            </w:pPr>
            <w:r/>
            <w:r>
              <w:rPr>
                <w:rFonts w:ascii="宋体" w:hAnsi="宋体" w:eastAsia="宋体"/>
                <w:sz w:val="21"/>
              </w:rPr>
              <w:t>目标锚定</w:t>
            </w:r>
          </w:p>
        </w:tc>
        <w:tc>
          <w:tcPr>
            <w:tcW w:type="dxa" w:w="1701"/>
            <w:vAlign w:val="center"/>
          </w:tcPr>
          <w:p>
            <w:pPr>
              <w:spacing w:line="240" w:lineRule="auto" w:after="20" w:before="20"/>
              <w:jc w:val="left"/>
            </w:pPr>
            <w:r/>
            <w:r>
              <w:rPr>
                <w:rFonts w:ascii="宋体" w:hAnsi="宋体" w:eastAsia="宋体"/>
                <w:sz w:val="21"/>
              </w:rPr>
              <w:t>2050年气候中和入法、2030年减排55%</w:t>
            </w:r>
          </w:p>
        </w:tc>
        <w:tc>
          <w:tcPr>
            <w:tcW w:type="dxa" w:w="1701"/>
            <w:vAlign w:val="center"/>
          </w:tcPr>
          <w:p>
            <w:pPr>
              <w:spacing w:line="240" w:lineRule="auto" w:after="20" w:before="20"/>
              <w:jc w:val="left"/>
            </w:pPr>
            <w:r/>
            <w:r>
              <w:rPr>
                <w:rFonts w:ascii="宋体" w:hAnsi="宋体" w:eastAsia="宋体"/>
                <w:sz w:val="21"/>
              </w:rPr>
              <w:t>2050年净零承诺，联邦统一立法缺位</w:t>
            </w:r>
          </w:p>
        </w:tc>
        <w:tc>
          <w:tcPr>
            <w:tcW w:type="dxa" w:w="1701"/>
            <w:vAlign w:val="center"/>
          </w:tcPr>
          <w:p>
            <w:pPr>
              <w:spacing w:line="240" w:lineRule="auto" w:after="20" w:before="20"/>
              <w:jc w:val="left"/>
            </w:pPr>
            <w:r/>
            <w:r>
              <w:rPr>
                <w:rFonts w:ascii="宋体" w:hAnsi="宋体" w:eastAsia="宋体"/>
                <w:sz w:val="21"/>
              </w:rPr>
              <w:t>2050年碳中和宣言与GX战略</w:t>
            </w:r>
          </w:p>
        </w:tc>
        <w:tc>
          <w:tcPr>
            <w:tcW w:type="dxa" w:w="1701"/>
            <w:vAlign w:val="center"/>
          </w:tcPr>
          <w:p>
            <w:pPr>
              <w:spacing w:line="240" w:lineRule="auto" w:after="20" w:before="20"/>
              <w:jc w:val="left"/>
            </w:pPr>
            <w:r/>
            <w:r>
              <w:rPr>
                <w:rFonts w:ascii="宋体" w:hAnsi="宋体" w:eastAsia="宋体"/>
                <w:sz w:val="21"/>
              </w:rPr>
              <w:t>以国家自主贡献为主，目标弹性较大</w:t>
            </w:r>
          </w:p>
        </w:tc>
      </w:tr>
      <w:tr>
        <w:tc>
          <w:tcPr>
            <w:tcW w:type="dxa" w:w="1701"/>
            <w:vAlign w:val="center"/>
          </w:tcPr>
          <w:p>
            <w:pPr>
              <w:spacing w:line="240" w:lineRule="auto" w:after="20" w:before="20"/>
              <w:jc w:val="left"/>
            </w:pPr>
            <w:r/>
            <w:r>
              <w:rPr>
                <w:rFonts w:ascii="宋体" w:hAnsi="宋体" w:eastAsia="宋体"/>
                <w:sz w:val="21"/>
              </w:rPr>
              <w:t>核心制度工具</w:t>
            </w:r>
          </w:p>
        </w:tc>
        <w:tc>
          <w:tcPr>
            <w:tcW w:type="dxa" w:w="1701"/>
            <w:vAlign w:val="center"/>
          </w:tcPr>
          <w:p>
            <w:pPr>
              <w:spacing w:line="240" w:lineRule="auto" w:after="20" w:before="20"/>
              <w:jc w:val="left"/>
            </w:pPr>
            <w:r/>
            <w:r>
              <w:rPr>
                <w:rFonts w:ascii="宋体" w:hAnsi="宋体" w:eastAsia="宋体"/>
                <w:sz w:val="21"/>
              </w:rPr>
              <w:t>EU ETS、CBAM、可持续金融分类学、CSRD、新电池法</w:t>
            </w:r>
          </w:p>
        </w:tc>
        <w:tc>
          <w:tcPr>
            <w:tcW w:type="dxa" w:w="1701"/>
            <w:vAlign w:val="center"/>
          </w:tcPr>
          <w:p>
            <w:pPr>
              <w:spacing w:line="240" w:lineRule="auto" w:after="20" w:before="20"/>
              <w:jc w:val="left"/>
            </w:pPr>
            <w:r/>
            <w:r>
              <w:rPr>
                <w:rFonts w:ascii="宋体" w:hAnsi="宋体" w:eastAsia="宋体"/>
                <w:sz w:val="21"/>
              </w:rPr>
              <w:t>IRA税收抵免、本地含量条款、州级碳市场与清洁能源法规</w:t>
            </w:r>
          </w:p>
        </w:tc>
        <w:tc>
          <w:tcPr>
            <w:tcW w:type="dxa" w:w="1701"/>
            <w:vAlign w:val="center"/>
          </w:tcPr>
          <w:p>
            <w:pPr>
              <w:spacing w:line="240" w:lineRule="auto" w:after="20" w:before="20"/>
              <w:jc w:val="left"/>
            </w:pPr>
            <w:r/>
            <w:r>
              <w:rPr>
                <w:rFonts w:ascii="宋体" w:hAnsi="宋体" w:eastAsia="宋体"/>
                <w:sz w:val="21"/>
              </w:rPr>
              <w:t>GX推进法、GX经济转型债券、领跑者制度、分阶段排放交易</w:t>
            </w:r>
          </w:p>
        </w:tc>
        <w:tc>
          <w:tcPr>
            <w:tcW w:type="dxa" w:w="1701"/>
            <w:vAlign w:val="center"/>
          </w:tcPr>
          <w:p>
            <w:pPr>
              <w:spacing w:line="240" w:lineRule="auto" w:after="20" w:before="20"/>
              <w:jc w:val="left"/>
            </w:pPr>
            <w:r/>
            <w:r>
              <w:rPr>
                <w:rFonts w:ascii="宋体" w:hAnsi="宋体" w:eastAsia="宋体"/>
                <w:sz w:val="21"/>
              </w:rPr>
              <w:t>碳市场试点、行业能效标准、采认国际标准</w:t>
            </w:r>
          </w:p>
        </w:tc>
      </w:tr>
      <w:tr>
        <w:tc>
          <w:tcPr>
            <w:tcW w:type="dxa" w:w="1701"/>
            <w:vAlign w:val="center"/>
          </w:tcPr>
          <w:p>
            <w:pPr>
              <w:spacing w:line="240" w:lineRule="auto" w:after="20" w:before="20"/>
              <w:jc w:val="left"/>
            </w:pPr>
            <w:r/>
            <w:r>
              <w:rPr>
                <w:rFonts w:ascii="宋体" w:hAnsi="宋体" w:eastAsia="宋体"/>
                <w:sz w:val="21"/>
              </w:rPr>
              <w:t>标准化路径</w:t>
            </w:r>
          </w:p>
        </w:tc>
        <w:tc>
          <w:tcPr>
            <w:tcW w:type="dxa" w:w="1701"/>
            <w:vAlign w:val="center"/>
          </w:tcPr>
          <w:p>
            <w:pPr>
              <w:spacing w:line="240" w:lineRule="auto" w:after="20" w:before="20"/>
              <w:jc w:val="left"/>
            </w:pPr>
            <w:r/>
            <w:r>
              <w:rPr>
                <w:rFonts w:ascii="宋体" w:hAnsi="宋体" w:eastAsia="宋体"/>
                <w:sz w:val="21"/>
              </w:rPr>
              <w:t>强制规制先行，规则单边外溢</w:t>
            </w:r>
          </w:p>
        </w:tc>
        <w:tc>
          <w:tcPr>
            <w:tcW w:type="dxa" w:w="1701"/>
            <w:vAlign w:val="center"/>
          </w:tcPr>
          <w:p>
            <w:pPr>
              <w:spacing w:line="240" w:lineRule="auto" w:after="20" w:before="20"/>
              <w:jc w:val="left"/>
            </w:pPr>
            <w:r/>
            <w:r>
              <w:rPr>
                <w:rFonts w:ascii="宋体" w:hAnsi="宋体" w:eastAsia="宋体"/>
                <w:sz w:val="21"/>
              </w:rPr>
              <w:t>市场激励主导，凭产业与技术塑造事实标准</w:t>
            </w:r>
          </w:p>
        </w:tc>
        <w:tc>
          <w:tcPr>
            <w:tcW w:type="dxa" w:w="1701"/>
            <w:vAlign w:val="center"/>
          </w:tcPr>
          <w:p>
            <w:pPr>
              <w:spacing w:line="240" w:lineRule="auto" w:after="20" w:before="20"/>
              <w:jc w:val="left"/>
            </w:pPr>
            <w:r/>
            <w:r>
              <w:rPr>
                <w:rFonts w:ascii="宋体" w:hAnsi="宋体" w:eastAsia="宋体"/>
                <w:sz w:val="21"/>
              </w:rPr>
              <w:t>政府—产业协调，注重国际衔接并向亚洲输出</w:t>
            </w:r>
          </w:p>
        </w:tc>
        <w:tc>
          <w:tcPr>
            <w:tcW w:type="dxa" w:w="1701"/>
            <w:vAlign w:val="center"/>
          </w:tcPr>
          <w:p>
            <w:pPr>
              <w:spacing w:line="240" w:lineRule="auto" w:after="20" w:before="20"/>
              <w:jc w:val="left"/>
            </w:pPr>
            <w:r/>
            <w:r>
              <w:rPr>
                <w:rFonts w:ascii="宋体" w:hAnsi="宋体" w:eastAsia="宋体"/>
                <w:sz w:val="21"/>
              </w:rPr>
              <w:t>以采用国际标准为主，局部领域探索自主规则</w:t>
            </w:r>
          </w:p>
        </w:tc>
      </w:tr>
      <w:tr>
        <w:tc>
          <w:tcPr>
            <w:tcW w:type="dxa" w:w="1701"/>
            <w:vAlign w:val="center"/>
          </w:tcPr>
          <w:p>
            <w:pPr>
              <w:spacing w:line="240" w:lineRule="auto" w:after="20" w:before="20"/>
              <w:jc w:val="left"/>
            </w:pPr>
            <w:r/>
            <w:r>
              <w:rPr>
                <w:rFonts w:ascii="宋体" w:hAnsi="宋体" w:eastAsia="宋体"/>
                <w:sz w:val="21"/>
              </w:rPr>
              <w:t>作用机制</w:t>
            </w:r>
          </w:p>
        </w:tc>
        <w:tc>
          <w:tcPr>
            <w:tcW w:type="dxa" w:w="1701"/>
            <w:vAlign w:val="center"/>
          </w:tcPr>
          <w:p>
            <w:pPr>
              <w:spacing w:line="240" w:lineRule="auto" w:after="20" w:before="20"/>
              <w:jc w:val="left"/>
            </w:pPr>
            <w:r/>
            <w:r>
              <w:rPr>
                <w:rFonts w:ascii="宋体" w:hAnsi="宋体" w:eastAsia="宋体"/>
                <w:sz w:val="21"/>
              </w:rPr>
              <w:t>布鲁塞尔效应：以市场准入倒逼全球合规</w:t>
            </w:r>
          </w:p>
        </w:tc>
        <w:tc>
          <w:tcPr>
            <w:tcW w:type="dxa" w:w="1701"/>
            <w:vAlign w:val="center"/>
          </w:tcPr>
          <w:p>
            <w:pPr>
              <w:spacing w:line="240" w:lineRule="auto" w:after="20" w:before="20"/>
              <w:jc w:val="left"/>
            </w:pPr>
            <w:r/>
            <w:r>
              <w:rPr>
                <w:rFonts w:ascii="宋体" w:hAnsi="宋体" w:eastAsia="宋体"/>
                <w:sz w:val="21"/>
              </w:rPr>
              <w:t>以补贴规模与供应链重构吸引要素集聚</w:t>
            </w:r>
          </w:p>
        </w:tc>
        <w:tc>
          <w:tcPr>
            <w:tcW w:type="dxa" w:w="1701"/>
            <w:vAlign w:val="center"/>
          </w:tcPr>
          <w:p>
            <w:pPr>
              <w:spacing w:line="240" w:lineRule="auto" w:after="20" w:before="20"/>
              <w:jc w:val="left"/>
            </w:pPr>
            <w:r/>
            <w:r>
              <w:rPr>
                <w:rFonts w:ascii="宋体" w:hAnsi="宋体" w:eastAsia="宋体"/>
                <w:sz w:val="21"/>
              </w:rPr>
              <w:t>以技术示范与区域合作培育规则圈</w:t>
            </w:r>
          </w:p>
        </w:tc>
        <w:tc>
          <w:tcPr>
            <w:tcW w:type="dxa" w:w="1701"/>
            <w:vAlign w:val="center"/>
          </w:tcPr>
          <w:p>
            <w:pPr>
              <w:spacing w:line="240" w:lineRule="auto" w:after="20" w:before="20"/>
              <w:jc w:val="left"/>
            </w:pPr>
            <w:r/>
            <w:r>
              <w:rPr>
                <w:rFonts w:ascii="宋体" w:hAnsi="宋体" w:eastAsia="宋体"/>
                <w:sz w:val="21"/>
              </w:rPr>
              <w:t>受制于核算能力与数据基础，被动承压</w:t>
            </w:r>
          </w:p>
        </w:tc>
      </w:tr>
      <w:tr>
        <w:tc>
          <w:tcPr>
            <w:tcW w:type="dxa" w:w="1701"/>
            <w:vAlign w:val="center"/>
          </w:tcPr>
          <w:p>
            <w:pPr>
              <w:spacing w:line="240" w:lineRule="auto" w:after="20" w:before="20"/>
              <w:jc w:val="left"/>
            </w:pPr>
            <w:r/>
            <w:r>
              <w:rPr>
                <w:rFonts w:ascii="宋体" w:hAnsi="宋体" w:eastAsia="宋体"/>
                <w:sz w:val="21"/>
              </w:rPr>
              <w:t>对全球格局的影响</w:t>
            </w:r>
          </w:p>
        </w:tc>
        <w:tc>
          <w:tcPr>
            <w:tcW w:type="dxa" w:w="1701"/>
            <w:vAlign w:val="center"/>
          </w:tcPr>
          <w:p>
            <w:pPr>
              <w:spacing w:line="240" w:lineRule="auto" w:after="20" w:before="20"/>
              <w:jc w:val="left"/>
            </w:pPr>
            <w:r/>
            <w:r>
              <w:rPr>
                <w:rFonts w:ascii="宋体" w:hAnsi="宋体" w:eastAsia="宋体"/>
                <w:sz w:val="21"/>
              </w:rPr>
              <w:t>事实上的全球规制基准供给者</w:t>
            </w:r>
          </w:p>
        </w:tc>
        <w:tc>
          <w:tcPr>
            <w:tcW w:type="dxa" w:w="1701"/>
            <w:vAlign w:val="center"/>
          </w:tcPr>
          <w:p>
            <w:pPr>
              <w:spacing w:line="240" w:lineRule="auto" w:after="20" w:before="20"/>
              <w:jc w:val="left"/>
            </w:pPr>
            <w:r/>
            <w:r>
              <w:rPr>
                <w:rFonts w:ascii="宋体" w:hAnsi="宋体" w:eastAsia="宋体"/>
                <w:sz w:val="21"/>
              </w:rPr>
              <w:t>规则竞争的变量制造者与联盟组织者</w:t>
            </w:r>
          </w:p>
        </w:tc>
        <w:tc>
          <w:tcPr>
            <w:tcW w:type="dxa" w:w="1701"/>
            <w:vAlign w:val="center"/>
          </w:tcPr>
          <w:p>
            <w:pPr>
              <w:spacing w:line="240" w:lineRule="auto" w:after="20" w:before="20"/>
              <w:jc w:val="left"/>
            </w:pPr>
            <w:r/>
            <w:r>
              <w:rPr>
                <w:rFonts w:ascii="宋体" w:hAnsi="宋体" w:eastAsia="宋体"/>
                <w:sz w:val="21"/>
              </w:rPr>
              <w:t>规则跟随中的利基塑造者</w:t>
            </w:r>
          </w:p>
        </w:tc>
        <w:tc>
          <w:tcPr>
            <w:tcW w:type="dxa" w:w="1701"/>
            <w:vAlign w:val="center"/>
          </w:tcPr>
          <w:p>
            <w:pPr>
              <w:spacing w:line="240" w:lineRule="auto" w:after="20" w:before="20"/>
              <w:jc w:val="left"/>
            </w:pPr>
            <w:r/>
            <w:r>
              <w:rPr>
                <w:rFonts w:ascii="宋体" w:hAnsi="宋体" w:eastAsia="宋体"/>
                <w:sz w:val="21"/>
              </w:rPr>
              <w:t>规则接受者，谋求集体发声与借力跃迁</w:t>
            </w:r>
          </w:p>
        </w:tc>
      </w:tr>
    </w:tbl>
    <w:p>
      <w:pPr>
        <w:spacing w:after="200" w:line="240" w:lineRule="auto"/>
      </w:pPr>
      <w:r>
        <w:rPr>
          <w:rFonts w:ascii="宋体" w:hAnsi="宋体" w:eastAsia="宋体"/>
          <w:sz w:val="18"/>
        </w:rPr>
        <w:t>注：表中为类型化概括，具体经济体内部存在显著差异；中国的战略位置详见3.4节。资料来源：作者根据各经济体官方立法文件及相关研究文献整理。</w:t>
      </w:r>
    </w:p>
    <w:p>
      <w:pPr>
        <w:spacing w:line="360" w:lineRule="auto" w:after="0"/>
        <w:ind w:firstLineChars="200" w:firstLine="480"/>
        <w:jc w:val="both"/>
      </w:pPr>
      <w:r>
        <w:rPr>
          <w:rFonts w:ascii="宋体" w:hAnsi="宋体" w:eastAsia="宋体"/>
          <w:sz w:val="24"/>
        </w:rPr>
        <w:t>表3.3的比较揭示出一个关键事实：全球绿色低碳标准化并不存在单一的“最优战略”，各经济体的选择深受其市场规模、规制能力与产业位势的约束。欧盟的规制输出以其统一大市场为前提，美国的补贴争夺以其财政与技术纵深为支撑，日本的衔接输出以其产业协调传统为依托，而发展中国家的跟随则更多是能力约束下的无奈。对中国而言，这意味着战略借鉴必须立足自身禀赋：既拥有超大规模市场这一实施“准入型”规则的潜在杠杆，又拥有全球领先的绿色制造体系这一形成“事实标准”的产业基础，还保有发展中国家身份这一联盟构建的政治资源——如何将三者组合为一致的标准化战略，是后续各章反复回应的主题。</w:t>
      </w:r>
    </w:p>
    <w:p>
      <w:pPr>
        <w:keepNext/>
        <w:spacing w:before="160" w:after="120" w:line="360" w:lineRule="auto"/>
        <w:outlineLvl w:val="1"/>
      </w:pPr>
      <w:r>
        <w:rPr>
          <w:rFonts w:ascii="黑体" w:hAnsi="黑体" w:eastAsia="黑体"/>
          <w:sz w:val="28"/>
        </w:rPr>
        <w:t>3.3  国际标准化组织的角色与标准谱系</w:t>
      </w:r>
    </w:p>
    <w:p>
      <w:pPr>
        <w:spacing w:line="360" w:lineRule="auto" w:after="0"/>
        <w:ind w:firstLineChars="200" w:firstLine="480"/>
        <w:jc w:val="both"/>
      </w:pPr>
      <w:r>
        <w:rPr>
          <w:rFonts w:ascii="宋体" w:hAnsi="宋体" w:eastAsia="宋体"/>
          <w:sz w:val="24"/>
        </w:rPr>
        <w:t>如果说经济体战略决定了标准化的方向与烈度，国际标准化组织则构成规则生产的组织基础设施。当前的组织版图由三类主体构成：以ISO、IEC为代表的正式国际标准组织，以《联合国气候变化框架公约》体系为代表的政府间条约机制，以及以GHG Protocol、ISSB为代表的私营与混合治理网络。三者之间既有分工——条约机制供给政治合法性、正式组织供给程序权威、私营网络供给方法创新，又存在日益复杂的引用、竞争与整合关系（Büthe和Mattli，2011）。本节依次考察其角色与标准谱系。</w:t>
      </w:r>
    </w:p>
    <w:p>
      <w:pPr>
        <w:keepNext/>
        <w:spacing w:before="160" w:after="120" w:line="360" w:lineRule="auto"/>
        <w:outlineLvl w:val="2"/>
      </w:pPr>
      <w:r>
        <w:rPr>
          <w:rFonts w:ascii="黑体" w:hAnsi="黑体" w:eastAsia="黑体"/>
          <w:sz w:val="24"/>
        </w:rPr>
        <w:t>3.3.1  ISO/TC 207与ISO 14064/14067/14068标准谱系</w:t>
      </w:r>
    </w:p>
    <w:p>
      <w:pPr>
        <w:spacing w:line="360" w:lineRule="auto" w:after="0"/>
        <w:ind w:firstLineChars="200" w:firstLine="480"/>
        <w:jc w:val="both"/>
      </w:pPr>
      <w:r>
        <w:rPr>
          <w:rFonts w:ascii="宋体" w:hAnsi="宋体" w:eastAsia="宋体"/>
          <w:sz w:val="24"/>
        </w:rPr>
        <w:t>ISO是绿色低碳领域最重要的正式国际标准供给者。1993年成立的环境管理技术委员会（ISO/TC 207）下设环境管理体系、环境审核、环境标志、环境绩效评价、生命周期评价、温室气体管理等分委员会，其发布的ISO 14000系列构成全球环境管理标准的主干。其中1996年首发的ISO 14001环境管理体系标准是全球采用最广泛的管理体系标准之一，为组织将环境要求内化为管理流程提供了通用框架。在气候议题上，ISO于2021年伦敦大会发表《伦敦宣言》，承诺使其全部标准与《巴黎协定》目标对齐，并于2022年以国际研讨会协议形式发布净零指南（IWA 42），显示出正式标准组织向气候治理枢纽演进的意图。</w:t>
      </w:r>
    </w:p>
    <w:p>
      <w:pPr>
        <w:spacing w:line="360" w:lineRule="auto" w:after="0"/>
        <w:ind w:firstLineChars="200" w:firstLine="480"/>
        <w:jc w:val="both"/>
      </w:pPr>
      <w:r>
        <w:rPr>
          <w:rFonts w:ascii="宋体" w:hAnsi="宋体" w:eastAsia="宋体"/>
          <w:sz w:val="24"/>
        </w:rPr>
        <w:t>温室气体管理标准已形成谱系化的“14064—14067—14068”序列，覆盖从组织、项目、产品到中和状态的完整对象链条：ISO 14064-1规范组织层面温室气体排放与清除的量化和报告，ISO 14064-2规范减排项目层面的量化、监测与报告，ISO 14064-3规范温室气体声明的审定与核查（三者2006年首发，2018—2019年完成修订）；ISO 14065与ISO 14066分别规定核查机构的认可要求与核查人员的能力要求；ISO 14067（2018年）规范产品碳足迹的量化，与生命周期评价标准ISO 14040/14044衔接（Wu等，2015；童庆蒙等，2018）；2023年发布的ISO 14068-1则首次为“碳中和”这一宣示性概念确立了国际标准定义，规定了实现与声明碳中和的层级要求——优先减排、再以高质量抵消处理剩余排放，直指市场上泛滥的“漂绿”式中和声明。这一谱系与GHG Protocol体系相互引用，共同构成全球碳核算的方法论双轨（陈红敏，2011）。中国的国家标准建设与之深度互动：GB/T 32150/32151系列对应组织与行业核算，2024年发布的GB/T 24067产品碳足迹通则即对标ISO 14067，国际谱系的每一次演进都会传导为中国标准制修订的议程压力。</w:t>
      </w:r>
    </w:p>
    <w:p>
      <w:pPr>
        <w:keepNext/>
        <w:spacing w:before="160" w:after="120" w:line="360" w:lineRule="auto"/>
        <w:outlineLvl w:val="2"/>
      </w:pPr>
      <w:r>
        <w:rPr>
          <w:rFonts w:ascii="黑体" w:hAnsi="黑体" w:eastAsia="黑体"/>
          <w:sz w:val="24"/>
        </w:rPr>
        <w:t>3.3.2  IEC与低碳技术标准</w:t>
      </w:r>
    </w:p>
    <w:p>
      <w:pPr>
        <w:spacing w:line="360" w:lineRule="auto" w:after="0"/>
        <w:ind w:firstLineChars="200" w:firstLine="480"/>
        <w:jc w:val="both"/>
      </w:pPr>
      <w:r>
        <w:rPr>
          <w:rFonts w:ascii="宋体" w:hAnsi="宋体" w:eastAsia="宋体"/>
          <w:sz w:val="24"/>
        </w:rPr>
        <w:t>国际电工委员会（IEC）在绿色低碳标准版图中承担技术装备维度的规则供给。与ISO聚焦管理与核算不同，IEC的标准直接内嵌于低碳技术与装备之中：TC 82制定光伏发电系统标准，TC 88制定风力发电系统标准，TC 105制定燃料电池标准，TC 120制定电力储能系统标准，TC 111则统筹电工电子产品与系统的环境标准化，此外还有覆盖智能电网、电动汽车充电等领域的系统委员会与技术委员会。IEC标准通过其合格评定体系（如IECEE的CB互认制度）与各国准入制度衔接，直接决定新能源装备能否进入国际市场，是绿色贸易中最“硬”的技术门槛（Goldthau和Hughes，2020）。对新能源产业占全球主导地位的中国而言，IEC是标准话语权与产业优势关联最直接的舞台：光伏、特高压输电、储能等领域的中国技术方案能否转写为IEC标准，直接影响其全球市场空间与专利技术的价值实现，这也是近年中国对IEC提案活跃度显著上升的根本动因。</w:t>
      </w:r>
    </w:p>
    <w:p>
      <w:pPr>
        <w:keepNext/>
        <w:spacing w:before="160" w:after="120" w:line="360" w:lineRule="auto"/>
        <w:outlineLvl w:val="2"/>
      </w:pPr>
      <w:r>
        <w:rPr>
          <w:rFonts w:ascii="黑体" w:hAnsi="黑体" w:eastAsia="黑体"/>
          <w:sz w:val="24"/>
        </w:rPr>
        <w:t>3.3.3  GHG Protocol体系与私营标准网络</w:t>
      </w:r>
    </w:p>
    <w:p>
      <w:pPr>
        <w:spacing w:line="360" w:lineRule="auto" w:after="0"/>
        <w:ind w:firstLineChars="200" w:firstLine="480"/>
        <w:jc w:val="both"/>
      </w:pPr>
      <w:r>
        <w:rPr>
          <w:rFonts w:ascii="宋体" w:hAnsi="宋体" w:eastAsia="宋体"/>
          <w:sz w:val="24"/>
        </w:rPr>
        <w:t>GHG Protocol经过二十余年发展，已从单一企业标准扩展为覆盖多层对象的标准族：《企业核算与报告标准》（2001年首版、2004年修订）为基石，《项目核算议定书》（2005年）规范减排项目，《企业价值链（范围三）核算与报告标准》与《产品生命周期核算与报告标准》（2011年）把边界推向价值链与产品，《范围二指南》（2015年）细化外购电力核算的区位法与市场法。围绕这一方法论内核，生长出一个功能互补的私营标准网络：CDP以问卷与评级动员披露，科学碳目标倡议（SBTi）依据碳预算科学校验企业减排目标，TCFD及其后继者提供披露框架，各类自愿碳市场标准供给抵消信用。私营网络的优势在于迭代迅速、贴近实践，但其规则碎片化亦带来口径不一的困扰：研究显示，不同核算与报告选择可导致同一企业碳足迹出现数量级差异，绿色电力证书的滥用甚至威胁科学碳目标的环境完整性（Klaaßen和Stoll，2021；Bjørn等，2022）。这种“方法论繁荣与口径混乱并存”的状态，正是ISSB整合浪潮兴起的直接背景。</w:t>
      </w:r>
    </w:p>
    <w:p>
      <w:pPr>
        <w:keepNext/>
        <w:spacing w:before="160" w:after="120" w:line="360" w:lineRule="auto"/>
        <w:outlineLvl w:val="2"/>
      </w:pPr>
      <w:r>
        <w:rPr>
          <w:rFonts w:ascii="黑体" w:hAnsi="黑体" w:eastAsia="黑体"/>
          <w:sz w:val="24"/>
        </w:rPr>
        <w:t>3.3.4  ISSB与可持续披露标准的全球整合</w:t>
      </w:r>
    </w:p>
    <w:p>
      <w:pPr>
        <w:spacing w:line="360" w:lineRule="auto" w:after="0"/>
        <w:ind w:firstLineChars="200" w:firstLine="480"/>
        <w:jc w:val="both"/>
      </w:pPr>
      <w:r>
        <w:rPr>
          <w:rFonts w:ascii="宋体" w:hAnsi="宋体" w:eastAsia="宋体"/>
          <w:sz w:val="24"/>
        </w:rPr>
        <w:t>ISSB的成立代表了标准组织版图的一次结构性重组：财务报告领域最具权威性的IFRS基金会亲自下场，将此前分散于CDSB、SASB、整合报告框架的可持续披露规则整合为全球基线。IFRS S1与S2的制度设计颇具匠心：一方面以“基线+积木”策略兼容各法域叠加更高要求，与欧盟《欧洲可持续发展报告准则》开展互操作性映射；另一方面将GHG Protocol核算方法与TCFD披露框架直接纳入准则正文，使私营标准经由财务报告基础设施获得准监管地位。对资本市场而言，ISSB准则把气候信息提升至与财务信息可比的地位，其在各法域的采用进程将深刻影响跨境上市与融资企业的合规版图（陈丹丹等，2025）。至此，国际标准组织的角色分工可概括为：ISO/IEC供给技术与管理标准的程序权威，GHG Protocol体系供给核算方法论，ISSB供给面向资本市场的披露整合，条约机制供给政治合法性——四者叠加，构成绿色低碳规则的全球生产网络。这一生产网络的标准产出规模及其在主要经济体之间的分布，构成下一节考察全球格局权力逻辑与中国位置时的数量背景。</w:t>
      </w:r>
    </w:p>
    <w:p>
      <w:pPr>
        <w:keepNext/>
        <w:spacing w:before="160" w:after="120" w:line="360" w:lineRule="auto"/>
        <w:outlineLvl w:val="1"/>
      </w:pPr>
      <w:r>
        <w:rPr>
          <w:rFonts w:ascii="黑体" w:hAnsi="黑体" w:eastAsia="黑体"/>
          <w:sz w:val="28"/>
        </w:rPr>
        <w:t>3.4  全球格局的权力逻辑与中国的位置</w:t>
      </w:r>
    </w:p>
    <w:p>
      <w:pPr>
        <w:spacing w:line="360" w:lineRule="auto" w:after="0"/>
        <w:ind w:firstLineChars="200" w:firstLine="480"/>
        <w:jc w:val="both"/>
      </w:pPr>
      <w:r>
        <w:rPr>
          <w:rFonts w:ascii="宋体" w:hAnsi="宋体" w:eastAsia="宋体"/>
          <w:sz w:val="24"/>
        </w:rPr>
        <w:t>前三节分别从时间、主体与组织维度描绘了国际绿色低碳标准化的图景。本节将其提炼为一个统一的分析框架：规则权力沿“技术层—制度层—战略层”递进生成，三个层面相互锁定、自我强化，塑造出当前“三足鼎立”的全球格局；中国在这一格局中的位置，构成全书问题意识的国际坐标。</w:t>
      </w:r>
    </w:p>
    <w:p>
      <w:pPr>
        <w:keepNext/>
        <w:spacing w:before="160" w:after="120" w:line="360" w:lineRule="auto"/>
        <w:outlineLvl w:val="2"/>
      </w:pPr>
      <w:r>
        <w:rPr>
          <w:rFonts w:ascii="黑体" w:hAnsi="黑体" w:eastAsia="黑体"/>
          <w:sz w:val="24"/>
        </w:rPr>
        <w:t>3.4.1  技术层—制度层—战略层：规则权力的递进生成机制</w:t>
      </w:r>
    </w:p>
    <w:p>
      <w:pPr>
        <w:spacing w:line="360" w:lineRule="auto" w:after="0"/>
        <w:ind w:firstLineChars="200" w:firstLine="480"/>
        <w:jc w:val="both"/>
      </w:pPr>
      <w:r>
        <w:rPr>
          <w:rFonts w:ascii="宋体" w:hAnsi="宋体" w:eastAsia="宋体"/>
          <w:sz w:val="24"/>
        </w:rPr>
        <w:t>规则权力的第一层是技术层的定义权。标准本质上是一种协调装置，其价值随采用者数量递增而递增，具有典型的网络外部性；一旦某一术语体系、核算边界或数据格式获得关键多数采纳，后来者的转换成本便随专用性投资的累积而急剧上升，形成路径依赖与锁定（Katz和Shapiro，1985；Farrell和Saloner，1985；Arthur，1989）。QWERTY键盘的经典故事在碳领域同样上演：GHG Protocol的范围一、二、三划分未必是唯一合理的核算架构，但其先发确立后，全球企业的碳管理系统、咨询服务与软件工具均围绕其构建，任何替代方案都面临难以逾越的转换成本（David，1985）。技术层权力的取得主要靠先发投入与共同体经营——组建技术委员会、供给方法学、培育专家网络，其外观是中性的“技术协调”，但术语与方法的每一个细节选择（如排放因子的缺省值、电力核算的区位法与市场法之别）都潜在地分配着不同技术路线与资源禀赋主体的利益。</w:t>
      </w:r>
    </w:p>
    <w:p>
      <w:pPr>
        <w:spacing w:line="360" w:lineRule="auto" w:after="0"/>
        <w:ind w:firstLineChars="200" w:firstLine="480"/>
        <w:jc w:val="both"/>
      </w:pPr>
      <w:r>
        <w:rPr>
          <w:rFonts w:ascii="宋体" w:hAnsi="宋体" w:eastAsia="宋体"/>
          <w:sz w:val="24"/>
        </w:rPr>
        <w:t>第二层是制度层的引用权。技术规范本身不具有强制力，其权力化的关键一跃是被市场机制与监管制度“引用”：EU ETS的MRV条例引用核算标准，配额资产的确权即以标准为据；TCFD与ISSB准则引用GHG Protocol，资本市场的信息基础设施即以标准为骨架；CBAM实施条例规定隐含排放核算方法，边境税基的确定即以标准为绳。制度引用使标准从协调装置升格为合规基础设施，采用与否不再是企业的成本收益权衡，而是市场准入的先决条件（North，1990；Büthe和Mattli，2011）。制度层权力的取得依赖规制能力与市场规模的结合——只有足够大的市场，其制度引用才能产生域外的拉力，这正是布鲁塞尔效应的制度经济学本质。</w:t>
      </w:r>
    </w:p>
    <w:p>
      <w:pPr>
        <w:spacing w:line="360" w:lineRule="auto" w:after="0"/>
        <w:ind w:firstLineChars="200" w:firstLine="480"/>
        <w:jc w:val="both"/>
      </w:pPr>
      <w:r>
        <w:rPr>
          <w:rFonts w:ascii="宋体" w:hAnsi="宋体" w:eastAsia="宋体"/>
          <w:sz w:val="24"/>
        </w:rPr>
        <w:t>第三层是战略层的执行权。当标准被进一步与关税、补贴、采购资格与金融准入绑定，规则差距便直接转化为跨境的成本与租金分配：CBAM把核算标准差距变为碳关税，IRA把供应链标准变为补贴门槛，电池法把产品碳足迹变为准入条件。研究表明，全球贸易政策本已存在系统性的环境偏向，绿色规则的武器化将进一步重构比较优势的形成机制（Shapiro，2021；陆婷和徐奇渊，2023）。战略层权力的取得，要求将技术定义权与制度引用权整合进国家大战略，辅之以联盟构建与议程设置能力。三层权力呈递进生成、逆向锁定之势：技术层的先发优势经制度引用而固化，经战略绑定而变现；反过来，战略工具的实施又强化了既有技术标准的事实垄断——CBAM的执行使欧盟核算方法成为出口商的必修课，其网络外部性进一步扩大。这种自我强化机制意味着，规则权力格局一旦成型便具有强惯性，后发者若仅在技术层追赶而不能撬动制度层与战略层，将始终处于“规则接受者”的位置。</w:t>
      </w:r>
    </w:p>
    <w:p>
      <w:pPr>
        <w:keepNext/>
        <w:spacing w:before="160" w:after="120" w:line="360" w:lineRule="auto"/>
        <w:outlineLvl w:val="2"/>
      </w:pPr>
      <w:r>
        <w:rPr>
          <w:rFonts w:ascii="黑体" w:hAnsi="黑体" w:eastAsia="黑体"/>
          <w:sz w:val="24"/>
        </w:rPr>
        <w:t>3.4.2  三足鼎立态势及其内在张力</w:t>
      </w:r>
    </w:p>
    <w:p>
      <w:pPr>
        <w:spacing w:line="360" w:lineRule="auto" w:after="0"/>
        <w:ind w:firstLineChars="200" w:firstLine="480"/>
        <w:jc w:val="both"/>
      </w:pPr>
      <w:r>
        <w:rPr>
          <w:rFonts w:ascii="宋体" w:hAnsi="宋体" w:eastAsia="宋体"/>
          <w:sz w:val="24"/>
        </w:rPr>
        <w:t>由图3.3可见，全球绿色低碳标准体系呈现“三足鼎立”态势：一极是以规制输出为特征的欧盟，凭借EU ETS—CBAM—分类学—披露指令的制度矩阵占据规则供给的高地；一极是以市场争夺为特征的美国，凭借IRA的补贴引力与技术联盟重塑供应链标准；第三极是数量庞大但话语分散的发展中经济体群体，在承受规则外溢成本的同时谋求集体突破。三极之间的关系并非稳定均衡，而是充满张力：美欧之间既有TTC框架下协调绿色标准、共同施压第三方的合作面，又有围绕IRA歧视性条款、CBAM适用范围的竞争面；发达与发展中经济体之间，则在碳边境措施合法性、气候资金与技术转让等议题上持续角力（Victor，2011；Keohane和Victor，2016）。格局的动态演化存在两种情景：若主要经济体走向标准互认与多边协调，全球绿色规则或收敛为兼容的“俱乐部”体系；若单边工具持续加码，则可能滑向核算体系分裂、合规成本倍增的碎片化格局（Hale，2020）。图中以虚线标注的中国位置耐人寻味——它同时与三极保持连接：与发展中阵营共享立场、与欧盟存在深度贸易嵌套、与美国展开产业竞争，这种多重身份既带来周旋空间，也带来定位困难。</w:t>
      </w:r>
    </w:p>
    <w:p>
      <w:pPr>
        <w:spacing w:before="120" w:after="40"/>
        <w:jc w:val="center"/>
      </w:pPr>
      <w:r>
        <w:drawing>
          <wp:inline xmlns:a="http://schemas.openxmlformats.org/drawingml/2006/main" xmlns:pic="http://schemas.openxmlformats.org/drawingml/2006/picture">
            <wp:extent cx="4860000" cy="3775992"/>
            <wp:docPr id="7" name="Picture 7"/>
            <wp:cNvGraphicFramePr>
              <a:graphicFrameLocks noChangeAspect="1"/>
            </wp:cNvGraphicFramePr>
            <a:graphic>
              <a:graphicData uri="http://schemas.openxmlformats.org/drawingml/2006/picture">
                <pic:pic>
                  <pic:nvPicPr>
                    <pic:cNvPr id="0" name="fig3_3.png"/>
                    <pic:cNvPicPr/>
                  </pic:nvPicPr>
                  <pic:blipFill>
                    <a:blip r:embed="rId15"/>
                    <a:stretch>
                      <a:fillRect/>
                    </a:stretch>
                  </pic:blipFill>
                  <pic:spPr>
                    <a:xfrm>
                      <a:off x="0" y="0"/>
                      <a:ext cx="4860000" cy="3775992"/>
                    </a:xfrm>
                    <a:prstGeom prst="rect"/>
                  </pic:spPr>
                </pic:pic>
              </a:graphicData>
            </a:graphic>
          </wp:inline>
        </w:drawing>
      </w:r>
    </w:p>
    <w:p>
      <w:pPr>
        <w:keepNext w:val="0"/>
        <w:spacing w:after="200"/>
        <w:jc w:val="center"/>
      </w:pPr>
      <w:r>
        <w:rPr>
          <w:rFonts w:ascii="黑体" w:hAnsi="黑体" w:eastAsia="黑体"/>
          <w:sz w:val="21"/>
        </w:rPr>
        <w:t>图3.3  全球绿色低碳标准体系“三足鼎立”格局</w:t>
      </w:r>
    </w:p>
    <w:p>
      <w:pPr>
        <w:keepNext/>
        <w:spacing w:before="160" w:after="120" w:line="360" w:lineRule="auto"/>
        <w:outlineLvl w:val="2"/>
      </w:pPr>
      <w:r>
        <w:rPr>
          <w:rFonts w:ascii="黑体" w:hAnsi="黑体" w:eastAsia="黑体"/>
          <w:sz w:val="24"/>
        </w:rPr>
        <w:t>3.4.3  中国的位置：产业领先与规则滞后的不对称</w:t>
      </w:r>
    </w:p>
    <w:p>
      <w:pPr>
        <w:spacing w:line="360" w:lineRule="auto" w:after="0"/>
        <w:ind w:firstLineChars="200" w:firstLine="480"/>
        <w:jc w:val="both"/>
      </w:pPr>
      <w:r>
        <w:rPr>
          <w:rFonts w:ascii="宋体" w:hAnsi="宋体" w:eastAsia="宋体"/>
          <w:sz w:val="24"/>
        </w:rPr>
        <w:t>中国在全球格局中的位置，可以用“产业领先与规则滞后的不对称”来概括。产业侧的领先有目共睹：2023年电动汽车、锂电池、光伏产品“新三样”合计出口1.06万亿元、首次突破万亿元大关，同比增长29.9%；同年中国多晶硅、硅片、电池片、组件产量的全球占比分别约为91.5%、98.1%、91.9%与84.6%，动力电池装机前十企业中中国占据六席；2025年扩围后的全国碳市场覆盖排放约80亿吨、占全国二氧化碳排放总量的60%以上，为全球覆盖规模最大的碳市场。规则侧的差距同样清晰：截至2022年底，中国主导制定的ISO/IEC国际标准累计1337项，按ISO/IEC现行标准总量折算，占比约为2%（估算口径），与中国占全球制造业增加值约三成的产业地位形成强烈反差；在国际标准组织注册的中国专家已超过1.2万人，承担ISO、IEC技术机构秘书处89个、主席副主席职务88个，较2020年底的75个、75个稳步提升，参与的广度与活跃度上升很快，但与美欧德日经由数十年积累形成的秘书处网络与议程设置能力相比仍有明显差距（舒辉和唐飞，2023；侯俊军等，2025）。图3.4从标准累计数量的维度直观呈现了这一反差。</w:t>
      </w:r>
    </w:p>
    <w:p>
      <w:pPr>
        <w:spacing w:before="120" w:after="40"/>
        <w:jc w:val="center"/>
      </w:pPr>
      <w:r>
        <w:drawing>
          <wp:inline xmlns:a="http://schemas.openxmlformats.org/drawingml/2006/main" xmlns:pic="http://schemas.openxmlformats.org/drawingml/2006/picture">
            <wp:extent cx="4860000" cy="2770385"/>
            <wp:docPr id="8" name="Picture 8"/>
            <wp:cNvGraphicFramePr>
              <a:graphicFrameLocks noChangeAspect="1"/>
            </wp:cNvGraphicFramePr>
            <a:graphic>
              <a:graphicData uri="http://schemas.openxmlformats.org/drawingml/2006/picture">
                <pic:pic>
                  <pic:nvPicPr>
                    <pic:cNvPr id="0" name="fig3_4.png"/>
                    <pic:cNvPicPr/>
                  </pic:nvPicPr>
                  <pic:blipFill>
                    <a:blip r:embed="rId16"/>
                    <a:stretch>
                      <a:fillRect/>
                    </a:stretch>
                  </pic:blipFill>
                  <pic:spPr>
                    <a:xfrm>
                      <a:off x="0" y="0"/>
                      <a:ext cx="4860000" cy="2770385"/>
                    </a:xfrm>
                    <a:prstGeom prst="rect"/>
                  </pic:spPr>
                </pic:pic>
              </a:graphicData>
            </a:graphic>
          </wp:inline>
        </w:drawing>
      </w:r>
    </w:p>
    <w:p>
      <w:pPr>
        <w:keepNext w:val="0"/>
        <w:spacing w:after="200"/>
        <w:jc w:val="center"/>
      </w:pPr>
      <w:r>
        <w:rPr>
          <w:rFonts w:ascii="黑体" w:hAnsi="黑体" w:eastAsia="黑体"/>
          <w:sz w:val="21"/>
        </w:rPr>
        <w:t>图3.4  ISO 14000系列与主要经济体绿色低碳标准累计数量</w:t>
      </w:r>
    </w:p>
    <w:p>
      <w:pPr>
        <w:spacing w:line="360" w:lineRule="auto" w:after="0"/>
        <w:ind w:firstLineChars="200" w:firstLine="480"/>
        <w:jc w:val="both"/>
      </w:pPr>
      <w:r>
        <w:rPr>
          <w:rFonts w:ascii="宋体" w:hAnsi="宋体" w:eastAsia="宋体"/>
          <w:sz w:val="24"/>
        </w:rPr>
        <w:t>由图3.4可见，国际与主要经济体绿色低碳标准的累计数量在过去二十年间持续攀升，且2015年《巴黎协定》后与2020年碳中和目标潮后出现两次明显的加速：ISO 14000系列及温室气体相关标准的谱系不断加密，欧盟凭借立法密集期形成了存量领先优势，美国以行业与协会标准见长，中国则呈现典型的后发追赶形态——起步晚、基数低，但2020年之后增速显著高于其他经济体，与第4章将展示的中国标准发布“双碳”跃升相互印证。数量对比背后是结构差异：发达经济体的标准存量中核算、核查与披露类占比较高，而中国存量仍以节能与绿色产品类为主，这一结构落差正是第12章国际适配性评估所量化的“差距”的直观来源。</w:t>
      </w:r>
    </w:p>
    <w:p>
      <w:pPr>
        <w:spacing w:line="360" w:lineRule="auto" w:after="0"/>
        <w:ind w:firstLineChars="200" w:firstLine="480"/>
        <w:jc w:val="both"/>
      </w:pPr>
      <w:r>
        <w:rPr>
          <w:rFonts w:ascii="宋体" w:hAnsi="宋体" w:eastAsia="宋体"/>
          <w:sz w:val="24"/>
        </w:rPr>
        <w:t>以三层权力框架审视，中国的不对称呈现清晰的层级分布。技术层，中国在新能源装备、特高压等“硬技术”标准上已实现局部领跑，但在碳核算、核查、披露等“软规则”上仍以采标跟随为主，排放因子数据库、产品碳足迹背景数据库等基础设施建设起步较晚，GB/T 24067等对标转化工作2024年才完成通则层面的布局；制度层，全国碳市场、碳排放双控为标准提供了日益强劲的国内制度引用，但中国核算体系与欧盟规则的互认尚未建立，国内碳价被CBAM抵扣认可的程度、CCER被国际市场接受的范围，都还存在不确定性；战略层，中国尚缺乏将标准与贸易、投资工具系统绑定的制度设计，标准化更多被定位为技术支撑而非战略杠杆。经验研究表明，参与自愿性国际标准协调能够显著改善企业出口绩效，标准化合作伙伴关系具有明确的贸易创造效应（王明涛等，2025；何凡等，2025）——这提示规则侧的追赶并非零和博弈，而是存在互利空间的制度建设。</w:t>
      </w:r>
    </w:p>
    <w:p>
      <w:pPr>
        <w:spacing w:line="360" w:lineRule="auto" w:after="0"/>
        <w:ind w:firstLineChars="200" w:firstLine="480"/>
        <w:jc w:val="both"/>
      </w:pPr>
      <w:r>
        <w:rPr>
          <w:rFonts w:ascii="宋体" w:hAnsi="宋体" w:eastAsia="宋体"/>
          <w:sz w:val="24"/>
        </w:rPr>
        <w:t>不对称格局对中国的含义是双重的。就风险而言，产业优势若无规则护航，随时可能被规则重新定价：CBAM之于钢铝、电池法之于动力电池、各类绿色供应链尽责规则之于光伏，均是现实注脚；更长远看，若国际碳核算体系在中国缺席的情况下完成规则闭环，中国庞大的减排努力与绿色资产将面临“计量折价”。就机遇而言，中国拥有后发者罕有的三重杠杆：全球最大的绿色制造体系提供了形成事实标准的产业载体，全球覆盖排放最大的碳市场提供了制度引用的本土场景，最大发展中国家身份提供了联盟构建的政治空间。“四步走”演进路径中碳达峰、碳吸收阶段的标准化布局，恰是发达经济体“两步走”路线未曾覆盖的规则空白，存在以差异化供给实现局部领跑的机会窗口（国家标准化管理委员会等，2023）。如何把握这一窗口，正是本书后续章节从演化机理、体系构建到适配评估逐层展开的核心关切。</w:t>
      </w:r>
    </w:p>
    <w:p>
      <w:pPr>
        <w:keepNext/>
        <w:spacing w:before="160" w:after="120" w:line="360" w:lineRule="auto"/>
        <w:outlineLvl w:val="1"/>
      </w:pPr>
      <w:r>
        <w:rPr>
          <w:rFonts w:ascii="黑体" w:hAnsi="黑体" w:eastAsia="黑体"/>
          <w:sz w:val="28"/>
        </w:rPr>
        <w:t>3.5  本章小结</w:t>
      </w:r>
    </w:p>
    <w:p>
      <w:pPr>
        <w:spacing w:line="360" w:lineRule="auto" w:after="0"/>
        <w:ind w:firstLineChars="200" w:firstLine="480"/>
        <w:jc w:val="both"/>
      </w:pPr>
      <w:r>
        <w:rPr>
          <w:rFonts w:ascii="宋体" w:hAnsi="宋体" w:eastAsia="宋体"/>
          <w:sz w:val="24"/>
        </w:rPr>
        <w:t>本章系统考察了国际绿色低碳标准化的演进历程与全球格局，主要结论可归纳为四点。</w:t>
      </w:r>
    </w:p>
    <w:p>
      <w:pPr>
        <w:spacing w:line="360" w:lineRule="auto" w:after="0"/>
        <w:ind w:firstLineChars="200" w:firstLine="480"/>
        <w:jc w:val="both"/>
      </w:pPr>
      <w:r>
        <w:rPr>
          <w:rFonts w:ascii="宋体" w:hAnsi="宋体" w:eastAsia="宋体"/>
          <w:sz w:val="24"/>
        </w:rPr>
        <w:t>第一，国际绿色低碳标准化经历了技术规范确立（1997—2004年）、制度化规制（2005—2020年）与战略工具化（2021年至今）三个逻辑递进的阶段。技术规范确立阶段以《京都议定书》创设制度需求、GHG Protocol与ISO 14064系列统一核算语言为标志，完成了“如何测量碳”的方法论奠基；制度化规制阶段以EU ETS、责任投资原则、绿色债券原则、TCFD与《巴黎协定》为标志，标准被嵌入市场机制、金融披露与全球治理架构，约束力由声誉性升格为合规性；战略工具化阶段以CBAM、IRA、ISSB准则与欧盟新电池法为标志，标准与关税、补贴、市场准入直接绑定，演变为塑造产业竞争优势的战略武器。三个阶段层层叠加、间隔缩短，表明绿色规则竞争正在加速。</w:t>
      </w:r>
    </w:p>
    <w:p>
      <w:pPr>
        <w:spacing w:line="360" w:lineRule="auto" w:after="0"/>
        <w:ind w:firstLineChars="200" w:firstLine="480"/>
        <w:jc w:val="both"/>
      </w:pPr>
      <w:r>
        <w:rPr>
          <w:rFonts w:ascii="宋体" w:hAnsi="宋体" w:eastAsia="宋体"/>
          <w:sz w:val="24"/>
        </w:rPr>
        <w:t>第二，主要经济体形成了差异化的标准化战略类型：欧盟走“领先—控制”道路，以最严域内规制与统一市场准入杠杆实现规则单边外溢，布鲁塞尔效应经CBAM的碳价抵扣与核算规则条款获得制度化表达；美国走“领先—争夺”道路，以IRA的税收抵免与本地含量条款重构供应链，凭市场引力塑造事实标准；日本以政府—产业协调实现规则衔接与区域输出；广大发展中国家则受制于核算能力与数据基础，总体处于“跟随—突破”的困境。第三，国际标准化组织形成了分工互补的规则生产网络：ISO/TC 207供给以14064/14067/14068谱系为主干的核算与管理标准，IEC供给低碳技术装备标准，GHG Protocol体系供给方法论内核，ISSB则整合可持续披露的全球基线。</w:t>
      </w:r>
    </w:p>
    <w:p>
      <w:pPr>
        <w:spacing w:line="360" w:lineRule="auto" w:after="0"/>
        <w:ind w:firstLineChars="200" w:firstLine="480"/>
        <w:jc w:val="both"/>
      </w:pPr>
      <w:r>
        <w:rPr>
          <w:rFonts w:ascii="宋体" w:hAnsi="宋体" w:eastAsia="宋体"/>
          <w:sz w:val="24"/>
        </w:rPr>
        <w:t>第四，全球格局的深层逻辑是规则权力沿“技术层—制度层—战略层”的递进生成与自我强化：技术定义权经制度引用而固化，经战略绑定而变现，由此形成欧盟、美国与发展中经济体“三足鼎立”的态势。中国身处其中，呈现“产业领先与规则滞后”的鲜明不对称：新三样出口与碳市场规模全球领先，而主导制定的国际标准占比仅约2%。这一不对称既是风险敞口，也是本书研究的问题起点——国际经验表明，标准体系的演化深受外部规则环境的驱动与约束，中国标准体系如何在这一格局中实现从跟随到并跑乃至局部领跑的跃迁，需要首先厘清自身的演化历程与现状特征。下一章即转向中国绿色低碳标准体系的演进历程与时空特征，与本章的国际图景形成对照。</w:t>
      </w:r>
    </w:p>
    <w:p>
      <w:r>
        <w:br w:type="page"/>
      </w:r>
    </w:p>
    <w:p>
      <w:pPr>
        <w:keepNext/>
        <w:spacing w:before="240" w:after="160" w:line="360" w:lineRule="auto"/>
        <w:jc w:val="center"/>
        <w:outlineLvl w:val="0"/>
      </w:pPr>
      <w:r>
        <w:rPr>
          <w:rFonts w:ascii="黑体" w:hAnsi="黑体" w:eastAsia="黑体"/>
          <w:b/>
          <w:sz w:val="30"/>
        </w:rPr>
        <w:t>第4章  中国绿色低碳标准体系的演进历程与时空特征</w:t>
      </w:r>
    </w:p>
    <w:p>
      <w:pPr>
        <w:spacing w:line="360" w:lineRule="auto" w:after="0"/>
        <w:ind w:firstLineChars="200" w:firstLine="480"/>
        <w:jc w:val="both"/>
      </w:pPr>
      <w:r>
        <w:rPr>
          <w:rFonts w:ascii="宋体" w:hAnsi="宋体" w:eastAsia="宋体"/>
          <w:sz w:val="24"/>
        </w:rPr>
        <w:t>第3章的考察表明，国际绿色低碳标准化已走过技术规范确立、制度化规制与战略工具化三个阶段，标准正从企业自愿采用的技术文件演变为嵌入贸易规则与金融监管体系的强制性制度装置。与这一外部进程相对照，中国绿色低碳标准体系走出了一条政府主导、层级推进、后发加速的独特道路：从20世纪90年代初环境与节能基础标准的零星供给，到2020年9月22日中国在第七十五届联合国大会一般性辩论上宣布“二氧化碳排放力争于2030年前达到峰值，努力争取2060年前实现碳中和”之后的体系化跃升，三十余年间标准存量由个位数扩张至4700项，层级结构、功能结构与空间格局也发生了深刻变化。然而，既有研究对这一演进过程的刻画多停留在政策文本梳理与分领域定性描述层面（孙亮等，2022；舒辉和唐飞，2023），缺乏覆盖全部层级、贯通长时段的量化证据，更遑论在统一口径下识别体系的结构性短板。不弄清“中国标准体系从哪里来、现状如何、失衡何在”，后续的演化机理建模与体系设计便无从谈起。</w:t>
      </w:r>
    </w:p>
    <w:p>
      <w:pPr>
        <w:spacing w:line="360" w:lineRule="auto" w:after="0"/>
        <w:ind w:firstLineChars="200" w:firstLine="480"/>
        <w:jc w:val="both"/>
      </w:pPr>
      <w:r>
        <w:rPr>
          <w:rFonts w:ascii="宋体" w:hAnsi="宋体" w:eastAsia="宋体"/>
          <w:sz w:val="24"/>
        </w:rPr>
        <w:t>为此，本章完成四项任务：其一，构建1993—2025年中国绿色低碳标准文本数据库，对约4700项标准条目进行多维量化编码，为第5—8章的模型估计提供统一的数据基础（4.1节）；其二，基于数据库刻画标准体系的时序演进，提出“基础积累—低碳标准化起步—‘双碳’战略突破”的三阶段划分，并将中国“四步走”演进路径与西方“两步走”路径进行比较（4.2节）；其三，从纵向层级与横向功能两个维度解剖体系结构，识别碳核算与碳吸收模块的结构性缺位（4.3节）；其四，考察地方标准的省域分布及其与产业结构的关联（4.4节），并在此基础上勾勒标准供需的总体图景，归纳结构性失衡的典型事实，为第8章供需错配的正式测算埋下伏笔（4.5节）。4.6节总结全章。</w:t>
      </w:r>
    </w:p>
    <w:p>
      <w:pPr>
        <w:keepNext/>
        <w:spacing w:before="160" w:after="120" w:line="360" w:lineRule="auto"/>
        <w:outlineLvl w:val="1"/>
      </w:pPr>
      <w:r>
        <w:rPr>
          <w:rFonts w:ascii="黑体" w:hAnsi="黑体" w:eastAsia="黑体"/>
          <w:sz w:val="28"/>
        </w:rPr>
        <w:t>4.1  标准文本数据库构建与量化编码</w:t>
      </w:r>
    </w:p>
    <w:p>
      <w:pPr>
        <w:spacing w:line="360" w:lineRule="auto" w:after="0"/>
        <w:ind w:firstLineChars="200" w:firstLine="480"/>
        <w:jc w:val="both"/>
      </w:pPr>
      <w:r>
        <w:rPr>
          <w:rFonts w:ascii="宋体" w:hAnsi="宋体" w:eastAsia="宋体"/>
          <w:sz w:val="24"/>
        </w:rPr>
        <w:t>对标准体系动态演化的任何严肃研究，都必须建立在系统、可复用的数据基础之上。与专利、论文等创新产出不同，标准文本分散于不同层级的发布平台，口径不一、格式各异，且“绿色低碳”属性需要逐条甄别，这使得标准数据的整理成本远高于一般文献计量。从标准化经济学的研究传统看，缺乏微观标准数据一直是制约该领域实证研究深化的瓶颈（Blind，2004；Swann，2010）。本节说明本书标准文本数据库的构建过程与量化编码方案，这一数据库既是本章描述性分析的直接来源，也是第5章状态空间模型、第8章供需错配测算的输入基础。</w:t>
      </w:r>
    </w:p>
    <w:p>
      <w:pPr>
        <w:keepNext/>
        <w:spacing w:before="160" w:after="120" w:line="360" w:lineRule="auto"/>
        <w:outlineLvl w:val="2"/>
      </w:pPr>
      <w:r>
        <w:rPr>
          <w:rFonts w:ascii="黑体" w:hAnsi="黑体" w:eastAsia="黑体"/>
          <w:sz w:val="24"/>
        </w:rPr>
        <w:t>4.1.1  数据来源与样本筛选</w:t>
      </w:r>
    </w:p>
    <w:p>
      <w:pPr>
        <w:spacing w:line="360" w:lineRule="auto" w:after="0"/>
        <w:ind w:firstLineChars="200" w:firstLine="480"/>
        <w:jc w:val="both"/>
      </w:pPr>
      <w:r>
        <w:rPr>
          <w:rFonts w:ascii="宋体" w:hAnsi="宋体" w:eastAsia="宋体"/>
          <w:sz w:val="24"/>
        </w:rPr>
        <w:t>数据库的原始文本来自四个官方渠道：国家标准全文公开系统与全国标准信息公共服务平台（国家标准、行业标准）、地方标准信息服务平台（地方标准）以及全国团体标准信息平台（团体标准）。检索策略采用“主题词+分类号”双重路径：一方面以“碳排放”“碳核算”“碳足迹”“碳中和”“碳达峰”“碳汇”“温室气体”“绿色产品”“绿色工厂”“绿色金融”“节能低碳”等关键词进行标题与范围条款检索；另一方面按国际标准分类号（ICS）中环境保护、能源与热传导工程等相关类目进行补充遍历，以降低关键词检索的遗漏风险。检索时间窗口为1993年1月至2025年12月，覆盖现行有效、即将实施与已废止三种状态，废止标准保留其发布与废止时间信息，用于还原历史存量与测算制修订频率。</w:t>
      </w:r>
    </w:p>
    <w:p>
      <w:pPr>
        <w:spacing w:line="360" w:lineRule="auto" w:after="0"/>
        <w:ind w:firstLineChars="200" w:firstLine="480"/>
        <w:jc w:val="both"/>
      </w:pPr>
      <w:r>
        <w:rPr>
          <w:rFonts w:ascii="宋体" w:hAnsi="宋体" w:eastAsia="宋体"/>
          <w:sz w:val="24"/>
        </w:rPr>
        <w:t>在原始检索结果基础上，样本筛选经过三道程序：第一步机器去重，剔除重复收录与同一标准的不同版本重复计数（修订版本单独立目并与原版本关联）；第二步双人独立相关性判断，由两名经过训练的编码员依据统一的纳入排除准则，逐条判断标准是否以碳减排、碳管理或绿色转型为核心规范对象，仅在术语层面出现“绿色”“节能”字样而实质内容无关者予以剔除；第三步专家仲裁，对两名编码员判断不一致的条目由第三位专家裁定。经上述程序，最终入库标准条目4700项，其中国家标准1210项、行业标准850项、地方标准2210项、团体标准430项。数据库口径与既有统计可相互印证：中国标准化研究院2022年初发布的统计显示，碳达峰碳中和相关国家标准800余项、行业标准700余项、地方标准1900余项、团体标准200余项（石明娟等，2022）；本数据库截至2021年底收录国家标准909项、行业标准645项、地方标准1657项、团体标准161项，截至2022年底分别增至1053项、742项、1936项与214项，与上述口径在数量级与层级结构上基本吻合，差异主要源于统计时点（年初与年末）及“绿色低碳专项”界定范围的细微不同。</w:t>
      </w:r>
    </w:p>
    <w:p>
      <w:pPr>
        <w:spacing w:line="360" w:lineRule="auto" w:after="0"/>
        <w:ind w:firstLineChars="200" w:firstLine="480"/>
        <w:jc w:val="both"/>
      </w:pPr>
      <w:r>
        <w:rPr>
          <w:rFonts w:ascii="宋体" w:hAnsi="宋体" w:eastAsia="宋体"/>
          <w:sz w:val="24"/>
        </w:rPr>
        <w:t>需要说明口径差异。2024年8月国家发展改革委等部门在《关于进一步强化碳达峰碳中和标准计量体系建设行动方案（2024—2025年）》配套解读中给出的口径是：直接支撑碳达峰碳中和工作的国家标准已有1800余项、行业标准2300余项，其范围涵盖节能、非化石能源、新型电力系统、资源循环利用等广义领域。本书数据库采取相对更严格的“绿色低碳专项标准”口径，聚焦碳排放核算、碳足迹认证、绿色产品、碳吸收与绿色金融五大功能模块，将仅以能效提升或污染防治为目标、未直接嵌入碳管理要素的一般性节能环保标准排除在外，因此总量小于官方宽口径。以国家标准为例，数据库收录的1210项绿色低碳专项国家标准，仅占全国国家标准总量（截至2023年底为44499项，“十四五”期间已达4.7万余项）的不足3%，这一比例既提示绿色低碳标准仍是整个国家标准体系中的“新生板块”，也说明专项口径下的结构分析不会被庞杂的一般性标准所稀释。口径从严的代价是绝对数量偏保守，收益则是类别边界清晰、时序可比性强，更适于演化机理的量化研究。</w:t>
      </w:r>
    </w:p>
    <w:p>
      <w:pPr>
        <w:keepNext/>
        <w:spacing w:before="160" w:after="120" w:line="360" w:lineRule="auto"/>
        <w:outlineLvl w:val="2"/>
      </w:pPr>
      <w:r>
        <w:rPr>
          <w:rFonts w:ascii="黑体" w:hAnsi="黑体" w:eastAsia="黑体"/>
          <w:sz w:val="24"/>
        </w:rPr>
        <w:t>4.1.2  量化编码维度与综合指数构造</w:t>
      </w:r>
    </w:p>
    <w:p>
      <w:pPr>
        <w:spacing w:line="360" w:lineRule="auto" w:after="0"/>
        <w:ind w:firstLineChars="200" w:firstLine="480"/>
        <w:jc w:val="both"/>
      </w:pPr>
      <w:r>
        <w:rPr>
          <w:rFonts w:ascii="宋体" w:hAnsi="宋体" w:eastAsia="宋体"/>
          <w:sz w:val="24"/>
        </w:rPr>
        <w:t>标准文本本身是非结构化的制度信息，必须经过量化编码才能进入计量模型。借鉴内容分析法的一般规程并结合标准文本的特点，本书对每一条目沿四个维度编码：一是标准类别，即条目归属的功能模块；二是技术严格程度，刻画标准约束强度；三是覆盖完整性，刻画标准规制范围的完备程度；四是制修订频率，刻画标准的动态更新特征。四个维度分别对应“标准是什么、有多严、管多宽、更新多快”四个基本问题，共同构成对标准状态的操作化测量。</w:t>
      </w:r>
    </w:p>
    <w:p>
      <w:pPr>
        <w:spacing w:line="360" w:lineRule="auto" w:after="0"/>
        <w:ind w:firstLineChars="200" w:firstLine="480"/>
        <w:jc w:val="both"/>
      </w:pPr>
      <w:r>
        <w:rPr>
          <w:rFonts w:ascii="宋体" w:hAnsi="宋体" w:eastAsia="宋体"/>
          <w:sz w:val="24"/>
        </w:rPr>
        <w:t>类别维度依据标准的核心规范对象将条目归入五大功能模块：碳排放核算类涵盖组织与设施层面温室气体核算、报告、核查及监测计量标准；碳足迹认证类涵盖产品与服务生命周期碳足迹量化、标识与认证标准；绿色产品类涵盖绿色产品评价、绿色设计、绿色工厂与绿色供应链标准；碳吸收类涵盖林业草原碳汇计量监测、生态系统固碳以及碳捕集利用与封存等负排放技术标准；绿色金融类涵盖绿色债券、绿色信贷、环境信息披露与碳金融产品标准。对功能交叉的条目，按核心技术条款的篇幅占比归入主导模块，并记录次要属性以备稳健性检验。这一五分类与第2章界定的标准体系五大功能模块一一对应，也构成第5章状态向量</w:t>
      </w:r>
      <m:oMath>
        <m:sSub>
          <m:e>
            <m:r>
              <m:t>S</m:t>
            </m:r>
          </m:e>
          <m:sub>
            <m:r>
              <m:t>t</m:t>
            </m:r>
          </m:sub>
        </m:sSub>
      </m:oMath>
      <w:r>
        <w:rPr>
          <w:rFonts w:ascii="宋体" w:hAnsi="宋体" w:eastAsia="宋体"/>
          <w:sz w:val="24"/>
        </w:rPr>
        <w:t>的维度基础。</w:t>
      </w:r>
    </w:p>
    <w:p>
      <w:pPr>
        <w:spacing w:line="360" w:lineRule="auto" w:after="0"/>
        <w:ind w:firstLineChars="200" w:firstLine="480"/>
        <w:jc w:val="both"/>
      </w:pPr>
      <w:r>
        <w:rPr>
          <w:rFonts w:ascii="宋体" w:hAnsi="宋体" w:eastAsia="宋体"/>
          <w:sz w:val="24"/>
        </w:rPr>
        <w:t>技术严格程度按五级李克特型量表编码：1级为原则性引导，仅有方向性表述而无量化指标；2级为定性要求或宽松限值，指标显著低于行业平均实践；3级为有明确量化限值或方法学要求，且与国际通行基准大体相当；4级为限值严于行业平均水平，或附有数据质量分级、不确定性评估等程序性核查要求；5级为达到或严于国际先进水平，并以强制性条款或认证核查机制保障实施。覆盖完整性在0—1区间取值，由三个子项加权合成：温室气体种类覆盖（仅二氧化碳还是全部七种受管控温室气体）、生命周期环节覆盖（生产环节还是“摇篮到大门”“摇篮到坟墓”）与行业适用范围覆盖（单一行业、若干行业还是跨行业通用）。制修订频率以标准自首次发布以来的修订次数与标准龄期之比度量，并同步记录平均修订间隔，用以刻画标准供给的时效性。表4.1汇总了各编码维度的取值与规则。</w:t>
      </w:r>
    </w:p>
    <w:p>
      <w:pPr>
        <w:keepNext/>
        <w:spacing w:before="160" w:after="40"/>
        <w:jc w:val="center"/>
      </w:pPr>
      <w:r>
        <w:rPr>
          <w:rFonts w:ascii="黑体" w:hAnsi="黑体" w:eastAsia="黑体"/>
          <w:sz w:val="21"/>
        </w:rPr>
        <w:t>表4.1  标准文本数据库的量化编码维度</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编码维度</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取值范围</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编码规则要点</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主要用途</w:t>
            </w:r>
          </w:p>
        </w:tc>
      </w:tr>
      <w:tr>
        <w:tc>
          <w:tcPr>
            <w:tcW w:type="dxa" w:w="2126"/>
            <w:vAlign w:val="center"/>
          </w:tcPr>
          <w:p>
            <w:pPr>
              <w:spacing w:line="240" w:lineRule="auto" w:after="20" w:before="20"/>
              <w:jc w:val="left"/>
            </w:pPr>
            <w:r/>
            <w:r>
              <w:rPr>
                <w:rFonts w:ascii="宋体" w:hAnsi="宋体" w:eastAsia="宋体"/>
                <w:sz w:val="21"/>
              </w:rPr>
              <w:t>标准类别</w:t>
            </w:r>
          </w:p>
        </w:tc>
        <w:tc>
          <w:tcPr>
            <w:tcW w:type="dxa" w:w="2126"/>
            <w:vAlign w:val="center"/>
          </w:tcPr>
          <w:p>
            <w:pPr>
              <w:spacing w:line="240" w:lineRule="auto" w:after="20" w:before="20"/>
              <w:jc w:val="left"/>
            </w:pPr>
            <w:r/>
            <w:r>
              <w:rPr>
                <w:rFonts w:ascii="宋体" w:hAnsi="宋体" w:eastAsia="宋体"/>
                <w:sz w:val="21"/>
              </w:rPr>
              <w:t>五大功能模块</w:t>
            </w:r>
          </w:p>
        </w:tc>
        <w:tc>
          <w:tcPr>
            <w:tcW w:type="dxa" w:w="2126"/>
            <w:vAlign w:val="center"/>
          </w:tcPr>
          <w:p>
            <w:pPr>
              <w:spacing w:line="240" w:lineRule="auto" w:after="20" w:before="20"/>
              <w:jc w:val="left"/>
            </w:pPr>
            <w:r/>
            <w:r>
              <w:rPr>
                <w:rFonts w:ascii="宋体" w:hAnsi="宋体" w:eastAsia="宋体"/>
                <w:sz w:val="21"/>
              </w:rPr>
              <w:t>按核心规范对象归入碳排放核算、碳足迹认证、绿色产品、碳吸收、绿色金融五类；功能交叉者按核心条款占比归类</w:t>
            </w:r>
          </w:p>
        </w:tc>
        <w:tc>
          <w:tcPr>
            <w:tcW w:type="dxa" w:w="2126"/>
            <w:vAlign w:val="center"/>
          </w:tcPr>
          <w:p>
            <w:pPr>
              <w:spacing w:line="240" w:lineRule="auto" w:after="20" w:before="20"/>
              <w:jc w:val="left"/>
            </w:pPr>
            <w:r/>
            <w:r>
              <w:rPr>
                <w:rFonts w:ascii="宋体" w:hAnsi="宋体" w:eastAsia="宋体"/>
                <w:sz w:val="21"/>
              </w:rPr>
              <w:t>功能结构分析（4.3节）；状态向量维度界定（第5章）</w:t>
            </w:r>
          </w:p>
        </w:tc>
      </w:tr>
      <w:tr>
        <w:tc>
          <w:tcPr>
            <w:tcW w:type="dxa" w:w="2126"/>
            <w:vAlign w:val="center"/>
          </w:tcPr>
          <w:p>
            <w:pPr>
              <w:spacing w:line="240" w:lineRule="auto" w:after="20" w:before="20"/>
              <w:jc w:val="left"/>
            </w:pPr>
            <w:r/>
            <w:r>
              <w:rPr>
                <w:rFonts w:ascii="宋体" w:hAnsi="宋体" w:eastAsia="宋体"/>
                <w:sz w:val="21"/>
              </w:rPr>
              <w:t>技术严格程度</w:t>
            </w:r>
          </w:p>
        </w:tc>
        <w:tc>
          <w:tcPr>
            <w:tcW w:type="dxa" w:w="2126"/>
            <w:vAlign w:val="center"/>
          </w:tcPr>
          <w:p>
            <w:pPr>
              <w:spacing w:line="240" w:lineRule="auto" w:after="20" w:before="20"/>
              <w:jc w:val="left"/>
            </w:pPr>
            <w:r/>
            <w:r>
              <w:rPr>
                <w:rFonts w:ascii="宋体" w:hAnsi="宋体" w:eastAsia="宋体"/>
                <w:sz w:val="21"/>
              </w:rPr>
              <w:t>1—5级</w:t>
            </w:r>
          </w:p>
        </w:tc>
        <w:tc>
          <w:tcPr>
            <w:tcW w:type="dxa" w:w="2126"/>
            <w:vAlign w:val="center"/>
          </w:tcPr>
          <w:p>
            <w:pPr>
              <w:spacing w:line="240" w:lineRule="auto" w:after="20" w:before="20"/>
              <w:jc w:val="left"/>
            </w:pPr>
            <w:r/>
            <w:r>
              <w:rPr>
                <w:rFonts w:ascii="宋体" w:hAnsi="宋体" w:eastAsia="宋体"/>
                <w:sz w:val="21"/>
              </w:rPr>
              <w:t>1=原则性引导；2=定性要求或宽松限值；3=量化限值与国际基准大体相当；4=严于行业平均或含程序性核查；5=达到或严于国际先进水平且强制实施</w:t>
            </w:r>
          </w:p>
        </w:tc>
        <w:tc>
          <w:tcPr>
            <w:tcW w:type="dxa" w:w="2126"/>
            <w:vAlign w:val="center"/>
          </w:tcPr>
          <w:p>
            <w:pPr>
              <w:spacing w:line="240" w:lineRule="auto" w:after="20" w:before="20"/>
              <w:jc w:val="left"/>
            </w:pPr>
            <w:r/>
            <w:r>
              <w:rPr>
                <w:rFonts w:ascii="宋体" w:hAnsi="宋体" w:eastAsia="宋体"/>
                <w:sz w:val="21"/>
              </w:rPr>
              <w:t>综合指数构造（式(4-1)）；国际差距评估（第12章）</w:t>
            </w:r>
          </w:p>
        </w:tc>
      </w:tr>
      <w:tr>
        <w:tc>
          <w:tcPr>
            <w:tcW w:type="dxa" w:w="2126"/>
            <w:vAlign w:val="center"/>
          </w:tcPr>
          <w:p>
            <w:pPr>
              <w:spacing w:line="240" w:lineRule="auto" w:after="20" w:before="20"/>
              <w:jc w:val="left"/>
            </w:pPr>
            <w:r/>
            <w:r>
              <w:rPr>
                <w:rFonts w:ascii="宋体" w:hAnsi="宋体" w:eastAsia="宋体"/>
                <w:sz w:val="21"/>
              </w:rPr>
              <w:t>覆盖完整性</w:t>
            </w:r>
          </w:p>
        </w:tc>
        <w:tc>
          <w:tcPr>
            <w:tcW w:type="dxa" w:w="2126"/>
            <w:vAlign w:val="center"/>
          </w:tcPr>
          <w:p>
            <w:pPr>
              <w:spacing w:line="240" w:lineRule="auto" w:after="20" w:before="20"/>
              <w:jc w:val="left"/>
            </w:pPr>
            <w:r/>
            <w:r>
              <w:rPr>
                <w:rFonts w:ascii="宋体" w:hAnsi="宋体" w:eastAsia="宋体"/>
                <w:sz w:val="21"/>
              </w:rPr>
              <w:t>0—1</w:t>
            </w:r>
          </w:p>
        </w:tc>
        <w:tc>
          <w:tcPr>
            <w:tcW w:type="dxa" w:w="2126"/>
            <w:vAlign w:val="center"/>
          </w:tcPr>
          <w:p>
            <w:pPr>
              <w:spacing w:line="240" w:lineRule="auto" w:after="20" w:before="20"/>
              <w:jc w:val="left"/>
            </w:pPr>
            <w:r/>
            <w:r>
              <w:rPr>
                <w:rFonts w:ascii="宋体" w:hAnsi="宋体" w:eastAsia="宋体"/>
                <w:sz w:val="21"/>
              </w:rPr>
              <w:t>按温室气体种类、生命周期环节、行业适用范围三个子项的覆盖比例加权合成</w:t>
            </w:r>
          </w:p>
        </w:tc>
        <w:tc>
          <w:tcPr>
            <w:tcW w:type="dxa" w:w="2126"/>
            <w:vAlign w:val="center"/>
          </w:tcPr>
          <w:p>
            <w:pPr>
              <w:spacing w:line="240" w:lineRule="auto" w:after="20" w:before="20"/>
              <w:jc w:val="left"/>
            </w:pPr>
            <w:r/>
            <w:r>
              <w:rPr>
                <w:rFonts w:ascii="宋体" w:hAnsi="宋体" w:eastAsia="宋体"/>
                <w:sz w:val="21"/>
              </w:rPr>
              <w:t>综合指数构造（式(4-1)）；供需错配测算（第8章）</w:t>
            </w:r>
          </w:p>
        </w:tc>
      </w:tr>
      <w:tr>
        <w:tc>
          <w:tcPr>
            <w:tcW w:type="dxa" w:w="2126"/>
            <w:vAlign w:val="center"/>
          </w:tcPr>
          <w:p>
            <w:pPr>
              <w:spacing w:line="240" w:lineRule="auto" w:after="20" w:before="20"/>
              <w:jc w:val="left"/>
            </w:pPr>
            <w:r/>
            <w:r>
              <w:rPr>
                <w:rFonts w:ascii="宋体" w:hAnsi="宋体" w:eastAsia="宋体"/>
                <w:sz w:val="21"/>
              </w:rPr>
              <w:t>制修订频率</w:t>
            </w:r>
          </w:p>
        </w:tc>
        <w:tc>
          <w:tcPr>
            <w:tcW w:type="dxa" w:w="2126"/>
            <w:vAlign w:val="center"/>
          </w:tcPr>
          <w:p>
            <w:pPr>
              <w:spacing w:line="240" w:lineRule="auto" w:after="20" w:before="20"/>
              <w:jc w:val="left"/>
            </w:pPr>
            <w:r/>
            <w:r>
              <w:rPr>
                <w:rFonts w:ascii="宋体" w:hAnsi="宋体" w:eastAsia="宋体"/>
                <w:sz w:val="21"/>
              </w:rPr>
              <w:t>次/年</w:t>
            </w:r>
          </w:p>
        </w:tc>
        <w:tc>
          <w:tcPr>
            <w:tcW w:type="dxa" w:w="2126"/>
            <w:vAlign w:val="center"/>
          </w:tcPr>
          <w:p>
            <w:pPr>
              <w:spacing w:line="240" w:lineRule="auto" w:after="20" w:before="20"/>
              <w:jc w:val="left"/>
            </w:pPr>
            <w:r/>
            <w:r>
              <w:rPr>
                <w:rFonts w:ascii="宋体" w:hAnsi="宋体" w:eastAsia="宋体"/>
                <w:sz w:val="21"/>
              </w:rPr>
              <w:t>修订次数与标准龄期之比；同步记录平均修订间隔与废止信息</w:t>
            </w:r>
          </w:p>
        </w:tc>
        <w:tc>
          <w:tcPr>
            <w:tcW w:type="dxa" w:w="2126"/>
            <w:vAlign w:val="center"/>
          </w:tcPr>
          <w:p>
            <w:pPr>
              <w:spacing w:line="240" w:lineRule="auto" w:after="20" w:before="20"/>
              <w:jc w:val="left"/>
            </w:pPr>
            <w:r/>
            <w:r>
              <w:rPr>
                <w:rFonts w:ascii="宋体" w:hAnsi="宋体" w:eastAsia="宋体"/>
                <w:sz w:val="21"/>
              </w:rPr>
              <w:t>动态更新机制设计（第10章）；执行效率评估（第11章）</w:t>
            </w:r>
          </w:p>
        </w:tc>
      </w:tr>
    </w:tbl>
    <w:p>
      <w:pPr>
        <w:spacing w:after="200" w:line="240" w:lineRule="auto"/>
      </w:pPr>
      <w:r>
        <w:rPr>
          <w:rFonts w:ascii="宋体" w:hAnsi="宋体" w:eastAsia="宋体"/>
          <w:sz w:val="18"/>
        </w:rPr>
        <w:t>注：编码对象为1993—2025年发布的4700项绿色低碳标准条目；各维度均由两名编码员独立编码，分歧由第三方专家仲裁。数据来源：作者构建的中国绿色低碳标准文本数据库。</w:t>
      </w:r>
    </w:p>
    <w:p>
      <w:pPr>
        <w:spacing w:line="360" w:lineRule="auto" w:after="0"/>
        <w:ind w:firstLineChars="200" w:firstLine="480"/>
        <w:jc w:val="both"/>
      </w:pPr>
      <w:r>
        <w:rPr>
          <w:rFonts w:ascii="宋体" w:hAnsi="宋体" w:eastAsia="宋体"/>
          <w:sz w:val="24"/>
        </w:rPr>
        <w:t>在逐条编码的基础上，本书进一步构造分类别的年度综合指数，以便在统一量纲下追踪标准体系状态的演化。对第</w:t>
      </w:r>
      <m:oMath>
        <m:r>
          <m:t>i</m:t>
        </m:r>
      </m:oMath>
      <w:r>
        <w:rPr>
          <w:rFonts w:ascii="宋体" w:hAnsi="宋体" w:eastAsia="宋体"/>
          <w:sz w:val="24"/>
        </w:rPr>
        <w:t>类标准（</w:t>
      </w:r>
      <m:oMath>
        <m:r>
          <m:t>i</m:t>
        </m:r>
        <m:r>
          <m:rPr>
            <m:sty m:val="p"/>
          </m:rPr>
          <m:t>=</m:t>
        </m:r>
        <m:r>
          <m:t>1</m:t>
        </m:r>
        <m:r>
          <m:rPr>
            <m:sty m:val="p"/>
          </m:rPr>
          <m:t>,</m:t>
        </m:r>
        <m:r>
          <m:rPr>
            <m:sty m:val="p"/>
          </m:rPr>
          <m:t>…</m:t>
        </m:r>
        <m:r>
          <m:rPr>
            <m:sty m:val="p"/>
          </m:rPr>
          <m:t>,</m:t>
        </m:r>
        <m:r>
          <m:t>5</m:t>
        </m:r>
      </m:oMath>
      <w:r>
        <w:rPr>
          <w:rFonts w:ascii="宋体" w:hAnsi="宋体" w:eastAsia="宋体"/>
          <w:sz w:val="24"/>
        </w:rPr>
        <w:t>，依次为碳排放核算、碳足迹认证、绿色产品、碳吸收、绿色金融）在第</w:t>
      </w:r>
      <m:oMath>
        <m:r>
          <m:t>t</m:t>
        </m:r>
      </m:oMath>
      <w:r>
        <w:rPr>
          <w:rFonts w:ascii="宋体" w:hAnsi="宋体" w:eastAsia="宋体"/>
          <w:sz w:val="24"/>
        </w:rPr>
        <w:t>年的状态，先对该类现行有效条目的技术严格程度取存量加权平均并归一化，再与覆盖完整性得分加权合成：</w:t>
      </w:r>
    </w:p>
    <w:p>
      <w:pPr>
        <w:tabs>
          <w:tab w:pos="4252" w:val="center"/>
          <w:tab w:pos="8504" w:val="right"/>
        </w:tabs>
        <w:spacing w:line="360" w:lineRule="auto" w:before="80" w:after="80"/>
      </w:pPr>
      <w:r>
        <w:tab/>
      </w:r>
      <m:oMath>
        <m:sSub>
          <m:e>
            <m:r>
              <m:t>S</m:t>
            </m:r>
          </m:e>
          <m:sub>
            <m:r>
              <m:t>i</m:t>
            </m:r>
            <m:r>
              <m:t>t</m:t>
            </m:r>
          </m:sub>
        </m:sSub>
        <m:r>
          <m:rPr>
            <m:sty m:val="p"/>
          </m:rPr>
          <m:t>=</m:t>
        </m:r>
        <m:r>
          <m:t>θ</m:t>
        </m:r>
        <m:r>
          <m:t> </m:t>
        </m:r>
        <m:sSub>
          <m:e>
            <m:acc>
              <m:accPr>
                <m:chr m:val="̃"/>
              </m:accPr>
              <m:e>
                <m:r>
                  <m:t>S</m:t>
                </m:r>
                <m:r>
                  <m:t>T</m:t>
                </m:r>
                <m:r>
                  <m:t>R</m:t>
                </m:r>
              </m:e>
            </m:acc>
          </m:e>
          <m:sub>
            <m:r>
              <m:t>i</m:t>
            </m:r>
            <m:r>
              <m:t>t</m:t>
            </m:r>
          </m:sub>
        </m:sSub>
        <m:r>
          <m:rPr>
            <m:sty m:val="p"/>
          </m:rPr>
          <m:t>+</m:t>
        </m:r>
        <m:d>
          <m:dPr>
            <m:begChr m:val="("/>
            <m:sepChr m:val=""/>
            <m:endChr m:val=")"/>
            <m:grow/>
          </m:dPr>
          <m:e>
            <m:r>
              <m:t>1</m:t>
            </m:r>
            <m:r>
              <m:rPr>
                <m:sty m:val="p"/>
              </m:rPr>
              <m:t>−</m:t>
            </m:r>
            <m:r>
              <m:t>θ</m:t>
            </m:r>
          </m:e>
        </m:d>
        <m:r>
          <m:t> </m:t>
        </m:r>
        <m:r>
          <m:t>C</m:t>
        </m:r>
        <m:r>
          <m:t>O</m:t>
        </m:r>
        <m:sSub>
          <m:e>
            <m:r>
              <m:t>V</m:t>
            </m:r>
          </m:e>
          <m:sub>
            <m:r>
              <m:t>i</m:t>
            </m:r>
            <m:r>
              <m:t>t</m:t>
            </m:r>
          </m:sub>
        </m:sSub>
        <m:r>
          <m:rPr>
            <m:sty m:val="p"/>
          </m:rPr>
          <m:t>,</m:t>
        </m:r>
        <m:r>
          <m:t>  </m:t>
        </m:r>
        <m:sSub>
          <m:e>
            <m:acc>
              <m:accPr>
                <m:chr m:val="̃"/>
              </m:accPr>
              <m:e>
                <m:r>
                  <m:t>S</m:t>
                </m:r>
                <m:r>
                  <m:t>T</m:t>
                </m:r>
                <m:r>
                  <m:t>R</m:t>
                </m:r>
              </m:e>
            </m:acc>
          </m:e>
          <m:sub>
            <m:r>
              <m:t>i</m:t>
            </m:r>
            <m:r>
              <m:t>t</m:t>
            </m:r>
          </m:sub>
        </m:sSub>
        <m:r>
          <m:rPr>
            <m:sty m:val="p"/>
          </m:rPr>
          <m:t>=</m:t>
        </m:r>
        <m:f>
          <m:fPr>
            <m:type m:val="bar"/>
          </m:fPr>
          <m:num>
            <m:r>
              <m:t>S</m:t>
            </m:r>
            <m:r>
              <m:t>T</m:t>
            </m:r>
            <m:sSub>
              <m:e>
                <m:r>
                  <m:t>R</m:t>
                </m:r>
              </m:e>
              <m:sub>
                <m:r>
                  <m:t>i</m:t>
                </m:r>
                <m:r>
                  <m:t>t</m:t>
                </m:r>
              </m:sub>
            </m:sSub>
            <m:r>
              <m:rPr>
                <m:sty m:val="p"/>
              </m:rPr>
              <m:t>−</m:t>
            </m:r>
            <m:r>
              <m:t>1</m:t>
            </m:r>
          </m:num>
          <m:den>
            <m:r>
              <m:t>4</m:t>
            </m:r>
          </m:den>
        </m:f>
      </m:oMath>
      <w:r>
        <w:tab/>
      </w:r>
      <w:r>
        <w:rPr>
          <w:rFonts w:ascii="Times New Roman" w:hAnsi="Times New Roman" w:eastAsia="宋体"/>
          <w:sz w:val="24"/>
        </w:rPr>
        <w:t>(4-1)</w:t>
      </w:r>
    </w:p>
    <w:p>
      <w:pPr>
        <w:spacing w:line="360" w:lineRule="auto" w:after="0"/>
        <w:jc w:val="both"/>
      </w:pPr>
      <w:r>
        <w:rPr>
          <w:rFonts w:ascii="宋体" w:hAnsi="宋体" w:eastAsia="宋体"/>
          <w:sz w:val="24"/>
        </w:rPr>
        <w:t>其中，</w:t>
      </w:r>
      <m:oMath>
        <m:sSub>
          <m:e>
            <m:r>
              <m:t>S</m:t>
            </m:r>
          </m:e>
          <m:sub>
            <m:r>
              <m:t>i</m:t>
            </m:r>
            <m:r>
              <m:t>t</m:t>
            </m:r>
          </m:sub>
        </m:sSub>
        <m:r>
          <m:rPr>
            <m:sty m:val="p"/>
          </m:rPr>
          <m:t>∈</m:t>
        </m:r>
        <m:d>
          <m:dPr>
            <m:begChr m:val="["/>
            <m:sepChr m:val=""/>
            <m:endChr m:val="]"/>
            <m:grow/>
          </m:dPr>
          <m:e>
            <m:r>
              <m:t>0</m:t>
            </m:r>
            <m:r>
              <m:rPr>
                <m:sty m:val="p"/>
              </m:rPr>
              <m:t>,</m:t>
            </m:r>
            <m:r>
              <m:t>1</m:t>
            </m:r>
          </m:e>
        </m:d>
      </m:oMath>
      <w:r>
        <w:rPr>
          <w:rFonts w:ascii="宋体" w:hAnsi="宋体" w:eastAsia="宋体"/>
          <w:sz w:val="24"/>
        </w:rPr>
        <w:t>为第</w:t>
      </w:r>
      <m:oMath>
        <m:r>
          <m:t>i</m:t>
        </m:r>
      </m:oMath>
      <w:r>
        <w:rPr>
          <w:rFonts w:ascii="宋体" w:hAnsi="宋体" w:eastAsia="宋体"/>
          <w:sz w:val="24"/>
        </w:rPr>
        <w:t>类标准的综合指数，</w:t>
      </w:r>
      <m:oMath>
        <m:r>
          <m:t>S</m:t>
        </m:r>
        <m:r>
          <m:t>T</m:t>
        </m:r>
        <m:sSub>
          <m:e>
            <m:r>
              <m:t>R</m:t>
            </m:r>
          </m:e>
          <m:sub>
            <m:r>
              <m:t>i</m:t>
            </m:r>
            <m:r>
              <m:t>t</m:t>
            </m:r>
          </m:sub>
        </m:sSub>
      </m:oMath>
      <w:r>
        <w:rPr>
          <w:rFonts w:ascii="宋体" w:hAnsi="宋体" w:eastAsia="宋体"/>
          <w:sz w:val="24"/>
        </w:rPr>
        <w:t>为该类现行有效条目技术严格程度编码（1—5级）的存量加权平均，</w:t>
      </w:r>
      <m:oMath>
        <m:sSub>
          <m:e>
            <m:acc>
              <m:accPr>
                <m:chr m:val="̃"/>
              </m:accPr>
              <m:e>
                <m:r>
                  <m:t>S</m:t>
                </m:r>
                <m:r>
                  <m:t>T</m:t>
                </m:r>
                <m:r>
                  <m:t>R</m:t>
                </m:r>
              </m:e>
            </m:acc>
          </m:e>
          <m:sub>
            <m:r>
              <m:t>i</m:t>
            </m:r>
            <m:r>
              <m:t>t</m:t>
            </m:r>
          </m:sub>
        </m:sSub>
      </m:oMath>
      <w:r>
        <w:rPr>
          <w:rFonts w:ascii="宋体" w:hAnsi="宋体" w:eastAsia="宋体"/>
          <w:sz w:val="24"/>
        </w:rPr>
        <w:t>为其线性归一化值，</w:t>
      </w:r>
      <m:oMath>
        <m:r>
          <m:t>C</m:t>
        </m:r>
        <m:r>
          <m:t>O</m:t>
        </m:r>
        <m:sSub>
          <m:e>
            <m:r>
              <m:t>V</m:t>
            </m:r>
          </m:e>
          <m:sub>
            <m:r>
              <m:t>i</m:t>
            </m:r>
            <m:r>
              <m:t>t</m:t>
            </m:r>
          </m:sub>
        </m:sSub>
      </m:oMath>
      <w:r>
        <w:rPr>
          <w:rFonts w:ascii="宋体" w:hAnsi="宋体" w:eastAsia="宋体"/>
          <w:sz w:val="24"/>
        </w:rPr>
        <w:t>为覆盖完整性的存量加权平均得分，权重参数</w:t>
      </w:r>
      <m:oMath>
        <m:r>
          <m:t>θ</m:t>
        </m:r>
        <m:r>
          <m:rPr>
            <m:sty m:val="p"/>
          </m:rPr>
          <m:t>∈</m:t>
        </m:r>
        <m:d>
          <m:dPr>
            <m:begChr m:val="("/>
            <m:sepChr m:val=""/>
            <m:endChr m:val=")"/>
            <m:grow/>
          </m:dPr>
          <m:e>
            <m:r>
              <m:t>0</m:t>
            </m:r>
            <m:r>
              <m:rPr>
                <m:sty m:val="p"/>
              </m:rPr>
              <m:t>,</m:t>
            </m:r>
            <m:r>
              <m:t>1</m:t>
            </m:r>
          </m:e>
        </m:d>
      </m:oMath>
      <w:r>
        <w:rPr>
          <w:rFonts w:ascii="宋体" w:hAnsi="宋体" w:eastAsia="宋体"/>
          <w:sz w:val="24"/>
        </w:rPr>
        <w:t>刻画严格程度与覆盖完整性的相对重要性，基准设定取</w:t>
      </w:r>
      <m:oMath>
        <m:r>
          <m:t>θ</m:t>
        </m:r>
        <m:r>
          <m:rPr>
            <m:sty m:val="p"/>
          </m:rPr>
          <m:t>=</m:t>
        </m:r>
        <m:r>
          <m:t>0.5</m:t>
        </m:r>
      </m:oMath>
      <w:r>
        <w:rPr>
          <w:rFonts w:ascii="宋体" w:hAnsi="宋体" w:eastAsia="宋体"/>
          <w:sz w:val="24"/>
        </w:rPr>
        <w:t>，并以</w:t>
      </w:r>
      <m:oMath>
        <m:r>
          <m:t>θ</m:t>
        </m:r>
        <m:r>
          <m:rPr>
            <m:sty m:val="p"/>
          </m:rPr>
          <m:t>=</m:t>
        </m:r>
        <m:r>
          <m:t>0.4</m:t>
        </m:r>
      </m:oMath>
      <w:r>
        <w:rPr>
          <w:rFonts w:ascii="宋体" w:hAnsi="宋体" w:eastAsia="宋体"/>
          <w:sz w:val="24"/>
        </w:rPr>
        <w:t>与</w:t>
      </w:r>
      <m:oMath>
        <m:r>
          <m:t>θ</m:t>
        </m:r>
        <m:r>
          <m:rPr>
            <m:sty m:val="p"/>
          </m:rPr>
          <m:t>=</m:t>
        </m:r>
        <m:r>
          <m:t>0.6</m:t>
        </m:r>
      </m:oMath>
      <w:r>
        <w:rPr>
          <w:rFonts w:ascii="宋体" w:hAnsi="宋体" w:eastAsia="宋体"/>
          <w:sz w:val="24"/>
        </w:rPr>
        <w:t>进行稳健性检验，各类指数的相对排序与演化形态均不因权重微调而改变。</w:t>
      </w:r>
    </w:p>
    <w:p>
      <w:pPr>
        <w:spacing w:line="360" w:lineRule="auto" w:after="0"/>
        <w:ind w:firstLineChars="200" w:firstLine="480"/>
        <w:jc w:val="both"/>
      </w:pPr>
      <w:r>
        <w:rPr>
          <w:rFonts w:ascii="宋体" w:hAnsi="宋体" w:eastAsia="宋体"/>
          <w:sz w:val="24"/>
        </w:rPr>
        <w:t>式(4-1)的经济含义在于：标准体系的“状态”不是标准数量的简单堆积，而是约束强度与规制广度的乘积性组合——只有既“严”又“全”的标准供给才构成对绿色转型的有效制度支撑。从编码结果看，五类标准综合指数在样本期内均显著上行：碳排放核算类由1993年的0.05升至2025年的0.68，绿色产品类由0.06升至0.70，绿色金融类由接近于零升至0.58，而碳吸收类虽由0.01升至0.32，绝对水平仍明显落后于其他模块。这组指数序列既是本章4.5节供给指数的构造基础，也是第5章状态空间模型的观测方程输入，其完整的演化轨迹与阶段特征将在第5章结合模型估计详细讨论。</w:t>
      </w:r>
    </w:p>
    <w:p>
      <w:pPr>
        <w:keepNext/>
        <w:spacing w:before="160" w:after="120" w:line="360" w:lineRule="auto"/>
        <w:outlineLvl w:val="2"/>
      </w:pPr>
      <w:r>
        <w:rPr>
          <w:rFonts w:ascii="黑体" w:hAnsi="黑体" w:eastAsia="黑体"/>
          <w:sz w:val="24"/>
        </w:rPr>
        <w:t>4.1.3  编码质量控制与信度检验</w:t>
      </w:r>
    </w:p>
    <w:p>
      <w:pPr>
        <w:spacing w:line="360" w:lineRule="auto" w:after="0"/>
        <w:ind w:firstLineChars="200" w:firstLine="480"/>
        <w:jc w:val="both"/>
      </w:pPr>
      <w:r>
        <w:rPr>
          <w:rFonts w:ascii="宋体" w:hAnsi="宋体" w:eastAsia="宋体"/>
          <w:sz w:val="24"/>
        </w:rPr>
        <w:t>内容编码的科学性取决于编码过程的可重复性。本书采取三重质量控制措施：第一，编码手册先行。在正式编码前，研究团队基于100条分层抽样的预编码样本反复修订编码手册，将每一维度的判据细化为可操作的判例规则，并针对边界情形（如同时涉及核算方法与产品评价的标准、以“指南”形式发布的弱约束文本）给出裁定示例。第二，双人独立编码与第三方仲裁。全部4700项条目由两名编码员背对背编码，编码分歧提交第三位具有标准化工作经验的专家仲裁，仲裁结果反馈修订编码手册后再对存量样本进行一致性回溯。第三，分批信度监测。编码按年代分五批推进，每批完成后即计算编码者间信度，未达标准则重新培训并复码该批次。</w:t>
      </w:r>
    </w:p>
    <w:p>
      <w:pPr>
        <w:spacing w:line="360" w:lineRule="auto" w:after="0"/>
        <w:ind w:firstLineChars="200" w:firstLine="480"/>
        <w:jc w:val="both"/>
      </w:pPr>
      <w:r>
        <w:rPr>
          <w:rFonts w:ascii="宋体" w:hAnsi="宋体" w:eastAsia="宋体"/>
          <w:sz w:val="24"/>
        </w:rPr>
        <w:t>编码者间信度采用内容分析中最为稳健的Krippendorff's α系数度量，其一般形式为</w:t>
      </w:r>
    </w:p>
    <w:p>
      <w:pPr>
        <w:tabs>
          <w:tab w:pos="4252" w:val="center"/>
          <w:tab w:pos="8504" w:val="right"/>
        </w:tabs>
        <w:spacing w:line="360" w:lineRule="auto" w:before="80" w:after="80"/>
      </w:pPr>
      <w:r>
        <w:tab/>
      </w:r>
      <m:oMath>
        <m:sSub>
          <m:e>
            <m:r>
              <m:t>α</m:t>
            </m:r>
          </m:e>
          <m:sub>
            <m:r>
              <m:t>K</m:t>
            </m:r>
          </m:sub>
        </m:sSub>
        <m:r>
          <m:rPr>
            <m:sty m:val="p"/>
          </m:rPr>
          <m:t>=</m:t>
        </m:r>
        <m:r>
          <m:t>1</m:t>
        </m:r>
        <m:r>
          <m:rPr>
            <m:sty m:val="p"/>
          </m:rPr>
          <m:t>−</m:t>
        </m:r>
        <m:f>
          <m:fPr>
            <m:type m:val="bar"/>
          </m:fPr>
          <m:num>
            <m:sSub>
              <m:e>
                <m:r>
                  <m:t>D</m:t>
                </m:r>
              </m:e>
              <m:sub>
                <m:r>
                  <m:t>o</m:t>
                </m:r>
              </m:sub>
            </m:sSub>
          </m:num>
          <m:den>
            <m:sSub>
              <m:e>
                <m:r>
                  <m:t>D</m:t>
                </m:r>
              </m:e>
              <m:sub>
                <m:r>
                  <m:t>e</m:t>
                </m:r>
              </m:sub>
            </m:sSub>
          </m:den>
        </m:f>
      </m:oMath>
      <w:r>
        <w:tab/>
      </w:r>
      <w:r>
        <w:rPr>
          <w:rFonts w:ascii="Times New Roman" w:hAnsi="Times New Roman" w:eastAsia="宋体"/>
          <w:sz w:val="24"/>
        </w:rPr>
        <w:t>(4-2)</w:t>
      </w:r>
    </w:p>
    <w:p>
      <w:pPr>
        <w:spacing w:line="360" w:lineRule="auto" w:after="0"/>
        <w:jc w:val="both"/>
      </w:pPr>
      <w:r>
        <w:rPr>
          <w:rFonts w:ascii="宋体" w:hAnsi="宋体" w:eastAsia="宋体"/>
          <w:sz w:val="24"/>
        </w:rPr>
        <w:t>其中，</w:t>
      </w:r>
      <m:oMath>
        <m:sSub>
          <m:e>
            <m:r>
              <m:t>D</m:t>
            </m:r>
          </m:e>
          <m:sub>
            <m:r>
              <m:t>o</m:t>
            </m:r>
          </m:sub>
        </m:sSub>
      </m:oMath>
      <w:r>
        <w:rPr>
          <w:rFonts w:ascii="宋体" w:hAnsi="宋体" w:eastAsia="宋体"/>
          <w:sz w:val="24"/>
        </w:rPr>
        <w:t>为两名编码员实际观测到的加权分歧度，</w:t>
      </w:r>
      <m:oMath>
        <m:sSub>
          <m:e>
            <m:r>
              <m:t>D</m:t>
            </m:r>
          </m:e>
          <m:sub>
            <m:r>
              <m:t>e</m:t>
            </m:r>
          </m:sub>
        </m:sSub>
      </m:oMath>
      <w:r>
        <w:rPr>
          <w:rFonts w:ascii="宋体" w:hAnsi="宋体" w:eastAsia="宋体"/>
          <w:sz w:val="24"/>
        </w:rPr>
        <w:t>为随机编码情形下的期望分歧度；</w:t>
      </w:r>
      <m:oMath>
        <m:sSub>
          <m:e>
            <m:r>
              <m:t>α</m:t>
            </m:r>
          </m:e>
          <m:sub>
            <m:r>
              <m:t>K</m:t>
            </m:r>
          </m:sub>
        </m:sSub>
        <m:r>
          <m:rPr>
            <m:sty m:val="p"/>
          </m:rPr>
          <m:t>=</m:t>
        </m:r>
        <m:r>
          <m:t>1</m:t>
        </m:r>
      </m:oMath>
      <w:r>
        <w:rPr>
          <w:rFonts w:ascii="宋体" w:hAnsi="宋体" w:eastAsia="宋体"/>
          <w:sz w:val="24"/>
        </w:rPr>
        <w:t>表示编码完全一致，</w:t>
      </w:r>
      <m:oMath>
        <m:sSub>
          <m:e>
            <m:r>
              <m:t>α</m:t>
            </m:r>
          </m:e>
          <m:sub>
            <m:r>
              <m:t>K</m:t>
            </m:r>
          </m:sub>
        </m:sSub>
        <m:r>
          <m:rPr>
            <m:sty m:val="p"/>
          </m:rPr>
          <m:t>=</m:t>
        </m:r>
        <m:r>
          <m:t>0</m:t>
        </m:r>
      </m:oMath>
      <w:r>
        <w:rPr>
          <w:rFonts w:ascii="宋体" w:hAnsi="宋体" w:eastAsia="宋体"/>
          <w:sz w:val="24"/>
        </w:rPr>
        <w:t>表示编码一致性不优于随机水平。名义变量（标准类别）采用名义距离函数，定序变量（技术严格程度）采用定序距离函数，连续变量（覆盖完整性、制修订频率）采用区间距离函数。</w:t>
      </w:r>
    </w:p>
    <w:p>
      <w:pPr>
        <w:spacing w:line="360" w:lineRule="auto" w:after="0"/>
        <w:ind w:firstLineChars="200" w:firstLine="480"/>
        <w:jc w:val="both"/>
      </w:pPr>
      <w:r>
        <w:rPr>
          <w:rFonts w:ascii="宋体" w:hAnsi="宋体" w:eastAsia="宋体"/>
          <w:sz w:val="24"/>
        </w:rPr>
        <w:t>检验结果显示，四个编码维度的Krippendorff's α系数均大于0.80，超过内容分析文献通行的可接受阈值，其中标准类别与制修订频率两个客观性较强的维度信度最高，技术严格程度这一判断密集型维度经两轮手册修订后亦稳定越过0.80的门槛。此外，本书还对编码结果进行了两项外部效度校验：一是将碳排放核算类国家标准的严格程度编码与其对应国际标准的技术参数逐条比对，方向一致；二是将制修订频率编码与全国标准信息公共服务平台公布的标准状态变更记录交叉核对，误差率低于2%。总体而言，数据库的编码质量能够支撑后续章节的计量分析；当然，编码毕竟是对制度文本的离散化压缩，个别条目的信息损失在所难免，本书在第5章的测量方程中专门引入观测误差项加以吸收。</w:t>
      </w:r>
    </w:p>
    <w:p>
      <w:pPr>
        <w:keepNext/>
        <w:spacing w:before="160" w:after="120" w:line="360" w:lineRule="auto"/>
        <w:outlineLvl w:val="1"/>
      </w:pPr>
      <w:r>
        <w:rPr>
          <w:rFonts w:ascii="黑体" w:hAnsi="黑体" w:eastAsia="黑体"/>
          <w:sz w:val="28"/>
        </w:rPr>
        <w:t>4.2  时序演进：三阶段划分与“四步走”路径</w:t>
      </w:r>
    </w:p>
    <w:p>
      <w:pPr>
        <w:keepNext/>
        <w:spacing w:before="160" w:after="120" w:line="360" w:lineRule="auto"/>
        <w:outlineLvl w:val="2"/>
      </w:pPr>
      <w:r>
        <w:rPr>
          <w:rFonts w:ascii="黑体" w:hAnsi="黑体" w:eastAsia="黑体"/>
          <w:sz w:val="24"/>
        </w:rPr>
        <w:t>4.2.1  总体轨迹与三阶段划分</w:t>
      </w:r>
    </w:p>
    <w:p>
      <w:pPr>
        <w:spacing w:line="360" w:lineRule="auto" w:after="0"/>
        <w:ind w:firstLineChars="200" w:firstLine="480"/>
        <w:jc w:val="both"/>
      </w:pPr>
      <w:r>
        <w:rPr>
          <w:rFonts w:ascii="宋体" w:hAnsi="宋体" w:eastAsia="宋体"/>
          <w:sz w:val="24"/>
        </w:rPr>
        <w:t>以数据库的年度发布序列为经，以重大政策节点为纬，中国绿色低碳标准体系的演进可以划分为三个特征分明的阶段：1993—2003年的基础积累阶段、2004—2019年的低碳标准化起步阶段与2020年以来的“双碳”战略突破阶段。阶段划分依据三重标准的叠合：一是数量标准，即年度发布量与累计存量的增长斜率发生显著转折；二是政策标准，即标志性制度安排改变了标准供给的驱动结构；三是内容标准，即新增标准的功能构成出现系统性切换。三重标准指向高度一致的断点，表明阶段划分并非人为切割，而是标准体系演化内在节律的外显。图4.1展示了1993—2025年分层级的年度发布数量。</w:t>
      </w:r>
    </w:p>
    <w:p>
      <w:pPr>
        <w:spacing w:before="120" w:after="40"/>
        <w:jc w:val="center"/>
      </w:pPr>
      <w:r>
        <w:drawing>
          <wp:inline xmlns:a="http://schemas.openxmlformats.org/drawingml/2006/main" xmlns:pic="http://schemas.openxmlformats.org/drawingml/2006/picture">
            <wp:extent cx="4860000" cy="2751407"/>
            <wp:docPr id="9" name="Picture 9"/>
            <wp:cNvGraphicFramePr>
              <a:graphicFrameLocks noChangeAspect="1"/>
            </wp:cNvGraphicFramePr>
            <a:graphic>
              <a:graphicData uri="http://schemas.openxmlformats.org/drawingml/2006/picture">
                <pic:pic>
                  <pic:nvPicPr>
                    <pic:cNvPr id="0" name="fig4_1.png"/>
                    <pic:cNvPicPr/>
                  </pic:nvPicPr>
                  <pic:blipFill>
                    <a:blip r:embed="rId17"/>
                    <a:stretch>
                      <a:fillRect/>
                    </a:stretch>
                  </pic:blipFill>
                  <pic:spPr>
                    <a:xfrm>
                      <a:off x="0" y="0"/>
                      <a:ext cx="4860000" cy="2751407"/>
                    </a:xfrm>
                    <a:prstGeom prst="rect"/>
                  </pic:spPr>
                </pic:pic>
              </a:graphicData>
            </a:graphic>
          </wp:inline>
        </w:drawing>
      </w:r>
    </w:p>
    <w:p>
      <w:pPr>
        <w:keepNext w:val="0"/>
        <w:spacing w:after="200"/>
        <w:jc w:val="center"/>
      </w:pPr>
      <w:r>
        <w:rPr>
          <w:rFonts w:ascii="黑体" w:hAnsi="黑体" w:eastAsia="黑体"/>
          <w:sz w:val="21"/>
        </w:rPr>
        <w:t>图4.1  中国绿色低碳标准历年发布数量（1993—2025）</w:t>
      </w:r>
    </w:p>
    <w:p>
      <w:pPr>
        <w:spacing w:line="360" w:lineRule="auto" w:after="0"/>
        <w:ind w:firstLineChars="200" w:firstLine="480"/>
        <w:jc w:val="both"/>
      </w:pPr>
      <w:r>
        <w:rPr>
          <w:rFonts w:ascii="宋体" w:hAnsi="宋体" w:eastAsia="宋体"/>
          <w:sz w:val="24"/>
        </w:rPr>
        <w:t>由图4.1可见，标准供给的时序轨迹呈现清晰的三段式形态。1993—2003年，年度发布量始终在个位数至几十项的低位徘徊，由1993年的9项缓慢爬升至2003年的40项，11年累计仅177项；2004年起曲线进入持续上行通道，2019年年度发布量达316项，为2003年的约8倍，期末累计存量增至2399项；2020年“双碳”目标提出后曲线陡然抬升，2021年达到583项的历史峰值，2020—2025年六年新增2301项，占三十余年累计存量的49.0%——换言之，中国现存绿色低碳标准中约有一半是在最近六年内供给的。值得注意的是，2023年起年度发布量从峰值明显回落，这并非建设力度的松懈，而是标准供给由“数量扩张”转向“存量优化”的信号：随着体系框架基本成形，制修订重心转向填补关键缺口与更新既有标准，单纯的新增数量不再是衡量建设进度的首要指标。表4.2从多个维度对三阶段特征进行了系统比较。</w:t>
      </w:r>
    </w:p>
    <w:p>
      <w:pPr>
        <w:keepNext/>
        <w:spacing w:before="160" w:after="40"/>
        <w:jc w:val="center"/>
      </w:pPr>
      <w:r>
        <w:rPr>
          <w:rFonts w:ascii="黑体" w:hAnsi="黑体" w:eastAsia="黑体"/>
          <w:sz w:val="21"/>
        </w:rPr>
        <w:t>表4.2  中国绿色低碳标准体系演进的三阶段特征比较</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特征维度</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基础积累阶段（1993—2003）</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低碳标准化起步阶段（2004—2019）</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“双碳”战略突破阶段（2020—2025）</w:t>
            </w:r>
          </w:p>
        </w:tc>
      </w:tr>
      <w:tr>
        <w:tc>
          <w:tcPr>
            <w:tcW w:type="dxa" w:w="2126"/>
            <w:vAlign w:val="center"/>
          </w:tcPr>
          <w:p>
            <w:pPr>
              <w:spacing w:line="240" w:lineRule="auto" w:after="20" w:before="20"/>
              <w:jc w:val="left"/>
            </w:pPr>
            <w:r/>
            <w:r>
              <w:rPr>
                <w:rFonts w:ascii="宋体" w:hAnsi="宋体" w:eastAsia="宋体"/>
                <w:sz w:val="21"/>
              </w:rPr>
              <w:t>年均新增标准（项）</w:t>
            </w:r>
          </w:p>
        </w:tc>
        <w:tc>
          <w:tcPr>
            <w:tcW w:type="dxa" w:w="2126"/>
            <w:vAlign w:val="center"/>
          </w:tcPr>
          <w:p>
            <w:pPr>
              <w:spacing w:line="240" w:lineRule="auto" w:after="20" w:before="20"/>
              <w:jc w:val="center"/>
            </w:pPr>
            <w:r/>
            <w:r>
              <w:rPr>
                <w:rFonts w:ascii="宋体" w:hAnsi="宋体" w:eastAsia="宋体"/>
                <w:sz w:val="21"/>
              </w:rPr>
              <w:t>16</w:t>
            </w:r>
          </w:p>
        </w:tc>
        <w:tc>
          <w:tcPr>
            <w:tcW w:type="dxa" w:w="2126"/>
            <w:vAlign w:val="center"/>
          </w:tcPr>
          <w:p>
            <w:pPr>
              <w:spacing w:line="240" w:lineRule="auto" w:after="20" w:before="20"/>
              <w:jc w:val="center"/>
            </w:pPr>
            <w:r/>
            <w:r>
              <w:rPr>
                <w:rFonts w:ascii="宋体" w:hAnsi="宋体" w:eastAsia="宋体"/>
                <w:sz w:val="21"/>
              </w:rPr>
              <w:t>139</w:t>
            </w:r>
          </w:p>
        </w:tc>
        <w:tc>
          <w:tcPr>
            <w:tcW w:type="dxa" w:w="2126"/>
            <w:vAlign w:val="center"/>
          </w:tcPr>
          <w:p>
            <w:pPr>
              <w:spacing w:line="240" w:lineRule="auto" w:after="20" w:before="20"/>
              <w:jc w:val="center"/>
            </w:pPr>
            <w:r/>
            <w:r>
              <w:rPr>
                <w:rFonts w:ascii="宋体" w:hAnsi="宋体" w:eastAsia="宋体"/>
                <w:sz w:val="21"/>
              </w:rPr>
              <w:t>384</w:t>
            </w:r>
          </w:p>
        </w:tc>
      </w:tr>
      <w:tr>
        <w:tc>
          <w:tcPr>
            <w:tcW w:type="dxa" w:w="2126"/>
            <w:vAlign w:val="center"/>
          </w:tcPr>
          <w:p>
            <w:pPr>
              <w:spacing w:line="240" w:lineRule="auto" w:after="20" w:before="20"/>
              <w:jc w:val="left"/>
            </w:pPr>
            <w:r/>
            <w:r>
              <w:rPr>
                <w:rFonts w:ascii="宋体" w:hAnsi="宋体" w:eastAsia="宋体"/>
                <w:sz w:val="21"/>
              </w:rPr>
              <w:t>期末累计存量（项）</w:t>
            </w:r>
          </w:p>
        </w:tc>
        <w:tc>
          <w:tcPr>
            <w:tcW w:type="dxa" w:w="2126"/>
            <w:vAlign w:val="center"/>
          </w:tcPr>
          <w:p>
            <w:pPr>
              <w:spacing w:line="240" w:lineRule="auto" w:after="20" w:before="20"/>
              <w:jc w:val="center"/>
            </w:pPr>
            <w:r/>
            <w:r>
              <w:rPr>
                <w:rFonts w:ascii="宋体" w:hAnsi="宋体" w:eastAsia="宋体"/>
                <w:sz w:val="21"/>
              </w:rPr>
              <w:t>177</w:t>
            </w:r>
          </w:p>
        </w:tc>
        <w:tc>
          <w:tcPr>
            <w:tcW w:type="dxa" w:w="2126"/>
            <w:vAlign w:val="center"/>
          </w:tcPr>
          <w:p>
            <w:pPr>
              <w:spacing w:line="240" w:lineRule="auto" w:after="20" w:before="20"/>
              <w:jc w:val="center"/>
            </w:pPr>
            <w:r/>
            <w:r>
              <w:rPr>
                <w:rFonts w:ascii="宋体" w:hAnsi="宋体" w:eastAsia="宋体"/>
                <w:sz w:val="21"/>
              </w:rPr>
              <w:t>2399</w:t>
            </w:r>
          </w:p>
        </w:tc>
        <w:tc>
          <w:tcPr>
            <w:tcW w:type="dxa" w:w="2126"/>
            <w:vAlign w:val="center"/>
          </w:tcPr>
          <w:p>
            <w:pPr>
              <w:spacing w:line="240" w:lineRule="auto" w:after="20" w:before="20"/>
              <w:jc w:val="center"/>
            </w:pPr>
            <w:r/>
            <w:r>
              <w:rPr>
                <w:rFonts w:ascii="宋体" w:hAnsi="宋体" w:eastAsia="宋体"/>
                <w:sz w:val="21"/>
              </w:rPr>
              <w:t>4700</w:t>
            </w:r>
          </w:p>
        </w:tc>
      </w:tr>
      <w:tr>
        <w:tc>
          <w:tcPr>
            <w:tcW w:type="dxa" w:w="2126"/>
            <w:vAlign w:val="center"/>
          </w:tcPr>
          <w:p>
            <w:pPr>
              <w:spacing w:line="240" w:lineRule="auto" w:after="20" w:before="20"/>
              <w:jc w:val="left"/>
            </w:pPr>
            <w:r/>
            <w:r>
              <w:rPr>
                <w:rFonts w:ascii="宋体" w:hAnsi="宋体" w:eastAsia="宋体"/>
                <w:sz w:val="21"/>
              </w:rPr>
              <w:t>阶段内峰值年发布量（项）</w:t>
            </w:r>
          </w:p>
        </w:tc>
        <w:tc>
          <w:tcPr>
            <w:tcW w:type="dxa" w:w="2126"/>
            <w:vAlign w:val="center"/>
          </w:tcPr>
          <w:p>
            <w:pPr>
              <w:spacing w:line="240" w:lineRule="auto" w:after="20" w:before="20"/>
              <w:jc w:val="center"/>
            </w:pPr>
            <w:r/>
            <w:r>
              <w:rPr>
                <w:rFonts w:ascii="宋体" w:hAnsi="宋体" w:eastAsia="宋体"/>
                <w:sz w:val="21"/>
              </w:rPr>
              <w:t>40（2003年）</w:t>
            </w:r>
          </w:p>
        </w:tc>
        <w:tc>
          <w:tcPr>
            <w:tcW w:type="dxa" w:w="2126"/>
            <w:vAlign w:val="center"/>
          </w:tcPr>
          <w:p>
            <w:pPr>
              <w:spacing w:line="240" w:lineRule="auto" w:after="20" w:before="20"/>
              <w:jc w:val="center"/>
            </w:pPr>
            <w:r/>
            <w:r>
              <w:rPr>
                <w:rFonts w:ascii="宋体" w:hAnsi="宋体" w:eastAsia="宋体"/>
                <w:sz w:val="21"/>
              </w:rPr>
              <w:t>316（2019年）</w:t>
            </w:r>
          </w:p>
        </w:tc>
        <w:tc>
          <w:tcPr>
            <w:tcW w:type="dxa" w:w="2126"/>
            <w:vAlign w:val="center"/>
          </w:tcPr>
          <w:p>
            <w:pPr>
              <w:spacing w:line="240" w:lineRule="auto" w:after="20" w:before="20"/>
              <w:jc w:val="center"/>
            </w:pPr>
            <w:r/>
            <w:r>
              <w:rPr>
                <w:rFonts w:ascii="宋体" w:hAnsi="宋体" w:eastAsia="宋体"/>
                <w:sz w:val="21"/>
              </w:rPr>
              <w:t>583（2021年）</w:t>
            </w:r>
          </w:p>
        </w:tc>
      </w:tr>
      <w:tr>
        <w:tc>
          <w:tcPr>
            <w:tcW w:type="dxa" w:w="2126"/>
            <w:vAlign w:val="center"/>
          </w:tcPr>
          <w:p>
            <w:pPr>
              <w:spacing w:line="240" w:lineRule="auto" w:after="20" w:before="20"/>
              <w:jc w:val="left"/>
            </w:pPr>
            <w:r/>
            <w:r>
              <w:rPr>
                <w:rFonts w:ascii="宋体" w:hAnsi="宋体" w:eastAsia="宋体"/>
                <w:sz w:val="21"/>
              </w:rPr>
              <w:t>主导层级</w:t>
            </w:r>
          </w:p>
        </w:tc>
        <w:tc>
          <w:tcPr>
            <w:tcW w:type="dxa" w:w="2126"/>
            <w:vAlign w:val="center"/>
          </w:tcPr>
          <w:p>
            <w:pPr>
              <w:spacing w:line="240" w:lineRule="auto" w:after="20" w:before="20"/>
              <w:jc w:val="center"/>
            </w:pPr>
            <w:r/>
            <w:r>
              <w:rPr>
                <w:rFonts w:ascii="宋体" w:hAnsi="宋体" w:eastAsia="宋体"/>
                <w:sz w:val="21"/>
              </w:rPr>
              <w:t>国家与行业标准萌芽</w:t>
            </w:r>
          </w:p>
        </w:tc>
        <w:tc>
          <w:tcPr>
            <w:tcW w:type="dxa" w:w="2126"/>
            <w:vAlign w:val="center"/>
          </w:tcPr>
          <w:p>
            <w:pPr>
              <w:spacing w:line="240" w:lineRule="auto" w:after="20" w:before="20"/>
              <w:jc w:val="center"/>
            </w:pPr>
            <w:r/>
            <w:r>
              <w:rPr>
                <w:rFonts w:ascii="宋体" w:hAnsi="宋体" w:eastAsia="宋体"/>
                <w:sz w:val="21"/>
              </w:rPr>
              <w:t>地方标准加速、团体标准起步</w:t>
            </w:r>
          </w:p>
        </w:tc>
        <w:tc>
          <w:tcPr>
            <w:tcW w:type="dxa" w:w="2126"/>
            <w:vAlign w:val="center"/>
          </w:tcPr>
          <w:p>
            <w:pPr>
              <w:spacing w:line="240" w:lineRule="auto" w:after="20" w:before="20"/>
              <w:jc w:val="center"/>
            </w:pPr>
            <w:r/>
            <w:r>
              <w:rPr>
                <w:rFonts w:ascii="宋体" w:hAnsi="宋体" w:eastAsia="宋体"/>
                <w:sz w:val="21"/>
              </w:rPr>
              <w:t>四层级并进、团体标准扩张</w:t>
            </w:r>
          </w:p>
        </w:tc>
      </w:tr>
      <w:tr>
        <w:tc>
          <w:tcPr>
            <w:tcW w:type="dxa" w:w="2126"/>
            <w:vAlign w:val="center"/>
          </w:tcPr>
          <w:p>
            <w:pPr>
              <w:spacing w:line="240" w:lineRule="auto" w:after="20" w:before="20"/>
              <w:jc w:val="left"/>
            </w:pPr>
            <w:r/>
            <w:r>
              <w:rPr>
                <w:rFonts w:ascii="宋体" w:hAnsi="宋体" w:eastAsia="宋体"/>
                <w:sz w:val="21"/>
              </w:rPr>
              <w:t>驱动力格局（政策/技术/市场）</w:t>
            </w:r>
          </w:p>
        </w:tc>
        <w:tc>
          <w:tcPr>
            <w:tcW w:type="dxa" w:w="2126"/>
            <w:vAlign w:val="center"/>
          </w:tcPr>
          <w:p>
            <w:pPr>
              <w:spacing w:line="240" w:lineRule="auto" w:after="20" w:before="20"/>
              <w:jc w:val="center"/>
            </w:pPr>
            <w:r/>
            <w:r>
              <w:rPr>
                <w:rFonts w:ascii="宋体" w:hAnsi="宋体" w:eastAsia="宋体"/>
                <w:sz w:val="21"/>
              </w:rPr>
              <w:t>62%/21%/17%</w:t>
            </w:r>
          </w:p>
        </w:tc>
        <w:tc>
          <w:tcPr>
            <w:tcW w:type="dxa" w:w="2126"/>
            <w:vAlign w:val="center"/>
          </w:tcPr>
          <w:p>
            <w:pPr>
              <w:spacing w:line="240" w:lineRule="auto" w:after="20" w:before="20"/>
              <w:jc w:val="center"/>
            </w:pPr>
            <w:r/>
            <w:r>
              <w:rPr>
                <w:rFonts w:ascii="宋体" w:hAnsi="宋体" w:eastAsia="宋体"/>
                <w:sz w:val="21"/>
              </w:rPr>
              <w:t>48%/28%/24%</w:t>
            </w:r>
          </w:p>
        </w:tc>
        <w:tc>
          <w:tcPr>
            <w:tcW w:type="dxa" w:w="2126"/>
            <w:vAlign w:val="center"/>
          </w:tcPr>
          <w:p>
            <w:pPr>
              <w:spacing w:line="240" w:lineRule="auto" w:after="20" w:before="20"/>
              <w:jc w:val="center"/>
            </w:pPr>
            <w:r/>
            <w:r>
              <w:rPr>
                <w:rFonts w:ascii="宋体" w:hAnsi="宋体" w:eastAsia="宋体"/>
                <w:sz w:val="21"/>
              </w:rPr>
              <w:t>41%/33%/26%</w:t>
            </w:r>
          </w:p>
        </w:tc>
      </w:tr>
      <w:tr>
        <w:tc>
          <w:tcPr>
            <w:tcW w:type="dxa" w:w="2126"/>
            <w:vAlign w:val="center"/>
          </w:tcPr>
          <w:p>
            <w:pPr>
              <w:spacing w:line="240" w:lineRule="auto" w:after="20" w:before="20"/>
              <w:jc w:val="left"/>
            </w:pPr>
            <w:r/>
            <w:r>
              <w:rPr>
                <w:rFonts w:ascii="宋体" w:hAnsi="宋体" w:eastAsia="宋体"/>
                <w:sz w:val="21"/>
              </w:rPr>
              <w:t>功能重心</w:t>
            </w:r>
          </w:p>
        </w:tc>
        <w:tc>
          <w:tcPr>
            <w:tcW w:type="dxa" w:w="2126"/>
            <w:vAlign w:val="center"/>
          </w:tcPr>
          <w:p>
            <w:pPr>
              <w:spacing w:line="240" w:lineRule="auto" w:after="20" w:before="20"/>
              <w:jc w:val="center"/>
            </w:pPr>
            <w:r/>
            <w:r>
              <w:rPr>
                <w:rFonts w:ascii="宋体" w:hAnsi="宋体" w:eastAsia="宋体"/>
                <w:sz w:val="21"/>
              </w:rPr>
              <w:t>环境管理与节能基础标准</w:t>
            </w:r>
          </w:p>
        </w:tc>
        <w:tc>
          <w:tcPr>
            <w:tcW w:type="dxa" w:w="2126"/>
            <w:vAlign w:val="center"/>
          </w:tcPr>
          <w:p>
            <w:pPr>
              <w:spacing w:line="240" w:lineRule="auto" w:after="20" w:before="20"/>
              <w:jc w:val="center"/>
            </w:pPr>
            <w:r/>
            <w:r>
              <w:rPr>
                <w:rFonts w:ascii="宋体" w:hAnsi="宋体" w:eastAsia="宋体"/>
                <w:sz w:val="21"/>
              </w:rPr>
              <w:t>国际对标引入与低碳专项探索</w:t>
            </w:r>
          </w:p>
        </w:tc>
        <w:tc>
          <w:tcPr>
            <w:tcW w:type="dxa" w:w="2126"/>
            <w:vAlign w:val="center"/>
          </w:tcPr>
          <w:p>
            <w:pPr>
              <w:spacing w:line="240" w:lineRule="auto" w:after="20" w:before="20"/>
              <w:jc w:val="center"/>
            </w:pPr>
            <w:r/>
            <w:r>
              <w:rPr>
                <w:rFonts w:ascii="宋体" w:hAnsi="宋体" w:eastAsia="宋体"/>
                <w:sz w:val="21"/>
              </w:rPr>
              <w:t>碳核算碳足迹补短板与体系化建设</w:t>
            </w:r>
          </w:p>
        </w:tc>
      </w:tr>
      <w:tr>
        <w:tc>
          <w:tcPr>
            <w:tcW w:type="dxa" w:w="2126"/>
            <w:vAlign w:val="center"/>
          </w:tcPr>
          <w:p>
            <w:pPr>
              <w:spacing w:line="240" w:lineRule="auto" w:after="20" w:before="20"/>
              <w:jc w:val="left"/>
            </w:pPr>
            <w:r/>
            <w:r>
              <w:rPr>
                <w:rFonts w:ascii="宋体" w:hAnsi="宋体" w:eastAsia="宋体"/>
                <w:sz w:val="21"/>
              </w:rPr>
              <w:t>标志性特征</w:t>
            </w:r>
          </w:p>
        </w:tc>
        <w:tc>
          <w:tcPr>
            <w:tcW w:type="dxa" w:w="2126"/>
            <w:vAlign w:val="center"/>
          </w:tcPr>
          <w:p>
            <w:pPr>
              <w:spacing w:line="240" w:lineRule="auto" w:after="20" w:before="20"/>
              <w:jc w:val="center"/>
            </w:pPr>
            <w:r/>
            <w:r>
              <w:rPr>
                <w:rFonts w:ascii="宋体" w:hAnsi="宋体" w:eastAsia="宋体"/>
                <w:sz w:val="21"/>
              </w:rPr>
              <w:t>零星供给、被动跟随</w:t>
            </w:r>
          </w:p>
        </w:tc>
        <w:tc>
          <w:tcPr>
            <w:tcW w:type="dxa" w:w="2126"/>
            <w:vAlign w:val="center"/>
          </w:tcPr>
          <w:p>
            <w:pPr>
              <w:spacing w:line="240" w:lineRule="auto" w:after="20" w:before="20"/>
              <w:jc w:val="center"/>
            </w:pPr>
            <w:r/>
            <w:r>
              <w:rPr>
                <w:rFonts w:ascii="宋体" w:hAnsi="宋体" w:eastAsia="宋体"/>
                <w:sz w:val="21"/>
              </w:rPr>
              <w:t>地方先行、引进消化</w:t>
            </w:r>
          </w:p>
        </w:tc>
        <w:tc>
          <w:tcPr>
            <w:tcW w:type="dxa" w:w="2126"/>
            <w:vAlign w:val="center"/>
          </w:tcPr>
          <w:p>
            <w:pPr>
              <w:spacing w:line="240" w:lineRule="auto" w:after="20" w:before="20"/>
              <w:jc w:val="center"/>
            </w:pPr>
            <w:r/>
            <w:r>
              <w:rPr>
                <w:rFonts w:ascii="宋体" w:hAnsi="宋体" w:eastAsia="宋体"/>
                <w:sz w:val="21"/>
              </w:rPr>
              <w:t>顶层设计驱动、体系化跃升</w:t>
            </w:r>
          </w:p>
        </w:tc>
      </w:tr>
    </w:tbl>
    <w:p>
      <w:pPr>
        <w:spacing w:after="200" w:line="240" w:lineRule="auto"/>
      </w:pPr>
      <w:r>
        <w:rPr>
          <w:rFonts w:ascii="宋体" w:hAnsi="宋体" w:eastAsia="宋体"/>
          <w:sz w:val="18"/>
        </w:rPr>
        <w:t>注：年均新增与累计存量由标准文本数据库统计；驱动力格局为第5章状态空间模型时变分解得到的政策推力、技术拉力与市场调节力相对贡献份额。数据来源：作者构建的标准文本数据库与本书测算。</w:t>
      </w:r>
    </w:p>
    <w:p>
      <w:pPr>
        <w:spacing w:line="360" w:lineRule="auto" w:after="0"/>
        <w:ind w:firstLineChars="200" w:firstLine="480"/>
        <w:jc w:val="both"/>
      </w:pPr>
      <w:r>
        <w:rPr>
          <w:rFonts w:ascii="宋体" w:hAnsi="宋体" w:eastAsia="宋体"/>
          <w:sz w:val="24"/>
        </w:rPr>
        <w:t>表4.2中最值得关注的是驱动力格局的时变。第5章状态空间模型的分解结果显示，政策推力的相对贡献由基础积累阶段的62%降至“双碳”阶段的41%，技术拉力由21%升至33%，市场调节力由17%升至26%。这意味着，尽管中国标准体系始终保持政府主导的基本格局，其驱动结构正在发生从“单轮驱动”向“三轮协同”的渐进转型：绿色技术进步不断拓展标准的可行域，碳价信号与国际贸易规则日益成为标准需求的市场化传导渠道。这一典型事实构成第5章驱动传导矩阵估计与第7章多主体博弈分析的经验背景。以下依次考察三个阶段的具体特征。</w:t>
      </w:r>
    </w:p>
    <w:p>
      <w:pPr>
        <w:keepNext/>
        <w:spacing w:before="160" w:after="120" w:line="360" w:lineRule="auto"/>
        <w:outlineLvl w:val="2"/>
      </w:pPr>
      <w:r>
        <w:rPr>
          <w:rFonts w:ascii="黑体" w:hAnsi="黑体" w:eastAsia="黑体"/>
          <w:sz w:val="24"/>
        </w:rPr>
        <w:t>4.2.2  基础积累阶段（1993—2003）：环境标准的萌芽与低碳要素的缺位</w:t>
      </w:r>
    </w:p>
    <w:p>
      <w:pPr>
        <w:spacing w:line="360" w:lineRule="auto" w:after="0"/>
        <w:ind w:firstLineChars="200" w:firstLine="480"/>
        <w:jc w:val="both"/>
      </w:pPr>
      <w:r>
        <w:rPr>
          <w:rFonts w:ascii="宋体" w:hAnsi="宋体" w:eastAsia="宋体"/>
          <w:sz w:val="24"/>
        </w:rPr>
        <w:t>基础积累阶段的核心特征是“有绿色、无低碳”。该阶段年均新增标准仅约16项，且几乎全部集中于污染物排放控制、环境管理体系与工业节能等传统环境标准领域，以二氧化碳为直接规范对象的标准尚付阙如。从综合指数看，碳排放核算类指数由1993年的0.05缓升至2003年的0.15，其抬升主要来自能源计量等间接相关标准的贡献；碳吸收类指数在2003年仅为0.03，绿色金融类接近于零。这一格局与当时的发展阶段相适应：在以经济增长为首要目标、气候议题尚未进入国内政策核心议程的背景下，标准化资源自然向工业化急需的产品质量与安全领域倾斜，绿色标准仅作为环境管理的附属工具零星供给（舒辉和唐飞，2023）。</w:t>
      </w:r>
    </w:p>
    <w:p>
      <w:pPr>
        <w:spacing w:line="360" w:lineRule="auto" w:after="0"/>
        <w:ind w:firstLineChars="200" w:firstLine="480"/>
        <w:jc w:val="both"/>
      </w:pPr>
      <w:r>
        <w:rPr>
          <w:rFonts w:ascii="宋体" w:hAnsi="宋体" w:eastAsia="宋体"/>
          <w:sz w:val="24"/>
        </w:rPr>
        <w:t>从演化经济学视角看，这一阶段的意义不在于数量，而在于奠定了后续演化的初始条件与路径框架。标准体系演化具有显著的路径依赖性——早期形成的分类体系、管理体制与技术委员会格局，会通过自我强化机制约束后续标准的生成轨道（David，1985；Arthur，1989）。中国在这一阶段建立的“国家—行业—地方”三级标准管理架构与环境、节能标准化技术组织，为其后低碳标准的快速扩张提供了组织载体；而以末端治理为导向的环境标准传统，也在一定程度上塑造了后来碳标准“重排放端约束、轻吸收端建设”的路径惯性——这一惯性在4.3节的功能结构失衡中留下了清晰的印记。</w:t>
      </w:r>
    </w:p>
    <w:p>
      <w:pPr>
        <w:keepNext/>
        <w:spacing w:before="160" w:after="120" w:line="360" w:lineRule="auto"/>
        <w:outlineLvl w:val="2"/>
      </w:pPr>
      <w:r>
        <w:rPr>
          <w:rFonts w:ascii="黑体" w:hAnsi="黑体" w:eastAsia="黑体"/>
          <w:sz w:val="24"/>
        </w:rPr>
        <w:t>4.2.3  低碳标准化起步阶段（2004—2019）：国际对标与地方先行</w:t>
      </w:r>
    </w:p>
    <w:p>
      <w:pPr>
        <w:spacing w:line="360" w:lineRule="auto" w:after="0"/>
        <w:ind w:firstLineChars="200" w:firstLine="480"/>
        <w:jc w:val="both"/>
      </w:pPr>
      <w:r>
        <w:rPr>
          <w:rFonts w:ascii="宋体" w:hAnsi="宋体" w:eastAsia="宋体"/>
          <w:sz w:val="24"/>
        </w:rPr>
        <w:t>2004年起，标准供给进入持续加速通道，年均新增约139项，是上一阶段的约9倍。这一加速首先来自国际规则的传导：随着国际碳核算体系逐步成形，温室气体核算从企业社会责任工具演变为国际气候治理的技术基础设施（陈红敏，2011），以英国PAS 2050为代表的产品碳足迹评价规范（冯相昭等，2010）与ISO 14064、ISO 14067系列国际标准相继问世（Wu等，2015；童庆蒙等，2018），为中国提供了可资对标的技术模板。中国在这一阶段的标准供给呈现鲜明的“引进消化”特征：相当比例的低碳专项标准采取等同采用或修改采用国际标准的路径，自主创设的方法学标准占比有限。这种后发者的模仿式供给虽然降低了制度建设成本，但也埋下了核算边界、排放因子等关键技术参数对外依赖的隐患，成为日后国际适配性问题（第12章）的历史根源。</w:t>
      </w:r>
    </w:p>
    <w:p>
      <w:pPr>
        <w:spacing w:line="360" w:lineRule="auto" w:after="0"/>
        <w:ind w:firstLineChars="200" w:firstLine="480"/>
        <w:jc w:val="both"/>
      </w:pPr>
      <w:r>
        <w:rPr>
          <w:rFonts w:ascii="宋体" w:hAnsi="宋体" w:eastAsia="宋体"/>
          <w:sz w:val="24"/>
        </w:rPr>
        <w:t>国内驱动同样在积聚。伴随节能减排约束的强化与地方碳交易试点的相继启动，碳排放核算、企业温室气体报告等标准需求开始从政策文件走向操作层面（张希良等，2021；张奕辉，2024）；低碳农业、低碳建筑等领域的标准化探索也在学界与实务界展开（陈昌洪，2016）。值得强调的是本阶段的层级结构变化：地方标准增长显著快于中央层级，到2019年地方标准累计已达1168项，为同期国家标准（671项）的约1.7倍，形成“地方先行先试、中央择优上收”的供给格局；团体标准则伴随标准化管理体制改革对社会化供给的松绑，自2015年起在数据库中出现首批条目，至2019年累计81项。地方与团体渠道的激活，使标准供给主体由单一政府扩展为多元主体，这正是第7章演化博弈模型将企业与社会主体纳入分析的现实依据。</w:t>
      </w:r>
    </w:p>
    <w:p>
      <w:pPr>
        <w:keepNext/>
        <w:spacing w:before="160" w:after="120" w:line="360" w:lineRule="auto"/>
        <w:outlineLvl w:val="2"/>
      </w:pPr>
      <w:r>
        <w:rPr>
          <w:rFonts w:ascii="黑体" w:hAnsi="黑体" w:eastAsia="黑体"/>
          <w:sz w:val="24"/>
        </w:rPr>
        <w:t>4.2.4  “双碳”战略突破阶段（2020—  ）：顶层设计驱动的体系化跃升</w:t>
      </w:r>
    </w:p>
    <w:p>
      <w:pPr>
        <w:spacing w:line="360" w:lineRule="auto" w:after="0"/>
        <w:ind w:firstLineChars="200" w:firstLine="480"/>
        <w:jc w:val="both"/>
      </w:pPr>
      <w:r>
        <w:rPr>
          <w:rFonts w:ascii="宋体" w:hAnsi="宋体" w:eastAsia="宋体"/>
          <w:sz w:val="24"/>
        </w:rPr>
        <w:t>2020年9月22日“双碳”目标的宣布，是中国绿色低碳标准化史上最重要的分水岭。目标宣示迅速转化为制度部署：2021年10月，《中共中央国务院关于完整准确全面贯彻新发展理念做好碳达峰碳中和工作的意见》与《2030年前碳达峰行动方案》相继发布，构成“1+N”政策体系的顶层架构；2021年7月16日全国碳排放权交易市场正式上线，首个履约周期纳入发电行业2162家重点排放单位、覆盖二氧化碳排放约45亿吨，碳定价机制对核算核查标准产生了硬约束性的派生需求（张希良等，2021；方洁和王珂英，2024）。在此推动下，标准供给出现爆发式增长：2021年年度发布583项创历史峰值，2020—2025年年均新增约384项，为起步阶段的约2.8倍。</w:t>
      </w:r>
    </w:p>
    <w:p>
      <w:pPr>
        <w:spacing w:line="360" w:lineRule="auto" w:after="0"/>
        <w:ind w:firstLineChars="200" w:firstLine="480"/>
        <w:jc w:val="both"/>
      </w:pPr>
      <w:r>
        <w:rPr>
          <w:rFonts w:ascii="宋体" w:hAnsi="宋体" w:eastAsia="宋体"/>
          <w:sz w:val="24"/>
        </w:rPr>
        <w:t>与数量扩张相比，本阶段更本质的变化是标准建设的体系化与制度化。2022年10月，市场监管总局等九部门印发《建立健全碳达峰碳中和标准计量体系实施方案》，提出到2025年标准计量体系基本建立的目标；2023年4月，国家标准委等十一部门发布《碳达峰碳中和标准体系建设指南》，搭建了含4个一级子体系、15个二级子体系、63个三级子体系的完整框架，并明确“到2025年制修订不少于1000项国家标准和行业标准”的量化任务（国家标准化管理委员会等，2023）；2024年8月，《关于进一步强化碳达峰碳中和标准计量体系建设行动方案（2024—2025年）》进一步要求2024年发布70项碳核算、碳足迹、碳减排、能效能耗、碳捕集利用与封存等国家标准，基本实现重点行业企业碳排放核算标准全覆盖。碳足迹领域的推进尤为迅速：2024年5月生态环境部等15部门印发《关于建立碳足迹管理体系的实施方案》，清单式部署22项任务；2024年8月发布对标ISO 14067的核算通则国家标准GB/T 24067-2024并于同年10月实施；截至2025年6月，产品碳足迹核算国家标准已发布9项，其中电解铝标准（GB/T 44905-2024）成为首个工业领域产品碳足迹国标。标准供给从零散响应转向按图施工，标志着体系建设进入顶层设计驱动的新形态。</w:t>
      </w:r>
    </w:p>
    <w:p>
      <w:pPr>
        <w:spacing w:line="360" w:lineRule="auto" w:after="0"/>
        <w:ind w:firstLineChars="200" w:firstLine="480"/>
        <w:jc w:val="both"/>
      </w:pPr>
      <w:r>
        <w:rPr>
          <w:rFonts w:ascii="宋体" w:hAnsi="宋体" w:eastAsia="宋体"/>
          <w:sz w:val="24"/>
        </w:rPr>
        <w:t>本阶段标准需求结构也在发生深刻重塑。2023年7月中央全面深化改革委员会第二次会议审议通过《关于推动能耗双控逐步转向碳排放双控的意见》，2024年8月国务院办公厅印发《加快构建碳排放双控制度体系工作方案》，要求到2025年碳排放统计核算体系进一步完善、国家温室气体排放因子数据库基本建成，为“十五五”全面实施以强度控制为主、总量控制为辅的碳排放双控奠定基础。管控对象由“能”转“碳”，意味着地方考核、行业管控、企业管理、项目评价、产品足迹全链条都需要碳核算标准的技术支撑（姜春海等，2024；袁惊柱，2025），标准由环境管理的辅助工具跃升为宏观治理制度的底层基础设施。这也解释了为何2023年后年度发布量回落而碳核算、碳足迹类标准占新增比重反而上升——体系建设的主要矛盾已从“有没有”转向“全不全、严不严、准不准”。</w:t>
      </w:r>
    </w:p>
    <w:p>
      <w:pPr>
        <w:keepNext/>
        <w:spacing w:before="160" w:after="120" w:line="360" w:lineRule="auto"/>
        <w:outlineLvl w:val="2"/>
      </w:pPr>
      <w:r>
        <w:rPr>
          <w:rFonts w:ascii="黑体" w:hAnsi="黑体" w:eastAsia="黑体"/>
          <w:sz w:val="24"/>
        </w:rPr>
        <w:t>4.2.5  “四步走”演进路径及其与西方“两步走”的比较</w:t>
      </w:r>
    </w:p>
    <w:p>
      <w:pPr>
        <w:spacing w:line="360" w:lineRule="auto" w:after="0"/>
        <w:ind w:firstLineChars="200" w:firstLine="480"/>
        <w:jc w:val="both"/>
      </w:pPr>
      <w:r>
        <w:rPr>
          <w:rFonts w:ascii="宋体" w:hAnsi="宋体" w:eastAsia="宋体"/>
          <w:sz w:val="24"/>
        </w:rPr>
        <w:t>将三阶段的功能内容进一步提炼，可以发现中国绿色低碳标准化遵循一条“碳排放标准化→碳达峰标准化→碳吸收标准化→碳中和标准化”的“四步走”路径：第一步以碳排放核算报告标准为起点，解决“排放可测量”问题；第二步围绕碳达峰目标构建重点行业碳排放管控、能耗与碳排放双控标准，解决“达峰可考核”问题；第三步发展碳汇计量监测与负排放技术标准，解决“吸收可核证”问题；第四步最终形成支撑碳中和的全经济尺度标准体系，解决“中和可验证”问题。与之对照，欧美发达经济体大体走的是“碳排放标准化→碳中和标准化”的两步走路线——其排放已于20世纪末至21世纪初自然达峰，无需专门的达峰阶段性标准，碳吸收标准亦内嵌于碳中和框架之中（庄贵阳和王思博，2023；郭晓娜等，2024）。</w:t>
      </w:r>
    </w:p>
    <w:p>
      <w:pPr>
        <w:spacing w:line="360" w:lineRule="auto" w:after="0"/>
        <w:ind w:firstLineChars="200" w:firstLine="480"/>
        <w:jc w:val="both"/>
      </w:pPr>
      <w:r>
        <w:rPr>
          <w:rFonts w:ascii="宋体" w:hAnsi="宋体" w:eastAsia="宋体"/>
          <w:sz w:val="24"/>
        </w:rPr>
        <w:t>“四步走”与“两步走”的分野，根源在于发展阶段与目标时序的差异。中国承诺“2030年前达峰、2060年前中和”，从达峰到中和仅有约30年过渡期，远短于发达经济体的50—70年，这决定了中国必须以阶段化、可考核的标准供给压缩转型进程（何建坤，2021；周成和钱再见，2022）；同时，中国单位GDP二氧化碳排放2020年已比2005年下降48.4%、2023年下降超过51%，强度约束下的渐进达峰路径需要“达峰标准化”这一西方所没有的中间台阶来衔接。数据库的时序证据支持这一路径判断：碳排放核算类指数最早抬升且长期领先；“双碳”阶段能耗与碳排放管控类标准密集出台；碳吸收标准化已初见端倪——2023年10月生态环境部发布首批4项温室气体自愿减排项目方法学，其中造林碳汇与红树林营造两项直接属于碳汇范畴，2024年1月全国温室气体自愿减排交易市场重启，碳汇计量核证标准需求随之显性化（陈雅如和赵金成，2021；蓝虹和杜彦霖，2024），碳吸收类综合指数亦由2020年的0.18升至2025年的0.32，增速明显快于前期。</w:t>
      </w:r>
    </w:p>
    <w:p>
      <w:pPr>
        <w:spacing w:line="360" w:lineRule="auto" w:after="0"/>
        <w:ind w:firstLineChars="200" w:firstLine="480"/>
        <w:jc w:val="both"/>
      </w:pPr>
      <w:r>
        <w:rPr>
          <w:rFonts w:ascii="宋体" w:hAnsi="宋体" w:eastAsia="宋体"/>
          <w:sz w:val="24"/>
        </w:rPr>
        <w:t>从国际比较看，“四步走”路径兼具合理性与代价。合理性在于其与中国产业结构演进及减排能力建设的节奏相匹配，避免了在核算能力尚不完备时贸然推行全经济尺度碳中和标准可能引发的执行落空；代价则在于路径的阶段切换意味着标准体系需要多次结构性重构，碳吸收与碳中和阶段的标准供给起步较晚，与国际先行者的规则势差可能在碳边境调节机制等贸易工具的放大下转化为现实的竞争劣势（陆婷和徐奇渊，2023；刘长松，2024）。演化路径的这种“时序错位”，正是本书第8章测算供需错配、第12章评估国际适配性的问题起点。</w:t>
      </w:r>
    </w:p>
    <w:p>
      <w:pPr>
        <w:keepNext/>
        <w:spacing w:before="160" w:after="120" w:line="360" w:lineRule="auto"/>
        <w:outlineLvl w:val="1"/>
      </w:pPr>
      <w:r>
        <w:rPr>
          <w:rFonts w:ascii="黑体" w:hAnsi="黑体" w:eastAsia="黑体"/>
          <w:sz w:val="28"/>
        </w:rPr>
        <w:t>4.3  层级结构与功能结构</w:t>
      </w:r>
    </w:p>
    <w:p>
      <w:pPr>
        <w:keepNext/>
        <w:spacing w:before="160" w:after="120" w:line="360" w:lineRule="auto"/>
        <w:outlineLvl w:val="2"/>
      </w:pPr>
      <w:r>
        <w:rPr>
          <w:rFonts w:ascii="黑体" w:hAnsi="黑体" w:eastAsia="黑体"/>
          <w:sz w:val="24"/>
        </w:rPr>
        <w:t>4.3.1  四层级结构：数量分布与功能分工</w:t>
      </w:r>
    </w:p>
    <w:p>
      <w:pPr>
        <w:spacing w:line="360" w:lineRule="auto" w:after="0"/>
        <w:ind w:firstLineChars="200" w:firstLine="480"/>
        <w:jc w:val="both"/>
      </w:pPr>
      <w:r>
        <w:rPr>
          <w:rFonts w:ascii="宋体" w:hAnsi="宋体" w:eastAsia="宋体"/>
          <w:sz w:val="24"/>
        </w:rPr>
        <w:t>中国标准化体制的一个鲜明特征，是国家标准、行业标准、地方标准与团体标准并存的多层级供给架构。四个层级在法律效力、制定主体与功能定位上各有分工：国家标准提供全国统一的兜底性、基础性规范；行业标准将通用要求细化为行业技术方案；地方标准结合区域产业禀赋先行先试；团体标准由社会团体面向市场需求快速供给。图4.2以金字塔形式展示了截至2025年四层级的数量结构。</w:t>
      </w:r>
    </w:p>
    <w:p>
      <w:pPr>
        <w:spacing w:before="120" w:after="40"/>
        <w:jc w:val="center"/>
      </w:pPr>
      <w:r>
        <w:drawing>
          <wp:inline xmlns:a="http://schemas.openxmlformats.org/drawingml/2006/main" xmlns:pic="http://schemas.openxmlformats.org/drawingml/2006/picture">
            <wp:extent cx="4500000" cy="2801242"/>
            <wp:docPr id="10" name="Picture 10"/>
            <wp:cNvGraphicFramePr>
              <a:graphicFrameLocks noChangeAspect="1"/>
            </wp:cNvGraphicFramePr>
            <a:graphic>
              <a:graphicData uri="http://schemas.openxmlformats.org/drawingml/2006/picture">
                <pic:pic>
                  <pic:nvPicPr>
                    <pic:cNvPr id="0" name="fig4_2.png"/>
                    <pic:cNvPicPr/>
                  </pic:nvPicPr>
                  <pic:blipFill>
                    <a:blip r:embed="rId18"/>
                    <a:stretch>
                      <a:fillRect/>
                    </a:stretch>
                  </pic:blipFill>
                  <pic:spPr>
                    <a:xfrm>
                      <a:off x="0" y="0"/>
                      <a:ext cx="4500000" cy="2801242"/>
                    </a:xfrm>
                    <a:prstGeom prst="rect"/>
                  </pic:spPr>
                </pic:pic>
              </a:graphicData>
            </a:graphic>
          </wp:inline>
        </w:drawing>
      </w:r>
    </w:p>
    <w:p>
      <w:pPr>
        <w:keepNext w:val="0"/>
        <w:spacing w:after="200"/>
        <w:jc w:val="center"/>
      </w:pPr>
      <w:r>
        <w:rPr>
          <w:rFonts w:ascii="黑体" w:hAnsi="黑体" w:eastAsia="黑体"/>
          <w:sz w:val="21"/>
        </w:rPr>
        <w:t>图4.2  中国绿色低碳标准体系的四层级结构</w:t>
      </w:r>
    </w:p>
    <w:p>
      <w:pPr>
        <w:spacing w:line="360" w:lineRule="auto" w:after="0"/>
        <w:ind w:firstLineChars="200" w:firstLine="480"/>
        <w:jc w:val="both"/>
      </w:pPr>
      <w:r>
        <w:rPr>
          <w:rFonts w:ascii="宋体" w:hAnsi="宋体" w:eastAsia="宋体"/>
          <w:sz w:val="24"/>
        </w:rPr>
        <w:t>由图4.2可见，四层级呈现“地方最厚、团体最薄”的数量分布：地方标准2210项，占存量的47.0%，居各层级之首；国家标准1210项，占25.7%；行业标准850项，占18.1%；团体标准430项，占9.1%。地方标准数量近半的格局，在主要经济体中颇为独特：它一方面反映了中国区域发展不平衡条件下“地方先行探索—成熟经验上收”的制度试验逻辑，另一方面也潜藏着区域间标准不一致、重复建设与衔接成本的风险。表4.3进一步给出各层级在三个时点的存量、增速与功能定位。</w:t>
      </w:r>
    </w:p>
    <w:p>
      <w:pPr>
        <w:keepNext/>
        <w:spacing w:before="160" w:after="40"/>
        <w:jc w:val="center"/>
      </w:pPr>
      <w:r>
        <w:rPr>
          <w:rFonts w:ascii="黑体" w:hAnsi="黑体" w:eastAsia="黑体"/>
          <w:sz w:val="21"/>
        </w:rPr>
        <w:t>表4.3  绿色低碳标准四层级结构统计（2015、2020、2025）</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Borders>
              <w:bottom w:val="single" w:sz="6" w:color="000000"/>
            </w:tcBorders>
            <w:vAlign w:val="center"/>
          </w:tcPr>
          <w:p>
            <w:pPr>
              <w:spacing w:line="240" w:lineRule="auto" w:after="20" w:before="20"/>
              <w:jc w:val="center"/>
            </w:pPr>
            <w:r/>
            <w:r>
              <w:rPr>
                <w:rFonts w:ascii="宋体" w:hAnsi="宋体" w:eastAsia="宋体"/>
                <w:b/>
                <w:sz w:val="21"/>
              </w:rPr>
              <w:t>层级</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2015年累计（项）</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2020年累计（项）</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2025年累计（项）</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2025年占比</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2020—2025年年均增速</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功能定位</w:t>
            </w:r>
          </w:p>
        </w:tc>
      </w:tr>
      <w:tr>
        <w:tc>
          <w:tcPr>
            <w:tcW w:type="dxa" w:w="1215"/>
            <w:vAlign w:val="center"/>
          </w:tcPr>
          <w:p>
            <w:pPr>
              <w:spacing w:line="240" w:lineRule="auto" w:after="20" w:before="20"/>
              <w:jc w:val="left"/>
            </w:pPr>
            <w:r/>
            <w:r>
              <w:rPr>
                <w:rFonts w:ascii="宋体" w:hAnsi="宋体" w:eastAsia="宋体"/>
                <w:sz w:val="21"/>
              </w:rPr>
              <w:t>国家标准</w:t>
            </w:r>
          </w:p>
        </w:tc>
        <w:tc>
          <w:tcPr>
            <w:tcW w:type="dxa" w:w="1215"/>
            <w:vAlign w:val="center"/>
          </w:tcPr>
          <w:p>
            <w:pPr>
              <w:spacing w:line="240" w:lineRule="auto" w:after="20" w:before="20"/>
              <w:jc w:val="right"/>
            </w:pPr>
            <w:r/>
            <w:r>
              <w:rPr>
                <w:rFonts w:ascii="宋体" w:hAnsi="宋体" w:eastAsia="宋体"/>
                <w:sz w:val="21"/>
              </w:rPr>
              <w:t>448</w:t>
            </w:r>
          </w:p>
        </w:tc>
        <w:tc>
          <w:tcPr>
            <w:tcW w:type="dxa" w:w="1215"/>
            <w:vAlign w:val="center"/>
          </w:tcPr>
          <w:p>
            <w:pPr>
              <w:spacing w:line="240" w:lineRule="auto" w:after="20" w:before="20"/>
              <w:jc w:val="right"/>
            </w:pPr>
            <w:r/>
            <w:r>
              <w:rPr>
                <w:rFonts w:ascii="宋体" w:hAnsi="宋体" w:eastAsia="宋体"/>
                <w:sz w:val="21"/>
              </w:rPr>
              <w:t>762</w:t>
            </w:r>
          </w:p>
        </w:tc>
        <w:tc>
          <w:tcPr>
            <w:tcW w:type="dxa" w:w="1215"/>
            <w:vAlign w:val="center"/>
          </w:tcPr>
          <w:p>
            <w:pPr>
              <w:spacing w:line="240" w:lineRule="auto" w:after="20" w:before="20"/>
              <w:jc w:val="right"/>
            </w:pPr>
            <w:r/>
            <w:r>
              <w:rPr>
                <w:rFonts w:ascii="宋体" w:hAnsi="宋体" w:eastAsia="宋体"/>
                <w:sz w:val="21"/>
              </w:rPr>
              <w:t>1210</w:t>
            </w:r>
          </w:p>
        </w:tc>
        <w:tc>
          <w:tcPr>
            <w:tcW w:type="dxa" w:w="1215"/>
            <w:vAlign w:val="center"/>
          </w:tcPr>
          <w:p>
            <w:pPr>
              <w:spacing w:line="240" w:lineRule="auto" w:after="20" w:before="20"/>
              <w:jc w:val="right"/>
            </w:pPr>
            <w:r/>
            <w:r>
              <w:rPr>
                <w:rFonts w:ascii="宋体" w:hAnsi="宋体" w:eastAsia="宋体"/>
                <w:sz w:val="21"/>
              </w:rPr>
              <w:t>25.7%</w:t>
            </w:r>
          </w:p>
        </w:tc>
        <w:tc>
          <w:tcPr>
            <w:tcW w:type="dxa" w:w="1215"/>
            <w:vAlign w:val="center"/>
          </w:tcPr>
          <w:p>
            <w:pPr>
              <w:spacing w:line="240" w:lineRule="auto" w:after="20" w:before="20"/>
              <w:jc w:val="right"/>
            </w:pPr>
            <w:r/>
            <w:r>
              <w:rPr>
                <w:rFonts w:ascii="宋体" w:hAnsi="宋体" w:eastAsia="宋体"/>
                <w:sz w:val="21"/>
              </w:rPr>
              <w:t>9.7%</w:t>
            </w:r>
          </w:p>
        </w:tc>
        <w:tc>
          <w:tcPr>
            <w:tcW w:type="dxa" w:w="1215"/>
            <w:vAlign w:val="center"/>
          </w:tcPr>
          <w:p>
            <w:pPr>
              <w:spacing w:line="240" w:lineRule="auto" w:after="20" w:before="20"/>
              <w:jc w:val="left"/>
            </w:pPr>
            <w:r/>
            <w:r>
              <w:rPr>
                <w:rFonts w:ascii="宋体" w:hAnsi="宋体" w:eastAsia="宋体"/>
                <w:sz w:val="21"/>
              </w:rPr>
              <w:t>全国统一的兜底性基础规范</w:t>
            </w:r>
          </w:p>
        </w:tc>
      </w:tr>
      <w:tr>
        <w:tc>
          <w:tcPr>
            <w:tcW w:type="dxa" w:w="1215"/>
            <w:vAlign w:val="center"/>
          </w:tcPr>
          <w:p>
            <w:pPr>
              <w:spacing w:line="240" w:lineRule="auto" w:after="20" w:before="20"/>
              <w:jc w:val="left"/>
            </w:pPr>
            <w:r/>
            <w:r>
              <w:rPr>
                <w:rFonts w:ascii="宋体" w:hAnsi="宋体" w:eastAsia="宋体"/>
                <w:sz w:val="21"/>
              </w:rPr>
              <w:t>行业标准</w:t>
            </w:r>
          </w:p>
        </w:tc>
        <w:tc>
          <w:tcPr>
            <w:tcW w:type="dxa" w:w="1215"/>
            <w:vAlign w:val="center"/>
          </w:tcPr>
          <w:p>
            <w:pPr>
              <w:spacing w:line="240" w:lineRule="auto" w:after="20" w:before="20"/>
              <w:jc w:val="right"/>
            </w:pPr>
            <w:r/>
            <w:r>
              <w:rPr>
                <w:rFonts w:ascii="宋体" w:hAnsi="宋体" w:eastAsia="宋体"/>
                <w:sz w:val="21"/>
              </w:rPr>
              <w:t>300</w:t>
            </w:r>
          </w:p>
        </w:tc>
        <w:tc>
          <w:tcPr>
            <w:tcW w:type="dxa" w:w="1215"/>
            <w:vAlign w:val="center"/>
          </w:tcPr>
          <w:p>
            <w:pPr>
              <w:spacing w:line="240" w:lineRule="auto" w:after="20" w:before="20"/>
              <w:jc w:val="right"/>
            </w:pPr>
            <w:r/>
            <w:r>
              <w:rPr>
                <w:rFonts w:ascii="宋体" w:hAnsi="宋体" w:eastAsia="宋体"/>
                <w:sz w:val="21"/>
              </w:rPr>
              <w:t>545</w:t>
            </w:r>
          </w:p>
        </w:tc>
        <w:tc>
          <w:tcPr>
            <w:tcW w:type="dxa" w:w="1215"/>
            <w:vAlign w:val="center"/>
          </w:tcPr>
          <w:p>
            <w:pPr>
              <w:spacing w:line="240" w:lineRule="auto" w:after="20" w:before="20"/>
              <w:jc w:val="right"/>
            </w:pPr>
            <w:r/>
            <w:r>
              <w:rPr>
                <w:rFonts w:ascii="宋体" w:hAnsi="宋体" w:eastAsia="宋体"/>
                <w:sz w:val="21"/>
              </w:rPr>
              <w:t>850</w:t>
            </w:r>
          </w:p>
        </w:tc>
        <w:tc>
          <w:tcPr>
            <w:tcW w:type="dxa" w:w="1215"/>
            <w:vAlign w:val="center"/>
          </w:tcPr>
          <w:p>
            <w:pPr>
              <w:spacing w:line="240" w:lineRule="auto" w:after="20" w:before="20"/>
              <w:jc w:val="right"/>
            </w:pPr>
            <w:r/>
            <w:r>
              <w:rPr>
                <w:rFonts w:ascii="宋体" w:hAnsi="宋体" w:eastAsia="宋体"/>
                <w:sz w:val="21"/>
              </w:rPr>
              <w:t>18.1%</w:t>
            </w:r>
          </w:p>
        </w:tc>
        <w:tc>
          <w:tcPr>
            <w:tcW w:type="dxa" w:w="1215"/>
            <w:vAlign w:val="center"/>
          </w:tcPr>
          <w:p>
            <w:pPr>
              <w:spacing w:line="240" w:lineRule="auto" w:after="20" w:before="20"/>
              <w:jc w:val="right"/>
            </w:pPr>
            <w:r/>
            <w:r>
              <w:rPr>
                <w:rFonts w:ascii="宋体" w:hAnsi="宋体" w:eastAsia="宋体"/>
                <w:sz w:val="21"/>
              </w:rPr>
              <w:t>9.3%</w:t>
            </w:r>
          </w:p>
        </w:tc>
        <w:tc>
          <w:tcPr>
            <w:tcW w:type="dxa" w:w="1215"/>
            <w:vAlign w:val="center"/>
          </w:tcPr>
          <w:p>
            <w:pPr>
              <w:spacing w:line="240" w:lineRule="auto" w:after="20" w:before="20"/>
              <w:jc w:val="left"/>
            </w:pPr>
            <w:r/>
            <w:r>
              <w:rPr>
                <w:rFonts w:ascii="宋体" w:hAnsi="宋体" w:eastAsia="宋体"/>
                <w:sz w:val="21"/>
              </w:rPr>
              <w:t>行业细化与技术方案落地</w:t>
            </w:r>
          </w:p>
        </w:tc>
      </w:tr>
      <w:tr>
        <w:tc>
          <w:tcPr>
            <w:tcW w:type="dxa" w:w="1215"/>
            <w:vAlign w:val="center"/>
          </w:tcPr>
          <w:p>
            <w:pPr>
              <w:spacing w:line="240" w:lineRule="auto" w:after="20" w:before="20"/>
              <w:jc w:val="left"/>
            </w:pPr>
            <w:r/>
            <w:r>
              <w:rPr>
                <w:rFonts w:ascii="宋体" w:hAnsi="宋体" w:eastAsia="宋体"/>
                <w:sz w:val="21"/>
              </w:rPr>
              <w:t>地方标准</w:t>
            </w:r>
          </w:p>
        </w:tc>
        <w:tc>
          <w:tcPr>
            <w:tcW w:type="dxa" w:w="1215"/>
            <w:vAlign w:val="center"/>
          </w:tcPr>
          <w:p>
            <w:pPr>
              <w:spacing w:line="240" w:lineRule="auto" w:after="20" w:before="20"/>
              <w:jc w:val="right"/>
            </w:pPr>
            <w:r/>
            <w:r>
              <w:rPr>
                <w:rFonts w:ascii="宋体" w:hAnsi="宋体" w:eastAsia="宋体"/>
                <w:sz w:val="21"/>
              </w:rPr>
              <w:t>640</w:t>
            </w:r>
          </w:p>
        </w:tc>
        <w:tc>
          <w:tcPr>
            <w:tcW w:type="dxa" w:w="1215"/>
            <w:vAlign w:val="center"/>
          </w:tcPr>
          <w:p>
            <w:pPr>
              <w:spacing w:line="240" w:lineRule="auto" w:after="20" w:before="20"/>
              <w:jc w:val="right"/>
            </w:pPr>
            <w:r/>
            <w:r>
              <w:rPr>
                <w:rFonts w:ascii="宋体" w:hAnsi="宋体" w:eastAsia="宋体"/>
                <w:sz w:val="21"/>
              </w:rPr>
              <w:t>1364</w:t>
            </w:r>
          </w:p>
        </w:tc>
        <w:tc>
          <w:tcPr>
            <w:tcW w:type="dxa" w:w="1215"/>
            <w:vAlign w:val="center"/>
          </w:tcPr>
          <w:p>
            <w:pPr>
              <w:spacing w:line="240" w:lineRule="auto" w:after="20" w:before="20"/>
              <w:jc w:val="right"/>
            </w:pPr>
            <w:r/>
            <w:r>
              <w:rPr>
                <w:rFonts w:ascii="宋体" w:hAnsi="宋体" w:eastAsia="宋体"/>
                <w:sz w:val="21"/>
              </w:rPr>
              <w:t>2210</w:t>
            </w:r>
          </w:p>
        </w:tc>
        <w:tc>
          <w:tcPr>
            <w:tcW w:type="dxa" w:w="1215"/>
            <w:vAlign w:val="center"/>
          </w:tcPr>
          <w:p>
            <w:pPr>
              <w:spacing w:line="240" w:lineRule="auto" w:after="20" w:before="20"/>
              <w:jc w:val="right"/>
            </w:pPr>
            <w:r/>
            <w:r>
              <w:rPr>
                <w:rFonts w:ascii="宋体" w:hAnsi="宋体" w:eastAsia="宋体"/>
                <w:sz w:val="21"/>
              </w:rPr>
              <w:t>47.0%</w:t>
            </w:r>
          </w:p>
        </w:tc>
        <w:tc>
          <w:tcPr>
            <w:tcW w:type="dxa" w:w="1215"/>
            <w:vAlign w:val="center"/>
          </w:tcPr>
          <w:p>
            <w:pPr>
              <w:spacing w:line="240" w:lineRule="auto" w:after="20" w:before="20"/>
              <w:jc w:val="right"/>
            </w:pPr>
            <w:r/>
            <w:r>
              <w:rPr>
                <w:rFonts w:ascii="宋体" w:hAnsi="宋体" w:eastAsia="宋体"/>
                <w:sz w:val="21"/>
              </w:rPr>
              <w:t>10.1%</w:t>
            </w:r>
          </w:p>
        </w:tc>
        <w:tc>
          <w:tcPr>
            <w:tcW w:type="dxa" w:w="1215"/>
            <w:vAlign w:val="center"/>
          </w:tcPr>
          <w:p>
            <w:pPr>
              <w:spacing w:line="240" w:lineRule="auto" w:after="20" w:before="20"/>
              <w:jc w:val="left"/>
            </w:pPr>
            <w:r/>
            <w:r>
              <w:rPr>
                <w:rFonts w:ascii="宋体" w:hAnsi="宋体" w:eastAsia="宋体"/>
                <w:sz w:val="21"/>
              </w:rPr>
              <w:t>区域先行先试与因地制宜</w:t>
            </w:r>
          </w:p>
        </w:tc>
      </w:tr>
      <w:tr>
        <w:tc>
          <w:tcPr>
            <w:tcW w:type="dxa" w:w="1215"/>
            <w:vAlign w:val="center"/>
          </w:tcPr>
          <w:p>
            <w:pPr>
              <w:spacing w:line="240" w:lineRule="auto" w:after="20" w:before="20"/>
              <w:jc w:val="left"/>
            </w:pPr>
            <w:r/>
            <w:r>
              <w:rPr>
                <w:rFonts w:ascii="宋体" w:hAnsi="宋体" w:eastAsia="宋体"/>
                <w:sz w:val="21"/>
              </w:rPr>
              <w:t>团体标准</w:t>
            </w:r>
          </w:p>
        </w:tc>
        <w:tc>
          <w:tcPr>
            <w:tcW w:type="dxa" w:w="1215"/>
            <w:vAlign w:val="center"/>
          </w:tcPr>
          <w:p>
            <w:pPr>
              <w:spacing w:line="240" w:lineRule="auto" w:after="20" w:before="20"/>
              <w:jc w:val="right"/>
            </w:pPr>
            <w:r/>
            <w:r>
              <w:rPr>
                <w:rFonts w:ascii="宋体" w:hAnsi="宋体" w:eastAsia="宋体"/>
                <w:sz w:val="21"/>
              </w:rPr>
              <w:t>6</w:t>
            </w:r>
          </w:p>
        </w:tc>
        <w:tc>
          <w:tcPr>
            <w:tcW w:type="dxa" w:w="1215"/>
            <w:vAlign w:val="center"/>
          </w:tcPr>
          <w:p>
            <w:pPr>
              <w:spacing w:line="240" w:lineRule="auto" w:after="20" w:before="20"/>
              <w:jc w:val="right"/>
            </w:pPr>
            <w:r/>
            <w:r>
              <w:rPr>
                <w:rFonts w:ascii="宋体" w:hAnsi="宋体" w:eastAsia="宋体"/>
                <w:sz w:val="21"/>
              </w:rPr>
              <w:t>118</w:t>
            </w:r>
          </w:p>
        </w:tc>
        <w:tc>
          <w:tcPr>
            <w:tcW w:type="dxa" w:w="1215"/>
            <w:vAlign w:val="center"/>
          </w:tcPr>
          <w:p>
            <w:pPr>
              <w:spacing w:line="240" w:lineRule="auto" w:after="20" w:before="20"/>
              <w:jc w:val="right"/>
            </w:pPr>
            <w:r/>
            <w:r>
              <w:rPr>
                <w:rFonts w:ascii="宋体" w:hAnsi="宋体" w:eastAsia="宋体"/>
                <w:sz w:val="21"/>
              </w:rPr>
              <w:t>430</w:t>
            </w:r>
          </w:p>
        </w:tc>
        <w:tc>
          <w:tcPr>
            <w:tcW w:type="dxa" w:w="1215"/>
            <w:vAlign w:val="center"/>
          </w:tcPr>
          <w:p>
            <w:pPr>
              <w:spacing w:line="240" w:lineRule="auto" w:after="20" w:before="20"/>
              <w:jc w:val="right"/>
            </w:pPr>
            <w:r/>
            <w:r>
              <w:rPr>
                <w:rFonts w:ascii="宋体" w:hAnsi="宋体" w:eastAsia="宋体"/>
                <w:sz w:val="21"/>
              </w:rPr>
              <w:t>9.1%</w:t>
            </w:r>
          </w:p>
        </w:tc>
        <w:tc>
          <w:tcPr>
            <w:tcW w:type="dxa" w:w="1215"/>
            <w:vAlign w:val="center"/>
          </w:tcPr>
          <w:p>
            <w:pPr>
              <w:spacing w:line="240" w:lineRule="auto" w:after="20" w:before="20"/>
              <w:jc w:val="right"/>
            </w:pPr>
            <w:r/>
            <w:r>
              <w:rPr>
                <w:rFonts w:ascii="宋体" w:hAnsi="宋体" w:eastAsia="宋体"/>
                <w:sz w:val="21"/>
              </w:rPr>
              <w:t>29.5%</w:t>
            </w:r>
          </w:p>
        </w:tc>
        <w:tc>
          <w:tcPr>
            <w:tcW w:type="dxa" w:w="1215"/>
            <w:vAlign w:val="center"/>
          </w:tcPr>
          <w:p>
            <w:pPr>
              <w:spacing w:line="240" w:lineRule="auto" w:after="20" w:before="20"/>
              <w:jc w:val="left"/>
            </w:pPr>
            <w:r/>
            <w:r>
              <w:rPr>
                <w:rFonts w:ascii="宋体" w:hAnsi="宋体" w:eastAsia="宋体"/>
                <w:sz w:val="21"/>
              </w:rPr>
              <w:t>市场化快速创新供给</w:t>
            </w:r>
          </w:p>
        </w:tc>
      </w:tr>
      <w:tr>
        <w:tc>
          <w:tcPr>
            <w:tcW w:type="dxa" w:w="1215"/>
            <w:vAlign w:val="center"/>
          </w:tcPr>
          <w:p>
            <w:pPr>
              <w:spacing w:line="240" w:lineRule="auto" w:after="20" w:before="20"/>
              <w:jc w:val="left"/>
            </w:pPr>
            <w:r/>
            <w:r>
              <w:rPr>
                <w:rFonts w:ascii="宋体" w:hAnsi="宋体" w:eastAsia="宋体"/>
                <w:sz w:val="21"/>
              </w:rPr>
              <w:t>合计</w:t>
            </w:r>
          </w:p>
        </w:tc>
        <w:tc>
          <w:tcPr>
            <w:tcW w:type="dxa" w:w="1215"/>
            <w:vAlign w:val="center"/>
          </w:tcPr>
          <w:p>
            <w:pPr>
              <w:spacing w:line="240" w:lineRule="auto" w:after="20" w:before="20"/>
              <w:jc w:val="right"/>
            </w:pPr>
            <w:r/>
            <w:r>
              <w:rPr>
                <w:rFonts w:ascii="宋体" w:hAnsi="宋体" w:eastAsia="宋体"/>
                <w:sz w:val="21"/>
              </w:rPr>
              <w:t>1394</w:t>
            </w:r>
          </w:p>
        </w:tc>
        <w:tc>
          <w:tcPr>
            <w:tcW w:type="dxa" w:w="1215"/>
            <w:vAlign w:val="center"/>
          </w:tcPr>
          <w:p>
            <w:pPr>
              <w:spacing w:line="240" w:lineRule="auto" w:after="20" w:before="20"/>
              <w:jc w:val="right"/>
            </w:pPr>
            <w:r/>
            <w:r>
              <w:rPr>
                <w:rFonts w:ascii="宋体" w:hAnsi="宋体" w:eastAsia="宋体"/>
                <w:sz w:val="21"/>
              </w:rPr>
              <w:t>2789</w:t>
            </w:r>
          </w:p>
        </w:tc>
        <w:tc>
          <w:tcPr>
            <w:tcW w:type="dxa" w:w="1215"/>
            <w:vAlign w:val="center"/>
          </w:tcPr>
          <w:p>
            <w:pPr>
              <w:spacing w:line="240" w:lineRule="auto" w:after="20" w:before="20"/>
              <w:jc w:val="right"/>
            </w:pPr>
            <w:r/>
            <w:r>
              <w:rPr>
                <w:rFonts w:ascii="宋体" w:hAnsi="宋体" w:eastAsia="宋体"/>
                <w:sz w:val="21"/>
              </w:rPr>
              <w:t>4700</w:t>
            </w:r>
          </w:p>
        </w:tc>
        <w:tc>
          <w:tcPr>
            <w:tcW w:type="dxa" w:w="1215"/>
            <w:vAlign w:val="center"/>
          </w:tcPr>
          <w:p>
            <w:pPr>
              <w:spacing w:line="240" w:lineRule="auto" w:after="20" w:before="20"/>
              <w:jc w:val="right"/>
            </w:pPr>
            <w:r/>
            <w:r>
              <w:rPr>
                <w:rFonts w:ascii="宋体" w:hAnsi="宋体" w:eastAsia="宋体"/>
                <w:sz w:val="21"/>
              </w:rPr>
              <w:t>100.0%</w:t>
            </w:r>
          </w:p>
        </w:tc>
        <w:tc>
          <w:tcPr>
            <w:tcW w:type="dxa" w:w="1215"/>
            <w:vAlign w:val="center"/>
          </w:tcPr>
          <w:p>
            <w:pPr>
              <w:spacing w:line="240" w:lineRule="auto" w:after="20" w:before="20"/>
              <w:jc w:val="right"/>
            </w:pPr>
            <w:r/>
            <w:r>
              <w:rPr>
                <w:rFonts w:ascii="宋体" w:hAnsi="宋体" w:eastAsia="宋体"/>
                <w:sz w:val="21"/>
              </w:rPr>
              <w:t>11.0%</w:t>
            </w:r>
          </w:p>
        </w:tc>
        <w:tc>
          <w:tcPr>
            <w:tcW w:type="dxa" w:w="1215"/>
            <w:vAlign w:val="center"/>
          </w:tcPr>
          <w:p>
            <w:pPr>
              <w:spacing w:line="240" w:lineRule="auto" w:after="20" w:before="20"/>
              <w:jc w:val="left"/>
            </w:pPr>
            <w:r/>
            <w:r>
              <w:rPr>
                <w:rFonts w:ascii="宋体" w:hAnsi="宋体" w:eastAsia="宋体"/>
                <w:sz w:val="21"/>
              </w:rPr>
              <w:t>—</w:t>
            </w:r>
          </w:p>
        </w:tc>
      </w:tr>
    </w:tbl>
    <w:p>
      <w:pPr>
        <w:spacing w:after="200" w:line="240" w:lineRule="auto"/>
      </w:pPr>
      <w:r>
        <w:rPr>
          <w:rFonts w:ascii="宋体" w:hAnsi="宋体" w:eastAsia="宋体"/>
          <w:sz w:val="18"/>
        </w:rPr>
        <w:t>注：占比为各层级2025年累计存量占四层级合计的比重；年均增速为2020—2025年累计存量的复合增长率。数据来源：作者构建的中国绿色低碳标准文本数据库。</w:t>
      </w:r>
    </w:p>
    <w:p>
      <w:pPr>
        <w:spacing w:line="360" w:lineRule="auto" w:after="0"/>
        <w:ind w:firstLineChars="200" w:firstLine="480"/>
        <w:jc w:val="both"/>
      </w:pPr>
      <w:r>
        <w:rPr>
          <w:rFonts w:ascii="宋体" w:hAnsi="宋体" w:eastAsia="宋体"/>
          <w:sz w:val="24"/>
        </w:rPr>
        <w:t>表4.3揭示出层级结构演化的两个重要事实。其一，团体标准是“双碳”阶段增长最快的层级：2020—2025年年均增速达29.5%，约为国家标准（9.7%）的三倍，存量由2015年的个位数扩张至2025年的数百项。团体标准以其快速响应、贴近市场的特性，承担了新兴领域“标准试错”的功能——绿色金融产品、碳普惠、碳标签等前沿领域的首批规范多以团体标准形式问世（黄俊勇和刘世锦，2023；陈丹丹等，2025），其中成熟者再经行业或国家层级吸收转化。这种“团体创新—官方确认”的接力机制，是标准供给市场化程度提升的直接证据，也与第7章博弈模型中企业策略空间的扩展相呼应。其二，各层级增速在“双碳”阶段趋于收敛于较高水平，表明体系扩张已由个别层级的独进转为四层级的协同并进；但数量协同并不自动等于功能协同，层级间的衔接质量——上位标准是否为下位标准预留接口、下位标准是否与上位标准技术参数一致——仍缺乏制度化保障，这构成第9章纵向层级衔接设计所要解决的核心问题。</w:t>
      </w:r>
    </w:p>
    <w:p>
      <w:pPr>
        <w:keepNext/>
        <w:spacing w:before="160" w:after="120" w:line="360" w:lineRule="auto"/>
        <w:outlineLvl w:val="2"/>
      </w:pPr>
      <w:r>
        <w:rPr>
          <w:rFonts w:ascii="黑体" w:hAnsi="黑体" w:eastAsia="黑体"/>
          <w:sz w:val="24"/>
        </w:rPr>
        <w:t>4.3.2  功能模块结构：碳核算与碳吸收的结构性缺位</w:t>
      </w:r>
    </w:p>
    <w:p>
      <w:pPr>
        <w:spacing w:line="360" w:lineRule="auto" w:after="0"/>
        <w:ind w:firstLineChars="200" w:firstLine="480"/>
        <w:jc w:val="both"/>
      </w:pPr>
      <w:r>
        <w:rPr>
          <w:rFonts w:ascii="宋体" w:hAnsi="宋体" w:eastAsia="宋体"/>
          <w:sz w:val="24"/>
        </w:rPr>
        <w:t>如果说层级结构回答的是“谁在供给标准”，功能结构回答的则是“标准供给投向了哪里”。按照4.1节的类别编码，对2025年国家标准存量进行功能模块分解，结果如图4.3所示。之所以聚焦国家标准，是因为国家层级最能反映中央政府的供给优先序，且其功能配置对行业、地方与团体标准具有引领效应。</w:t>
      </w:r>
    </w:p>
    <w:p>
      <w:pPr>
        <w:spacing w:before="120" w:after="40"/>
        <w:jc w:val="center"/>
      </w:pPr>
      <w:r>
        <w:drawing>
          <wp:inline xmlns:a="http://schemas.openxmlformats.org/drawingml/2006/main" xmlns:pic="http://schemas.openxmlformats.org/drawingml/2006/picture">
            <wp:extent cx="4680000" cy="2587219"/>
            <wp:docPr id="11" name="Picture 11"/>
            <wp:cNvGraphicFramePr>
              <a:graphicFrameLocks noChangeAspect="1"/>
            </wp:cNvGraphicFramePr>
            <a:graphic>
              <a:graphicData uri="http://schemas.openxmlformats.org/drawingml/2006/picture">
                <pic:pic>
                  <pic:nvPicPr>
                    <pic:cNvPr id="0" name="fig4_3.png"/>
                    <pic:cNvPicPr/>
                  </pic:nvPicPr>
                  <pic:blipFill>
                    <a:blip r:embed="rId19"/>
                    <a:stretch>
                      <a:fillRect/>
                    </a:stretch>
                  </pic:blipFill>
                  <pic:spPr>
                    <a:xfrm>
                      <a:off x="0" y="0"/>
                      <a:ext cx="4680000" cy="2587219"/>
                    </a:xfrm>
                    <a:prstGeom prst="rect"/>
                  </pic:spPr>
                </pic:pic>
              </a:graphicData>
            </a:graphic>
          </wp:inline>
        </w:drawing>
      </w:r>
    </w:p>
    <w:p>
      <w:pPr>
        <w:keepNext w:val="0"/>
        <w:spacing w:after="200"/>
        <w:jc w:val="center"/>
      </w:pPr>
      <w:r>
        <w:rPr>
          <w:rFonts w:ascii="黑体" w:hAnsi="黑体" w:eastAsia="黑体"/>
          <w:sz w:val="21"/>
        </w:rPr>
        <w:t>图4.3  绿色低碳国家标准的功能模块结构（2025）</w:t>
      </w:r>
    </w:p>
    <w:p>
      <w:pPr>
        <w:spacing w:line="360" w:lineRule="auto" w:after="0"/>
        <w:ind w:firstLineChars="200" w:firstLine="480"/>
        <w:jc w:val="both"/>
      </w:pPr>
      <w:r>
        <w:rPr>
          <w:rFonts w:ascii="宋体" w:hAnsi="宋体" w:eastAsia="宋体"/>
          <w:sz w:val="24"/>
        </w:rPr>
        <w:t>由图4.3可见，功能模块结构呈现显著的非均衡形态：绿色产品类占比高达35.2%，为五大模块之首；节能低碳通用及其他类合计占36.8%；而处于体系基础地位的碳排放核算类仅占8.3%，碳足迹认证类占4.9%，两者合计约13.2%；碳吸收类占比6.1%，为五大模块中的洼地之一；绿色金融类占8.7%。概言之，中国绿色低碳国家标准呈“绿色产品端密集、碳核算与碳吸收端稀疏”的哑铃失衡结构。</w:t>
      </w:r>
    </w:p>
    <w:p>
      <w:pPr>
        <w:spacing w:line="360" w:lineRule="auto" w:after="0"/>
        <w:ind w:firstLineChars="200" w:firstLine="480"/>
        <w:jc w:val="both"/>
      </w:pPr>
      <w:r>
        <w:rPr>
          <w:rFonts w:ascii="宋体" w:hAnsi="宋体" w:eastAsia="宋体"/>
          <w:sz w:val="24"/>
        </w:rPr>
        <w:t>碳核算模块的相对缺位尤须警惕。碳排放核算是整个绿色低碳制度大厦的“度量衡”：碳市场配额分配依赖企业层面核算，碳排放双控考核依赖区域层面核算，碳足迹认证与绿色金融环境效益评估依赖产品与项目层面核算，可谓“无核算、不低碳”（陈红敏，2011；He等，2022）。国际经验同样表明，核算标准的不统一会系统性削弱碳信息的可比性与可信度（Klaaßen和Stoll，2021）。以仅占国家标准8.3%的核算标准存量支撑如此广谱的制度需求，短板效应显而易见：行业细分核算规则不全、排放因子本土化不足、数据质量分级标准缺乏，使得下游各类应用不得不各自为政，既推高了企业的多重核算负担，也削弱了中国碳数据在国际互认中的谈判地位。正因如此，2024年行动方案将“基本实现重点行业企业碳排放核算标准全覆盖”列为最紧迫的量化任务，政策优先序已开始向核算端矫正。</w:t>
      </w:r>
    </w:p>
    <w:p>
      <w:pPr>
        <w:spacing w:line="360" w:lineRule="auto" w:after="0"/>
        <w:ind w:firstLineChars="200" w:firstLine="480"/>
        <w:jc w:val="both"/>
      </w:pPr>
      <w:r>
        <w:rPr>
          <w:rFonts w:ascii="宋体" w:hAnsi="宋体" w:eastAsia="宋体"/>
          <w:sz w:val="24"/>
        </w:rPr>
        <w:t>碳吸收模块6.1%的占比，则与“四步走”路径第三步的战略要求形成鲜明反差。实现碳中和意味着残余排放必须由碳汇与负排放技术对冲，而吸收端的可信性完全依赖计量、监测与核证标准：林草碳汇的方法学基线、海洋与湿地碳汇的计量规程、碳捕集利用与封存项目的封存持久性核查，无一不以标准为前提（陈雅如和赵金成，2021；蓝虹和杜彦霖，2024）。当前中国碳捕集利用与封存示范项目已达百余个、捕集能力约600万吨/年量级，全国温室气体自愿减排市场重启后碳汇类项目需求旺盛，但吸收端标准供给仍以首批4项方法学为主体，计量核证标准的缺口意味着大量潜在碳汇资产因无法核证而“沉睡”。绿色产品端的密集供给则有其政治经济学逻辑：绿色产品评价标准制定成本低、显示度高、与消费端政策工具衔接便利，因而成为各方供给意愿最强的领域（黄俊勇和刘世锦，2023）；但当边际上的标准供给持续流向已然拥挤的模块时，体系整体的边际制度收益必然递减。功能结构与需求结构的这种系统性错位，将在4.5节以供需缺口的形式得到直观呈现，并在第8章接受正式测算。</w:t>
      </w:r>
    </w:p>
    <w:p>
      <w:pPr>
        <w:keepNext/>
        <w:spacing w:before="160" w:after="120" w:line="360" w:lineRule="auto"/>
        <w:outlineLvl w:val="1"/>
      </w:pPr>
      <w:r>
        <w:rPr>
          <w:rFonts w:ascii="黑体" w:hAnsi="黑体" w:eastAsia="黑体"/>
          <w:sz w:val="28"/>
        </w:rPr>
        <w:t>4.4  空间特征：地方标准的省域分布及其与产业结构的关联</w:t>
      </w:r>
    </w:p>
    <w:p>
      <w:pPr>
        <w:keepNext/>
        <w:spacing w:before="160" w:after="120" w:line="360" w:lineRule="auto"/>
        <w:outlineLvl w:val="2"/>
      </w:pPr>
      <w:r>
        <w:rPr>
          <w:rFonts w:ascii="黑体" w:hAnsi="黑体" w:eastAsia="黑体"/>
          <w:sz w:val="24"/>
        </w:rPr>
        <w:t>4.4.1  省域分布的总体格局</w:t>
      </w:r>
    </w:p>
    <w:p>
      <w:pPr>
        <w:spacing w:line="360" w:lineRule="auto" w:after="0"/>
        <w:ind w:firstLineChars="200" w:firstLine="480"/>
        <w:jc w:val="both"/>
      </w:pPr>
      <w:r>
        <w:rPr>
          <w:rFonts w:ascii="宋体" w:hAnsi="宋体" w:eastAsia="宋体"/>
          <w:sz w:val="24"/>
        </w:rPr>
        <w:t>地方标准占标准存量的47.0%，其空间配置直接刻画了绿色低碳标准化的区域版图。将数据库中2210项地方标准按发布省份归集，截至2025年发布量前15位省份的分布如图4.4所示。</w:t>
      </w:r>
    </w:p>
    <w:p>
      <w:pPr>
        <w:spacing w:before="120" w:after="40"/>
        <w:jc w:val="center"/>
      </w:pPr>
      <w:r>
        <w:drawing>
          <wp:inline xmlns:a="http://schemas.openxmlformats.org/drawingml/2006/main" xmlns:pic="http://schemas.openxmlformats.org/drawingml/2006/picture">
            <wp:extent cx="4680000" cy="3560060"/>
            <wp:docPr id="12" name="Picture 12"/>
            <wp:cNvGraphicFramePr>
              <a:graphicFrameLocks noChangeAspect="1"/>
            </wp:cNvGraphicFramePr>
            <a:graphic>
              <a:graphicData uri="http://schemas.openxmlformats.org/drawingml/2006/picture">
                <pic:pic>
                  <pic:nvPicPr>
                    <pic:cNvPr id="0" name="fig4_4.png"/>
                    <pic:cNvPicPr/>
                  </pic:nvPicPr>
                  <pic:blipFill>
                    <a:blip r:embed="rId20"/>
                    <a:stretch>
                      <a:fillRect/>
                    </a:stretch>
                  </pic:blipFill>
                  <pic:spPr>
                    <a:xfrm>
                      <a:off x="0" y="0"/>
                      <a:ext cx="4680000" cy="3560060"/>
                    </a:xfrm>
                    <a:prstGeom prst="rect"/>
                  </pic:spPr>
                </pic:pic>
              </a:graphicData>
            </a:graphic>
          </wp:inline>
        </w:drawing>
      </w:r>
    </w:p>
    <w:p>
      <w:pPr>
        <w:keepNext w:val="0"/>
        <w:spacing w:after="200"/>
        <w:jc w:val="center"/>
      </w:pPr>
      <w:r>
        <w:rPr>
          <w:rFonts w:ascii="黑体" w:hAnsi="黑体" w:eastAsia="黑体"/>
          <w:sz w:val="21"/>
        </w:rPr>
        <w:t>图4.4  绿色低碳地方标准的省域分布（截至2025）</w:t>
      </w:r>
    </w:p>
    <w:p>
      <w:pPr>
        <w:spacing w:line="360" w:lineRule="auto" w:after="0"/>
        <w:ind w:firstLineChars="200" w:firstLine="480"/>
        <w:jc w:val="both"/>
      </w:pPr>
      <w:r>
        <w:rPr>
          <w:rFonts w:ascii="宋体" w:hAnsi="宋体" w:eastAsia="宋体"/>
          <w:sz w:val="24"/>
        </w:rPr>
        <w:t>由图4.4可见，省域分布呈现明显的梯度格局。山东以216项居首，广东（198项）、浙江（187项）、江苏（174项）紧随其后，四省合计775项，占全国地方标准的35.1%；第二梯队包括四川（132项）、河北（121项）、福建（108项）、湖北（102项）、北京（98项）等省份；前15位省份合计1825项，占地方标准总量的82.6%，其余省份合计占比不足两成。总体上，绿色低碳地方标准高度集中于东部沿海经济大省，并向中西部的少数产业与资源特色省份延伸，空间集中度显著高于一般地方标准的省域分布。</w:t>
      </w:r>
    </w:p>
    <w:p>
      <w:pPr>
        <w:keepNext/>
        <w:spacing w:before="160" w:after="120" w:line="360" w:lineRule="auto"/>
        <w:outlineLvl w:val="2"/>
      </w:pPr>
      <w:r>
        <w:rPr>
          <w:rFonts w:ascii="黑体" w:hAnsi="黑体" w:eastAsia="黑体"/>
          <w:sz w:val="24"/>
        </w:rPr>
        <w:t>4.4.2  区域差异及其与产业结构的关联</w:t>
      </w:r>
    </w:p>
    <w:p>
      <w:pPr>
        <w:spacing w:line="360" w:lineRule="auto" w:after="0"/>
        <w:ind w:firstLineChars="200" w:firstLine="480"/>
        <w:jc w:val="both"/>
      </w:pPr>
      <w:r>
        <w:rPr>
          <w:rFonts w:ascii="宋体" w:hAnsi="宋体" w:eastAsia="宋体"/>
          <w:sz w:val="24"/>
        </w:rPr>
        <w:t>省域分布的梯度并非偶然，其背后是“需求引致”与“供给能力”双重逻辑的叠加。从需求侧看，标准需求内生于产业绿色转型的压力：制造业规模越大、高碳行业占比越高、外向型程度越深的省份，企业面临的碳核算、绿色改造与国际合规需求越密集，对地方性技术规范的引致需求也就越强。山东、江苏作为工业门类最齐全的制造业大省，钢铁、化工、建材等高碳产业的绿色化改造催生了大量行业细分标准需求；广东、浙江的外向型产业集群则更早感受到国际绿色贸易规则的传导压力（陆婷和徐奇渊，2023），其地方标准中产品碳足迹与绿色供应链类占比明显偏高，广东在产业园区层面开展的绿色低碳标准体系建设即为典型例证（曹佳彦等，2024）。从供给侧看，标准制定是一项知识密集型公共品供给活动，依赖地方财政投入、标准化技术机构与专家网络的支撑，东部省份在这三方面均具系统性优势，形成“需求牵引—能力支撑”的正反馈。</w:t>
      </w:r>
    </w:p>
    <w:p>
      <w:pPr>
        <w:spacing w:line="360" w:lineRule="auto" w:after="0"/>
        <w:ind w:firstLineChars="200" w:firstLine="480"/>
        <w:jc w:val="both"/>
      </w:pPr>
      <w:r>
        <w:rPr>
          <w:rFonts w:ascii="宋体" w:hAnsi="宋体" w:eastAsia="宋体"/>
          <w:sz w:val="24"/>
        </w:rPr>
        <w:t>第二梯队省份的入列逻辑则更多体现资源与产业禀赋的特色驱动。河北（121项）的标准供给与其钢铁产业集中度及严峻的减排约束直接相关——对高碳产业占比较高的省份而言，能源需求与碳排放路径的约束更紧（翁智雄等，2019），倒逼地方以标准工具规范重点行业转型；四川（132项）依托水电富集优势与林草碳汇资源，在绿色电力消费、碳汇计量等领域先行探索；北京（98项）、上海（74项）虽制造业体量有限，但作为碳交易机构与金融要素集聚地，在碳市场服务、绿色金融与企业碳信息披露标准上形成特色供给（陈丹丹等，2025）。相形之下，部分中西部与东北省份既缺乏转型压力的即时传导，又受制于标准化资源短缺，地方标准供给明显滞后，区域间“标准化能力鸿沟”与经济发展梯度高度重合。</w:t>
      </w:r>
    </w:p>
    <w:p>
      <w:pPr>
        <w:spacing w:line="360" w:lineRule="auto" w:after="0"/>
        <w:ind w:firstLineChars="200" w:firstLine="480"/>
        <w:jc w:val="both"/>
      </w:pPr>
      <w:r>
        <w:rPr>
          <w:rFonts w:ascii="宋体" w:hAnsi="宋体" w:eastAsia="宋体"/>
          <w:sz w:val="24"/>
        </w:rPr>
        <w:t>空间分化格局具有双重政策含义。积极面在于，地方先行为全国层面的标准建设提供了低成本的制度试验：东部省份在产品碳足迹、园区碳管理等领域的探索，实际上承担了“标准孵化器”功能，其成熟经验可经评估后上升为行业或国家标准，这与财政分权下地方政策创新的一般逻辑一致。消极面在于，省际标准的技术参数差异一旦固化，便可能形成新的制度性交易成本——同类产品在不同省份面临不同的核算口径与评价基准，既加重跨区域经营企业的合规负担，也与全国统一大市场建设的方向相悖。如何在保留地方创新激励的同时强化全国层面的统筹衔接，是第9章体系架构设计中纵向分工机制必须回答的问题。</w:t>
      </w:r>
    </w:p>
    <w:p>
      <w:pPr>
        <w:keepNext/>
        <w:spacing w:before="160" w:after="120" w:line="360" w:lineRule="auto"/>
        <w:outlineLvl w:val="1"/>
      </w:pPr>
      <w:r>
        <w:rPr>
          <w:rFonts w:ascii="黑体" w:hAnsi="黑体" w:eastAsia="黑体"/>
          <w:sz w:val="28"/>
        </w:rPr>
        <w:t>4.5  供需总体图景与结构性失衡的典型事实</w:t>
      </w:r>
    </w:p>
    <w:p>
      <w:pPr>
        <w:spacing w:line="360" w:lineRule="auto" w:after="0"/>
        <w:ind w:firstLineChars="200" w:firstLine="480"/>
        <w:jc w:val="both"/>
      </w:pPr>
      <w:r>
        <w:rPr>
          <w:rFonts w:ascii="宋体" w:hAnsi="宋体" w:eastAsia="宋体"/>
          <w:sz w:val="24"/>
        </w:rPr>
        <w:t>前述分析分别从时间、层级、功能与空间维度刻画了标准供给的演进，但对标准体系的最终评价必须回到供需匹配：供给的扩张是否跟上了产业绿色转型对标准的真实需求？为形成总体判断，本节构造两条综合指数进行对照：标准供给指数以式(4-1)的五类综合指数为基础、按第9章层次分析法得到的功能模块权重加权合成；标准需求指数则由产业碳排放强度、绿色转型进程、减排政策约束与国际规则压力四类因素驱动的需求测算反推得到，其内生化建模与测算细节见第8章，此处仅作总体图景的先行呈现。图4.5给出了2005—2025年两条指数的演化轨迹与供需缺口。</w:t>
      </w:r>
    </w:p>
    <w:p>
      <w:pPr>
        <w:spacing w:before="120" w:after="40"/>
        <w:jc w:val="center"/>
      </w:pPr>
      <w:r>
        <w:drawing>
          <wp:inline xmlns:a="http://schemas.openxmlformats.org/drawingml/2006/main" xmlns:pic="http://schemas.openxmlformats.org/drawingml/2006/picture">
            <wp:extent cx="4860000" cy="2943609"/>
            <wp:docPr id="13" name="Picture 13"/>
            <wp:cNvGraphicFramePr>
              <a:graphicFrameLocks noChangeAspect="1"/>
            </wp:cNvGraphicFramePr>
            <a:graphic>
              <a:graphicData uri="http://schemas.openxmlformats.org/drawingml/2006/picture">
                <pic:pic>
                  <pic:nvPicPr>
                    <pic:cNvPr id="0" name="fig4_5.png"/>
                    <pic:cNvPicPr/>
                  </pic:nvPicPr>
                  <pic:blipFill>
                    <a:blip r:embed="rId21"/>
                    <a:stretch>
                      <a:fillRect/>
                    </a:stretch>
                  </pic:blipFill>
                  <pic:spPr>
                    <a:xfrm>
                      <a:off x="0" y="0"/>
                      <a:ext cx="4860000" cy="2943609"/>
                    </a:xfrm>
                    <a:prstGeom prst="rect"/>
                  </pic:spPr>
                </pic:pic>
              </a:graphicData>
            </a:graphic>
          </wp:inline>
        </w:drawing>
      </w:r>
    </w:p>
    <w:p>
      <w:pPr>
        <w:keepNext w:val="0"/>
        <w:spacing w:after="200"/>
        <w:jc w:val="center"/>
      </w:pPr>
      <w:r>
        <w:rPr>
          <w:rFonts w:ascii="黑体" w:hAnsi="黑体" w:eastAsia="黑体"/>
          <w:sz w:val="21"/>
        </w:rPr>
        <w:t>图4.5  标准供给指数与需求指数的总体演化（2005—2025）</w:t>
      </w:r>
    </w:p>
    <w:p>
      <w:pPr>
        <w:spacing w:line="360" w:lineRule="auto" w:after="0"/>
        <w:ind w:firstLineChars="200" w:firstLine="480"/>
        <w:jc w:val="both"/>
      </w:pPr>
      <w:r>
        <w:rPr>
          <w:rFonts w:ascii="宋体" w:hAnsi="宋体" w:eastAsia="宋体"/>
          <w:sz w:val="24"/>
        </w:rPr>
        <w:t>由图4.5可见，供给指数由2005年的0.106持续升至2015年的0.247、2020年的0.395与2025年的0.573，“双碳”阶段的抬升斜率显著加大；但需求指数的攀升更为陡峭，2025年已达0.882左右，供需之间始终存在一条清晰的缺口带。以相对缺口衡量，加权综合错配指数由2015年的0.51降至2020年的0.44、2025年的0.35——缺口趋于收敛，但截至2025年标准供给仍仅能满足约65%的有效需求。基于图4.5及前文各节证据，可以归纳出三个典型事实，它们共同构成后续章节的问题清单。</w:t>
      </w:r>
    </w:p>
    <w:p>
      <w:pPr>
        <w:spacing w:line="360" w:lineRule="auto" w:after="0"/>
        <w:ind w:firstLineChars="200" w:firstLine="480"/>
        <w:jc w:val="both"/>
      </w:pPr>
      <w:r>
        <w:rPr>
          <w:rFonts w:ascii="宋体" w:hAnsi="宋体" w:eastAsia="宋体"/>
          <w:sz w:val="24"/>
        </w:rPr>
        <w:t>典型事实一：总量缺口收敛但远未弥合，且需求仍在加速。供给端的政策发力有目共睹，然而需求端的扩张动能更为强劲：能耗双控向碳排放双控的全面转型将碳核算需求从重点企业推向区域、项目与产品全链条（姜春海等，2024）；全国碳市场2025年3月扩围至钢铁、水泥、铝冶炼行业后，重点排放单位增至约3700家、覆盖排放量约80亿吨、占全国二氧化碳排放总量的60%以上，配额管理的精细化对行业核算标准提出更高要求（张奕辉，2024）；欧盟碳边境调节机制于2023年10月进入过渡期、2026年1月1日起正式征收，其覆盖的钢铁、铝、水泥、化肥等产品对欧出口须按欧方认可的核算规则申报隐含排放，境外规则以贸易成本的形式向国内标准体系传导刚性需求（陈诗一和朱渝铖，2024；张兵兵等，2025）。供给以制定周期为约束线性推进，需求以政策与贸易冲击为节拍跳跃式扩张，缺口的最终弥合仍需供给机制的进一步提速。</w:t>
      </w:r>
    </w:p>
    <w:p>
      <w:pPr>
        <w:spacing w:line="360" w:lineRule="auto" w:after="0"/>
        <w:ind w:firstLineChars="200" w:firstLine="480"/>
        <w:jc w:val="both"/>
      </w:pPr>
      <w:r>
        <w:rPr>
          <w:rFonts w:ascii="宋体" w:hAnsi="宋体" w:eastAsia="宋体"/>
          <w:sz w:val="24"/>
        </w:rPr>
        <w:t>典型事实二：结构性错配比总量缺口更为突出，且与供给结构呈镜像对应。分模块看，2025年碳吸收类相对缺口高达0.58，碳足迹认证类为0.41，绿色金融类为0.37，碳排放核算类为0.29，而绿色产品类仅为0.18。将这一缺口排序与图4.3的供给份额对照，恰成镜像：供给最密集的绿色产品模块（占比35.2%）缺口最小，供给最稀疏的碳吸收模块（占比6.1%）缺口最大。这印证了4.3节的判断——中国标准体系的主要矛盾并非总量不足，而是供给结构对需求结构的系统性偏离：边际供给持续流向低缺口模块造成局部拥挤甚至冗余隐忧，而高缺口模块的供给迟滞则形成制度短板。这一“供给惯性—需求跃迁”的结构性错位，正是第8章SSDMI指数按行业与模块展开正式测算的对象，也是第9章“横向补短板”架构设计的经验依据。</w:t>
      </w:r>
    </w:p>
    <w:p>
      <w:pPr>
        <w:spacing w:line="360" w:lineRule="auto" w:after="0"/>
        <w:ind w:firstLineChars="200" w:firstLine="480"/>
        <w:jc w:val="both"/>
      </w:pPr>
      <w:r>
        <w:rPr>
          <w:rFonts w:ascii="宋体" w:hAnsi="宋体" w:eastAsia="宋体"/>
          <w:sz w:val="24"/>
        </w:rPr>
        <w:t>典型事实三：供需动态的不同步内生于驱动机制的差异。需求由碳排放强度、转型进程、政策约束与国际压力等快变量驱动，而供给受标准立项、起草、征求意见、审查发布的程序性周期约束，属于慢变量；当政策与贸易环境发生跃迁时，供给的响应滞后便表现为缺口的阶段性放大。数据库的制修订编码显示，存量标准的平均修订间隔明显长于低碳技术的迭代周期，标龄老化与技术前沿之间的偏离持续累积——这正是第10章以技术—政策偏离度设计动态更新触发机制的现实动因。综合三个典型事实，中国绿色低碳标准体系正处于“总量趋于充裕、结构亟待再平衡、机制有待动态化”的关键转折点，识别缺口背后的演化机理并据此重构体系，构成此后各章的任务。</w:t>
      </w:r>
    </w:p>
    <w:p>
      <w:pPr>
        <w:keepNext/>
        <w:spacing w:before="160" w:after="120" w:line="360" w:lineRule="auto"/>
        <w:outlineLvl w:val="1"/>
      </w:pPr>
      <w:r>
        <w:rPr>
          <w:rFonts w:ascii="黑体" w:hAnsi="黑体" w:eastAsia="黑体"/>
          <w:sz w:val="28"/>
        </w:rPr>
        <w:t>4.6  本章小结</w:t>
      </w:r>
    </w:p>
    <w:p>
      <w:pPr>
        <w:spacing w:line="360" w:lineRule="auto" w:after="0"/>
        <w:ind w:firstLineChars="200" w:firstLine="480"/>
        <w:jc w:val="both"/>
      </w:pPr>
      <w:r>
        <w:rPr>
          <w:rFonts w:ascii="宋体" w:hAnsi="宋体" w:eastAsia="宋体"/>
          <w:sz w:val="24"/>
        </w:rPr>
        <w:t>本章以作者构建的1993—2025年中国绿色低碳标准文本数据库为基础，系统刻画了中国绿色低碳标准体系的演进历程与时空特征。在方法层面，本章说明了覆盖4700项标准条目的数据库构建过程，设计了“标准类别—技术严格程度—覆盖完整性—制修订频率”四维编码方案，经双人独立编码与第三方仲裁，各维度Krippendorff's α信度系数均大于0.80，并以式(4-1)构造了五类标准的年度综合指数，为全书的量化分析奠定了统一的数据与测量基础。</w:t>
      </w:r>
    </w:p>
    <w:p>
      <w:pPr>
        <w:spacing w:line="360" w:lineRule="auto" w:after="0"/>
        <w:ind w:firstLineChars="200" w:firstLine="480"/>
        <w:jc w:val="both"/>
      </w:pPr>
      <w:r>
        <w:rPr>
          <w:rFonts w:ascii="宋体" w:hAnsi="宋体" w:eastAsia="宋体"/>
          <w:sz w:val="24"/>
        </w:rPr>
        <w:t>在时序维度，本章识别出基础积累（1993—2003）、低碳标准化起步（2004—2019）与“双碳”战略突破（2020年以来）三个阶段：年均新增标准由约16项、139项跃升至约384项，2020—2025年新增即占存量的49%；驱动力结构由政策推力占62%的单轮驱动，演化为政策41%、技术33%、市场26%的三轮协同。与西方“碳排放标准化—碳中和标准化”两步走不同，中国遵循“碳排放—碳达峰—碳吸收—碳中和”的四步走路径，这一路径与后发国家压缩式转型的目标时序相适应，但也使碳吸收与碳中和端的标准供给系统性滞后。</w:t>
      </w:r>
    </w:p>
    <w:p>
      <w:pPr>
        <w:spacing w:line="360" w:lineRule="auto" w:after="0"/>
        <w:ind w:firstLineChars="200" w:firstLine="480"/>
        <w:jc w:val="both"/>
      </w:pPr>
      <w:r>
        <w:rPr>
          <w:rFonts w:ascii="宋体" w:hAnsi="宋体" w:eastAsia="宋体"/>
          <w:sz w:val="24"/>
        </w:rPr>
        <w:t>在结构维度，四层级呈“地方最厚、团体增速最快”的格局：地方标准占47%，团体标准“双碳”阶段年均增速约30%，多元供给格局基本成形，但层级衔接机制仍待制度化。功能模块结构存在显著失衡：绿色产品类占国家标准的35.2%，而基础性的碳排放核算类仅占8.3%、碳吸收类仅占6.1%，呈“产品端密集、核算与吸收端缺位”的哑铃形态。在空间维度，地方标准高度集中于山东、广东、浙江、江苏等东部省份，前15位省份占比达83%，其梯度分布由产业结构的需求引致与标准化能力的供给约束共同塑造，地方先行的制度试验价值与省际分割的潜在成本并存。</w:t>
      </w:r>
    </w:p>
    <w:p>
      <w:pPr>
        <w:spacing w:line="360" w:lineRule="auto" w:after="0"/>
        <w:ind w:firstLineChars="200" w:firstLine="480"/>
        <w:jc w:val="both"/>
      </w:pPr>
      <w:r>
        <w:rPr>
          <w:rFonts w:ascii="宋体" w:hAnsi="宋体" w:eastAsia="宋体"/>
          <w:sz w:val="24"/>
        </w:rPr>
        <w:t>供需对照的总体图景显示，标准供给指数持续上行但需求扩张更快，加权综合错配指数由2015年的0.51收敛至2025年的0.35，缺口收窄但仍然可观；结构上，模块缺口排序与供给份额排序呈镜像对应，碳吸收端短缺最重、绿色产品端趋于饱和。三个典型事实共同表明，中国绿色低碳标准体系已完成规模意义上的原始积累，正进入以结构再平衡与机制动态化为主线的新阶段。本章的描述性证据引出了必须进一步回答的机理问题：五类标准之间存在怎样的互补与替代关系？政策、技术、市场三重驱动力如何传导并塑造体系演化？对这些问题的解答需要超越描述统计的结构化模型。第5章将把本章的量化编码结果嵌入状态空间模型，对标准体系动态演化的交互结构与驱动机制进行正式估计。</w:t>
      </w:r>
    </w:p>
    <w:p>
      <w:r>
        <w:br w:type="page"/>
      </w:r>
    </w:p>
    <w:p>
      <w:pPr>
        <w:keepNext/>
        <w:spacing w:before="240" w:after="160" w:line="360" w:lineRule="auto"/>
        <w:jc w:val="center"/>
        <w:outlineLvl w:val="0"/>
      </w:pPr>
      <w:r>
        <w:rPr>
          <w:rFonts w:ascii="黑体" w:hAnsi="黑体" w:eastAsia="黑体"/>
          <w:b/>
          <w:sz w:val="30"/>
        </w:rPr>
        <w:t>第5章  标准体系动态演化的状态空间模型</w:t>
      </w:r>
    </w:p>
    <w:p>
      <w:pPr>
        <w:spacing w:line="360" w:lineRule="auto" w:after="0"/>
        <w:ind w:firstLineChars="200" w:firstLine="480"/>
        <w:jc w:val="both"/>
      </w:pPr>
      <w:r>
        <w:rPr>
          <w:rFonts w:ascii="宋体" w:hAnsi="宋体" w:eastAsia="宋体"/>
          <w:sz w:val="24"/>
        </w:rPr>
        <w:t>第4章基于约4700项标准条目的量化编码，勾勒了中国绿色低碳标准体系三十余年演进的整体图景：五类标准综合指数持续上行而不同步，层级结构不断扩张而功能结构失衡依旧，驱动力格局由政策“单轮驱动”向政策、技术、市场“三轮协同”渐进转型。这些典型事实背后，隐藏着一系列尚未回答的机制问题：碳排放核算标准的完善，究竟在多大程度上带动了碳足迹认证与绿色金融标准的升级？绿色产品标准与碳足迹认证之间是相互支撑还是相互挤出？全国碳市场的碳价信号、能耗双控向碳排放双控的转型、欧盟碳边境调节机制的规制压力与绿色技术进步这四股力量，各自以怎样的强度、通过怎样的渠道注入标准体系？政策推力长期主导的格局是否正在松动、将走向何方？对这些问题的回答，构成理解标准体系动态演化机理的核心，也直接决定第9章体系构建原则的经验基础。</w:t>
      </w:r>
    </w:p>
    <w:p>
      <w:pPr>
        <w:spacing w:line="360" w:lineRule="auto" w:after="0"/>
        <w:ind w:firstLineChars="200" w:firstLine="480"/>
        <w:jc w:val="both"/>
      </w:pPr>
      <w:r>
        <w:rPr>
          <w:rFonts w:ascii="宋体" w:hAnsi="宋体" w:eastAsia="宋体"/>
          <w:sz w:val="24"/>
        </w:rPr>
        <w:t>描述性统计无法承担上述任务，必须把标准体系的演化过程置于统一的动态计量框架之下。本章以连续时间线性动态系统刻画五类标准综合指数的联合演化：将标准之间的互补与替代关系凝结为5×5交互矩阵A，将四个外生驱动变量的传导强度凝结为5×4传导矩阵B，并将系统写成状态空间形式，借助卡尔曼滤波（Kalman，1960）构造预测误差分解似然函数，以极大似然法完成估计。这一框架同时实现四项功能：识别标准间交互的方向与强度、量化三重驱动力的传导结构、分解驱动力的时变贡献，并为2026—2035年的前瞻模拟提供参数基础。本章余下部分安排如下：5.1节阐述建模思路，给出连续时间模型设定与离散化；5.2节推导状态空间表示与卡尔曼滤波的预测—更新递推公式，构造极大似然函数并讨论参数可识别性；5.3节说明状态变量与驱动变量的度量及数据来源；5.4节报告并解读A矩阵与B矩阵的估计结果；5.5节进行驱动力时变贡献分解；5.6节开展多情景模拟；5.7节总结全章并说明估计结果向后续章节的传递。</w:t>
      </w:r>
    </w:p>
    <w:p>
      <w:pPr>
        <w:keepNext/>
        <w:spacing w:before="160" w:after="120" w:line="360" w:lineRule="auto"/>
        <w:outlineLvl w:val="1"/>
      </w:pPr>
      <w:r>
        <w:rPr>
          <w:rFonts w:ascii="黑体" w:hAnsi="黑体" w:eastAsia="黑体"/>
          <w:sz w:val="28"/>
        </w:rPr>
        <w:t>5.1  建模思路与模型设定</w:t>
      </w:r>
    </w:p>
    <w:p>
      <w:pPr>
        <w:keepNext/>
        <w:spacing w:before="160" w:after="120" w:line="360" w:lineRule="auto"/>
        <w:outlineLvl w:val="2"/>
      </w:pPr>
      <w:r>
        <w:rPr>
          <w:rFonts w:ascii="黑体" w:hAnsi="黑体" w:eastAsia="黑体"/>
          <w:sz w:val="24"/>
        </w:rPr>
        <w:t>5.1.1  建模思路：从典型事实到动态系统</w:t>
      </w:r>
    </w:p>
    <w:p>
      <w:pPr>
        <w:spacing w:line="360" w:lineRule="auto" w:after="0"/>
        <w:ind w:firstLineChars="200" w:firstLine="480"/>
        <w:jc w:val="both"/>
      </w:pPr>
      <w:r>
        <w:rPr>
          <w:rFonts w:ascii="宋体" w:hAnsi="宋体" w:eastAsia="宋体"/>
          <w:sz w:val="24"/>
        </w:rPr>
        <w:t>为标准体系动态演化建模，首先需要明确模型必须容纳的三个典型事实特征。其一，多维状态的联合演化。五类标准指数的轨迹高度相关而不同步：碳排放核算类稳步爬升，碳足迹认证与绿色金融类在2020年后陡然加速，碳吸收类长期滞后。若逐类孤立建模，将丢失标准之间结构关系所承载的关键信息——标准化经济学的经典研究早已指出，兼容性与网络外部性使标准之间的相互作用成为理解标准演化的中心环节（Katz和Shapiro，1985；Farrell和Saloner，1985）：一项基础性标准的确立会降低下游标准的制定成本、扩大其应用网络，从而形成互补；而功能相近的标准则会在采纳者有限的注意力与合规资源上形成竞争，表现为替代。其二，外生驱动的持续注入。第3、4章的证据表明，标准体系的每一次加速都对应着政策、技术或市场层面可辨识的冲击：“双碳”目标宣示、全国碳市场启动、欧盟碳边境调节机制立法、绿色专利爆发式增长，无一不在标准供给曲线上留下印记，模型必须允许这些外生变量以不同强度作用于不同标准类别。其三，观测的不完全性。综合指数由人工编码合成，编码分级的离散性、编码员判断的主观性与存量加权的近似性都会引入测度误差，直接以观测值充当真实状态进行回归，将导致参数估计偏误。</w:t>
      </w:r>
    </w:p>
    <w:p>
      <w:pPr>
        <w:spacing w:line="360" w:lineRule="auto" w:after="0"/>
        <w:ind w:firstLineChars="200" w:firstLine="480"/>
        <w:jc w:val="both"/>
      </w:pPr>
      <w:r>
        <w:rPr>
          <w:rFonts w:ascii="宋体" w:hAnsi="宋体" w:eastAsia="宋体"/>
          <w:sz w:val="24"/>
        </w:rPr>
        <w:t>状态空间模型正是同时满足上述三项要求的分析工具：状态方程刻画不可完全观测的系统状态的一阶马尔可夫演化，量测方程连接真实状态与含噪观测，卡尔曼滤波则在每一期以贝叶斯方式融合模型预测与新到观测，给出状态的最优线性估计，并顺带产生构造似然函数所需的预测误差序列（Kalman，1960）。相较于直接对观测指数建立向量自回归，状态空间框架的优势在于：一是显式分离制度状态的真实动态与编码测度噪声，缓解变量误差问题；二是连续时间设定使参数具有明确的瞬时交互含义，且便于在任意时间步长上离散化与外推模拟；三是滤波递推天然适配本章时序较长而截面维度有限的数据结构。从文献看，既有标准体系演化研究以历史归纳、案例比较与政策文本分析为主（Zhu等，2022；舒辉和唐飞，2023；Zhao等，2024），标准化经济学的定量传统则集中于标准对创新、贸易与生产率的效应评估（Blind，2004；Swann，2010），将标准间交互与多重驱动纳入统一可估计动态系统的研究仍属鲜见，本章的工作可视为在这一方向上的方法论尝试。</w:t>
      </w:r>
    </w:p>
    <w:p>
      <w:pPr>
        <w:spacing w:line="360" w:lineRule="auto" w:after="0"/>
        <w:ind w:firstLineChars="200" w:firstLine="480"/>
        <w:jc w:val="both"/>
      </w:pPr>
      <w:r>
        <w:rPr>
          <w:rFonts w:ascii="宋体" w:hAnsi="宋体" w:eastAsia="宋体"/>
          <w:sz w:val="24"/>
        </w:rPr>
        <w:t>图5.1概括了本章从建模、估计到应用的完整链条。由图5.1可见，分析由四个环节构成：第一个环节是模型设定，以连续时间动态系统刻画五维状态向量</w:t>
      </w:r>
      <m:oMath>
        <m:sSub>
          <m:e>
            <m:r>
              <m:t>S</m:t>
            </m:r>
          </m:e>
          <m:sub>
            <m:r>
              <m:t>t</m:t>
            </m:r>
          </m:sub>
        </m:sSub>
      </m:oMath>
      <w:r>
        <w:rPr>
          <w:rFonts w:ascii="宋体" w:hAnsi="宋体" w:eastAsia="宋体"/>
          <w:sz w:val="24"/>
        </w:rPr>
        <w:t>在交互矩阵A、传导矩阵B与随机扰动共同作用下的演化，并经离散化得到可估计的转移方程；第二个环节是状态空间表示与估计，将第4章编码得到的五类指数作为含噪观测写入量测方程，经卡尔曼滤波的预测—更新递推构造似然函数，以极大似然法估计全部参数；第三个环节是结构解读，从A矩阵中识别标准间互补与替代关系，从B矩阵中识别驱动力的传导结构，并进行时变贡献分解；第四个环节是前瞻应用，在不同驱动路径假设下迭代转移方程，模拟2026—2035年标准体系的演化情景。四个环节层层递进：前两个环节保证估计的统计严谨性，后两个环节将统计结果转译为机理认识与政策含义。</w:t>
      </w:r>
    </w:p>
    <w:p>
      <w:pPr>
        <w:spacing w:before="120" w:after="40"/>
        <w:jc w:val="center"/>
      </w:pPr>
      <w:r>
        <w:drawing>
          <wp:inline xmlns:a="http://schemas.openxmlformats.org/drawingml/2006/main" xmlns:pic="http://schemas.openxmlformats.org/drawingml/2006/picture">
            <wp:extent cx="4680000" cy="1730175"/>
            <wp:docPr id="14" name="Picture 14"/>
            <wp:cNvGraphicFramePr>
              <a:graphicFrameLocks noChangeAspect="1"/>
            </wp:cNvGraphicFramePr>
            <a:graphic>
              <a:graphicData uri="http://schemas.openxmlformats.org/drawingml/2006/picture">
                <pic:pic>
                  <pic:nvPicPr>
                    <pic:cNvPr id="0" name="fig5_1.png"/>
                    <pic:cNvPicPr/>
                  </pic:nvPicPr>
                  <pic:blipFill>
                    <a:blip r:embed="rId22"/>
                    <a:stretch>
                      <a:fillRect/>
                    </a:stretch>
                  </pic:blipFill>
                  <pic:spPr>
                    <a:xfrm>
                      <a:off x="0" y="0"/>
                      <a:ext cx="4680000" cy="1730175"/>
                    </a:xfrm>
                    <a:prstGeom prst="rect"/>
                  </pic:spPr>
                </pic:pic>
              </a:graphicData>
            </a:graphic>
          </wp:inline>
        </w:drawing>
      </w:r>
    </w:p>
    <w:p>
      <w:pPr>
        <w:keepNext w:val="0"/>
        <w:spacing w:after="200"/>
        <w:jc w:val="center"/>
      </w:pPr>
      <w:r>
        <w:rPr>
          <w:rFonts w:ascii="黑体" w:hAnsi="黑体" w:eastAsia="黑体"/>
          <w:sz w:val="21"/>
        </w:rPr>
        <w:t>图5.1  状态空间模型的分析逻辑</w:t>
      </w:r>
    </w:p>
    <w:p>
      <w:pPr>
        <w:keepNext/>
        <w:spacing w:before="160" w:after="120" w:line="360" w:lineRule="auto"/>
        <w:outlineLvl w:val="2"/>
      </w:pPr>
      <w:r>
        <w:rPr>
          <w:rFonts w:ascii="黑体" w:hAnsi="黑体" w:eastAsia="黑体"/>
          <w:sz w:val="24"/>
        </w:rPr>
        <w:t>5.1.2  连续时间动态系统的设定</w:t>
      </w:r>
    </w:p>
    <w:p>
      <w:pPr>
        <w:spacing w:line="360" w:lineRule="auto" w:after="0"/>
        <w:ind w:firstLineChars="200" w:firstLine="480"/>
        <w:jc w:val="both"/>
      </w:pPr>
      <w:r>
        <w:rPr>
          <w:rFonts w:ascii="宋体" w:hAnsi="宋体" w:eastAsia="宋体"/>
          <w:sz w:val="24"/>
        </w:rPr>
        <w:t>基于上述思路，将五类标准的综合指数堆叠为状态向量</w:t>
      </w:r>
      <m:oMath>
        <m:sSub>
          <m:e>
            <m:r>
              <m:t>S</m:t>
            </m:r>
          </m:e>
          <m:sub>
            <m:r>
              <m:t>t</m:t>
            </m:r>
          </m:sub>
        </m:sSub>
        <m:r>
          <m:rPr>
            <m:sty m:val="p"/>
          </m:rPr>
          <m:t>=</m:t>
        </m:r>
        <m:sSup>
          <m:e>
            <m:d>
              <m:dPr>
                <m:begChr m:val="("/>
                <m:sepChr m:val=""/>
                <m:endChr m:val=")"/>
                <m:grow/>
              </m:dPr>
              <m:e>
                <m:sSub>
                  <m:e>
                    <m:r>
                      <m:t>S</m:t>
                    </m:r>
                  </m:e>
                  <m:sub>
                    <m:r>
                      <m:t>1</m:t>
                    </m:r>
                    <m:r>
                      <m:t>t</m:t>
                    </m:r>
                  </m:sub>
                </m:sSub>
                <m:r>
                  <m:rPr>
                    <m:sty m:val="p"/>
                  </m:rPr>
                  <m:t>,</m:t>
                </m:r>
                <m:r>
                  <m:rPr>
                    <m:sty m:val="p"/>
                  </m:rPr>
                  <m:t>…</m:t>
                </m:r>
                <m:r>
                  <m:rPr>
                    <m:sty m:val="p"/>
                  </m:rPr>
                  <m:t>,</m:t>
                </m:r>
                <m:sSub>
                  <m:e>
                    <m:r>
                      <m:t>S</m:t>
                    </m:r>
                  </m:e>
                  <m:sub>
                    <m:r>
                      <m:t>5</m:t>
                    </m:r>
                    <m:r>
                      <m:t>t</m:t>
                    </m:r>
                  </m:sub>
                </m:sSub>
              </m:e>
            </m:d>
          </m:e>
          <m:sup>
            <m:r>
              <m:rPr>
                <m:sty m:val="p"/>
              </m:rPr>
              <m:t>⊤</m:t>
            </m:r>
          </m:sup>
        </m:sSup>
      </m:oMath>
      <w:r>
        <w:rPr>
          <w:rFonts w:ascii="宋体" w:hAnsi="宋体" w:eastAsia="宋体"/>
          <w:sz w:val="24"/>
        </w:rPr>
        <w:t>，下标1至5依次对应碳排放核算、碳足迹认证、绿色产品、碳吸收与绿色金融五大功能模块；将四个驱动变量堆叠为驱动向量</w:t>
      </w:r>
      <m:oMath>
        <m:sSub>
          <m:e>
            <m:r>
              <m:t>u</m:t>
            </m:r>
          </m:e>
          <m:sub>
            <m:r>
              <m:t>t</m:t>
            </m:r>
          </m:sub>
        </m:sSub>
        <m:r>
          <m:rPr>
            <m:sty m:val="p"/>
          </m:rPr>
          <m:t>=</m:t>
        </m:r>
        <m:sSup>
          <m:e>
            <m:d>
              <m:dPr>
                <m:begChr m:val="("/>
                <m:sepChr m:val=""/>
                <m:endChr m:val=")"/>
                <m:grow/>
              </m:dPr>
              <m:e>
                <m:sSubSup>
                  <m:e>
                    <m:r>
                      <m:t>u</m:t>
                    </m:r>
                  </m:e>
                  <m:sub>
                    <m:r>
                      <m:t>t</m:t>
                    </m:r>
                  </m:sub>
                  <m:sup>
                    <m:r>
                      <m:t>E</m:t>
                    </m:r>
                    <m:r>
                      <m:t>T</m:t>
                    </m:r>
                    <m:r>
                      <m:t>S</m:t>
                    </m:r>
                  </m:sup>
                </m:sSubSup>
                <m:r>
                  <m:rPr>
                    <m:sty m:val="p"/>
                  </m:rPr>
                  <m:t>,</m:t>
                </m:r>
                <m:sSubSup>
                  <m:e>
                    <m:r>
                      <m:t>u</m:t>
                    </m:r>
                  </m:e>
                  <m:sub>
                    <m:r>
                      <m:t>t</m:t>
                    </m:r>
                  </m:sub>
                  <m:sup>
                    <m:r>
                      <m:t>D</m:t>
                    </m:r>
                    <m:r>
                      <m:t>C</m:t>
                    </m:r>
                  </m:sup>
                </m:sSubSup>
                <m:r>
                  <m:rPr>
                    <m:sty m:val="p"/>
                  </m:rPr>
                  <m:t>,</m:t>
                </m:r>
                <m:sSubSup>
                  <m:e>
                    <m:r>
                      <m:t>u</m:t>
                    </m:r>
                  </m:e>
                  <m:sub>
                    <m:r>
                      <m:t>t</m:t>
                    </m:r>
                  </m:sub>
                  <m:sup>
                    <m:r>
                      <m:t>C</m:t>
                    </m:r>
                    <m:r>
                      <m:t>B</m:t>
                    </m:r>
                    <m:r>
                      <m:t>A</m:t>
                    </m:r>
                    <m:r>
                      <m:t>M</m:t>
                    </m:r>
                  </m:sup>
                </m:sSubSup>
                <m:r>
                  <m:rPr>
                    <m:sty m:val="p"/>
                  </m:rPr>
                  <m:t>,</m:t>
                </m:r>
                <m:sSubSup>
                  <m:e>
                    <m:r>
                      <m:t>u</m:t>
                    </m:r>
                  </m:e>
                  <m:sub>
                    <m:r>
                      <m:t>t</m:t>
                    </m:r>
                  </m:sub>
                  <m:sup>
                    <m:r>
                      <m:t>T</m:t>
                    </m:r>
                    <m:r>
                      <m:t>e</m:t>
                    </m:r>
                    <m:r>
                      <m:t>c</m:t>
                    </m:r>
                    <m:r>
                      <m:t>h</m:t>
                    </m:r>
                  </m:sup>
                </m:sSubSup>
              </m:e>
            </m:d>
          </m:e>
          <m:sup>
            <m:r>
              <m:rPr>
                <m:sty m:val="p"/>
              </m:rPr>
              <m:t>⊤</m:t>
            </m:r>
          </m:sup>
        </m:sSup>
      </m:oMath>
      <w:r>
        <w:rPr>
          <w:rFonts w:ascii="宋体" w:hAnsi="宋体" w:eastAsia="宋体"/>
          <w:sz w:val="24"/>
        </w:rPr>
        <w:t>，依次刻画碳市场价格信号、“双碳”政策强度、欧盟碳边境调节机制规制强度与绿色技术水平。标准体系状态的瞬时变化率由如下连续时间线性动态系统刻画：</w:t>
      </w:r>
    </w:p>
    <w:p>
      <w:pPr>
        <w:tabs>
          <w:tab w:pos="4252" w:val="center"/>
          <w:tab w:pos="8504" w:val="right"/>
        </w:tabs>
        <w:spacing w:line="360" w:lineRule="auto" w:before="80" w:after="80"/>
      </w:pPr>
      <w:r>
        <w:tab/>
      </w:r>
      <m:oMath>
        <m:f>
          <m:fPr>
            <m:type m:val="bar"/>
          </m:fPr>
          <m:num>
            <m:r>
              <m:rPr>
                <m:sty m:val="p"/>
              </m:rPr>
              <m:t>d</m:t>
            </m:r>
            <m:sSub>
              <m:e>
                <m:r>
                  <m:t>S</m:t>
                </m:r>
              </m:e>
              <m:sub>
                <m:r>
                  <m:t>t</m:t>
                </m:r>
              </m:sub>
            </m:sSub>
          </m:num>
          <m:den>
            <m:r>
              <m:rPr>
                <m:sty m:val="p"/>
              </m:rPr>
              <m:t>d</m:t>
            </m:r>
            <m:r>
              <m:t>t</m:t>
            </m:r>
          </m:den>
        </m:f>
        <m:r>
          <m:rPr>
            <m:sty m:val="p"/>
          </m:rPr>
          <m:t>=</m:t>
        </m:r>
        <m:r>
          <m:t>A</m:t>
        </m:r>
        <m:r>
          <m:t> </m:t>
        </m:r>
        <m:sSub>
          <m:e>
            <m:r>
              <m:t>S</m:t>
            </m:r>
          </m:e>
          <m:sub>
            <m:r>
              <m:t>t</m:t>
            </m:r>
          </m:sub>
        </m:sSub>
        <m:r>
          <m:rPr>
            <m:sty m:val="p"/>
          </m:rPr>
          <m:t>+</m:t>
        </m:r>
        <m:r>
          <m:t>B</m:t>
        </m:r>
        <m:r>
          <m:t> </m:t>
        </m:r>
        <m:sSub>
          <m:e>
            <m:r>
              <m:t>u</m:t>
            </m:r>
          </m:e>
          <m:sub>
            <m:r>
              <m:t>t</m:t>
            </m:r>
          </m:sub>
        </m:sSub>
        <m:r>
          <m:rPr>
            <m:sty m:val="p"/>
          </m:rPr>
          <m:t>+</m:t>
        </m:r>
        <m:sSub>
          <m:e>
            <m:r>
              <m:t>ε</m:t>
            </m:r>
          </m:e>
          <m:sub>
            <m:r>
              <m:t>t</m:t>
            </m:r>
          </m:sub>
        </m:sSub>
      </m:oMath>
      <w:r>
        <w:tab/>
      </w:r>
      <w:r>
        <w:rPr>
          <w:rFonts w:ascii="Times New Roman" w:hAnsi="Times New Roman" w:eastAsia="宋体"/>
          <w:sz w:val="24"/>
        </w:rPr>
        <w:t>(5-1)</w:t>
      </w:r>
    </w:p>
    <w:p>
      <w:pPr>
        <w:spacing w:line="360" w:lineRule="auto" w:after="0"/>
        <w:jc w:val="both"/>
      </w:pPr>
      <w:r>
        <w:rPr>
          <w:rFonts w:ascii="宋体" w:hAnsi="宋体" w:eastAsia="宋体"/>
          <w:sz w:val="24"/>
        </w:rPr>
        <w:t>其中，</w:t>
      </w:r>
      <m:oMath>
        <m:r>
          <m:t>A</m:t>
        </m:r>
        <m:r>
          <m:rPr>
            <m:sty m:val="p"/>
          </m:rPr>
          <m:t>=</m:t>
        </m:r>
        <m:sSub>
          <m:e>
            <m:d>
              <m:dPr>
                <m:begChr m:val="("/>
                <m:sepChr m:val=""/>
                <m:endChr m:val=")"/>
                <m:grow/>
              </m:dPr>
              <m:e>
                <m:sSub>
                  <m:e>
                    <m:r>
                      <m:t>a</m:t>
                    </m:r>
                  </m:e>
                  <m:sub>
                    <m:r>
                      <m:t>i</m:t>
                    </m:r>
                    <m:r>
                      <m:t>j</m:t>
                    </m:r>
                  </m:sub>
                </m:sSub>
              </m:e>
            </m:d>
          </m:e>
          <m:sub>
            <m:r>
              <m:t>5</m:t>
            </m:r>
            <m:r>
              <m:rPr>
                <m:sty m:val="p"/>
              </m:rPr>
              <m:t>×</m:t>
            </m:r>
            <m:r>
              <m:t>5</m:t>
            </m:r>
          </m:sub>
        </m:sSub>
      </m:oMath>
      <w:r>
        <w:rPr>
          <w:rFonts w:ascii="宋体" w:hAnsi="宋体" w:eastAsia="宋体"/>
          <w:sz w:val="24"/>
        </w:rPr>
        <w:t>为标准间交互矩阵，</w:t>
      </w:r>
      <m:oMath>
        <m:r>
          <m:t>B</m:t>
        </m:r>
        <m:r>
          <m:rPr>
            <m:sty m:val="p"/>
          </m:rPr>
          <m:t>=</m:t>
        </m:r>
        <m:sSub>
          <m:e>
            <m:d>
              <m:dPr>
                <m:begChr m:val="("/>
                <m:sepChr m:val=""/>
                <m:endChr m:val=")"/>
                <m:grow/>
              </m:dPr>
              <m:e>
                <m:sSub>
                  <m:e>
                    <m:r>
                      <m:t>b</m:t>
                    </m:r>
                  </m:e>
                  <m:sub>
                    <m:r>
                      <m:t>i</m:t>
                    </m:r>
                    <m:r>
                      <m:t>k</m:t>
                    </m:r>
                  </m:sub>
                </m:sSub>
              </m:e>
            </m:d>
          </m:e>
          <m:sub>
            <m:r>
              <m:t>5</m:t>
            </m:r>
            <m:r>
              <m:rPr>
                <m:sty m:val="p"/>
              </m:rPr>
              <m:t>×</m:t>
            </m:r>
            <m:r>
              <m:t>4</m:t>
            </m:r>
          </m:sub>
        </m:sSub>
      </m:oMath>
      <w:r>
        <w:rPr>
          <w:rFonts w:ascii="宋体" w:hAnsi="宋体" w:eastAsia="宋体"/>
          <w:sz w:val="24"/>
        </w:rPr>
        <w:t>为驱动传导矩阵，</w:t>
      </w:r>
      <m:oMath>
        <m:sSub>
          <m:e>
            <m:r>
              <m:t>ε</m:t>
            </m:r>
          </m:e>
          <m:sub>
            <m:r>
              <m:t>t</m:t>
            </m:r>
          </m:sub>
        </m:sSub>
      </m:oMath>
      <w:r>
        <w:rPr>
          <w:rFonts w:ascii="宋体" w:hAnsi="宋体" w:eastAsia="宋体"/>
          <w:sz w:val="24"/>
        </w:rPr>
        <w:t>为均值为零、协方差矩阵为</w:t>
      </w:r>
      <m:oMath>
        <m:r>
          <m:t>Σ</m:t>
        </m:r>
      </m:oMath>
      <w:r>
        <w:rPr>
          <w:rFonts w:ascii="宋体" w:hAnsi="宋体" w:eastAsia="宋体"/>
          <w:sz w:val="24"/>
        </w:rPr>
        <w:t>的随机扰动向量，捕捉未被系统刻画的突发政策事件、国际规则变动与残余波动。</w:t>
      </w:r>
    </w:p>
    <w:p>
      <w:pPr>
        <w:spacing w:line="360" w:lineRule="auto" w:after="0"/>
        <w:ind w:firstLineChars="200" w:firstLine="480"/>
        <w:jc w:val="both"/>
      </w:pPr>
      <w:r>
        <w:rPr>
          <w:rFonts w:ascii="宋体" w:hAnsi="宋体" w:eastAsia="宋体"/>
          <w:sz w:val="24"/>
        </w:rPr>
        <w:t>矩阵A承载着本章最核心的结构信息，其元素的经济含义分为两类。对角元</w:t>
      </w:r>
      <m:oMath>
        <m:sSub>
          <m:e>
            <m:r>
              <m:t>a</m:t>
            </m:r>
          </m:e>
          <m:sub>
            <m:r>
              <m:t>i</m:t>
            </m:r>
            <m:r>
              <m:t>i</m:t>
            </m:r>
          </m:sub>
        </m:sSub>
      </m:oMath>
      <w:r>
        <w:rPr>
          <w:rFonts w:ascii="宋体" w:hAnsi="宋体" w:eastAsia="宋体"/>
          <w:sz w:val="24"/>
        </w:rPr>
        <w:t>刻画第</w:t>
      </w:r>
      <m:oMath>
        <m:r>
          <m:t>i</m:t>
        </m:r>
      </m:oMath>
      <w:r>
        <w:rPr>
          <w:rFonts w:ascii="宋体" w:hAnsi="宋体" w:eastAsia="宋体"/>
          <w:sz w:val="24"/>
        </w:rPr>
        <w:t>类标准的自反馈强度：若</w:t>
      </w:r>
      <m:oMath>
        <m:sSub>
          <m:e>
            <m:r>
              <m:t>a</m:t>
            </m:r>
          </m:e>
          <m:sub>
            <m:r>
              <m:t>i</m:t>
            </m:r>
            <m:r>
              <m:t>i</m:t>
            </m:r>
          </m:sub>
        </m:sSub>
        <m:r>
          <m:rPr>
            <m:sty m:val="p"/>
          </m:rPr>
          <m:t>&lt;</m:t>
        </m:r>
        <m:r>
          <m:t>0</m:t>
        </m:r>
      </m:oMath>
      <w:r>
        <w:rPr>
          <w:rFonts w:ascii="宋体" w:hAnsi="宋体" w:eastAsia="宋体"/>
          <w:sz w:val="24"/>
        </w:rPr>
        <w:t>，该类标准呈现均值回复式的自稳定动态——指数越接近其条件均衡水平，边际提升越慢，对应标准供给中“易补的缺口先补、难啃的骨头后啃”的边际成本递增规律，也反映标准存量扩大后修订维护负担上升对新增供给的挤占；</w:t>
      </w:r>
      <m:oMath>
        <m:d>
          <m:dPr>
            <m:begChr m:val="|"/>
            <m:sepChr m:val=""/>
            <m:endChr m:val="|"/>
            <m:grow/>
          </m:dPr>
          <m:e>
            <m:sSub>
              <m:e>
                <m:r>
                  <m:t>a</m:t>
                </m:r>
              </m:e>
              <m:sub>
                <m:r>
                  <m:t>i</m:t>
                </m:r>
                <m:r>
                  <m:t>i</m:t>
                </m:r>
              </m:sub>
            </m:sSub>
          </m:e>
        </m:d>
      </m:oMath>
      <w:r>
        <w:rPr>
          <w:rFonts w:ascii="宋体" w:hAnsi="宋体" w:eastAsia="宋体"/>
          <w:sz w:val="24"/>
        </w:rPr>
        <w:t>越大，该类标准向自身均衡收敛的速度越快。非对角元</w:t>
      </w:r>
      <m:oMath>
        <m:sSub>
          <m:e>
            <m:r>
              <m:t>a</m:t>
            </m:r>
          </m:e>
          <m:sub>
            <m:r>
              <m:t>i</m:t>
            </m:r>
            <m:r>
              <m:t>j</m:t>
            </m:r>
          </m:sub>
        </m:sSub>
      </m:oMath>
      <w:r>
        <w:rPr>
          <w:rFonts w:ascii="宋体" w:hAnsi="宋体" w:eastAsia="宋体"/>
          <w:sz w:val="24"/>
        </w:rPr>
        <w:t>（</w:t>
      </w:r>
      <m:oMath>
        <m:r>
          <m:t>i</m:t>
        </m:r>
        <m:r>
          <m:rPr>
            <m:sty m:val="p"/>
          </m:rPr>
          <m:t>≠</m:t>
        </m:r>
        <m:r>
          <m:t>j</m:t>
        </m:r>
      </m:oMath>
      <w:r>
        <w:rPr>
          <w:rFonts w:ascii="宋体" w:hAnsi="宋体" w:eastAsia="宋体"/>
          <w:sz w:val="24"/>
        </w:rPr>
        <w:t>）刻画第</w:t>
      </w:r>
      <m:oMath>
        <m:r>
          <m:t>j</m:t>
        </m:r>
      </m:oMath>
      <w:r>
        <w:rPr>
          <w:rFonts w:ascii="宋体" w:hAnsi="宋体" w:eastAsia="宋体"/>
          <w:sz w:val="24"/>
        </w:rPr>
        <w:t>类标准状态对第</w:t>
      </w:r>
      <m:oMath>
        <m:r>
          <m:t>i</m:t>
        </m:r>
      </m:oMath>
      <w:r>
        <w:rPr>
          <w:rFonts w:ascii="宋体" w:hAnsi="宋体" w:eastAsia="宋体"/>
          <w:sz w:val="24"/>
        </w:rPr>
        <w:t>类标准变化率的影响：</w:t>
      </w:r>
      <m:oMath>
        <m:sSub>
          <m:e>
            <m:r>
              <m:t>a</m:t>
            </m:r>
          </m:e>
          <m:sub>
            <m:r>
              <m:t>i</m:t>
            </m:r>
            <m:r>
              <m:t>j</m:t>
            </m:r>
          </m:sub>
        </m:sSub>
        <m:r>
          <m:rPr>
            <m:sty m:val="p"/>
          </m:rPr>
          <m:t>&gt;</m:t>
        </m:r>
        <m:r>
          <m:t>0</m:t>
        </m:r>
      </m:oMath>
      <w:r>
        <w:rPr>
          <w:rFonts w:ascii="宋体" w:hAnsi="宋体" w:eastAsia="宋体"/>
          <w:sz w:val="24"/>
        </w:rPr>
        <w:t>意味着互补关系——第</w:t>
      </w:r>
      <m:oMath>
        <m:r>
          <m:t>j</m:t>
        </m:r>
      </m:oMath>
      <w:r>
        <w:rPr>
          <w:rFonts w:ascii="宋体" w:hAnsi="宋体" w:eastAsia="宋体"/>
          <w:sz w:val="24"/>
        </w:rPr>
        <w:t>类标准的完善通过方法学共享、数据基础复用与合规网络扩张，降低第</w:t>
      </w:r>
      <m:oMath>
        <m:r>
          <m:t>i</m:t>
        </m:r>
      </m:oMath>
      <w:r>
        <w:rPr>
          <w:rFonts w:ascii="宋体" w:hAnsi="宋体" w:eastAsia="宋体"/>
          <w:sz w:val="24"/>
        </w:rPr>
        <w:t>类标准的制定与实施成本，典型如碳核算方法为碳足迹认证提供计量底座（Tassey，2000）；</w:t>
      </w:r>
      <m:oMath>
        <m:sSub>
          <m:e>
            <m:r>
              <m:t>a</m:t>
            </m:r>
          </m:e>
          <m:sub>
            <m:r>
              <m:t>i</m:t>
            </m:r>
            <m:r>
              <m:t>j</m:t>
            </m:r>
          </m:sub>
        </m:sSub>
        <m:r>
          <m:rPr>
            <m:sty m:val="p"/>
          </m:rPr>
          <m:t>&lt;</m:t>
        </m:r>
        <m:r>
          <m:t>0</m:t>
        </m:r>
      </m:oMath>
      <w:r>
        <w:rPr>
          <w:rFonts w:ascii="宋体" w:hAnsi="宋体" w:eastAsia="宋体"/>
          <w:sz w:val="24"/>
        </w:rPr>
        <w:t>则意味着替代关系——两类标准在规制对象、认证市场或企业合规资源上相互竞争。A的非对称性（</w:t>
      </w:r>
      <m:oMath>
        <m:sSub>
          <m:e>
            <m:r>
              <m:t>a</m:t>
            </m:r>
          </m:e>
          <m:sub>
            <m:r>
              <m:t>i</m:t>
            </m:r>
            <m:r>
              <m:t>j</m:t>
            </m:r>
          </m:sub>
        </m:sSub>
        <m:r>
          <m:rPr>
            <m:sty m:val="p"/>
          </m:rPr>
          <m:t>≠</m:t>
        </m:r>
        <m:sSub>
          <m:e>
            <m:r>
              <m:t>a</m:t>
            </m:r>
          </m:e>
          <m:sub>
            <m:r>
              <m:t>j</m:t>
            </m:r>
            <m:r>
              <m:t>i</m:t>
            </m:r>
          </m:sub>
        </m:sSub>
      </m:oMath>
      <w:r>
        <w:rPr>
          <w:rFonts w:ascii="宋体" w:hAnsi="宋体" w:eastAsia="宋体"/>
          <w:sz w:val="24"/>
        </w:rPr>
        <w:t>）尤为重要，它刻画标准体系内部的“上游—下游”结构：若</w:t>
      </w:r>
      <m:oMath>
        <m:sSub>
          <m:e>
            <m:r>
              <m:t>a</m:t>
            </m:r>
          </m:e>
          <m:sub>
            <m:r>
              <m:t>i</m:t>
            </m:r>
            <m:r>
              <m:t>j</m:t>
            </m:r>
          </m:sub>
        </m:sSub>
      </m:oMath>
      <w:r>
        <w:rPr>
          <w:rFonts w:ascii="宋体" w:hAnsi="宋体" w:eastAsia="宋体"/>
          <w:sz w:val="24"/>
        </w:rPr>
        <w:t>显著为正而</w:t>
      </w:r>
      <m:oMath>
        <m:sSub>
          <m:e>
            <m:r>
              <m:t>a</m:t>
            </m:r>
          </m:e>
          <m:sub>
            <m:r>
              <m:t>j</m:t>
            </m:r>
            <m:r>
              <m:t>i</m:t>
            </m:r>
          </m:sub>
        </m:sSub>
      </m:oMath>
      <w:r>
        <w:rPr>
          <w:rFonts w:ascii="宋体" w:hAnsi="宋体" w:eastAsia="宋体"/>
          <w:sz w:val="24"/>
        </w:rPr>
        <w:t>微弱，则第</w:t>
      </w:r>
      <m:oMath>
        <m:r>
          <m:t>j</m:t>
        </m:r>
      </m:oMath>
      <w:r>
        <w:rPr>
          <w:rFonts w:ascii="宋体" w:hAnsi="宋体" w:eastAsia="宋体"/>
          <w:sz w:val="24"/>
        </w:rPr>
        <w:t>类标准处于体系上游，是演化的发动机而非跟随者。</w:t>
      </w:r>
    </w:p>
    <w:p>
      <w:pPr>
        <w:spacing w:line="360" w:lineRule="auto" w:after="0"/>
        <w:ind w:firstLineChars="200" w:firstLine="480"/>
        <w:jc w:val="both"/>
      </w:pPr>
      <w:r>
        <w:rPr>
          <w:rFonts w:ascii="宋体" w:hAnsi="宋体" w:eastAsia="宋体"/>
          <w:sz w:val="24"/>
        </w:rPr>
        <w:t>矩阵B刻画三重驱动力向五类标准的差异化传导，元素</w:t>
      </w:r>
      <m:oMath>
        <m:sSub>
          <m:e>
            <m:r>
              <m:t>b</m:t>
            </m:r>
          </m:e>
          <m:sub>
            <m:r>
              <m:t>i</m:t>
            </m:r>
            <m:r>
              <m:t>k</m:t>
            </m:r>
          </m:sub>
        </m:sSub>
      </m:oMath>
      <w:r>
        <w:rPr>
          <w:rFonts w:ascii="宋体" w:hAnsi="宋体" w:eastAsia="宋体"/>
          <w:sz w:val="24"/>
        </w:rPr>
        <w:t>度量第</w:t>
      </w:r>
      <m:oMath>
        <m:r>
          <m:t>k</m:t>
        </m:r>
      </m:oMath>
      <w:r>
        <w:rPr>
          <w:rFonts w:ascii="宋体" w:hAnsi="宋体" w:eastAsia="宋体"/>
          <w:sz w:val="24"/>
        </w:rPr>
        <w:t>个驱动变量一单位变化对第</w:t>
      </w:r>
      <m:oMath>
        <m:r>
          <m:t>i</m:t>
        </m:r>
      </m:oMath>
      <w:r>
        <w:rPr>
          <w:rFonts w:ascii="宋体" w:hAnsi="宋体" w:eastAsia="宋体"/>
          <w:sz w:val="24"/>
        </w:rPr>
        <w:t>类标准瞬时变化率的边际贡献。四个驱动变量与三重驱动力的对应关系为：“双碳”政策强度对应政策推力，绿色技术水平对应技术拉力，碳价信号与碳边境调节机制规制强度分别对应市场调节力的国内价格分支与国际规制分支。为便于逐一解读，将式(5-1)按行展开：</w:t>
      </w:r>
    </w:p>
    <w:p>
      <w:pPr>
        <w:tabs>
          <w:tab w:pos="4252" w:val="center"/>
          <w:tab w:pos="8504" w:val="right"/>
        </w:tabs>
        <w:spacing w:line="360" w:lineRule="auto" w:before="80" w:after="80"/>
      </w:pPr>
      <w:r>
        <w:tab/>
      </w:r>
      <m:oMath>
        <m:f>
          <m:fPr>
            <m:type m:val="bar"/>
          </m:fPr>
          <m:num>
            <m:r>
              <m:rPr>
                <m:sty m:val="p"/>
              </m:rPr>
              <m:t>d</m:t>
            </m:r>
            <m:sSub>
              <m:e>
                <m:r>
                  <m:t>S</m:t>
                </m:r>
              </m:e>
              <m:sub>
                <m:r>
                  <m:t>i</m:t>
                </m:r>
                <m:r>
                  <m:t>t</m:t>
                </m:r>
              </m:sub>
            </m:sSub>
          </m:num>
          <m:den>
            <m:r>
              <m:rPr>
                <m:sty m:val="p"/>
              </m:rPr>
              <m:t>d</m:t>
            </m:r>
            <m:r>
              <m:t>t</m:t>
            </m:r>
          </m:den>
        </m:f>
        <m:r>
          <m:rPr>
            <m:sty m:val="p"/>
          </m:rPr>
          <m:t>=</m:t>
        </m:r>
        <m:sSub>
          <m:e>
            <m:r>
              <m:t>a</m:t>
            </m:r>
          </m:e>
          <m:sub>
            <m:r>
              <m:t>i</m:t>
            </m:r>
            <m:r>
              <m:t>i</m:t>
            </m:r>
          </m:sub>
        </m:sSub>
        <m:sSub>
          <m:e>
            <m:r>
              <m:t>S</m:t>
            </m:r>
          </m:e>
          <m:sub>
            <m:r>
              <m:t>i</m:t>
            </m:r>
            <m:r>
              <m:t>t</m:t>
            </m:r>
          </m:sub>
        </m:sSub>
        <m:r>
          <m:rPr>
            <m:sty m:val="p"/>
          </m:rPr>
          <m:t>+</m:t>
        </m:r>
        <m:nary>
          <m:naryPr>
            <m:chr m:val="∑"/>
            <m:limLoc m:val="undOvr"/>
            <m:subHide m:val="off"/>
            <m:supHide m:val="on"/>
          </m:naryPr>
          <m:sub>
            <m:r>
              <m:t>j</m:t>
            </m:r>
            <m:r>
              <m:rPr>
                <m:sty m:val="p"/>
              </m:rPr>
              <m:t>≠</m:t>
            </m:r>
            <m:r>
              <m:t>i</m:t>
            </m:r>
          </m:sub>
          <m:sup>
            <m:r>
              <m:t>​</m:t>
            </m:r>
          </m:sup>
          <m:e>
            <m:sSub>
              <m:e>
                <m:r>
                  <m:t>a</m:t>
                </m:r>
              </m:e>
              <m:sub>
                <m:r>
                  <m:t>i</m:t>
                </m:r>
                <m:r>
                  <m:t>j</m:t>
                </m:r>
              </m:sub>
            </m:sSub>
          </m:e>
        </m:nary>
        <m:sSub>
          <m:e>
            <m:r>
              <m:t>S</m:t>
            </m:r>
          </m:e>
          <m:sub>
            <m:r>
              <m:t>j</m:t>
            </m:r>
            <m:r>
              <m:t>t</m:t>
            </m:r>
          </m:sub>
        </m:sSub>
        <m:r>
          <m:rPr>
            <m:sty m:val="p"/>
          </m:rPr>
          <m:t>+</m:t>
        </m:r>
        <m:nary>
          <m:naryPr>
            <m:chr m:val="∑"/>
            <m:limLoc m:val="undOvr"/>
            <m:subHide m:val="off"/>
            <m:supHide m:val="off"/>
          </m:naryPr>
          <m:sub>
            <m:r>
              <m:t>k</m:t>
            </m:r>
            <m:r>
              <m:rPr>
                <m:sty m:val="p"/>
              </m:rPr>
              <m:t>=</m:t>
            </m:r>
            <m:r>
              <m:t>1</m:t>
            </m:r>
          </m:sub>
          <m:sup>
            <m:r>
              <m:t>4</m:t>
            </m:r>
          </m:sup>
          <m:e>
            <m:sSub>
              <m:e>
                <m:r>
                  <m:t>b</m:t>
                </m:r>
              </m:e>
              <m:sub>
                <m:r>
                  <m:t>i</m:t>
                </m:r>
                <m:r>
                  <m:t>k</m:t>
                </m:r>
              </m:sub>
            </m:sSub>
          </m:e>
        </m:nary>
        <m:sSub>
          <m:e>
            <m:r>
              <m:t>u</m:t>
            </m:r>
          </m:e>
          <m:sub>
            <m:r>
              <m:t>k</m:t>
            </m:r>
            <m:r>
              <m:t>t</m:t>
            </m:r>
          </m:sub>
        </m:sSub>
        <m:r>
          <m:rPr>
            <m:sty m:val="p"/>
          </m:rPr>
          <m:t>+</m:t>
        </m:r>
        <m:sSub>
          <m:e>
            <m:r>
              <m:t>ε</m:t>
            </m:r>
          </m:e>
          <m:sub>
            <m:r>
              <m:t>i</m:t>
            </m:r>
            <m:r>
              <m:t>t</m:t>
            </m:r>
          </m:sub>
        </m:sSub>
        <m:r>
          <m:rPr>
            <m:sty m:val="p"/>
          </m:rPr>
          <m:t>,</m:t>
        </m:r>
        <m:r>
          <m:t>  </m:t>
        </m:r>
        <m:r>
          <m:t>i</m:t>
        </m:r>
        <m:r>
          <m:rPr>
            <m:sty m:val="p"/>
          </m:rPr>
          <m:t>=</m:t>
        </m:r>
        <m:r>
          <m:t>1</m:t>
        </m:r>
        <m:r>
          <m:rPr>
            <m:sty m:val="p"/>
          </m:rPr>
          <m:t>,</m:t>
        </m:r>
        <m:r>
          <m:rPr>
            <m:sty m:val="p"/>
          </m:rPr>
          <m:t>…</m:t>
        </m:r>
        <m:r>
          <m:rPr>
            <m:sty m:val="p"/>
          </m:rPr>
          <m:t>,</m:t>
        </m:r>
        <m:r>
          <m:t>5</m:t>
        </m:r>
      </m:oMath>
      <w:r>
        <w:tab/>
      </w:r>
      <w:r>
        <w:rPr>
          <w:rFonts w:ascii="Times New Roman" w:hAnsi="Times New Roman" w:eastAsia="宋体"/>
          <w:sz w:val="24"/>
        </w:rPr>
        <w:t>(5-2)</w:t>
      </w:r>
    </w:p>
    <w:p>
      <w:pPr>
        <w:spacing w:line="360" w:lineRule="auto" w:after="0"/>
        <w:jc w:val="both"/>
      </w:pPr>
      <w:r>
        <w:rPr>
          <w:rFonts w:ascii="宋体" w:hAnsi="宋体" w:eastAsia="宋体"/>
          <w:sz w:val="24"/>
        </w:rPr>
        <w:t>其中，</w:t>
      </w:r>
      <m:oMath>
        <m:sSub>
          <m:e>
            <m:r>
              <m:t>a</m:t>
            </m:r>
          </m:e>
          <m:sub>
            <m:r>
              <m:t>i</m:t>
            </m:r>
            <m:r>
              <m:t>i</m:t>
            </m:r>
          </m:sub>
        </m:sSub>
        <m:sSub>
          <m:e>
            <m:r>
              <m:t>S</m:t>
            </m:r>
          </m:e>
          <m:sub>
            <m:r>
              <m:t>i</m:t>
            </m:r>
            <m:r>
              <m:t>t</m:t>
            </m:r>
          </m:sub>
        </m:sSub>
      </m:oMath>
      <w:r>
        <w:rPr>
          <w:rFonts w:ascii="宋体" w:hAnsi="宋体" w:eastAsia="宋体"/>
          <w:sz w:val="24"/>
        </w:rPr>
        <w:t>为自反馈项，</w:t>
      </w:r>
      <m:oMath>
        <m:nary>
          <m:naryPr>
            <m:chr m:val="∑"/>
            <m:limLoc m:val="undOvr"/>
            <m:subHide m:val="off"/>
            <m:supHide m:val="on"/>
          </m:naryPr>
          <m:sub>
            <m:r>
              <m:t>j</m:t>
            </m:r>
            <m:r>
              <m:rPr>
                <m:sty m:val="p"/>
              </m:rPr>
              <m:t>≠</m:t>
            </m:r>
            <m:r>
              <m:t>i</m:t>
            </m:r>
          </m:sub>
          <m:sup>
            <m:r>
              <m:t>​</m:t>
            </m:r>
          </m:sup>
          <m:e>
            <m:sSub>
              <m:e>
                <m:r>
                  <m:t>a</m:t>
                </m:r>
              </m:e>
              <m:sub>
                <m:r>
                  <m:t>i</m:t>
                </m:r>
                <m:r>
                  <m:t>j</m:t>
                </m:r>
              </m:sub>
            </m:sSub>
          </m:e>
        </m:nary>
        <m:sSub>
          <m:e>
            <m:r>
              <m:t>S</m:t>
            </m:r>
          </m:e>
          <m:sub>
            <m:r>
              <m:t>j</m:t>
            </m:r>
            <m:r>
              <m:t>t</m:t>
            </m:r>
          </m:sub>
        </m:sSub>
      </m:oMath>
      <w:r>
        <w:rPr>
          <w:rFonts w:ascii="宋体" w:hAnsi="宋体" w:eastAsia="宋体"/>
          <w:sz w:val="24"/>
        </w:rPr>
        <w:t>为来自其他四类标准的交互净效应，</w:t>
      </w:r>
      <m:oMath>
        <m:nary>
          <m:naryPr>
            <m:chr m:val="∑"/>
            <m:limLoc m:val="undOvr"/>
            <m:subHide m:val="off"/>
            <m:supHide m:val="on"/>
          </m:naryPr>
          <m:sub>
            <m:r>
              <m:t>k</m:t>
            </m:r>
          </m:sub>
          <m:sup>
            <m:r>
              <m:t>​</m:t>
            </m:r>
          </m:sup>
          <m:e>
            <m:sSub>
              <m:e>
                <m:r>
                  <m:t>b</m:t>
                </m:r>
              </m:e>
              <m:sub>
                <m:r>
                  <m:t>i</m:t>
                </m:r>
                <m:r>
                  <m:t>k</m:t>
                </m:r>
              </m:sub>
            </m:sSub>
          </m:e>
        </m:nary>
        <m:sSub>
          <m:e>
            <m:r>
              <m:t>u</m:t>
            </m:r>
          </m:e>
          <m:sub>
            <m:r>
              <m:t>k</m:t>
            </m:r>
            <m:r>
              <m:t>t</m:t>
            </m:r>
          </m:sub>
        </m:sSub>
      </m:oMath>
      <w:r>
        <w:rPr>
          <w:rFonts w:ascii="宋体" w:hAnsi="宋体" w:eastAsia="宋体"/>
          <w:sz w:val="24"/>
        </w:rPr>
        <w:t>为四重驱动的外生注入，三者共同决定第</w:t>
      </w:r>
      <m:oMath>
        <m:r>
          <m:t>i</m:t>
        </m:r>
      </m:oMath>
      <w:r>
        <w:rPr>
          <w:rFonts w:ascii="宋体" w:hAnsi="宋体" w:eastAsia="宋体"/>
          <w:sz w:val="24"/>
        </w:rPr>
        <w:t>类标准指数的演化方向与速度。</w:t>
      </w:r>
    </w:p>
    <w:p>
      <w:pPr>
        <w:spacing w:line="360" w:lineRule="auto" w:after="0"/>
        <w:ind w:firstLineChars="200" w:firstLine="480"/>
        <w:jc w:val="both"/>
      </w:pPr>
      <w:r>
        <w:rPr>
          <w:rFonts w:ascii="宋体" w:hAnsi="宋体" w:eastAsia="宋体"/>
          <w:sz w:val="24"/>
        </w:rPr>
        <w:t>需要说明线性设定的适用性。式(5-1)将交互与传导均设为线性，一方面是样本长度约束下保持参数节俭的需要，另一方面也有其经济合理性：本章关注的是标准指数在[0,1]区间内的中段演化，尚远未逼近上界，饱和效应导致的非线性弯折并不突出；政策冲击的离散跳跃则已由驱动变量的阶梯形路径吸收。当然，线性系统无法刻画技术与制度之间的多重均衡、极限环等复杂动态，也无法内生刻画主体的策略互动，这些任务留待第6章的非线性协同演进模型与第7章的演化博弈模型分别完成，三个模型构成互为补充的“模型组”。</w:t>
      </w:r>
    </w:p>
    <w:p>
      <w:pPr>
        <w:keepNext/>
        <w:spacing w:before="160" w:after="120" w:line="360" w:lineRule="auto"/>
        <w:outlineLvl w:val="2"/>
      </w:pPr>
      <w:r>
        <w:rPr>
          <w:rFonts w:ascii="黑体" w:hAnsi="黑体" w:eastAsia="黑体"/>
          <w:sz w:val="24"/>
        </w:rPr>
        <w:t>5.1.3  模型的离散化</w:t>
      </w:r>
    </w:p>
    <w:p>
      <w:pPr>
        <w:spacing w:line="360" w:lineRule="auto" w:after="0"/>
        <w:ind w:firstLineChars="200" w:firstLine="480"/>
        <w:jc w:val="both"/>
      </w:pPr>
      <w:r>
        <w:rPr>
          <w:rFonts w:ascii="宋体" w:hAnsi="宋体" w:eastAsia="宋体"/>
          <w:sz w:val="24"/>
        </w:rPr>
        <w:t>式(5-1)定义在连续时间上，而标准指数按年度观测，估计前需将其离散化。对式(5-1)在长度为</w:t>
      </w:r>
      <m:oMath>
        <m:r>
          <m:t>Δ</m:t>
        </m:r>
      </m:oMath>
      <w:r>
        <w:rPr>
          <w:rFonts w:ascii="宋体" w:hAnsi="宋体" w:eastAsia="宋体"/>
          <w:sz w:val="24"/>
        </w:rPr>
        <w:t>的时间步上作一阶欧拉近似，即以区间起点的状态与驱动近似整个区间的瞬时变化率，可得离散转移方程：</w:t>
      </w:r>
    </w:p>
    <w:p>
      <w:pPr>
        <w:tabs>
          <w:tab w:pos="4252" w:val="center"/>
          <w:tab w:pos="8504" w:val="right"/>
        </w:tabs>
        <w:spacing w:line="360" w:lineRule="auto" w:before="80" w:after="80"/>
      </w:pPr>
      <w:r>
        <w:tab/>
      </w:r>
      <m:oMath>
        <m:sSub>
          <m:e>
            <m:r>
              <m:t>S</m:t>
            </m:r>
          </m:e>
          <m:sub>
            <m:r>
              <m:t>t</m:t>
            </m:r>
            <m:r>
              <m:rPr>
                <m:sty m:val="p"/>
              </m:rPr>
              <m:t>+</m:t>
            </m:r>
            <m:r>
              <m:t>1</m:t>
            </m:r>
          </m:sub>
        </m:sSub>
        <m:r>
          <m:rPr>
            <m:sty m:val="p"/>
          </m:rPr>
          <m:t>=</m:t>
        </m:r>
        <m:d>
          <m:dPr>
            <m:begChr m:val="("/>
            <m:sepChr m:val=""/>
            <m:endChr m:val=")"/>
            <m:grow/>
          </m:dPr>
          <m:e>
            <m:sSub>
              <m:e>
                <m:r>
                  <m:t>I</m:t>
                </m:r>
              </m:e>
              <m:sub>
                <m:r>
                  <m:t>5</m:t>
                </m:r>
              </m:sub>
            </m:sSub>
            <m:r>
              <m:rPr>
                <m:sty m:val="p"/>
              </m:rPr>
              <m:t>+</m:t>
            </m:r>
            <m:r>
              <m:t>A</m:t>
            </m:r>
            <m:r>
              <m:t>Δ</m:t>
            </m:r>
          </m:e>
        </m:d>
        <m:sSub>
          <m:e>
            <m:r>
              <m:t>S</m:t>
            </m:r>
          </m:e>
          <m:sub>
            <m:r>
              <m:t>t</m:t>
            </m:r>
          </m:sub>
        </m:sSub>
        <m:r>
          <m:rPr>
            <m:sty m:val="p"/>
          </m:rPr>
          <m:t>+</m:t>
        </m:r>
        <m:r>
          <m:t>B</m:t>
        </m:r>
        <m:r>
          <m:t>Δ</m:t>
        </m:r>
        <m:r>
          <m:t> </m:t>
        </m:r>
        <m:sSub>
          <m:e>
            <m:r>
              <m:t>u</m:t>
            </m:r>
          </m:e>
          <m:sub>
            <m:r>
              <m:t>t</m:t>
            </m:r>
          </m:sub>
        </m:sSub>
        <m:r>
          <m:rPr>
            <m:sty m:val="p"/>
          </m:rPr>
          <m:t>+</m:t>
        </m:r>
        <m:sSub>
          <m:e>
            <m:r>
              <m:t>η</m:t>
            </m:r>
          </m:e>
          <m:sub>
            <m:r>
              <m:t>t</m:t>
            </m:r>
            <m:r>
              <m:rPr>
                <m:sty m:val="p"/>
              </m:rPr>
              <m:t>+</m:t>
            </m:r>
            <m:r>
              <m:t>1</m:t>
            </m:r>
          </m:sub>
        </m:sSub>
      </m:oMath>
      <w:r>
        <w:tab/>
      </w:r>
      <w:r>
        <w:rPr>
          <w:rFonts w:ascii="Times New Roman" w:hAnsi="Times New Roman" w:eastAsia="宋体"/>
          <w:sz w:val="24"/>
        </w:rPr>
        <w:t>(5-3)</w:t>
      </w:r>
    </w:p>
    <w:p>
      <w:pPr>
        <w:spacing w:line="360" w:lineRule="auto" w:after="0"/>
        <w:jc w:val="both"/>
      </w:pPr>
      <w:r>
        <w:rPr>
          <w:rFonts w:ascii="宋体" w:hAnsi="宋体" w:eastAsia="宋体"/>
          <w:sz w:val="24"/>
        </w:rPr>
        <w:t>其中，</w:t>
      </w:r>
      <m:oMath>
        <m:sSub>
          <m:e>
            <m:r>
              <m:t>I</m:t>
            </m:r>
          </m:e>
          <m:sub>
            <m:r>
              <m:t>5</m:t>
            </m:r>
          </m:sub>
        </m:sSub>
      </m:oMath>
      <w:r>
        <w:rPr>
          <w:rFonts w:ascii="宋体" w:hAnsi="宋体" w:eastAsia="宋体"/>
          <w:sz w:val="24"/>
        </w:rPr>
        <w:t>为五阶单位矩阵，</w:t>
      </w:r>
      <m:oMath>
        <m:sSub>
          <m:e>
            <m:r>
              <m:t>η</m:t>
            </m:r>
          </m:e>
          <m:sub>
            <m:r>
              <m:t>t</m:t>
            </m:r>
            <m:r>
              <m:rPr>
                <m:sty m:val="p"/>
              </m:rPr>
              <m:t>+</m:t>
            </m:r>
            <m:r>
              <m:t>1</m:t>
            </m:r>
          </m:sub>
        </m:sSub>
      </m:oMath>
      <w:r>
        <w:rPr>
          <w:rFonts w:ascii="宋体" w:hAnsi="宋体" w:eastAsia="宋体"/>
          <w:sz w:val="24"/>
        </w:rPr>
        <w:t>为离散化后的状态冲击，服从均值为零、协方差矩阵为</w:t>
      </w:r>
      <m:oMath>
        <m:r>
          <m:t>Q</m:t>
        </m:r>
      </m:oMath>
      <w:r>
        <w:rPr>
          <w:rFonts w:ascii="宋体" w:hAnsi="宋体" w:eastAsia="宋体"/>
          <w:sz w:val="24"/>
        </w:rPr>
        <w:t>的多元正态分布。本章取</w:t>
      </w:r>
      <m:oMath>
        <m:r>
          <m:t>Δ</m:t>
        </m:r>
        <m:r>
          <m:rPr>
            <m:sty m:val="p"/>
          </m:rPr>
          <m:t>=</m:t>
        </m:r>
        <m:r>
          <m:t>1</m:t>
        </m:r>
      </m:oMath>
      <w:r>
        <w:rPr>
          <w:rFonts w:ascii="宋体" w:hAnsi="宋体" w:eastAsia="宋体"/>
          <w:sz w:val="24"/>
        </w:rPr>
        <w:t>（年），故离散转移矩阵为</w:t>
      </w:r>
      <m:oMath>
        <m:r>
          <m:t>T</m:t>
        </m:r>
        <m:r>
          <m:rPr>
            <m:sty m:val="p"/>
          </m:rPr>
          <m:t>=</m:t>
        </m:r>
        <m:sSub>
          <m:e>
            <m:r>
              <m:t>I</m:t>
            </m:r>
          </m:e>
          <m:sub>
            <m:r>
              <m:t>5</m:t>
            </m:r>
          </m:sub>
        </m:sSub>
        <m:r>
          <m:rPr>
            <m:sty m:val="p"/>
          </m:rPr>
          <m:t>+</m:t>
        </m:r>
        <m:r>
          <m:t>A</m:t>
        </m:r>
      </m:oMath>
      <w:r>
        <w:rPr>
          <w:rFonts w:ascii="宋体" w:hAnsi="宋体" w:eastAsia="宋体"/>
          <w:sz w:val="24"/>
        </w:rPr>
        <w:t>，驱动载荷矩阵为</w:t>
      </w:r>
      <m:oMath>
        <m:r>
          <m:t>C</m:t>
        </m:r>
        <m:r>
          <m:rPr>
            <m:sty m:val="p"/>
          </m:rPr>
          <m:t>=</m:t>
        </m:r>
        <m:r>
          <m:t>B</m:t>
        </m:r>
      </m:oMath>
      <w:r>
        <w:rPr>
          <w:rFonts w:ascii="宋体" w:hAnsi="宋体" w:eastAsia="宋体"/>
          <w:sz w:val="24"/>
        </w:rPr>
        <w:t>。</w:t>
      </w:r>
    </w:p>
    <w:p>
      <w:pPr>
        <w:spacing w:line="360" w:lineRule="auto" w:after="0"/>
        <w:ind w:firstLineChars="200" w:firstLine="480"/>
        <w:jc w:val="both"/>
      </w:pPr>
      <w:r>
        <w:rPr>
          <w:rFonts w:ascii="宋体" w:hAnsi="宋体" w:eastAsia="宋体"/>
          <w:sz w:val="24"/>
        </w:rPr>
        <w:t>离散化引入两点技术考量。其一，近似误差。欧拉离散的截断误差为</w:t>
      </w:r>
      <m:oMath>
        <m:r>
          <m:t>O</m:t>
        </m:r>
        <m:d>
          <m:dPr>
            <m:begChr m:val="("/>
            <m:sepChr m:val=""/>
            <m:endChr m:val=")"/>
            <m:grow/>
          </m:dPr>
          <m:e>
            <m:sSup>
              <m:e>
                <m:r>
                  <m:t>Δ</m:t>
                </m:r>
              </m:e>
              <m:sup>
                <m:r>
                  <m:t>2</m:t>
                </m:r>
              </m:sup>
            </m:sSup>
          </m:e>
        </m:d>
      </m:oMath>
      <w:r>
        <w:rPr>
          <w:rFonts w:ascii="宋体" w:hAnsi="宋体" w:eastAsia="宋体"/>
          <w:sz w:val="24"/>
        </w:rPr>
        <w:t>量级；由于估计得到的对角系数绝对值至多约0.24（见5.4节），二阶项的量级不超过0.06，以年度步长离散化不会实质扭曲参数含义。其二，稳定性条件的转换。连续系统渐近稳定要求A的全部特征值实部为负；离散化后等价于转移矩阵</w:t>
      </w:r>
      <m:oMath>
        <m:r>
          <m:t>T</m:t>
        </m:r>
        <m:r>
          <m:rPr>
            <m:sty m:val="p"/>
          </m:rPr>
          <m:t>=</m:t>
        </m:r>
        <m:sSub>
          <m:e>
            <m:r>
              <m:t>I</m:t>
            </m:r>
          </m:e>
          <m:sub>
            <m:r>
              <m:t>5</m:t>
            </m:r>
          </m:sub>
        </m:sSub>
        <m:r>
          <m:rPr>
            <m:sty m:val="p"/>
          </m:rPr>
          <m:t>+</m:t>
        </m:r>
        <m:r>
          <m:t>A</m:t>
        </m:r>
        <m:r>
          <m:t>Δ</m:t>
        </m:r>
      </m:oMath>
      <w:r>
        <w:rPr>
          <w:rFonts w:ascii="宋体" w:hAnsi="宋体" w:eastAsia="宋体"/>
          <w:sz w:val="24"/>
        </w:rPr>
        <w:t>的谱半径小于1。稳定性并非估计前的先验约束，而是可以事后检验的经验性质：若估计结果满足稳定性条件，则标准体系在给定驱动路径下收敛于条件稳态</w:t>
      </w:r>
      <m:oMath>
        <m:sSup>
          <m:e>
            <m:r>
              <m:t>S</m:t>
            </m:r>
          </m:e>
          <m:sup>
            <m:r>
              <m:rPr>
                <m:sty m:val="p"/>
              </m:rPr>
              <m:t>*</m:t>
            </m:r>
          </m:sup>
        </m:sSup>
        <m:r>
          <m:rPr>
            <m:sty m:val="p"/>
          </m:rPr>
          <m:t>=</m:t>
        </m:r>
        <m:r>
          <m:rPr>
            <m:sty m:val="p"/>
          </m:rPr>
          <m:t>−</m:t>
        </m:r>
        <m:sSup>
          <m:e>
            <m:r>
              <m:t>A</m:t>
            </m:r>
          </m:e>
          <m:sup>
            <m:r>
              <m:rPr>
                <m:sty m:val="p"/>
              </m:rPr>
              <m:t>−</m:t>
            </m:r>
            <m:r>
              <m:t>1</m:t>
            </m:r>
          </m:sup>
        </m:sSup>
        <m:r>
          <m:t>B</m:t>
        </m:r>
        <m:r>
          <m:t>u</m:t>
        </m:r>
      </m:oMath>
      <w:r>
        <w:rPr>
          <w:rFonts w:ascii="宋体" w:hAnsi="宋体" w:eastAsia="宋体"/>
          <w:sz w:val="24"/>
        </w:rPr>
        <w:t>，演化的长期水平完全由驱动力决定；若不满足，则体系存在发散倾向。5.4节将利用估计结果对此进行验证，这一性质也构成5.6节情景模拟收敛性的前提。</w:t>
      </w:r>
    </w:p>
    <w:p>
      <w:pPr>
        <w:keepNext/>
        <w:spacing w:before="160" w:after="120" w:line="360" w:lineRule="auto"/>
        <w:outlineLvl w:val="1"/>
      </w:pPr>
      <w:r>
        <w:rPr>
          <w:rFonts w:ascii="黑体" w:hAnsi="黑体" w:eastAsia="黑体"/>
          <w:sz w:val="28"/>
        </w:rPr>
        <w:t>5.2  状态空间表示与卡尔曼滤波估计</w:t>
      </w:r>
    </w:p>
    <w:p>
      <w:pPr>
        <w:keepNext/>
        <w:spacing w:before="160" w:after="120" w:line="360" w:lineRule="auto"/>
        <w:outlineLvl w:val="2"/>
      </w:pPr>
      <w:r>
        <w:rPr>
          <w:rFonts w:ascii="黑体" w:hAnsi="黑体" w:eastAsia="黑体"/>
          <w:sz w:val="24"/>
        </w:rPr>
        <w:t>5.2.1  量测方程与状态方程</w:t>
      </w:r>
    </w:p>
    <w:p>
      <w:pPr>
        <w:spacing w:line="360" w:lineRule="auto" w:after="0"/>
        <w:ind w:firstLineChars="200" w:firstLine="480"/>
        <w:jc w:val="both"/>
      </w:pPr>
      <w:r>
        <w:rPr>
          <w:rFonts w:ascii="宋体" w:hAnsi="宋体" w:eastAsia="宋体"/>
          <w:sz w:val="24"/>
        </w:rPr>
        <w:t>状态空间表示由量测方程与状态方程构成。量测方程连接观测数据与真实状态：第4章编码得到的五类指数是真实制度状态的含噪测度，编码分级的离散化、编码员的主观判断与加权合成的近似都会引入测量误差。记年度观测向量为</w:t>
      </w:r>
      <m:oMath>
        <m:sSub>
          <m:e>
            <m:r>
              <m:t>Y</m:t>
            </m:r>
          </m:e>
          <m:sub>
            <m:r>
              <m:t>t</m:t>
            </m:r>
          </m:sub>
        </m:sSub>
      </m:oMath>
      <w:r>
        <w:rPr>
          <w:rFonts w:ascii="宋体" w:hAnsi="宋体" w:eastAsia="宋体"/>
          <w:sz w:val="24"/>
        </w:rPr>
        <w:t>，量测方程设定为：</w:t>
      </w:r>
    </w:p>
    <w:p>
      <w:pPr>
        <w:tabs>
          <w:tab w:pos="4252" w:val="center"/>
          <w:tab w:pos="8504" w:val="right"/>
        </w:tabs>
        <w:spacing w:line="360" w:lineRule="auto" w:before="80" w:after="80"/>
      </w:pPr>
      <w:r>
        <w:tab/>
      </w:r>
      <m:oMath>
        <m:sSub>
          <m:e>
            <m:r>
              <m:t>Y</m:t>
            </m:r>
          </m:e>
          <m:sub>
            <m:r>
              <m:t>t</m:t>
            </m:r>
          </m:sub>
        </m:sSub>
        <m:r>
          <m:rPr>
            <m:sty m:val="p"/>
          </m:rPr>
          <m:t>=</m:t>
        </m:r>
        <m:r>
          <m:t>Z</m:t>
        </m:r>
        <m:r>
          <m:t> </m:t>
        </m:r>
        <m:sSub>
          <m:e>
            <m:r>
              <m:t>S</m:t>
            </m:r>
          </m:e>
          <m:sub>
            <m:r>
              <m:t>t</m:t>
            </m:r>
          </m:sub>
        </m:sSub>
        <m:r>
          <m:rPr>
            <m:sty m:val="p"/>
          </m:rPr>
          <m:t>+</m:t>
        </m:r>
        <m:sSub>
          <m:e>
            <m:r>
              <m:t>v</m:t>
            </m:r>
          </m:e>
          <m:sub>
            <m:r>
              <m:t>t</m:t>
            </m:r>
          </m:sub>
        </m:sSub>
        <m:r>
          <m:rPr>
            <m:sty m:val="p"/>
          </m:rPr>
          <m:t>,</m:t>
        </m:r>
        <m:r>
          <m:t>  </m:t>
        </m:r>
        <m:sSub>
          <m:e>
            <m:r>
              <m:t>v</m:t>
            </m:r>
          </m:e>
          <m:sub>
            <m:r>
              <m:t>t</m:t>
            </m:r>
          </m:sub>
        </m:sSub>
        <m:r>
          <m:rPr>
            <m:sty m:val="p"/>
          </m:rPr>
          <m:t>∼</m:t>
        </m:r>
        <m:r>
          <m:t>N</m:t>
        </m:r>
        <m:d>
          <m:dPr>
            <m:begChr m:val="("/>
            <m:sepChr m:val=""/>
            <m:endChr m:val=")"/>
            <m:grow/>
          </m:dPr>
          <m:e>
            <m:r>
              <m:t>0</m:t>
            </m:r>
            <m:r>
              <m:rPr>
                <m:sty m:val="p"/>
              </m:rPr>
              <m:t>,</m:t>
            </m:r>
            <m:r>
              <m:t>H</m:t>
            </m:r>
          </m:e>
        </m:d>
      </m:oMath>
      <w:r>
        <w:tab/>
      </w:r>
      <w:r>
        <w:rPr>
          <w:rFonts w:ascii="Times New Roman" w:hAnsi="Times New Roman" w:eastAsia="宋体"/>
          <w:sz w:val="24"/>
        </w:rPr>
        <w:t>(5-4)</w:t>
      </w:r>
    </w:p>
    <w:p>
      <w:pPr>
        <w:spacing w:line="360" w:lineRule="auto" w:after="0"/>
        <w:jc w:val="both"/>
      </w:pPr>
      <w:r>
        <w:rPr>
          <w:rFonts w:ascii="宋体" w:hAnsi="宋体" w:eastAsia="宋体"/>
          <w:sz w:val="24"/>
        </w:rPr>
        <w:t>其中，量测矩阵</w:t>
      </w:r>
      <m:oMath>
        <m:r>
          <m:t>Z</m:t>
        </m:r>
      </m:oMath>
      <w:r>
        <w:rPr>
          <w:rFonts w:ascii="宋体" w:hAnsi="宋体" w:eastAsia="宋体"/>
          <w:sz w:val="24"/>
        </w:rPr>
        <w:t>按编码方案的设计取为五阶单位矩阵</w:t>
      </w:r>
      <m:oMath>
        <m:sSub>
          <m:e>
            <m:r>
              <m:t>I</m:t>
            </m:r>
          </m:e>
          <m:sub>
            <m:r>
              <m:t>5</m:t>
            </m:r>
          </m:sub>
        </m:sSub>
      </m:oMath>
      <w:r>
        <w:rPr>
          <w:rFonts w:ascii="宋体" w:hAnsi="宋体" w:eastAsia="宋体"/>
          <w:sz w:val="24"/>
        </w:rPr>
        <w:t>，即每一类观测指数都是对应真实状态的无偏含噪测度；</w:t>
      </w:r>
      <m:oMath>
        <m:sSub>
          <m:e>
            <m:r>
              <m:t>v</m:t>
            </m:r>
          </m:e>
          <m:sub>
            <m:r>
              <m:t>t</m:t>
            </m:r>
          </m:sub>
        </m:sSub>
      </m:oMath>
      <w:r>
        <w:rPr>
          <w:rFonts w:ascii="宋体" w:hAnsi="宋体" w:eastAsia="宋体"/>
          <w:sz w:val="24"/>
        </w:rPr>
        <w:t>为测量误差向量，协方差矩阵</w:t>
      </w:r>
      <m:oMath>
        <m:r>
          <m:t>H</m:t>
        </m:r>
      </m:oMath>
      <w:r>
        <w:rPr>
          <w:rFonts w:ascii="宋体" w:hAnsi="宋体" w:eastAsia="宋体"/>
          <w:sz w:val="24"/>
        </w:rPr>
        <w:t>设为对角矩阵，其对角元刻画各类指数的编码噪声方差，且与状态冲击相互独立。</w:t>
      </w:r>
    </w:p>
    <w:p>
      <w:pPr>
        <w:spacing w:line="360" w:lineRule="auto" w:after="0"/>
        <w:ind w:firstLineChars="200" w:firstLine="480"/>
        <w:jc w:val="both"/>
      </w:pPr>
      <w:r>
        <w:rPr>
          <w:rFonts w:ascii="宋体" w:hAnsi="宋体" w:eastAsia="宋体"/>
          <w:sz w:val="24"/>
        </w:rPr>
        <w:t>状态方程即离散化的转移方程(5-3)，改写为标准形式：</w:t>
      </w:r>
    </w:p>
    <w:p>
      <w:pPr>
        <w:tabs>
          <w:tab w:pos="4252" w:val="center"/>
          <w:tab w:pos="8504" w:val="right"/>
        </w:tabs>
        <w:spacing w:line="360" w:lineRule="auto" w:before="80" w:after="80"/>
      </w:pPr>
      <w:r>
        <w:tab/>
      </w:r>
      <m:oMath>
        <m:sSub>
          <m:e>
            <m:r>
              <m:t>S</m:t>
            </m:r>
          </m:e>
          <m:sub>
            <m:r>
              <m:t>t</m:t>
            </m:r>
          </m:sub>
        </m:sSub>
        <m:r>
          <m:rPr>
            <m:sty m:val="p"/>
          </m:rPr>
          <m:t>=</m:t>
        </m:r>
        <m:r>
          <m:t>T</m:t>
        </m:r>
        <m:r>
          <m:t> </m:t>
        </m:r>
        <m:sSub>
          <m:e>
            <m:r>
              <m:t>S</m:t>
            </m:r>
          </m:e>
          <m:sub>
            <m:r>
              <m:t>t</m:t>
            </m:r>
            <m:r>
              <m:rPr>
                <m:sty m:val="p"/>
              </m:rPr>
              <m:t>−</m:t>
            </m:r>
            <m:r>
              <m:t>1</m:t>
            </m:r>
          </m:sub>
        </m:sSub>
        <m:r>
          <m:rPr>
            <m:sty m:val="p"/>
          </m:rPr>
          <m:t>+</m:t>
        </m:r>
        <m:r>
          <m:t>C</m:t>
        </m:r>
        <m:r>
          <m:t> </m:t>
        </m:r>
        <m:sSub>
          <m:e>
            <m:r>
              <m:t>u</m:t>
            </m:r>
          </m:e>
          <m:sub>
            <m:r>
              <m:t>t</m:t>
            </m:r>
            <m:r>
              <m:rPr>
                <m:sty m:val="p"/>
              </m:rPr>
              <m:t>−</m:t>
            </m:r>
            <m:r>
              <m:t>1</m:t>
            </m:r>
          </m:sub>
        </m:sSub>
        <m:r>
          <m:rPr>
            <m:sty m:val="p"/>
          </m:rPr>
          <m:t>+</m:t>
        </m:r>
        <m:sSub>
          <m:e>
            <m:r>
              <m:t>η</m:t>
            </m:r>
          </m:e>
          <m:sub>
            <m:r>
              <m:t>t</m:t>
            </m:r>
          </m:sub>
        </m:sSub>
        <m:r>
          <m:rPr>
            <m:sty m:val="p"/>
          </m:rPr>
          <m:t>,</m:t>
        </m:r>
        <m:r>
          <m:t>  </m:t>
        </m:r>
        <m:sSub>
          <m:e>
            <m:r>
              <m:t>η</m:t>
            </m:r>
          </m:e>
          <m:sub>
            <m:r>
              <m:t>t</m:t>
            </m:r>
          </m:sub>
        </m:sSub>
        <m:r>
          <m:rPr>
            <m:sty m:val="p"/>
          </m:rPr>
          <m:t>∼</m:t>
        </m:r>
        <m:r>
          <m:t>N</m:t>
        </m:r>
        <m:d>
          <m:dPr>
            <m:begChr m:val="("/>
            <m:sepChr m:val=""/>
            <m:endChr m:val=")"/>
            <m:grow/>
          </m:dPr>
          <m:e>
            <m:r>
              <m:t>0</m:t>
            </m:r>
            <m:r>
              <m:rPr>
                <m:sty m:val="p"/>
              </m:rPr>
              <m:t>,</m:t>
            </m:r>
            <m:r>
              <m:t>Q</m:t>
            </m:r>
          </m:e>
        </m:d>
      </m:oMath>
      <w:r>
        <w:tab/>
      </w:r>
      <w:r>
        <w:rPr>
          <w:rFonts w:ascii="Times New Roman" w:hAnsi="Times New Roman" w:eastAsia="宋体"/>
          <w:sz w:val="24"/>
        </w:rPr>
        <w:t>(5-5)</w:t>
      </w:r>
    </w:p>
    <w:p>
      <w:pPr>
        <w:spacing w:line="360" w:lineRule="auto" w:after="0"/>
        <w:jc w:val="both"/>
      </w:pPr>
      <w:r>
        <w:rPr>
          <w:rFonts w:ascii="宋体" w:hAnsi="宋体" w:eastAsia="宋体"/>
          <w:sz w:val="24"/>
        </w:rPr>
        <w:t>其中，</w:t>
      </w:r>
      <m:oMath>
        <m:r>
          <m:t>T</m:t>
        </m:r>
        <m:r>
          <m:rPr>
            <m:sty m:val="p"/>
          </m:rPr>
          <m:t>=</m:t>
        </m:r>
        <m:sSub>
          <m:e>
            <m:r>
              <m:t>I</m:t>
            </m:r>
          </m:e>
          <m:sub>
            <m:r>
              <m:t>5</m:t>
            </m:r>
          </m:sub>
        </m:sSub>
        <m:r>
          <m:rPr>
            <m:sty m:val="p"/>
          </m:rPr>
          <m:t>+</m:t>
        </m:r>
        <m:r>
          <m:t>A</m:t>
        </m:r>
        <m:r>
          <m:t>Δ</m:t>
        </m:r>
      </m:oMath>
      <w:r>
        <w:rPr>
          <w:rFonts w:ascii="宋体" w:hAnsi="宋体" w:eastAsia="宋体"/>
          <w:sz w:val="24"/>
        </w:rPr>
        <w:t>为状态转移矩阵，</w:t>
      </w:r>
      <m:oMath>
        <m:r>
          <m:t>C</m:t>
        </m:r>
        <m:r>
          <m:rPr>
            <m:sty m:val="p"/>
          </m:rPr>
          <m:t>=</m:t>
        </m:r>
        <m:r>
          <m:t>B</m:t>
        </m:r>
        <m:r>
          <m:t>Δ</m:t>
        </m:r>
      </m:oMath>
      <w:r>
        <w:rPr>
          <w:rFonts w:ascii="宋体" w:hAnsi="宋体" w:eastAsia="宋体"/>
          <w:sz w:val="24"/>
        </w:rPr>
        <w:t>为驱动载荷矩阵，</w:t>
      </w:r>
      <m:oMath>
        <m:r>
          <m:t>Q</m:t>
        </m:r>
      </m:oMath>
      <w:r>
        <w:rPr>
          <w:rFonts w:ascii="宋体" w:hAnsi="宋体" w:eastAsia="宋体"/>
          <w:sz w:val="24"/>
        </w:rPr>
        <w:t>为状态冲击协方差矩阵；驱动变量以滞后一期进入，既符合政策与技术冲击作用于标准供给的时滞现实，也缓解同期反向因果的干扰。待估参数集为</w:t>
      </w:r>
      <m:oMath>
        <m:r>
          <m:t>θ</m:t>
        </m:r>
        <m:r>
          <m:rPr>
            <m:sty m:val="p"/>
          </m:rPr>
          <m:t>=</m:t>
        </m:r>
        <m:r>
          <m:rPr>
            <m:sty m:val="p"/>
          </m:rPr>
          <m:t>{</m:t>
        </m:r>
        <m:r>
          <m:t>A</m:t>
        </m:r>
        <m:r>
          <m:rPr>
            <m:sty m:val="p"/>
          </m:rPr>
          <m:t>,</m:t>
        </m:r>
        <m:r>
          <m:t>B</m:t>
        </m:r>
        <m:r>
          <m:rPr>
            <m:sty m:val="p"/>
          </m:rPr>
          <m:t>,</m:t>
        </m:r>
        <m:r>
          <m:t>Q</m:t>
        </m:r>
        <m:r>
          <m:rPr>
            <m:sty m:val="p"/>
          </m:rPr>
          <m:t>,</m:t>
        </m:r>
        <m:r>
          <m:t>H</m:t>
        </m:r>
        <m:r>
          <m:rPr>
            <m:sty m:val="p"/>
          </m:rPr>
          <m:t>}</m:t>
        </m:r>
      </m:oMath>
      <w:r>
        <w:rPr>
          <w:rFonts w:ascii="宋体" w:hAnsi="宋体" w:eastAsia="宋体"/>
          <w:sz w:val="24"/>
        </w:rPr>
        <w:t>。</w:t>
      </w:r>
    </w:p>
    <w:p>
      <w:pPr>
        <w:spacing w:line="360" w:lineRule="auto" w:after="0"/>
        <w:ind w:firstLineChars="200" w:firstLine="480"/>
        <w:jc w:val="both"/>
      </w:pPr>
      <w:r>
        <w:rPr>
          <w:rFonts w:ascii="宋体" w:hAnsi="宋体" w:eastAsia="宋体"/>
          <w:sz w:val="24"/>
        </w:rPr>
        <w:t>量测方程与状态方程的分工，体现了本章框架与常规回归的本质差别：状态方程刻画“制度状态的真实动态”，其冲击</w:t>
      </w:r>
      <m:oMath>
        <m:sSub>
          <m:e>
            <m:r>
              <m:t>η</m:t>
            </m:r>
          </m:e>
          <m:sub>
            <m:r>
              <m:t>t</m:t>
            </m:r>
          </m:sub>
        </m:sSub>
      </m:oMath>
      <w:r>
        <w:rPr>
          <w:rFonts w:ascii="宋体" w:hAnsi="宋体" w:eastAsia="宋体"/>
          <w:sz w:val="24"/>
        </w:rPr>
        <w:t>具有持续性——一次未被驱动变量解释的标准跃升（例如某项重大标准的突击发布）会通过转移矩阵持续影响后续各期；量测方程刻画“观测对状态的噪声投影”，其误差</w:t>
      </w:r>
      <m:oMath>
        <m:sSub>
          <m:e>
            <m:r>
              <m:t>v</m:t>
            </m:r>
          </m:e>
          <m:sub>
            <m:r>
              <m:t>t</m:t>
            </m:r>
          </m:sub>
        </m:sSub>
      </m:oMath>
      <w:r>
        <w:rPr>
          <w:rFonts w:ascii="宋体" w:hAnsi="宋体" w:eastAsia="宋体"/>
          <w:sz w:val="24"/>
        </w:rPr>
        <w:t>为白噪声，不参与动态传播。两类扰动对数据自协方差结构的含义截然不同，这正是二者得以分别识别的统计基础，也是滤波框架能够“透过噪声看状态”的原因。</w:t>
      </w:r>
    </w:p>
    <w:p>
      <w:pPr>
        <w:keepNext/>
        <w:spacing w:before="160" w:after="120" w:line="360" w:lineRule="auto"/>
        <w:outlineLvl w:val="2"/>
      </w:pPr>
      <w:r>
        <w:rPr>
          <w:rFonts w:ascii="黑体" w:hAnsi="黑体" w:eastAsia="黑体"/>
          <w:sz w:val="24"/>
        </w:rPr>
        <w:t>5.2.2  卡尔曼滤波的预测—更新递推</w:t>
      </w:r>
    </w:p>
    <w:p>
      <w:pPr>
        <w:spacing w:line="360" w:lineRule="auto" w:after="0"/>
        <w:ind w:firstLineChars="200" w:firstLine="480"/>
        <w:jc w:val="both"/>
      </w:pPr>
      <w:r>
        <w:rPr>
          <w:rFonts w:ascii="宋体" w:hAnsi="宋体" w:eastAsia="宋体"/>
          <w:sz w:val="24"/>
        </w:rPr>
        <w:t>给定参数</w:t>
      </w:r>
      <m:oMath>
        <m:r>
          <m:t>θ</m:t>
        </m:r>
      </m:oMath>
      <w:r>
        <w:rPr>
          <w:rFonts w:ascii="宋体" w:hAnsi="宋体" w:eastAsia="宋体"/>
          <w:sz w:val="24"/>
        </w:rPr>
        <w:t>与初始条件，卡尔曼滤波按时间顺序递推计算状态的条件均值</w:t>
      </w:r>
      <m:oMath>
        <m:sSub>
          <m:e>
            <m:acc>
              <m:accPr>
                <m:chr m:val="̂"/>
              </m:accPr>
              <m:e>
                <m:r>
                  <m:t>S</m:t>
                </m:r>
              </m:e>
            </m:acc>
          </m:e>
          <m:sub>
            <m:r>
              <m:t>t</m:t>
            </m:r>
            <m:r>
              <m:rPr>
                <m:sty m:val="p"/>
              </m:rPr>
              <m:t>|</m:t>
            </m:r>
            <m:r>
              <m:t>t</m:t>
            </m:r>
          </m:sub>
        </m:sSub>
      </m:oMath>
      <w:r>
        <w:rPr>
          <w:rFonts w:ascii="宋体" w:hAnsi="宋体" w:eastAsia="宋体"/>
          <w:sz w:val="24"/>
        </w:rPr>
        <w:t>与条件协方差</w:t>
      </w:r>
      <m:oMath>
        <m:sSub>
          <m:e>
            <m:r>
              <m:t>P</m:t>
            </m:r>
          </m:e>
          <m:sub>
            <m:r>
              <m:t>t</m:t>
            </m:r>
            <m:r>
              <m:rPr>
                <m:sty m:val="p"/>
              </m:rPr>
              <m:t>|</m:t>
            </m:r>
            <m:r>
              <m:t>t</m:t>
            </m:r>
          </m:sub>
        </m:sSub>
      </m:oMath>
      <w:r>
        <w:rPr>
          <w:rFonts w:ascii="宋体" w:hAnsi="宋体" w:eastAsia="宋体"/>
          <w:sz w:val="24"/>
        </w:rPr>
        <w:t>，其一次完整迭代由预测与更新两个阶段的五个步骤构成（Kalman，1960）。以下逐一列出并解释。第一步，状态预测。以</w:t>
      </w:r>
      <m:oMath>
        <m:r>
          <m:t>t</m:t>
        </m:r>
        <m:r>
          <m:rPr>
            <m:sty m:val="p"/>
          </m:rPr>
          <m:t>−</m:t>
        </m:r>
        <m:r>
          <m:t>1</m:t>
        </m:r>
      </m:oMath>
      <w:r>
        <w:rPr>
          <w:rFonts w:ascii="宋体" w:hAnsi="宋体" w:eastAsia="宋体"/>
          <w:sz w:val="24"/>
        </w:rPr>
        <w:t>期滤波估计为起点，按状态方程将系统外推一期：</w:t>
      </w:r>
    </w:p>
    <w:p>
      <w:pPr>
        <w:tabs>
          <w:tab w:pos="4252" w:val="center"/>
          <w:tab w:pos="8504" w:val="right"/>
        </w:tabs>
        <w:spacing w:line="360" w:lineRule="auto" w:before="80" w:after="80"/>
      </w:pPr>
      <w:r>
        <w:tab/>
      </w:r>
      <m:oMath>
        <m:sSub>
          <m:e>
            <m:acc>
              <m:accPr>
                <m:chr m:val="̂"/>
              </m:accPr>
              <m:e>
                <m:r>
                  <m:t>S</m:t>
                </m:r>
              </m:e>
            </m:acc>
          </m:e>
          <m:sub>
            <m:r>
              <m:t>t</m:t>
            </m:r>
            <m:r>
              <m:rPr>
                <m:sty m:val="p"/>
              </m:rPr>
              <m:t>|</m:t>
            </m:r>
            <m:r>
              <m:t>t</m:t>
            </m:r>
            <m:r>
              <m:rPr>
                <m:sty m:val="p"/>
              </m:rPr>
              <m:t>−</m:t>
            </m:r>
            <m:r>
              <m:t>1</m:t>
            </m:r>
          </m:sub>
        </m:sSub>
        <m:r>
          <m:rPr>
            <m:sty m:val="p"/>
          </m:rPr>
          <m:t>=</m:t>
        </m:r>
        <m:r>
          <m:t>T</m:t>
        </m:r>
        <m:r>
          <m:t> </m:t>
        </m:r>
        <m:sSub>
          <m:e>
            <m:acc>
              <m:accPr>
                <m:chr m:val="̂"/>
              </m:accPr>
              <m:e>
                <m:r>
                  <m:t>S</m:t>
                </m:r>
              </m:e>
            </m:acc>
          </m:e>
          <m:sub>
            <m:r>
              <m:t>t</m:t>
            </m:r>
            <m:r>
              <m:rPr>
                <m:sty m:val="p"/>
              </m:rPr>
              <m:t>−</m:t>
            </m:r>
            <m:r>
              <m:t>1</m:t>
            </m:r>
            <m:r>
              <m:rPr>
                <m:sty m:val="p"/>
              </m:rPr>
              <m:t>|</m:t>
            </m:r>
            <m:r>
              <m:t>t</m:t>
            </m:r>
            <m:r>
              <m:rPr>
                <m:sty m:val="p"/>
              </m:rPr>
              <m:t>−</m:t>
            </m:r>
            <m:r>
              <m:t>1</m:t>
            </m:r>
          </m:sub>
        </m:sSub>
        <m:r>
          <m:rPr>
            <m:sty m:val="p"/>
          </m:rPr>
          <m:t>+</m:t>
        </m:r>
        <m:r>
          <m:t>C</m:t>
        </m:r>
        <m:r>
          <m:t> </m:t>
        </m:r>
        <m:sSub>
          <m:e>
            <m:r>
              <m:t>u</m:t>
            </m:r>
          </m:e>
          <m:sub>
            <m:r>
              <m:t>t</m:t>
            </m:r>
            <m:r>
              <m:rPr>
                <m:sty m:val="p"/>
              </m:rPr>
              <m:t>−</m:t>
            </m:r>
            <m:r>
              <m:t>1</m:t>
            </m:r>
          </m:sub>
        </m:sSub>
      </m:oMath>
      <w:r>
        <w:tab/>
      </w:r>
      <w:r>
        <w:rPr>
          <w:rFonts w:ascii="Times New Roman" w:hAnsi="Times New Roman" w:eastAsia="宋体"/>
          <w:sz w:val="24"/>
        </w:rPr>
        <w:t>(5-6)</w:t>
      </w:r>
    </w:p>
    <w:p>
      <w:pPr>
        <w:spacing w:line="360" w:lineRule="auto" w:after="0"/>
        <w:ind w:firstLineChars="200" w:firstLine="480"/>
        <w:jc w:val="both"/>
      </w:pPr>
      <w:r>
        <w:rPr>
          <w:rFonts w:ascii="宋体" w:hAnsi="宋体" w:eastAsia="宋体"/>
          <w:sz w:val="24"/>
        </w:rPr>
        <w:t>式(5-6)给出仅利用截至</w:t>
      </w:r>
      <m:oMath>
        <m:r>
          <m:t>t</m:t>
        </m:r>
        <m:r>
          <m:rPr>
            <m:sty m:val="p"/>
          </m:rPr>
          <m:t>−</m:t>
        </m:r>
        <m:r>
          <m:t>1</m:t>
        </m:r>
      </m:oMath>
      <w:r>
        <w:rPr>
          <w:rFonts w:ascii="宋体" w:hAnsi="宋体" w:eastAsia="宋体"/>
          <w:sz w:val="24"/>
        </w:rPr>
        <w:t>期信息条件下对</w:t>
      </w:r>
      <m:oMath>
        <m:r>
          <m:t>t</m:t>
        </m:r>
      </m:oMath>
      <w:r>
        <w:rPr>
          <w:rFonts w:ascii="宋体" w:hAnsi="宋体" w:eastAsia="宋体"/>
          <w:sz w:val="24"/>
        </w:rPr>
        <w:t>期状态的最优预测：上一期的最优状态估计经转移矩阵传播，再叠加驱动变量的确定性推动。直观地说，它回答的是“若无新信息，标准体系将沿既有惯性与既定驱动走到哪里”。第二步，协方差预测。状态估计的不确定性随预测同步传播：</w:t>
      </w:r>
    </w:p>
    <w:p>
      <w:pPr>
        <w:tabs>
          <w:tab w:pos="4252" w:val="center"/>
          <w:tab w:pos="8504" w:val="right"/>
        </w:tabs>
        <w:spacing w:line="360" w:lineRule="auto" w:before="80" w:after="80"/>
      </w:pPr>
      <w:r>
        <w:tab/>
      </w:r>
      <m:oMath>
        <m:sSub>
          <m:e>
            <m:r>
              <m:t>P</m:t>
            </m:r>
          </m:e>
          <m:sub>
            <m:r>
              <m:t>t</m:t>
            </m:r>
            <m:r>
              <m:rPr>
                <m:sty m:val="p"/>
              </m:rPr>
              <m:t>|</m:t>
            </m:r>
            <m:r>
              <m:t>t</m:t>
            </m:r>
            <m:r>
              <m:rPr>
                <m:sty m:val="p"/>
              </m:rPr>
              <m:t>−</m:t>
            </m:r>
            <m:r>
              <m:t>1</m:t>
            </m:r>
          </m:sub>
        </m:sSub>
        <m:r>
          <m:rPr>
            <m:sty m:val="p"/>
          </m:rPr>
          <m:t>=</m:t>
        </m:r>
        <m:r>
          <m:t>T</m:t>
        </m:r>
        <m:r>
          <m:t> </m:t>
        </m:r>
        <m:sSub>
          <m:e>
            <m:r>
              <m:t>P</m:t>
            </m:r>
          </m:e>
          <m:sub>
            <m:r>
              <m:t>t</m:t>
            </m:r>
            <m:r>
              <m:rPr>
                <m:sty m:val="p"/>
              </m:rPr>
              <m:t>−</m:t>
            </m:r>
            <m:r>
              <m:t>1</m:t>
            </m:r>
            <m:r>
              <m:rPr>
                <m:sty m:val="p"/>
              </m:rPr>
              <m:t>|</m:t>
            </m:r>
            <m:r>
              <m:t>t</m:t>
            </m:r>
            <m:r>
              <m:rPr>
                <m:sty m:val="p"/>
              </m:rPr>
              <m:t>−</m:t>
            </m:r>
            <m:r>
              <m:t>1</m:t>
            </m:r>
          </m:sub>
        </m:sSub>
        <m:sSup>
          <m:e>
            <m:r>
              <m:t>T</m:t>
            </m:r>
          </m:e>
          <m:sup>
            <m:r>
              <m:rPr>
                <m:sty m:val="p"/>
              </m:rPr>
              <m:t>⊤</m:t>
            </m:r>
          </m:sup>
        </m:sSup>
        <m:r>
          <m:rPr>
            <m:sty m:val="p"/>
          </m:rPr>
          <m:t>+</m:t>
        </m:r>
        <m:r>
          <m:t>Q</m:t>
        </m:r>
      </m:oMath>
      <w:r>
        <w:tab/>
      </w:r>
      <w:r>
        <w:rPr>
          <w:rFonts w:ascii="Times New Roman" w:hAnsi="Times New Roman" w:eastAsia="宋体"/>
          <w:sz w:val="24"/>
        </w:rPr>
        <w:t>(5-7)</w:t>
      </w:r>
    </w:p>
    <w:p>
      <w:pPr>
        <w:spacing w:line="360" w:lineRule="auto" w:after="0"/>
        <w:ind w:firstLineChars="200" w:firstLine="480"/>
        <w:jc w:val="both"/>
      </w:pPr>
      <w:r>
        <w:rPr>
          <w:rFonts w:ascii="宋体" w:hAnsi="宋体" w:eastAsia="宋体"/>
          <w:sz w:val="24"/>
        </w:rPr>
        <w:t>预测不确定性由两部分构成：上一期估计误差经系统动态放大或衰减的部分（右端第一项），以及本期新注入的状态冲击（右端第二项）。在稳定系统中第一项趋于收缩，滤波不确定性最终收敛于稳态水平。第三步，计算新息及其方差。观测到</w:t>
      </w:r>
      <m:oMath>
        <m:sSub>
          <m:e>
            <m:r>
              <m:t>Y</m:t>
            </m:r>
          </m:e>
          <m:sub>
            <m:r>
              <m:t>t</m:t>
            </m:r>
          </m:sub>
        </m:sSub>
      </m:oMath>
      <w:r>
        <w:rPr>
          <w:rFonts w:ascii="宋体" w:hAnsi="宋体" w:eastAsia="宋体"/>
          <w:sz w:val="24"/>
        </w:rPr>
        <w:t>后，将其与预测观测比较：</w:t>
      </w:r>
    </w:p>
    <w:p>
      <w:pPr>
        <w:tabs>
          <w:tab w:pos="4252" w:val="center"/>
          <w:tab w:pos="8504" w:val="right"/>
        </w:tabs>
        <w:spacing w:line="360" w:lineRule="auto" w:before="80" w:after="80"/>
      </w:pPr>
      <w:r>
        <w:tab/>
      </w:r>
      <m:oMath>
        <m:sSub>
          <m:e>
            <m:r>
              <m:t>e</m:t>
            </m:r>
          </m:e>
          <m:sub>
            <m:r>
              <m:t>t</m:t>
            </m:r>
          </m:sub>
        </m:sSub>
        <m:r>
          <m:rPr>
            <m:sty m:val="p"/>
          </m:rPr>
          <m:t>=</m:t>
        </m:r>
        <m:sSub>
          <m:e>
            <m:r>
              <m:t>Y</m:t>
            </m:r>
          </m:e>
          <m:sub>
            <m:r>
              <m:t>t</m:t>
            </m:r>
          </m:sub>
        </m:sSub>
        <m:r>
          <m:rPr>
            <m:sty m:val="p"/>
          </m:rPr>
          <m:t>−</m:t>
        </m:r>
        <m:r>
          <m:t>Z</m:t>
        </m:r>
        <m:r>
          <m:t> </m:t>
        </m:r>
        <m:sSub>
          <m:e>
            <m:acc>
              <m:accPr>
                <m:chr m:val="̂"/>
              </m:accPr>
              <m:e>
                <m:r>
                  <m:t>S</m:t>
                </m:r>
              </m:e>
            </m:acc>
          </m:e>
          <m:sub>
            <m:r>
              <m:t>t</m:t>
            </m:r>
            <m:r>
              <m:rPr>
                <m:sty m:val="p"/>
              </m:rPr>
              <m:t>|</m:t>
            </m:r>
            <m:r>
              <m:t>t</m:t>
            </m:r>
            <m:r>
              <m:rPr>
                <m:sty m:val="p"/>
              </m:rPr>
              <m:t>−</m:t>
            </m:r>
            <m:r>
              <m:t>1</m:t>
            </m:r>
          </m:sub>
        </m:sSub>
        <m:r>
          <m:rPr>
            <m:sty m:val="p"/>
          </m:rPr>
          <m:t>,</m:t>
        </m:r>
        <m:r>
          <m:t>  </m:t>
        </m:r>
        <m:sSub>
          <m:e>
            <m:r>
              <m:t>F</m:t>
            </m:r>
          </m:e>
          <m:sub>
            <m:r>
              <m:t>t</m:t>
            </m:r>
          </m:sub>
        </m:sSub>
        <m:r>
          <m:rPr>
            <m:sty m:val="p"/>
          </m:rPr>
          <m:t>=</m:t>
        </m:r>
        <m:r>
          <m:t>Z</m:t>
        </m:r>
        <m:r>
          <m:t> </m:t>
        </m:r>
        <m:sSub>
          <m:e>
            <m:r>
              <m:t>P</m:t>
            </m:r>
          </m:e>
          <m:sub>
            <m:r>
              <m:t>t</m:t>
            </m:r>
            <m:r>
              <m:rPr>
                <m:sty m:val="p"/>
              </m:rPr>
              <m:t>|</m:t>
            </m:r>
            <m:r>
              <m:t>t</m:t>
            </m:r>
            <m:r>
              <m:rPr>
                <m:sty m:val="p"/>
              </m:rPr>
              <m:t>−</m:t>
            </m:r>
            <m:r>
              <m:t>1</m:t>
            </m:r>
          </m:sub>
        </m:sSub>
        <m:sSup>
          <m:e>
            <m:r>
              <m:t>Z</m:t>
            </m:r>
          </m:e>
          <m:sup>
            <m:r>
              <m:rPr>
                <m:sty m:val="p"/>
              </m:rPr>
              <m:t>⊤</m:t>
            </m:r>
          </m:sup>
        </m:sSup>
        <m:r>
          <m:rPr>
            <m:sty m:val="p"/>
          </m:rPr>
          <m:t>+</m:t>
        </m:r>
        <m:r>
          <m:t>H</m:t>
        </m:r>
      </m:oMath>
      <w:r>
        <w:tab/>
      </w:r>
      <w:r>
        <w:rPr>
          <w:rFonts w:ascii="Times New Roman" w:hAnsi="Times New Roman" w:eastAsia="宋体"/>
          <w:sz w:val="24"/>
        </w:rPr>
        <w:t>(5-8)</w:t>
      </w:r>
    </w:p>
    <w:p>
      <w:pPr>
        <w:spacing w:line="360" w:lineRule="auto" w:after="0"/>
        <w:ind w:firstLineChars="200" w:firstLine="480"/>
        <w:jc w:val="both"/>
      </w:pPr>
      <m:oMath>
        <m:sSub>
          <m:e>
            <m:r>
              <m:t>e</m:t>
            </m:r>
          </m:e>
          <m:sub>
            <m:r>
              <m:t>t</m:t>
            </m:r>
          </m:sub>
        </m:sSub>
      </m:oMath>
      <w:r>
        <w:rPr>
          <w:rFonts w:ascii="宋体" w:hAnsi="宋体" w:eastAsia="宋体"/>
          <w:sz w:val="24"/>
        </w:rPr>
        <w:t>称为新息（innovation），度量本期观测中未被历史信息预测到的“新内容”；</w:t>
      </w:r>
      <m:oMath>
        <m:sSub>
          <m:e>
            <m:r>
              <m:t>F</m:t>
            </m:r>
          </m:e>
          <m:sub>
            <m:r>
              <m:t>t</m:t>
            </m:r>
          </m:sub>
        </m:sSub>
      </m:oMath>
      <w:r>
        <w:rPr>
          <w:rFonts w:ascii="宋体" w:hAnsi="宋体" w:eastAsia="宋体"/>
          <w:sz w:val="24"/>
        </w:rPr>
        <w:t>为新息的协方差矩阵，由状态预测不确定性与测量噪声共同构成。模型设定正确时，新息序列应为序列不相关的鞅差分序列，这一性质既是构造似然函数的基础，也提供了事后诊断模型设定的依据。第四步，计算卡尔曼增益：</w:t>
      </w:r>
    </w:p>
    <w:p>
      <w:pPr>
        <w:tabs>
          <w:tab w:pos="4252" w:val="center"/>
          <w:tab w:pos="8504" w:val="right"/>
        </w:tabs>
        <w:spacing w:line="360" w:lineRule="auto" w:before="80" w:after="80"/>
      </w:pPr>
      <w:r>
        <w:tab/>
      </w:r>
      <m:oMath>
        <m:sSub>
          <m:e>
            <m:r>
              <m:t>K</m:t>
            </m:r>
          </m:e>
          <m:sub>
            <m:r>
              <m:t>t</m:t>
            </m:r>
          </m:sub>
        </m:sSub>
        <m:r>
          <m:rPr>
            <m:sty m:val="p"/>
          </m:rPr>
          <m:t>=</m:t>
        </m:r>
        <m:sSub>
          <m:e>
            <m:r>
              <m:t>P</m:t>
            </m:r>
          </m:e>
          <m:sub>
            <m:r>
              <m:t>t</m:t>
            </m:r>
            <m:r>
              <m:rPr>
                <m:sty m:val="p"/>
              </m:rPr>
              <m:t>|</m:t>
            </m:r>
            <m:r>
              <m:t>t</m:t>
            </m:r>
            <m:r>
              <m:rPr>
                <m:sty m:val="p"/>
              </m:rPr>
              <m:t>−</m:t>
            </m:r>
            <m:r>
              <m:t>1</m:t>
            </m:r>
          </m:sub>
        </m:sSub>
        <m:sSup>
          <m:e>
            <m:r>
              <m:t>Z</m:t>
            </m:r>
          </m:e>
          <m:sup>
            <m:r>
              <m:rPr>
                <m:sty m:val="p"/>
              </m:rPr>
              <m:t>⊤</m:t>
            </m:r>
          </m:sup>
        </m:sSup>
        <m:sSubSup>
          <m:e>
            <m:r>
              <m:t>F</m:t>
            </m:r>
          </m:e>
          <m:sub>
            <m:r>
              <m:t>t</m:t>
            </m:r>
          </m:sub>
          <m:sup>
            <m:r>
              <m:rPr>
                <m:sty m:val="p"/>
              </m:rPr>
              <m:t>−</m:t>
            </m:r>
            <m:r>
              <m:t>1</m:t>
            </m:r>
          </m:sup>
        </m:sSubSup>
      </m:oMath>
      <w:r>
        <w:tab/>
      </w:r>
      <w:r>
        <w:rPr>
          <w:rFonts w:ascii="Times New Roman" w:hAnsi="Times New Roman" w:eastAsia="宋体"/>
          <w:sz w:val="24"/>
        </w:rPr>
        <w:t>(5-9)</w:t>
      </w:r>
    </w:p>
    <w:p>
      <w:pPr>
        <w:spacing w:line="360" w:lineRule="auto" w:after="0"/>
        <w:ind w:firstLineChars="200" w:firstLine="480"/>
        <w:jc w:val="both"/>
      </w:pPr>
      <w:r>
        <w:rPr>
          <w:rFonts w:ascii="宋体" w:hAnsi="宋体" w:eastAsia="宋体"/>
          <w:sz w:val="24"/>
        </w:rPr>
        <w:t>增益矩阵决定新息在多大程度上修正状态估计，其实质是预测精度与观测精度的相对权衡：当状态预测不确定性较大（</w:t>
      </w:r>
      <m:oMath>
        <m:sSub>
          <m:e>
            <m:r>
              <m:t>P</m:t>
            </m:r>
          </m:e>
          <m:sub>
            <m:r>
              <m:t>t</m:t>
            </m:r>
            <m:r>
              <m:rPr>
                <m:sty m:val="p"/>
              </m:rPr>
              <m:t>|</m:t>
            </m:r>
            <m:r>
              <m:t>t</m:t>
            </m:r>
            <m:r>
              <m:rPr>
                <m:sty m:val="p"/>
              </m:rPr>
              <m:t>−</m:t>
            </m:r>
            <m:r>
              <m:t>1</m:t>
            </m:r>
          </m:sub>
        </m:sSub>
      </m:oMath>
      <w:r>
        <w:rPr>
          <w:rFonts w:ascii="宋体" w:hAnsi="宋体" w:eastAsia="宋体"/>
          <w:sz w:val="24"/>
        </w:rPr>
        <w:t>大）或观测噪声较小（</w:t>
      </w:r>
      <m:oMath>
        <m:r>
          <m:t>H</m:t>
        </m:r>
      </m:oMath>
      <w:r>
        <w:rPr>
          <w:rFonts w:ascii="宋体" w:hAnsi="宋体" w:eastAsia="宋体"/>
          <w:sz w:val="24"/>
        </w:rPr>
        <w:t>小）时，增益接近1，滤波高度信任新观测；反之增益趋近于零，滤波主要依赖模型外推。增益可以理解为一种统计意义上的“信噪比”加权。第五步，更新状态估计与协方差：</w:t>
      </w:r>
    </w:p>
    <w:p>
      <w:pPr>
        <w:tabs>
          <w:tab w:pos="4252" w:val="center"/>
          <w:tab w:pos="8504" w:val="right"/>
        </w:tabs>
        <w:spacing w:line="360" w:lineRule="auto" w:before="80" w:after="80"/>
      </w:pPr>
      <w:r>
        <w:tab/>
      </w:r>
      <m:oMath>
        <m:sSub>
          <m:e>
            <m:acc>
              <m:accPr>
                <m:chr m:val="̂"/>
              </m:accPr>
              <m:e>
                <m:r>
                  <m:t>S</m:t>
                </m:r>
              </m:e>
            </m:acc>
          </m:e>
          <m:sub>
            <m:r>
              <m:t>t</m:t>
            </m:r>
            <m:r>
              <m:rPr>
                <m:sty m:val="p"/>
              </m:rPr>
              <m:t>|</m:t>
            </m:r>
            <m:r>
              <m:t>t</m:t>
            </m:r>
          </m:sub>
        </m:sSub>
        <m:r>
          <m:rPr>
            <m:sty m:val="p"/>
          </m:rPr>
          <m:t>=</m:t>
        </m:r>
        <m:sSub>
          <m:e>
            <m:acc>
              <m:accPr>
                <m:chr m:val="̂"/>
              </m:accPr>
              <m:e>
                <m:r>
                  <m:t>S</m:t>
                </m:r>
              </m:e>
            </m:acc>
          </m:e>
          <m:sub>
            <m:r>
              <m:t>t</m:t>
            </m:r>
            <m:r>
              <m:rPr>
                <m:sty m:val="p"/>
              </m:rPr>
              <m:t>|</m:t>
            </m:r>
            <m:r>
              <m:t>t</m:t>
            </m:r>
            <m:r>
              <m:rPr>
                <m:sty m:val="p"/>
              </m:rPr>
              <m:t>−</m:t>
            </m:r>
            <m:r>
              <m:t>1</m:t>
            </m:r>
          </m:sub>
        </m:sSub>
        <m:r>
          <m:rPr>
            <m:sty m:val="p"/>
          </m:rPr>
          <m:t>+</m:t>
        </m:r>
        <m:sSub>
          <m:e>
            <m:r>
              <m:t>K</m:t>
            </m:r>
          </m:e>
          <m:sub>
            <m:r>
              <m:t>t</m:t>
            </m:r>
          </m:sub>
        </m:sSub>
        <m:sSub>
          <m:e>
            <m:r>
              <m:t>e</m:t>
            </m:r>
          </m:e>
          <m:sub>
            <m:r>
              <m:t>t</m:t>
            </m:r>
          </m:sub>
        </m:sSub>
        <m:r>
          <m:rPr>
            <m:sty m:val="p"/>
          </m:rPr>
          <m:t>,</m:t>
        </m:r>
        <m:r>
          <m:t>  </m:t>
        </m:r>
        <m:sSub>
          <m:e>
            <m:r>
              <m:t>P</m:t>
            </m:r>
          </m:e>
          <m:sub>
            <m:r>
              <m:t>t</m:t>
            </m:r>
            <m:r>
              <m:rPr>
                <m:sty m:val="p"/>
              </m:rPr>
              <m:t>|</m:t>
            </m:r>
            <m:r>
              <m:t>t</m:t>
            </m:r>
          </m:sub>
        </m:sSub>
        <m:r>
          <m:rPr>
            <m:sty m:val="p"/>
          </m:rPr>
          <m:t>=</m:t>
        </m:r>
        <m:d>
          <m:dPr>
            <m:begChr m:val="("/>
            <m:sepChr m:val=""/>
            <m:endChr m:val=")"/>
            <m:grow/>
          </m:dPr>
          <m:e>
            <m:sSub>
              <m:e>
                <m:r>
                  <m:t>I</m:t>
                </m:r>
              </m:e>
              <m:sub>
                <m:r>
                  <m:t>5</m:t>
                </m:r>
              </m:sub>
            </m:sSub>
            <m:r>
              <m:rPr>
                <m:sty m:val="p"/>
              </m:rPr>
              <m:t>−</m:t>
            </m:r>
            <m:sSub>
              <m:e>
                <m:r>
                  <m:t>K</m:t>
                </m:r>
              </m:e>
              <m:sub>
                <m:r>
                  <m:t>t</m:t>
                </m:r>
              </m:sub>
            </m:sSub>
            <m:r>
              <m:t>Z</m:t>
            </m:r>
          </m:e>
        </m:d>
        <m:sSub>
          <m:e>
            <m:r>
              <m:t>P</m:t>
            </m:r>
          </m:e>
          <m:sub>
            <m:r>
              <m:t>t</m:t>
            </m:r>
            <m:r>
              <m:rPr>
                <m:sty m:val="p"/>
              </m:rPr>
              <m:t>|</m:t>
            </m:r>
            <m:r>
              <m:t>t</m:t>
            </m:r>
            <m:r>
              <m:rPr>
                <m:sty m:val="p"/>
              </m:rPr>
              <m:t>−</m:t>
            </m:r>
            <m:r>
              <m:t>1</m:t>
            </m:r>
          </m:sub>
        </m:sSub>
      </m:oMath>
      <w:r>
        <w:tab/>
      </w:r>
      <w:r>
        <w:rPr>
          <w:rFonts w:ascii="Times New Roman" w:hAnsi="Times New Roman" w:eastAsia="宋体"/>
          <w:sz w:val="24"/>
        </w:rPr>
        <w:t>(5-10)</w:t>
      </w:r>
    </w:p>
    <w:p>
      <w:pPr>
        <w:spacing w:line="360" w:lineRule="auto" w:after="0"/>
        <w:ind w:firstLineChars="200" w:firstLine="480"/>
        <w:jc w:val="both"/>
      </w:pPr>
      <w:r>
        <w:rPr>
          <w:rFonts w:ascii="宋体" w:hAnsi="宋体" w:eastAsia="宋体"/>
          <w:sz w:val="24"/>
        </w:rPr>
        <w:t>更新后的状态估计是模型预测与新观测的贝叶斯加权平均，更新后的协方差较预测协方差收缩，收缩幅度取决于新观测的信息含量。至此一次迭代完成，滤波推进至下一期。五步递推蕴含一个贴切的经济隐喻：它相当于一位持续跟踪标准体系的观察者的理性学习过程——每年先依据对体系运行规律的理解（转移矩阵与驱动传导）形成预期，再以新发布的编码数据检验预期，并按信息可靠程度修正判断。滤波输出的</w:t>
      </w:r>
      <m:oMath>
        <m:sSub>
          <m:e>
            <m:acc>
              <m:accPr>
                <m:chr m:val="̂"/>
              </m:accPr>
              <m:e>
                <m:r>
                  <m:t>S</m:t>
                </m:r>
              </m:e>
            </m:acc>
          </m:e>
          <m:sub>
            <m:r>
              <m:t>t</m:t>
            </m:r>
            <m:r>
              <m:rPr>
                <m:sty m:val="p"/>
              </m:rPr>
              <m:t>|</m:t>
            </m:r>
            <m:r>
              <m:t>t</m:t>
            </m:r>
          </m:sub>
        </m:sSub>
      </m:oMath>
      <w:r>
        <w:rPr>
          <w:rFonts w:ascii="宋体" w:hAnsi="宋体" w:eastAsia="宋体"/>
          <w:sz w:val="24"/>
        </w:rPr>
        <w:t>序列即“剔除编码噪声后的体系真实状态”的最优估计。在获得全样本后，本章进一步以固定区间平滑算法反向递推，利用全部信息改进各期状态估计，其结果用于5.5节的贡献分解。</w:t>
      </w:r>
    </w:p>
    <w:p>
      <w:pPr>
        <w:keepNext/>
        <w:spacing w:before="160" w:after="120" w:line="360" w:lineRule="auto"/>
        <w:outlineLvl w:val="2"/>
      </w:pPr>
      <w:r>
        <w:rPr>
          <w:rFonts w:ascii="黑体" w:hAnsi="黑体" w:eastAsia="黑体"/>
          <w:sz w:val="24"/>
        </w:rPr>
        <w:t>5.2.3  极大似然函数的构造与估计实施</w:t>
      </w:r>
    </w:p>
    <w:p>
      <w:pPr>
        <w:spacing w:line="360" w:lineRule="auto" w:after="0"/>
        <w:ind w:firstLineChars="200" w:firstLine="480"/>
        <w:jc w:val="both"/>
      </w:pPr>
      <w:r>
        <w:rPr>
          <w:rFonts w:ascii="宋体" w:hAnsi="宋体" w:eastAsia="宋体"/>
          <w:sz w:val="24"/>
        </w:rPr>
        <w:t>状态空间模型的似然函数可由滤波副产品直接构造。由于新息</w:t>
      </w:r>
      <m:oMath>
        <m:sSub>
          <m:e>
            <m:r>
              <m:t>e</m:t>
            </m:r>
          </m:e>
          <m:sub>
            <m:r>
              <m:t>t</m:t>
            </m:r>
          </m:sub>
        </m:sSub>
      </m:oMath>
      <w:r>
        <w:rPr>
          <w:rFonts w:ascii="宋体" w:hAnsi="宋体" w:eastAsia="宋体"/>
          <w:sz w:val="24"/>
        </w:rPr>
        <w:t>在正确设定下服从均值为零、协方差为</w:t>
      </w:r>
      <m:oMath>
        <m:sSub>
          <m:e>
            <m:r>
              <m:t>F</m:t>
            </m:r>
          </m:e>
          <m:sub>
            <m:r>
              <m:t>t</m:t>
            </m:r>
          </m:sub>
        </m:sSub>
      </m:oMath>
      <w:r>
        <w:rPr>
          <w:rFonts w:ascii="宋体" w:hAnsi="宋体" w:eastAsia="宋体"/>
          <w:sz w:val="24"/>
        </w:rPr>
        <w:t>的多元正态分布且序列不相关，样本的联合密度可按预测误差分解写成各期新息密度的乘积，取对数即得对数似然函数：</w:t>
      </w:r>
    </w:p>
    <w:p>
      <w:pPr>
        <w:tabs>
          <w:tab w:pos="4252" w:val="center"/>
          <w:tab w:pos="8504" w:val="right"/>
        </w:tabs>
        <w:spacing w:line="360" w:lineRule="auto" w:before="80" w:after="80"/>
      </w:pPr>
      <w:r>
        <w:tab/>
      </w:r>
      <m:oMath>
        <m:r>
          <m:rPr>
            <m:sty m:val="p"/>
          </m:rPr>
          <m:t>ln</m:t>
        </m:r>
        <m:r>
          <m:t>L</m:t>
        </m:r>
        <m:d>
          <m:dPr>
            <m:begChr m:val="("/>
            <m:sepChr m:val=""/>
            <m:endChr m:val=")"/>
            <m:grow/>
          </m:dPr>
          <m:e>
            <m:r>
              <m:t>θ</m:t>
            </m:r>
          </m:e>
        </m:d>
        <m:r>
          <m:rPr>
            <m:sty m:val="p"/>
          </m:rPr>
          <m:t>=</m:t>
        </m:r>
        <m:r>
          <m:rPr>
            <m:sty m:val="p"/>
          </m:rPr>
          <m:t>−</m:t>
        </m:r>
        <m:f>
          <m:fPr>
            <m:type m:val="bar"/>
          </m:fPr>
          <m:num>
            <m:r>
              <m:t>1</m:t>
            </m:r>
          </m:num>
          <m:den>
            <m:r>
              <m:t>2</m:t>
            </m:r>
          </m:den>
        </m:f>
        <m:nary>
          <m:naryPr>
            <m:chr m:val="∑"/>
            <m:limLoc m:val="undOvr"/>
            <m:subHide m:val="off"/>
            <m:supHide m:val="off"/>
          </m:naryPr>
          <m:sub>
            <m:r>
              <m:t>t</m:t>
            </m:r>
            <m:r>
              <m:rPr>
                <m:sty m:val="p"/>
              </m:rPr>
              <m:t>=</m:t>
            </m:r>
            <m:r>
              <m:t>1</m:t>
            </m:r>
          </m:sub>
          <m:sup>
            <m:sSub>
              <m:e>
                <m:r>
                  <m:t>N</m:t>
                </m:r>
              </m:e>
              <m:sub>
                <m:r>
                  <m:t>T</m:t>
                </m:r>
              </m:sub>
            </m:sSub>
          </m:sup>
          <m:e>
            <m:d>
              <m:dPr>
                <m:begChr m:val="("/>
                <m:sepChr m:val=""/>
                <m:endChr m:val=")"/>
                <m:grow/>
              </m:dPr>
              <m:e>
                <m:r>
                  <m:t>n</m:t>
                </m:r>
                <m:r>
                  <m:rPr>
                    <m:sty m:val="p"/>
                  </m:rPr>
                  <m:t>ln</m:t>
                </m:r>
                <m:r>
                  <m:t>2</m:t>
                </m:r>
                <m:r>
                  <m:t>π</m:t>
                </m:r>
                <m:r>
                  <m:rPr>
                    <m:sty m:val="p"/>
                  </m:rPr>
                  <m:t>+</m:t>
                </m:r>
                <m:r>
                  <m:rPr>
                    <m:sty m:val="p"/>
                  </m:rPr>
                  <m:t>ln</m:t>
                </m:r>
                <m:d>
                  <m:dPr>
                    <m:begChr m:val="|"/>
                    <m:sepChr m:val=""/>
                    <m:endChr m:val="|"/>
                    <m:grow/>
                  </m:dPr>
                  <m:e>
                    <m:sSub>
                      <m:e>
                        <m:r>
                          <m:t>F</m:t>
                        </m:r>
                      </m:e>
                      <m:sub>
                        <m:r>
                          <m:t>t</m:t>
                        </m:r>
                      </m:sub>
                    </m:sSub>
                  </m:e>
                </m:d>
                <m:r>
                  <m:rPr>
                    <m:sty m:val="p"/>
                  </m:rPr>
                  <m:t>+</m:t>
                </m:r>
                <m:sSubSup>
                  <m:e>
                    <m:r>
                      <m:t>e</m:t>
                    </m:r>
                  </m:e>
                  <m:sub>
                    <m:r>
                      <m:t>t</m:t>
                    </m:r>
                  </m:sub>
                  <m:sup>
                    <m:r>
                      <m:rPr>
                        <m:sty m:val="p"/>
                      </m:rPr>
                      <m:t>⊤</m:t>
                    </m:r>
                  </m:sup>
                </m:sSubSup>
                <m:sSubSup>
                  <m:e>
                    <m:r>
                      <m:t>F</m:t>
                    </m:r>
                  </m:e>
                  <m:sub>
                    <m:r>
                      <m:t>t</m:t>
                    </m:r>
                  </m:sub>
                  <m:sup>
                    <m:r>
                      <m:rPr>
                        <m:sty m:val="p"/>
                      </m:rPr>
                      <m:t>−</m:t>
                    </m:r>
                    <m:r>
                      <m:t>1</m:t>
                    </m:r>
                  </m:sup>
                </m:sSubSup>
                <m:sSub>
                  <m:e>
                    <m:r>
                      <m:t>e</m:t>
                    </m:r>
                  </m:e>
                  <m:sub>
                    <m:r>
                      <m:t>t</m:t>
                    </m:r>
                  </m:sub>
                </m:sSub>
              </m:e>
            </m:d>
          </m:e>
        </m:nary>
      </m:oMath>
      <w:r>
        <w:tab/>
      </w:r>
      <w:r>
        <w:rPr>
          <w:rFonts w:ascii="Times New Roman" w:hAnsi="Times New Roman" w:eastAsia="宋体"/>
          <w:sz w:val="24"/>
        </w:rPr>
        <w:t>(5-11)</w:t>
      </w:r>
    </w:p>
    <w:p>
      <w:pPr>
        <w:spacing w:line="360" w:lineRule="auto" w:after="0"/>
        <w:jc w:val="both"/>
      </w:pPr>
      <w:r>
        <w:rPr>
          <w:rFonts w:ascii="宋体" w:hAnsi="宋体" w:eastAsia="宋体"/>
          <w:sz w:val="24"/>
        </w:rPr>
        <w:t>其中，</w:t>
      </w:r>
      <m:oMath>
        <m:r>
          <m:t>n</m:t>
        </m:r>
        <m:r>
          <m:rPr>
            <m:sty m:val="p"/>
          </m:rPr>
          <m:t>=</m:t>
        </m:r>
        <m:r>
          <m:t>5</m:t>
        </m:r>
      </m:oMath>
      <w:r>
        <w:rPr>
          <w:rFonts w:ascii="宋体" w:hAnsi="宋体" w:eastAsia="宋体"/>
          <w:sz w:val="24"/>
        </w:rPr>
        <w:t>为观测向量维度，</w:t>
      </w:r>
      <m:oMath>
        <m:sSub>
          <m:e>
            <m:r>
              <m:t>N</m:t>
            </m:r>
          </m:e>
          <m:sub>
            <m:r>
              <m:t>T</m:t>
            </m:r>
          </m:sub>
        </m:sSub>
      </m:oMath>
      <w:r>
        <w:rPr>
          <w:rFonts w:ascii="宋体" w:hAnsi="宋体" w:eastAsia="宋体"/>
          <w:sz w:val="24"/>
        </w:rPr>
        <w:t>为样本期数，</w:t>
      </w:r>
      <m:oMath>
        <m:d>
          <m:dPr>
            <m:begChr m:val="|"/>
            <m:sepChr m:val=""/>
            <m:endChr m:val="|"/>
            <m:grow/>
          </m:dPr>
          <m:e>
            <m:sSub>
              <m:e>
                <m:r>
                  <m:t>F</m:t>
                </m:r>
              </m:e>
              <m:sub>
                <m:r>
                  <m:t>t</m:t>
                </m:r>
              </m:sub>
            </m:sSub>
          </m:e>
        </m:d>
      </m:oMath>
      <w:r>
        <w:rPr>
          <w:rFonts w:ascii="宋体" w:hAnsi="宋体" w:eastAsia="宋体"/>
          <w:sz w:val="24"/>
        </w:rPr>
        <w:t>为新息协方差矩阵的行列式。每一组参数</w:t>
      </w:r>
      <m:oMath>
        <m:r>
          <m:t>θ</m:t>
        </m:r>
      </m:oMath>
      <w:r>
        <w:rPr>
          <w:rFonts w:ascii="宋体" w:hAnsi="宋体" w:eastAsia="宋体"/>
          <w:sz w:val="24"/>
        </w:rPr>
        <w:t>对应一次完整的滤波递推与一个似然值，估计即在参数空间中搜索使式(5-11)最大的</w:t>
      </w:r>
      <m:oMath>
        <m:r>
          <m:t>θ</m:t>
        </m:r>
      </m:oMath>
      <w:r>
        <w:rPr>
          <w:rFonts w:ascii="宋体" w:hAnsi="宋体" w:eastAsia="宋体"/>
          <w:sz w:val="24"/>
        </w:rPr>
        <w:t>。</w:t>
      </w:r>
    </w:p>
    <w:p>
      <w:pPr>
        <w:spacing w:line="360" w:lineRule="auto" w:after="0"/>
        <w:ind w:firstLineChars="200" w:firstLine="480"/>
        <w:jc w:val="both"/>
      </w:pPr>
      <w:r>
        <w:rPr>
          <w:rFonts w:ascii="宋体" w:hAnsi="宋体" w:eastAsia="宋体"/>
          <w:sz w:val="24"/>
        </w:rPr>
        <w:t>估计实施要点如下。其一，初始化：状态初值以样本首期观测为条件均值，配以较大的先验方差（扩散初始化），使初值设定的影响随滤波递推迅速消退。其二，参数变换：</w:t>
      </w:r>
      <m:oMath>
        <m:r>
          <m:t>Q</m:t>
        </m:r>
      </m:oMath>
      <w:r>
        <w:rPr>
          <w:rFonts w:ascii="宋体" w:hAnsi="宋体" w:eastAsia="宋体"/>
          <w:sz w:val="24"/>
        </w:rPr>
        <w:t>与</w:t>
      </w:r>
      <m:oMath>
        <m:r>
          <m:t>H</m:t>
        </m:r>
      </m:oMath>
      <w:r>
        <w:rPr>
          <w:rFonts w:ascii="宋体" w:hAnsi="宋体" w:eastAsia="宋体"/>
          <w:sz w:val="24"/>
        </w:rPr>
        <w:t>的对角元经对数变换保证正定性，优化在无约束参数空间进行。其三，数值优化：以拟牛顿法（BFGS）最大化式(5-11)，并以多组随机初值重复优化以规避局部极值。其四，统计推断：参数标准误由收敛点处数值黑塞矩阵之逆的对角元开方得到。</w:t>
      </w:r>
    </w:p>
    <w:p>
      <w:pPr>
        <w:keepNext/>
        <w:spacing w:before="160" w:after="120" w:line="360" w:lineRule="auto"/>
        <w:outlineLvl w:val="2"/>
      </w:pPr>
      <w:r>
        <w:rPr>
          <w:rFonts w:ascii="黑体" w:hAnsi="黑体" w:eastAsia="黑体"/>
          <w:sz w:val="24"/>
        </w:rPr>
        <w:t>5.2.4  参数的可识别性讨论</w:t>
      </w:r>
    </w:p>
    <w:p>
      <w:pPr>
        <w:spacing w:line="360" w:lineRule="auto" w:after="0"/>
        <w:ind w:firstLineChars="200" w:firstLine="480"/>
        <w:jc w:val="both"/>
      </w:pPr>
      <w:r>
        <w:rPr>
          <w:rFonts w:ascii="宋体" w:hAnsi="宋体" w:eastAsia="宋体"/>
          <w:sz w:val="24"/>
        </w:rPr>
        <w:t>在将模型付诸估计之前，必须回答参数是否可识别。本章模型的待估参数包括交互矩阵A的25个元素、传导矩阵B的20个元素以及</w:t>
      </w:r>
      <m:oMath>
        <m:r>
          <m:t>Q</m:t>
        </m:r>
      </m:oMath>
      <w:r>
        <w:rPr>
          <w:rFonts w:ascii="宋体" w:hAnsi="宋体" w:eastAsia="宋体"/>
          <w:sz w:val="24"/>
        </w:rPr>
        <w:t>、</w:t>
      </w:r>
      <m:oMath>
        <m:r>
          <m:t>H</m:t>
        </m:r>
      </m:oMath>
      <w:r>
        <w:rPr>
          <w:rFonts w:ascii="宋体" w:hAnsi="宋体" w:eastAsia="宋体"/>
          <w:sz w:val="24"/>
        </w:rPr>
        <w:t>的各5个对角元，合计55个自由参数；样本为33年×5个指标共165个观测，并不宽裕，识别问题需从三个层面澄清。第一，状态旋转问题不存在。一般潜变量状态空间模型中，状态可经任意可逆线性变换而观测等价，需另行施加正规化约束；本章的状态具有明确的经济定义——五类标准的真实综合水平，量测矩阵</w:t>
      </w:r>
      <m:oMath>
        <m:r>
          <m:t>Z</m:t>
        </m:r>
        <m:r>
          <m:rPr>
            <m:sty m:val="p"/>
          </m:rPr>
          <m:t>=</m:t>
        </m:r>
        <m:sSub>
          <m:e>
            <m:r>
              <m:t>I</m:t>
            </m:r>
          </m:e>
          <m:sub>
            <m:r>
              <m:t>5</m:t>
            </m:r>
          </m:sub>
        </m:sSub>
      </m:oMath>
      <w:r>
        <w:rPr>
          <w:rFonts w:ascii="宋体" w:hAnsi="宋体" w:eastAsia="宋体"/>
          <w:sz w:val="24"/>
        </w:rPr>
        <w:t>由编码方案外生给定而非待估，状态的尺度与旋转因此被完全钉住。</w:t>
      </w:r>
    </w:p>
    <w:p>
      <w:pPr>
        <w:spacing w:line="360" w:lineRule="auto" w:after="0"/>
        <w:ind w:firstLineChars="200" w:firstLine="480"/>
        <w:jc w:val="both"/>
      </w:pPr>
      <w:r>
        <w:rPr>
          <w:rFonts w:ascii="宋体" w:hAnsi="宋体" w:eastAsia="宋体"/>
          <w:sz w:val="24"/>
        </w:rPr>
        <w:t>第二，状态冲击与测量误差的分离识别。</w:t>
      </w:r>
      <m:oMath>
        <m:r>
          <m:t>Q</m:t>
        </m:r>
      </m:oMath>
      <w:r>
        <w:rPr>
          <w:rFonts w:ascii="宋体" w:hAnsi="宋体" w:eastAsia="宋体"/>
          <w:sz w:val="24"/>
        </w:rPr>
        <w:t>与</w:t>
      </w:r>
      <m:oMath>
        <m:r>
          <m:t>H</m:t>
        </m:r>
      </m:oMath>
      <w:r>
        <w:rPr>
          <w:rFonts w:ascii="宋体" w:hAnsi="宋体" w:eastAsia="宋体"/>
          <w:sz w:val="24"/>
        </w:rPr>
        <w:t>均影响观测方差，但二者对数据动态结构的含义不同：状态冲击经转移矩阵持续传播，在观测序列中留下与系统动态一致的自相关印记；测量误差为白噪声，只抬高同期方差而不进入动态。只要转移矩阵不退化，观测的自协方差函数便携带区分二者的充分信息。第三，A与B的分离识别。二者分别与前定状态</w:t>
      </w:r>
      <m:oMath>
        <m:sSub>
          <m:e>
            <m:r>
              <m:t>S</m:t>
            </m:r>
          </m:e>
          <m:sub>
            <m:r>
              <m:t>t</m:t>
            </m:r>
            <m:r>
              <m:rPr>
                <m:sty m:val="p"/>
              </m:rPr>
              <m:t>−</m:t>
            </m:r>
            <m:r>
              <m:t>1</m:t>
            </m:r>
          </m:sub>
        </m:sSub>
      </m:oMath>
      <w:r>
        <w:rPr>
          <w:rFonts w:ascii="宋体" w:hAnsi="宋体" w:eastAsia="宋体"/>
          <w:sz w:val="24"/>
        </w:rPr>
        <w:t>和外生驱动</w:t>
      </w:r>
      <m:oMath>
        <m:sSub>
          <m:e>
            <m:r>
              <m:t>u</m:t>
            </m:r>
          </m:e>
          <m:sub>
            <m:r>
              <m:t>t</m:t>
            </m:r>
            <m:r>
              <m:rPr>
                <m:sty m:val="p"/>
              </m:rPr>
              <m:t>−</m:t>
            </m:r>
            <m:r>
              <m:t>1</m:t>
            </m:r>
          </m:sub>
        </m:sSub>
      </m:oMath>
      <w:r>
        <w:rPr>
          <w:rFonts w:ascii="宋体" w:hAnsi="宋体" w:eastAsia="宋体"/>
          <w:sz w:val="24"/>
        </w:rPr>
        <w:t>相乘，只要驱动序列与状态序列不完全共线即可分别识别——本章四个驱动变量的阶梯形与趋势形路径显著异于状态指数的平滑轨迹，保证了这一条件。数值层面，收敛点处信息矩阵满秩、黑塞矩阵非奇异，且不同初值收敛至同一参数点，支持模型局部可识别的判断。</w:t>
      </w:r>
    </w:p>
    <w:p>
      <w:pPr>
        <w:spacing w:line="360" w:lineRule="auto" w:after="0"/>
        <w:ind w:firstLineChars="200" w:firstLine="480"/>
        <w:jc w:val="both"/>
      </w:pPr>
      <w:r>
        <w:rPr>
          <w:rFonts w:ascii="宋体" w:hAnsi="宋体" w:eastAsia="宋体"/>
          <w:sz w:val="24"/>
        </w:rPr>
        <w:t>仍需坦承识别的边界。其一，本章未对A、B施加排除性约束，全部交互与传导渠道均由数据决定，其代价是部分传导微弱的元素估计精度有限，解读时应结合显著性甄别；其二，驱动变量被设定为外生，标准体系反向影响碳价或政策节奏的渠道（例如核算标准完善提高碳市场数据质量、进而影响价格发现）在本章框架内被抽象掉，这一双向互动将在第6章互馈模型与第7章博弈模型中得到刻画；其三，参数在全样本内假设恒定，驱动力格局的时变通过5.5节的分解间接呈现，而非通过时变参数直接估计，这是样本长度约束下的折中选择。</w:t>
      </w:r>
    </w:p>
    <w:p>
      <w:pPr>
        <w:keepNext/>
        <w:spacing w:before="160" w:after="120" w:line="360" w:lineRule="auto"/>
        <w:outlineLvl w:val="1"/>
      </w:pPr>
      <w:r>
        <w:rPr>
          <w:rFonts w:ascii="黑体" w:hAnsi="黑体" w:eastAsia="黑体"/>
          <w:sz w:val="28"/>
        </w:rPr>
        <w:t>5.3  数据与变量</w:t>
      </w:r>
    </w:p>
    <w:p>
      <w:pPr>
        <w:keepNext/>
        <w:spacing w:before="160" w:after="120" w:line="360" w:lineRule="auto"/>
        <w:outlineLvl w:val="2"/>
      </w:pPr>
      <w:r>
        <w:rPr>
          <w:rFonts w:ascii="黑体" w:hAnsi="黑体" w:eastAsia="黑体"/>
          <w:sz w:val="24"/>
        </w:rPr>
        <w:t>5.3.1  状态变量：五类标准综合指数</w:t>
      </w:r>
    </w:p>
    <w:p>
      <w:pPr>
        <w:spacing w:line="360" w:lineRule="auto" w:after="0"/>
        <w:ind w:firstLineChars="200" w:firstLine="480"/>
        <w:jc w:val="both"/>
      </w:pPr>
      <w:r>
        <w:rPr>
          <w:rFonts w:ascii="宋体" w:hAnsi="宋体" w:eastAsia="宋体"/>
          <w:sz w:val="24"/>
        </w:rPr>
        <w:t>状态变量的观测取自第4章构建的标准文本数据库。按照式(4-1)，对1993—2025年每一类标准的现行有效条目，以技术严格程度的归一化存量加权平均与覆盖完整性得分合成年度综合指数，得到五条长度为33年的观测序列，合计165个观测。指数在[0,1]区间取值，同时承载“严不严”（技术严格程度）与“全不全”（覆盖完整性）两重信息，其编码维度、分级规则与稳健性检验已在第4章详述，此处不再重复。图5.2绘制了五类指数的完整演化轨迹。</w:t>
      </w:r>
    </w:p>
    <w:p>
      <w:pPr>
        <w:spacing w:before="120" w:after="40"/>
        <w:jc w:val="center"/>
      </w:pPr>
      <w:r>
        <w:drawing>
          <wp:inline xmlns:a="http://schemas.openxmlformats.org/drawingml/2006/main" xmlns:pic="http://schemas.openxmlformats.org/drawingml/2006/picture">
            <wp:extent cx="4860000" cy="2929636"/>
            <wp:docPr id="15" name="Picture 15"/>
            <wp:cNvGraphicFramePr>
              <a:graphicFrameLocks noChangeAspect="1"/>
            </wp:cNvGraphicFramePr>
            <a:graphic>
              <a:graphicData uri="http://schemas.openxmlformats.org/drawingml/2006/picture">
                <pic:pic>
                  <pic:nvPicPr>
                    <pic:cNvPr id="0" name="fig5_2.png"/>
                    <pic:cNvPicPr/>
                  </pic:nvPicPr>
                  <pic:blipFill>
                    <a:blip r:embed="rId23"/>
                    <a:stretch>
                      <a:fillRect/>
                    </a:stretch>
                  </pic:blipFill>
                  <pic:spPr>
                    <a:xfrm>
                      <a:off x="0" y="0"/>
                      <a:ext cx="4860000" cy="2929636"/>
                    </a:xfrm>
                    <a:prstGeom prst="rect"/>
                  </pic:spPr>
                </pic:pic>
              </a:graphicData>
            </a:graphic>
          </wp:inline>
        </w:drawing>
      </w:r>
    </w:p>
    <w:p>
      <w:pPr>
        <w:keepNext w:val="0"/>
        <w:spacing w:after="200"/>
        <w:jc w:val="center"/>
      </w:pPr>
      <w:r>
        <w:rPr>
          <w:rFonts w:ascii="黑体" w:hAnsi="黑体" w:eastAsia="黑体"/>
          <w:sz w:val="21"/>
        </w:rPr>
        <w:t>图5.2  五类标准综合指数的演化轨迹（1993—2025）</w:t>
      </w:r>
    </w:p>
    <w:p>
      <w:pPr>
        <w:spacing w:line="360" w:lineRule="auto" w:after="0"/>
        <w:ind w:firstLineChars="200" w:firstLine="480"/>
        <w:jc w:val="both"/>
      </w:pPr>
      <w:r>
        <w:rPr>
          <w:rFonts w:ascii="宋体" w:hAnsi="宋体" w:eastAsia="宋体"/>
          <w:sz w:val="24"/>
        </w:rPr>
        <w:t>由图5.2可见，五条轨迹呈现“同向而不同步、加速而不同幅”的总体形态。从水平看，绿色产品类起点最高、长期领先，由1993年的0.06升至2025年的0.70，反映节能与环保产品标准起步早、积淀厚的历史禀赋；碳排放核算类由0.05稳步升至0.68，是唯一在整个样本期内几乎匀速爬升的类别；碳足迹认证与绿色金融类的轨迹呈典型的“后发赶超”形态，2015年时二者分别仅为0.20与0.15，2025年已分别达到0.55与0.58；碳吸收类始终垫底，2025年仅为0.32，不足绿色产品类的一半。</w:t>
      </w:r>
    </w:p>
    <w:p>
      <w:pPr>
        <w:spacing w:line="360" w:lineRule="auto" w:after="0"/>
        <w:ind w:firstLineChars="200" w:firstLine="480"/>
        <w:jc w:val="both"/>
      </w:pPr>
      <w:r>
        <w:rPr>
          <w:rFonts w:ascii="宋体" w:hAnsi="宋体" w:eastAsia="宋体"/>
          <w:sz w:val="24"/>
        </w:rPr>
        <w:t>从斜率看，2020年是全部五条曲线的共同拐点：“双碳”目标提出后，碳足迹认证类五年提升0.22、绿色金融类提升0.23，明显快于此前任何一个五年；碳排放核算类提升0.16，绿色产品类提升0.15，碳吸收类提升0.14。这种“共同加速、幅度分化”的形态本身就蕴含着结构信息：若各类标准彼此独立，同一外生冲击应带来大体同幅的抬升；幅度的系统性分化恰恰暗示存在类别间的差异化传导与交互——这正是A、B矩阵所要捕捉的对象，也构成状态空间估计的经验识别来源。</w:t>
      </w:r>
    </w:p>
    <w:p>
      <w:pPr>
        <w:keepNext/>
        <w:spacing w:before="160" w:after="120" w:line="360" w:lineRule="auto"/>
        <w:outlineLvl w:val="2"/>
      </w:pPr>
      <w:r>
        <w:rPr>
          <w:rFonts w:ascii="黑体" w:hAnsi="黑体" w:eastAsia="黑体"/>
          <w:sz w:val="24"/>
        </w:rPr>
        <w:t>5.3.2  驱动变量：三重驱动力的四维度量</w:t>
      </w:r>
    </w:p>
    <w:p>
      <w:pPr>
        <w:spacing w:line="360" w:lineRule="auto" w:after="0"/>
        <w:ind w:firstLineChars="200" w:firstLine="480"/>
        <w:jc w:val="both"/>
      </w:pPr>
      <w:r>
        <w:rPr>
          <w:rFonts w:ascii="宋体" w:hAnsi="宋体" w:eastAsia="宋体"/>
          <w:sz w:val="24"/>
        </w:rPr>
        <w:t>第一个驱动变量</w:t>
      </w:r>
      <m:oMath>
        <m:sSubSup>
          <m:e>
            <m:r>
              <m:t>u</m:t>
            </m:r>
          </m:e>
          <m:sub>
            <m:r>
              <m:t>t</m:t>
            </m:r>
          </m:sub>
          <m:sup>
            <m:r>
              <m:t>E</m:t>
            </m:r>
            <m:r>
              <m:t>T</m:t>
            </m:r>
            <m:r>
              <m:t>S</m:t>
            </m:r>
          </m:sup>
        </m:sSubSup>
      </m:oMath>
      <w:r>
        <w:rPr>
          <w:rFonts w:ascii="宋体" w:hAnsi="宋体" w:eastAsia="宋体"/>
          <w:sz w:val="24"/>
        </w:rPr>
        <w:t>度量碳市场价格信号，是市场调节力的国内载体。碳价将减排的边际成本显性化，直接决定企业对核算、核查与碳资产管理类标准的支付意愿（张希良等，2021；吴茵茵等，2021）。度量上，2021年以前取区域试点市场配额成交均价的成交量加权值，2021年7月全国碳市场上线后取全国市场年度成交均价，并作对数化处理。从事实基础看，全国碳市场首个履约周期成交均价约42.8元/吨，2024年4月24日碳价首次突破100元/吨、全年成交额181.14亿元创上线以来新高；2025年3月市场扩围至钢铁、水泥、铝冶炼行业，重点排放单位增至约3700家、覆盖排放量约80亿吨、占全国二氧化碳排放总量60%以上（张奕辉，2024）。覆盖面与价格中枢的双双抬升，意味着碳价信号对标准需求的牵引在样本后期显著增强。</w:t>
      </w:r>
    </w:p>
    <w:p>
      <w:pPr>
        <w:spacing w:line="360" w:lineRule="auto" w:after="0"/>
        <w:ind w:firstLineChars="200" w:firstLine="480"/>
        <w:jc w:val="both"/>
      </w:pPr>
      <w:r>
        <w:rPr>
          <w:rFonts w:ascii="宋体" w:hAnsi="宋体" w:eastAsia="宋体"/>
          <w:sz w:val="24"/>
        </w:rPr>
        <w:t>第二个驱动变量</w:t>
      </w:r>
      <m:oMath>
        <m:sSubSup>
          <m:e>
            <m:r>
              <m:t>u</m:t>
            </m:r>
          </m:e>
          <m:sub>
            <m:r>
              <m:t>t</m:t>
            </m:r>
          </m:sub>
          <m:sup>
            <m:r>
              <m:t>D</m:t>
            </m:r>
            <m:r>
              <m:t>C</m:t>
            </m:r>
          </m:sup>
        </m:sSubSup>
      </m:oMath>
      <w:r>
        <w:rPr>
          <w:rFonts w:ascii="宋体" w:hAnsi="宋体" w:eastAsia="宋体"/>
          <w:sz w:val="24"/>
        </w:rPr>
        <w:t>度量国内“双碳”政策强度，是政策推力的直接载体。参照政策文本量化的通行做法，依据中央层面纲领性文件的出台密度与约束力赋值并归一化：2020年9月22日“双碳”目标宣示为强度跃升的起点；2021年10月《关于完整准确全面贯彻新发展理念做好碳达峰碳中和工作的意见》与《2030年前碳达峰行动方案》构成“1+N”政策体系的顶层骨架；2023年7月中央全面深化改革委员会审议通过能耗双控逐步转向碳排放双控的意见；2024年8月国务院办公厅印发《加快构建碳排放双控制度体系工作方案》，政策强度逐级抬升至高位平台（姜春海等，2024；袁惊柱，2025）。样本前段（1993—2019年），该变量以节能减排与应对气候变化政策的强度指数回溯延拓，保持口径可比。</w:t>
      </w:r>
    </w:p>
    <w:p>
      <w:pPr>
        <w:spacing w:line="360" w:lineRule="auto" w:after="0"/>
        <w:ind w:firstLineChars="200" w:firstLine="480"/>
        <w:jc w:val="both"/>
      </w:pPr>
      <w:r>
        <w:rPr>
          <w:rFonts w:ascii="宋体" w:hAnsi="宋体" w:eastAsia="宋体"/>
          <w:sz w:val="24"/>
        </w:rPr>
        <w:t>第三个驱动变量</w:t>
      </w:r>
      <m:oMath>
        <m:sSubSup>
          <m:e>
            <m:r>
              <m:t>u</m:t>
            </m:r>
          </m:e>
          <m:sub>
            <m:r>
              <m:t>t</m:t>
            </m:r>
          </m:sub>
          <m:sup>
            <m:r>
              <m:t>C</m:t>
            </m:r>
            <m:r>
              <m:t>B</m:t>
            </m:r>
            <m:r>
              <m:t>A</m:t>
            </m:r>
            <m:r>
              <m:t>M</m:t>
            </m:r>
          </m:sup>
        </m:sSubSup>
      </m:oMath>
      <w:r>
        <w:rPr>
          <w:rFonts w:ascii="宋体" w:hAnsi="宋体" w:eastAsia="宋体"/>
          <w:sz w:val="24"/>
        </w:rPr>
        <w:t>度量欧盟碳边境调节机制的规制强度，代表经由国际贸易渠道传入的外源市场压力。CBAM以进口产品隐含碳排放为征收基准，实质是将欧盟标准的效力外移至贸易伙伴（Bradford，2020；刘梦佳和李志永，2025）。度量上按立法进程阶梯赋值：2019年《欧洲绿色新政》提出设想赋0.2，2021年欧盟委员会公布立法提案赋0.5，2023年5月条例正式生效、同年10月进入过渡期赋0.8，2026年1月起正式征收赋1.0。样本期内该变量从零跃升至接近满值，其对中国出口部门标准需求的冲击已积累大量经验证据（陆婷和徐奇渊，2023；陈诗一和朱渝铖，2024）。</w:t>
      </w:r>
    </w:p>
    <w:p>
      <w:pPr>
        <w:spacing w:line="360" w:lineRule="auto" w:after="0"/>
        <w:ind w:firstLineChars="200" w:firstLine="480"/>
        <w:jc w:val="both"/>
      </w:pPr>
      <w:r>
        <w:rPr>
          <w:rFonts w:ascii="宋体" w:hAnsi="宋体" w:eastAsia="宋体"/>
          <w:sz w:val="24"/>
        </w:rPr>
        <w:t>第四个驱动变量</w:t>
      </w:r>
      <m:oMath>
        <m:sSubSup>
          <m:e>
            <m:r>
              <m:t>u</m:t>
            </m:r>
          </m:e>
          <m:sub>
            <m:r>
              <m:t>t</m:t>
            </m:r>
          </m:sub>
          <m:sup>
            <m:r>
              <m:t>T</m:t>
            </m:r>
            <m:r>
              <m:t>e</m:t>
            </m:r>
            <m:r>
              <m:t>c</m:t>
            </m:r>
            <m:r>
              <m:t>h</m:t>
            </m:r>
          </m:sup>
        </m:sSubSup>
      </m:oMath>
      <w:r>
        <w:rPr>
          <w:rFonts w:ascii="宋体" w:hAnsi="宋体" w:eastAsia="宋体"/>
          <w:sz w:val="24"/>
        </w:rPr>
        <w:t>度量绿色技术水平，是技术拉力的载体，以绿色低碳专利申请量（万件）经对数化处理后进入模型。技术进步从供给侧拓展标准的可行域：只有当低碳技术成熟到可编码、可复制、可核查时，相应的技术要求才可能凝结为标准（Popp，2002；Acemoglu等，2012）。从数据看，国家知识产权局统计显示，2016—2022年我国绿色低碳发明专利授权量由每年2.5万件增至4.2万件、累计20.6万件；2024年绿色低碳专利申请公开量达12.0万件，截至2024年底有效量28.3万件。技术知识存量的持续厚积，为标准升级提供了日益充裕的“原料”。</w:t>
      </w:r>
    </w:p>
    <w:p>
      <w:pPr>
        <w:spacing w:line="360" w:lineRule="auto" w:after="0"/>
        <w:ind w:firstLineChars="200" w:firstLine="480"/>
        <w:jc w:val="both"/>
      </w:pPr>
      <w:r>
        <w:rPr>
          <w:rFonts w:ascii="宋体" w:hAnsi="宋体" w:eastAsia="宋体"/>
          <w:sz w:val="24"/>
        </w:rPr>
        <w:t>表5.1汇总了全部变量的定义、度量与来源。需要说明两点技术处理：其一，四个驱动变量进入模型前均作零均值—单位方差标准化，因此B矩阵元素可以横向比较，其含义为驱动变量一个标准差的变化对相应标准指数年度变化率的边际贡献；其二，如式(5-5)所示，驱动变量以滞后一期进入转移方程，符合政策与技术冲击作用于标准供给的时滞现实。</w:t>
      </w:r>
    </w:p>
    <w:p>
      <w:pPr>
        <w:keepNext/>
        <w:spacing w:before="160" w:after="40"/>
        <w:jc w:val="center"/>
      </w:pPr>
      <w:r>
        <w:rPr>
          <w:rFonts w:ascii="黑体" w:hAnsi="黑体" w:eastAsia="黑体"/>
          <w:sz w:val="21"/>
        </w:rPr>
        <w:t>表5.1  变量定义、度量方法与数据来源</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变量</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符号</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度量方法与口径</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数据来源</w:t>
            </w:r>
          </w:p>
        </w:tc>
      </w:tr>
      <w:tr>
        <w:tc>
          <w:tcPr>
            <w:tcW w:type="dxa" w:w="2126"/>
            <w:vAlign w:val="center"/>
          </w:tcPr>
          <w:p>
            <w:pPr>
              <w:spacing w:line="240" w:lineRule="auto" w:after="20" w:before="20"/>
              <w:jc w:val="left"/>
            </w:pPr>
            <w:r/>
            <w:r>
              <w:rPr>
                <w:rFonts w:ascii="宋体" w:hAnsi="宋体" w:eastAsia="宋体"/>
                <w:sz w:val="21"/>
              </w:rPr>
              <w:t>碳排放核算标准指数</w:t>
            </w:r>
          </w:p>
        </w:tc>
        <w:tc>
          <w:tcPr>
            <w:tcW w:type="dxa" w:w="2126"/>
            <w:vAlign w:val="center"/>
          </w:tcPr>
          <w:p>
            <w:pPr>
              <w:spacing w:line="240" w:lineRule="auto" w:after="20" w:before="20"/>
              <w:jc w:val="center"/>
            </w:pPr>
            <w:r/>
            <m:oMath>
              <m:sSub>
                <m:e>
                  <m:r>
                    <m:t>S</m:t>
                  </m:r>
                </m:e>
                <m:sub>
                  <m:r>
                    <m:t>1</m:t>
                  </m:r>
                  <m:r>
                    <m:t>t</m:t>
                  </m:r>
                </m:sub>
              </m:sSub>
            </m:oMath>
          </w:p>
        </w:tc>
        <w:tc>
          <w:tcPr>
            <w:tcW w:type="dxa" w:w="2126"/>
            <w:vAlign w:val="center"/>
          </w:tcPr>
          <w:p>
            <w:pPr>
              <w:spacing w:line="240" w:lineRule="auto" w:after="20" w:before="20"/>
              <w:jc w:val="left"/>
            </w:pPr>
            <w:r/>
            <w:r>
              <w:rPr>
                <w:rFonts w:ascii="宋体" w:hAnsi="宋体" w:eastAsia="宋体"/>
                <w:sz w:val="21"/>
              </w:rPr>
              <w:t>技术严格程度与覆盖完整性合成指数（式(4-1)），取值[0,1]</w:t>
            </w:r>
          </w:p>
        </w:tc>
        <w:tc>
          <w:tcPr>
            <w:tcW w:type="dxa" w:w="2126"/>
            <w:vAlign w:val="center"/>
          </w:tcPr>
          <w:p>
            <w:pPr>
              <w:spacing w:line="240" w:lineRule="auto" w:after="20" w:before="20"/>
              <w:jc w:val="left"/>
            </w:pPr>
            <w:r/>
            <w:r>
              <w:rPr>
                <w:rFonts w:ascii="宋体" w:hAnsi="宋体" w:eastAsia="宋体"/>
                <w:sz w:val="21"/>
              </w:rPr>
              <w:t>标准文本数据库（第4章）</w:t>
            </w:r>
          </w:p>
        </w:tc>
      </w:tr>
      <w:tr>
        <w:tc>
          <w:tcPr>
            <w:tcW w:type="dxa" w:w="2126"/>
            <w:vAlign w:val="center"/>
          </w:tcPr>
          <w:p>
            <w:pPr>
              <w:spacing w:line="240" w:lineRule="auto" w:after="20" w:before="20"/>
              <w:jc w:val="left"/>
            </w:pPr>
            <w:r/>
            <w:r>
              <w:rPr>
                <w:rFonts w:ascii="宋体" w:hAnsi="宋体" w:eastAsia="宋体"/>
                <w:sz w:val="21"/>
              </w:rPr>
              <w:t>碳足迹认证标准指数</w:t>
            </w:r>
          </w:p>
        </w:tc>
        <w:tc>
          <w:tcPr>
            <w:tcW w:type="dxa" w:w="2126"/>
            <w:vAlign w:val="center"/>
          </w:tcPr>
          <w:p>
            <w:pPr>
              <w:spacing w:line="240" w:lineRule="auto" w:after="20" w:before="20"/>
              <w:jc w:val="center"/>
            </w:pPr>
            <w:r/>
            <m:oMath>
              <m:sSub>
                <m:e>
                  <m:r>
                    <m:t>S</m:t>
                  </m:r>
                </m:e>
                <m:sub>
                  <m:r>
                    <m:t>2</m:t>
                  </m:r>
                  <m:r>
                    <m:t>t</m:t>
                  </m:r>
                </m:sub>
              </m:sSub>
            </m:oMath>
          </w:p>
        </w:tc>
        <w:tc>
          <w:tcPr>
            <w:tcW w:type="dxa" w:w="2126"/>
            <w:vAlign w:val="center"/>
          </w:tcPr>
          <w:p>
            <w:pPr>
              <w:spacing w:line="240" w:lineRule="auto" w:after="20" w:before="20"/>
              <w:jc w:val="left"/>
            </w:pPr>
            <w:r/>
            <w:r>
              <w:rPr>
                <w:rFonts w:ascii="宋体" w:hAnsi="宋体" w:eastAsia="宋体"/>
                <w:sz w:val="21"/>
              </w:rPr>
              <w:t>同上</w:t>
            </w:r>
          </w:p>
        </w:tc>
        <w:tc>
          <w:tcPr>
            <w:tcW w:type="dxa" w:w="2126"/>
            <w:vAlign w:val="center"/>
          </w:tcPr>
          <w:p>
            <w:pPr>
              <w:spacing w:line="240" w:lineRule="auto" w:after="20" w:before="20"/>
              <w:jc w:val="left"/>
            </w:pPr>
            <w:r/>
            <w:r>
              <w:rPr>
                <w:rFonts w:ascii="宋体" w:hAnsi="宋体" w:eastAsia="宋体"/>
                <w:sz w:val="21"/>
              </w:rPr>
              <w:t>标准文本数据库（第4章）</w:t>
            </w:r>
          </w:p>
        </w:tc>
      </w:tr>
      <w:tr>
        <w:tc>
          <w:tcPr>
            <w:tcW w:type="dxa" w:w="2126"/>
            <w:vAlign w:val="center"/>
          </w:tcPr>
          <w:p>
            <w:pPr>
              <w:spacing w:line="240" w:lineRule="auto" w:after="20" w:before="20"/>
              <w:jc w:val="left"/>
            </w:pPr>
            <w:r/>
            <w:r>
              <w:rPr>
                <w:rFonts w:ascii="宋体" w:hAnsi="宋体" w:eastAsia="宋体"/>
                <w:sz w:val="21"/>
              </w:rPr>
              <w:t>绿色产品标准指数</w:t>
            </w:r>
          </w:p>
        </w:tc>
        <w:tc>
          <w:tcPr>
            <w:tcW w:type="dxa" w:w="2126"/>
            <w:vAlign w:val="center"/>
          </w:tcPr>
          <w:p>
            <w:pPr>
              <w:spacing w:line="240" w:lineRule="auto" w:after="20" w:before="20"/>
              <w:jc w:val="center"/>
            </w:pPr>
            <w:r/>
            <m:oMath>
              <m:sSub>
                <m:e>
                  <m:r>
                    <m:t>S</m:t>
                  </m:r>
                </m:e>
                <m:sub>
                  <m:r>
                    <m:t>3</m:t>
                  </m:r>
                  <m:r>
                    <m:t>t</m:t>
                  </m:r>
                </m:sub>
              </m:sSub>
            </m:oMath>
          </w:p>
        </w:tc>
        <w:tc>
          <w:tcPr>
            <w:tcW w:type="dxa" w:w="2126"/>
            <w:vAlign w:val="center"/>
          </w:tcPr>
          <w:p>
            <w:pPr>
              <w:spacing w:line="240" w:lineRule="auto" w:after="20" w:before="20"/>
              <w:jc w:val="left"/>
            </w:pPr>
            <w:r/>
            <w:r>
              <w:rPr>
                <w:rFonts w:ascii="宋体" w:hAnsi="宋体" w:eastAsia="宋体"/>
                <w:sz w:val="21"/>
              </w:rPr>
              <w:t>同上</w:t>
            </w:r>
          </w:p>
        </w:tc>
        <w:tc>
          <w:tcPr>
            <w:tcW w:type="dxa" w:w="2126"/>
            <w:vAlign w:val="center"/>
          </w:tcPr>
          <w:p>
            <w:pPr>
              <w:spacing w:line="240" w:lineRule="auto" w:after="20" w:before="20"/>
              <w:jc w:val="left"/>
            </w:pPr>
            <w:r/>
            <w:r>
              <w:rPr>
                <w:rFonts w:ascii="宋体" w:hAnsi="宋体" w:eastAsia="宋体"/>
                <w:sz w:val="21"/>
              </w:rPr>
              <w:t>标准文本数据库（第4章）</w:t>
            </w:r>
          </w:p>
        </w:tc>
      </w:tr>
      <w:tr>
        <w:tc>
          <w:tcPr>
            <w:tcW w:type="dxa" w:w="2126"/>
            <w:vAlign w:val="center"/>
          </w:tcPr>
          <w:p>
            <w:pPr>
              <w:spacing w:line="240" w:lineRule="auto" w:after="20" w:before="20"/>
              <w:jc w:val="left"/>
            </w:pPr>
            <w:r/>
            <w:r>
              <w:rPr>
                <w:rFonts w:ascii="宋体" w:hAnsi="宋体" w:eastAsia="宋体"/>
                <w:sz w:val="21"/>
              </w:rPr>
              <w:t>碳吸收标准指数</w:t>
            </w:r>
          </w:p>
        </w:tc>
        <w:tc>
          <w:tcPr>
            <w:tcW w:type="dxa" w:w="2126"/>
            <w:vAlign w:val="center"/>
          </w:tcPr>
          <w:p>
            <w:pPr>
              <w:spacing w:line="240" w:lineRule="auto" w:after="20" w:before="20"/>
              <w:jc w:val="center"/>
            </w:pPr>
            <w:r/>
            <m:oMath>
              <m:sSub>
                <m:e>
                  <m:r>
                    <m:t>S</m:t>
                  </m:r>
                </m:e>
                <m:sub>
                  <m:r>
                    <m:t>4</m:t>
                  </m:r>
                  <m:r>
                    <m:t>t</m:t>
                  </m:r>
                </m:sub>
              </m:sSub>
            </m:oMath>
          </w:p>
        </w:tc>
        <w:tc>
          <w:tcPr>
            <w:tcW w:type="dxa" w:w="2126"/>
            <w:vAlign w:val="center"/>
          </w:tcPr>
          <w:p>
            <w:pPr>
              <w:spacing w:line="240" w:lineRule="auto" w:after="20" w:before="20"/>
              <w:jc w:val="left"/>
            </w:pPr>
            <w:r/>
            <w:r>
              <w:rPr>
                <w:rFonts w:ascii="宋体" w:hAnsi="宋体" w:eastAsia="宋体"/>
                <w:sz w:val="21"/>
              </w:rPr>
              <w:t>同上</w:t>
            </w:r>
          </w:p>
        </w:tc>
        <w:tc>
          <w:tcPr>
            <w:tcW w:type="dxa" w:w="2126"/>
            <w:vAlign w:val="center"/>
          </w:tcPr>
          <w:p>
            <w:pPr>
              <w:spacing w:line="240" w:lineRule="auto" w:after="20" w:before="20"/>
              <w:jc w:val="left"/>
            </w:pPr>
            <w:r/>
            <w:r>
              <w:rPr>
                <w:rFonts w:ascii="宋体" w:hAnsi="宋体" w:eastAsia="宋体"/>
                <w:sz w:val="21"/>
              </w:rPr>
              <w:t>标准文本数据库（第4章）</w:t>
            </w:r>
          </w:p>
        </w:tc>
      </w:tr>
      <w:tr>
        <w:tc>
          <w:tcPr>
            <w:tcW w:type="dxa" w:w="2126"/>
            <w:vAlign w:val="center"/>
          </w:tcPr>
          <w:p>
            <w:pPr>
              <w:spacing w:line="240" w:lineRule="auto" w:after="20" w:before="20"/>
              <w:jc w:val="left"/>
            </w:pPr>
            <w:r/>
            <w:r>
              <w:rPr>
                <w:rFonts w:ascii="宋体" w:hAnsi="宋体" w:eastAsia="宋体"/>
                <w:sz w:val="21"/>
              </w:rPr>
              <w:t>绿色金融标准指数</w:t>
            </w:r>
          </w:p>
        </w:tc>
        <w:tc>
          <w:tcPr>
            <w:tcW w:type="dxa" w:w="2126"/>
            <w:vAlign w:val="center"/>
          </w:tcPr>
          <w:p>
            <w:pPr>
              <w:spacing w:line="240" w:lineRule="auto" w:after="20" w:before="20"/>
              <w:jc w:val="center"/>
            </w:pPr>
            <w:r/>
            <m:oMath>
              <m:sSub>
                <m:e>
                  <m:r>
                    <m:t>S</m:t>
                  </m:r>
                </m:e>
                <m:sub>
                  <m:r>
                    <m:t>5</m:t>
                  </m:r>
                  <m:r>
                    <m:t>t</m:t>
                  </m:r>
                </m:sub>
              </m:sSub>
            </m:oMath>
          </w:p>
        </w:tc>
        <w:tc>
          <w:tcPr>
            <w:tcW w:type="dxa" w:w="2126"/>
            <w:vAlign w:val="center"/>
          </w:tcPr>
          <w:p>
            <w:pPr>
              <w:spacing w:line="240" w:lineRule="auto" w:after="20" w:before="20"/>
              <w:jc w:val="left"/>
            </w:pPr>
            <w:r/>
            <w:r>
              <w:rPr>
                <w:rFonts w:ascii="宋体" w:hAnsi="宋体" w:eastAsia="宋体"/>
                <w:sz w:val="21"/>
              </w:rPr>
              <w:t>同上</w:t>
            </w:r>
          </w:p>
        </w:tc>
        <w:tc>
          <w:tcPr>
            <w:tcW w:type="dxa" w:w="2126"/>
            <w:vAlign w:val="center"/>
          </w:tcPr>
          <w:p>
            <w:pPr>
              <w:spacing w:line="240" w:lineRule="auto" w:after="20" w:before="20"/>
              <w:jc w:val="left"/>
            </w:pPr>
            <w:r/>
            <w:r>
              <w:rPr>
                <w:rFonts w:ascii="宋体" w:hAnsi="宋体" w:eastAsia="宋体"/>
                <w:sz w:val="21"/>
              </w:rPr>
              <w:t>标准文本数据库（第4章）</w:t>
            </w:r>
          </w:p>
        </w:tc>
      </w:tr>
      <w:tr>
        <w:tc>
          <w:tcPr>
            <w:tcW w:type="dxa" w:w="2126"/>
            <w:vAlign w:val="center"/>
          </w:tcPr>
          <w:p>
            <w:pPr>
              <w:spacing w:line="240" w:lineRule="auto" w:after="20" w:before="20"/>
              <w:jc w:val="left"/>
            </w:pPr>
            <w:r/>
            <w:r>
              <w:rPr>
                <w:rFonts w:ascii="宋体" w:hAnsi="宋体" w:eastAsia="宋体"/>
                <w:sz w:val="21"/>
              </w:rPr>
              <w:t>碳市场价格信号</w:t>
            </w:r>
          </w:p>
        </w:tc>
        <w:tc>
          <w:tcPr>
            <w:tcW w:type="dxa" w:w="2126"/>
            <w:vAlign w:val="center"/>
          </w:tcPr>
          <w:p>
            <w:pPr>
              <w:spacing w:line="240" w:lineRule="auto" w:after="20" w:before="20"/>
              <w:jc w:val="center"/>
            </w:pPr>
            <w:r/>
            <m:oMath>
              <m:sSubSup>
                <m:e>
                  <m:r>
                    <m:t>u</m:t>
                  </m:r>
                </m:e>
                <m:sub>
                  <m:r>
                    <m:t>t</m:t>
                  </m:r>
                </m:sub>
                <m:sup>
                  <m:r>
                    <m:t>E</m:t>
                  </m:r>
                  <m:r>
                    <m:t>T</m:t>
                  </m:r>
                  <m:r>
                    <m:t>S</m:t>
                  </m:r>
                </m:sup>
              </m:sSubSup>
            </m:oMath>
          </w:p>
        </w:tc>
        <w:tc>
          <w:tcPr>
            <w:tcW w:type="dxa" w:w="2126"/>
            <w:vAlign w:val="center"/>
          </w:tcPr>
          <w:p>
            <w:pPr>
              <w:spacing w:line="240" w:lineRule="auto" w:after="20" w:before="20"/>
              <w:jc w:val="left"/>
            </w:pPr>
            <w:r/>
            <w:r>
              <w:rPr>
                <w:rFonts w:ascii="宋体" w:hAnsi="宋体" w:eastAsia="宋体"/>
                <w:sz w:val="21"/>
              </w:rPr>
              <w:t>全国碳市场（2021年前为试点加权）配额成交均价，对数化并标准化</w:t>
            </w:r>
          </w:p>
        </w:tc>
        <w:tc>
          <w:tcPr>
            <w:tcW w:type="dxa" w:w="2126"/>
            <w:vAlign w:val="center"/>
          </w:tcPr>
          <w:p>
            <w:pPr>
              <w:spacing w:line="240" w:lineRule="auto" w:after="20" w:before="20"/>
              <w:jc w:val="left"/>
            </w:pPr>
            <w:r/>
            <w:r>
              <w:rPr>
                <w:rFonts w:ascii="宋体" w:hAnsi="宋体" w:eastAsia="宋体"/>
                <w:sz w:val="21"/>
              </w:rPr>
              <w:t>上海环境能源交易所、各试点交易机构公开行情</w:t>
            </w:r>
          </w:p>
        </w:tc>
      </w:tr>
      <w:tr>
        <w:tc>
          <w:tcPr>
            <w:tcW w:type="dxa" w:w="2126"/>
            <w:vAlign w:val="center"/>
          </w:tcPr>
          <w:p>
            <w:pPr>
              <w:spacing w:line="240" w:lineRule="auto" w:after="20" w:before="20"/>
              <w:jc w:val="left"/>
            </w:pPr>
            <w:r/>
            <w:r>
              <w:rPr>
                <w:rFonts w:ascii="宋体" w:hAnsi="宋体" w:eastAsia="宋体"/>
                <w:sz w:val="21"/>
              </w:rPr>
              <w:t>“双碳”政策强度</w:t>
            </w:r>
          </w:p>
        </w:tc>
        <w:tc>
          <w:tcPr>
            <w:tcW w:type="dxa" w:w="2126"/>
            <w:vAlign w:val="center"/>
          </w:tcPr>
          <w:p>
            <w:pPr>
              <w:spacing w:line="240" w:lineRule="auto" w:after="20" w:before="20"/>
              <w:jc w:val="center"/>
            </w:pPr>
            <w:r/>
            <m:oMath>
              <m:sSubSup>
                <m:e>
                  <m:r>
                    <m:t>u</m:t>
                  </m:r>
                </m:e>
                <m:sub>
                  <m:r>
                    <m:t>t</m:t>
                  </m:r>
                </m:sub>
                <m:sup>
                  <m:r>
                    <m:t>D</m:t>
                  </m:r>
                  <m:r>
                    <m:t>C</m:t>
                  </m:r>
                </m:sup>
              </m:sSubSup>
            </m:oMath>
          </w:p>
        </w:tc>
        <w:tc>
          <w:tcPr>
            <w:tcW w:type="dxa" w:w="2126"/>
            <w:vAlign w:val="center"/>
          </w:tcPr>
          <w:p>
            <w:pPr>
              <w:spacing w:line="240" w:lineRule="auto" w:after="20" w:before="20"/>
              <w:jc w:val="left"/>
            </w:pPr>
            <w:r/>
            <w:r>
              <w:rPr>
                <w:rFonts w:ascii="宋体" w:hAnsi="宋体" w:eastAsia="宋体"/>
                <w:sz w:val="21"/>
              </w:rPr>
              <w:t>中央层面政策文本强度赋值（0—1）：2020年宣示、2021年“1+N”、2023年双控转型部署、2024年双控工作方案逐级抬升</w:t>
            </w:r>
          </w:p>
        </w:tc>
        <w:tc>
          <w:tcPr>
            <w:tcW w:type="dxa" w:w="2126"/>
            <w:vAlign w:val="center"/>
          </w:tcPr>
          <w:p>
            <w:pPr>
              <w:spacing w:line="240" w:lineRule="auto" w:after="20" w:before="20"/>
              <w:jc w:val="left"/>
            </w:pPr>
            <w:r/>
            <w:r>
              <w:rPr>
                <w:rFonts w:ascii="宋体" w:hAnsi="宋体" w:eastAsia="宋体"/>
                <w:sz w:val="21"/>
              </w:rPr>
              <w:t>中国政府网、生态环境部等公开政策文本</w:t>
            </w:r>
          </w:p>
        </w:tc>
      </w:tr>
      <w:tr>
        <w:tc>
          <w:tcPr>
            <w:tcW w:type="dxa" w:w="2126"/>
            <w:vAlign w:val="center"/>
          </w:tcPr>
          <w:p>
            <w:pPr>
              <w:spacing w:line="240" w:lineRule="auto" w:after="20" w:before="20"/>
              <w:jc w:val="left"/>
            </w:pPr>
            <w:r/>
            <w:r>
              <w:rPr>
                <w:rFonts w:ascii="宋体" w:hAnsi="宋体" w:eastAsia="宋体"/>
                <w:sz w:val="21"/>
              </w:rPr>
              <w:t>CBAM规制强度</w:t>
            </w:r>
          </w:p>
        </w:tc>
        <w:tc>
          <w:tcPr>
            <w:tcW w:type="dxa" w:w="2126"/>
            <w:vAlign w:val="center"/>
          </w:tcPr>
          <w:p>
            <w:pPr>
              <w:spacing w:line="240" w:lineRule="auto" w:after="20" w:before="20"/>
              <w:jc w:val="center"/>
            </w:pPr>
            <w:r/>
            <m:oMath>
              <m:sSubSup>
                <m:e>
                  <m:r>
                    <m:t>u</m:t>
                  </m:r>
                </m:e>
                <m:sub>
                  <m:r>
                    <m:t>t</m:t>
                  </m:r>
                </m:sub>
                <m:sup>
                  <m:r>
                    <m:t>C</m:t>
                  </m:r>
                  <m:r>
                    <m:t>B</m:t>
                  </m:r>
                  <m:r>
                    <m:t>A</m:t>
                  </m:r>
                  <m:r>
                    <m:t>M</m:t>
                  </m:r>
                </m:sup>
              </m:sSubSup>
            </m:oMath>
          </w:p>
        </w:tc>
        <w:tc>
          <w:tcPr>
            <w:tcW w:type="dxa" w:w="2126"/>
            <w:vAlign w:val="center"/>
          </w:tcPr>
          <w:p>
            <w:pPr>
              <w:spacing w:line="240" w:lineRule="auto" w:after="20" w:before="20"/>
              <w:jc w:val="left"/>
            </w:pPr>
            <w:r/>
            <w:r>
              <w:rPr>
                <w:rFonts w:ascii="宋体" w:hAnsi="宋体" w:eastAsia="宋体"/>
                <w:sz w:val="21"/>
              </w:rPr>
              <w:t>欧盟立法进程赋值（0—1）：2019年0.2、2021年0.5、2023年0.8、2026年1.0</w:t>
            </w:r>
          </w:p>
        </w:tc>
        <w:tc>
          <w:tcPr>
            <w:tcW w:type="dxa" w:w="2126"/>
            <w:vAlign w:val="center"/>
          </w:tcPr>
          <w:p>
            <w:pPr>
              <w:spacing w:line="240" w:lineRule="auto" w:after="20" w:before="20"/>
              <w:jc w:val="left"/>
            </w:pPr>
            <w:r/>
            <w:r>
              <w:rPr>
                <w:rFonts w:ascii="宋体" w:hAnsi="宋体" w:eastAsia="宋体"/>
                <w:sz w:val="21"/>
              </w:rPr>
              <w:t>EUR-Lex、欧盟委员会公告</w:t>
            </w:r>
          </w:p>
        </w:tc>
      </w:tr>
      <w:tr>
        <w:tc>
          <w:tcPr>
            <w:tcW w:type="dxa" w:w="2126"/>
            <w:vAlign w:val="center"/>
          </w:tcPr>
          <w:p>
            <w:pPr>
              <w:spacing w:line="240" w:lineRule="auto" w:after="20" w:before="20"/>
              <w:jc w:val="left"/>
            </w:pPr>
            <w:r/>
            <w:r>
              <w:rPr>
                <w:rFonts w:ascii="宋体" w:hAnsi="宋体" w:eastAsia="宋体"/>
                <w:sz w:val="21"/>
              </w:rPr>
              <w:t>绿色技术水平</w:t>
            </w:r>
          </w:p>
        </w:tc>
        <w:tc>
          <w:tcPr>
            <w:tcW w:type="dxa" w:w="2126"/>
            <w:vAlign w:val="center"/>
          </w:tcPr>
          <w:p>
            <w:pPr>
              <w:spacing w:line="240" w:lineRule="auto" w:after="20" w:before="20"/>
              <w:jc w:val="center"/>
            </w:pPr>
            <w:r/>
            <m:oMath>
              <m:sSubSup>
                <m:e>
                  <m:r>
                    <m:t>u</m:t>
                  </m:r>
                </m:e>
                <m:sub>
                  <m:r>
                    <m:t>t</m:t>
                  </m:r>
                </m:sub>
                <m:sup>
                  <m:r>
                    <m:t>T</m:t>
                  </m:r>
                  <m:r>
                    <m:t>e</m:t>
                  </m:r>
                  <m:r>
                    <m:t>c</m:t>
                  </m:r>
                  <m:r>
                    <m:t>h</m:t>
                  </m:r>
                </m:sup>
              </m:sSubSup>
            </m:oMath>
          </w:p>
        </w:tc>
        <w:tc>
          <w:tcPr>
            <w:tcW w:type="dxa" w:w="2126"/>
            <w:vAlign w:val="center"/>
          </w:tcPr>
          <w:p>
            <w:pPr>
              <w:spacing w:line="240" w:lineRule="auto" w:after="20" w:before="20"/>
              <w:jc w:val="left"/>
            </w:pPr>
            <w:r/>
            <w:r>
              <w:rPr>
                <w:rFonts w:ascii="宋体" w:hAnsi="宋体" w:eastAsia="宋体"/>
                <w:sz w:val="21"/>
              </w:rPr>
              <w:t>绿色低碳专利申请量（万件），对数化并标准化</w:t>
            </w:r>
          </w:p>
        </w:tc>
        <w:tc>
          <w:tcPr>
            <w:tcW w:type="dxa" w:w="2126"/>
            <w:vAlign w:val="center"/>
          </w:tcPr>
          <w:p>
            <w:pPr>
              <w:spacing w:line="240" w:lineRule="auto" w:after="20" w:before="20"/>
              <w:jc w:val="left"/>
            </w:pPr>
            <w:r/>
            <w:r>
              <w:rPr>
                <w:rFonts w:ascii="宋体" w:hAnsi="宋体" w:eastAsia="宋体"/>
                <w:sz w:val="21"/>
              </w:rPr>
              <w:t>国家知识产权局《绿色低碳专利统计分析报告》</w:t>
            </w:r>
          </w:p>
        </w:tc>
      </w:tr>
    </w:tbl>
    <w:p>
      <w:pPr>
        <w:spacing w:after="200" w:line="240" w:lineRule="auto"/>
      </w:pPr>
      <w:r>
        <w:rPr>
          <w:rFonts w:ascii="宋体" w:hAnsi="宋体" w:eastAsia="宋体"/>
          <w:sz w:val="18"/>
        </w:rPr>
        <w:t>注：状态变量的编码维度与合成方法详见第4章4.1节；四个驱动变量进入模型前均经零均值—单位方差标准化。数据来源：作者整理。</w:t>
      </w:r>
    </w:p>
    <w:p>
      <w:pPr>
        <w:spacing w:line="360" w:lineRule="auto" w:after="0"/>
        <w:ind w:firstLineChars="200" w:firstLine="480"/>
        <w:jc w:val="both"/>
      </w:pPr>
      <w:r>
        <w:rPr>
          <w:rFonts w:ascii="宋体" w:hAnsi="宋体" w:eastAsia="宋体"/>
          <w:sz w:val="24"/>
        </w:rPr>
        <w:t>从表5.1可以看出，四个驱动变量恰好覆盖了驱动力三分法的全部维度：</w:t>
      </w:r>
      <m:oMath>
        <m:sSup>
          <m:e>
            <m:r>
              <m:t>u</m:t>
            </m:r>
          </m:e>
          <m:sup>
            <m:r>
              <m:t>D</m:t>
            </m:r>
            <m:r>
              <m:t>C</m:t>
            </m:r>
          </m:sup>
        </m:sSup>
      </m:oMath>
      <w:r>
        <w:rPr>
          <w:rFonts w:ascii="宋体" w:hAnsi="宋体" w:eastAsia="宋体"/>
          <w:sz w:val="24"/>
        </w:rPr>
        <w:t>对应政策推力，</w:t>
      </w:r>
      <m:oMath>
        <m:sSup>
          <m:e>
            <m:r>
              <m:t>u</m:t>
            </m:r>
          </m:e>
          <m:sup>
            <m:r>
              <m:t>T</m:t>
            </m:r>
            <m:r>
              <m:t>e</m:t>
            </m:r>
            <m:r>
              <m:t>c</m:t>
            </m:r>
            <m:r>
              <m:t>h</m:t>
            </m:r>
          </m:sup>
        </m:sSup>
      </m:oMath>
      <w:r>
        <w:rPr>
          <w:rFonts w:ascii="宋体" w:hAnsi="宋体" w:eastAsia="宋体"/>
          <w:sz w:val="24"/>
        </w:rPr>
        <w:t>对应技术拉力，</w:t>
      </w:r>
      <m:oMath>
        <m:sSup>
          <m:e>
            <m:r>
              <m:t>u</m:t>
            </m:r>
          </m:e>
          <m:sup>
            <m:r>
              <m:t>E</m:t>
            </m:r>
            <m:r>
              <m:t>T</m:t>
            </m:r>
            <m:r>
              <m:t>S</m:t>
            </m:r>
          </m:sup>
        </m:sSup>
      </m:oMath>
      <w:r>
        <w:rPr>
          <w:rFonts w:ascii="宋体" w:hAnsi="宋体" w:eastAsia="宋体"/>
          <w:sz w:val="24"/>
        </w:rPr>
        <w:t>与</w:t>
      </w:r>
      <m:oMath>
        <m:sSup>
          <m:e>
            <m:r>
              <m:t>u</m:t>
            </m:r>
          </m:e>
          <m:sup>
            <m:r>
              <m:t>C</m:t>
            </m:r>
            <m:r>
              <m:t>B</m:t>
            </m:r>
            <m:r>
              <m:t>A</m:t>
            </m:r>
            <m:r>
              <m:t>M</m:t>
            </m:r>
          </m:sup>
        </m:sSup>
      </m:oMath>
      <w:r>
        <w:rPr>
          <w:rFonts w:ascii="宋体" w:hAnsi="宋体" w:eastAsia="宋体"/>
          <w:sz w:val="24"/>
        </w:rPr>
        <w:t>分别对应市场调节力的国内价格分支与国际规制分支——CBAM虽以立法形式呈现，但其作用机制是改变出口产品的相对价格与市场准入条件，经济性质上属于价格型市场压力。这一映射关系将在5.5节的贡献分解中直接使用。</w:t>
      </w:r>
    </w:p>
    <w:p>
      <w:pPr>
        <w:keepNext/>
        <w:spacing w:before="160" w:after="120" w:line="360" w:lineRule="auto"/>
        <w:outlineLvl w:val="1"/>
      </w:pPr>
      <w:r>
        <w:rPr>
          <w:rFonts w:ascii="黑体" w:hAnsi="黑体" w:eastAsia="黑体"/>
          <w:sz w:val="28"/>
        </w:rPr>
        <w:t>5.4  估计结果：标准间交互与驱动传导</w:t>
      </w:r>
    </w:p>
    <w:p>
      <w:pPr>
        <w:keepNext/>
        <w:spacing w:before="160" w:after="120" w:line="360" w:lineRule="auto"/>
        <w:outlineLvl w:val="2"/>
      </w:pPr>
      <w:r>
        <w:rPr>
          <w:rFonts w:ascii="黑体" w:hAnsi="黑体" w:eastAsia="黑体"/>
          <w:sz w:val="24"/>
        </w:rPr>
        <w:t>5.4.1  总体估计情况</w:t>
      </w:r>
    </w:p>
    <w:p>
      <w:pPr>
        <w:spacing w:line="360" w:lineRule="auto" w:after="0"/>
        <w:ind w:firstLineChars="200" w:firstLine="480"/>
        <w:jc w:val="both"/>
      </w:pPr>
      <w:r>
        <w:rPr>
          <w:rFonts w:ascii="宋体" w:hAnsi="宋体" w:eastAsia="宋体"/>
          <w:sz w:val="24"/>
        </w:rPr>
        <w:t>以1993—2025年165个观测对模型进行极大似然估计，55个自由参数全部由数据决定，收敛处对数似然值为412.6。新息序列的诊断检验未发现明显的系统性自相关，支持一阶动态设定的充分性。表5.2报告A矩阵与B矩阵的全部元素估计值及其标准误：前五列为交互矩阵A，即五类标准状态对各方程的交叉效应；后四列为传导矩阵B，即四个驱动变量的边际传导强度；每一行对应一类标准的转移方程。</w:t>
      </w:r>
    </w:p>
    <w:p>
      <w:pPr>
        <w:keepNext/>
        <w:spacing w:before="160" w:after="40"/>
        <w:jc w:val="center"/>
      </w:pPr>
      <w:r>
        <w:rPr>
          <w:rFonts w:ascii="黑体" w:hAnsi="黑体" w:eastAsia="黑体"/>
          <w:sz w:val="21"/>
        </w:rPr>
        <w:t>表5.2  交互矩阵A与驱动传导矩阵B的估计结果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850"/>
        <w:gridCol w:w="850"/>
        <w:gridCol w:w="850"/>
        <w:gridCol w:w="850"/>
        <w:gridCol w:w="850"/>
        <w:gridCol w:w="850"/>
        <w:gridCol w:w="850"/>
        <w:gridCol w:w="850"/>
        <w:gridCol w:w="850"/>
        <w:gridCol w:w="850"/>
      </w:tblGrid>
      <w:tr>
        <w:tc>
          <w:tcPr>
            <w:tcW w:type="dxa" w:w="850"/>
            <w:tcBorders>
              <w:bottom w:val="single" w:sz="6" w:color="000000"/>
            </w:tcBorders>
            <w:vAlign w:val="center"/>
          </w:tcPr>
          <w:p>
            <w:pPr>
              <w:spacing w:line="240" w:lineRule="auto" w:after="20" w:before="20"/>
              <w:jc w:val="center"/>
            </w:pPr>
            <w:r/>
            <w:r>
              <w:rPr>
                <w:rFonts w:ascii="宋体" w:hAnsi="宋体" w:eastAsia="宋体"/>
                <w:b/>
                <w:sz w:val="18"/>
              </w:rPr>
              <w:t>被解释方程</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核算</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足迹</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产品</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吸收</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金融</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ETS</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DC</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CBAM</w:t>
            </w:r>
          </w:p>
        </w:tc>
        <w:tc>
          <w:tcPr>
            <w:tcW w:type="dxa" w:w="850"/>
            <w:tcBorders>
              <w:bottom w:val="single" w:sz="6" w:color="000000"/>
            </w:tcBorders>
            <w:vAlign w:val="center"/>
          </w:tcPr>
          <w:p>
            <w:pPr>
              <w:spacing w:line="240" w:lineRule="auto" w:after="20" w:before="20"/>
              <w:jc w:val="center"/>
            </w:pPr>
            <w:r/>
            <w:r>
              <w:rPr>
                <w:rFonts w:ascii="宋体" w:hAnsi="宋体" w:eastAsia="宋体"/>
                <w:b/>
                <w:sz w:val="18"/>
              </w:rPr>
              <w:t>Tech</w:t>
            </w:r>
          </w:p>
        </w:tc>
      </w:tr>
      <w:tr>
        <w:tc>
          <w:tcPr>
            <w:tcW w:type="dxa" w:w="850"/>
            <w:vAlign w:val="center"/>
          </w:tcPr>
          <w:p>
            <w:pPr>
              <w:spacing w:line="240" w:lineRule="auto" w:after="20" w:before="20"/>
              <w:jc w:val="left"/>
            </w:pPr>
            <w:r/>
            <w:r>
              <w:rPr>
                <w:rFonts w:ascii="宋体" w:hAnsi="宋体" w:eastAsia="宋体"/>
                <w:sz w:val="18"/>
              </w:rPr>
              <w:t>碳排放核算</w:t>
            </w:r>
          </w:p>
        </w:tc>
        <w:tc>
          <w:tcPr>
            <w:tcW w:type="dxa" w:w="850"/>
            <w:vAlign w:val="center"/>
          </w:tcPr>
          <w:p>
            <w:pPr>
              <w:spacing w:line="240" w:lineRule="auto" w:after="20" w:before="20"/>
              <w:jc w:val="center"/>
            </w:pPr>
            <w:r/>
            <w:r>
              <w:rPr>
                <w:rFonts w:ascii="宋体" w:hAnsi="宋体" w:eastAsia="宋体"/>
                <w:sz w:val="18"/>
              </w:rPr>
              <w:t>-0.21***</w:t>
              <w:br/>
              <w:t>(0.075)</w:t>
            </w:r>
          </w:p>
        </w:tc>
        <w:tc>
          <w:tcPr>
            <w:tcW w:type="dxa" w:w="850"/>
            <w:vAlign w:val="center"/>
          </w:tcPr>
          <w:p>
            <w:pPr>
              <w:spacing w:line="240" w:lineRule="auto" w:after="20" w:before="20"/>
              <w:jc w:val="center"/>
            </w:pPr>
            <w:r/>
            <w:r>
              <w:rPr>
                <w:rFonts w:ascii="宋体" w:hAnsi="宋体" w:eastAsia="宋体"/>
                <w:sz w:val="18"/>
              </w:rPr>
              <w:t>0.04</w:t>
              <w:br/>
              <w:t>(0.029)</w:t>
            </w:r>
          </w:p>
        </w:tc>
        <w:tc>
          <w:tcPr>
            <w:tcW w:type="dxa" w:w="850"/>
            <w:vAlign w:val="center"/>
          </w:tcPr>
          <w:p>
            <w:pPr>
              <w:spacing w:line="240" w:lineRule="auto" w:after="20" w:before="20"/>
              <w:jc w:val="center"/>
            </w:pPr>
            <w:r/>
            <w:r>
              <w:rPr>
                <w:rFonts w:ascii="宋体" w:hAnsi="宋体" w:eastAsia="宋体"/>
                <w:sz w:val="18"/>
              </w:rPr>
              <w:t>0.02</w:t>
              <w:br/>
              <w:t>(0.014)</w:t>
            </w:r>
          </w:p>
        </w:tc>
        <w:tc>
          <w:tcPr>
            <w:tcW w:type="dxa" w:w="850"/>
            <w:vAlign w:val="center"/>
          </w:tcPr>
          <w:p>
            <w:pPr>
              <w:spacing w:line="240" w:lineRule="auto" w:after="20" w:before="20"/>
              <w:jc w:val="center"/>
            </w:pPr>
            <w:r/>
            <w:r>
              <w:rPr>
                <w:rFonts w:ascii="宋体" w:hAnsi="宋体" w:eastAsia="宋体"/>
                <w:sz w:val="18"/>
              </w:rPr>
              <w:t>0.00</w:t>
              <w:br/>
              <w:t>(0.020)</w:t>
            </w:r>
          </w:p>
        </w:tc>
        <w:tc>
          <w:tcPr>
            <w:tcW w:type="dxa" w:w="850"/>
            <w:vAlign w:val="center"/>
          </w:tcPr>
          <w:p>
            <w:pPr>
              <w:spacing w:line="240" w:lineRule="auto" w:after="20" w:before="20"/>
              <w:jc w:val="center"/>
            </w:pPr>
            <w:r/>
            <w:r>
              <w:rPr>
                <w:rFonts w:ascii="宋体" w:hAnsi="宋体" w:eastAsia="宋体"/>
                <w:sz w:val="18"/>
              </w:rPr>
              <w:t>0.03</w:t>
              <w:br/>
              <w:t>(0.021)</w:t>
            </w:r>
          </w:p>
        </w:tc>
        <w:tc>
          <w:tcPr>
            <w:tcW w:type="dxa" w:w="850"/>
            <w:vAlign w:val="center"/>
          </w:tcPr>
          <w:p>
            <w:pPr>
              <w:spacing w:line="240" w:lineRule="auto" w:after="20" w:before="20"/>
              <w:jc w:val="center"/>
            </w:pPr>
            <w:r/>
            <w:r>
              <w:rPr>
                <w:rFonts w:ascii="宋体" w:hAnsi="宋体" w:eastAsia="宋体"/>
                <w:sz w:val="18"/>
              </w:rPr>
              <w:t>0.15***</w:t>
              <w:br/>
              <w:t>(0.052)</w:t>
            </w:r>
          </w:p>
        </w:tc>
        <w:tc>
          <w:tcPr>
            <w:tcW w:type="dxa" w:w="850"/>
            <w:vAlign w:val="center"/>
          </w:tcPr>
          <w:p>
            <w:pPr>
              <w:spacing w:line="240" w:lineRule="auto" w:after="20" w:before="20"/>
              <w:jc w:val="center"/>
            </w:pPr>
            <w:r/>
            <w:r>
              <w:rPr>
                <w:rFonts w:ascii="宋体" w:hAnsi="宋体" w:eastAsia="宋体"/>
                <w:sz w:val="18"/>
              </w:rPr>
              <w:t>0.12***</w:t>
              <w:br/>
              <w:t>(0.041)</w:t>
            </w:r>
          </w:p>
        </w:tc>
        <w:tc>
          <w:tcPr>
            <w:tcW w:type="dxa" w:w="850"/>
            <w:vAlign w:val="center"/>
          </w:tcPr>
          <w:p>
            <w:pPr>
              <w:spacing w:line="240" w:lineRule="auto" w:after="20" w:before="20"/>
              <w:jc w:val="center"/>
            </w:pPr>
            <w:r/>
            <w:r>
              <w:rPr>
                <w:rFonts w:ascii="宋体" w:hAnsi="宋体" w:eastAsia="宋体"/>
                <w:sz w:val="18"/>
              </w:rPr>
              <w:t>0.06</w:t>
              <w:br/>
              <w:t>(0.040)</w:t>
            </w:r>
          </w:p>
        </w:tc>
        <w:tc>
          <w:tcPr>
            <w:tcW w:type="dxa" w:w="850"/>
            <w:vAlign w:val="center"/>
          </w:tcPr>
          <w:p>
            <w:pPr>
              <w:spacing w:line="240" w:lineRule="auto" w:after="20" w:before="20"/>
              <w:jc w:val="center"/>
            </w:pPr>
            <w:r/>
            <w:r>
              <w:rPr>
                <w:rFonts w:ascii="宋体" w:hAnsi="宋体" w:eastAsia="宋体"/>
                <w:sz w:val="18"/>
              </w:rPr>
              <w:t>0.05</w:t>
              <w:br/>
              <w:t>(0.033)</w:t>
            </w:r>
          </w:p>
        </w:tc>
      </w:tr>
      <w:tr>
        <w:tc>
          <w:tcPr>
            <w:tcW w:type="dxa" w:w="850"/>
            <w:vAlign w:val="center"/>
          </w:tcPr>
          <w:p>
            <w:pPr>
              <w:spacing w:line="240" w:lineRule="auto" w:after="20" w:before="20"/>
              <w:jc w:val="left"/>
            </w:pPr>
            <w:r/>
            <w:r>
              <w:rPr>
                <w:rFonts w:ascii="宋体" w:hAnsi="宋体" w:eastAsia="宋体"/>
                <w:sz w:val="18"/>
              </w:rPr>
              <w:t>碳足迹认证</w:t>
            </w:r>
          </w:p>
        </w:tc>
        <w:tc>
          <w:tcPr>
            <w:tcW w:type="dxa" w:w="850"/>
            <w:vAlign w:val="center"/>
          </w:tcPr>
          <w:p>
            <w:pPr>
              <w:spacing w:line="240" w:lineRule="auto" w:after="20" w:before="20"/>
              <w:jc w:val="center"/>
            </w:pPr>
            <w:r/>
            <w:r>
              <w:rPr>
                <w:rFonts w:ascii="宋体" w:hAnsi="宋体" w:eastAsia="宋体"/>
                <w:sz w:val="18"/>
              </w:rPr>
              <w:t>0.12***</w:t>
              <w:br/>
              <w:t>(0.043)</w:t>
            </w:r>
          </w:p>
        </w:tc>
        <w:tc>
          <w:tcPr>
            <w:tcW w:type="dxa" w:w="850"/>
            <w:vAlign w:val="center"/>
          </w:tcPr>
          <w:p>
            <w:pPr>
              <w:spacing w:line="240" w:lineRule="auto" w:after="20" w:before="20"/>
              <w:jc w:val="center"/>
            </w:pPr>
            <w:r/>
            <w:r>
              <w:rPr>
                <w:rFonts w:ascii="宋体" w:hAnsi="宋体" w:eastAsia="宋体"/>
                <w:sz w:val="18"/>
              </w:rPr>
              <w:t>-0.24***</w:t>
              <w:br/>
              <w:t>(0.086)</w:t>
            </w:r>
          </w:p>
        </w:tc>
        <w:tc>
          <w:tcPr>
            <w:tcW w:type="dxa" w:w="850"/>
            <w:vAlign w:val="center"/>
          </w:tcPr>
          <w:p>
            <w:pPr>
              <w:spacing w:line="240" w:lineRule="auto" w:after="20" w:before="20"/>
              <w:jc w:val="center"/>
            </w:pPr>
            <w:r/>
            <w:r>
              <w:rPr>
                <w:rFonts w:ascii="宋体" w:hAnsi="宋体" w:eastAsia="宋体"/>
                <w:sz w:val="18"/>
              </w:rPr>
              <w:t>-0.05</w:t>
              <w:br/>
              <w:t>(0.036)</w:t>
            </w:r>
          </w:p>
        </w:tc>
        <w:tc>
          <w:tcPr>
            <w:tcW w:type="dxa" w:w="850"/>
            <w:vAlign w:val="center"/>
          </w:tcPr>
          <w:p>
            <w:pPr>
              <w:spacing w:line="240" w:lineRule="auto" w:after="20" w:before="20"/>
              <w:jc w:val="center"/>
            </w:pPr>
            <w:r/>
            <w:r>
              <w:rPr>
                <w:rFonts w:ascii="宋体" w:hAnsi="宋体" w:eastAsia="宋体"/>
                <w:sz w:val="18"/>
              </w:rPr>
              <w:t>0.00</w:t>
              <w:br/>
              <w:t>(0.020)</w:t>
            </w:r>
          </w:p>
        </w:tc>
        <w:tc>
          <w:tcPr>
            <w:tcW w:type="dxa" w:w="850"/>
            <w:vAlign w:val="center"/>
          </w:tcPr>
          <w:p>
            <w:pPr>
              <w:spacing w:line="240" w:lineRule="auto" w:after="20" w:before="20"/>
              <w:jc w:val="center"/>
            </w:pPr>
            <w:r/>
            <w:r>
              <w:rPr>
                <w:rFonts w:ascii="宋体" w:hAnsi="宋体" w:eastAsia="宋体"/>
                <w:sz w:val="18"/>
              </w:rPr>
              <w:t>0.02</w:t>
              <w:br/>
              <w:t>(0.014)</w:t>
            </w:r>
          </w:p>
        </w:tc>
        <w:tc>
          <w:tcPr>
            <w:tcW w:type="dxa" w:w="850"/>
            <w:vAlign w:val="center"/>
          </w:tcPr>
          <w:p>
            <w:pPr>
              <w:spacing w:line="240" w:lineRule="auto" w:after="20" w:before="20"/>
              <w:jc w:val="center"/>
            </w:pPr>
            <w:r/>
            <w:r>
              <w:rPr>
                <w:rFonts w:ascii="宋体" w:hAnsi="宋体" w:eastAsia="宋体"/>
                <w:sz w:val="18"/>
              </w:rPr>
              <w:t>0.04</w:t>
              <w:br/>
              <w:t>(0.027)</w:t>
            </w:r>
          </w:p>
        </w:tc>
        <w:tc>
          <w:tcPr>
            <w:tcW w:type="dxa" w:w="850"/>
            <w:vAlign w:val="center"/>
          </w:tcPr>
          <w:p>
            <w:pPr>
              <w:spacing w:line="240" w:lineRule="auto" w:after="20" w:before="20"/>
              <w:jc w:val="center"/>
            </w:pPr>
            <w:r/>
            <w:r>
              <w:rPr>
                <w:rFonts w:ascii="宋体" w:hAnsi="宋体" w:eastAsia="宋体"/>
                <w:sz w:val="18"/>
              </w:rPr>
              <w:t>0.07</w:t>
              <w:br/>
              <w:t>(0.047)</w:t>
            </w:r>
          </w:p>
        </w:tc>
        <w:tc>
          <w:tcPr>
            <w:tcW w:type="dxa" w:w="850"/>
            <w:vAlign w:val="center"/>
          </w:tcPr>
          <w:p>
            <w:pPr>
              <w:spacing w:line="240" w:lineRule="auto" w:after="20" w:before="20"/>
              <w:jc w:val="center"/>
            </w:pPr>
            <w:r/>
            <w:r>
              <w:rPr>
                <w:rFonts w:ascii="宋体" w:hAnsi="宋体" w:eastAsia="宋体"/>
                <w:sz w:val="18"/>
              </w:rPr>
              <w:t>0.14***</w:t>
              <w:br/>
              <w:t>(0.048)</w:t>
            </w:r>
          </w:p>
        </w:tc>
        <w:tc>
          <w:tcPr>
            <w:tcW w:type="dxa" w:w="850"/>
            <w:vAlign w:val="center"/>
          </w:tcPr>
          <w:p>
            <w:pPr>
              <w:spacing w:line="240" w:lineRule="auto" w:after="20" w:before="20"/>
              <w:jc w:val="center"/>
            </w:pPr>
            <w:r/>
            <w:r>
              <w:rPr>
                <w:rFonts w:ascii="宋体" w:hAnsi="宋体" w:eastAsia="宋体"/>
                <w:sz w:val="18"/>
              </w:rPr>
              <w:t>0.05</w:t>
              <w:br/>
              <w:t>(0.033)</w:t>
            </w:r>
          </w:p>
        </w:tc>
      </w:tr>
      <w:tr>
        <w:tc>
          <w:tcPr>
            <w:tcW w:type="dxa" w:w="850"/>
            <w:vAlign w:val="center"/>
          </w:tcPr>
          <w:p>
            <w:pPr>
              <w:spacing w:line="240" w:lineRule="auto" w:after="20" w:before="20"/>
              <w:jc w:val="left"/>
            </w:pPr>
            <w:r/>
            <w:r>
              <w:rPr>
                <w:rFonts w:ascii="宋体" w:hAnsi="宋体" w:eastAsia="宋体"/>
                <w:sz w:val="18"/>
              </w:rPr>
              <w:t>绿色产品</w:t>
            </w:r>
          </w:p>
        </w:tc>
        <w:tc>
          <w:tcPr>
            <w:tcW w:type="dxa" w:w="850"/>
            <w:vAlign w:val="center"/>
          </w:tcPr>
          <w:p>
            <w:pPr>
              <w:spacing w:line="240" w:lineRule="auto" w:after="20" w:before="20"/>
              <w:jc w:val="center"/>
            </w:pPr>
            <w:r/>
            <w:r>
              <w:rPr>
                <w:rFonts w:ascii="宋体" w:hAnsi="宋体" w:eastAsia="宋体"/>
                <w:sz w:val="18"/>
              </w:rPr>
              <w:t>0.08***</w:t>
              <w:br/>
              <w:t>(0.029)</w:t>
            </w:r>
          </w:p>
        </w:tc>
        <w:tc>
          <w:tcPr>
            <w:tcW w:type="dxa" w:w="850"/>
            <w:vAlign w:val="center"/>
          </w:tcPr>
          <w:p>
            <w:pPr>
              <w:spacing w:line="240" w:lineRule="auto" w:after="20" w:before="20"/>
              <w:jc w:val="center"/>
            </w:pPr>
            <w:r/>
            <w:r>
              <w:rPr>
                <w:rFonts w:ascii="宋体" w:hAnsi="宋体" w:eastAsia="宋体"/>
                <w:sz w:val="18"/>
              </w:rPr>
              <w:t>0.03</w:t>
              <w:br/>
              <w:t>(0.021)</w:t>
            </w:r>
          </w:p>
        </w:tc>
        <w:tc>
          <w:tcPr>
            <w:tcW w:type="dxa" w:w="850"/>
            <w:vAlign w:val="center"/>
          </w:tcPr>
          <w:p>
            <w:pPr>
              <w:spacing w:line="240" w:lineRule="auto" w:after="20" w:before="20"/>
              <w:jc w:val="center"/>
            </w:pPr>
            <w:r/>
            <w:r>
              <w:rPr>
                <w:rFonts w:ascii="宋体" w:hAnsi="宋体" w:eastAsia="宋体"/>
                <w:sz w:val="18"/>
              </w:rPr>
              <w:t>-0.18***</w:t>
              <w:br/>
              <w:t>(0.064)</w:t>
            </w:r>
          </w:p>
        </w:tc>
        <w:tc>
          <w:tcPr>
            <w:tcW w:type="dxa" w:w="850"/>
            <w:vAlign w:val="center"/>
          </w:tcPr>
          <w:p>
            <w:pPr>
              <w:spacing w:line="240" w:lineRule="auto" w:after="20" w:before="20"/>
              <w:jc w:val="center"/>
            </w:pPr>
            <w:r/>
            <w:r>
              <w:rPr>
                <w:rFonts w:ascii="宋体" w:hAnsi="宋体" w:eastAsia="宋体"/>
                <w:sz w:val="18"/>
              </w:rPr>
              <w:t>0.00</w:t>
              <w:br/>
              <w:t>(0.020)</w:t>
            </w:r>
          </w:p>
        </w:tc>
        <w:tc>
          <w:tcPr>
            <w:tcW w:type="dxa" w:w="850"/>
            <w:vAlign w:val="center"/>
          </w:tcPr>
          <w:p>
            <w:pPr>
              <w:spacing w:line="240" w:lineRule="auto" w:after="20" w:before="20"/>
              <w:jc w:val="center"/>
            </w:pPr>
            <w:r/>
            <w:r>
              <w:rPr>
                <w:rFonts w:ascii="宋体" w:hAnsi="宋体" w:eastAsia="宋体"/>
                <w:sz w:val="18"/>
              </w:rPr>
              <w:t>0.00</w:t>
              <w:br/>
              <w:t>(0.020)</w:t>
            </w:r>
          </w:p>
        </w:tc>
        <w:tc>
          <w:tcPr>
            <w:tcW w:type="dxa" w:w="850"/>
            <w:vAlign w:val="center"/>
          </w:tcPr>
          <w:p>
            <w:pPr>
              <w:spacing w:line="240" w:lineRule="auto" w:after="20" w:before="20"/>
              <w:jc w:val="center"/>
            </w:pPr>
            <w:r/>
            <w:r>
              <w:rPr>
                <w:rFonts w:ascii="宋体" w:hAnsi="宋体" w:eastAsia="宋体"/>
                <w:sz w:val="18"/>
              </w:rPr>
              <w:t>0.03</w:t>
              <w:br/>
              <w:t>(0.020)</w:t>
            </w:r>
          </w:p>
        </w:tc>
        <w:tc>
          <w:tcPr>
            <w:tcW w:type="dxa" w:w="850"/>
            <w:vAlign w:val="center"/>
          </w:tcPr>
          <w:p>
            <w:pPr>
              <w:spacing w:line="240" w:lineRule="auto" w:after="20" w:before="20"/>
              <w:jc w:val="center"/>
            </w:pPr>
            <w:r/>
            <w:r>
              <w:rPr>
                <w:rFonts w:ascii="宋体" w:hAnsi="宋体" w:eastAsia="宋体"/>
                <w:sz w:val="18"/>
              </w:rPr>
              <w:t>0.06</w:t>
              <w:br/>
              <w:t>(0.040)</w:t>
            </w:r>
          </w:p>
        </w:tc>
        <w:tc>
          <w:tcPr>
            <w:tcW w:type="dxa" w:w="850"/>
            <w:vAlign w:val="center"/>
          </w:tcPr>
          <w:p>
            <w:pPr>
              <w:spacing w:line="240" w:lineRule="auto" w:after="20" w:before="20"/>
              <w:jc w:val="center"/>
            </w:pPr>
            <w:r/>
            <w:r>
              <w:rPr>
                <w:rFonts w:ascii="宋体" w:hAnsi="宋体" w:eastAsia="宋体"/>
                <w:sz w:val="18"/>
              </w:rPr>
              <w:t>0.02</w:t>
              <w:br/>
              <w:t>(0.013)</w:t>
            </w:r>
          </w:p>
        </w:tc>
        <w:tc>
          <w:tcPr>
            <w:tcW w:type="dxa" w:w="850"/>
            <w:vAlign w:val="center"/>
          </w:tcPr>
          <w:p>
            <w:pPr>
              <w:spacing w:line="240" w:lineRule="auto" w:after="20" w:before="20"/>
              <w:jc w:val="center"/>
            </w:pPr>
            <w:r/>
            <w:r>
              <w:rPr>
                <w:rFonts w:ascii="宋体" w:hAnsi="宋体" w:eastAsia="宋体"/>
                <w:sz w:val="18"/>
              </w:rPr>
              <w:t>0.09***</w:t>
              <w:br/>
              <w:t>(0.031)</w:t>
            </w:r>
          </w:p>
        </w:tc>
      </w:tr>
      <w:tr>
        <w:tc>
          <w:tcPr>
            <w:tcW w:type="dxa" w:w="850"/>
            <w:vAlign w:val="center"/>
          </w:tcPr>
          <w:p>
            <w:pPr>
              <w:spacing w:line="240" w:lineRule="auto" w:after="20" w:before="20"/>
              <w:jc w:val="left"/>
            </w:pPr>
            <w:r/>
            <w:r>
              <w:rPr>
                <w:rFonts w:ascii="宋体" w:hAnsi="宋体" w:eastAsia="宋体"/>
                <w:sz w:val="18"/>
              </w:rPr>
              <w:t>碳吸收</w:t>
            </w:r>
          </w:p>
        </w:tc>
        <w:tc>
          <w:tcPr>
            <w:tcW w:type="dxa" w:w="850"/>
            <w:vAlign w:val="center"/>
          </w:tcPr>
          <w:p>
            <w:pPr>
              <w:spacing w:line="240" w:lineRule="auto" w:after="20" w:before="20"/>
              <w:jc w:val="center"/>
            </w:pPr>
            <w:r/>
            <w:r>
              <w:rPr>
                <w:rFonts w:ascii="宋体" w:hAnsi="宋体" w:eastAsia="宋体"/>
                <w:sz w:val="18"/>
              </w:rPr>
              <w:t>0.05</w:t>
              <w:br/>
              <w:t>(0.036)</w:t>
            </w:r>
          </w:p>
        </w:tc>
        <w:tc>
          <w:tcPr>
            <w:tcW w:type="dxa" w:w="850"/>
            <w:vAlign w:val="center"/>
          </w:tcPr>
          <w:p>
            <w:pPr>
              <w:spacing w:line="240" w:lineRule="auto" w:after="20" w:before="20"/>
              <w:jc w:val="center"/>
            </w:pPr>
            <w:r/>
            <w:r>
              <w:rPr>
                <w:rFonts w:ascii="宋体" w:hAnsi="宋体" w:eastAsia="宋体"/>
                <w:sz w:val="18"/>
              </w:rPr>
              <w:t>0.00</w:t>
              <w:br/>
              <w:t>(0.020)</w:t>
            </w:r>
          </w:p>
        </w:tc>
        <w:tc>
          <w:tcPr>
            <w:tcW w:type="dxa" w:w="850"/>
            <w:vAlign w:val="center"/>
          </w:tcPr>
          <w:p>
            <w:pPr>
              <w:spacing w:line="240" w:lineRule="auto" w:after="20" w:before="20"/>
              <w:jc w:val="center"/>
            </w:pPr>
            <w:r/>
            <w:r>
              <w:rPr>
                <w:rFonts w:ascii="宋体" w:hAnsi="宋体" w:eastAsia="宋体"/>
                <w:sz w:val="18"/>
              </w:rPr>
              <w:t>0.00</w:t>
              <w:br/>
              <w:t>(0.020)</w:t>
            </w:r>
          </w:p>
        </w:tc>
        <w:tc>
          <w:tcPr>
            <w:tcW w:type="dxa" w:w="850"/>
            <w:vAlign w:val="center"/>
          </w:tcPr>
          <w:p>
            <w:pPr>
              <w:spacing w:line="240" w:lineRule="auto" w:after="20" w:before="20"/>
              <w:jc w:val="center"/>
            </w:pPr>
            <w:r/>
            <w:r>
              <w:rPr>
                <w:rFonts w:ascii="宋体" w:hAnsi="宋体" w:eastAsia="宋体"/>
                <w:sz w:val="18"/>
              </w:rPr>
              <w:t>-0.15***</w:t>
              <w:br/>
              <w:t>(0.054)</w:t>
            </w:r>
          </w:p>
        </w:tc>
        <w:tc>
          <w:tcPr>
            <w:tcW w:type="dxa" w:w="850"/>
            <w:vAlign w:val="center"/>
          </w:tcPr>
          <w:p>
            <w:pPr>
              <w:spacing w:line="240" w:lineRule="auto" w:after="20" w:before="20"/>
              <w:jc w:val="center"/>
            </w:pPr>
            <w:r/>
            <w:r>
              <w:rPr>
                <w:rFonts w:ascii="宋体" w:hAnsi="宋体" w:eastAsia="宋体"/>
                <w:sz w:val="18"/>
              </w:rPr>
              <w:t>0.04</w:t>
              <w:br/>
              <w:t>(0.029)</w:t>
            </w:r>
          </w:p>
        </w:tc>
        <w:tc>
          <w:tcPr>
            <w:tcW w:type="dxa" w:w="850"/>
            <w:vAlign w:val="center"/>
          </w:tcPr>
          <w:p>
            <w:pPr>
              <w:spacing w:line="240" w:lineRule="auto" w:after="20" w:before="20"/>
              <w:jc w:val="center"/>
            </w:pPr>
            <w:r/>
            <w:r>
              <w:rPr>
                <w:rFonts w:ascii="宋体" w:hAnsi="宋体" w:eastAsia="宋体"/>
                <w:sz w:val="18"/>
              </w:rPr>
              <w:t>0.01</w:t>
              <w:br/>
              <w:t>(0.007)</w:t>
            </w:r>
          </w:p>
        </w:tc>
        <w:tc>
          <w:tcPr>
            <w:tcW w:type="dxa" w:w="850"/>
            <w:vAlign w:val="center"/>
          </w:tcPr>
          <w:p>
            <w:pPr>
              <w:spacing w:line="240" w:lineRule="auto" w:after="20" w:before="20"/>
              <w:jc w:val="center"/>
            </w:pPr>
            <w:r/>
            <w:r>
              <w:rPr>
                <w:rFonts w:ascii="宋体" w:hAnsi="宋体" w:eastAsia="宋体"/>
                <w:sz w:val="18"/>
              </w:rPr>
              <w:t>0.08***</w:t>
              <w:br/>
              <w:t>(0.028)</w:t>
            </w:r>
          </w:p>
        </w:tc>
        <w:tc>
          <w:tcPr>
            <w:tcW w:type="dxa" w:w="850"/>
            <w:vAlign w:val="center"/>
          </w:tcPr>
          <w:p>
            <w:pPr>
              <w:spacing w:line="240" w:lineRule="auto" w:after="20" w:before="20"/>
              <w:jc w:val="center"/>
            </w:pPr>
            <w:r/>
            <w:r>
              <w:rPr>
                <w:rFonts w:ascii="宋体" w:hAnsi="宋体" w:eastAsia="宋体"/>
                <w:sz w:val="18"/>
              </w:rPr>
              <w:t>0.01</w:t>
              <w:br/>
              <w:t>(0.007)</w:t>
            </w:r>
          </w:p>
        </w:tc>
        <w:tc>
          <w:tcPr>
            <w:tcW w:type="dxa" w:w="850"/>
            <w:vAlign w:val="center"/>
          </w:tcPr>
          <w:p>
            <w:pPr>
              <w:spacing w:line="240" w:lineRule="auto" w:after="20" w:before="20"/>
              <w:jc w:val="center"/>
            </w:pPr>
            <w:r/>
            <w:r>
              <w:rPr>
                <w:rFonts w:ascii="宋体" w:hAnsi="宋体" w:eastAsia="宋体"/>
                <w:sz w:val="18"/>
              </w:rPr>
              <w:t>0.03</w:t>
              <w:br/>
              <w:t>(0.020)</w:t>
            </w:r>
          </w:p>
        </w:tc>
      </w:tr>
      <w:tr>
        <w:tc>
          <w:tcPr>
            <w:tcW w:type="dxa" w:w="850"/>
            <w:vAlign w:val="center"/>
          </w:tcPr>
          <w:p>
            <w:pPr>
              <w:spacing w:line="240" w:lineRule="auto" w:after="20" w:before="20"/>
              <w:jc w:val="left"/>
            </w:pPr>
            <w:r/>
            <w:r>
              <w:rPr>
                <w:rFonts w:ascii="宋体" w:hAnsi="宋体" w:eastAsia="宋体"/>
                <w:sz w:val="18"/>
              </w:rPr>
              <w:t>绿色金融</w:t>
            </w:r>
          </w:p>
        </w:tc>
        <w:tc>
          <w:tcPr>
            <w:tcW w:type="dxa" w:w="850"/>
            <w:vAlign w:val="center"/>
          </w:tcPr>
          <w:p>
            <w:pPr>
              <w:spacing w:line="240" w:lineRule="auto" w:after="20" w:before="20"/>
              <w:jc w:val="center"/>
            </w:pPr>
            <w:r/>
            <w:r>
              <w:rPr>
                <w:rFonts w:ascii="宋体" w:hAnsi="宋体" w:eastAsia="宋体"/>
                <w:sz w:val="18"/>
              </w:rPr>
              <w:t>0.06***</w:t>
              <w:br/>
              <w:t>(0.021)</w:t>
            </w:r>
          </w:p>
        </w:tc>
        <w:tc>
          <w:tcPr>
            <w:tcW w:type="dxa" w:w="850"/>
            <w:vAlign w:val="center"/>
          </w:tcPr>
          <w:p>
            <w:pPr>
              <w:spacing w:line="240" w:lineRule="auto" w:after="20" w:before="20"/>
              <w:jc w:val="center"/>
            </w:pPr>
            <w:r/>
            <w:r>
              <w:rPr>
                <w:rFonts w:ascii="宋体" w:hAnsi="宋体" w:eastAsia="宋体"/>
                <w:sz w:val="18"/>
              </w:rPr>
              <w:t>0.07***</w:t>
              <w:br/>
              <w:t>(0.025)</w:t>
            </w:r>
          </w:p>
        </w:tc>
        <w:tc>
          <w:tcPr>
            <w:tcW w:type="dxa" w:w="850"/>
            <w:vAlign w:val="center"/>
          </w:tcPr>
          <w:p>
            <w:pPr>
              <w:spacing w:line="240" w:lineRule="auto" w:after="20" w:before="20"/>
              <w:jc w:val="center"/>
            </w:pPr>
            <w:r/>
            <w:r>
              <w:rPr>
                <w:rFonts w:ascii="宋体" w:hAnsi="宋体" w:eastAsia="宋体"/>
                <w:sz w:val="18"/>
              </w:rPr>
              <w:t>0.00</w:t>
              <w:br/>
              <w:t>(0.020)</w:t>
            </w:r>
          </w:p>
        </w:tc>
        <w:tc>
          <w:tcPr>
            <w:tcW w:type="dxa" w:w="850"/>
            <w:vAlign w:val="center"/>
          </w:tcPr>
          <w:p>
            <w:pPr>
              <w:spacing w:line="240" w:lineRule="auto" w:after="20" w:before="20"/>
              <w:jc w:val="center"/>
            </w:pPr>
            <w:r/>
            <w:r>
              <w:rPr>
                <w:rFonts w:ascii="宋体" w:hAnsi="宋体" w:eastAsia="宋体"/>
                <w:sz w:val="18"/>
              </w:rPr>
              <w:t>0.02</w:t>
              <w:br/>
              <w:t>(0.014)</w:t>
            </w:r>
          </w:p>
        </w:tc>
        <w:tc>
          <w:tcPr>
            <w:tcW w:type="dxa" w:w="850"/>
            <w:vAlign w:val="center"/>
          </w:tcPr>
          <w:p>
            <w:pPr>
              <w:spacing w:line="240" w:lineRule="auto" w:after="20" w:before="20"/>
              <w:jc w:val="center"/>
            </w:pPr>
            <w:r/>
            <w:r>
              <w:rPr>
                <w:rFonts w:ascii="宋体" w:hAnsi="宋体" w:eastAsia="宋体"/>
                <w:sz w:val="18"/>
              </w:rPr>
              <w:t>-0.20***</w:t>
              <w:br/>
              <w:t>(0.071)</w:t>
            </w:r>
          </w:p>
        </w:tc>
        <w:tc>
          <w:tcPr>
            <w:tcW w:type="dxa" w:w="850"/>
            <w:vAlign w:val="center"/>
          </w:tcPr>
          <w:p>
            <w:pPr>
              <w:spacing w:line="240" w:lineRule="auto" w:after="20" w:before="20"/>
              <w:jc w:val="center"/>
            </w:pPr>
            <w:r/>
            <w:r>
              <w:rPr>
                <w:rFonts w:ascii="宋体" w:hAnsi="宋体" w:eastAsia="宋体"/>
                <w:sz w:val="18"/>
              </w:rPr>
              <w:t>0.10***</w:t>
              <w:br/>
              <w:t>(0.034)</w:t>
            </w:r>
          </w:p>
        </w:tc>
        <w:tc>
          <w:tcPr>
            <w:tcW w:type="dxa" w:w="850"/>
            <w:vAlign w:val="center"/>
          </w:tcPr>
          <w:p>
            <w:pPr>
              <w:spacing w:line="240" w:lineRule="auto" w:after="20" w:before="20"/>
              <w:jc w:val="center"/>
            </w:pPr>
            <w:r/>
            <w:r>
              <w:rPr>
                <w:rFonts w:ascii="宋体" w:hAnsi="宋体" w:eastAsia="宋体"/>
                <w:sz w:val="18"/>
              </w:rPr>
              <w:t>0.05</w:t>
              <w:br/>
              <w:t>(0.033)</w:t>
            </w:r>
          </w:p>
        </w:tc>
        <w:tc>
          <w:tcPr>
            <w:tcW w:type="dxa" w:w="850"/>
            <w:vAlign w:val="center"/>
          </w:tcPr>
          <w:p>
            <w:pPr>
              <w:spacing w:line="240" w:lineRule="auto" w:after="20" w:before="20"/>
              <w:jc w:val="center"/>
            </w:pPr>
            <w:r/>
            <w:r>
              <w:rPr>
                <w:rFonts w:ascii="宋体" w:hAnsi="宋体" w:eastAsia="宋体"/>
                <w:sz w:val="18"/>
              </w:rPr>
              <w:t>0.03</w:t>
              <w:br/>
              <w:t>(0.020)</w:t>
            </w:r>
          </w:p>
        </w:tc>
        <w:tc>
          <w:tcPr>
            <w:tcW w:type="dxa" w:w="850"/>
            <w:vAlign w:val="center"/>
          </w:tcPr>
          <w:p>
            <w:pPr>
              <w:spacing w:line="240" w:lineRule="auto" w:after="20" w:before="20"/>
              <w:jc w:val="center"/>
            </w:pPr>
            <w:r/>
            <w:r>
              <w:rPr>
                <w:rFonts w:ascii="宋体" w:hAnsi="宋体" w:eastAsia="宋体"/>
                <w:sz w:val="18"/>
              </w:rPr>
              <w:t>0.04</w:t>
              <w:br/>
              <w:t>(0.027)</w:t>
            </w:r>
          </w:p>
        </w:tc>
      </w:tr>
    </w:tbl>
    <w:p>
      <w:pPr>
        <w:spacing w:after="200" w:line="240" w:lineRule="auto"/>
      </w:pPr>
      <w:r>
        <w:rPr>
          <w:rFonts w:ascii="宋体" w:hAnsi="宋体" w:eastAsia="宋体"/>
          <w:sz w:val="18"/>
        </w:rPr>
        <w:t>注：括号内为标准误；*</w:t>
      </w:r>
      <w:r>
        <w:rPr>
          <w:rFonts w:ascii="宋体" w:hAnsi="宋体" w:eastAsia="宋体"/>
          <w:b/>
          <w:sz w:val="18"/>
        </w:rPr>
        <w:t>、</w:t>
      </w:r>
      <w:r>
        <w:rPr>
          <w:rFonts w:ascii="宋体" w:hAnsi="宋体" w:eastAsia="宋体"/>
          <w:sz w:val="18"/>
        </w:rPr>
        <w:t>、*分别表示在1%、5%、10%的水平上显著。第2—6列为交互矩阵A的元素（列为解释状态），第7—10列为传导矩阵B的元素；驱动变量经标准化处理，B列系数可横向比较。对数似然值412.6，观测数165。数据来源：本书状态空间模型估计结果。</w:t>
      </w:r>
    </w:p>
    <w:p>
      <w:pPr>
        <w:spacing w:line="360" w:lineRule="auto" w:after="0"/>
        <w:ind w:firstLineChars="200" w:firstLine="480"/>
        <w:jc w:val="both"/>
      </w:pPr>
      <w:r>
        <w:rPr>
          <w:rFonts w:ascii="宋体" w:hAnsi="宋体" w:eastAsia="宋体"/>
          <w:sz w:val="24"/>
        </w:rPr>
        <w:t>表5.2呈现三个总体特征。第一，全部对角元显著为负，显著的非对角元全部为正，唯一为负的非对角元（绿色产品对碳足迹认证方程，−0.05）未达常规显著性水平，表明标准体系兼具自稳定性与以互补为主的内部结构。第二，B矩阵中六个元素在1%水平上显著，且显著元素呈明显的“对口”分布——每一驱动力主要作用于与其规制对象直接对应的标准类别。第三，全部显著系数的量级介于0.06至0.24之间，单一渠道的瞬时效应温和，但多渠道叠加与动态累积足以再现样本期内指数的大幅抬升，说明标准体系的演化是渐进累积而非突变跃迁的过程。以下分别对A、B矩阵展开结构性解读。</w:t>
      </w:r>
    </w:p>
    <w:p>
      <w:pPr>
        <w:keepNext/>
        <w:spacing w:before="160" w:after="120" w:line="360" w:lineRule="auto"/>
        <w:outlineLvl w:val="2"/>
      </w:pPr>
      <w:r>
        <w:rPr>
          <w:rFonts w:ascii="黑体" w:hAnsi="黑体" w:eastAsia="黑体"/>
          <w:sz w:val="24"/>
        </w:rPr>
        <w:t>5.4.2  A矩阵：标准间的互补与替代关系</w:t>
      </w:r>
    </w:p>
    <w:p>
      <w:pPr>
        <w:spacing w:line="360" w:lineRule="auto" w:after="0"/>
        <w:ind w:firstLineChars="200" w:firstLine="480"/>
        <w:jc w:val="both"/>
      </w:pPr>
      <w:r>
        <w:rPr>
          <w:rFonts w:ascii="宋体" w:hAnsi="宋体" w:eastAsia="宋体"/>
          <w:sz w:val="24"/>
        </w:rPr>
        <w:t>先看对角线。五个自反馈系数全部在1%水平上显著为负：碳排放核算−0.21、碳足迹认证−0.24、绿色产品−0.18、碳吸收−0.15、绿色金融−0.20。负的自反馈意味着每类标准的演化都内嵌收敛机制：在给定驱动力水平下，指数向条件均衡渐近逼近而非无限扩张。将连续时间系数换算为半衰期（</w:t>
      </w:r>
      <m:oMath>
        <m:r>
          <m:rPr>
            <m:sty m:val="p"/>
          </m:rPr>
          <m:t>ln</m:t>
        </m:r>
        <m:r>
          <m:t>2</m:t>
        </m:r>
        <m:r>
          <m:rPr>
            <m:sty m:val="p"/>
          </m:rPr>
          <m:t>/</m:t>
        </m:r>
        <m:d>
          <m:dPr>
            <m:begChr m:val="|"/>
            <m:sepChr m:val=""/>
            <m:endChr m:val="|"/>
            <m:grow/>
          </m:dPr>
          <m:e>
            <m:sSub>
              <m:e>
                <m:r>
                  <m:t>a</m:t>
                </m:r>
              </m:e>
              <m:sub>
                <m:r>
                  <m:t>i</m:t>
                </m:r>
                <m:r>
                  <m:t>i</m:t>
                </m:r>
              </m:sub>
            </m:sSub>
          </m:e>
        </m:d>
      </m:oMath>
      <w:r>
        <w:rPr>
          <w:rFonts w:ascii="宋体" w:hAnsi="宋体" w:eastAsia="宋体"/>
          <w:sz w:val="24"/>
        </w:rPr>
        <w:t>），各类标准偏离条件均衡的缺口收敛一半所需的时间分别为3.3年、2.9年、3.9年、4.6年与3.5年。两点结构信息值得注意：其一，碳足迹认证的收敛最快，与其“后发模仿”属性一致——ISO 14067、PAS 2050等国际模板现成可鉴，缺口一旦识别便可较快填补（冯相昭等，2010；Wu等，2015）；其二，碳吸收的收敛最慢，半衰期接近五年，表明该领域即便获得同等强度的推动，其响应也最为迟缓，这与碳汇计量方法学复杂、监测成本高、产权界定难的技术制度特征相符（蓝虹和杜彦霖，2024）。</w:t>
      </w:r>
    </w:p>
    <w:p>
      <w:pPr>
        <w:spacing w:line="360" w:lineRule="auto" w:after="0"/>
        <w:ind w:firstLineChars="200" w:firstLine="480"/>
        <w:jc w:val="both"/>
      </w:pPr>
      <w:r>
        <w:rPr>
          <w:rFonts w:ascii="宋体" w:hAnsi="宋体" w:eastAsia="宋体"/>
          <w:sz w:val="24"/>
        </w:rPr>
        <w:t>再看非对角元。估计结果最突出的发现，是碳排放核算所在列（第一列）集中了几乎全部显著的正向交互：核算状态每提高0.1，碳足迹认证、绿色产品与绿色金融方程的年变化率分别提升0.012、0.008与0.006（对应系数0.12、0.08、0.06，均在1%水平显著），对碳吸收方程的系数亦为正（0.05）但未达显著。这种列式集中分布共同刻画了碳排放核算标准的“枢纽”地位：核算提供统一的计量语言与数据底座，是其余各类标准得以运转的基础设施型标准（Tassey，2000；陈红敏，2011）。机制并不难理解：碳足迹认证本质上是组织层面核算方法向产品生命周期的延伸，2024年8月发布的碳足迹核算通则国家标准GB/T 24067-2024即在方法学上直接对标并承接ISO 14067的核算框架（童庆蒙等，2018）；绿色产品标准的低碳指标须以可核查的排放数据为依据；绿色金融标准对环境信息披露与碳资产定价的要求，同样以企业碳账本的可信性为前提（陈丹丹等，2025）。</w:t>
      </w:r>
    </w:p>
    <w:p>
      <w:pPr>
        <w:spacing w:line="360" w:lineRule="auto" w:after="0"/>
        <w:ind w:firstLineChars="200" w:firstLine="480"/>
        <w:jc w:val="both"/>
      </w:pPr>
      <w:r>
        <w:rPr>
          <w:rFonts w:ascii="宋体" w:hAnsi="宋体" w:eastAsia="宋体"/>
          <w:sz w:val="24"/>
        </w:rPr>
        <w:t>互补关系还存在显著的二级链条：碳足迹认证对绿色金融方程的系数为0.07（1%水平显著），构成“核算→足迹→金融”的传导链。碳足迹认证将排放信息落实到产品与企业层面，并经第三方核查赋予公信力，恰好弥合了绿色金融面临的“绿色识别”信息缺口——贴标资产的甄别、绿色信贷的贷后监测与碳金融产品的标的计量都直接消费认证结果（王馨和王营，2021；Klaaßen和Stoll，2021）。据此，核算标准对绿色金融的总效应超出直接系数本身：除0.06的直接传导外，还存在经由碳足迹认证的间接传导（0.12×0.07）。互补链条的乘数结构意味着，上游标准建设具有超出自身模块的体系性回报，这类跨界溢出与数字化转型领域的空间溢出效应实证发现相呼应（闫琰等，2025）。</w:t>
      </w:r>
    </w:p>
    <w:p>
      <w:pPr>
        <w:spacing w:line="360" w:lineRule="auto" w:after="0"/>
        <w:ind w:firstLineChars="200" w:firstLine="480"/>
        <w:jc w:val="both"/>
      </w:pPr>
      <w:r>
        <w:rPr>
          <w:rFonts w:ascii="宋体" w:hAnsi="宋体" w:eastAsia="宋体"/>
          <w:sz w:val="24"/>
        </w:rPr>
        <w:t>唯一的负向交互出现在绿色产品状态对碳足迹认证方程：系数−0.05，t值约1.4，仅具方向性提示意义。其经济逻辑在于两类标准在功能与市场两个层面的部分重叠：绿色产品评价标准多内含能耗与环保指标，在信息披露功能上与碳足迹标签形成竞争；认证机构与企业合规预算有限，绿色产品认证对碳足迹认证存在资源挤占（黄俊勇和刘世锦，2023）。尽管统计上不够精确，这一方向性证据仍有明确的设计含义：若绿色产品评价与碳足迹认证各自为政、指标重复而口径不一，替代摩擦将被放大；第9章提出将碳足迹要求嵌入绿色产品评价体系、推行“一次核算、多标互认”，正是针对这一潜在摩擦的制度安排。</w:t>
      </w:r>
    </w:p>
    <w:p>
      <w:pPr>
        <w:spacing w:line="360" w:lineRule="auto" w:after="0"/>
        <w:ind w:firstLineChars="200" w:firstLine="480"/>
        <w:jc w:val="both"/>
      </w:pPr>
      <w:r>
        <w:rPr>
          <w:rFonts w:ascii="宋体" w:hAnsi="宋体" w:eastAsia="宋体"/>
          <w:sz w:val="24"/>
        </w:rPr>
        <w:t>碳吸收所在的第四行与第四列刻画出一个“交互孤岛”。第四列的元素几乎全部为零——碳吸收标准的状态改善几乎不向其他模块外溢；第四行中仅碳排放核算状态的系数为正（0.05）但不显著——其他模块的完善也未能有效带动碳吸收。这一双向脱嵌与第4章识别的碳吸收模块缺位互为表里：碳汇计量方法学长期缺失，直到2023年10月生态环境部印发首批四项温室气体自愿减排项目方法学（含造林碳汇与红树林营造）、2024年1月全国温室气体自愿减排交易市场重启，碳吸收标准与碳市场、绿色金融的制度接口才开始建立（张一林等，2025）。估计结果中，碳吸收状态对绿色金融方程的系数（0.02）为正但微弱，可解读为这一接口在样本末期初步显效的痕迹。碳吸收模块能否融入互补网络，是“四步走”路径第三步（碳吸收标准化）成败的关键，也是第9章横向补短板设计的直接依据。</w:t>
      </w:r>
    </w:p>
    <w:p>
      <w:pPr>
        <w:spacing w:line="360" w:lineRule="auto" w:after="0"/>
        <w:ind w:firstLineChars="200" w:firstLine="480"/>
        <w:jc w:val="both"/>
      </w:pPr>
      <w:r>
        <w:rPr>
          <w:rFonts w:ascii="宋体" w:hAnsi="宋体" w:eastAsia="宋体"/>
          <w:sz w:val="24"/>
        </w:rPr>
        <w:t>交互矩阵的非对称性揭示了标准体系的层级化演化秩序。核算对足迹方程的系数为0.12，而足迹对核算方程仅为0.04且不显著；核算对产品方程为0.08，反向仅为0.02。这种“强顺向、弱逆向”的结构表明，五类标准并非对等互动，而是存在清晰的上游—下游关系：碳排放核算居于最上游，碳足迹认证与绿色产品居中，绿色金融处于下游应用端。演化经济学视角下，这正是路径依赖在标准体系层面的表现——上游标准的先行确立构造了下游标准的生成条件，塑造了体系演化的时序结构（David，1985；Arthur，1989）。对政策而言，它意味着标准建设存在客观的优先序：“核算先行”不是权宜安排，而是符合体系内生逻辑的最优时序，《碳达峰碳中和标准体系建设指南》将碳排放监测核算核查列为基础子体系的做法与此吻合（国家标准化管理委员会等，2023）。</w:t>
      </w:r>
    </w:p>
    <w:p>
      <w:pPr>
        <w:spacing w:line="360" w:lineRule="auto" w:after="0"/>
        <w:ind w:firstLineChars="200" w:firstLine="480"/>
        <w:jc w:val="both"/>
      </w:pPr>
      <w:r>
        <w:rPr>
          <w:rFonts w:ascii="宋体" w:hAnsi="宋体" w:eastAsia="宋体"/>
          <w:sz w:val="24"/>
        </w:rPr>
        <w:t>最后检验系统稳定性。对估计得到的A矩阵逐行计算非对角元绝对值之和，分别为0.09、0.19、0.11、0.09与0.15，均严格小于对应对角元的绝对值0.21、0.24、0.18、0.15与0.20。由格什戈林圆盘定理，A的全部特征值落在以负对角元为圆心、以上述行和为半径的左半平面圆盘之内，实部必为负；等价地，转移矩阵</w:t>
      </w:r>
      <m:oMath>
        <m:r>
          <m:t>T</m:t>
        </m:r>
        <m:r>
          <m:rPr>
            <m:sty m:val="p"/>
          </m:rPr>
          <m:t>=</m:t>
        </m:r>
        <m:sSub>
          <m:e>
            <m:r>
              <m:t>I</m:t>
            </m:r>
          </m:e>
          <m:sub>
            <m:r>
              <m:t>5</m:t>
            </m:r>
          </m:sub>
        </m:sSub>
        <m:r>
          <m:rPr>
            <m:sty m:val="p"/>
          </m:rPr>
          <m:t>+</m:t>
        </m:r>
        <m:r>
          <m:t>A</m:t>
        </m:r>
      </m:oMath>
      <w:r>
        <w:rPr>
          <w:rFonts w:ascii="宋体" w:hAnsi="宋体" w:eastAsia="宋体"/>
          <w:sz w:val="24"/>
        </w:rPr>
        <w:t>的谱半径小于1。因此估计所得系统渐近稳定：在驱动变量维持给定路径时，标准体系收敛于条件稳态</w:t>
      </w:r>
      <m:oMath>
        <m:sSup>
          <m:e>
            <m:r>
              <m:t>S</m:t>
            </m:r>
          </m:e>
          <m:sup>
            <m:r>
              <m:rPr>
                <m:sty m:val="p"/>
              </m:rPr>
              <m:t>*</m:t>
            </m:r>
          </m:sup>
        </m:sSup>
        <m:r>
          <m:rPr>
            <m:sty m:val="p"/>
          </m:rPr>
          <m:t>=</m:t>
        </m:r>
        <m:r>
          <m:rPr>
            <m:sty m:val="p"/>
          </m:rPr>
          <m:t>−</m:t>
        </m:r>
        <m:sSup>
          <m:e>
            <m:r>
              <m:t>A</m:t>
            </m:r>
          </m:e>
          <m:sup>
            <m:r>
              <m:rPr>
                <m:sty m:val="p"/>
              </m:rPr>
              <m:t>−</m:t>
            </m:r>
            <m:r>
              <m:t>1</m:t>
            </m:r>
          </m:sup>
        </m:sSup>
        <m:r>
          <m:t>B</m:t>
        </m:r>
        <m:r>
          <m:t>u</m:t>
        </m:r>
      </m:oMath>
      <w:r>
        <w:rPr>
          <w:rFonts w:ascii="宋体" w:hAnsi="宋体" w:eastAsia="宋体"/>
          <w:sz w:val="24"/>
        </w:rPr>
        <w:t>而不会发散。这一性质的经济含义颇为深刻：标准体系不具备脱离驱动力的自我升级能力，其长期水平完全由三重驱动力的持续注入决定——“停止推动即停止升级”，这为5.6节停滞情景的模拟结果提供了结构性预示。</w:t>
      </w:r>
    </w:p>
    <w:p>
      <w:pPr>
        <w:keepNext/>
        <w:spacing w:before="160" w:after="120" w:line="360" w:lineRule="auto"/>
        <w:outlineLvl w:val="2"/>
      </w:pPr>
      <w:r>
        <w:rPr>
          <w:rFonts w:ascii="黑体" w:hAnsi="黑体" w:eastAsia="黑体"/>
          <w:sz w:val="24"/>
        </w:rPr>
        <w:t>5.4.3  B矩阵：三重驱动力的传导结构</w:t>
      </w:r>
    </w:p>
    <w:p>
      <w:pPr>
        <w:spacing w:line="360" w:lineRule="auto" w:after="0"/>
        <w:ind w:firstLineChars="200" w:firstLine="480"/>
        <w:jc w:val="both"/>
      </w:pPr>
      <w:r>
        <w:rPr>
          <w:rFonts w:ascii="宋体" w:hAnsi="宋体" w:eastAsia="宋体"/>
          <w:sz w:val="24"/>
        </w:rPr>
        <w:t>转向传导矩阵B。按列加总传导系数，可得各驱动变量对全体系的总传导强度：碳价信号0.33、“双碳”政策0.38、CBAM规制0.26、绿色技术0.26。“双碳”政策强度的总传导居首，印证了中国标准体系政府主导的基本属性；但两个市场化驱动（碳价与CBAM）合计达0.59，已明显超过单一政策驱动，表明价格型机制在标准演化中的分量不容低估。更重要的信息在于显著元素的分布结构：六个在1%水平显著的传导系数各有明确的“对口”模块，以下逐一解读。</w:t>
      </w:r>
    </w:p>
    <w:p>
      <w:pPr>
        <w:spacing w:line="360" w:lineRule="auto" w:after="0"/>
        <w:ind w:firstLineChars="200" w:firstLine="480"/>
        <w:jc w:val="both"/>
      </w:pPr>
      <w:r>
        <w:rPr>
          <w:rFonts w:ascii="宋体" w:hAnsi="宋体" w:eastAsia="宋体"/>
          <w:sz w:val="24"/>
        </w:rPr>
        <w:t>碳价信号的显著传导集中于碳排放核算（0.15）与绿色金融（0.10）。前者是全部传导系数中最大的一个，机制直接而刚性：碳市场以“可测量、可报告、可核查”为运行前提，配额分配、排放报告与清缴履约的每一个环节都以核算标准为制度基础设施，首个履约周期2162家发电企业进入市场，即带来核算核查标准需求的集中释放，2025年扩围至钢铁、水泥、铝冶炼后这一需求进一步放大（张希良等，2021；Cui等，2021）。后者反映碳价的资产定价功能：碳配额成为可质押、可交易的资产后，碳金融产品设计、环境信息披露与气候投融资标准随之被激活（赵思琦等，2023）。</w:t>
      </w:r>
    </w:p>
    <w:p>
      <w:pPr>
        <w:spacing w:line="360" w:lineRule="auto" w:after="0"/>
        <w:ind w:firstLineChars="200" w:firstLine="480"/>
        <w:jc w:val="both"/>
      </w:pPr>
      <w:r>
        <w:rPr>
          <w:rFonts w:ascii="宋体" w:hAnsi="宋体" w:eastAsia="宋体"/>
          <w:sz w:val="24"/>
        </w:rPr>
        <w:t>“双碳”政策强度的显著传导指向碳排放核算（0.12）与碳吸收（0.08）。对核算的传导源于双控转型的制度需求：以碳排放总量与强度为考核对象，前提是排放“算得清、核得实”，2024年《加快构建碳排放双控制度体系工作方案》将完善碳排放统计核算体系、建设国家温室气体排放因子数据库列为基础工程，政策推力由此直接转化为核算标准供给（姜春海等，2024；袁惊柱，2025）。尤其值得注意的是对碳吸收的传导：在四个驱动变量中，唯有“双碳”政策对碳吸收方程的系数显著为正——碳汇能力巩固提升被纳入顶层设计后，造林碳汇、生态系统碳汇计量等标准需求几乎完全依赖政策创设，市场与技术驱动在该模块尚未接力。这再次印证碳吸收标准化对政策推力的高度依赖，与A矩阵揭示的“交互孤岛”相互呼应。</w:t>
      </w:r>
    </w:p>
    <w:p>
      <w:pPr>
        <w:spacing w:line="360" w:lineRule="auto" w:after="0"/>
        <w:ind w:firstLineChars="200" w:firstLine="480"/>
        <w:jc w:val="both"/>
      </w:pPr>
      <w:r>
        <w:rPr>
          <w:rFonts w:ascii="宋体" w:hAnsi="宋体" w:eastAsia="宋体"/>
          <w:sz w:val="24"/>
        </w:rPr>
        <w:t>CBAM规制强度的显著传导集中于碳足迹认证（0.14），这是布鲁塞尔效应经由贸易渠道重塑他国标准体系的直接计量证据（Bradford，2020；刘梦佳和李志永，2025）。CBAM的申报与征收以产品隐含排放为对象，出口企业必须提供符合欧盟方法学的产品层面排放数据，这使产品碳足迹从自愿性绿色营销工具骤变为强制性市场准入条件（陈诗一和朱渝铖，2024）。国内标准供给的响应清晰可见：2024年5月十五部门《关于建立碳足迹管理体系的实施方案》出台，同年8月发布碳足迹核算通则国家标准GB/T 24067-2024，截至2025年6月已发布9项产品碳足迹国家标准。2026年1月CBAM进入正式征收期后，这一传导渠道的强度预计还将上升——这构成5.6节情景设定中CBAM路径差异的现实基础（张兵兵等，2025）。</w:t>
      </w:r>
    </w:p>
    <w:p>
      <w:pPr>
        <w:spacing w:line="360" w:lineRule="auto" w:after="0"/>
        <w:ind w:firstLineChars="200" w:firstLine="480"/>
        <w:jc w:val="both"/>
      </w:pPr>
      <w:r>
        <w:rPr>
          <w:rFonts w:ascii="宋体" w:hAnsi="宋体" w:eastAsia="宋体"/>
          <w:sz w:val="24"/>
        </w:rPr>
        <w:t>绿色技术水平的显著传导指向绿色产品（0.09），刻画了“创新—标准化”的接力机制：绿色技术成果经专利化、产业化后，其性能指标与工艺要求方能沉淀为产品标准的技术内容，标准反过来又以统一门槛加速先进技术的扩散（Foucart和Li，2021；Blind等，2022）。引致创新理论强调价格与规制信号诱导技术进步的方向（Popp，2002；Aghion等，2016）；本章证据展示的则是这一链条的后半程——技术存量的扩张系统性地拉动了标准升级，绿色专利的爆发式增长构成2020年后绿色产品标准加速最重要的技术条件。</w:t>
      </w:r>
    </w:p>
    <w:p>
      <w:pPr>
        <w:spacing w:line="360" w:lineRule="auto" w:after="0"/>
        <w:ind w:firstLineChars="200" w:firstLine="480"/>
        <w:jc w:val="both"/>
      </w:pPr>
      <w:r>
        <w:rPr>
          <w:rFonts w:ascii="宋体" w:hAnsi="宋体" w:eastAsia="宋体"/>
          <w:sz w:val="24"/>
        </w:rPr>
        <w:t>B矩阵的其余元素多为正但不显著，例如CBAM对核算方程（0.06）、绿色技术对足迹方程（0.05）的系数，方向合理而精度不足，提示相应传导渠道尚在形成之中。总体上，驱动与模块之间“一一对口”的靶向传导格局具有重要政策含义：不存在能够均匀抬升全部模块的“万能驱动”，每类标准的短板须由与其对口的驱动力补齐——碳吸收依赖政策创设，碳足迹受制于国际规制对接，绿色产品仰仗技术供给，核算与金融则受碳市场牵引。第9章按功能模块分别设计建设路径、第10章按模块校准更新机制，均以这一靶向结构为经验基础。</w:t>
      </w:r>
    </w:p>
    <w:p>
      <w:pPr>
        <w:keepNext/>
        <w:spacing w:before="160" w:after="120" w:line="360" w:lineRule="auto"/>
        <w:outlineLvl w:val="1"/>
      </w:pPr>
      <w:r>
        <w:rPr>
          <w:rFonts w:ascii="黑体" w:hAnsi="黑体" w:eastAsia="黑体"/>
          <w:sz w:val="28"/>
        </w:rPr>
        <w:t>5.5  驱动力时变贡献的分解</w:t>
      </w:r>
    </w:p>
    <w:p>
      <w:pPr>
        <w:spacing w:line="360" w:lineRule="auto" w:after="0"/>
        <w:ind w:firstLineChars="200" w:firstLine="480"/>
        <w:jc w:val="both"/>
      </w:pPr>
      <w:r>
        <w:rPr>
          <w:rFonts w:ascii="宋体" w:hAnsi="宋体" w:eastAsia="宋体"/>
          <w:sz w:val="24"/>
        </w:rPr>
        <w:t>A、B矩阵给出的是样本期平均意义上的结构参数，而第4章的典型事实提示，三重驱动力的相对地位存在明显的阶段性变化。为在参数恒定框架内刻画这种时变，本章基于滤波平滑得到的状态与驱动序列进行历史贡献分解：将每一期各驱动变量经B矩阵注入系统的推动量取绝对值加总，再按阶段归并计算相对份额。具体地，将四个驱动变量归并为三组——政策推力（“双碳”政策强度）、技术拉力（绿色技术水平）与市场调节力（碳价信号与CBAM规制强度），第</w:t>
      </w:r>
      <m:oMath>
        <m:r>
          <m:t>g</m:t>
        </m:r>
      </m:oMath>
      <w:r>
        <w:rPr>
          <w:rFonts w:ascii="宋体" w:hAnsi="宋体" w:eastAsia="宋体"/>
          <w:sz w:val="24"/>
        </w:rPr>
        <w:t>组驱动力在阶段</w:t>
      </w:r>
      <m:oMath>
        <m:r>
          <m:t>τ</m:t>
        </m:r>
      </m:oMath>
      <w:r>
        <w:rPr>
          <w:rFonts w:ascii="宋体" w:hAnsi="宋体" w:eastAsia="宋体"/>
          <w:sz w:val="24"/>
        </w:rPr>
        <w:t>内的贡献份额定义为：</w:t>
      </w:r>
    </w:p>
    <w:p>
      <w:pPr>
        <w:tabs>
          <w:tab w:pos="4252" w:val="center"/>
          <w:tab w:pos="8504" w:val="right"/>
        </w:tabs>
        <w:spacing w:line="360" w:lineRule="auto" w:before="80" w:after="80"/>
      </w:pPr>
      <w:r>
        <w:tab/>
      </w:r>
      <m:oMath>
        <m:sSubSup>
          <m:e>
            <m:r>
              <m:t>W</m:t>
            </m:r>
          </m:e>
          <m:sub>
            <m:r>
              <m:t>g</m:t>
            </m:r>
          </m:sub>
          <m:sup>
            <m:d>
              <m:dPr>
                <m:begChr m:val="("/>
                <m:sepChr m:val=""/>
                <m:endChr m:val=")"/>
                <m:grow/>
              </m:dPr>
              <m:e>
                <m:r>
                  <m:t>τ</m:t>
                </m:r>
              </m:e>
            </m:d>
          </m:sup>
        </m:sSubSup>
        <m:r>
          <m:rPr>
            <m:sty m:val="p"/>
          </m:rPr>
          <m:t>=</m:t>
        </m:r>
        <m:f>
          <m:fPr>
            <m:type m:val="bar"/>
          </m:fPr>
          <m:num>
            <m:nary>
              <m:naryPr>
                <m:chr m:val="∑"/>
                <m:limLoc m:val="undOvr"/>
                <m:subHide m:val="off"/>
                <m:supHide m:val="on"/>
              </m:naryPr>
              <m:sub>
                <m:r>
                  <m:t>t</m:t>
                </m:r>
                <m:r>
                  <m:rPr>
                    <m:sty m:val="p"/>
                  </m:rPr>
                  <m:t>∈</m:t>
                </m:r>
                <m:r>
                  <m:t>τ</m:t>
                </m:r>
              </m:sub>
              <m:sup>
                <m:r>
                  <m:t>​</m:t>
                </m:r>
              </m:sup>
              <m:e>
                <m:sSub>
                  <m:e>
                    <m:d>
                      <m:dPr>
                        <m:begChr m:val="∥"/>
                        <m:sepChr m:val=""/>
                        <m:endChr m:val="∥"/>
                        <m:grow/>
                      </m:dPr>
                      <m:e>
                        <m:sSub>
                          <m:e>
                            <m:r>
                              <m:t>B</m:t>
                            </m:r>
                          </m:e>
                          <m:sub>
                            <m:d>
                              <m:dPr>
                                <m:begChr m:val="("/>
                                <m:sepChr m:val=""/>
                                <m:endChr m:val=")"/>
                                <m:grow/>
                              </m:dPr>
                              <m:e>
                                <m:r>
                                  <m:t>g</m:t>
                                </m:r>
                              </m:e>
                            </m:d>
                          </m:sub>
                        </m:sSub>
                        <m:sSub>
                          <m:e>
                            <m:r>
                              <m:t>u</m:t>
                            </m:r>
                          </m:e>
                          <m:sub>
                            <m:d>
                              <m:dPr>
                                <m:begChr m:val="("/>
                                <m:sepChr m:val=""/>
                                <m:endChr m:val=")"/>
                                <m:grow/>
                              </m:dPr>
                              <m:e>
                                <m:r>
                                  <m:t>g</m:t>
                                </m:r>
                              </m:e>
                            </m:d>
                            <m:r>
                              <m:t>t</m:t>
                            </m:r>
                          </m:sub>
                        </m:sSub>
                      </m:e>
                    </m:d>
                  </m:e>
                  <m:sub>
                    <m:r>
                      <m:t>1</m:t>
                    </m:r>
                  </m:sub>
                </m:sSub>
              </m:e>
            </m:nary>
          </m:num>
          <m:den>
            <m:nary>
              <m:naryPr>
                <m:chr m:val="∑"/>
                <m:limLoc m:val="undOvr"/>
                <m:subHide m:val="off"/>
                <m:supHide m:val="on"/>
              </m:naryPr>
              <m:sub>
                <m:r>
                  <m:t>g</m:t>
                </m:r>
                <m:r>
                  <m:rPr>
                    <m:sty m:val="p"/>
                  </m:rPr>
                  <m:t>′</m:t>
                </m:r>
                <m:r>
                  <m:rPr>
                    <m:sty m:val="p"/>
                  </m:rPr>
                  <m:t>∈</m:t>
                </m:r>
                <m:r>
                  <m:t>G</m:t>
                </m:r>
              </m:sub>
              <m:sup>
                <m:r>
                  <m:t>​</m:t>
                </m:r>
              </m:sup>
              <m:e>
                <m:nary>
                  <m:naryPr>
                    <m:chr m:val="∑"/>
                    <m:limLoc m:val="undOvr"/>
                    <m:subHide m:val="off"/>
                    <m:supHide m:val="on"/>
                  </m:naryPr>
                  <m:sub>
                    <m:r>
                      <m:t>t</m:t>
                    </m:r>
                    <m:r>
                      <m:rPr>
                        <m:sty m:val="p"/>
                      </m:rPr>
                      <m:t>∈</m:t>
                    </m:r>
                    <m:r>
                      <m:t>τ</m:t>
                    </m:r>
                  </m:sub>
                  <m:sup>
                    <m:r>
                      <m:t>​</m:t>
                    </m:r>
                  </m:sup>
                  <m:e>
                    <m:sSub>
                      <m:e>
                        <m:d>
                          <m:dPr>
                            <m:begChr m:val="∥"/>
                            <m:sepChr m:val=""/>
                            <m:endChr m:val="∥"/>
                            <m:grow/>
                          </m:dPr>
                          <m:e>
                            <m:sSub>
                              <m:e>
                                <m:r>
                                  <m:t>B</m:t>
                                </m:r>
                              </m:e>
                              <m:sub>
                                <m:d>
                                  <m:dPr>
                                    <m:begChr m:val="("/>
                                    <m:sepChr m:val=""/>
                                    <m:endChr m:val=")"/>
                                    <m:grow/>
                                  </m:dPr>
                                  <m:e>
                                    <m:r>
                                      <m:t>g</m:t>
                                    </m:r>
                                    <m:r>
                                      <m:rPr>
                                        <m:sty m:val="p"/>
                                      </m:rPr>
                                      <m:t>′</m:t>
                                    </m:r>
                                  </m:e>
                                </m:d>
                              </m:sub>
                            </m:sSub>
                            <m:sSub>
                              <m:e>
                                <m:r>
                                  <m:t>u</m:t>
                                </m:r>
                              </m:e>
                              <m:sub>
                                <m:d>
                                  <m:dPr>
                                    <m:begChr m:val="("/>
                                    <m:sepChr m:val=""/>
                                    <m:endChr m:val=")"/>
                                    <m:grow/>
                                  </m:dPr>
                                  <m:e>
                                    <m:r>
                                      <m:t>g</m:t>
                                    </m:r>
                                    <m:r>
                                      <m:rPr>
                                        <m:sty m:val="p"/>
                                      </m:rPr>
                                      <m:t>′</m:t>
                                    </m:r>
                                  </m:e>
                                </m:d>
                                <m:r>
                                  <m:t>t</m:t>
                                </m:r>
                              </m:sub>
                            </m:sSub>
                          </m:e>
                        </m:d>
                      </m:e>
                      <m:sub>
                        <m:r>
                          <m:t>1</m:t>
                        </m:r>
                      </m:sub>
                    </m:sSub>
                  </m:e>
                </m:nary>
              </m:e>
            </m:nary>
          </m:den>
        </m:f>
      </m:oMath>
      <w:r>
        <w:tab/>
      </w:r>
      <w:r>
        <w:rPr>
          <w:rFonts w:ascii="Times New Roman" w:hAnsi="Times New Roman" w:eastAsia="宋体"/>
          <w:sz w:val="24"/>
        </w:rPr>
        <w:t>(5-12)</w:t>
      </w:r>
    </w:p>
    <w:p>
      <w:pPr>
        <w:spacing w:line="360" w:lineRule="auto" w:after="0"/>
        <w:jc w:val="both"/>
      </w:pPr>
      <w:r>
        <w:rPr>
          <w:rFonts w:ascii="宋体" w:hAnsi="宋体" w:eastAsia="宋体"/>
          <w:sz w:val="24"/>
        </w:rPr>
        <w:t>其中，</w:t>
      </w:r>
      <m:oMath>
        <m:sSub>
          <m:e>
            <m:r>
              <m:t>B</m:t>
            </m:r>
          </m:e>
          <m:sub>
            <m:d>
              <m:dPr>
                <m:begChr m:val="("/>
                <m:sepChr m:val=""/>
                <m:endChr m:val=")"/>
                <m:grow/>
              </m:dPr>
              <m:e>
                <m:r>
                  <m:t>g</m:t>
                </m:r>
              </m:e>
            </m:d>
          </m:sub>
        </m:sSub>
      </m:oMath>
      <w:r>
        <w:rPr>
          <w:rFonts w:ascii="宋体" w:hAnsi="宋体" w:eastAsia="宋体"/>
          <w:sz w:val="24"/>
        </w:rPr>
        <w:t>为B矩阵中对应第</w:t>
      </w:r>
      <m:oMath>
        <m:r>
          <m:t>g</m:t>
        </m:r>
      </m:oMath>
      <w:r>
        <w:rPr>
          <w:rFonts w:ascii="宋体" w:hAnsi="宋体" w:eastAsia="宋体"/>
          <w:sz w:val="24"/>
        </w:rPr>
        <w:t>组驱动变量的列子块，</w:t>
      </w:r>
      <m:oMath>
        <m:sSub>
          <m:e>
            <m:r>
              <m:t>u</m:t>
            </m:r>
          </m:e>
          <m:sub>
            <m:d>
              <m:dPr>
                <m:begChr m:val="("/>
                <m:sepChr m:val=""/>
                <m:endChr m:val=")"/>
                <m:grow/>
              </m:dPr>
              <m:e>
                <m:r>
                  <m:t>g</m:t>
                </m:r>
              </m:e>
            </m:d>
            <m:r>
              <m:t>t</m:t>
            </m:r>
          </m:sub>
        </m:sSub>
      </m:oMath>
      <w:r>
        <w:rPr>
          <w:rFonts w:ascii="宋体" w:hAnsi="宋体" w:eastAsia="宋体"/>
          <w:sz w:val="24"/>
        </w:rPr>
        <w:t>为该组驱动变量在第</w:t>
      </w:r>
      <m:oMath>
        <m:r>
          <m:t>t</m:t>
        </m:r>
      </m:oMath>
      <w:r>
        <w:rPr>
          <w:rFonts w:ascii="宋体" w:hAnsi="宋体" w:eastAsia="宋体"/>
          <w:sz w:val="24"/>
        </w:rPr>
        <w:t>期的取值，</w:t>
      </w:r>
      <m:oMath>
        <m:sSub>
          <m:e>
            <m:d>
              <m:dPr>
                <m:begChr m:val="∥"/>
                <m:sepChr m:val=""/>
                <m:endChr m:val="∥"/>
                <m:grow/>
              </m:dPr>
              <m:e>
                <m:r>
                  <m:rPr>
                    <m:sty m:val="p"/>
                  </m:rPr>
                  <m:t>⋅</m:t>
                </m:r>
              </m:e>
            </m:d>
          </m:e>
          <m:sub>
            <m:r>
              <m:t>1</m:t>
            </m:r>
          </m:sub>
        </m:sSub>
      </m:oMath>
      <w:r>
        <w:rPr>
          <w:rFonts w:ascii="宋体" w:hAnsi="宋体" w:eastAsia="宋体"/>
          <w:sz w:val="24"/>
        </w:rPr>
        <w:t>表示向量元素绝对值之和，</w:t>
      </w:r>
      <m:oMath>
        <m:r>
          <m:t>G</m:t>
        </m:r>
      </m:oMath>
      <w:r>
        <w:rPr>
          <w:rFonts w:ascii="宋体" w:hAnsi="宋体" w:eastAsia="宋体"/>
          <w:sz w:val="24"/>
        </w:rPr>
        <w:t>为三组驱动力的集合。该份额度量各组驱动力对五类标准变化率的推动量在组间的相对占比；阶段划分沿用第4章的三阶段：1993—2003年、2004—2019年与2020—2025年。</w:t>
      </w:r>
    </w:p>
    <w:p>
      <w:pPr>
        <w:spacing w:line="360" w:lineRule="auto" w:after="0"/>
        <w:ind w:firstLineChars="200" w:firstLine="480"/>
        <w:jc w:val="both"/>
      </w:pPr>
      <w:r>
        <w:rPr>
          <w:rFonts w:ascii="宋体" w:hAnsi="宋体" w:eastAsia="宋体"/>
          <w:sz w:val="24"/>
        </w:rPr>
        <w:t>由图5.3可见，三重驱动力的贡献格局呈现“此消彼长、渐趋均衡”的清晰演变。政策推力份额由基础积累阶段的62%降至低碳标准化起步阶段的48%，再降至“双碳”阶段的41%；技术拉力由21%升至28%，再升至33%；市场调节力由17%升至24%，再升至26%。三条趋势线的方向在两次阶段转换中保持一致，表明这是结构性演变而非样本噪声。截至样本末期，政策推力仍居首位但优势明显收窄，技术拉力已达政策份额的八成，市场调节力稳步爬升，驱动结构正从“一家独大”走向“三足鼎立”的均衡形态。</w:t>
      </w:r>
    </w:p>
    <w:p>
      <w:pPr>
        <w:spacing w:before="120" w:after="40"/>
        <w:jc w:val="center"/>
      </w:pPr>
      <w:r>
        <w:drawing>
          <wp:inline xmlns:a="http://schemas.openxmlformats.org/drawingml/2006/main" xmlns:pic="http://schemas.openxmlformats.org/drawingml/2006/picture">
            <wp:extent cx="4860000" cy="2854250"/>
            <wp:docPr id="16" name="Picture 16"/>
            <wp:cNvGraphicFramePr>
              <a:graphicFrameLocks noChangeAspect="1"/>
            </wp:cNvGraphicFramePr>
            <a:graphic>
              <a:graphicData uri="http://schemas.openxmlformats.org/drawingml/2006/picture">
                <pic:pic>
                  <pic:nvPicPr>
                    <pic:cNvPr id="0" name="fig5_3.png"/>
                    <pic:cNvPicPr/>
                  </pic:nvPicPr>
                  <pic:blipFill>
                    <a:blip r:embed="rId24"/>
                    <a:stretch>
                      <a:fillRect/>
                    </a:stretch>
                  </pic:blipFill>
                  <pic:spPr>
                    <a:xfrm>
                      <a:off x="0" y="0"/>
                      <a:ext cx="4860000" cy="2854250"/>
                    </a:xfrm>
                    <a:prstGeom prst="rect"/>
                  </pic:spPr>
                </pic:pic>
              </a:graphicData>
            </a:graphic>
          </wp:inline>
        </w:drawing>
      </w:r>
    </w:p>
    <w:p>
      <w:pPr>
        <w:keepNext w:val="0"/>
        <w:spacing w:after="200"/>
        <w:jc w:val="center"/>
      </w:pPr>
      <w:r>
        <w:rPr>
          <w:rFonts w:ascii="黑体" w:hAnsi="黑体" w:eastAsia="黑体"/>
          <w:sz w:val="21"/>
        </w:rPr>
        <w:t>图5.3  三重驱动力对标准体系演化的时变贡献</w:t>
      </w:r>
    </w:p>
    <w:p>
      <w:pPr>
        <w:spacing w:line="360" w:lineRule="auto" w:after="0"/>
        <w:ind w:firstLineChars="200" w:firstLine="480"/>
        <w:jc w:val="both"/>
      </w:pPr>
      <w:r>
        <w:rPr>
          <w:rFonts w:ascii="宋体" w:hAnsi="宋体" w:eastAsia="宋体"/>
          <w:sz w:val="24"/>
        </w:rPr>
        <w:t>政策份额的下降需要准确解读：它反映的不是政策推力绝对强度的衰减——事实上“双碳”阶段的政策文件密度与约束力远超以往——而是三点结构性变化的叠加。其一，基数效应：早期技术与市场驱动近乎空白，政策几乎是唯一动能，62%的份额对应的是“独轮驱动”的必然。其二，功能转型：政策角色由“直接供给标准”转向“搭建框架、创设机制”——《碳达峰碳中和标准体系建设指南》确立子体系框架，双控制度将标准嵌入考核体系，政策效力越来越多地经由其激活的市场与技术间接释放（孙亮等，2022；国家标准化管理委员会等，2023）。其三，归类口径：全国碳市场本身是政策创设的市场，其价格信号被归入市场调节力，因而政策的广义贡献实际上被41%的口径低估。换言之，政策推力正在从“亲力亲为”转向“借力打力”，这是治理方式成熟而非政策退坡的标志。</w:t>
      </w:r>
    </w:p>
    <w:p>
      <w:pPr>
        <w:spacing w:line="360" w:lineRule="auto" w:after="0"/>
        <w:ind w:firstLineChars="200" w:firstLine="480"/>
        <w:jc w:val="both"/>
      </w:pPr>
      <w:r>
        <w:rPr>
          <w:rFonts w:ascii="宋体" w:hAnsi="宋体" w:eastAsia="宋体"/>
          <w:sz w:val="24"/>
        </w:rPr>
        <w:t>技术拉力份额的持续上升，对应着标准知识母体的加速扩张。演化经济学将标准视为技术范式的编码化载体——只有沿着技术轨道积累起足够的工艺经验与性能数据，标准才能将前沿实践固化为统一要求（Dosi，1982；Nelson和Winter，1982）。2016—2022年我国绿色低碳发明专利授权量由每年2.5万件增至4.2万件，2024年申请公开量达12.0万件，专利所代表的可编码知识存量的厚积，使标准供给日益从“无米之炊”转向“择优入标”。技术拉力份额升至33%意味着标准体系的演化动能正在内生化：即便政策强度维持不变，技术进步本身也将持续推动标准升级，而标准的完善又会经由生产率与创新渠道反哺技术进步（何凡等，2025），体系由此获得走向自我演化的重要迹象。</w:t>
      </w:r>
    </w:p>
    <w:p>
      <w:pPr>
        <w:spacing w:line="360" w:lineRule="auto" w:after="0"/>
        <w:ind w:firstLineChars="200" w:firstLine="480"/>
        <w:jc w:val="both"/>
      </w:pPr>
      <w:r>
        <w:rPr>
          <w:rFonts w:ascii="宋体" w:hAnsi="宋体" w:eastAsia="宋体"/>
          <w:sz w:val="24"/>
        </w:rPr>
        <w:t>市场调节力份额的抬升由国内碳价与国际规制双轮驱动。国内方面，试点碳市场2013年起陆续运行，全国碳市场2021年启动后价格中枢逐级上移并于2024年突破百元，碳价把减排约束折算为清晰的成本信号，使企业对核算、认证类标准的需求从被动合规转向主动的碳资产管理（吴茵茵等，2021）；国际方面，CBAM从2019年的政策设想推进到2026年的正式征收，把欧盟标准的引力场延伸至中国出口部门，市场准入压力转化为标准对接需求（侯俊军等，2025；杨茹凯，2025）。值得强调的是，26%的市场份额是在碳价仍处相对低位、CBAM尚未正式征收的条件下实现的；随着2026年后两大机制同时强化，市场调节力有望成为增长最快的驱动来源——这一判断将在下节情景模拟中得到定量检验。</w:t>
      </w:r>
    </w:p>
    <w:p>
      <w:pPr>
        <w:keepNext/>
        <w:spacing w:before="160" w:after="120" w:line="360" w:lineRule="auto"/>
        <w:outlineLvl w:val="1"/>
      </w:pPr>
      <w:r>
        <w:rPr>
          <w:rFonts w:ascii="黑体" w:hAnsi="黑体" w:eastAsia="黑体"/>
          <w:sz w:val="28"/>
        </w:rPr>
        <w:t>5.6  2026—2035年标准体系演化的情景模拟</w:t>
      </w:r>
    </w:p>
    <w:p>
      <w:pPr>
        <w:spacing w:line="360" w:lineRule="auto" w:after="0"/>
        <w:ind w:firstLineChars="200" w:firstLine="480"/>
        <w:jc w:val="both"/>
      </w:pPr>
      <w:r>
        <w:rPr>
          <w:rFonts w:ascii="宋体" w:hAnsi="宋体" w:eastAsia="宋体"/>
          <w:sz w:val="24"/>
        </w:rPr>
        <w:t>情景模拟回答的是前瞻问题：在不同的驱动力路径组合下，标准体系将于2035年到达何种水平？模拟的逻辑是保持估计得到的结构参数不变，仅改变未来驱动路径，将转移方程自2025年的滤波状态出发逐年迭代：</w:t>
      </w:r>
    </w:p>
    <w:p>
      <w:pPr>
        <w:tabs>
          <w:tab w:pos="4252" w:val="center"/>
          <w:tab w:pos="8504" w:val="right"/>
        </w:tabs>
        <w:spacing w:line="360" w:lineRule="auto" w:before="80" w:after="80"/>
      </w:pPr>
      <w:r>
        <w:tab/>
      </w:r>
      <m:oMath>
        <m:sSubSup>
          <m:e>
            <m:acc>
              <m:accPr>
                <m:chr m:val="̂"/>
              </m:accPr>
              <m:e>
                <m:r>
                  <m:t>S</m:t>
                </m:r>
              </m:e>
            </m:acc>
          </m:e>
          <m:sub>
            <m:r>
              <m:t>t</m:t>
            </m:r>
            <m:r>
              <m:rPr>
                <m:sty m:val="p"/>
              </m:rPr>
              <m:t>+</m:t>
            </m:r>
            <m:r>
              <m:t>1</m:t>
            </m:r>
          </m:sub>
          <m:sup>
            <m:d>
              <m:dPr>
                <m:begChr m:val="("/>
                <m:sepChr m:val=""/>
                <m:endChr m:val=")"/>
                <m:grow/>
              </m:dPr>
              <m:e>
                <m:r>
                  <m:t>m</m:t>
                </m:r>
              </m:e>
            </m:d>
          </m:sup>
        </m:sSubSup>
        <m:r>
          <m:rPr>
            <m:sty m:val="p"/>
          </m:rPr>
          <m:t>=</m:t>
        </m:r>
        <m:d>
          <m:dPr>
            <m:begChr m:val="("/>
            <m:sepChr m:val=""/>
            <m:endChr m:val=")"/>
            <m:grow/>
          </m:dPr>
          <m:e>
            <m:sSub>
              <m:e>
                <m:r>
                  <m:t>I</m:t>
                </m:r>
              </m:e>
              <m:sub>
                <m:r>
                  <m:t>5</m:t>
                </m:r>
              </m:sub>
            </m:sSub>
            <m:r>
              <m:rPr>
                <m:sty m:val="p"/>
              </m:rPr>
              <m:t>+</m:t>
            </m:r>
            <m:acc>
              <m:accPr>
                <m:chr m:val="̂"/>
              </m:accPr>
              <m:e>
                <m:r>
                  <m:t>A</m:t>
                </m:r>
              </m:e>
            </m:acc>
            <m:r>
              <m:t>Δ</m:t>
            </m:r>
          </m:e>
        </m:d>
        <m:sSubSup>
          <m:e>
            <m:acc>
              <m:accPr>
                <m:chr m:val="̂"/>
              </m:accPr>
              <m:e>
                <m:r>
                  <m:t>S</m:t>
                </m:r>
              </m:e>
            </m:acc>
          </m:e>
          <m:sub>
            <m:r>
              <m:t>t</m:t>
            </m:r>
          </m:sub>
          <m:sup>
            <m:d>
              <m:dPr>
                <m:begChr m:val="("/>
                <m:sepChr m:val=""/>
                <m:endChr m:val=")"/>
                <m:grow/>
              </m:dPr>
              <m:e>
                <m:r>
                  <m:t>m</m:t>
                </m:r>
              </m:e>
            </m:d>
          </m:sup>
        </m:sSubSup>
        <m:r>
          <m:rPr>
            <m:sty m:val="p"/>
          </m:rPr>
          <m:t>+</m:t>
        </m:r>
        <m:acc>
          <m:accPr>
            <m:chr m:val="̂"/>
          </m:accPr>
          <m:e>
            <m:r>
              <m:t>B</m:t>
            </m:r>
          </m:e>
        </m:acc>
        <m:r>
          <m:t>Δ</m:t>
        </m:r>
        <m:r>
          <m:t> </m:t>
        </m:r>
        <m:sSubSup>
          <m:e>
            <m:r>
              <m:t>u</m:t>
            </m:r>
          </m:e>
          <m:sub>
            <m:r>
              <m:t>t</m:t>
            </m:r>
          </m:sub>
          <m:sup>
            <m:d>
              <m:dPr>
                <m:begChr m:val="("/>
                <m:sepChr m:val=""/>
                <m:endChr m:val=")"/>
                <m:grow/>
              </m:dPr>
              <m:e>
                <m:r>
                  <m:t>m</m:t>
                </m:r>
              </m:e>
            </m:d>
          </m:sup>
        </m:sSubSup>
        <m:r>
          <m:rPr>
            <m:sty m:val="p"/>
          </m:rPr>
          <m:t>,</m:t>
        </m:r>
        <m:r>
          <m:t>  </m:t>
        </m:r>
        <m:r>
          <m:t>t</m:t>
        </m:r>
        <m:r>
          <m:rPr>
            <m:sty m:val="p"/>
          </m:rPr>
          <m:t>=</m:t>
        </m:r>
        <m:r>
          <m:t>2025</m:t>
        </m:r>
        <m:r>
          <m:rPr>
            <m:sty m:val="p"/>
          </m:rPr>
          <m:t>,</m:t>
        </m:r>
        <m:r>
          <m:t>2026</m:t>
        </m:r>
        <m:r>
          <m:rPr>
            <m:sty m:val="p"/>
          </m:rPr>
          <m:t>,</m:t>
        </m:r>
        <m:r>
          <m:rPr>
            <m:sty m:val="p"/>
          </m:rPr>
          <m:t>…</m:t>
        </m:r>
        <m:r>
          <m:rPr>
            <m:sty m:val="p"/>
          </m:rPr>
          <m:t>,</m:t>
        </m:r>
        <m:r>
          <m:t>2034</m:t>
        </m:r>
      </m:oMath>
      <w:r>
        <w:tab/>
      </w:r>
      <w:r>
        <w:rPr>
          <w:rFonts w:ascii="Times New Roman" w:hAnsi="Times New Roman" w:eastAsia="宋体"/>
          <w:sz w:val="24"/>
        </w:rPr>
        <w:t>(5-13)</w:t>
      </w:r>
    </w:p>
    <w:p>
      <w:pPr>
        <w:spacing w:line="360" w:lineRule="auto" w:after="0"/>
        <w:jc w:val="both"/>
      </w:pPr>
      <w:r>
        <w:rPr>
          <w:rFonts w:ascii="宋体" w:hAnsi="宋体" w:eastAsia="宋体"/>
          <w:sz w:val="24"/>
        </w:rPr>
        <w:t>其中，上标</w:t>
      </w:r>
      <m:oMath>
        <m:r>
          <m:t>m</m:t>
        </m:r>
      </m:oMath>
      <w:r>
        <w:rPr>
          <w:rFonts w:ascii="宋体" w:hAnsi="宋体" w:eastAsia="宋体"/>
          <w:sz w:val="24"/>
        </w:rPr>
        <w:t>标识基准、协同强化与停滞三种情景，</w:t>
      </w:r>
      <m:oMath>
        <m:acc>
          <m:accPr>
            <m:chr m:val="̂"/>
          </m:accPr>
          <m:e>
            <m:r>
              <m:t>A</m:t>
            </m:r>
          </m:e>
        </m:acc>
      </m:oMath>
      <w:r>
        <w:rPr>
          <w:rFonts w:ascii="宋体" w:hAnsi="宋体" w:eastAsia="宋体"/>
          <w:sz w:val="24"/>
        </w:rPr>
        <w:t>、</w:t>
      </w:r>
      <m:oMath>
        <m:acc>
          <m:accPr>
            <m:chr m:val="̂"/>
          </m:accPr>
          <m:e>
            <m:r>
              <m:t>B</m:t>
            </m:r>
          </m:e>
        </m:acc>
      </m:oMath>
      <w:r>
        <w:rPr>
          <w:rFonts w:ascii="宋体" w:hAnsi="宋体" w:eastAsia="宋体"/>
          <w:sz w:val="24"/>
        </w:rPr>
        <w:t>为5.4节的估计值，驱动路径</w:t>
      </w:r>
      <m:oMath>
        <m:sSubSup>
          <m:e>
            <m:r>
              <m:t>u</m:t>
            </m:r>
          </m:e>
          <m:sub>
            <m:r>
              <m:t>t</m:t>
            </m:r>
          </m:sub>
          <m:sup>
            <m:d>
              <m:dPr>
                <m:begChr m:val="("/>
                <m:sepChr m:val=""/>
                <m:endChr m:val=")"/>
                <m:grow/>
              </m:dPr>
              <m:e>
                <m:r>
                  <m:t>m</m:t>
                </m:r>
              </m:e>
            </m:d>
          </m:sup>
        </m:sSubSup>
      </m:oMath>
      <w:r>
        <w:rPr>
          <w:rFonts w:ascii="宋体" w:hAnsi="宋体" w:eastAsia="宋体"/>
          <w:sz w:val="24"/>
        </w:rPr>
        <w:t>按情景假设外生给定。为便于比较，以五类指数的算术平均刻画体系总体水平：</w:t>
      </w:r>
    </w:p>
    <w:p>
      <w:pPr>
        <w:tabs>
          <w:tab w:pos="4252" w:val="center"/>
          <w:tab w:pos="8504" w:val="right"/>
        </w:tabs>
        <w:spacing w:line="360" w:lineRule="auto" w:before="80" w:after="80"/>
      </w:pPr>
      <w:r>
        <w:tab/>
      </w:r>
      <m:oMath>
        <m:sSubSup>
          <m:e>
            <m:acc>
              <m:accPr>
                <m:chr m:val="‾"/>
              </m:accPr>
              <m:e>
                <m:r>
                  <m:t>S</m:t>
                </m:r>
              </m:e>
            </m:acc>
          </m:e>
          <m:sub>
            <m:r>
              <m:t>t</m:t>
            </m:r>
          </m:sub>
          <m:sup>
            <m:d>
              <m:dPr>
                <m:begChr m:val="("/>
                <m:sepChr m:val=""/>
                <m:endChr m:val=")"/>
                <m:grow/>
              </m:dPr>
              <m:e>
                <m:r>
                  <m:t>m</m:t>
                </m:r>
              </m:e>
            </m:d>
          </m:sup>
        </m:sSubSup>
        <m:r>
          <m:rPr>
            <m:sty m:val="p"/>
          </m:rPr>
          <m:t>=</m:t>
        </m:r>
        <m:f>
          <m:fPr>
            <m:type m:val="bar"/>
          </m:fPr>
          <m:num>
            <m:r>
              <m:t>1</m:t>
            </m:r>
          </m:num>
          <m:den>
            <m:r>
              <m:t>5</m:t>
            </m:r>
          </m:den>
        </m:f>
        <m:nary>
          <m:naryPr>
            <m:chr m:val="∑"/>
            <m:limLoc m:val="undOvr"/>
            <m:subHide m:val="off"/>
            <m:supHide m:val="off"/>
          </m:naryPr>
          <m:sub>
            <m:r>
              <m:t>i</m:t>
            </m:r>
            <m:r>
              <m:rPr>
                <m:sty m:val="p"/>
              </m:rPr>
              <m:t>=</m:t>
            </m:r>
            <m:r>
              <m:t>1</m:t>
            </m:r>
          </m:sub>
          <m:sup>
            <m:r>
              <m:t>5</m:t>
            </m:r>
          </m:sup>
          <m:e>
            <m:sSubSup>
              <m:e>
                <m:acc>
                  <m:accPr>
                    <m:chr m:val="̂"/>
                  </m:accPr>
                  <m:e>
                    <m:r>
                      <m:t>S</m:t>
                    </m:r>
                  </m:e>
                </m:acc>
              </m:e>
              <m:sub>
                <m:r>
                  <m:t>i</m:t>
                </m:r>
                <m:r>
                  <m:t>t</m:t>
                </m:r>
              </m:sub>
              <m:sup>
                <m:d>
                  <m:dPr>
                    <m:begChr m:val="("/>
                    <m:sepChr m:val=""/>
                    <m:endChr m:val=")"/>
                    <m:grow/>
                  </m:dPr>
                  <m:e>
                    <m:r>
                      <m:t>m</m:t>
                    </m:r>
                  </m:e>
                </m:d>
              </m:sup>
            </m:sSubSup>
          </m:e>
        </m:nary>
      </m:oMath>
      <w:r>
        <w:tab/>
      </w:r>
      <w:r>
        <w:rPr>
          <w:rFonts w:ascii="Times New Roman" w:hAnsi="Times New Roman" w:eastAsia="宋体"/>
          <w:sz w:val="24"/>
        </w:rPr>
        <w:t>(5-14)</w:t>
      </w:r>
    </w:p>
    <w:p>
      <w:pPr>
        <w:spacing w:line="360" w:lineRule="auto" w:after="0"/>
        <w:ind w:firstLineChars="200" w:firstLine="480"/>
        <w:jc w:val="both"/>
      </w:pPr>
      <w:r>
        <w:rPr>
          <w:rFonts w:ascii="宋体" w:hAnsi="宋体" w:eastAsia="宋体"/>
          <w:sz w:val="24"/>
        </w:rPr>
        <w:t>三种情景的驱动路径设定如下。基准情景延续现有政策与市场趋势：碳排放双控制度按既定节奏实施，碳价温和上行，CBAM如期于2026年进入正式征收期并平稳运行，绿色专利维持既有增速。协同强化情景假设三重驱动力同步加码：“十五五”碳排放双控全面落地并将标准实施纳入考核，全国碳市场继续扩围、价格中枢显著抬升，中欧在核算规则与认证互认上加快衔接使CBAM压力充分转化为标准升级动力，绿色技术创新加速。停滞情景则假设驱动力系统性走弱：政策边际趋缓，碳价低位徘徊，国际衔接受阻致使CBAM压力转化为贸易摩擦而非标准对接，技术增速回落。模拟中对随机冲击进行多次抽样，报告均值路径与置信区间。表5.3汇总了情景设定与模拟结果。</w:t>
      </w:r>
    </w:p>
    <w:p>
      <w:pPr>
        <w:keepNext/>
        <w:spacing w:before="160" w:after="40"/>
        <w:jc w:val="center"/>
      </w:pPr>
      <w:r>
        <w:rPr>
          <w:rFonts w:ascii="黑体" w:hAnsi="黑体" w:eastAsia="黑体"/>
          <w:sz w:val="21"/>
        </w:rPr>
        <w:t>表5.3  情景设定与2026—2035年模拟结果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情景</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驱动力路径设定</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2030年均值</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2035年均值</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较2025年增幅</w:t>
            </w:r>
          </w:p>
        </w:tc>
      </w:tr>
      <w:tr>
        <w:tc>
          <w:tcPr>
            <w:tcW w:type="dxa" w:w="1701"/>
            <w:vAlign w:val="center"/>
          </w:tcPr>
          <w:p>
            <w:pPr>
              <w:spacing w:line="240" w:lineRule="auto" w:after="20" w:before="20"/>
              <w:jc w:val="left"/>
            </w:pPr>
            <w:r/>
            <w:r>
              <w:rPr>
                <w:rFonts w:ascii="宋体" w:hAnsi="宋体" w:eastAsia="宋体"/>
                <w:sz w:val="21"/>
              </w:rPr>
              <w:t>基准情景</w:t>
            </w:r>
          </w:p>
        </w:tc>
        <w:tc>
          <w:tcPr>
            <w:tcW w:type="dxa" w:w="1701"/>
            <w:vAlign w:val="center"/>
          </w:tcPr>
          <w:p>
            <w:pPr>
              <w:spacing w:line="240" w:lineRule="auto" w:after="20" w:before="20"/>
              <w:jc w:val="left"/>
            </w:pPr>
            <w:r/>
            <w:r>
              <w:rPr>
                <w:rFonts w:ascii="宋体" w:hAnsi="宋体" w:eastAsia="宋体"/>
                <w:sz w:val="21"/>
              </w:rPr>
              <w:t>双控按既定节奏实施；碳价温和上行；CBAM如期征收并平稳运行；绿色专利维持既有增速</w:t>
            </w:r>
          </w:p>
        </w:tc>
        <w:tc>
          <w:tcPr>
            <w:tcW w:type="dxa" w:w="1701"/>
            <w:vAlign w:val="center"/>
          </w:tcPr>
          <w:p>
            <w:pPr>
              <w:spacing w:line="240" w:lineRule="auto" w:after="20" w:before="20"/>
              <w:jc w:val="center"/>
            </w:pPr>
            <w:r/>
            <w:r>
              <w:rPr>
                <w:rFonts w:ascii="宋体" w:hAnsi="宋体" w:eastAsia="宋体"/>
                <w:sz w:val="21"/>
              </w:rPr>
              <w:t>0.685</w:t>
            </w:r>
          </w:p>
        </w:tc>
        <w:tc>
          <w:tcPr>
            <w:tcW w:type="dxa" w:w="1701"/>
            <w:vAlign w:val="center"/>
          </w:tcPr>
          <w:p>
            <w:pPr>
              <w:spacing w:line="240" w:lineRule="auto" w:after="20" w:before="20"/>
              <w:jc w:val="center"/>
            </w:pPr>
            <w:r/>
            <w:r>
              <w:rPr>
                <w:rFonts w:ascii="宋体" w:hAnsi="宋体" w:eastAsia="宋体"/>
                <w:sz w:val="21"/>
              </w:rPr>
              <w:t>0.780</w:t>
            </w:r>
          </w:p>
        </w:tc>
        <w:tc>
          <w:tcPr>
            <w:tcW w:type="dxa" w:w="1701"/>
            <w:vAlign w:val="center"/>
          </w:tcPr>
          <w:p>
            <w:pPr>
              <w:spacing w:line="240" w:lineRule="auto" w:after="20" w:before="20"/>
              <w:jc w:val="center"/>
            </w:pPr>
            <w:r/>
            <w:r>
              <w:rPr>
                <w:rFonts w:ascii="宋体" w:hAnsi="宋体" w:eastAsia="宋体"/>
                <w:sz w:val="21"/>
              </w:rPr>
              <w:t>37.8%</w:t>
            </w:r>
          </w:p>
        </w:tc>
      </w:tr>
      <w:tr>
        <w:tc>
          <w:tcPr>
            <w:tcW w:type="dxa" w:w="1701"/>
            <w:vAlign w:val="center"/>
          </w:tcPr>
          <w:p>
            <w:pPr>
              <w:spacing w:line="240" w:lineRule="auto" w:after="20" w:before="20"/>
              <w:jc w:val="left"/>
            </w:pPr>
            <w:r/>
            <w:r>
              <w:rPr>
                <w:rFonts w:ascii="宋体" w:hAnsi="宋体" w:eastAsia="宋体"/>
                <w:sz w:val="21"/>
              </w:rPr>
              <w:t>协同强化情景</w:t>
            </w:r>
          </w:p>
        </w:tc>
        <w:tc>
          <w:tcPr>
            <w:tcW w:type="dxa" w:w="1701"/>
            <w:vAlign w:val="center"/>
          </w:tcPr>
          <w:p>
            <w:pPr>
              <w:spacing w:line="240" w:lineRule="auto" w:after="20" w:before="20"/>
              <w:jc w:val="left"/>
            </w:pPr>
            <w:r/>
            <w:r>
              <w:rPr>
                <w:rFonts w:ascii="宋体" w:hAnsi="宋体" w:eastAsia="宋体"/>
                <w:sz w:val="21"/>
              </w:rPr>
              <w:t>“十五五”双控全面落地并强化标准考核；碳市场扩围提价；中欧核算规则加快衔接；绿色技术创新加速</w:t>
            </w:r>
          </w:p>
        </w:tc>
        <w:tc>
          <w:tcPr>
            <w:tcW w:type="dxa" w:w="1701"/>
            <w:vAlign w:val="center"/>
          </w:tcPr>
          <w:p>
            <w:pPr>
              <w:spacing w:line="240" w:lineRule="auto" w:after="20" w:before="20"/>
              <w:jc w:val="center"/>
            </w:pPr>
            <w:r/>
            <w:r>
              <w:rPr>
                <w:rFonts w:ascii="宋体" w:hAnsi="宋体" w:eastAsia="宋体"/>
                <w:sz w:val="21"/>
              </w:rPr>
              <w:t>0.735</w:t>
            </w:r>
          </w:p>
        </w:tc>
        <w:tc>
          <w:tcPr>
            <w:tcW w:type="dxa" w:w="1701"/>
            <w:vAlign w:val="center"/>
          </w:tcPr>
          <w:p>
            <w:pPr>
              <w:spacing w:line="240" w:lineRule="auto" w:after="20" w:before="20"/>
              <w:jc w:val="center"/>
            </w:pPr>
            <w:r/>
            <w:r>
              <w:rPr>
                <w:rFonts w:ascii="宋体" w:hAnsi="宋体" w:eastAsia="宋体"/>
                <w:sz w:val="21"/>
              </w:rPr>
              <w:t>0.860</w:t>
            </w:r>
          </w:p>
        </w:tc>
        <w:tc>
          <w:tcPr>
            <w:tcW w:type="dxa" w:w="1701"/>
            <w:vAlign w:val="center"/>
          </w:tcPr>
          <w:p>
            <w:pPr>
              <w:spacing w:line="240" w:lineRule="auto" w:after="20" w:before="20"/>
              <w:jc w:val="center"/>
            </w:pPr>
            <w:r/>
            <w:r>
              <w:rPr>
                <w:rFonts w:ascii="宋体" w:hAnsi="宋体" w:eastAsia="宋体"/>
                <w:sz w:val="21"/>
              </w:rPr>
              <w:t>51.9%</w:t>
            </w:r>
          </w:p>
        </w:tc>
      </w:tr>
      <w:tr>
        <w:tc>
          <w:tcPr>
            <w:tcW w:type="dxa" w:w="1701"/>
            <w:vAlign w:val="center"/>
          </w:tcPr>
          <w:p>
            <w:pPr>
              <w:spacing w:line="240" w:lineRule="auto" w:after="20" w:before="20"/>
              <w:jc w:val="left"/>
            </w:pPr>
            <w:r/>
            <w:r>
              <w:rPr>
                <w:rFonts w:ascii="宋体" w:hAnsi="宋体" w:eastAsia="宋体"/>
                <w:sz w:val="21"/>
              </w:rPr>
              <w:t>停滞情景</w:t>
            </w:r>
          </w:p>
        </w:tc>
        <w:tc>
          <w:tcPr>
            <w:tcW w:type="dxa" w:w="1701"/>
            <w:vAlign w:val="center"/>
          </w:tcPr>
          <w:p>
            <w:pPr>
              <w:spacing w:line="240" w:lineRule="auto" w:after="20" w:before="20"/>
              <w:jc w:val="left"/>
            </w:pPr>
            <w:r/>
            <w:r>
              <w:rPr>
                <w:rFonts w:ascii="宋体" w:hAnsi="宋体" w:eastAsia="宋体"/>
                <w:sz w:val="21"/>
              </w:rPr>
              <w:t>政策边际趋缓；碳价低位徘徊；国际衔接受阻、CBAM压力转为贸易摩擦；技术增速回落</w:t>
            </w:r>
          </w:p>
        </w:tc>
        <w:tc>
          <w:tcPr>
            <w:tcW w:type="dxa" w:w="1701"/>
            <w:vAlign w:val="center"/>
          </w:tcPr>
          <w:p>
            <w:pPr>
              <w:spacing w:line="240" w:lineRule="auto" w:after="20" w:before="20"/>
              <w:jc w:val="center"/>
            </w:pPr>
            <w:r/>
            <w:r>
              <w:rPr>
                <w:rFonts w:ascii="宋体" w:hAnsi="宋体" w:eastAsia="宋体"/>
                <w:sz w:val="21"/>
              </w:rPr>
              <w:t>0.622</w:t>
            </w:r>
          </w:p>
        </w:tc>
        <w:tc>
          <w:tcPr>
            <w:tcW w:type="dxa" w:w="1701"/>
            <w:vAlign w:val="center"/>
          </w:tcPr>
          <w:p>
            <w:pPr>
              <w:spacing w:line="240" w:lineRule="auto" w:after="20" w:before="20"/>
              <w:jc w:val="center"/>
            </w:pPr>
            <w:r/>
            <w:r>
              <w:rPr>
                <w:rFonts w:ascii="宋体" w:hAnsi="宋体" w:eastAsia="宋体"/>
                <w:sz w:val="21"/>
              </w:rPr>
              <w:t>0.660</w:t>
            </w:r>
          </w:p>
        </w:tc>
        <w:tc>
          <w:tcPr>
            <w:tcW w:type="dxa" w:w="1701"/>
            <w:vAlign w:val="center"/>
          </w:tcPr>
          <w:p>
            <w:pPr>
              <w:spacing w:line="240" w:lineRule="auto" w:after="20" w:before="20"/>
              <w:jc w:val="center"/>
            </w:pPr>
            <w:r/>
            <w:r>
              <w:rPr>
                <w:rFonts w:ascii="宋体" w:hAnsi="宋体" w:eastAsia="宋体"/>
                <w:sz w:val="21"/>
              </w:rPr>
              <w:t>16.6%</w:t>
            </w:r>
          </w:p>
        </w:tc>
      </w:tr>
    </w:tbl>
    <w:p>
      <w:pPr>
        <w:spacing w:after="200" w:line="240" w:lineRule="auto"/>
      </w:pPr>
      <w:r>
        <w:rPr>
          <w:rFonts w:ascii="宋体" w:hAnsi="宋体" w:eastAsia="宋体"/>
          <w:sz w:val="18"/>
        </w:rPr>
        <w:t>注：表中数值为五类标准综合指数的算术平均</w:t>
      </w:r>
      <m:oMath>
        <m:sSub>
          <m:e>
            <m:acc>
              <m:accPr>
                <m:chr m:val="‾"/>
              </m:accPr>
              <m:e>
                <m:r>
                  <m:t>S</m:t>
                </m:r>
              </m:e>
            </m:acc>
          </m:e>
          <m:sub>
            <m:r>
              <m:t>t</m:t>
            </m:r>
          </m:sub>
        </m:sSub>
      </m:oMath>
      <w:r>
        <w:rPr>
          <w:rFonts w:ascii="宋体" w:hAnsi="宋体" w:eastAsia="宋体"/>
          <w:sz w:val="18"/>
        </w:rPr>
        <w:t>，三情景共同起点为2025年的0.566；三情景共用估计得到的A、B矩阵，仅驱动路径假设不同。数据来源：本书状态空间模型情景模拟结果。</w:t>
      </w:r>
    </w:p>
    <w:p>
      <w:pPr>
        <w:spacing w:line="360" w:lineRule="auto" w:after="0"/>
        <w:ind w:firstLineChars="200" w:firstLine="480"/>
        <w:jc w:val="both"/>
      </w:pPr>
      <w:r>
        <w:rPr>
          <w:rFonts w:ascii="宋体" w:hAnsi="宋体" w:eastAsia="宋体"/>
          <w:sz w:val="24"/>
        </w:rPr>
        <w:t>表5.3显示，三情景下体系平均指数自2025年的0.566出发，到2035年分别达到0.78、0.86与0.66，较2025年分别提升37.8%、51.9%与16.6%。协同强化与停滞情景的终点差距达0.20，大体相当于基准情景下整整十年的演化进程——换言之，未来十年驱动力组合的选择，其后果相当于标准体系发展“再造一个十年”或“失去一个十年”。</w:t>
      </w:r>
    </w:p>
    <w:p>
      <w:pPr>
        <w:spacing w:line="360" w:lineRule="auto" w:after="0"/>
        <w:ind w:firstLineChars="200" w:firstLine="480"/>
        <w:jc w:val="both"/>
      </w:pPr>
      <w:r>
        <w:rPr>
          <w:rFonts w:ascii="宋体" w:hAnsi="宋体" w:eastAsia="宋体"/>
          <w:sz w:val="24"/>
        </w:rPr>
        <w:t>由图5.4可见，三条模拟路径呈“先聚后散”的喇叭形展开。2026—2028年三情景的差距尚不明显；2030年时协同强化情景（0.735）领先停滞情景（0.622）已达0.113；此后差距逐年扩大至2035年的0.200。置信带显示，约自2029年起协同强化与停滞情景的区间不再重叠，路径分化具有统计意义。分化的加速源于系统的动态乘数结构：驱动力的差异不仅直接改变当期注入，还经由A矩阵的互补网络在模块间放大，并经状态存量的跨期传递不断累积——强化情景下核算标准的率先抬升，会在后续年份持续推高足迹、产品与金融类标准，形成“滚雪球”式的累积优势；停滞情景则陷入反向的弱化循环。</w:t>
      </w:r>
    </w:p>
    <w:p>
      <w:pPr>
        <w:spacing w:before="120" w:after="40"/>
        <w:jc w:val="center"/>
      </w:pPr>
      <w:r>
        <w:drawing>
          <wp:inline xmlns:a="http://schemas.openxmlformats.org/drawingml/2006/main" xmlns:pic="http://schemas.openxmlformats.org/drawingml/2006/picture">
            <wp:extent cx="4860000" cy="2980305"/>
            <wp:docPr id="17" name="Picture 17"/>
            <wp:cNvGraphicFramePr>
              <a:graphicFrameLocks noChangeAspect="1"/>
            </wp:cNvGraphicFramePr>
            <a:graphic>
              <a:graphicData uri="http://schemas.openxmlformats.org/drawingml/2006/picture">
                <pic:pic>
                  <pic:nvPicPr>
                    <pic:cNvPr id="0" name="fig5_4.png"/>
                    <pic:cNvPicPr/>
                  </pic:nvPicPr>
                  <pic:blipFill>
                    <a:blip r:embed="rId25"/>
                    <a:stretch>
                      <a:fillRect/>
                    </a:stretch>
                  </pic:blipFill>
                  <pic:spPr>
                    <a:xfrm>
                      <a:off x="0" y="0"/>
                      <a:ext cx="4860000" cy="2980305"/>
                    </a:xfrm>
                    <a:prstGeom prst="rect"/>
                  </pic:spPr>
                </pic:pic>
              </a:graphicData>
            </a:graphic>
          </wp:inline>
        </w:drawing>
      </w:r>
    </w:p>
    <w:p>
      <w:pPr>
        <w:keepNext w:val="0"/>
        <w:spacing w:after="200"/>
        <w:jc w:val="center"/>
      </w:pPr>
      <w:r>
        <w:rPr>
          <w:rFonts w:ascii="黑体" w:hAnsi="黑体" w:eastAsia="黑体"/>
          <w:sz w:val="21"/>
        </w:rPr>
        <w:t>图5.4  标准体系演化的多情景模拟（2026—2035）</w:t>
      </w:r>
    </w:p>
    <w:p>
      <w:pPr>
        <w:spacing w:line="360" w:lineRule="auto" w:after="0"/>
        <w:ind w:firstLineChars="200" w:firstLine="480"/>
        <w:jc w:val="both"/>
      </w:pPr>
      <w:r>
        <w:rPr>
          <w:rFonts w:ascii="宋体" w:hAnsi="宋体" w:eastAsia="宋体"/>
          <w:sz w:val="24"/>
        </w:rPr>
        <w:t>两个极端情景各有警示与启示。停滞情景并非危言耸听：其16.6%的十年增幅意味着体系仍在改善，但年均改善速度不足基准情景的一半——由于A矩阵对角元为负，标准体系不存在脱离驱动的自我升级能力，驱动力松劲的代价将以“相对国际前沿不进则退”的形式呈现，在CBAM正式征收、国际标准竞争加剧的背景下尤为昂贵（陈诗一和朱渝铖，2024）。协同强化情景的启示则在于“协同”二字：其相对基准情景的增量（2035年0.86对0.78）主要来自三重驱动力同步加码时经互补网络产生的交互放大，单一驱动的孤立强化难以达到同等效果。这从动态模拟的角度，支持了本书第9章提出的“协同互补、动态适应、多元协调”三项体系构建原则。</w:t>
      </w:r>
    </w:p>
    <w:p>
      <w:pPr>
        <w:spacing w:line="360" w:lineRule="auto" w:after="0"/>
        <w:ind w:firstLineChars="200" w:firstLine="480"/>
        <w:jc w:val="both"/>
      </w:pPr>
      <w:r>
        <w:rPr>
          <w:rFonts w:ascii="宋体" w:hAnsi="宋体" w:eastAsia="宋体"/>
          <w:sz w:val="24"/>
        </w:rPr>
        <w:t>当然，情景模拟的性质是条件预测而非无条件预报：线性外推不能刻画驱动机制本身的结构变迁（如碳市场制度的重大重构），参数恒定假设在十年尺度上只是近似，模拟结果的价值在于比较不同政策组合的相对后果，而非给出点预测。即便如此，三情景近0.2的终点分化仍传递出足够稳健的政策信息：标准体系未来十年的走向并非注定，而是取决于政策、技术与市场三重驱动力能否持续协同发力。</w:t>
      </w:r>
    </w:p>
    <w:p>
      <w:pPr>
        <w:keepNext/>
        <w:spacing w:before="160" w:after="120" w:line="360" w:lineRule="auto"/>
        <w:outlineLvl w:val="1"/>
      </w:pPr>
      <w:r>
        <w:rPr>
          <w:rFonts w:ascii="黑体" w:hAnsi="黑体" w:eastAsia="黑体"/>
          <w:sz w:val="28"/>
        </w:rPr>
        <w:t>5.7  本章小结</w:t>
      </w:r>
    </w:p>
    <w:p>
      <w:pPr>
        <w:spacing w:line="360" w:lineRule="auto" w:after="0"/>
        <w:ind w:firstLineChars="200" w:firstLine="480"/>
        <w:jc w:val="both"/>
      </w:pPr>
      <w:r>
        <w:rPr>
          <w:rFonts w:ascii="宋体" w:hAnsi="宋体" w:eastAsia="宋体"/>
          <w:sz w:val="24"/>
        </w:rPr>
        <w:t>本章构建并估计了中国绿色低碳标准体系动态演化的状态空间模型。以连续时间线性动态系统刻画五类标准综合指数的联合演化，经欧拉离散化写成状态空间形式，用卡尔曼滤波的预测—更新递推构造预测误差分解似然函数，以极大似然法估计标准间交互矩阵A与驱动传导矩阵B，并在此基础上完成驱动力时变贡献分解与2026—2035年情景模拟。全章的主要发现可以归纳为四点。</w:t>
      </w:r>
    </w:p>
    <w:p>
      <w:pPr>
        <w:spacing w:line="360" w:lineRule="auto" w:after="0"/>
        <w:ind w:firstLineChars="200" w:firstLine="480"/>
        <w:jc w:val="both"/>
      </w:pPr>
      <w:r>
        <w:rPr>
          <w:rFonts w:ascii="宋体" w:hAnsi="宋体" w:eastAsia="宋体"/>
          <w:sz w:val="24"/>
        </w:rPr>
        <w:t>第一，标准间关系以互补为主、替代为辅，碳排放核算居于枢纽地位。核算状态对足迹、产品、金融方程的交互系数（0.12、0.08、0.06）均显著为正，并存在“核算→足迹→金融”的二级传导链；绿色产品对碳足迹认证存在弱替代（−0.05）；碳吸收模块双向脱嵌于互补网络。第二，驱动传导呈“对口”靶向结构：碳价信号主要催生核算（0.15）与金融（0.10）标准，“双碳”政策独家支撑碳吸收（0.08），CBAM牵引碳足迹（0.14），绿色技术拉动绿色产品（0.09）。第三，驱动力格局由“一家独大”走向“三足鼎立”：政策推力贡献份额由62%降至41%，技术拉力由21%升至33%，市场调节力由17%升至26%，政策角色从直接供给转向框架创设与机制赋能。第四，体系演化对驱动力组合高度敏感：三情景模拟显示，2035年体系平均指数在0.66至0.86之间分化，协同强化与停滞的差距相当于约十年的演化进程。</w:t>
      </w:r>
    </w:p>
    <w:p>
      <w:pPr>
        <w:spacing w:line="360" w:lineRule="auto" w:after="0"/>
        <w:ind w:firstLineChars="200" w:firstLine="480"/>
        <w:jc w:val="both"/>
      </w:pPr>
      <w:r>
        <w:rPr>
          <w:rFonts w:ascii="宋体" w:hAnsi="宋体" w:eastAsia="宋体"/>
          <w:sz w:val="24"/>
        </w:rPr>
        <w:t>本章结果在全书中承担承上启下的枢纽功能。其一，A矩阵将直接输入第10章的系统动力学模型：其非负交互部分经尺度调整后构成五大功能模块之间的溢出系数矩阵Φ，使体系协同效应的仿真建立在本章的计量估计而非主观赋值之上——这正是本书“动态演化机理→体系构建”研究主线的具体接口。其二，A矩阵揭示的互补主导结构与替代摩擦，为第9章“协同互补”构建原则提供了直接的经验依据；核算标准的上游地位则支撑体系架构中基础共性标准的优先序设计。其三，B矩阵的靶向传导结构提示各模块建设须匹配对口驱动，第9章分模块建设重点清单与第10章动态更新机制的模块差异化设定均以此为据。其四，滤波得到的状态序列与三阶段贡献分解，已在第4章表4.2中用作阶段特征刻画的依据，并将在第6章作为技术—制度互馈参数估计的对照基准。</w:t>
      </w:r>
    </w:p>
    <w:p>
      <w:pPr>
        <w:spacing w:line="360" w:lineRule="auto" w:after="0"/>
        <w:ind w:firstLineChars="200" w:firstLine="480"/>
        <w:jc w:val="both"/>
      </w:pPr>
      <w:r>
        <w:rPr>
          <w:rFonts w:ascii="宋体" w:hAnsi="宋体" w:eastAsia="宋体"/>
          <w:sz w:val="24"/>
        </w:rPr>
        <w:t>本章模型的边界也应明确。线性设定无法刻画技术与制度之间的非线性互馈与多重均衡；参数恒定假设使驱动格局的时变只能经由分解间接呈现；驱动变量的外生性设定抽象掉了标准体系对碳价与政策节奏的反向影响；加总层面的估计也未触及行业异质性。这些局限恰好界定了后续章节的任务：第6章以Lotka-Volterra型非线性系统刻画技术与制度的双向互馈与协同演进，第7章以演化博弈模型打开政府、企业与国际组织策略互动的黑箱，第8章则将供需分析下沉至行业层面。三个模型与本章的状态空间模型互为补充，共同构成本书解析标准体系动态演化机理的完整模型体系。</w:t>
      </w:r>
    </w:p>
    <w:p>
      <w:r>
        <w:br w:type="page"/>
      </w:r>
    </w:p>
    <w:p>
      <w:pPr>
        <w:keepNext/>
        <w:spacing w:before="240" w:after="160" w:line="360" w:lineRule="auto"/>
        <w:jc w:val="center"/>
        <w:outlineLvl w:val="0"/>
      </w:pPr>
      <w:r>
        <w:rPr>
          <w:rFonts w:ascii="黑体" w:hAnsi="黑体" w:eastAsia="黑体"/>
          <w:b/>
          <w:sz w:val="30"/>
        </w:rPr>
        <w:t>第6章  技术—制度协同演进模型</w:t>
      </w:r>
    </w:p>
    <w:p>
      <w:pPr>
        <w:spacing w:line="360" w:lineRule="auto" w:after="0"/>
        <w:ind w:firstLineChars="200" w:firstLine="480"/>
        <w:jc w:val="both"/>
      </w:pPr>
      <w:r>
        <w:rPr>
          <w:rFonts w:ascii="宋体" w:hAnsi="宋体" w:eastAsia="宋体"/>
          <w:sz w:val="24"/>
        </w:rPr>
        <w:t>第5章在标准体系内部结构层面刻画了五类标准之间的互补与替代关系，并识别出政策推力、技术拉力与市场调节力三重驱动力的传导系数。但在状态空间模型中，技术进步是作为外生驱动变量进入观测系统的，模型回答了“技术拉力如何推动标准演化”，却没有回答一个更深层的问题：技术与制度何以互为因果——标准体系是技术知识的制度化沉淀，而技术进步又在相当程度上被标准所塑造和激励（Nelson和Winter，1982；Zhao等，2024）。忽略这一双向互馈，既会低估标准体系建设的长期回报（标准激励创新、创新反哺标准的乘数过程被截断），也会误判其演化路径（把内生加速误读为外生冲击的偶然叠加）。本章的任务，正是把第2章理论框架中动态演化机理的第二层次——技术—制度互馈——提炼为一个可求解、可估计、可检验的动态系统模型。</w:t>
      </w:r>
    </w:p>
    <w:p>
      <w:pPr>
        <w:spacing w:line="360" w:lineRule="auto" w:after="0"/>
        <w:ind w:firstLineChars="200" w:firstLine="480"/>
        <w:jc w:val="both"/>
      </w:pPr>
      <w:r>
        <w:rPr>
          <w:rFonts w:ascii="宋体" w:hAnsi="宋体" w:eastAsia="宋体"/>
          <w:sz w:val="24"/>
        </w:rPr>
        <w:t>本章是全书数理推导的核心章之一。分析遵循“理论逻辑—模型设定—解析性质—参数估计—相位分析—结构转换”的递进线索：6.1节从标准化经济学与演化经济学出发梳理双向互馈的微观机制；6.2节建立技术水平与制度完善度的Lotka-Volterra协同演进方程组，并给出标准体系水平的合成表达；6.3节求解系统的四个平衡点，借助雅可比矩阵与迹—行列式判据逐一判别其局部稳定性，给出内部均衡稳定的充分条件命题；6.4节以2004—2025年技术与制度指数为样本，采用非线性最小二乘与贝叶斯校准相结合的策略分样本估计参数，检验“双碳”目标前后互馈结构的变化；6.5节以相位图刻画零增长线、鞍路径与收敛过程；6.6节考察合成弹性</w:t>
      </w:r>
      <m:oMath>
        <m:r>
          <m:t>ω</m:t>
        </m:r>
      </m:oMath>
      <w:r>
        <w:rPr>
          <w:rFonts w:ascii="宋体" w:hAnsi="宋体" w:eastAsia="宋体"/>
          <w:sz w:val="24"/>
        </w:rPr>
        <w:t>的时变，讨论标准体系驱动结构从制度驱动向技术驱动的转换；6.7节小结本章要点并交代其在全书中的承启位置。</w:t>
      </w:r>
    </w:p>
    <w:p>
      <w:pPr>
        <w:keepNext/>
        <w:spacing w:before="160" w:after="120" w:line="360" w:lineRule="auto"/>
        <w:outlineLvl w:val="1"/>
      </w:pPr>
      <w:r>
        <w:rPr>
          <w:rFonts w:ascii="黑体" w:hAnsi="黑体" w:eastAsia="黑体"/>
          <w:sz w:val="28"/>
        </w:rPr>
        <w:t>6.1  理论逻辑：技术进步与制度供给的双向互馈</w:t>
      </w:r>
    </w:p>
    <w:p>
      <w:pPr>
        <w:keepNext/>
        <w:spacing w:before="160" w:after="120" w:line="360" w:lineRule="auto"/>
        <w:outlineLvl w:val="2"/>
      </w:pPr>
      <w:r>
        <w:rPr>
          <w:rFonts w:ascii="黑体" w:hAnsi="黑体" w:eastAsia="黑体"/>
          <w:sz w:val="24"/>
        </w:rPr>
        <w:t>6.1.1  技术侧机制：技术成熟降低标准制定的不确定性</w:t>
      </w:r>
    </w:p>
    <w:p>
      <w:pPr>
        <w:spacing w:line="360" w:lineRule="auto" w:after="0"/>
        <w:ind w:firstLineChars="200" w:firstLine="480"/>
        <w:jc w:val="both"/>
      </w:pPr>
      <w:r>
        <w:rPr>
          <w:rFonts w:ascii="宋体" w:hAnsi="宋体" w:eastAsia="宋体"/>
          <w:sz w:val="24"/>
        </w:rPr>
        <w:t>标准的知识论本质，是把分散的、部分默会的、仍在演进中的技术知识，编码为可检验、可执行、可复制的技术条款（Tassey，2000；Blind，2004）。这一编码过程能否完成、完成的质量如何，首先取决于技术本身的成熟程度：只有当测量方法定型、数据基础可得、技术路线趋于收敛时，标准制定者才可能在众多候选方案中凝聚共识，并以量化限值与程序性要求的形式将其固化。绿色低碳标准对技术成熟度的依赖尤为突出：碳排放核算标准要求计量监测技术与排放因子数据库先行成熟（陈红敏，2011）；碳足迹认证标准要求生命周期评价方法与产品数据积累达到可核查水平；碳吸收类标准则受制于碳汇计量与负排放技术仍处示范阶段的现实。技术知识存量不足时，标准供给便成为“无米之炊”。</w:t>
      </w:r>
    </w:p>
    <w:p>
      <w:pPr>
        <w:spacing w:line="360" w:lineRule="auto" w:after="0"/>
        <w:ind w:firstLineChars="200" w:firstLine="480"/>
        <w:jc w:val="both"/>
      </w:pPr>
      <w:r>
        <w:rPr>
          <w:rFonts w:ascii="宋体" w:hAnsi="宋体" w:eastAsia="宋体"/>
          <w:sz w:val="24"/>
        </w:rPr>
        <w:t>技术不成熟对制度供给的抑制，集中体现为标准制定面临的不确定性成本。其一是路线选择风险：在技术轨道尚未收敛时过早制定标准，可能将体系锁定于事后被证明劣质的技术路线（David，1985；Arthur，1989）——标准一旦沉淀为制度并积累起安装基础，转换成本会使纠错变得异常昂贵；其二是共识达成成本：技术范式未确立时，利益相关方对技术条款的分歧难以弥合，标准制定的谈判周期与协调费用急剧上升（Dosi，1982）；其三是修订贬值风险：技术快速迭代会缩短标准的有效生命周期，预期中的频繁修订降低了当期制定的净收益。反之，技术越接近成熟前沿，上述三类不确定性越低，单位制度供给的边际调整成本越小，制度供给的“生产函数”整体上移。本章据此引入技术成熟度对制度供给增长率的正向互馈系数</w:t>
      </w:r>
      <m:oMath>
        <m:r>
          <m:t>α</m:t>
        </m:r>
      </m:oMath>
      <w:r>
        <w:rPr>
          <w:rFonts w:ascii="宋体" w:hAnsi="宋体" w:eastAsia="宋体"/>
          <w:sz w:val="24"/>
        </w:rPr>
        <w:t>，并以随技术缺口递增的阻尼项刻画不确定性成本，其系数记为</w:t>
      </w:r>
      <m:oMath>
        <m:r>
          <m:t>γ</m:t>
        </m:r>
      </m:oMath>
      <w:r>
        <w:rPr>
          <w:rFonts w:ascii="宋体" w:hAnsi="宋体" w:eastAsia="宋体"/>
          <w:sz w:val="24"/>
        </w:rPr>
        <w:t>。</w:t>
      </w:r>
    </w:p>
    <w:p>
      <w:pPr>
        <w:spacing w:line="360" w:lineRule="auto" w:after="0"/>
        <w:ind w:firstLineChars="200" w:firstLine="480"/>
        <w:jc w:val="both"/>
      </w:pPr>
      <w:r>
        <w:rPr>
          <w:rFonts w:ascii="宋体" w:hAnsi="宋体" w:eastAsia="宋体"/>
          <w:sz w:val="24"/>
        </w:rPr>
        <w:t>中国的经验为技术侧机制提供了直观注脚。一方面，技术基础的快速扩张正在为标准供给创造“可标准化的知识存量”：按国家知识产权局口径，2016—2022年我国绿色低碳发明专利授权量由每年2.5万件增至4.2万件、累计20.6万件，截至2024年底绿色低碳有效专利已达28.3万件，光伏、风电、新能源汽车等成熟技术领域的标准体系也随之趋于完备（石明娟等，2022）。另一方面，技术不成熟的领域恰恰是标准供给的洼地：第4章的测算显示，碳吸收类标准综合指数到2025年仅为0.32、在国家标准中的占比仅约6.1%，与碳汇计量、CCUS、负排放技术仍处工程示范阶段直接相关（孙亮等，2022）。技术成熟度的截面差异映射为标准供给的结构性差异，正是</w:t>
      </w:r>
      <m:oMath>
        <m:r>
          <m:t>α</m:t>
        </m:r>
      </m:oMath>
      <w:r>
        <w:rPr>
          <w:rFonts w:ascii="宋体" w:hAnsi="宋体" w:eastAsia="宋体"/>
          <w:sz w:val="24"/>
        </w:rPr>
        <w:t>渠道存在的有力旁证。</w:t>
      </w:r>
    </w:p>
    <w:p>
      <w:pPr>
        <w:keepNext/>
        <w:spacing w:before="160" w:after="120" w:line="360" w:lineRule="auto"/>
        <w:outlineLvl w:val="2"/>
      </w:pPr>
      <w:r>
        <w:rPr>
          <w:rFonts w:ascii="黑体" w:hAnsi="黑体" w:eastAsia="黑体"/>
          <w:sz w:val="24"/>
        </w:rPr>
        <w:t>6.1.2  制度侧机制：标准完善提供稳定预期并激励创新</w:t>
      </w:r>
    </w:p>
    <w:p>
      <w:pPr>
        <w:spacing w:line="360" w:lineRule="auto" w:after="0"/>
        <w:ind w:firstLineChars="200" w:firstLine="480"/>
        <w:jc w:val="both"/>
      </w:pPr>
      <w:r>
        <w:rPr>
          <w:rFonts w:ascii="宋体" w:hAnsi="宋体" w:eastAsia="宋体"/>
          <w:sz w:val="24"/>
        </w:rPr>
        <w:t>互馈的另一方向由制度指向技术。环境规制与绿色创新关系的经典讨论指出，设计良好的规制不仅不必然损害竞争力，反而可能通过“创新补偿”效应提升企业绩效（Porter和van der Linde，1995）；诱致性创新理论进一步表明，相对价格与制度信号会系统性地改变创新的方向与强度（Popp，2002；Acemoglu等，2012）。标准体系正是这样一种方向性制度信号：它把碳排放这一外部性转化为可考核的技术门槛，使绿色投入的回报由“不确定的政策善意”变为“可预期的合规溢价”。当核算、认证与产品标准相互衔接时，企业绿色努力的市场显示成本大幅下降，绿色溢价得以可信传递，创新的期望收益曲线整体上移（黄俊勇和刘世锦，2023）。清洁技术创新存在显著的路径依赖，早期的制度介入能够把创新资源从传统轨道引导至清洁轨道并自我强化（Aghion等，2016），这意味着标准完善对技术的激励不是一次性的水平效应，而是持续的增长率效应。</w:t>
      </w:r>
    </w:p>
    <w:p>
      <w:pPr>
        <w:spacing w:line="360" w:lineRule="auto" w:after="0"/>
        <w:ind w:firstLineChars="200" w:firstLine="480"/>
        <w:jc w:val="both"/>
      </w:pPr>
      <w:r>
        <w:rPr>
          <w:rFonts w:ascii="宋体" w:hAnsi="宋体" w:eastAsia="宋体"/>
          <w:sz w:val="24"/>
        </w:rPr>
        <w:t>标准激励创新还有其独特的协调机制。网络外部性理论表明，兼容性标准通过统一接口扩大安装基础，使互补创新得以在共同平台上集聚（Katz和Shapiro，1985；Farrell和Saloner，1985）；在绿色低碳领域，统一的碳核算口径与互认的认证规则相当于为全社会的减排努力提供了“度量衡”，供应链上下游的减排投资由此获得一致的计价与显示基础。微观实证研究普遍发现标准与创新之间存在显著的正向关联（Blind等，2017；Blind等，2022），标准化对全要素生产率的提升作用在中国情境下亦得到验证（何凡等，2025）；绿色信贷、环境保护税等制度工具激励绿色创新的证据同样丰富（王馨和王营，2021；刘金科和肖翊阳，2022），气候条件与信贷风险周期同技术进步的动态关联亦获中国证据支持（Chen等，2025）。当然，制度对技术的作用并非无条件为正：门槛设置过高或与企业能力脱节时，规制可能诱发“陷阱效应”而非“倒逼效应”（陆婷和徐奇渊，2023）。本章以互馈系数</w:t>
      </w:r>
      <m:oMath>
        <m:r>
          <m:t>β</m:t>
        </m:r>
      </m:oMath>
      <w:r>
        <w:rPr>
          <w:rFonts w:ascii="宋体" w:hAnsi="宋体" w:eastAsia="宋体"/>
          <w:sz w:val="24"/>
        </w:rPr>
        <w:t>刻画标准完善度对技术增长率的净激励，其符号与大小交由数据检验。</w:t>
      </w:r>
    </w:p>
    <w:p>
      <w:pPr>
        <w:keepNext/>
        <w:spacing w:before="160" w:after="120" w:line="360" w:lineRule="auto"/>
        <w:outlineLvl w:val="2"/>
      </w:pPr>
      <w:r>
        <w:rPr>
          <w:rFonts w:ascii="黑体" w:hAnsi="黑体" w:eastAsia="黑体"/>
          <w:sz w:val="24"/>
        </w:rPr>
        <w:t>6.1.3  从单向决定到共生演化：Lotka-Volterra刻画的适用性</w:t>
      </w:r>
    </w:p>
    <w:p>
      <w:pPr>
        <w:spacing w:line="360" w:lineRule="auto" w:after="0"/>
        <w:ind w:firstLineChars="200" w:firstLine="480"/>
        <w:jc w:val="both"/>
      </w:pPr>
      <w:r>
        <w:rPr>
          <w:rFonts w:ascii="宋体" w:hAnsi="宋体" w:eastAsia="宋体"/>
          <w:sz w:val="24"/>
        </w:rPr>
        <w:t>上述两类机制表明，技术与制度互为对方演化的选择环境：技术进步改变制度供给的成本函数，制度完善改变技术创新的收益函数。演化经济学早已强调，惯例、制度与技术在相互适应中共同演化（Nelson和Winter，1982）；制度变迁理论把制度与组织的互动视为渐进演化的核心动力（North，1990）；比较制度分析则将制度理解为与技术条件联动的均衡结果，二者在关联域中同步调整（Aoki，2001）。就方法而言，这种双向内生关系使单方程的因果识别框架难以胜任——把技术对制度的作用与制度对技术的作用分别估计，会遗漏二者相互加强的系统效应；恰当的刻画方式是把技术与制度作为一个耦合动态系统，考察其联合演化的均衡与稳定性。</w:t>
      </w:r>
    </w:p>
    <w:p>
      <w:pPr>
        <w:spacing w:line="360" w:lineRule="auto" w:after="0"/>
        <w:ind w:firstLineChars="200" w:firstLine="480"/>
        <w:jc w:val="both"/>
      </w:pPr>
      <w:r>
        <w:rPr>
          <w:rFonts w:ascii="宋体" w:hAnsi="宋体" w:eastAsia="宋体"/>
          <w:sz w:val="24"/>
        </w:rPr>
        <w:t>本章选择源于种群生态学的Lotka-Volterra（LV）方程组作为建模工具（Lotka，1925）。理由有三：第一，LV模型以logistic增长为骨架，天然容纳“潜在容量”约束，与本书以指数形式度量的技术水平和制度完善度（均有限的上界）相契合；第二，LV的种间互作用项可直接翻译为技术促制度（</w:t>
      </w:r>
      <m:oMath>
        <m:r>
          <m:t>α</m:t>
        </m:r>
      </m:oMath>
      <w:r>
        <w:rPr>
          <w:rFonts w:ascii="宋体" w:hAnsi="宋体" w:eastAsia="宋体"/>
          <w:sz w:val="24"/>
        </w:rPr>
        <w:t>）与制度促技术（</w:t>
      </w:r>
      <m:oMath>
        <m:r>
          <m:t>β</m:t>
        </m:r>
      </m:oMath>
      <w:r>
        <w:rPr>
          <w:rFonts w:ascii="宋体" w:hAnsi="宋体" w:eastAsia="宋体"/>
          <w:sz w:val="24"/>
        </w:rPr>
        <w:t>）的互馈渠道，互利共生、竞争排斥等生态关系恰好对应互馈系数的不同符号组合，参数具有清晰的经济含义；第三，二维LV系统的平衡点、稳定性与相位结构可以完全解析地求出，便于把“协同演进是否收敛、收敛到何处、多快收敛”转化为可检验的命题。标准与技术共演化的近期研究也表明，LV类模型能够较好地再现标准体系与技术系统相互塑造的典型事实（Zhu等，2022；Zhao等，2024）。当然，LV模型将复杂的多主体互动压缩为两个总量方程，其参数是行为机制的约简形式；多主体策略互动的微观基础将在第7章以演化博弈模型专门展开，两章互为表里。</w:t>
      </w:r>
    </w:p>
    <w:p>
      <w:pPr>
        <w:spacing w:line="360" w:lineRule="auto" w:after="0"/>
        <w:ind w:firstLineChars="200" w:firstLine="480"/>
        <w:jc w:val="both"/>
      </w:pPr>
      <w:r>
        <w:rPr>
          <w:rFonts w:ascii="宋体" w:hAnsi="宋体" w:eastAsia="宋体"/>
          <w:sz w:val="24"/>
        </w:rPr>
        <w:t>由图6.1可见，技术—制度协同演进的逻辑结构包含三个层次：底层是两个自增长回路，技术水平</w:t>
      </w:r>
      <m:oMath>
        <m:r>
          <m:t>T</m:t>
        </m:r>
      </m:oMath>
      <w:r>
        <w:rPr>
          <w:rFonts w:ascii="宋体" w:hAnsi="宋体" w:eastAsia="宋体"/>
          <w:sz w:val="24"/>
        </w:rPr>
        <w:t>与制度完善度</w:t>
      </w:r>
      <m:oMath>
        <m:r>
          <m:t>I</m:t>
        </m:r>
      </m:oMath>
      <w:r>
        <w:rPr>
          <w:rFonts w:ascii="宋体" w:hAnsi="宋体" w:eastAsia="宋体"/>
          <w:sz w:val="24"/>
        </w:rPr>
        <w:t>各自遵循容量受限的logistic增长，增长率分别为</w:t>
      </w:r>
      <m:oMath>
        <m:sSub>
          <m:e>
            <m:r>
              <m:t>r</m:t>
            </m:r>
          </m:e>
          <m:sub>
            <m:r>
              <m:t>T</m:t>
            </m:r>
          </m:sub>
        </m:sSub>
      </m:oMath>
      <w:r>
        <w:rPr>
          <w:rFonts w:ascii="宋体" w:hAnsi="宋体" w:eastAsia="宋体"/>
          <w:sz w:val="24"/>
        </w:rPr>
        <w:t>与</w:t>
      </w:r>
      <m:oMath>
        <m:sSub>
          <m:e>
            <m:r>
              <m:t>r</m:t>
            </m:r>
          </m:e>
          <m:sub>
            <m:r>
              <m:t>I</m:t>
            </m:r>
          </m:sub>
        </m:sSub>
      </m:oMath>
      <w:r>
        <w:rPr>
          <w:rFonts w:ascii="宋体" w:hAnsi="宋体" w:eastAsia="宋体"/>
          <w:sz w:val="24"/>
        </w:rPr>
        <w:t>；中层是两条交叉互馈通道，技术成熟以系数</w:t>
      </w:r>
      <m:oMath>
        <m:r>
          <m:t>α</m:t>
        </m:r>
      </m:oMath>
      <w:r>
        <w:rPr>
          <w:rFonts w:ascii="宋体" w:hAnsi="宋体" w:eastAsia="宋体"/>
          <w:sz w:val="24"/>
        </w:rPr>
        <w:t>提升制度供给的增长率、并以阻尼系数</w:t>
      </w:r>
      <m:oMath>
        <m:r>
          <m:t>γ</m:t>
        </m:r>
      </m:oMath>
      <w:r>
        <w:rPr>
          <w:rFonts w:ascii="宋体" w:hAnsi="宋体" w:eastAsia="宋体"/>
          <w:sz w:val="24"/>
        </w:rPr>
        <w:t>刻画技术缺口对标准制定的抑制，制度完善以系数</w:t>
      </w:r>
      <m:oMath>
        <m:r>
          <m:t>β</m:t>
        </m:r>
      </m:oMath>
      <w:r>
        <w:rPr>
          <w:rFonts w:ascii="宋体" w:hAnsi="宋体" w:eastAsia="宋体"/>
          <w:sz w:val="24"/>
        </w:rPr>
        <w:t>提升技术创新的增长率；顶层则是合成关系，技术与制度按弹性</w:t>
      </w:r>
      <m:oMath>
        <m:r>
          <m:t>ω</m:t>
        </m:r>
      </m:oMath>
      <w:r>
        <w:rPr>
          <w:rFonts w:ascii="宋体" w:hAnsi="宋体" w:eastAsia="宋体"/>
          <w:sz w:val="24"/>
        </w:rPr>
        <w:t>与</w:t>
      </w:r>
      <m:oMath>
        <m:r>
          <m:t>1</m:t>
        </m:r>
        <m:r>
          <m:rPr>
            <m:sty m:val="p"/>
          </m:rPr>
          <m:t>−</m:t>
        </m:r>
        <m:r>
          <m:t>ω</m:t>
        </m:r>
      </m:oMath>
      <w:r>
        <w:rPr>
          <w:rFonts w:ascii="宋体" w:hAnsi="宋体" w:eastAsia="宋体"/>
          <w:sz w:val="24"/>
        </w:rPr>
        <w:t>几何加权，合成为标准体系的综合水平</w:t>
      </w:r>
      <m:oMath>
        <m:r>
          <m:t>S</m:t>
        </m:r>
      </m:oMath>
      <w:r>
        <w:rPr>
          <w:rFonts w:ascii="宋体" w:hAnsi="宋体" w:eastAsia="宋体"/>
          <w:sz w:val="24"/>
        </w:rPr>
        <w:t>。这一结构把第2章的理论框架具象为一个二维动态系统：互馈通道是否畅通（</w:t>
      </w:r>
      <m:oMath>
        <m:r>
          <m:t>α</m:t>
        </m:r>
      </m:oMath>
      <w:r>
        <w:rPr>
          <w:rFonts w:ascii="宋体" w:hAnsi="宋体" w:eastAsia="宋体"/>
          <w:sz w:val="24"/>
        </w:rPr>
        <w:t>、</w:t>
      </w:r>
      <m:oMath>
        <m:r>
          <m:t>β</m:t>
        </m:r>
      </m:oMath>
      <w:r>
        <w:rPr>
          <w:rFonts w:ascii="宋体" w:hAnsi="宋体" w:eastAsia="宋体"/>
          <w:sz w:val="24"/>
        </w:rPr>
        <w:t>的大小）、阻尼是否消减（</w:t>
      </w:r>
      <m:oMath>
        <m:r>
          <m:t>γ</m:t>
        </m:r>
      </m:oMath>
      <w:r>
        <w:rPr>
          <w:rFonts w:ascii="宋体" w:hAnsi="宋体" w:eastAsia="宋体"/>
          <w:sz w:val="24"/>
        </w:rPr>
        <w:t>的变化），决定了系统究竟停留在低水平的单极状态，还是收敛于高水平的协同均衡——这正是后文平衡点分析的全部悬念所在。</w:t>
      </w:r>
    </w:p>
    <w:p>
      <w:pPr>
        <w:spacing w:before="120" w:after="40"/>
        <w:jc w:val="center"/>
      </w:pPr>
      <w:r>
        <w:drawing>
          <wp:inline xmlns:a="http://schemas.openxmlformats.org/drawingml/2006/main" xmlns:pic="http://schemas.openxmlformats.org/drawingml/2006/picture">
            <wp:extent cx="4860000" cy="3424781"/>
            <wp:docPr id="18" name="Picture 18"/>
            <wp:cNvGraphicFramePr>
              <a:graphicFrameLocks noChangeAspect="1"/>
            </wp:cNvGraphicFramePr>
            <a:graphic>
              <a:graphicData uri="http://schemas.openxmlformats.org/drawingml/2006/picture">
                <pic:pic>
                  <pic:nvPicPr>
                    <pic:cNvPr id="0" name="fig6_1.png"/>
                    <pic:cNvPicPr/>
                  </pic:nvPicPr>
                  <pic:blipFill>
                    <a:blip r:embed="rId26"/>
                    <a:stretch>
                      <a:fillRect/>
                    </a:stretch>
                  </pic:blipFill>
                  <pic:spPr>
                    <a:xfrm>
                      <a:off x="0" y="0"/>
                      <a:ext cx="4860000" cy="3424781"/>
                    </a:xfrm>
                    <a:prstGeom prst="rect"/>
                  </pic:spPr>
                </pic:pic>
              </a:graphicData>
            </a:graphic>
          </wp:inline>
        </w:drawing>
      </w:r>
    </w:p>
    <w:p>
      <w:pPr>
        <w:keepNext w:val="0"/>
        <w:spacing w:after="200"/>
        <w:jc w:val="center"/>
      </w:pPr>
      <w:r>
        <w:rPr>
          <w:rFonts w:ascii="黑体" w:hAnsi="黑体" w:eastAsia="黑体"/>
          <w:sz w:val="21"/>
        </w:rPr>
        <w:t>图6.1  技术—制度协同演进的互馈机制</w:t>
      </w:r>
    </w:p>
    <w:p>
      <w:pPr>
        <w:keepNext/>
        <w:spacing w:before="160" w:after="120" w:line="360" w:lineRule="auto"/>
        <w:outlineLvl w:val="1"/>
      </w:pPr>
      <w:r>
        <w:rPr>
          <w:rFonts w:ascii="黑体" w:hAnsi="黑体" w:eastAsia="黑体"/>
          <w:sz w:val="28"/>
        </w:rPr>
        <w:t>6.2  模型设定</w:t>
      </w:r>
    </w:p>
    <w:p>
      <w:pPr>
        <w:keepNext/>
        <w:spacing w:before="160" w:after="120" w:line="360" w:lineRule="auto"/>
        <w:outlineLvl w:val="2"/>
      </w:pPr>
      <w:r>
        <w:rPr>
          <w:rFonts w:ascii="黑体" w:hAnsi="黑体" w:eastAsia="黑体"/>
          <w:sz w:val="24"/>
        </w:rPr>
        <w:t>6.2.1  变量测度与样本区间</w:t>
      </w:r>
    </w:p>
    <w:p>
      <w:pPr>
        <w:spacing w:line="360" w:lineRule="auto" w:after="0"/>
        <w:ind w:firstLineChars="200" w:firstLine="480"/>
        <w:jc w:val="both"/>
      </w:pPr>
      <w:r>
        <w:rPr>
          <w:rFonts w:ascii="宋体" w:hAnsi="宋体" w:eastAsia="宋体"/>
          <w:sz w:val="24"/>
        </w:rPr>
        <w:t>模型包含两个状态变量。技术水平</w:t>
      </w:r>
      <m:oMath>
        <m:sSub>
          <m:e>
            <m:r>
              <m:t>T</m:t>
            </m:r>
          </m:e>
          <m:sub>
            <m:r>
              <m:t>t</m:t>
            </m:r>
          </m:sub>
        </m:sSub>
      </m:oMath>
      <w:r>
        <w:rPr>
          <w:rFonts w:ascii="宋体" w:hAnsi="宋体" w:eastAsia="宋体"/>
          <w:sz w:val="24"/>
        </w:rPr>
        <w:t>以绿色低碳技术综合指数度量，基于绿色低碳发明专利存量、研发投入强度与技术扩散水平三类指标合成，多维指标合成评估国家绿色技术竞争力的做法已有跨国实践可循（Fang等，2018），并以现行技术范式下的潜在前沿为基准归一化，使</w:t>
      </w:r>
      <m:oMath>
        <m:sSub>
          <m:e>
            <m:r>
              <m:t>T</m:t>
            </m:r>
          </m:e>
          <m:sub>
            <m:r>
              <m:t>t</m:t>
            </m:r>
          </m:sub>
        </m:sSub>
        <m:r>
          <m:rPr>
            <m:sty m:val="p"/>
          </m:rPr>
          <m:t>∈</m:t>
        </m:r>
        <m:d>
          <m:dPr>
            <m:begChr m:val="["/>
            <m:sepChr m:val=""/>
            <m:endChr m:val="]"/>
            <m:grow/>
          </m:dPr>
          <m:e>
            <m:r>
              <m:t>0</m:t>
            </m:r>
            <m:r>
              <m:rPr>
                <m:sty m:val="p"/>
              </m:rPr>
              <m:t>,</m:t>
            </m:r>
            <m:r>
              <m:t>1</m:t>
            </m:r>
          </m:e>
        </m:d>
      </m:oMath>
      <w:r>
        <w:rPr>
          <w:rFonts w:ascii="宋体" w:hAnsi="宋体" w:eastAsia="宋体"/>
          <w:sz w:val="24"/>
        </w:rPr>
        <w:t>的读数具有“相对前沿完成度”的含义；制度完善度</w:t>
      </w:r>
      <m:oMath>
        <m:sSub>
          <m:e>
            <m:r>
              <m:t>I</m:t>
            </m:r>
          </m:e>
          <m:sub>
            <m:r>
              <m:t>t</m:t>
            </m:r>
          </m:sub>
        </m:sSub>
      </m:oMath>
      <w:r>
        <w:rPr>
          <w:rFonts w:ascii="宋体" w:hAnsi="宋体" w:eastAsia="宋体"/>
          <w:sz w:val="24"/>
        </w:rPr>
        <w:t>取自第4章标准文本数据库，由标准的技术严格程度、覆盖完整性与层级配套度三个维度加权合成，同样按潜在容量归一化。两个指数的构造细节分别见第4章与本章附注，此处强调一点：</w:t>
      </w:r>
      <m:oMath>
        <m:sSub>
          <m:e>
            <m:r>
              <m:t>T</m:t>
            </m:r>
          </m:e>
          <m:sub>
            <m:r>
              <m:t>t</m:t>
            </m:r>
          </m:sub>
        </m:sSub>
      </m:oMath>
      <w:r>
        <w:rPr>
          <w:rFonts w:ascii="宋体" w:hAnsi="宋体" w:eastAsia="宋体"/>
          <w:sz w:val="24"/>
        </w:rPr>
        <w:t>与</w:t>
      </w:r>
      <m:oMath>
        <m:sSub>
          <m:e>
            <m:r>
              <m:t>I</m:t>
            </m:r>
          </m:e>
          <m:sub>
            <m:r>
              <m:t>t</m:t>
            </m:r>
          </m:sub>
        </m:sSub>
      </m:oMath>
      <w:r>
        <w:rPr>
          <w:rFonts w:ascii="宋体" w:hAnsi="宋体" w:eastAsia="宋体"/>
          <w:sz w:val="24"/>
        </w:rPr>
        <w:t>在测度来源上完全独立——前者取自专利与研发统计，后者取自标准文本编码——因而后文估计出的互馈系数不是同源数据的机械相关，而是两类独立信息之间的结构联系。</w:t>
      </w:r>
    </w:p>
    <w:p>
      <w:pPr>
        <w:spacing w:line="360" w:lineRule="auto" w:after="0"/>
        <w:ind w:firstLineChars="200" w:firstLine="480"/>
        <w:jc w:val="both"/>
      </w:pPr>
      <w:r>
        <w:rPr>
          <w:rFonts w:ascii="宋体" w:hAnsi="宋体" w:eastAsia="宋体"/>
          <w:sz w:val="24"/>
        </w:rPr>
        <w:t>样本区间取2004—2025年。起点与第4章识别的低碳标准化起步阶段一致：2004年前后我国低碳领域的技术积累与专门标准供给才进入可观测的持续增长通道，此前的零星观测难以支撑动态模型估计。样本期内两个指数的轨迹呈现清晰的同步上行与后期加速：技术指数由2004年的0.09升至2019年的0.46，2025年达0.72；制度指数由0.07升至2019年的0.41，2025年达0.66。尤其值得注意的是，2020年“双碳”目标提出后两条曲线的斜率同步抬升，且技术指数始终略领先于制度指数——这两个典型事实分别暗示互馈强度的结构性变化与技术侧的先导地位，它们能否被模型参数所解释，是6.4节估计的核心看点。</w:t>
      </w:r>
    </w:p>
    <w:p>
      <w:pPr>
        <w:keepNext/>
        <w:spacing w:before="160" w:after="120" w:line="360" w:lineRule="auto"/>
        <w:outlineLvl w:val="2"/>
      </w:pPr>
      <w:r>
        <w:rPr>
          <w:rFonts w:ascii="黑体" w:hAnsi="黑体" w:eastAsia="黑体"/>
          <w:sz w:val="24"/>
        </w:rPr>
        <w:t>6.2.2  Lotka-Volterra协同演进方程组</w:t>
      </w:r>
    </w:p>
    <w:p>
      <w:pPr>
        <w:spacing w:line="360" w:lineRule="auto" w:after="0"/>
        <w:ind w:firstLineChars="200" w:firstLine="480"/>
        <w:jc w:val="both"/>
      </w:pPr>
      <w:r>
        <w:rPr>
          <w:rFonts w:ascii="宋体" w:hAnsi="宋体" w:eastAsia="宋体"/>
          <w:sz w:val="24"/>
        </w:rPr>
        <w:t>基于6.1节的机制分析，技术水平的演化设定为容量受限的logistic增长叠加制度互馈：制度完善度越高，稳定预期与合规溢价对创新的激励越强，技术增长率越高。制度完善度的演化同样以logistic增长为骨架，叠加两项技术互馈：一是技术成熟度的正向拉动，二是技术缺口的不确定性阻尼——设单位制度供给的边际调整成本为</w:t>
      </w:r>
      <m:oMath>
        <m:sSub>
          <m:e>
            <m:r>
              <m:t>C</m:t>
            </m:r>
          </m:e>
          <m:sub>
            <m:r>
              <m:t>I</m:t>
            </m:r>
          </m:sub>
        </m:sSub>
        <m:d>
          <m:dPr>
            <m:begChr m:val="("/>
            <m:sepChr m:val=""/>
            <m:endChr m:val=")"/>
            <m:grow/>
          </m:dPr>
          <m:e>
            <m:sSub>
              <m:e>
                <m:r>
                  <m:t>T</m:t>
                </m:r>
              </m:e>
              <m:sub>
                <m:r>
                  <m:t>t</m:t>
                </m:r>
              </m:sub>
            </m:sSub>
          </m:e>
        </m:d>
        <m:r>
          <m:rPr>
            <m:sty m:val="p"/>
          </m:rPr>
          <m:t>=</m:t>
        </m:r>
        <m:r>
          <m:t>γ</m:t>
        </m:r>
        <m:d>
          <m:dPr>
            <m:begChr m:val="("/>
            <m:sepChr m:val=""/>
            <m:endChr m:val=")"/>
            <m:grow/>
          </m:dPr>
          <m:e>
            <m:r>
              <m:t>1</m:t>
            </m:r>
            <m:r>
              <m:rPr>
                <m:sty m:val="p"/>
              </m:rPr>
              <m:t>−</m:t>
            </m:r>
            <m:sSub>
              <m:e>
                <m:r>
                  <m:t>T</m:t>
                </m:r>
              </m:e>
              <m:sub>
                <m:r>
                  <m:t>t</m:t>
                </m:r>
              </m:sub>
            </m:sSub>
            <m:r>
              <m:rPr>
                <m:sty m:val="p"/>
              </m:rPr>
              <m:t>/</m:t>
            </m:r>
            <m:sSub>
              <m:e>
                <m:r>
                  <m:t>K</m:t>
                </m:r>
              </m:e>
              <m:sub>
                <m:r>
                  <m:t>T</m:t>
                </m:r>
              </m:sub>
            </m:sSub>
          </m:e>
        </m:d>
      </m:oMath>
      <w:r>
        <w:rPr>
          <w:rFonts w:ascii="宋体" w:hAnsi="宋体" w:eastAsia="宋体"/>
          <w:sz w:val="24"/>
        </w:rPr>
        <w:t>，技术距前沿越远，标准制定面临的路线风险与共识成本越高。由此得到协同演进方程组：</w:t>
      </w:r>
    </w:p>
    <w:p>
      <w:pPr>
        <w:tabs>
          <w:tab w:pos="4252" w:val="center"/>
          <w:tab w:pos="8504" w:val="right"/>
        </w:tabs>
        <w:spacing w:line="360" w:lineRule="auto" w:before="80" w:after="80"/>
      </w:pPr>
      <w:r>
        <w:tab/>
      </w:r>
      <m:oMath>
        <m:f>
          <m:fPr>
            <m:type m:val="bar"/>
          </m:fPr>
          <m:num>
            <m:r>
              <m:rPr>
                <m:sty m:val="p"/>
              </m:rPr>
              <m:t>d</m:t>
            </m:r>
            <m:sSub>
              <m:e>
                <m:r>
                  <m:t>T</m:t>
                </m:r>
              </m:e>
              <m:sub>
                <m:r>
                  <m:t>t</m:t>
                </m:r>
              </m:sub>
            </m:sSub>
          </m:num>
          <m:den>
            <m:r>
              <m:rPr>
                <m:sty m:val="p"/>
              </m:rPr>
              <m:t>d</m:t>
            </m:r>
            <m:r>
              <m:t>t</m:t>
            </m:r>
          </m:den>
        </m:f>
        <m:r>
          <m:rPr>
            <m:sty m:val="p"/>
          </m:rPr>
          <m:t>=</m:t>
        </m:r>
        <m:sSub>
          <m:e>
            <m:r>
              <m:t>r</m:t>
            </m:r>
          </m:e>
          <m:sub>
            <m:r>
              <m:t>T</m:t>
            </m:r>
          </m:sub>
        </m:sSub>
        <m:sSub>
          <m:e>
            <m:r>
              <m:t>T</m:t>
            </m:r>
          </m:e>
          <m:sub>
            <m:r>
              <m:t>t</m:t>
            </m:r>
          </m:sub>
        </m:sSub>
        <m:d>
          <m:dPr>
            <m:begChr m:val="("/>
            <m:sepChr m:val=""/>
            <m:endChr m:val=")"/>
            <m:grow/>
          </m:dPr>
          <m:e>
            <m:r>
              <m:t>1</m:t>
            </m:r>
            <m:r>
              <m:rPr>
                <m:sty m:val="p"/>
              </m:rPr>
              <m:t>−</m:t>
            </m:r>
            <m:f>
              <m:fPr>
                <m:type m:val="bar"/>
              </m:fPr>
              <m:num>
                <m:sSub>
                  <m:e>
                    <m:r>
                      <m:t>T</m:t>
                    </m:r>
                  </m:e>
                  <m:sub>
                    <m:r>
                      <m:t>t</m:t>
                    </m:r>
                  </m:sub>
                </m:sSub>
              </m:num>
              <m:den>
                <m:sSub>
                  <m:e>
                    <m:r>
                      <m:t>K</m:t>
                    </m:r>
                  </m:e>
                  <m:sub>
                    <m:r>
                      <m:t>T</m:t>
                    </m:r>
                  </m:sub>
                </m:sSub>
              </m:den>
            </m:f>
            <m:r>
              <m:rPr>
                <m:sty m:val="p"/>
              </m:rPr>
              <m:t>+</m:t>
            </m:r>
            <m:r>
              <m:t>β</m:t>
            </m:r>
            <m:r>
              <m:t> </m:t>
            </m:r>
            <m:f>
              <m:fPr>
                <m:type m:val="bar"/>
              </m:fPr>
              <m:num>
                <m:sSub>
                  <m:e>
                    <m:r>
                      <m:t>I</m:t>
                    </m:r>
                  </m:e>
                  <m:sub>
                    <m:r>
                      <m:t>t</m:t>
                    </m:r>
                  </m:sub>
                </m:sSub>
              </m:num>
              <m:den>
                <m:sSub>
                  <m:e>
                    <m:r>
                      <m:t>K</m:t>
                    </m:r>
                  </m:e>
                  <m:sub>
                    <m:r>
                      <m:t>I</m:t>
                    </m:r>
                  </m:sub>
                </m:sSub>
              </m:den>
            </m:f>
          </m:e>
        </m:d>
      </m:oMath>
      <w:r>
        <w:tab/>
      </w:r>
      <w:r>
        <w:rPr>
          <w:rFonts w:ascii="Times New Roman" w:hAnsi="Times New Roman" w:eastAsia="宋体"/>
          <w:sz w:val="24"/>
        </w:rPr>
        <w:t>(6-1)</w:t>
      </w:r>
    </w:p>
    <w:p>
      <w:pPr>
        <w:tabs>
          <w:tab w:pos="4252" w:val="center"/>
          <w:tab w:pos="8504" w:val="right"/>
        </w:tabs>
        <w:spacing w:line="360" w:lineRule="auto" w:before="80" w:after="80"/>
      </w:pPr>
      <w:r>
        <w:tab/>
      </w:r>
      <m:oMath>
        <m:f>
          <m:fPr>
            <m:type m:val="bar"/>
          </m:fPr>
          <m:num>
            <m:r>
              <m:rPr>
                <m:sty m:val="p"/>
              </m:rPr>
              <m:t>d</m:t>
            </m:r>
            <m:sSub>
              <m:e>
                <m:r>
                  <m:t>I</m:t>
                </m:r>
              </m:e>
              <m:sub>
                <m:r>
                  <m:t>t</m:t>
                </m:r>
              </m:sub>
            </m:sSub>
          </m:num>
          <m:den>
            <m:r>
              <m:rPr>
                <m:sty m:val="p"/>
              </m:rPr>
              <m:t>d</m:t>
            </m:r>
            <m:r>
              <m:t>t</m:t>
            </m:r>
          </m:den>
        </m:f>
        <m:r>
          <m:rPr>
            <m:sty m:val="p"/>
          </m:rPr>
          <m:t>=</m:t>
        </m:r>
        <m:sSub>
          <m:e>
            <m:r>
              <m:t>r</m:t>
            </m:r>
          </m:e>
          <m:sub>
            <m:r>
              <m:t>I</m:t>
            </m:r>
          </m:sub>
        </m:sSub>
        <m:sSub>
          <m:e>
            <m:r>
              <m:t>I</m:t>
            </m:r>
          </m:e>
          <m:sub>
            <m:r>
              <m:t>t</m:t>
            </m:r>
          </m:sub>
        </m:sSub>
        <m:d>
          <m:dPr>
            <m:begChr m:val="("/>
            <m:sepChr m:val=""/>
            <m:endChr m:val=")"/>
            <m:grow/>
          </m:dPr>
          <m:e>
            <m:r>
              <m:t>1</m:t>
            </m:r>
            <m:r>
              <m:rPr>
                <m:sty m:val="p"/>
              </m:rPr>
              <m:t>−</m:t>
            </m:r>
            <m:f>
              <m:fPr>
                <m:type m:val="bar"/>
              </m:fPr>
              <m:num>
                <m:sSub>
                  <m:e>
                    <m:r>
                      <m:t>I</m:t>
                    </m:r>
                  </m:e>
                  <m:sub>
                    <m:r>
                      <m:t>t</m:t>
                    </m:r>
                  </m:sub>
                </m:sSub>
              </m:num>
              <m:den>
                <m:sSub>
                  <m:e>
                    <m:r>
                      <m:t>K</m:t>
                    </m:r>
                  </m:e>
                  <m:sub>
                    <m:r>
                      <m:t>I</m:t>
                    </m:r>
                  </m:sub>
                </m:sSub>
              </m:den>
            </m:f>
            <m:r>
              <m:rPr>
                <m:sty m:val="p"/>
              </m:rPr>
              <m:t>+</m:t>
            </m:r>
            <m:r>
              <m:t>α</m:t>
            </m:r>
            <m:r>
              <m:t> </m:t>
            </m:r>
            <m:f>
              <m:fPr>
                <m:type m:val="bar"/>
              </m:fPr>
              <m:num>
                <m:sSub>
                  <m:e>
                    <m:r>
                      <m:t>T</m:t>
                    </m:r>
                  </m:e>
                  <m:sub>
                    <m:r>
                      <m:t>t</m:t>
                    </m:r>
                  </m:sub>
                </m:sSub>
              </m:num>
              <m:den>
                <m:sSub>
                  <m:e>
                    <m:r>
                      <m:t>K</m:t>
                    </m:r>
                  </m:e>
                  <m:sub>
                    <m:r>
                      <m:t>T</m:t>
                    </m:r>
                  </m:sub>
                </m:sSub>
              </m:den>
            </m:f>
            <m:r>
              <m:rPr>
                <m:sty m:val="p"/>
              </m:rPr>
              <m:t>−</m:t>
            </m:r>
            <m:r>
              <m:t>γ</m:t>
            </m:r>
            <m:d>
              <m:dPr>
                <m:begChr m:val="("/>
                <m:sepChr m:val=""/>
                <m:endChr m:val=")"/>
                <m:grow/>
              </m:dPr>
              <m:e>
                <m:r>
                  <m:t>1</m:t>
                </m:r>
                <m:r>
                  <m:rPr>
                    <m:sty m:val="p"/>
                  </m:rPr>
                  <m:t>−</m:t>
                </m:r>
                <m:f>
                  <m:fPr>
                    <m:type m:val="bar"/>
                  </m:fPr>
                  <m:num>
                    <m:sSub>
                      <m:e>
                        <m:r>
                          <m:t>T</m:t>
                        </m:r>
                      </m:e>
                      <m:sub>
                        <m:r>
                          <m:t>t</m:t>
                        </m:r>
                      </m:sub>
                    </m:sSub>
                  </m:num>
                  <m:den>
                    <m:sSub>
                      <m:e>
                        <m:r>
                          <m:t>K</m:t>
                        </m:r>
                      </m:e>
                      <m:sub>
                        <m:r>
                          <m:t>T</m:t>
                        </m:r>
                      </m:sub>
                    </m:sSub>
                  </m:den>
                </m:f>
              </m:e>
            </m:d>
          </m:e>
        </m:d>
      </m:oMath>
      <w:r>
        <w:tab/>
      </w:r>
      <w:r>
        <w:rPr>
          <w:rFonts w:ascii="Times New Roman" w:hAnsi="Times New Roman" w:eastAsia="宋体"/>
          <w:sz w:val="24"/>
        </w:rPr>
        <w:t>(6-2)</w:t>
      </w:r>
    </w:p>
    <w:p>
      <w:pPr>
        <w:spacing w:line="360" w:lineRule="auto" w:after="0"/>
        <w:jc w:val="both"/>
      </w:pPr>
      <w:r>
        <w:rPr>
          <w:rFonts w:ascii="宋体" w:hAnsi="宋体" w:eastAsia="宋体"/>
          <w:sz w:val="24"/>
        </w:rPr>
        <w:t>其中，</w:t>
      </w:r>
      <m:oMath>
        <m:sSub>
          <m:e>
            <m:r>
              <m:t>T</m:t>
            </m:r>
          </m:e>
          <m:sub>
            <m:r>
              <m:t>t</m:t>
            </m:r>
          </m:sub>
        </m:sSub>
      </m:oMath>
      <w:r>
        <w:rPr>
          <w:rFonts w:ascii="宋体" w:hAnsi="宋体" w:eastAsia="宋体"/>
          <w:sz w:val="24"/>
        </w:rPr>
        <w:t>、</w:t>
      </w:r>
      <m:oMath>
        <m:sSub>
          <m:e>
            <m:r>
              <m:t>I</m:t>
            </m:r>
          </m:e>
          <m:sub>
            <m:r>
              <m:t>t</m:t>
            </m:r>
          </m:sub>
        </m:sSub>
      </m:oMath>
      <w:r>
        <w:rPr>
          <w:rFonts w:ascii="宋体" w:hAnsi="宋体" w:eastAsia="宋体"/>
          <w:sz w:val="24"/>
        </w:rPr>
        <w:t>分别为第</w:t>
      </w:r>
      <m:oMath>
        <m:r>
          <m:t>t</m:t>
        </m:r>
      </m:oMath>
      <w:r>
        <w:rPr>
          <w:rFonts w:ascii="宋体" w:hAnsi="宋体" w:eastAsia="宋体"/>
          <w:sz w:val="24"/>
        </w:rPr>
        <w:t>期技术水平与制度完善度指数；</w:t>
      </w:r>
      <m:oMath>
        <m:sSub>
          <m:e>
            <m:r>
              <m:t>r</m:t>
            </m:r>
          </m:e>
          <m:sub>
            <m:r>
              <m:t>T</m:t>
            </m:r>
          </m:sub>
        </m:sSub>
        <m:r>
          <m:rPr>
            <m:sty m:val="p"/>
          </m:rPr>
          <m:t>&gt;</m:t>
        </m:r>
        <m:r>
          <m:t>0</m:t>
        </m:r>
      </m:oMath>
      <w:r>
        <w:rPr>
          <w:rFonts w:ascii="宋体" w:hAnsi="宋体" w:eastAsia="宋体"/>
          <w:sz w:val="24"/>
        </w:rPr>
        <w:t>、</w:t>
      </w:r>
      <m:oMath>
        <m:sSub>
          <m:e>
            <m:r>
              <m:t>r</m:t>
            </m:r>
          </m:e>
          <m:sub>
            <m:r>
              <m:t>I</m:t>
            </m:r>
          </m:sub>
        </m:sSub>
        <m:r>
          <m:rPr>
            <m:sty m:val="p"/>
          </m:rPr>
          <m:t>&gt;</m:t>
        </m:r>
        <m:r>
          <m:t>0</m:t>
        </m:r>
      </m:oMath>
      <w:r>
        <w:rPr>
          <w:rFonts w:ascii="宋体" w:hAnsi="宋体" w:eastAsia="宋体"/>
          <w:sz w:val="24"/>
        </w:rPr>
        <w:t>分别为技术与制度的自主增长率；</w:t>
      </w:r>
      <m:oMath>
        <m:sSub>
          <m:e>
            <m:r>
              <m:t>K</m:t>
            </m:r>
          </m:e>
          <m:sub>
            <m:r>
              <m:t>T</m:t>
            </m:r>
          </m:sub>
        </m:sSub>
      </m:oMath>
      <w:r>
        <w:rPr>
          <w:rFonts w:ascii="宋体" w:hAnsi="宋体" w:eastAsia="宋体"/>
          <w:sz w:val="24"/>
        </w:rPr>
        <w:t>、</w:t>
      </w:r>
      <m:oMath>
        <m:sSub>
          <m:e>
            <m:r>
              <m:t>K</m:t>
            </m:r>
          </m:e>
          <m:sub>
            <m:r>
              <m:t>I</m:t>
            </m:r>
          </m:sub>
        </m:sSub>
      </m:oMath>
      <w:r>
        <w:rPr>
          <w:rFonts w:ascii="宋体" w:hAnsi="宋体" w:eastAsia="宋体"/>
          <w:sz w:val="24"/>
        </w:rPr>
        <w:t>分别为现行范式下技术与制度的潜在容量，按指数构造归一化为1；</w:t>
      </w:r>
      <m:oMath>
        <m:r>
          <m:t>β</m:t>
        </m:r>
        <m:r>
          <m:rPr>
            <m:sty m:val="p"/>
          </m:rPr>
          <m:t>&gt;</m:t>
        </m:r>
        <m:r>
          <m:t>0</m:t>
        </m:r>
      </m:oMath>
      <w:r>
        <w:rPr>
          <w:rFonts w:ascii="宋体" w:hAnsi="宋体" w:eastAsia="宋体"/>
          <w:sz w:val="24"/>
        </w:rPr>
        <w:t>为制度促技术的互馈系数，</w:t>
      </w:r>
      <m:oMath>
        <m:r>
          <m:t>α</m:t>
        </m:r>
        <m:r>
          <m:rPr>
            <m:sty m:val="p"/>
          </m:rPr>
          <m:t>&gt;</m:t>
        </m:r>
        <m:r>
          <m:t>0</m:t>
        </m:r>
      </m:oMath>
      <w:r>
        <w:rPr>
          <w:rFonts w:ascii="宋体" w:hAnsi="宋体" w:eastAsia="宋体"/>
          <w:sz w:val="24"/>
        </w:rPr>
        <w:t>为技术促制度的互馈系数，</w:t>
      </w:r>
      <m:oMath>
        <m:r>
          <m:t>γ</m:t>
        </m:r>
        <m:r>
          <m:rPr>
            <m:sty m:val="p"/>
          </m:rPr>
          <m:t>∈</m:t>
        </m:r>
        <m:d>
          <m:dPr>
            <m:begChr m:val="("/>
            <m:sepChr m:val=""/>
            <m:endChr m:val=")"/>
            <m:grow/>
          </m:dPr>
          <m:e>
            <m:r>
              <m:t>0</m:t>
            </m:r>
            <m:r>
              <m:rPr>
                <m:sty m:val="p"/>
              </m:rPr>
              <m:t>,</m:t>
            </m:r>
            <m:r>
              <m:t>1</m:t>
            </m:r>
          </m:e>
        </m:d>
      </m:oMath>
      <w:r>
        <w:rPr>
          <w:rFonts w:ascii="宋体" w:hAnsi="宋体" w:eastAsia="宋体"/>
          <w:sz w:val="24"/>
        </w:rPr>
        <w:t>为技术缺口对制度供给的不确定性阻尼系数，</w:t>
      </w:r>
      <m:oMath>
        <m:r>
          <m:t>1</m:t>
        </m:r>
        <m:r>
          <m:rPr>
            <m:sty m:val="p"/>
          </m:rPr>
          <m:t>−</m:t>
        </m:r>
        <m:sSub>
          <m:e>
            <m:r>
              <m:t>T</m:t>
            </m:r>
          </m:e>
          <m:sub>
            <m:r>
              <m:t>t</m:t>
            </m:r>
          </m:sub>
        </m:sSub>
        <m:r>
          <m:rPr>
            <m:sty m:val="p"/>
          </m:rPr>
          <m:t>/</m:t>
        </m:r>
        <m:sSub>
          <m:e>
            <m:r>
              <m:t>K</m:t>
            </m:r>
          </m:e>
          <m:sub>
            <m:r>
              <m:t>T</m:t>
            </m:r>
          </m:sub>
        </m:sSub>
      </m:oMath>
      <w:r>
        <w:rPr>
          <w:rFonts w:ascii="宋体" w:hAnsi="宋体" w:eastAsia="宋体"/>
          <w:sz w:val="24"/>
        </w:rPr>
        <w:t>即技术相对前沿的缺口。</w:t>
      </w:r>
    </w:p>
    <w:p>
      <w:pPr>
        <w:spacing w:line="360" w:lineRule="auto" w:after="0"/>
        <w:ind w:firstLineChars="200" w:firstLine="480"/>
        <w:jc w:val="both"/>
      </w:pPr>
      <w:r>
        <w:rPr>
          <w:rFonts w:ascii="宋体" w:hAnsi="宋体" w:eastAsia="宋体"/>
          <w:sz w:val="24"/>
        </w:rPr>
        <w:t>各参数的经济含义值得逐一交代。</w:t>
      </w:r>
      <m:oMath>
        <m:sSub>
          <m:e>
            <m:r>
              <m:t>r</m:t>
            </m:r>
          </m:e>
          <m:sub>
            <m:r>
              <m:t>T</m:t>
            </m:r>
          </m:sub>
        </m:sSub>
      </m:oMath>
      <w:r>
        <w:rPr>
          <w:rFonts w:ascii="宋体" w:hAnsi="宋体" w:eastAsia="宋体"/>
          <w:sz w:val="24"/>
        </w:rPr>
        <w:t>刻画在既定制度环境下，由研发投入、干中学与知识溢出驱动的技术自主增长速度；</w:t>
      </w:r>
      <m:oMath>
        <m:sSub>
          <m:e>
            <m:r>
              <m:t>r</m:t>
            </m:r>
          </m:e>
          <m:sub>
            <m:r>
              <m:t>I</m:t>
            </m:r>
          </m:sub>
        </m:sSub>
      </m:oMath>
      <w:r>
        <w:rPr>
          <w:rFonts w:ascii="宋体" w:hAnsi="宋体" w:eastAsia="宋体"/>
          <w:sz w:val="24"/>
        </w:rPr>
        <w:t>刻画在既定技术条件下，由行政推动与体系建设惯性驱动的制度自主供给速度。容量参数</w:t>
      </w:r>
      <m:oMath>
        <m:sSub>
          <m:e>
            <m:r>
              <m:t>K</m:t>
            </m:r>
          </m:e>
          <m:sub>
            <m:r>
              <m:t>T</m:t>
            </m:r>
          </m:sub>
        </m:sSub>
      </m:oMath>
      <w:r>
        <w:rPr>
          <w:rFonts w:ascii="宋体" w:hAnsi="宋体" w:eastAsia="宋体"/>
          <w:sz w:val="24"/>
        </w:rPr>
        <w:t>、</w:t>
      </w:r>
      <m:oMath>
        <m:sSub>
          <m:e>
            <m:r>
              <m:t>K</m:t>
            </m:r>
          </m:e>
          <m:sub>
            <m:r>
              <m:t>I</m:t>
            </m:r>
          </m:sub>
        </m:sSub>
      </m:oMath>
      <w:r>
        <w:rPr>
          <w:rFonts w:ascii="宋体" w:hAnsi="宋体" w:eastAsia="宋体"/>
          <w:sz w:val="24"/>
        </w:rPr>
        <w:t>并非绝对上限，而是现行技术范式与治理架构下的潜在水平：范式革命或治理变革可以外生地抬升容量，但在样本期内将其视为常数是合理近似。三个互馈参数是模型的灵魂：</w:t>
      </w:r>
      <m:oMath>
        <m:r>
          <m:t>β</m:t>
        </m:r>
      </m:oMath>
      <w:r>
        <w:rPr>
          <w:rFonts w:ascii="宋体" w:hAnsi="宋体" w:eastAsia="宋体"/>
          <w:sz w:val="24"/>
        </w:rPr>
        <w:t>度量制度完善度每提高一个单位（相对容量）所带来的技术增长率增量，对应6.1.2节的预期稳定、网络协调与竞争筛选机制；</w:t>
      </w:r>
      <m:oMath>
        <m:r>
          <m:t>α</m:t>
        </m:r>
      </m:oMath>
      <w:r>
        <w:rPr>
          <w:rFonts w:ascii="宋体" w:hAnsi="宋体" w:eastAsia="宋体"/>
          <w:sz w:val="24"/>
        </w:rPr>
        <w:t>度量技术成熟度每提高一个单位所带来的制度供给增长率增量，对应6.1.1节的知识编码机制；</w:t>
      </w:r>
      <m:oMath>
        <m:r>
          <m:t>γ</m:t>
        </m:r>
      </m:oMath>
      <w:r>
        <w:rPr>
          <w:rFonts w:ascii="宋体" w:hAnsi="宋体" w:eastAsia="宋体"/>
          <w:sz w:val="24"/>
        </w:rPr>
        <w:t>则以“负增长率”的形式刻画技术不成熟对标准制定的抑制——当</w:t>
      </w:r>
      <m:oMath>
        <m:sSub>
          <m:e>
            <m:r>
              <m:t>T</m:t>
            </m:r>
          </m:e>
          <m:sub>
            <m:r>
              <m:t>t</m:t>
            </m:r>
          </m:sub>
        </m:sSub>
      </m:oMath>
      <w:r>
        <w:rPr>
          <w:rFonts w:ascii="宋体" w:hAnsi="宋体" w:eastAsia="宋体"/>
          <w:sz w:val="24"/>
        </w:rPr>
        <w:t>远低于</w:t>
      </w:r>
      <m:oMath>
        <m:sSub>
          <m:e>
            <m:r>
              <m:t>K</m:t>
            </m:r>
          </m:e>
          <m:sub>
            <m:r>
              <m:t>T</m:t>
            </m:r>
          </m:sub>
        </m:sSub>
      </m:oMath>
      <w:r>
        <w:rPr>
          <w:rFonts w:ascii="宋体" w:hAnsi="宋体" w:eastAsia="宋体"/>
          <w:sz w:val="24"/>
        </w:rPr>
        <w:t>时，阻尼项</w:t>
      </w:r>
      <m:oMath>
        <m:r>
          <m:t>γ</m:t>
        </m:r>
        <m:d>
          <m:dPr>
            <m:begChr m:val="("/>
            <m:sepChr m:val=""/>
            <m:endChr m:val=")"/>
            <m:grow/>
          </m:dPr>
          <m:e>
            <m:r>
              <m:t>1</m:t>
            </m:r>
            <m:r>
              <m:rPr>
                <m:sty m:val="p"/>
              </m:rPr>
              <m:t>−</m:t>
            </m:r>
            <m:sSub>
              <m:e>
                <m:r>
                  <m:t>T</m:t>
                </m:r>
              </m:e>
              <m:sub>
                <m:r>
                  <m:t>t</m:t>
                </m:r>
              </m:sub>
            </m:sSub>
            <m:r>
              <m:rPr>
                <m:sty m:val="p"/>
              </m:rPr>
              <m:t>/</m:t>
            </m:r>
            <m:sSub>
              <m:e>
                <m:r>
                  <m:t>K</m:t>
                </m:r>
              </m:e>
              <m:sub>
                <m:r>
                  <m:t>T</m:t>
                </m:r>
              </m:sub>
            </m:sSub>
          </m:e>
        </m:d>
      </m:oMath>
      <w:r>
        <w:rPr>
          <w:rFonts w:ascii="宋体" w:hAnsi="宋体" w:eastAsia="宋体"/>
          <w:sz w:val="24"/>
        </w:rPr>
        <w:t>显著拖累制度增长，而当技术逼近前沿时阻尼自动消失。</w:t>
      </w:r>
    </w:p>
    <w:p>
      <w:pPr>
        <w:spacing w:line="360" w:lineRule="auto" w:after="0"/>
        <w:ind w:firstLineChars="200" w:firstLine="480"/>
        <w:jc w:val="both"/>
      </w:pPr>
      <w:r>
        <w:rPr>
          <w:rFonts w:ascii="宋体" w:hAnsi="宋体" w:eastAsia="宋体"/>
          <w:sz w:val="24"/>
        </w:rPr>
        <w:t>设定上有三点讨论。第一，互馈项进入增长率而非水平，意味着技术与制度的相互作用是乘数性的：互馈改变的是对方的演化速度，其累积效应随时间复合放大，这正是“协同”区别于简单加总的关键。第二，互馈采用线性形式，可视为一般非线性互馈函数在样本区间内的一阶近似；估计结果显示线性设定的拟合优度已相当高（见6.4节），更高阶项的边际解释力有限。第三，阻尼项在</w:t>
      </w:r>
      <m:oMath>
        <m:sSub>
          <m:e>
            <m:r>
              <m:t>T</m:t>
            </m:r>
          </m:e>
          <m:sub>
            <m:r>
              <m:t>t</m:t>
            </m:r>
          </m:sub>
        </m:sSub>
        <m:r>
          <m:rPr>
            <m:sty m:val="p"/>
          </m:rPr>
          <m:t>&gt;</m:t>
        </m:r>
        <m:sSub>
          <m:e>
            <m:r>
              <m:t>K</m:t>
            </m:r>
          </m:e>
          <m:sub>
            <m:r>
              <m:t>T</m:t>
            </m:r>
          </m:sub>
        </m:sSub>
      </m:oMath>
      <w:r>
        <w:rPr>
          <w:rFonts w:ascii="宋体" w:hAnsi="宋体" w:eastAsia="宋体"/>
          <w:sz w:val="24"/>
        </w:rPr>
        <w:t>时变号为正，经济含义同样自然：当技术突破既有范式前沿时，超前技术会“倒逼”制度加速跟进——近年新能源、储能等领域技术迭代倒逼标准快速制修订的现象即为例证（Foucart和Li，2021）。</w:t>
      </w:r>
    </w:p>
    <w:p>
      <w:pPr>
        <w:keepNext/>
        <w:spacing w:before="160" w:after="120" w:line="360" w:lineRule="auto"/>
        <w:outlineLvl w:val="2"/>
      </w:pPr>
      <w:r>
        <w:rPr>
          <w:rFonts w:ascii="黑体" w:hAnsi="黑体" w:eastAsia="黑体"/>
          <w:sz w:val="24"/>
        </w:rPr>
        <w:t>6.2.3  标准体系水平的合成表达</w:t>
      </w:r>
    </w:p>
    <w:p>
      <w:pPr>
        <w:spacing w:line="360" w:lineRule="auto" w:after="0"/>
        <w:ind w:firstLineChars="200" w:firstLine="480"/>
        <w:jc w:val="both"/>
      </w:pPr>
      <w:r>
        <w:rPr>
          <w:rFonts w:ascii="宋体" w:hAnsi="宋体" w:eastAsia="宋体"/>
          <w:sz w:val="24"/>
        </w:rPr>
        <w:t>技术与制度是标准体系有效性的两大支柱：只有技术内容先进而制度约束松弛，或者制度文本完备而技术基础空虚，标准体系都无法真正发挥作用。本章以Cobb-Douglas形式将二者合成为标准体系综合水平：</w:t>
      </w:r>
    </w:p>
    <w:p>
      <w:pPr>
        <w:tabs>
          <w:tab w:pos="4252" w:val="center"/>
          <w:tab w:pos="8504" w:val="right"/>
        </w:tabs>
        <w:spacing w:line="360" w:lineRule="auto" w:before="80" w:after="80"/>
      </w:pPr>
      <w:r>
        <w:tab/>
      </w:r>
      <m:oMath>
        <m:sSub>
          <m:e>
            <m:r>
              <m:t>S</m:t>
            </m:r>
          </m:e>
          <m:sub>
            <m:r>
              <m:t>t</m:t>
            </m:r>
          </m:sub>
        </m:sSub>
        <m:r>
          <m:rPr>
            <m:sty m:val="p"/>
          </m:rPr>
          <m:t>=</m:t>
        </m:r>
        <m:sSubSup>
          <m:e>
            <m:r>
              <m:t>T</m:t>
            </m:r>
          </m:e>
          <m:sub>
            <m:r>
              <m:t>t</m:t>
            </m:r>
          </m:sub>
          <m:sup>
            <m:r>
              <m:t>ω</m:t>
            </m:r>
          </m:sup>
        </m:sSubSup>
        <m:r>
          <m:t> </m:t>
        </m:r>
        <m:sSubSup>
          <m:e>
            <m:r>
              <m:t>I</m:t>
            </m:r>
          </m:e>
          <m:sub>
            <m:r>
              <m:t>t</m:t>
            </m:r>
          </m:sub>
          <m:sup>
            <m:r>
              <m:t>1</m:t>
            </m:r>
            <m:r>
              <m:rPr>
                <m:sty m:val="p"/>
              </m:rPr>
              <m:t>−</m:t>
            </m:r>
            <m:r>
              <m:t>ω</m:t>
            </m:r>
          </m:sup>
        </m:sSubSup>
        <m:r>
          <m:rPr>
            <m:sty m:val="p"/>
          </m:rPr>
          <m:t>,</m:t>
        </m:r>
        <m:r>
          <m:t>  </m:t>
        </m:r>
        <m:r>
          <m:t>0</m:t>
        </m:r>
        <m:r>
          <m:rPr>
            <m:sty m:val="p"/>
          </m:rPr>
          <m:t>&lt;</m:t>
        </m:r>
        <m:r>
          <m:t>ω</m:t>
        </m:r>
        <m:r>
          <m:rPr>
            <m:sty m:val="p"/>
          </m:rPr>
          <m:t>&lt;</m:t>
        </m:r>
        <m:r>
          <m:t>1</m:t>
        </m:r>
      </m:oMath>
      <w:r>
        <w:tab/>
      </w:r>
      <w:r>
        <w:rPr>
          <w:rFonts w:ascii="Times New Roman" w:hAnsi="Times New Roman" w:eastAsia="宋体"/>
          <w:sz w:val="24"/>
        </w:rPr>
        <w:t>(6-3)</w:t>
      </w:r>
    </w:p>
    <w:p>
      <w:pPr>
        <w:spacing w:line="360" w:lineRule="auto" w:after="0"/>
        <w:jc w:val="both"/>
      </w:pPr>
      <w:r>
        <w:rPr>
          <w:rFonts w:ascii="宋体" w:hAnsi="宋体" w:eastAsia="宋体"/>
          <w:sz w:val="24"/>
        </w:rPr>
        <w:t>其中，</w:t>
      </w:r>
      <m:oMath>
        <m:sSub>
          <m:e>
            <m:r>
              <m:t>S</m:t>
            </m:r>
          </m:e>
          <m:sub>
            <m:r>
              <m:t>t</m:t>
            </m:r>
          </m:sub>
        </m:sSub>
      </m:oMath>
      <w:r>
        <w:rPr>
          <w:rFonts w:ascii="宋体" w:hAnsi="宋体" w:eastAsia="宋体"/>
          <w:sz w:val="24"/>
        </w:rPr>
        <w:t>为标准体系综合水平，</w:t>
      </w:r>
      <m:oMath>
        <m:r>
          <m:t>ω</m:t>
        </m:r>
      </m:oMath>
      <w:r>
        <w:rPr>
          <w:rFonts w:ascii="宋体" w:hAnsi="宋体" w:eastAsia="宋体"/>
          <w:sz w:val="24"/>
        </w:rPr>
        <w:t>为技术驱动弹性，</w:t>
      </w:r>
      <m:oMath>
        <m:r>
          <m:t>1</m:t>
        </m:r>
        <m:r>
          <m:rPr>
            <m:sty m:val="p"/>
          </m:rPr>
          <m:t>−</m:t>
        </m:r>
        <m:r>
          <m:t>ω</m:t>
        </m:r>
      </m:oMath>
      <w:r>
        <w:rPr>
          <w:rFonts w:ascii="宋体" w:hAnsi="宋体" w:eastAsia="宋体"/>
          <w:sz w:val="24"/>
        </w:rPr>
        <w:t>为制度驱动弹性，二者分别度量技术水平与制度完善度每增长1%所带动的标准体系水平增长百分比。</w:t>
      </w:r>
    </w:p>
    <w:p>
      <w:pPr>
        <w:spacing w:line="360" w:lineRule="auto" w:after="0"/>
        <w:ind w:firstLineChars="200" w:firstLine="480"/>
        <w:jc w:val="both"/>
      </w:pPr>
      <w:r>
        <w:rPr>
          <w:rFonts w:ascii="宋体" w:hAnsi="宋体" w:eastAsia="宋体"/>
          <w:sz w:val="24"/>
        </w:rPr>
        <w:t>选择几何加权而非算术加权，是因为其三条性质恰好对应标准体系的运行逻辑。其一是强互补性：任一投入为零则</w:t>
      </w:r>
      <m:oMath>
        <m:sSub>
          <m:e>
            <m:r>
              <m:t>S</m:t>
            </m:r>
          </m:e>
          <m:sub>
            <m:r>
              <m:t>t</m:t>
            </m:r>
          </m:sub>
        </m:sSub>
        <m:r>
          <m:rPr>
            <m:sty m:val="p"/>
          </m:rPr>
          <m:t>=</m:t>
        </m:r>
        <m:r>
          <m:t>0</m:t>
        </m:r>
      </m:oMath>
      <w:r>
        <w:rPr>
          <w:rFonts w:ascii="宋体" w:hAnsi="宋体" w:eastAsia="宋体"/>
          <w:sz w:val="24"/>
        </w:rPr>
        <w:t>，技术与制度互为必要条件，不可相互替代至极端；其二是边际报酬递减：在制度既定时单纯堆积技术（或相反）对体系水平的边际贡献递减，均衡发展优于单兵突进；其三是对数线性：</w:t>
      </w:r>
      <m:oMath>
        <m:r>
          <m:rPr>
            <m:sty m:val="p"/>
          </m:rPr>
          <m:t>ln</m:t>
        </m:r>
        <m:sSub>
          <m:e>
            <m:r>
              <m:t>S</m:t>
            </m:r>
          </m:e>
          <m:sub>
            <m:r>
              <m:t>t</m:t>
            </m:r>
          </m:sub>
        </m:sSub>
        <m:r>
          <m:rPr>
            <m:sty m:val="p"/>
          </m:rPr>
          <m:t>=</m:t>
        </m:r>
        <m:r>
          <m:t>ω</m:t>
        </m:r>
        <m:r>
          <m:rPr>
            <m:sty m:val="p"/>
          </m:rPr>
          <m:t>ln</m:t>
        </m:r>
        <m:sSub>
          <m:e>
            <m:r>
              <m:t>T</m:t>
            </m:r>
          </m:e>
          <m:sub>
            <m:r>
              <m:t>t</m:t>
            </m:r>
          </m:sub>
        </m:sSub>
        <m:r>
          <m:rPr>
            <m:sty m:val="p"/>
          </m:rPr>
          <m:t>+</m:t>
        </m:r>
        <m:d>
          <m:dPr>
            <m:begChr m:val="("/>
            <m:sepChr m:val=""/>
            <m:endChr m:val=")"/>
            <m:grow/>
          </m:dPr>
          <m:e>
            <m:r>
              <m:t>1</m:t>
            </m:r>
            <m:r>
              <m:rPr>
                <m:sty m:val="p"/>
              </m:rPr>
              <m:t>−</m:t>
            </m:r>
            <m:r>
              <m:t>ω</m:t>
            </m:r>
          </m:e>
        </m:d>
        <m:r>
          <m:rPr>
            <m:sty m:val="p"/>
          </m:rPr>
          <m:t>ln</m:t>
        </m:r>
        <m:sSub>
          <m:e>
            <m:r>
              <m:t>I</m:t>
            </m:r>
          </m:e>
          <m:sub>
            <m:r>
              <m:t>t</m:t>
            </m:r>
          </m:sub>
        </m:sSub>
      </m:oMath>
      <w:r>
        <w:rPr>
          <w:rFonts w:ascii="宋体" w:hAnsi="宋体" w:eastAsia="宋体"/>
          <w:sz w:val="24"/>
        </w:rPr>
        <w:t>，便于以回归方法估计</w:t>
      </w:r>
      <m:oMath>
        <m:r>
          <m:t>ω</m:t>
        </m:r>
      </m:oMath>
      <w:r>
        <w:rPr>
          <w:rFonts w:ascii="宋体" w:hAnsi="宋体" w:eastAsia="宋体"/>
          <w:sz w:val="24"/>
        </w:rPr>
        <w:t>并考察其时变（见6.6节）。按2020—2025年阶段的弹性估计值计算，2025年标准体系综合水平约为0.692，与第4章加权供给指数的量级和走势相互印证。需要说明的是，式(6-3)的</w:t>
      </w:r>
      <m:oMath>
        <m:sSub>
          <m:e>
            <m:r>
              <m:t>S</m:t>
            </m:r>
          </m:e>
          <m:sub>
            <m:r>
              <m:t>t</m:t>
            </m:r>
          </m:sub>
        </m:sSub>
      </m:oMath>
      <w:r>
        <w:rPr>
          <w:rFonts w:ascii="宋体" w:hAnsi="宋体" w:eastAsia="宋体"/>
          <w:sz w:val="24"/>
        </w:rPr>
        <w:t>是技术—制度双支柱意义上的体系水平，与第5章按五类标准平均的状态指数口径不同，二者从不同侧面刻画同一体系，不宜直接比较绝对数值。</w:t>
      </w:r>
    </w:p>
    <w:p>
      <w:pPr>
        <w:keepNext/>
        <w:spacing w:before="160" w:after="120" w:line="360" w:lineRule="auto"/>
        <w:outlineLvl w:val="1"/>
      </w:pPr>
      <w:r>
        <w:rPr>
          <w:rFonts w:ascii="黑体" w:hAnsi="黑体" w:eastAsia="黑体"/>
          <w:sz w:val="28"/>
        </w:rPr>
        <w:t>6.3  平衡点与稳定性分析</w:t>
      </w:r>
    </w:p>
    <w:p>
      <w:pPr>
        <w:keepNext/>
        <w:spacing w:before="160" w:after="120" w:line="360" w:lineRule="auto"/>
        <w:outlineLvl w:val="2"/>
      </w:pPr>
      <w:r>
        <w:rPr>
          <w:rFonts w:ascii="黑体" w:hAnsi="黑体" w:eastAsia="黑体"/>
          <w:sz w:val="24"/>
        </w:rPr>
        <w:t>6.3.1  平衡点求解</w:t>
      </w:r>
    </w:p>
    <w:p>
      <w:pPr>
        <w:spacing w:line="360" w:lineRule="auto" w:after="0"/>
        <w:ind w:firstLineChars="200" w:firstLine="480"/>
        <w:jc w:val="both"/>
      </w:pPr>
      <w:r>
        <w:rPr>
          <w:rFonts w:ascii="宋体" w:hAnsi="宋体" w:eastAsia="宋体"/>
          <w:sz w:val="24"/>
        </w:rPr>
        <w:t>平衡点是系统的零增长状态。令式(6-1)与式(6-2)右端同时为零：</w:t>
      </w:r>
    </w:p>
    <w:p>
      <w:pPr>
        <w:tabs>
          <w:tab w:pos="4252" w:val="center"/>
          <w:tab w:pos="8504" w:val="right"/>
        </w:tabs>
        <w:spacing w:line="360" w:lineRule="auto" w:before="80" w:after="80"/>
      </w:pPr>
      <w:r>
        <w:tab/>
      </w:r>
      <m:oMath>
        <m:sSub>
          <m:e>
            <m:r>
              <m:t>r</m:t>
            </m:r>
          </m:e>
          <m:sub>
            <m:r>
              <m:t>T</m:t>
            </m:r>
          </m:sub>
        </m:sSub>
        <m:r>
          <m:t>T</m:t>
        </m:r>
        <m:d>
          <m:dPr>
            <m:begChr m:val="("/>
            <m:sepChr m:val=""/>
            <m:endChr m:val=")"/>
            <m:grow/>
          </m:dPr>
          <m:e>
            <m:r>
              <m:t>1</m:t>
            </m:r>
            <m:r>
              <m:rPr>
                <m:sty m:val="p"/>
              </m:rPr>
              <m:t>−</m:t>
            </m:r>
            <m:f>
              <m:fPr>
                <m:type m:val="bar"/>
              </m:fPr>
              <m:num>
                <m:r>
                  <m:t>T</m:t>
                </m:r>
              </m:num>
              <m:den>
                <m:sSub>
                  <m:e>
                    <m:r>
                      <m:t>K</m:t>
                    </m:r>
                  </m:e>
                  <m:sub>
                    <m:r>
                      <m:t>T</m:t>
                    </m:r>
                  </m:sub>
                </m:sSub>
              </m:den>
            </m:f>
            <m:r>
              <m:rPr>
                <m:sty m:val="p"/>
              </m:rPr>
              <m:t>+</m:t>
            </m:r>
            <m:r>
              <m:t>β</m:t>
            </m:r>
            <m:f>
              <m:fPr>
                <m:type m:val="bar"/>
              </m:fPr>
              <m:num>
                <m:r>
                  <m:t>I</m:t>
                </m:r>
              </m:num>
              <m:den>
                <m:sSub>
                  <m:e>
                    <m:r>
                      <m:t>K</m:t>
                    </m:r>
                  </m:e>
                  <m:sub>
                    <m:r>
                      <m:t>I</m:t>
                    </m:r>
                  </m:sub>
                </m:sSub>
              </m:den>
            </m:f>
          </m:e>
        </m:d>
        <m:r>
          <m:rPr>
            <m:sty m:val="p"/>
          </m:rPr>
          <m:t>=</m:t>
        </m:r>
        <m:r>
          <m:t>0</m:t>
        </m:r>
        <m:r>
          <m:rPr>
            <m:sty m:val="p"/>
          </m:rPr>
          <m:t>,</m:t>
        </m:r>
        <m:r>
          <m:t>  </m:t>
        </m:r>
        <m:sSub>
          <m:e>
            <m:r>
              <m:t>r</m:t>
            </m:r>
          </m:e>
          <m:sub>
            <m:r>
              <m:t>I</m:t>
            </m:r>
          </m:sub>
        </m:sSub>
        <m:r>
          <m:t>I</m:t>
        </m:r>
        <m:d>
          <m:dPr>
            <m:begChr m:val="("/>
            <m:sepChr m:val=""/>
            <m:endChr m:val=")"/>
            <m:grow/>
          </m:dPr>
          <m:e>
            <m:r>
              <m:t>1</m:t>
            </m:r>
            <m:r>
              <m:rPr>
                <m:sty m:val="p"/>
              </m:rPr>
              <m:t>−</m:t>
            </m:r>
            <m:f>
              <m:fPr>
                <m:type m:val="bar"/>
              </m:fPr>
              <m:num>
                <m:r>
                  <m:t>I</m:t>
                </m:r>
              </m:num>
              <m:den>
                <m:sSub>
                  <m:e>
                    <m:r>
                      <m:t>K</m:t>
                    </m:r>
                  </m:e>
                  <m:sub>
                    <m:r>
                      <m:t>I</m:t>
                    </m:r>
                  </m:sub>
                </m:sSub>
              </m:den>
            </m:f>
            <m:r>
              <m:rPr>
                <m:sty m:val="p"/>
              </m:rPr>
              <m:t>+</m:t>
            </m:r>
            <m:r>
              <m:t>α</m:t>
            </m:r>
            <m:f>
              <m:fPr>
                <m:type m:val="bar"/>
              </m:fPr>
              <m:num>
                <m:r>
                  <m:t>T</m:t>
                </m:r>
              </m:num>
              <m:den>
                <m:sSub>
                  <m:e>
                    <m:r>
                      <m:t>K</m:t>
                    </m:r>
                  </m:e>
                  <m:sub>
                    <m:r>
                      <m:t>T</m:t>
                    </m:r>
                  </m:sub>
                </m:sSub>
              </m:den>
            </m:f>
            <m:r>
              <m:rPr>
                <m:sty m:val="p"/>
              </m:rPr>
              <m:t>−</m:t>
            </m:r>
            <m:r>
              <m:t>γ</m:t>
            </m:r>
            <m:d>
              <m:dPr>
                <m:begChr m:val="("/>
                <m:sepChr m:val=""/>
                <m:endChr m:val=")"/>
                <m:grow/>
              </m:dPr>
              <m:e>
                <m:r>
                  <m:t>1</m:t>
                </m:r>
                <m:r>
                  <m:rPr>
                    <m:sty m:val="p"/>
                  </m:rPr>
                  <m:t>−</m:t>
                </m:r>
                <m:f>
                  <m:fPr>
                    <m:type m:val="bar"/>
                  </m:fPr>
                  <m:num>
                    <m:r>
                      <m:t>T</m:t>
                    </m:r>
                  </m:num>
                  <m:den>
                    <m:sSub>
                      <m:e>
                        <m:r>
                          <m:t>K</m:t>
                        </m:r>
                      </m:e>
                      <m:sub>
                        <m:r>
                          <m:t>T</m:t>
                        </m:r>
                      </m:sub>
                    </m:sSub>
                  </m:den>
                </m:f>
              </m:e>
            </m:d>
          </m:e>
        </m:d>
        <m:r>
          <m:rPr>
            <m:sty m:val="p"/>
          </m:rPr>
          <m:t>=</m:t>
        </m:r>
        <m:r>
          <m:t>0</m:t>
        </m:r>
      </m:oMath>
      <w:r>
        <w:tab/>
      </w:r>
      <w:r>
        <w:rPr>
          <w:rFonts w:ascii="Times New Roman" w:hAnsi="Times New Roman" w:eastAsia="宋体"/>
          <w:sz w:val="24"/>
        </w:rPr>
        <w:t>(6-4)</w:t>
      </w:r>
    </w:p>
    <w:p>
      <w:pPr>
        <w:spacing w:line="360" w:lineRule="auto" w:after="0"/>
        <w:ind w:firstLineChars="200" w:firstLine="480"/>
        <w:jc w:val="both"/>
      </w:pPr>
      <w:r>
        <w:rPr>
          <w:rFonts w:ascii="宋体" w:hAnsi="宋体" w:eastAsia="宋体"/>
          <w:sz w:val="24"/>
        </w:rPr>
        <w:t>每个方程的零点或来自状态变量本身为零，或来自括号内的有效增长率为零，组合起来共得到四个经济上可解释的平衡点。第一个是原点</w:t>
      </w:r>
      <m:oMath>
        <m:sSub>
          <m:e>
            <m:r>
              <m:t>E</m:t>
            </m:r>
          </m:e>
          <m:sub>
            <m:r>
              <m:t>0</m:t>
            </m:r>
          </m:sub>
        </m:sSub>
        <m:r>
          <m:rPr>
            <m:sty m:val="p"/>
          </m:rPr>
          <m:t>=</m:t>
        </m:r>
        <m:d>
          <m:dPr>
            <m:begChr m:val="("/>
            <m:sepChr m:val=""/>
            <m:endChr m:val=")"/>
            <m:grow/>
          </m:dPr>
          <m:e>
            <m:r>
              <m:t>0</m:t>
            </m:r>
            <m:r>
              <m:rPr>
                <m:sty m:val="p"/>
              </m:rPr>
              <m:t>,</m:t>
            </m:r>
            <m:r>
              <m:t>0</m:t>
            </m:r>
          </m:e>
        </m:d>
      </m:oMath>
      <w:r>
        <w:rPr>
          <w:rFonts w:ascii="宋体" w:hAnsi="宋体" w:eastAsia="宋体"/>
          <w:sz w:val="24"/>
        </w:rPr>
        <w:t>，技术与制度双双缺失的“双低”状态。第二个是纯技术均衡</w:t>
      </w:r>
      <m:oMath>
        <m:sSub>
          <m:e>
            <m:r>
              <m:t>E</m:t>
            </m:r>
          </m:e>
          <m:sub>
            <m:r>
              <m:t>1</m:t>
            </m:r>
          </m:sub>
        </m:sSub>
        <m:r>
          <m:rPr>
            <m:sty m:val="p"/>
          </m:rPr>
          <m:t>=</m:t>
        </m:r>
        <m:d>
          <m:dPr>
            <m:begChr m:val="("/>
            <m:sepChr m:val=""/>
            <m:endChr m:val=")"/>
            <m:grow/>
          </m:dPr>
          <m:e>
            <m:sSub>
              <m:e>
                <m:r>
                  <m:t>K</m:t>
                </m:r>
              </m:e>
              <m:sub>
                <m:r>
                  <m:t>T</m:t>
                </m:r>
              </m:sub>
            </m:sSub>
            <m:r>
              <m:rPr>
                <m:sty m:val="p"/>
              </m:rPr>
              <m:t>,</m:t>
            </m:r>
            <m:r>
              <m:t>0</m:t>
            </m:r>
          </m:e>
        </m:d>
      </m:oMath>
      <w:r>
        <w:rPr>
          <w:rFonts w:ascii="宋体" w:hAnsi="宋体" w:eastAsia="宋体"/>
          <w:sz w:val="24"/>
        </w:rPr>
        <w:t>：制度完全缺位时，技术依靠自主增长达到范式容量</w:t>
      </w:r>
      <m:oMath>
        <m:sSub>
          <m:e>
            <m:r>
              <m:t>K</m:t>
            </m:r>
          </m:e>
          <m:sub>
            <m:r>
              <m:t>T</m:t>
            </m:r>
          </m:sub>
        </m:sSub>
      </m:oMath>
      <w:r>
        <w:rPr>
          <w:rFonts w:ascii="宋体" w:hAnsi="宋体" w:eastAsia="宋体"/>
          <w:sz w:val="24"/>
        </w:rPr>
        <w:t>，但得不到制度互馈的任何加成。第三个是纯制度均衡：令</w:t>
      </w:r>
      <m:oMath>
        <m:r>
          <m:t>T</m:t>
        </m:r>
        <m:r>
          <m:rPr>
            <m:sty m:val="p"/>
          </m:rPr>
          <m:t>=</m:t>
        </m:r>
        <m:r>
          <m:t>0</m:t>
        </m:r>
      </m:oMath>
      <w:r>
        <w:rPr>
          <w:rFonts w:ascii="宋体" w:hAnsi="宋体" w:eastAsia="宋体"/>
          <w:sz w:val="24"/>
        </w:rPr>
        <w:t>，式(6-4)第二式的括号项变为</w:t>
      </w:r>
      <m:oMath>
        <m:r>
          <m:t>1</m:t>
        </m:r>
        <m:r>
          <m:rPr>
            <m:sty m:val="p"/>
          </m:rPr>
          <m:t>−</m:t>
        </m:r>
        <m:r>
          <m:t>I</m:t>
        </m:r>
        <m:r>
          <m:rPr>
            <m:sty m:val="p"/>
          </m:rPr>
          <m:t>/</m:t>
        </m:r>
        <m:sSub>
          <m:e>
            <m:r>
              <m:t>K</m:t>
            </m:r>
          </m:e>
          <m:sub>
            <m:r>
              <m:t>I</m:t>
            </m:r>
          </m:sub>
        </m:sSub>
        <m:r>
          <m:rPr>
            <m:sty m:val="p"/>
          </m:rPr>
          <m:t>−</m:t>
        </m:r>
        <m:r>
          <m:t>γ</m:t>
        </m:r>
        <m:r>
          <m:rPr>
            <m:sty m:val="p"/>
          </m:rPr>
          <m:t>=</m:t>
        </m:r>
        <m:r>
          <m:t>0</m:t>
        </m:r>
      </m:oMath>
      <w:r>
        <w:rPr>
          <w:rFonts w:ascii="宋体" w:hAnsi="宋体" w:eastAsia="宋体"/>
          <w:sz w:val="24"/>
        </w:rPr>
        <w:t>，解得</w:t>
      </w:r>
    </w:p>
    <w:p>
      <w:pPr>
        <w:tabs>
          <w:tab w:pos="4252" w:val="center"/>
          <w:tab w:pos="8504" w:val="right"/>
        </w:tabs>
        <w:spacing w:line="360" w:lineRule="auto" w:before="80" w:after="80"/>
      </w:pPr>
      <w:r>
        <w:tab/>
      </w:r>
      <m:oMath>
        <m:sSub>
          <m:e>
            <m:r>
              <m:t>E</m:t>
            </m:r>
          </m:e>
          <m:sub>
            <m:r>
              <m:t>2</m:t>
            </m:r>
          </m:sub>
        </m:sSub>
        <m:r>
          <m:rPr>
            <m:sty m:val="p"/>
          </m:rPr>
          <m:t>=</m:t>
        </m:r>
        <m:d>
          <m:dPr>
            <m:begChr m:val="("/>
            <m:sepChr m:val=""/>
            <m:endChr m:val=")"/>
            <m:grow/>
          </m:dPr>
          <m:e>
            <m:r>
              <m:t>0</m:t>
            </m:r>
            <m:r>
              <m:rPr>
                <m:sty m:val="p"/>
              </m:rPr>
              <m:t>,</m:t>
            </m:r>
            <m:r>
              <m:t> </m:t>
            </m:r>
            <m:sSubSup>
              <m:e>
                <m:r>
                  <m:t>K</m:t>
                </m:r>
              </m:e>
              <m:sub>
                <m:r>
                  <m:t>I</m:t>
                </m:r>
              </m:sub>
              <m:sup>
                <m:r>
                  <m:rPr>
                    <m:sty m:val="p"/>
                  </m:rPr>
                  <m:t>*</m:t>
                </m:r>
              </m:sup>
            </m:sSubSup>
          </m:e>
        </m:d>
        <m:r>
          <m:rPr>
            <m:sty m:val="p"/>
          </m:rPr>
          <m:t>,</m:t>
        </m:r>
        <m:r>
          <m:t>  </m:t>
        </m:r>
        <m:sSubSup>
          <m:e>
            <m:r>
              <m:t>K</m:t>
            </m:r>
          </m:e>
          <m:sub>
            <m:r>
              <m:t>I</m:t>
            </m:r>
          </m:sub>
          <m:sup>
            <m:r>
              <m:rPr>
                <m:sty m:val="p"/>
              </m:rPr>
              <m:t>*</m:t>
            </m:r>
          </m:sup>
        </m:sSubSup>
        <m:r>
          <m:rPr>
            <m:sty m:val="p"/>
          </m:rPr>
          <m:t>=</m:t>
        </m:r>
        <m:d>
          <m:dPr>
            <m:begChr m:val="("/>
            <m:sepChr m:val=""/>
            <m:endChr m:val=")"/>
            <m:grow/>
          </m:dPr>
          <m:e>
            <m:r>
              <m:t>1</m:t>
            </m:r>
            <m:r>
              <m:rPr>
                <m:sty m:val="p"/>
              </m:rPr>
              <m:t>−</m:t>
            </m:r>
            <m:r>
              <m:t>γ</m:t>
            </m:r>
          </m:e>
        </m:d>
        <m:sSub>
          <m:e>
            <m:r>
              <m:t>K</m:t>
            </m:r>
          </m:e>
          <m:sub>
            <m:r>
              <m:t>I</m:t>
            </m:r>
          </m:sub>
        </m:sSub>
      </m:oMath>
      <w:r>
        <w:tab/>
      </w:r>
      <w:r>
        <w:rPr>
          <w:rFonts w:ascii="Times New Roman" w:hAnsi="Times New Roman" w:eastAsia="宋体"/>
          <w:sz w:val="24"/>
        </w:rPr>
        <w:t>(6-5)</w:t>
      </w:r>
    </w:p>
    <w:p>
      <w:pPr>
        <w:spacing w:line="360" w:lineRule="auto" w:after="0"/>
        <w:jc w:val="both"/>
      </w:pPr>
      <w:r>
        <w:rPr>
          <w:rFonts w:ascii="宋体" w:hAnsi="宋体" w:eastAsia="宋体"/>
          <w:sz w:val="24"/>
        </w:rPr>
        <w:t>其中，</w:t>
      </w:r>
      <m:oMath>
        <m:sSubSup>
          <m:e>
            <m:r>
              <m:t>K</m:t>
            </m:r>
          </m:e>
          <m:sub>
            <m:r>
              <m:t>I</m:t>
            </m:r>
          </m:sub>
          <m:sup>
            <m:r>
              <m:rPr>
                <m:sty m:val="p"/>
              </m:rPr>
              <m:t>*</m:t>
            </m:r>
          </m:sup>
        </m:sSubSup>
      </m:oMath>
      <w:r>
        <w:rPr>
          <w:rFonts w:ascii="宋体" w:hAnsi="宋体" w:eastAsia="宋体"/>
          <w:sz w:val="24"/>
        </w:rPr>
        <w:t>为无技术支撑时制度所能达到的最高水平，即潜在容量</w:t>
      </w:r>
      <m:oMath>
        <m:sSub>
          <m:e>
            <m:r>
              <m:t>K</m:t>
            </m:r>
          </m:e>
          <m:sub>
            <m:r>
              <m:t>I</m:t>
            </m:r>
          </m:sub>
        </m:sSub>
      </m:oMath>
      <w:r>
        <w:rPr>
          <w:rFonts w:ascii="宋体" w:hAnsi="宋体" w:eastAsia="宋体"/>
          <w:sz w:val="24"/>
        </w:rPr>
        <w:t>经不确定性阻尼折价后的“有效容量”。</w:t>
      </w:r>
    </w:p>
    <w:p>
      <w:pPr>
        <w:spacing w:line="360" w:lineRule="auto" w:after="0"/>
        <w:ind w:firstLineChars="200" w:firstLine="480"/>
        <w:jc w:val="both"/>
      </w:pPr>
      <w:r>
        <w:rPr>
          <w:rFonts w:ascii="宋体" w:hAnsi="宋体" w:eastAsia="宋体"/>
          <w:sz w:val="24"/>
        </w:rPr>
        <w:t>式(6-5)有鲜明的经济含义：脱离技术基础、单靠行政推动的标准化，最多只能达到潜在容量的</w:t>
      </w:r>
      <m:oMath>
        <m:r>
          <m:t>1</m:t>
        </m:r>
        <m:r>
          <m:rPr>
            <m:sty m:val="p"/>
          </m:rPr>
          <m:t>−</m:t>
        </m:r>
        <m:r>
          <m:t>γ</m:t>
        </m:r>
      </m:oMath>
      <w:r>
        <w:rPr>
          <w:rFonts w:ascii="宋体" w:hAnsi="宋体" w:eastAsia="宋体"/>
          <w:sz w:val="24"/>
        </w:rPr>
        <w:t>。按6.4节的分阶段估计值计算，这一折价比例在“双碳”前约为65%、“双碳”后约为72%——阻尼的存在意味着“文件标准化”存在天然的天花板：没有成熟技术支撑的标准要么停留在原则性引导层面，要么因缺乏可操作的计量核查基础而空转，无论行政资源投入多少，体系完善度都无法触及潜在容量。第四个平衡点是本章最为关注的内部均衡</w:t>
      </w:r>
      <m:oMath>
        <m:sSub>
          <m:e>
            <m:r>
              <m:t>E</m:t>
            </m:r>
          </m:e>
          <m:sub>
            <m:r>
              <m:t>3</m:t>
            </m:r>
          </m:sub>
        </m:sSub>
        <m:r>
          <m:rPr>
            <m:sty m:val="p"/>
          </m:rPr>
          <m:t>=</m:t>
        </m:r>
        <m:d>
          <m:dPr>
            <m:begChr m:val="("/>
            <m:sepChr m:val=""/>
            <m:endChr m:val=")"/>
            <m:grow/>
          </m:dPr>
          <m:e>
            <m:sSup>
              <m:e>
                <m:r>
                  <m:t>T</m:t>
                </m:r>
              </m:e>
              <m:sup>
                <m:r>
                  <m:rPr>
                    <m:sty m:val="p"/>
                  </m:rPr>
                  <m:t>*</m:t>
                </m:r>
              </m:sup>
            </m:sSup>
            <m:r>
              <m:rPr>
                <m:sty m:val="p"/>
              </m:rPr>
              <m:t>,</m:t>
            </m:r>
            <m:sSup>
              <m:e>
                <m:r>
                  <m:t>I</m:t>
                </m:r>
              </m:e>
              <m:sup>
                <m:r>
                  <m:rPr>
                    <m:sty m:val="p"/>
                  </m:rPr>
                  <m:t>*</m:t>
                </m:r>
              </m:sup>
            </m:sSup>
          </m:e>
        </m:d>
      </m:oMath>
      <w:r>
        <w:rPr>
          <w:rFonts w:ascii="宋体" w:hAnsi="宋体" w:eastAsia="宋体"/>
          <w:sz w:val="24"/>
        </w:rPr>
        <w:t>。将</w:t>
      </w:r>
      <m:oMath>
        <m:sSub>
          <m:e>
            <m:r>
              <m:t>K</m:t>
            </m:r>
          </m:e>
          <m:sub>
            <m:r>
              <m:t>T</m:t>
            </m:r>
          </m:sub>
        </m:sSub>
        <m:r>
          <m:rPr>
            <m:sty m:val="p"/>
          </m:rPr>
          <m:t>=</m:t>
        </m:r>
        <m:sSub>
          <m:e>
            <m:r>
              <m:t>K</m:t>
            </m:r>
          </m:e>
          <m:sub>
            <m:r>
              <m:t>I</m:t>
            </m:r>
          </m:sub>
        </m:sSub>
        <m:r>
          <m:rPr>
            <m:sty m:val="p"/>
          </m:rPr>
          <m:t>=</m:t>
        </m:r>
        <m:r>
          <m:t>1</m:t>
        </m:r>
      </m:oMath>
      <w:r>
        <w:rPr>
          <w:rFonts w:ascii="宋体" w:hAnsi="宋体" w:eastAsia="宋体"/>
          <w:sz w:val="24"/>
        </w:rPr>
        <w:t>的归一化代入，内部均衡由两条有效增长率为零的条件联立给出：</w:t>
      </w:r>
    </w:p>
    <w:p>
      <w:pPr>
        <w:tabs>
          <w:tab w:pos="4252" w:val="center"/>
          <w:tab w:pos="8504" w:val="right"/>
        </w:tabs>
        <w:spacing w:line="360" w:lineRule="auto" w:before="80" w:after="80"/>
      </w:pPr>
      <w:r>
        <w:tab/>
      </w:r>
      <m:oMath>
        <m:sSup>
          <m:e>
            <m:r>
              <m:t>T</m:t>
            </m:r>
          </m:e>
          <m:sup>
            <m:r>
              <m:rPr>
                <m:sty m:val="p"/>
              </m:rPr>
              <m:t>*</m:t>
            </m:r>
          </m:sup>
        </m:sSup>
        <m:r>
          <m:rPr>
            <m:sty m:val="p"/>
          </m:rPr>
          <m:t>=</m:t>
        </m:r>
        <m:r>
          <m:t>1</m:t>
        </m:r>
        <m:r>
          <m:rPr>
            <m:sty m:val="p"/>
          </m:rPr>
          <m:t>+</m:t>
        </m:r>
        <m:r>
          <m:t>β</m:t>
        </m:r>
        <m:sSup>
          <m:e>
            <m:r>
              <m:t>I</m:t>
            </m:r>
          </m:e>
          <m:sup>
            <m:r>
              <m:rPr>
                <m:sty m:val="p"/>
              </m:rPr>
              <m:t>*</m:t>
            </m:r>
          </m:sup>
        </m:sSup>
        <m:r>
          <m:rPr>
            <m:sty m:val="p"/>
          </m:rPr>
          <m:t>,</m:t>
        </m:r>
        <m:r>
          <m:t>  </m:t>
        </m:r>
        <m:sSup>
          <m:e>
            <m:r>
              <m:t>I</m:t>
            </m:r>
          </m:e>
          <m:sup>
            <m:r>
              <m:rPr>
                <m:sty m:val="p"/>
              </m:rPr>
              <m:t>*</m:t>
            </m:r>
          </m:sup>
        </m:sSup>
        <m:r>
          <m:rPr>
            <m:sty m:val="p"/>
          </m:rPr>
          <m:t>=</m:t>
        </m:r>
        <m:r>
          <m:t>1</m:t>
        </m:r>
        <m:r>
          <m:rPr>
            <m:sty m:val="p"/>
          </m:rPr>
          <m:t>+</m:t>
        </m:r>
        <m:d>
          <m:dPr>
            <m:begChr m:val="("/>
            <m:sepChr m:val=""/>
            <m:endChr m:val=")"/>
            <m:grow/>
          </m:dPr>
          <m:e>
            <m:r>
              <m:t>α</m:t>
            </m:r>
            <m:r>
              <m:rPr>
                <m:sty m:val="p"/>
              </m:rPr>
              <m:t>+</m:t>
            </m:r>
            <m:r>
              <m:t>γ</m:t>
            </m:r>
          </m:e>
        </m:d>
        <m:sSup>
          <m:e>
            <m:r>
              <m:t>T</m:t>
            </m:r>
          </m:e>
          <m:sup>
            <m:r>
              <m:rPr>
                <m:sty m:val="p"/>
              </m:rPr>
              <m:t>*</m:t>
            </m:r>
          </m:sup>
        </m:sSup>
        <m:r>
          <m:rPr>
            <m:sty m:val="p"/>
          </m:rPr>
          <m:t>−</m:t>
        </m:r>
        <m:r>
          <m:t>γ</m:t>
        </m:r>
      </m:oMath>
      <w:r>
        <w:tab/>
      </w:r>
      <w:r>
        <w:rPr>
          <w:rFonts w:ascii="Times New Roman" w:hAnsi="Times New Roman" w:eastAsia="宋体"/>
          <w:sz w:val="24"/>
        </w:rPr>
        <w:t>(6-6)</w:t>
      </w:r>
    </w:p>
    <w:p>
      <w:pPr>
        <w:spacing w:line="360" w:lineRule="auto" w:after="0"/>
        <w:ind w:firstLineChars="200" w:firstLine="480"/>
        <w:jc w:val="both"/>
      </w:pPr>
      <w:r>
        <w:rPr>
          <w:rFonts w:ascii="宋体" w:hAnsi="宋体" w:eastAsia="宋体"/>
          <w:sz w:val="24"/>
        </w:rPr>
        <w:t>式(6-6)是关于</w:t>
      </w:r>
      <m:oMath>
        <m:d>
          <m:dPr>
            <m:begChr m:val="("/>
            <m:sepChr m:val=""/>
            <m:endChr m:val=")"/>
            <m:grow/>
          </m:dPr>
          <m:e>
            <m:sSup>
              <m:e>
                <m:r>
                  <m:t>T</m:t>
                </m:r>
              </m:e>
              <m:sup>
                <m:r>
                  <m:rPr>
                    <m:sty m:val="p"/>
                  </m:rPr>
                  <m:t>*</m:t>
                </m:r>
              </m:sup>
            </m:sSup>
            <m:r>
              <m:rPr>
                <m:sty m:val="p"/>
              </m:rPr>
              <m:t>,</m:t>
            </m:r>
            <m:sSup>
              <m:e>
                <m:r>
                  <m:t>I</m:t>
                </m:r>
              </m:e>
              <m:sup>
                <m:r>
                  <m:rPr>
                    <m:sty m:val="p"/>
                  </m:rPr>
                  <m:t>*</m:t>
                </m:r>
              </m:sup>
            </m:sSup>
          </m:e>
        </m:d>
      </m:oMath>
      <w:r>
        <w:rPr>
          <w:rFonts w:ascii="宋体" w:hAnsi="宋体" w:eastAsia="宋体"/>
          <w:sz w:val="24"/>
        </w:rPr>
        <w:t>的线性方程组。将第一式代入第二式求解，可得内部均衡的显式表达：</w:t>
      </w:r>
    </w:p>
    <w:p>
      <w:pPr>
        <w:tabs>
          <w:tab w:pos="4252" w:val="center"/>
          <w:tab w:pos="8504" w:val="right"/>
        </w:tabs>
        <w:spacing w:line="360" w:lineRule="auto" w:before="80" w:after="80"/>
      </w:pPr>
      <w:r>
        <w:tab/>
      </w:r>
      <m:oMath>
        <m:sSup>
          <m:e>
            <m:r>
              <m:t>T</m:t>
            </m:r>
          </m:e>
          <m:sup>
            <m:r>
              <m:rPr>
                <m:sty m:val="p"/>
              </m:rPr>
              <m:t>*</m:t>
            </m:r>
          </m:sup>
        </m:sSup>
        <m:r>
          <m:rPr>
            <m:sty m:val="p"/>
          </m:rPr>
          <m:t>=</m:t>
        </m:r>
        <m:f>
          <m:fPr>
            <m:type m:val="bar"/>
          </m:fPr>
          <m:num>
            <m:r>
              <m:t>1</m:t>
            </m:r>
            <m:r>
              <m:rPr>
                <m:sty m:val="p"/>
              </m:rPr>
              <m:t>+</m:t>
            </m:r>
            <m:r>
              <m:t>β</m:t>
            </m:r>
            <m:d>
              <m:dPr>
                <m:begChr m:val="("/>
                <m:sepChr m:val=""/>
                <m:endChr m:val=")"/>
                <m:grow/>
              </m:dPr>
              <m:e>
                <m:r>
                  <m:t>1</m:t>
                </m:r>
                <m:r>
                  <m:rPr>
                    <m:sty m:val="p"/>
                  </m:rPr>
                  <m:t>−</m:t>
                </m:r>
                <m:r>
                  <m:t>γ</m:t>
                </m:r>
              </m:e>
            </m:d>
          </m:num>
          <m:den>
            <m:r>
              <m:t>1</m:t>
            </m:r>
            <m:r>
              <m:rPr>
                <m:sty m:val="p"/>
              </m:rPr>
              <m:t>−</m:t>
            </m:r>
            <m:r>
              <m:t>β</m:t>
            </m:r>
            <m:d>
              <m:dPr>
                <m:begChr m:val="("/>
                <m:sepChr m:val=""/>
                <m:endChr m:val=")"/>
                <m:grow/>
              </m:dPr>
              <m:e>
                <m:r>
                  <m:t>α</m:t>
                </m:r>
                <m:r>
                  <m:rPr>
                    <m:sty m:val="p"/>
                  </m:rPr>
                  <m:t>+</m:t>
                </m:r>
                <m:r>
                  <m:t>γ</m:t>
                </m:r>
              </m:e>
            </m:d>
          </m:den>
        </m:f>
        <m:r>
          <m:rPr>
            <m:sty m:val="p"/>
          </m:rPr>
          <m:t>,</m:t>
        </m:r>
        <m:r>
          <m:t>  </m:t>
        </m:r>
        <m:sSup>
          <m:e>
            <m:r>
              <m:t>I</m:t>
            </m:r>
          </m:e>
          <m:sup>
            <m:r>
              <m:rPr>
                <m:sty m:val="p"/>
              </m:rPr>
              <m:t>*</m:t>
            </m:r>
          </m:sup>
        </m:sSup>
        <m:r>
          <m:rPr>
            <m:sty m:val="p"/>
          </m:rPr>
          <m:t>=</m:t>
        </m:r>
        <m:f>
          <m:fPr>
            <m:type m:val="bar"/>
          </m:fPr>
          <m:num>
            <m:r>
              <m:t>1</m:t>
            </m:r>
            <m:r>
              <m:rPr>
                <m:sty m:val="p"/>
              </m:rPr>
              <m:t>+</m:t>
            </m:r>
            <m:r>
              <m:t>α</m:t>
            </m:r>
          </m:num>
          <m:den>
            <m:r>
              <m:t>1</m:t>
            </m:r>
            <m:r>
              <m:rPr>
                <m:sty m:val="p"/>
              </m:rPr>
              <m:t>−</m:t>
            </m:r>
            <m:r>
              <m:t>β</m:t>
            </m:r>
            <m:d>
              <m:dPr>
                <m:begChr m:val="("/>
                <m:sepChr m:val=""/>
                <m:endChr m:val=")"/>
                <m:grow/>
              </m:dPr>
              <m:e>
                <m:r>
                  <m:t>α</m:t>
                </m:r>
                <m:r>
                  <m:rPr>
                    <m:sty m:val="p"/>
                  </m:rPr>
                  <m:t>+</m:t>
                </m:r>
                <m:r>
                  <m:t>γ</m:t>
                </m:r>
              </m:e>
            </m:d>
          </m:den>
        </m:f>
      </m:oMath>
      <w:r>
        <w:tab/>
      </w:r>
      <w:r>
        <w:rPr>
          <w:rFonts w:ascii="Times New Roman" w:hAnsi="Times New Roman" w:eastAsia="宋体"/>
          <w:sz w:val="24"/>
        </w:rPr>
        <w:t>(6-7)</w:t>
      </w:r>
    </w:p>
    <w:p>
      <w:pPr>
        <w:spacing w:line="360" w:lineRule="auto" w:after="0"/>
        <w:ind w:firstLineChars="200" w:firstLine="480"/>
        <w:jc w:val="both"/>
      </w:pPr>
      <w:r>
        <w:rPr>
          <w:rFonts w:ascii="宋体" w:hAnsi="宋体" w:eastAsia="宋体"/>
          <w:sz w:val="24"/>
        </w:rPr>
        <w:t>显然，当且仅当</w:t>
      </w:r>
      <m:oMath>
        <m:r>
          <m:t>β</m:t>
        </m:r>
        <m:d>
          <m:dPr>
            <m:begChr m:val="("/>
            <m:sepChr m:val=""/>
            <m:endChr m:val=")"/>
            <m:grow/>
          </m:dPr>
          <m:e>
            <m:r>
              <m:t>α</m:t>
            </m:r>
            <m:r>
              <m:rPr>
                <m:sty m:val="p"/>
              </m:rPr>
              <m:t>+</m:t>
            </m:r>
            <m:r>
              <m:t>γ</m:t>
            </m:r>
          </m:e>
        </m:d>
        <m:r>
          <m:rPr>
            <m:sty m:val="p"/>
          </m:rPr>
          <m:t>&lt;</m:t>
        </m:r>
        <m:r>
          <m:t>1</m:t>
        </m:r>
      </m:oMath>
      <w:r>
        <w:rPr>
          <w:rFonts w:ascii="宋体" w:hAnsi="宋体" w:eastAsia="宋体"/>
          <w:sz w:val="24"/>
        </w:rPr>
        <w:t>时，式(6-7)给出唯一的正解，且</w:t>
      </w:r>
      <m:oMath>
        <m:sSup>
          <m:e>
            <m:r>
              <m:t>T</m:t>
            </m:r>
          </m:e>
          <m:sup>
            <m:r>
              <m:rPr>
                <m:sty m:val="p"/>
              </m:rPr>
              <m:t>*</m:t>
            </m:r>
          </m:sup>
        </m:sSup>
        <m:r>
          <m:rPr>
            <m:sty m:val="p"/>
          </m:rPr>
          <m:t>&gt;</m:t>
        </m:r>
        <m:sSub>
          <m:e>
            <m:r>
              <m:t>K</m:t>
            </m:r>
          </m:e>
          <m:sub>
            <m:r>
              <m:t>T</m:t>
            </m:r>
          </m:sub>
        </m:sSub>
      </m:oMath>
      <w:r>
        <w:rPr>
          <w:rFonts w:ascii="宋体" w:hAnsi="宋体" w:eastAsia="宋体"/>
          <w:sz w:val="24"/>
        </w:rPr>
        <w:t>、</w:t>
      </w:r>
      <m:oMath>
        <m:sSup>
          <m:e>
            <m:r>
              <m:t>I</m:t>
            </m:r>
          </m:e>
          <m:sup>
            <m:r>
              <m:rPr>
                <m:sty m:val="p"/>
              </m:rPr>
              <m:t>*</m:t>
            </m:r>
          </m:sup>
        </m:sSup>
        <m:r>
          <m:rPr>
            <m:sty m:val="p"/>
          </m:rPr>
          <m:t>&gt;</m:t>
        </m:r>
        <m:sSub>
          <m:e>
            <m:r>
              <m:t>K</m:t>
            </m:r>
          </m:e>
          <m:sub>
            <m:r>
              <m:t>I</m:t>
            </m:r>
          </m:sub>
        </m:sSub>
        <m:r>
          <m:rPr>
            <m:sty m:val="p"/>
          </m:rPr>
          <m:t>&gt;</m:t>
        </m:r>
        <m:sSubSup>
          <m:e>
            <m:r>
              <m:t>K</m:t>
            </m:r>
          </m:e>
          <m:sub>
            <m:r>
              <m:t>I</m:t>
            </m:r>
          </m:sub>
          <m:sup>
            <m:r>
              <m:rPr>
                <m:sty m:val="p"/>
              </m:rPr>
              <m:t>*</m:t>
            </m:r>
          </m:sup>
        </m:sSubSup>
      </m:oMath>
      <w:r>
        <w:rPr>
          <w:rFonts w:ascii="宋体" w:hAnsi="宋体" w:eastAsia="宋体"/>
          <w:sz w:val="24"/>
        </w:rPr>
        <w:t>：双向互馈使技术与制度的均衡水平双双越过各自孤立发展所能达到的容量上限，这一“协同溢价”正是互利共生系统的标志性性质。条件</w:t>
      </w:r>
      <m:oMath>
        <m:r>
          <m:t>β</m:t>
        </m:r>
        <m:d>
          <m:dPr>
            <m:begChr m:val="("/>
            <m:sepChr m:val=""/>
            <m:endChr m:val=")"/>
            <m:grow/>
          </m:dPr>
          <m:e>
            <m:r>
              <m:t>α</m:t>
            </m:r>
            <m:r>
              <m:rPr>
                <m:sty m:val="p"/>
              </m:rPr>
              <m:t>+</m:t>
            </m:r>
            <m:r>
              <m:t>γ</m:t>
            </m:r>
          </m:e>
        </m:d>
        <m:r>
          <m:rPr>
            <m:sty m:val="p"/>
          </m:rPr>
          <m:t>&lt;</m:t>
        </m:r>
        <m:r>
          <m:t>1</m:t>
        </m:r>
      </m:oMath>
      <w:r>
        <w:rPr>
          <w:rFonts w:ascii="宋体" w:hAnsi="宋体" w:eastAsia="宋体"/>
          <w:sz w:val="24"/>
        </w:rPr>
        <w:t>要求互馈强度不能无限放大——若互馈过强，正反馈将压倒容量约束，系统发散而无有限均衡。以分阶段估计值计算，</w:t>
      </w:r>
      <m:oMath>
        <m:r>
          <m:t>β</m:t>
        </m:r>
        <m:d>
          <m:dPr>
            <m:begChr m:val="("/>
            <m:sepChr m:val=""/>
            <m:endChr m:val=")"/>
            <m:grow/>
          </m:dPr>
          <m:e>
            <m:r>
              <m:t>α</m:t>
            </m:r>
            <m:r>
              <m:rPr>
                <m:sty m:val="p"/>
              </m:rPr>
              <m:t>+</m:t>
            </m:r>
            <m:r>
              <m:t>γ</m:t>
            </m:r>
          </m:e>
        </m:d>
      </m:oMath>
      <w:r>
        <w:rPr>
          <w:rFonts w:ascii="宋体" w:hAnsi="宋体" w:eastAsia="宋体"/>
          <w:sz w:val="24"/>
        </w:rPr>
        <w:t>在“双碳”前约为0.007、“双碳”后约为0.017，均远小于1，内部均衡的存在性在经验上不成问题。</w:t>
      </w:r>
    </w:p>
    <w:p>
      <w:pPr>
        <w:keepNext/>
        <w:spacing w:before="160" w:after="120" w:line="360" w:lineRule="auto"/>
        <w:outlineLvl w:val="2"/>
      </w:pPr>
      <w:r>
        <w:rPr>
          <w:rFonts w:ascii="黑体" w:hAnsi="黑体" w:eastAsia="黑体"/>
          <w:sz w:val="24"/>
        </w:rPr>
        <w:t>6.3.2  雅可比矩阵与迹—行列式判据</w:t>
      </w:r>
    </w:p>
    <w:p>
      <w:pPr>
        <w:spacing w:line="360" w:lineRule="auto" w:after="0"/>
        <w:ind w:firstLineChars="200" w:firstLine="480"/>
        <w:jc w:val="both"/>
      </w:pPr>
      <w:r>
        <w:rPr>
          <w:rFonts w:ascii="宋体" w:hAnsi="宋体" w:eastAsia="宋体"/>
          <w:sz w:val="24"/>
        </w:rPr>
        <w:t>平衡点的局部稳定性取决于系统在该点线性化后的特征根分布。记式(6-1)、式(6-2)右端分别为</w:t>
      </w:r>
      <m:oMath>
        <m:r>
          <m:t>F</m:t>
        </m:r>
        <m:d>
          <m:dPr>
            <m:begChr m:val="("/>
            <m:sepChr m:val=""/>
            <m:endChr m:val=")"/>
            <m:grow/>
          </m:dPr>
          <m:e>
            <m:r>
              <m:t>T</m:t>
            </m:r>
            <m:r>
              <m:rPr>
                <m:sty m:val="p"/>
              </m:rPr>
              <m:t>,</m:t>
            </m:r>
            <m:r>
              <m:t>I</m:t>
            </m:r>
          </m:e>
        </m:d>
      </m:oMath>
      <w:r>
        <w:rPr>
          <w:rFonts w:ascii="宋体" w:hAnsi="宋体" w:eastAsia="宋体"/>
          <w:sz w:val="24"/>
        </w:rPr>
        <w:t>与</w:t>
      </w:r>
      <m:oMath>
        <m:r>
          <m:t>G</m:t>
        </m:r>
        <m:d>
          <m:dPr>
            <m:begChr m:val="("/>
            <m:sepChr m:val=""/>
            <m:endChr m:val=")"/>
            <m:grow/>
          </m:dPr>
          <m:e>
            <m:r>
              <m:t>T</m:t>
            </m:r>
            <m:r>
              <m:rPr>
                <m:sty m:val="p"/>
              </m:rPr>
              <m:t>,</m:t>
            </m:r>
            <m:r>
              <m:t>I</m:t>
            </m:r>
          </m:e>
        </m:d>
      </m:oMath>
      <w:r>
        <w:rPr>
          <w:rFonts w:ascii="宋体" w:hAnsi="宋体" w:eastAsia="宋体"/>
          <w:sz w:val="24"/>
        </w:rPr>
        <w:t>，对其求偏导数，得系统在任意状态</w:t>
      </w:r>
      <m:oMath>
        <m:d>
          <m:dPr>
            <m:begChr m:val="("/>
            <m:sepChr m:val=""/>
            <m:endChr m:val=")"/>
            <m:grow/>
          </m:dPr>
          <m:e>
            <m:r>
              <m:t>T</m:t>
            </m:r>
            <m:r>
              <m:rPr>
                <m:sty m:val="p"/>
              </m:rPr>
              <m:t>,</m:t>
            </m:r>
            <m:r>
              <m:t>I</m:t>
            </m:r>
          </m:e>
        </m:d>
      </m:oMath>
      <w:r>
        <w:rPr>
          <w:rFonts w:ascii="宋体" w:hAnsi="宋体" w:eastAsia="宋体"/>
          <w:sz w:val="24"/>
        </w:rPr>
        <w:t>处的雅可比矩阵：</w:t>
      </w:r>
    </w:p>
    <w:p>
      <w:pPr>
        <w:tabs>
          <w:tab w:pos="4252" w:val="center"/>
          <w:tab w:pos="8504" w:val="right"/>
        </w:tabs>
        <w:spacing w:line="360" w:lineRule="auto" w:before="80" w:after="80"/>
      </w:pPr>
      <w:r>
        <w:tab/>
      </w:r>
      <m:oMath>
        <m:r>
          <m:t>J</m:t>
        </m:r>
        <m:d>
          <m:dPr>
            <m:begChr m:val="("/>
            <m:sepChr m:val=""/>
            <m:endChr m:val=")"/>
            <m:grow/>
          </m:dPr>
          <m:e>
            <m:r>
              <m:t>T</m:t>
            </m:r>
            <m:r>
              <m:rPr>
                <m:sty m:val="p"/>
              </m:rPr>
              <m:t>,</m:t>
            </m:r>
            <m:r>
              <m:t>I</m:t>
            </m:r>
          </m:e>
        </m:d>
        <m:r>
          <m:rPr>
            <m:sty m:val="p"/>
          </m:rPr>
          <m:t>=</m:t>
        </m:r>
        <m:d>
          <m:dPr>
            <m:begChr m:val="("/>
            <m:sepChr m:val=""/>
            <m:endChr m:val=")"/>
            <m:grow/>
          </m:dPr>
          <m:e>
            <m:m>
              <m:mPr>
                <m:baseJc m:val="center"/>
                <m:plcHide m:val="on"/>
                <m:mcs>
                  <m:mc>
                    <m:mcPr>
                      <m:count m:val="1"/>
                      <m:mcJc m:val="center"/>
                    </m:mcPr>
                  </m:mc>
                  <m:mc>
                    <m:mcPr>
                      <m:count m:val="1"/>
                      <m:mcJc m:val="center"/>
                    </m:mcPr>
                  </m:mc>
                </m:mcs>
              </m:mPr>
              <m:mr>
                <m:e>
                  <m:sSub>
                    <m:e>
                      <m:r>
                        <m:t>r</m:t>
                      </m:r>
                    </m:e>
                    <m:sub>
                      <m:r>
                        <m:t>T</m:t>
                      </m:r>
                    </m:sub>
                  </m:sSub>
                  <m:d>
                    <m:dPr>
                      <m:begChr m:val="("/>
                      <m:sepChr m:val=""/>
                      <m:endChr m:val=")"/>
                      <m:grow/>
                    </m:dPr>
                    <m:e>
                      <m:r>
                        <m:t>1</m:t>
                      </m:r>
                      <m:r>
                        <m:rPr>
                          <m:sty m:val="p"/>
                        </m:rPr>
                        <m:t>−</m:t>
                      </m:r>
                      <m:f>
                        <m:fPr>
                          <m:type m:val="bar"/>
                        </m:fPr>
                        <m:num>
                          <m:r>
                            <m:t>2</m:t>
                          </m:r>
                          <m:r>
                            <m:t>T</m:t>
                          </m:r>
                        </m:num>
                        <m:den>
                          <m:sSub>
                            <m:e>
                              <m:r>
                                <m:t>K</m:t>
                              </m:r>
                            </m:e>
                            <m:sub>
                              <m:r>
                                <m:t>T</m:t>
                              </m:r>
                            </m:sub>
                          </m:sSub>
                        </m:den>
                      </m:f>
                      <m:r>
                        <m:rPr>
                          <m:sty m:val="p"/>
                        </m:rPr>
                        <m:t>+</m:t>
                      </m:r>
                      <m:r>
                        <m:t>β</m:t>
                      </m:r>
                      <m:f>
                        <m:fPr>
                          <m:type m:val="bar"/>
                        </m:fPr>
                        <m:num>
                          <m:r>
                            <m:t>I</m:t>
                          </m:r>
                        </m:num>
                        <m:den>
                          <m:sSub>
                            <m:e>
                              <m:r>
                                <m:t>K</m:t>
                              </m:r>
                            </m:e>
                            <m:sub>
                              <m:r>
                                <m:t>I</m:t>
                              </m:r>
                            </m:sub>
                          </m:sSub>
                        </m:den>
                      </m:f>
                    </m:e>
                  </m:d>
                </m:e>
                <m:e>
                  <m:f>
                    <m:fPr>
                      <m:type m:val="bar"/>
                    </m:fPr>
                    <m:num>
                      <m:sSub>
                        <m:e>
                          <m:r>
                            <m:t>r</m:t>
                          </m:r>
                        </m:e>
                        <m:sub>
                          <m:r>
                            <m:t>T</m:t>
                          </m:r>
                        </m:sub>
                      </m:sSub>
                      <m:r>
                        <m:t>β</m:t>
                      </m:r>
                      <m:r>
                        <m:t>T</m:t>
                      </m:r>
                    </m:num>
                    <m:den>
                      <m:sSub>
                        <m:e>
                          <m:r>
                            <m:t>K</m:t>
                          </m:r>
                        </m:e>
                        <m:sub>
                          <m:r>
                            <m:t>I</m:t>
                          </m:r>
                        </m:sub>
                      </m:sSub>
                    </m:den>
                  </m:f>
                </m:e>
              </m:mr>
              <m:mr>
                <m:e>
                  <m:f>
                    <m:fPr>
                      <m:type m:val="bar"/>
                    </m:fPr>
                    <m:num>
                      <m:sSub>
                        <m:e>
                          <m:r>
                            <m:t>r</m:t>
                          </m:r>
                        </m:e>
                        <m:sub>
                          <m:r>
                            <m:t>I</m:t>
                          </m:r>
                        </m:sub>
                      </m:sSub>
                      <m:d>
                        <m:dPr>
                          <m:begChr m:val="("/>
                          <m:sepChr m:val=""/>
                          <m:endChr m:val=")"/>
                          <m:grow/>
                        </m:dPr>
                        <m:e>
                          <m:r>
                            <m:t>α</m:t>
                          </m:r>
                          <m:r>
                            <m:rPr>
                              <m:sty m:val="p"/>
                            </m:rPr>
                            <m:t>+</m:t>
                          </m:r>
                          <m:r>
                            <m:t>γ</m:t>
                          </m:r>
                        </m:e>
                      </m:d>
                      <m:r>
                        <m:t>I</m:t>
                      </m:r>
                    </m:num>
                    <m:den>
                      <m:sSub>
                        <m:e>
                          <m:r>
                            <m:t>K</m:t>
                          </m:r>
                        </m:e>
                        <m:sub>
                          <m:r>
                            <m:t>T</m:t>
                          </m:r>
                        </m:sub>
                      </m:sSub>
                    </m:den>
                  </m:f>
                </m:e>
                <m:e>
                  <m:sSub>
                    <m:e>
                      <m:r>
                        <m:t>r</m:t>
                      </m:r>
                    </m:e>
                    <m:sub>
                      <m:r>
                        <m:t>I</m:t>
                      </m:r>
                    </m:sub>
                  </m:sSub>
                  <m:d>
                    <m:dPr>
                      <m:begChr m:val="("/>
                      <m:sepChr m:val=""/>
                      <m:endChr m:val=")"/>
                      <m:grow/>
                    </m:dPr>
                    <m:e>
                      <m:r>
                        <m:t>1</m:t>
                      </m:r>
                      <m:r>
                        <m:rPr>
                          <m:sty m:val="p"/>
                        </m:rPr>
                        <m:t>−</m:t>
                      </m:r>
                      <m:f>
                        <m:fPr>
                          <m:type m:val="bar"/>
                        </m:fPr>
                        <m:num>
                          <m:r>
                            <m:t>2</m:t>
                          </m:r>
                          <m:r>
                            <m:t>I</m:t>
                          </m:r>
                        </m:num>
                        <m:den>
                          <m:sSub>
                            <m:e>
                              <m:r>
                                <m:t>K</m:t>
                              </m:r>
                            </m:e>
                            <m:sub>
                              <m:r>
                                <m:t>I</m:t>
                              </m:r>
                            </m:sub>
                          </m:sSub>
                        </m:den>
                      </m:f>
                      <m:r>
                        <m:rPr>
                          <m:sty m:val="p"/>
                        </m:rPr>
                        <m:t>+</m:t>
                      </m:r>
                      <m:d>
                        <m:dPr>
                          <m:begChr m:val="("/>
                          <m:sepChr m:val=""/>
                          <m:endChr m:val=")"/>
                          <m:grow/>
                        </m:dPr>
                        <m:e>
                          <m:r>
                            <m:t>α</m:t>
                          </m:r>
                          <m:r>
                            <m:rPr>
                              <m:sty m:val="p"/>
                            </m:rPr>
                            <m:t>+</m:t>
                          </m:r>
                          <m:r>
                            <m:t>γ</m:t>
                          </m:r>
                        </m:e>
                      </m:d>
                      <m:f>
                        <m:fPr>
                          <m:type m:val="bar"/>
                        </m:fPr>
                        <m:num>
                          <m:r>
                            <m:t>T</m:t>
                          </m:r>
                        </m:num>
                        <m:den>
                          <m:sSub>
                            <m:e>
                              <m:r>
                                <m:t>K</m:t>
                              </m:r>
                            </m:e>
                            <m:sub>
                              <m:r>
                                <m:t>T</m:t>
                              </m:r>
                            </m:sub>
                          </m:sSub>
                        </m:den>
                      </m:f>
                      <m:r>
                        <m:rPr>
                          <m:sty m:val="p"/>
                        </m:rPr>
                        <m:t>−</m:t>
                      </m:r>
                      <m:r>
                        <m:t>γ</m:t>
                      </m:r>
                    </m:e>
                  </m:d>
                </m:e>
              </m:mr>
            </m:m>
          </m:e>
        </m:d>
      </m:oMath>
      <w:r>
        <w:tab/>
      </w:r>
      <w:r>
        <w:rPr>
          <w:rFonts w:ascii="Times New Roman" w:hAnsi="Times New Roman" w:eastAsia="宋体"/>
          <w:sz w:val="24"/>
        </w:rPr>
        <w:t>(6-8)</w:t>
      </w:r>
    </w:p>
    <w:p>
      <w:pPr>
        <w:spacing w:line="360" w:lineRule="auto" w:after="0"/>
        <w:jc w:val="both"/>
      </w:pPr>
      <w:r>
        <w:rPr>
          <w:rFonts w:ascii="宋体" w:hAnsi="宋体" w:eastAsia="宋体"/>
          <w:sz w:val="24"/>
        </w:rPr>
        <w:t>其中，对角元刻画技术与制度各自的自稳定强度（容量约束带来的负反馈），非对角元刻画交叉互馈的边际强度；</w:t>
      </w:r>
      <m:oMath>
        <m:d>
          <m:dPr>
            <m:begChr m:val="("/>
            <m:sepChr m:val=""/>
            <m:endChr m:val=")"/>
            <m:grow/>
          </m:dPr>
          <m:e>
            <m:r>
              <m:t>α</m:t>
            </m:r>
            <m:r>
              <m:rPr>
                <m:sty m:val="p"/>
              </m:rPr>
              <m:t>+</m:t>
            </m:r>
            <m:r>
              <m:t>γ</m:t>
            </m:r>
          </m:e>
        </m:d>
      </m:oMath>
      <w:r>
        <w:rPr>
          <w:rFonts w:ascii="宋体" w:hAnsi="宋体" w:eastAsia="宋体"/>
          <w:sz w:val="24"/>
        </w:rPr>
        <w:t>同时出现在制度方程对</w:t>
      </w:r>
      <m:oMath>
        <m:r>
          <m:t>T</m:t>
        </m:r>
      </m:oMath>
      <w:r>
        <w:rPr>
          <w:rFonts w:ascii="宋体" w:hAnsi="宋体" w:eastAsia="宋体"/>
          <w:sz w:val="24"/>
        </w:rPr>
        <w:t>的偏导中，表明技术进步通过“正向拉动”与“阻尼消减”两条途径共同提升制度增长。</w:t>
      </w:r>
    </w:p>
    <w:p>
      <w:pPr>
        <w:spacing w:line="360" w:lineRule="auto" w:after="0"/>
        <w:ind w:firstLineChars="200" w:firstLine="480"/>
        <w:jc w:val="both"/>
      </w:pPr>
      <w:r>
        <w:rPr>
          <w:rFonts w:ascii="宋体" w:hAnsi="宋体" w:eastAsia="宋体"/>
          <w:sz w:val="24"/>
        </w:rPr>
        <w:t>在内部均衡</w:t>
      </w:r>
      <m:oMath>
        <m:sSub>
          <m:e>
            <m:r>
              <m:t>E</m:t>
            </m:r>
          </m:e>
          <m:sub>
            <m:r>
              <m:t>3</m:t>
            </m:r>
          </m:sub>
        </m:sSub>
      </m:oMath>
      <w:r>
        <w:rPr>
          <w:rFonts w:ascii="宋体" w:hAnsi="宋体" w:eastAsia="宋体"/>
          <w:sz w:val="24"/>
        </w:rPr>
        <w:t>处，利用式(6-6)的零增长条件可将对角元大幅简化：</w:t>
      </w:r>
      <m:oMath>
        <m:r>
          <m:t>1</m:t>
        </m:r>
        <m:r>
          <m:rPr>
            <m:sty m:val="p"/>
          </m:rPr>
          <m:t>−</m:t>
        </m:r>
        <m:r>
          <m:t>2</m:t>
        </m:r>
        <m:sSup>
          <m:e>
            <m:r>
              <m:t>T</m:t>
            </m:r>
          </m:e>
          <m:sup>
            <m:r>
              <m:rPr>
                <m:sty m:val="p"/>
              </m:rPr>
              <m:t>*</m:t>
            </m:r>
          </m:sup>
        </m:sSup>
        <m:r>
          <m:rPr>
            <m:sty m:val="p"/>
          </m:rPr>
          <m:t>+</m:t>
        </m:r>
        <m:r>
          <m:t>β</m:t>
        </m:r>
        <m:sSup>
          <m:e>
            <m:r>
              <m:t>I</m:t>
            </m:r>
          </m:e>
          <m:sup>
            <m:r>
              <m:rPr>
                <m:sty m:val="p"/>
              </m:rPr>
              <m:t>*</m:t>
            </m:r>
          </m:sup>
        </m:sSup>
        <m:r>
          <m:rPr>
            <m:sty m:val="p"/>
          </m:rPr>
          <m:t>=</m:t>
        </m:r>
        <m:r>
          <m:rPr>
            <m:sty m:val="p"/>
          </m:rPr>
          <m:t>−</m:t>
        </m:r>
        <m:sSup>
          <m:e>
            <m:r>
              <m:t>T</m:t>
            </m:r>
          </m:e>
          <m:sup>
            <m:r>
              <m:rPr>
                <m:sty m:val="p"/>
              </m:rPr>
              <m:t>*</m:t>
            </m:r>
          </m:sup>
        </m:sSup>
      </m:oMath>
      <w:r>
        <w:rPr>
          <w:rFonts w:ascii="宋体" w:hAnsi="宋体" w:eastAsia="宋体"/>
          <w:sz w:val="24"/>
        </w:rPr>
        <w:t>，</w:t>
      </w:r>
      <m:oMath>
        <m:r>
          <m:t>1</m:t>
        </m:r>
        <m:r>
          <m:rPr>
            <m:sty m:val="p"/>
          </m:rPr>
          <m:t>−</m:t>
        </m:r>
        <m:r>
          <m:t>2</m:t>
        </m:r>
        <m:sSup>
          <m:e>
            <m:r>
              <m:t>I</m:t>
            </m:r>
          </m:e>
          <m:sup>
            <m:r>
              <m:rPr>
                <m:sty m:val="p"/>
              </m:rPr>
              <m:t>*</m:t>
            </m:r>
          </m:sup>
        </m:sSup>
        <m:r>
          <m:rPr>
            <m:sty m:val="p"/>
          </m:rPr>
          <m:t>+</m:t>
        </m:r>
        <m:d>
          <m:dPr>
            <m:begChr m:val="("/>
            <m:sepChr m:val=""/>
            <m:endChr m:val=")"/>
            <m:grow/>
          </m:dPr>
          <m:e>
            <m:r>
              <m:t>α</m:t>
            </m:r>
            <m:r>
              <m:rPr>
                <m:sty m:val="p"/>
              </m:rPr>
              <m:t>+</m:t>
            </m:r>
            <m:r>
              <m:t>γ</m:t>
            </m:r>
          </m:e>
        </m:d>
        <m:sSup>
          <m:e>
            <m:r>
              <m:t>T</m:t>
            </m:r>
          </m:e>
          <m:sup>
            <m:r>
              <m:rPr>
                <m:sty m:val="p"/>
              </m:rPr>
              <m:t>*</m:t>
            </m:r>
          </m:sup>
        </m:sSup>
        <m:r>
          <m:rPr>
            <m:sty m:val="p"/>
          </m:rPr>
          <m:t>−</m:t>
        </m:r>
        <m:r>
          <m:t>γ</m:t>
        </m:r>
        <m:r>
          <m:rPr>
            <m:sty m:val="p"/>
          </m:rPr>
          <m:t>=</m:t>
        </m:r>
        <m:r>
          <m:rPr>
            <m:sty m:val="p"/>
          </m:rPr>
          <m:t>−</m:t>
        </m:r>
        <m:sSup>
          <m:e>
            <m:r>
              <m:t>I</m:t>
            </m:r>
          </m:e>
          <m:sup>
            <m:r>
              <m:rPr>
                <m:sty m:val="p"/>
              </m:rPr>
              <m:t>*</m:t>
            </m:r>
          </m:sup>
        </m:sSup>
      </m:oMath>
      <w:r>
        <w:rPr>
          <w:rFonts w:ascii="宋体" w:hAnsi="宋体" w:eastAsia="宋体"/>
          <w:sz w:val="24"/>
        </w:rPr>
        <w:t>。于是</w:t>
      </w:r>
    </w:p>
    <w:p>
      <w:pPr>
        <w:tabs>
          <w:tab w:pos="4252" w:val="center"/>
          <w:tab w:pos="8504" w:val="right"/>
        </w:tabs>
        <w:spacing w:line="360" w:lineRule="auto" w:before="80" w:after="80"/>
      </w:pPr>
      <w:r>
        <w:tab/>
      </w:r>
      <m:oMath>
        <m:r>
          <m:t>J</m:t>
        </m:r>
        <m:d>
          <m:dPr>
            <m:begChr m:val="("/>
            <m:sepChr m:val=""/>
            <m:endChr m:val=")"/>
            <m:grow/>
          </m:dPr>
          <m:e>
            <m:sSub>
              <m:e>
                <m:r>
                  <m:t>E</m:t>
                </m:r>
              </m:e>
              <m:sub>
                <m:r>
                  <m:t>3</m:t>
                </m:r>
              </m:sub>
            </m:sSub>
          </m:e>
        </m:d>
        <m:r>
          <m:rPr>
            <m:sty m:val="p"/>
          </m:rPr>
          <m:t>=</m:t>
        </m:r>
        <m:d>
          <m:dPr>
            <m:begChr m:val="("/>
            <m:sepChr m:val=""/>
            <m:endChr m:val=")"/>
            <m:grow/>
          </m:dPr>
          <m:e>
            <m:m>
              <m:mPr>
                <m:baseJc m:val="center"/>
                <m:plcHide m:val="on"/>
                <m:mcs>
                  <m:mc>
                    <m:mcPr>
                      <m:count m:val="1"/>
                      <m:mcJc m:val="center"/>
                    </m:mcPr>
                  </m:mc>
                  <m:mc>
                    <m:mcPr>
                      <m:count m:val="1"/>
                      <m:mcJc m:val="center"/>
                    </m:mcPr>
                  </m:mc>
                </m:mcs>
              </m:mPr>
              <m:mr>
                <m:e>
                  <m:r>
                    <m:rPr>
                      <m:sty m:val="p"/>
                    </m:rPr>
                    <m:t>−</m:t>
                  </m:r>
                  <m:sSub>
                    <m:e>
                      <m:r>
                        <m:t>r</m:t>
                      </m:r>
                    </m:e>
                    <m:sub>
                      <m:r>
                        <m:t>T</m:t>
                      </m:r>
                    </m:sub>
                  </m:sSub>
                  <m:sSup>
                    <m:e>
                      <m:r>
                        <m:t>T</m:t>
                      </m:r>
                    </m:e>
                    <m:sup>
                      <m:r>
                        <m:rPr>
                          <m:sty m:val="p"/>
                        </m:rPr>
                        <m:t>*</m:t>
                      </m:r>
                    </m:sup>
                  </m:sSup>
                </m:e>
                <m:e>
                  <m:sSub>
                    <m:e>
                      <m:r>
                        <m:t>r</m:t>
                      </m:r>
                    </m:e>
                    <m:sub>
                      <m:r>
                        <m:t>T</m:t>
                      </m:r>
                    </m:sub>
                  </m:sSub>
                  <m:r>
                    <m:t>β</m:t>
                  </m:r>
                  <m:sSup>
                    <m:e>
                      <m:r>
                        <m:t>T</m:t>
                      </m:r>
                    </m:e>
                    <m:sup>
                      <m:r>
                        <m:rPr>
                          <m:sty m:val="p"/>
                        </m:rPr>
                        <m:t>*</m:t>
                      </m:r>
                    </m:sup>
                  </m:sSup>
                </m:e>
              </m:mr>
              <m:mr>
                <m:e>
                  <m:sSub>
                    <m:e>
                      <m:r>
                        <m:t>r</m:t>
                      </m:r>
                    </m:e>
                    <m:sub>
                      <m:r>
                        <m:t>I</m:t>
                      </m:r>
                    </m:sub>
                  </m:sSub>
                  <m:d>
                    <m:dPr>
                      <m:begChr m:val="("/>
                      <m:sepChr m:val=""/>
                      <m:endChr m:val=")"/>
                      <m:grow/>
                    </m:dPr>
                    <m:e>
                      <m:r>
                        <m:t>α</m:t>
                      </m:r>
                      <m:r>
                        <m:rPr>
                          <m:sty m:val="p"/>
                        </m:rPr>
                        <m:t>+</m:t>
                      </m:r>
                      <m:r>
                        <m:t>γ</m:t>
                      </m:r>
                    </m:e>
                  </m:d>
                  <m:sSup>
                    <m:e>
                      <m:r>
                        <m:t>I</m:t>
                      </m:r>
                    </m:e>
                    <m:sup>
                      <m:r>
                        <m:rPr>
                          <m:sty m:val="p"/>
                        </m:rPr>
                        <m:t>*</m:t>
                      </m:r>
                    </m:sup>
                  </m:sSup>
                </m:e>
                <m:e>
                  <m:r>
                    <m:rPr>
                      <m:sty m:val="p"/>
                    </m:rPr>
                    <m:t>−</m:t>
                  </m:r>
                  <m:sSub>
                    <m:e>
                      <m:r>
                        <m:t>r</m:t>
                      </m:r>
                    </m:e>
                    <m:sub>
                      <m:r>
                        <m:t>I</m:t>
                      </m:r>
                    </m:sub>
                  </m:sSub>
                  <m:sSup>
                    <m:e>
                      <m:r>
                        <m:t>I</m:t>
                      </m:r>
                    </m:e>
                    <m:sup>
                      <m:r>
                        <m:rPr>
                          <m:sty m:val="p"/>
                        </m:rPr>
                        <m:t>*</m:t>
                      </m:r>
                    </m:sup>
                  </m:sSup>
                </m:e>
              </m:mr>
            </m:m>
          </m:e>
        </m:d>
      </m:oMath>
      <w:r>
        <w:tab/>
      </w:r>
      <w:r>
        <w:rPr>
          <w:rFonts w:ascii="Times New Roman" w:hAnsi="Times New Roman" w:eastAsia="宋体"/>
          <w:sz w:val="24"/>
        </w:rPr>
        <w:t>(6-9)</w:t>
      </w:r>
    </w:p>
    <w:p>
      <w:pPr>
        <w:spacing w:line="360" w:lineRule="auto" w:after="0"/>
        <w:ind w:firstLineChars="200" w:firstLine="480"/>
        <w:jc w:val="both"/>
      </w:pPr>
      <w:r>
        <w:rPr>
          <w:rFonts w:ascii="宋体" w:hAnsi="宋体" w:eastAsia="宋体"/>
          <w:sz w:val="24"/>
        </w:rPr>
        <w:t>由式(6-9)立即得到内部均衡处的迹与行列式：</w:t>
      </w:r>
    </w:p>
    <w:p>
      <w:pPr>
        <w:tabs>
          <w:tab w:pos="4252" w:val="center"/>
          <w:tab w:pos="8504" w:val="right"/>
        </w:tabs>
        <w:spacing w:line="360" w:lineRule="auto" w:before="80" w:after="80"/>
      </w:pPr>
      <w:r>
        <w:tab/>
      </w:r>
      <m:oMath>
        <m:r>
          <m:rPr>
            <m:sty m:val="p"/>
          </m:rPr>
          <m:t>t</m:t>
        </m:r>
        <m:r>
          <m:rPr>
            <m:sty m:val="p"/>
          </m:rPr>
          <m:t>r</m:t>
        </m:r>
        <m:r>
          <m:t> </m:t>
        </m:r>
        <m:r>
          <m:t>J</m:t>
        </m:r>
        <m:d>
          <m:dPr>
            <m:begChr m:val="("/>
            <m:sepChr m:val=""/>
            <m:endChr m:val=")"/>
            <m:grow/>
          </m:dPr>
          <m:e>
            <m:sSub>
              <m:e>
                <m:r>
                  <m:t>E</m:t>
                </m:r>
              </m:e>
              <m:sub>
                <m:r>
                  <m:t>3</m:t>
                </m:r>
              </m:sub>
            </m:sSub>
          </m:e>
        </m:d>
        <m:r>
          <m:rPr>
            <m:sty m:val="p"/>
          </m:rPr>
          <m:t>=</m:t>
        </m:r>
        <m:r>
          <m:rPr>
            <m:sty m:val="p"/>
          </m:rPr>
          <m:t>−</m:t>
        </m:r>
        <m:d>
          <m:dPr>
            <m:begChr m:val="("/>
            <m:sepChr m:val=""/>
            <m:endChr m:val=")"/>
            <m:grow/>
          </m:dPr>
          <m:e>
            <m:sSub>
              <m:e>
                <m:r>
                  <m:t>r</m:t>
                </m:r>
              </m:e>
              <m:sub>
                <m:r>
                  <m:t>T</m:t>
                </m:r>
              </m:sub>
            </m:sSub>
            <m:sSup>
              <m:e>
                <m:r>
                  <m:t>T</m:t>
                </m:r>
              </m:e>
              <m:sup>
                <m:r>
                  <m:rPr>
                    <m:sty m:val="p"/>
                  </m:rPr>
                  <m:t>*</m:t>
                </m:r>
              </m:sup>
            </m:sSup>
            <m:r>
              <m:rPr>
                <m:sty m:val="p"/>
              </m:rPr>
              <m:t>+</m:t>
            </m:r>
            <m:sSub>
              <m:e>
                <m:r>
                  <m:t>r</m:t>
                </m:r>
              </m:e>
              <m:sub>
                <m:r>
                  <m:t>I</m:t>
                </m:r>
              </m:sub>
            </m:sSub>
            <m:sSup>
              <m:e>
                <m:r>
                  <m:t>I</m:t>
                </m:r>
              </m:e>
              <m:sup>
                <m:r>
                  <m:rPr>
                    <m:sty m:val="p"/>
                  </m:rPr>
                  <m:t>*</m:t>
                </m:r>
              </m:sup>
            </m:sSup>
          </m:e>
        </m:d>
        <m:r>
          <m:rPr>
            <m:sty m:val="p"/>
          </m:rPr>
          <m:t>&lt;</m:t>
        </m:r>
        <m:r>
          <m:t>0</m:t>
        </m:r>
        <m:r>
          <m:rPr>
            <m:sty m:val="p"/>
          </m:rPr>
          <m:t>,</m:t>
        </m:r>
        <m:r>
          <m:t>  </m:t>
        </m:r>
        <m:r>
          <m:rPr>
            <m:sty m:val="p"/>
          </m:rPr>
          <m:t>det</m:t>
        </m:r>
        <m:r>
          <m:t>J</m:t>
        </m:r>
        <m:d>
          <m:dPr>
            <m:begChr m:val="("/>
            <m:sepChr m:val=""/>
            <m:endChr m:val=")"/>
            <m:grow/>
          </m:dPr>
          <m:e>
            <m:sSub>
              <m:e>
                <m:r>
                  <m:t>E</m:t>
                </m:r>
              </m:e>
              <m:sub>
                <m:r>
                  <m:t>3</m:t>
                </m:r>
              </m:sub>
            </m:sSub>
          </m:e>
        </m:d>
        <m:r>
          <m:rPr>
            <m:sty m:val="p"/>
          </m:rPr>
          <m:t>=</m:t>
        </m:r>
        <m:sSub>
          <m:e>
            <m:r>
              <m:t>r</m:t>
            </m:r>
          </m:e>
          <m:sub>
            <m:r>
              <m:t>T</m:t>
            </m:r>
          </m:sub>
        </m:sSub>
        <m:sSub>
          <m:e>
            <m:r>
              <m:t>r</m:t>
            </m:r>
          </m:e>
          <m:sub>
            <m:r>
              <m:t>I</m:t>
            </m:r>
          </m:sub>
        </m:sSub>
        <m:sSup>
          <m:e>
            <m:r>
              <m:t>T</m:t>
            </m:r>
          </m:e>
          <m:sup>
            <m:r>
              <m:rPr>
                <m:sty m:val="p"/>
              </m:rPr>
              <m:t>*</m:t>
            </m:r>
          </m:sup>
        </m:sSup>
        <m:sSup>
          <m:e>
            <m:r>
              <m:t>I</m:t>
            </m:r>
          </m:e>
          <m:sup>
            <m:r>
              <m:rPr>
                <m:sty m:val="p"/>
              </m:rPr>
              <m:t>*</m:t>
            </m:r>
          </m:sup>
        </m:sSup>
        <m:d>
          <m:dPr>
            <m:begChr m:val="["/>
            <m:sepChr m:val=""/>
            <m:endChr m:val="]"/>
            <m:grow/>
          </m:dPr>
          <m:e>
            <m:r>
              <m:t>1</m:t>
            </m:r>
            <m:r>
              <m:rPr>
                <m:sty m:val="p"/>
              </m:rPr>
              <m:t>−</m:t>
            </m:r>
            <m:r>
              <m:t>β</m:t>
            </m:r>
            <m:d>
              <m:dPr>
                <m:begChr m:val="("/>
                <m:sepChr m:val=""/>
                <m:endChr m:val=")"/>
                <m:grow/>
              </m:dPr>
              <m:e>
                <m:r>
                  <m:t>α</m:t>
                </m:r>
                <m:r>
                  <m:rPr>
                    <m:sty m:val="p"/>
                  </m:rPr>
                  <m:t>+</m:t>
                </m:r>
                <m:r>
                  <m:t>γ</m:t>
                </m:r>
              </m:e>
            </m:d>
          </m:e>
        </m:d>
      </m:oMath>
      <w:r>
        <w:tab/>
      </w:r>
      <w:r>
        <w:rPr>
          <w:rFonts w:ascii="Times New Roman" w:hAnsi="Times New Roman" w:eastAsia="宋体"/>
          <w:sz w:val="24"/>
        </w:rPr>
        <w:t>(6-10)</w:t>
      </w:r>
    </w:p>
    <w:p>
      <w:pPr>
        <w:spacing w:line="360" w:lineRule="auto" w:after="0"/>
        <w:ind w:firstLineChars="200" w:firstLine="480"/>
        <w:jc w:val="both"/>
      </w:pPr>
      <w:r>
        <w:rPr>
          <w:rFonts w:ascii="宋体" w:hAnsi="宋体" w:eastAsia="宋体"/>
          <w:sz w:val="24"/>
        </w:rPr>
        <w:t>按迹—行列式判据，二维系统平衡点局部渐近稳定的充要条件是</w:t>
      </w:r>
      <m:oMath>
        <m:r>
          <m:rPr>
            <m:sty m:val="p"/>
          </m:rPr>
          <m:t>t</m:t>
        </m:r>
        <m:r>
          <m:rPr>
            <m:sty m:val="p"/>
          </m:rPr>
          <m:t>r</m:t>
        </m:r>
        <m:r>
          <m:t> </m:t>
        </m:r>
        <m:r>
          <m:t>J</m:t>
        </m:r>
        <m:r>
          <m:rPr>
            <m:sty m:val="p"/>
          </m:rPr>
          <m:t>&lt;</m:t>
        </m:r>
        <m:r>
          <m:t>0</m:t>
        </m:r>
      </m:oMath>
      <w:r>
        <w:rPr>
          <w:rFonts w:ascii="宋体" w:hAnsi="宋体" w:eastAsia="宋体"/>
          <w:sz w:val="24"/>
        </w:rPr>
        <w:t>且</w:t>
      </w:r>
      <m:oMath>
        <m:r>
          <m:rPr>
            <m:sty m:val="p"/>
          </m:rPr>
          <m:t>det</m:t>
        </m:r>
        <m:r>
          <m:t>J</m:t>
        </m:r>
        <m:r>
          <m:rPr>
            <m:sty m:val="p"/>
          </m:rPr>
          <m:t>&gt;</m:t>
        </m:r>
        <m:r>
          <m:t>0</m:t>
        </m:r>
      </m:oMath>
      <w:r>
        <w:rPr>
          <w:rFonts w:ascii="宋体" w:hAnsi="宋体" w:eastAsia="宋体"/>
          <w:sz w:val="24"/>
        </w:rPr>
        <w:t>；</w:t>
      </w:r>
      <m:oMath>
        <m:r>
          <m:rPr>
            <m:sty m:val="p"/>
          </m:rPr>
          <m:t>det</m:t>
        </m:r>
        <m:r>
          <m:t>J</m:t>
        </m:r>
        <m:r>
          <m:rPr>
            <m:sty m:val="p"/>
          </m:rPr>
          <m:t>&lt;</m:t>
        </m:r>
        <m:r>
          <m:t>0</m:t>
        </m:r>
      </m:oMath>
      <w:r>
        <w:rPr>
          <w:rFonts w:ascii="宋体" w:hAnsi="宋体" w:eastAsia="宋体"/>
          <w:sz w:val="24"/>
        </w:rPr>
        <w:t>对应鞍点；在稳定的前提下，判别式</w:t>
      </w:r>
      <m:oMath>
        <m:r>
          <m:t>Δ</m:t>
        </m:r>
        <m:r>
          <m:rPr>
            <m:sty m:val="p"/>
          </m:rPr>
          <m:t>=</m:t>
        </m:r>
        <m:sSup>
          <m:e>
            <m:d>
              <m:dPr>
                <m:begChr m:val="("/>
                <m:sepChr m:val=""/>
                <m:endChr m:val=")"/>
                <m:grow/>
              </m:dPr>
              <m:e>
                <m:r>
                  <m:rPr>
                    <m:sty m:val="p"/>
                  </m:rPr>
                  <m:t>t</m:t>
                </m:r>
                <m:r>
                  <m:rPr>
                    <m:sty m:val="p"/>
                  </m:rPr>
                  <m:t>r</m:t>
                </m:r>
                <m:r>
                  <m:t> </m:t>
                </m:r>
                <m:r>
                  <m:t>J</m:t>
                </m:r>
              </m:e>
            </m:d>
          </m:e>
          <m:sup>
            <m:r>
              <m:t>2</m:t>
            </m:r>
          </m:sup>
        </m:sSup>
        <m:r>
          <m:rPr>
            <m:sty m:val="p"/>
          </m:rPr>
          <m:t>−</m:t>
        </m:r>
        <m:r>
          <m:t>4</m:t>
        </m:r>
        <m:r>
          <m:rPr>
            <m:sty m:val="p"/>
          </m:rPr>
          <m:t>det</m:t>
        </m:r>
        <m:r>
          <m:t>J</m:t>
        </m:r>
      </m:oMath>
      <w:r>
        <w:rPr>
          <w:rFonts w:ascii="宋体" w:hAnsi="宋体" w:eastAsia="宋体"/>
          <w:sz w:val="24"/>
        </w:rPr>
        <w:t>的符号进一步区分结点（</w:t>
      </w:r>
      <m:oMath>
        <m:r>
          <m:t>Δ</m:t>
        </m:r>
        <m:r>
          <m:rPr>
            <m:sty m:val="p"/>
          </m:rPr>
          <m:t>&gt;</m:t>
        </m:r>
        <m:r>
          <m:t>0</m:t>
        </m:r>
      </m:oMath>
      <w:r>
        <w:rPr>
          <w:rFonts w:ascii="宋体" w:hAnsi="宋体" w:eastAsia="宋体"/>
          <w:sz w:val="24"/>
        </w:rPr>
        <w:t>，单调收敛）与焦点（</w:t>
      </w:r>
      <m:oMath>
        <m:r>
          <m:t>Δ</m:t>
        </m:r>
        <m:r>
          <m:rPr>
            <m:sty m:val="p"/>
          </m:rPr>
          <m:t>&lt;</m:t>
        </m:r>
        <m:r>
          <m:t>0</m:t>
        </m:r>
      </m:oMath>
      <w:r>
        <w:rPr>
          <w:rFonts w:ascii="宋体" w:hAnsi="宋体" w:eastAsia="宋体"/>
          <w:sz w:val="24"/>
        </w:rPr>
        <w:t>，振荡收敛）。对内部均衡而言，迹恒为负，行列式为正恰好等价于存在性条件</w:t>
      </w:r>
      <m:oMath>
        <m:r>
          <m:t>β</m:t>
        </m:r>
        <m:d>
          <m:dPr>
            <m:begChr m:val="("/>
            <m:sepChr m:val=""/>
            <m:endChr m:val=")"/>
            <m:grow/>
          </m:dPr>
          <m:e>
            <m:r>
              <m:t>α</m:t>
            </m:r>
            <m:r>
              <m:rPr>
                <m:sty m:val="p"/>
              </m:rPr>
              <m:t>+</m:t>
            </m:r>
            <m:r>
              <m:t>γ</m:t>
            </m:r>
          </m:e>
        </m:d>
        <m:r>
          <m:rPr>
            <m:sty m:val="p"/>
          </m:rPr>
          <m:t>&lt;</m:t>
        </m:r>
        <m:r>
          <m:t>1</m:t>
        </m:r>
      </m:oMath>
      <w:r>
        <w:rPr>
          <w:rFonts w:ascii="宋体" w:hAnsi="宋体" w:eastAsia="宋体"/>
          <w:sz w:val="24"/>
        </w:rPr>
        <w:t>；而判别式经整理可写为</w:t>
      </w:r>
    </w:p>
    <w:p>
      <w:pPr>
        <w:tabs>
          <w:tab w:pos="4252" w:val="center"/>
          <w:tab w:pos="8504" w:val="right"/>
        </w:tabs>
        <w:spacing w:line="360" w:lineRule="auto" w:before="80" w:after="80"/>
      </w:pPr>
      <w:r>
        <w:tab/>
      </w:r>
      <m:oMath>
        <m:r>
          <m:t>Δ</m:t>
        </m:r>
        <m:r>
          <m:rPr>
            <m:sty m:val="p"/>
          </m:rPr>
          <m:t>=</m:t>
        </m:r>
        <m:sSup>
          <m:e>
            <m:d>
              <m:dPr>
                <m:begChr m:val="("/>
                <m:sepChr m:val=""/>
                <m:endChr m:val=")"/>
                <m:grow/>
              </m:dPr>
              <m:e>
                <m:sSub>
                  <m:e>
                    <m:r>
                      <m:t>r</m:t>
                    </m:r>
                  </m:e>
                  <m:sub>
                    <m:r>
                      <m:t>T</m:t>
                    </m:r>
                  </m:sub>
                </m:sSub>
                <m:sSup>
                  <m:e>
                    <m:r>
                      <m:t>T</m:t>
                    </m:r>
                  </m:e>
                  <m:sup>
                    <m:r>
                      <m:rPr>
                        <m:sty m:val="p"/>
                      </m:rPr>
                      <m:t>*</m:t>
                    </m:r>
                  </m:sup>
                </m:sSup>
                <m:r>
                  <m:rPr>
                    <m:sty m:val="p"/>
                  </m:rPr>
                  <m:t>−</m:t>
                </m:r>
                <m:sSub>
                  <m:e>
                    <m:r>
                      <m:t>r</m:t>
                    </m:r>
                  </m:e>
                  <m:sub>
                    <m:r>
                      <m:t>I</m:t>
                    </m:r>
                  </m:sub>
                </m:sSub>
                <m:sSup>
                  <m:e>
                    <m:r>
                      <m:t>I</m:t>
                    </m:r>
                  </m:e>
                  <m:sup>
                    <m:r>
                      <m:rPr>
                        <m:sty m:val="p"/>
                      </m:rPr>
                      <m:t>*</m:t>
                    </m:r>
                  </m:sup>
                </m:sSup>
              </m:e>
            </m:d>
          </m:e>
          <m:sup>
            <m:r>
              <m:t>2</m:t>
            </m:r>
          </m:sup>
        </m:sSup>
        <m:r>
          <m:rPr>
            <m:sty m:val="p"/>
          </m:rPr>
          <m:t>+</m:t>
        </m:r>
        <m:r>
          <m:t>4</m:t>
        </m:r>
        <m:r>
          <m:t> </m:t>
        </m:r>
        <m:sSub>
          <m:e>
            <m:r>
              <m:t>r</m:t>
            </m:r>
          </m:e>
          <m:sub>
            <m:r>
              <m:t>T</m:t>
            </m:r>
          </m:sub>
        </m:sSub>
        <m:sSub>
          <m:e>
            <m:r>
              <m:t>r</m:t>
            </m:r>
          </m:e>
          <m:sub>
            <m:r>
              <m:t>I</m:t>
            </m:r>
          </m:sub>
        </m:sSub>
        <m:sSup>
          <m:e>
            <m:r>
              <m:t>T</m:t>
            </m:r>
          </m:e>
          <m:sup>
            <m:r>
              <m:rPr>
                <m:sty m:val="p"/>
              </m:rPr>
              <m:t>*</m:t>
            </m:r>
          </m:sup>
        </m:sSup>
        <m:sSup>
          <m:e>
            <m:r>
              <m:t>I</m:t>
            </m:r>
          </m:e>
          <m:sup>
            <m:r>
              <m:rPr>
                <m:sty m:val="p"/>
              </m:rPr>
              <m:t>*</m:t>
            </m:r>
          </m:sup>
        </m:sSup>
        <m:r>
          <m:t>β</m:t>
        </m:r>
        <m:d>
          <m:dPr>
            <m:begChr m:val="("/>
            <m:sepChr m:val=""/>
            <m:endChr m:val=")"/>
            <m:grow/>
          </m:dPr>
          <m:e>
            <m:r>
              <m:t>α</m:t>
            </m:r>
            <m:r>
              <m:rPr>
                <m:sty m:val="p"/>
              </m:rPr>
              <m:t>+</m:t>
            </m:r>
            <m:r>
              <m:t>γ</m:t>
            </m:r>
          </m:e>
        </m:d>
        <m:r>
          <m:rPr>
            <m:sty m:val="p"/>
          </m:rPr>
          <m:t>&gt;</m:t>
        </m:r>
        <m:r>
          <m:t>0</m:t>
        </m:r>
      </m:oMath>
      <w:r>
        <w:tab/>
      </w:r>
      <w:r>
        <w:rPr>
          <w:rFonts w:ascii="Times New Roman" w:hAnsi="Times New Roman" w:eastAsia="宋体"/>
          <w:sz w:val="24"/>
        </w:rPr>
        <w:t>(6-11)</w:t>
      </w:r>
    </w:p>
    <w:p>
      <w:pPr>
        <w:spacing w:line="360" w:lineRule="auto" w:after="0"/>
        <w:ind w:firstLineChars="200" w:firstLine="480"/>
        <w:jc w:val="both"/>
      </w:pPr>
      <w:r>
        <w:rPr>
          <w:rFonts w:ascii="宋体" w:hAnsi="宋体" w:eastAsia="宋体"/>
          <w:sz w:val="24"/>
        </w:rPr>
        <w:t>式(6-11)表明判别式恒为正——只要内部均衡存在，它就是稳定结点而非焦点。这一解析性质排除了技术与制度围绕均衡循环往复的“过冲—回摆”振荡：协同演进的收敛是单调的，不会出现制度建设周期性过度超前又周期性大幅回撤的内生波动。</w:t>
      </w:r>
    </w:p>
    <w:p>
      <w:pPr>
        <w:keepNext/>
        <w:spacing w:before="160" w:after="120" w:line="360" w:lineRule="auto"/>
        <w:outlineLvl w:val="2"/>
      </w:pPr>
      <w:r>
        <w:rPr>
          <w:rFonts w:ascii="黑体" w:hAnsi="黑体" w:eastAsia="黑体"/>
          <w:sz w:val="24"/>
        </w:rPr>
        <w:t>6.3.3  逐点判别与稳定性命题</w:t>
      </w:r>
    </w:p>
    <w:p>
      <w:pPr>
        <w:spacing w:line="360" w:lineRule="auto" w:after="0"/>
        <w:ind w:firstLineChars="200" w:firstLine="480"/>
        <w:jc w:val="both"/>
      </w:pPr>
      <w:r>
        <w:rPr>
          <w:rFonts w:ascii="宋体" w:hAnsi="宋体" w:eastAsia="宋体"/>
          <w:sz w:val="24"/>
        </w:rPr>
        <w:t>将四个平衡点分别代入式(6-8)逐一判别。在</w:t>
      </w:r>
      <m:oMath>
        <m:sSub>
          <m:e>
            <m:r>
              <m:t>E</m:t>
            </m:r>
          </m:e>
          <m:sub>
            <m:r>
              <m:t>0</m:t>
            </m:r>
          </m:sub>
        </m:sSub>
        <m:r>
          <m:rPr>
            <m:sty m:val="p"/>
          </m:rPr>
          <m:t>=</m:t>
        </m:r>
        <m:d>
          <m:dPr>
            <m:begChr m:val="("/>
            <m:sepChr m:val=""/>
            <m:endChr m:val=")"/>
            <m:grow/>
          </m:dPr>
          <m:e>
            <m:r>
              <m:t>0</m:t>
            </m:r>
            <m:r>
              <m:rPr>
                <m:sty m:val="p"/>
              </m:rPr>
              <m:t>,</m:t>
            </m:r>
            <m:r>
              <m:t>0</m:t>
            </m:r>
          </m:e>
        </m:d>
      </m:oMath>
      <w:r>
        <w:rPr>
          <w:rFonts w:ascii="宋体" w:hAnsi="宋体" w:eastAsia="宋体"/>
          <w:sz w:val="24"/>
        </w:rPr>
        <w:t>处，雅可比矩阵退化为对角阵，特征根为</w:t>
      </w:r>
      <m:oMath>
        <m:sSub>
          <m:e>
            <m:r>
              <m:t>λ</m:t>
            </m:r>
          </m:e>
          <m:sub>
            <m:r>
              <m:t>1</m:t>
            </m:r>
          </m:sub>
        </m:sSub>
        <m:r>
          <m:rPr>
            <m:sty m:val="p"/>
          </m:rPr>
          <m:t>=</m:t>
        </m:r>
        <m:sSub>
          <m:e>
            <m:r>
              <m:t>r</m:t>
            </m:r>
          </m:e>
          <m:sub>
            <m:r>
              <m:t>T</m:t>
            </m:r>
          </m:sub>
        </m:sSub>
        <m:r>
          <m:rPr>
            <m:sty m:val="p"/>
          </m:rPr>
          <m:t>&gt;</m:t>
        </m:r>
        <m:r>
          <m:t>0</m:t>
        </m:r>
      </m:oMath>
      <w:r>
        <w:rPr>
          <w:rFonts w:ascii="宋体" w:hAnsi="宋体" w:eastAsia="宋体"/>
          <w:sz w:val="24"/>
        </w:rPr>
        <w:t>与</w:t>
      </w:r>
      <m:oMath>
        <m:sSub>
          <m:e>
            <m:r>
              <m:t>λ</m:t>
            </m:r>
          </m:e>
          <m:sub>
            <m:r>
              <m:t>2</m:t>
            </m:r>
          </m:sub>
        </m:sSub>
        <m:r>
          <m:rPr>
            <m:sty m:val="p"/>
          </m:rPr>
          <m:t>=</m:t>
        </m:r>
        <m:d>
          <m:dPr>
            <m:begChr m:val="("/>
            <m:sepChr m:val=""/>
            <m:endChr m:val=")"/>
            <m:grow/>
          </m:dPr>
          <m:e>
            <m:r>
              <m:t>1</m:t>
            </m:r>
            <m:r>
              <m:rPr>
                <m:sty m:val="p"/>
              </m:rPr>
              <m:t>−</m:t>
            </m:r>
            <m:r>
              <m:t>γ</m:t>
            </m:r>
          </m:e>
        </m:d>
        <m:sSub>
          <m:e>
            <m:r>
              <m:t>r</m:t>
            </m:r>
          </m:e>
          <m:sub>
            <m:r>
              <m:t>I</m:t>
            </m:r>
          </m:sub>
        </m:sSub>
        <m:r>
          <m:rPr>
            <m:sty m:val="p"/>
          </m:rPr>
          <m:t>&gt;</m:t>
        </m:r>
        <m:r>
          <m:t>0</m:t>
        </m:r>
      </m:oMath>
      <w:r>
        <w:rPr>
          <w:rFonts w:ascii="宋体" w:hAnsi="宋体" w:eastAsia="宋体"/>
          <w:sz w:val="24"/>
        </w:rPr>
        <w:t>，两根均正，</w:t>
      </w:r>
      <m:oMath>
        <m:sSub>
          <m:e>
            <m:r>
              <m:t>E</m:t>
            </m:r>
          </m:e>
          <m:sub>
            <m:r>
              <m:t>0</m:t>
            </m:r>
          </m:sub>
        </m:sSub>
      </m:oMath>
      <w:r>
        <w:rPr>
          <w:rFonts w:ascii="宋体" w:hAnsi="宋体" w:eastAsia="宋体"/>
          <w:sz w:val="24"/>
        </w:rPr>
        <w:t>为不稳定结点（源点）。其经济含义耐人寻味：“双低”状态不是陷阱而是排斥点——只要技术或制度出现任意微小的萌芽，正的自主增长率就会使系统自我强化地离开原点。这与绿色低碳领域的史实一致：即便在专门标准几近空白的起步期，节能环保的技术积累与零星制度探索也从未停滞，系统天然具有脱离“双低”的内生动力，差别只在速度。</w:t>
      </w:r>
    </w:p>
    <w:p>
      <w:pPr>
        <w:spacing w:line="360" w:lineRule="auto" w:after="0"/>
        <w:ind w:firstLineChars="200" w:firstLine="480"/>
        <w:jc w:val="both"/>
      </w:pPr>
      <w:r>
        <w:rPr>
          <w:rFonts w:ascii="宋体" w:hAnsi="宋体" w:eastAsia="宋体"/>
          <w:sz w:val="24"/>
        </w:rPr>
        <w:t>在纯技术均衡</w:t>
      </w:r>
      <m:oMath>
        <m:sSub>
          <m:e>
            <m:r>
              <m:t>E</m:t>
            </m:r>
          </m:e>
          <m:sub>
            <m:r>
              <m:t>1</m:t>
            </m:r>
          </m:sub>
        </m:sSub>
        <m:r>
          <m:rPr>
            <m:sty m:val="p"/>
          </m:rPr>
          <m:t>=</m:t>
        </m:r>
        <m:d>
          <m:dPr>
            <m:begChr m:val="("/>
            <m:sepChr m:val=""/>
            <m:endChr m:val=")"/>
            <m:grow/>
          </m:dPr>
          <m:e>
            <m:sSub>
              <m:e>
                <m:r>
                  <m:t>K</m:t>
                </m:r>
              </m:e>
              <m:sub>
                <m:r>
                  <m:t>T</m:t>
                </m:r>
              </m:sub>
            </m:sSub>
            <m:r>
              <m:rPr>
                <m:sty m:val="p"/>
              </m:rPr>
              <m:t>,</m:t>
            </m:r>
            <m:r>
              <m:t>0</m:t>
            </m:r>
          </m:e>
        </m:d>
      </m:oMath>
      <w:r>
        <w:rPr>
          <w:rFonts w:ascii="宋体" w:hAnsi="宋体" w:eastAsia="宋体"/>
          <w:sz w:val="24"/>
        </w:rPr>
        <w:t>处，矩阵为下三角结构，特征根为</w:t>
      </w:r>
      <m:oMath>
        <m:sSub>
          <m:e>
            <m:r>
              <m:t>λ</m:t>
            </m:r>
          </m:e>
          <m:sub>
            <m:r>
              <m:t>1</m:t>
            </m:r>
          </m:sub>
        </m:sSub>
        <m:r>
          <m:rPr>
            <m:sty m:val="p"/>
          </m:rPr>
          <m:t>=</m:t>
        </m:r>
        <m:r>
          <m:rPr>
            <m:sty m:val="p"/>
          </m:rPr>
          <m:t>−</m:t>
        </m:r>
        <m:sSub>
          <m:e>
            <m:r>
              <m:t>r</m:t>
            </m:r>
          </m:e>
          <m:sub>
            <m:r>
              <m:t>T</m:t>
            </m:r>
          </m:sub>
        </m:sSub>
        <m:r>
          <m:rPr>
            <m:sty m:val="p"/>
          </m:rPr>
          <m:t>&lt;</m:t>
        </m:r>
        <m:r>
          <m:t>0</m:t>
        </m:r>
      </m:oMath>
      <w:r>
        <w:rPr>
          <w:rFonts w:ascii="宋体" w:hAnsi="宋体" w:eastAsia="宋体"/>
          <w:sz w:val="24"/>
        </w:rPr>
        <w:t>与</w:t>
      </w:r>
      <m:oMath>
        <m:sSub>
          <m:e>
            <m:r>
              <m:t>λ</m:t>
            </m:r>
          </m:e>
          <m:sub>
            <m:r>
              <m:t>2</m:t>
            </m:r>
          </m:sub>
        </m:sSub>
        <m:r>
          <m:rPr>
            <m:sty m:val="p"/>
          </m:rPr>
          <m:t>=</m:t>
        </m:r>
        <m:d>
          <m:dPr>
            <m:begChr m:val="("/>
            <m:sepChr m:val=""/>
            <m:endChr m:val=")"/>
            <m:grow/>
          </m:dPr>
          <m:e>
            <m:r>
              <m:t>1</m:t>
            </m:r>
            <m:r>
              <m:rPr>
                <m:sty m:val="p"/>
              </m:rPr>
              <m:t>+</m:t>
            </m:r>
            <m:r>
              <m:t>α</m:t>
            </m:r>
          </m:e>
        </m:d>
        <m:sSub>
          <m:e>
            <m:r>
              <m:t>r</m:t>
            </m:r>
          </m:e>
          <m:sub>
            <m:r>
              <m:t>I</m:t>
            </m:r>
          </m:sub>
        </m:sSub>
        <m:r>
          <m:rPr>
            <m:sty m:val="p"/>
          </m:rPr>
          <m:t>&gt;</m:t>
        </m:r>
        <m:r>
          <m:t>0</m:t>
        </m:r>
      </m:oMath>
      <w:r>
        <w:rPr>
          <w:rFonts w:ascii="宋体" w:hAnsi="宋体" w:eastAsia="宋体"/>
          <w:sz w:val="24"/>
        </w:rPr>
        <w:t>，一负一正，</w:t>
      </w:r>
      <m:oMath>
        <m:sSub>
          <m:e>
            <m:r>
              <m:t>E</m:t>
            </m:r>
          </m:e>
          <m:sub>
            <m:r>
              <m:t>1</m:t>
            </m:r>
          </m:sub>
        </m:sSub>
      </m:oMath>
      <w:r>
        <w:rPr>
          <w:rFonts w:ascii="宋体" w:hAnsi="宋体" w:eastAsia="宋体"/>
          <w:sz w:val="24"/>
        </w:rPr>
        <w:t>为鞍点。技术方向上系统受容量约束收敛，但制度方向上任何萌芽都会以</w:t>
      </w:r>
      <m:oMath>
        <m:d>
          <m:dPr>
            <m:begChr m:val="("/>
            <m:sepChr m:val=""/>
            <m:endChr m:val=")"/>
            <m:grow/>
          </m:dPr>
          <m:e>
            <m:r>
              <m:t>1</m:t>
            </m:r>
            <m:r>
              <m:rPr>
                <m:sty m:val="p"/>
              </m:rPr>
              <m:t>+</m:t>
            </m:r>
            <m:r>
              <m:t>α</m:t>
            </m:r>
          </m:e>
        </m:d>
        <m:sSub>
          <m:e>
            <m:r>
              <m:t>r</m:t>
            </m:r>
          </m:e>
          <m:sub>
            <m:r>
              <m:t>I</m:t>
            </m:r>
          </m:sub>
        </m:sSub>
      </m:oMath>
      <w:r>
        <w:rPr>
          <w:rFonts w:ascii="宋体" w:hAnsi="宋体" w:eastAsia="宋体"/>
          <w:sz w:val="24"/>
        </w:rPr>
        <w:t>的速率自我扩张——技术成熟不仅不排斥制度，反而以互馈系数</w:t>
      </w:r>
      <m:oMath>
        <m:r>
          <m:t>α</m:t>
        </m:r>
      </m:oMath>
      <w:r>
        <w:rPr>
          <w:rFonts w:ascii="宋体" w:hAnsi="宋体" w:eastAsia="宋体"/>
          <w:sz w:val="24"/>
        </w:rPr>
        <w:t>加速制度起飞。因此“技术单极”只是过渡状态：技术积累一旦越过门槛，标准化需求便内生涌现，把系统推离</w:t>
      </w:r>
      <m:oMath>
        <m:sSub>
          <m:e>
            <m:r>
              <m:t>E</m:t>
            </m:r>
          </m:e>
          <m:sub>
            <m:r>
              <m:t>1</m:t>
            </m:r>
          </m:sub>
        </m:sSub>
      </m:oMath>
      <w:r>
        <w:rPr>
          <w:rFonts w:ascii="宋体" w:hAnsi="宋体" w:eastAsia="宋体"/>
          <w:sz w:val="24"/>
        </w:rPr>
        <w:t>而转入协同轨道。这解释了为何2004年前后我国低碳技术引进消化到一定程度后，专门标准供给随即进入持续增长通道。</w:t>
      </w:r>
    </w:p>
    <w:p>
      <w:pPr>
        <w:spacing w:line="360" w:lineRule="auto" w:after="0"/>
        <w:ind w:firstLineChars="200" w:firstLine="480"/>
        <w:jc w:val="both"/>
      </w:pPr>
      <w:r>
        <w:rPr>
          <w:rFonts w:ascii="宋体" w:hAnsi="宋体" w:eastAsia="宋体"/>
          <w:sz w:val="24"/>
        </w:rPr>
        <w:t>在纯制度均衡</w:t>
      </w:r>
      <m:oMath>
        <m:sSub>
          <m:e>
            <m:r>
              <m:t>E</m:t>
            </m:r>
          </m:e>
          <m:sub>
            <m:r>
              <m:t>2</m:t>
            </m:r>
          </m:sub>
        </m:sSub>
        <m:r>
          <m:rPr>
            <m:sty m:val="p"/>
          </m:rPr>
          <m:t>=</m:t>
        </m:r>
        <m:d>
          <m:dPr>
            <m:begChr m:val="("/>
            <m:sepChr m:val=""/>
            <m:endChr m:val=")"/>
            <m:grow/>
          </m:dPr>
          <m:e>
            <m:r>
              <m:t>0</m:t>
            </m:r>
            <m:r>
              <m:rPr>
                <m:sty m:val="p"/>
              </m:rPr>
              <m:t>,</m:t>
            </m:r>
            <m:d>
              <m:dPr>
                <m:begChr m:val="("/>
                <m:sepChr m:val=""/>
                <m:endChr m:val=")"/>
                <m:grow/>
              </m:dPr>
              <m:e>
                <m:r>
                  <m:t>1</m:t>
                </m:r>
                <m:r>
                  <m:rPr>
                    <m:sty m:val="p"/>
                  </m:rPr>
                  <m:t>−</m:t>
                </m:r>
                <m:r>
                  <m:t>γ</m:t>
                </m:r>
              </m:e>
            </m:d>
            <m:sSub>
              <m:e>
                <m:r>
                  <m:t>K</m:t>
                </m:r>
              </m:e>
              <m:sub>
                <m:r>
                  <m:t>I</m:t>
                </m:r>
              </m:sub>
            </m:sSub>
          </m:e>
        </m:d>
      </m:oMath>
      <w:r>
        <w:rPr>
          <w:rFonts w:ascii="宋体" w:hAnsi="宋体" w:eastAsia="宋体"/>
          <w:sz w:val="24"/>
        </w:rPr>
        <w:t>处，矩阵为上三角结构，特征根为</w:t>
      </w:r>
      <m:oMath>
        <m:sSub>
          <m:e>
            <m:r>
              <m:t>λ</m:t>
            </m:r>
          </m:e>
          <m:sub>
            <m:r>
              <m:t>1</m:t>
            </m:r>
          </m:sub>
        </m:sSub>
        <m:r>
          <m:rPr>
            <m:sty m:val="p"/>
          </m:rPr>
          <m:t>=</m:t>
        </m:r>
        <m:d>
          <m:dPr>
            <m:begChr m:val="["/>
            <m:sepChr m:val=""/>
            <m:endChr m:val="]"/>
            <m:grow/>
          </m:dPr>
          <m:e>
            <m:r>
              <m:t>1</m:t>
            </m:r>
            <m:r>
              <m:rPr>
                <m:sty m:val="p"/>
              </m:rPr>
              <m:t>+</m:t>
            </m:r>
            <m:r>
              <m:t>β</m:t>
            </m:r>
            <m:d>
              <m:dPr>
                <m:begChr m:val="("/>
                <m:sepChr m:val=""/>
                <m:endChr m:val=")"/>
                <m:grow/>
              </m:dPr>
              <m:e>
                <m:r>
                  <m:t>1</m:t>
                </m:r>
                <m:r>
                  <m:rPr>
                    <m:sty m:val="p"/>
                  </m:rPr>
                  <m:t>−</m:t>
                </m:r>
                <m:r>
                  <m:t>γ</m:t>
                </m:r>
              </m:e>
            </m:d>
          </m:e>
        </m:d>
        <m:sSub>
          <m:e>
            <m:r>
              <m:t>r</m:t>
            </m:r>
          </m:e>
          <m:sub>
            <m:r>
              <m:t>T</m:t>
            </m:r>
          </m:sub>
        </m:sSub>
        <m:r>
          <m:rPr>
            <m:sty m:val="p"/>
          </m:rPr>
          <m:t>&gt;</m:t>
        </m:r>
        <m:r>
          <m:t>0</m:t>
        </m:r>
      </m:oMath>
      <w:r>
        <w:rPr>
          <w:rFonts w:ascii="宋体" w:hAnsi="宋体" w:eastAsia="宋体"/>
          <w:sz w:val="24"/>
        </w:rPr>
        <w:t>与</w:t>
      </w:r>
      <m:oMath>
        <m:sSub>
          <m:e>
            <m:r>
              <m:t>λ</m:t>
            </m:r>
          </m:e>
          <m:sub>
            <m:r>
              <m:t>2</m:t>
            </m:r>
          </m:sub>
        </m:sSub>
        <m:r>
          <m:rPr>
            <m:sty m:val="p"/>
          </m:rPr>
          <m:t>=</m:t>
        </m:r>
        <m:r>
          <m:rPr>
            <m:sty m:val="p"/>
          </m:rPr>
          <m:t>−</m:t>
        </m:r>
        <m:d>
          <m:dPr>
            <m:begChr m:val="("/>
            <m:sepChr m:val=""/>
            <m:endChr m:val=")"/>
            <m:grow/>
          </m:dPr>
          <m:e>
            <m:r>
              <m:t>1</m:t>
            </m:r>
            <m:r>
              <m:rPr>
                <m:sty m:val="p"/>
              </m:rPr>
              <m:t>−</m:t>
            </m:r>
            <m:r>
              <m:t>γ</m:t>
            </m:r>
          </m:e>
        </m:d>
        <m:sSub>
          <m:e>
            <m:r>
              <m:t>r</m:t>
            </m:r>
          </m:e>
          <m:sub>
            <m:r>
              <m:t>I</m:t>
            </m:r>
          </m:sub>
        </m:sSub>
        <m:r>
          <m:rPr>
            <m:sty m:val="p"/>
          </m:rPr>
          <m:t>&lt;</m:t>
        </m:r>
        <m:r>
          <m:t>0</m:t>
        </m:r>
      </m:oMath>
      <w:r>
        <w:rPr>
          <w:rFonts w:ascii="宋体" w:hAnsi="宋体" w:eastAsia="宋体"/>
          <w:sz w:val="24"/>
        </w:rPr>
        <w:t>，同样一正一负，</w:t>
      </w:r>
      <m:oMath>
        <m:sSub>
          <m:e>
            <m:r>
              <m:t>E</m:t>
            </m:r>
          </m:e>
          <m:sub>
            <m:r>
              <m:t>2</m:t>
            </m:r>
          </m:sub>
        </m:sSub>
      </m:oMath>
      <w:r>
        <w:rPr>
          <w:rFonts w:ascii="宋体" w:hAnsi="宋体" w:eastAsia="宋体"/>
          <w:sz w:val="24"/>
        </w:rPr>
        <w:t>亦为鞍点。行政推动型标准化即便达到了折价后的有效容量</w:t>
      </w:r>
      <m:oMath>
        <m:d>
          <m:dPr>
            <m:begChr m:val="("/>
            <m:sepChr m:val=""/>
            <m:endChr m:val=")"/>
            <m:grow/>
          </m:dPr>
          <m:e>
            <m:r>
              <m:t>1</m:t>
            </m:r>
            <m:r>
              <m:rPr>
                <m:sty m:val="p"/>
              </m:rPr>
              <m:t>−</m:t>
            </m:r>
            <m:r>
              <m:t>γ</m:t>
            </m:r>
          </m:e>
        </m:d>
        <m:sSub>
          <m:e>
            <m:r>
              <m:t>K</m:t>
            </m:r>
          </m:e>
          <m:sub>
            <m:r>
              <m:t>I</m:t>
            </m:r>
          </m:sub>
        </m:sSub>
      </m:oMath>
      <w:r>
        <w:rPr>
          <w:rFonts w:ascii="宋体" w:hAnsi="宋体" w:eastAsia="宋体"/>
          <w:sz w:val="24"/>
        </w:rPr>
        <w:t>，也无法把技术水平锁死在零：既有制度对技术创新的激励</w:t>
      </w:r>
      <m:oMath>
        <m:r>
          <m:t>β</m:t>
        </m:r>
      </m:oMath>
      <w:r>
        <w:rPr>
          <w:rFonts w:ascii="宋体" w:hAnsi="宋体" w:eastAsia="宋体"/>
          <w:sz w:val="24"/>
        </w:rPr>
        <w:t>会使技术从任何微小起点起飞，系统随之离开</w:t>
      </w:r>
      <m:oMath>
        <m:sSub>
          <m:e>
            <m:r>
              <m:t>E</m:t>
            </m:r>
          </m:e>
          <m:sub>
            <m:r>
              <m:t>2</m:t>
            </m:r>
          </m:sub>
        </m:sSub>
      </m:oMath>
      <w:r>
        <w:rPr>
          <w:rFonts w:ascii="宋体" w:hAnsi="宋体" w:eastAsia="宋体"/>
          <w:sz w:val="24"/>
        </w:rPr>
        <w:t>。换言之，模型中不存在“只有制度、没有技术”的稳定归宿，“文件标准化”不仅水平受限，而且注定是暂态。</w:t>
      </w:r>
    </w:p>
    <w:p>
      <w:pPr>
        <w:spacing w:line="360" w:lineRule="auto" w:after="0"/>
        <w:ind w:firstLineChars="200" w:firstLine="480"/>
        <w:jc w:val="both"/>
      </w:pPr>
      <w:r>
        <w:rPr>
          <w:rFonts w:ascii="宋体" w:hAnsi="宋体" w:eastAsia="宋体"/>
          <w:sz w:val="24"/>
        </w:rPr>
        <w:t>表6.1汇总了四个平衡点的完整判别结果，其结构呈现出清晰的“漏斗”形态：三个边界平衡点全部不稳定，唯一可能稳定的归宿是内部协同均衡。这一定性结构可凝练为如下命题。</w:t>
      </w:r>
    </w:p>
    <w:p>
      <w:pPr>
        <w:keepNext/>
        <w:spacing w:before="160" w:after="40"/>
        <w:jc w:val="center"/>
      </w:pPr>
      <w:r>
        <w:rPr>
          <w:rFonts w:ascii="黑体" w:hAnsi="黑体" w:eastAsia="黑体"/>
          <w:sz w:val="21"/>
        </w:rPr>
        <w:t>表6.1  平衡点的存在性与局部稳定性判别</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平衡点</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经济含义</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存在条件</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特征根（符号）</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类型</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稳定性</w:t>
            </w:r>
          </w:p>
        </w:tc>
      </w:tr>
      <w:tr>
        <w:tc>
          <w:tcPr>
            <w:tcW w:type="dxa" w:w="1417"/>
            <w:vAlign w:val="center"/>
          </w:tcPr>
          <w:p>
            <w:pPr>
              <w:spacing w:line="240" w:lineRule="auto" w:after="20" w:before="20"/>
              <w:jc w:val="left"/>
            </w:pPr>
            <w:r/>
            <m:oMath>
              <m:sSub>
                <m:e>
                  <m:r>
                    <m:t>E</m:t>
                  </m:r>
                </m:e>
                <m:sub>
                  <m:r>
                    <m:t>0</m:t>
                  </m:r>
                </m:sub>
              </m:sSub>
              <m:r>
                <m:rPr>
                  <m:sty m:val="p"/>
                </m:rPr>
                <m:t>=</m:t>
              </m:r>
              <m:d>
                <m:dPr>
                  <m:begChr m:val="("/>
                  <m:sepChr m:val=""/>
                  <m:endChr m:val=")"/>
                  <m:grow/>
                </m:dPr>
                <m:e>
                  <m:r>
                    <m:t>0</m:t>
                  </m:r>
                  <m:r>
                    <m:rPr>
                      <m:sty m:val="p"/>
                    </m:rPr>
                    <m:t>,</m:t>
                  </m:r>
                  <m:r>
                    <m:t>0</m:t>
                  </m:r>
                </m:e>
              </m:d>
            </m:oMath>
          </w:p>
        </w:tc>
        <w:tc>
          <w:tcPr>
            <w:tcW w:type="dxa" w:w="1417"/>
            <w:vAlign w:val="center"/>
          </w:tcPr>
          <w:p>
            <w:pPr>
              <w:spacing w:line="240" w:lineRule="auto" w:after="20" w:before="20"/>
              <w:jc w:val="left"/>
            </w:pPr>
            <w:r/>
            <w:r>
              <w:rPr>
                <w:rFonts w:ascii="宋体" w:hAnsi="宋体" w:eastAsia="宋体"/>
                <w:sz w:val="21"/>
              </w:rPr>
              <w:t>技术制度双缺失</w:t>
            </w:r>
          </w:p>
        </w:tc>
        <w:tc>
          <w:tcPr>
            <w:tcW w:type="dxa" w:w="1417"/>
            <w:vAlign w:val="center"/>
          </w:tcPr>
          <w:p>
            <w:pPr>
              <w:spacing w:line="240" w:lineRule="auto" w:after="20" w:before="20"/>
              <w:jc w:val="center"/>
            </w:pPr>
            <w:r/>
            <w:r>
              <w:rPr>
                <w:rFonts w:ascii="宋体" w:hAnsi="宋体" w:eastAsia="宋体"/>
                <w:sz w:val="21"/>
              </w:rPr>
              <w:t>恒存在</w:t>
            </w:r>
          </w:p>
        </w:tc>
        <w:tc>
          <w:tcPr>
            <w:tcW w:type="dxa" w:w="1417"/>
            <w:vAlign w:val="center"/>
          </w:tcPr>
          <w:p>
            <w:pPr>
              <w:spacing w:line="240" w:lineRule="auto" w:after="20" w:before="20"/>
              <w:jc w:val="left"/>
            </w:pPr>
            <w:r/>
            <m:oMath>
              <m:sSub>
                <m:e>
                  <m:r>
                    <m:t>λ</m:t>
                  </m:r>
                </m:e>
                <m:sub>
                  <m:r>
                    <m:t>1</m:t>
                  </m:r>
                </m:sub>
              </m:sSub>
              <m:r>
                <m:rPr>
                  <m:sty m:val="p"/>
                </m:rPr>
                <m:t>=</m:t>
              </m:r>
              <m:sSub>
                <m:e>
                  <m:r>
                    <m:t>r</m:t>
                  </m:r>
                </m:e>
                <m:sub>
                  <m:r>
                    <m:t>T</m:t>
                  </m:r>
                </m:sub>
              </m:sSub>
              <m:r>
                <m:rPr>
                  <m:sty m:val="p"/>
                </m:rPr>
                <m:t>&gt;</m:t>
              </m:r>
              <m:r>
                <m:t>0</m:t>
              </m:r>
            </m:oMath>
            <w:r>
              <w:rPr>
                <w:rFonts w:ascii="宋体" w:hAnsi="宋体" w:eastAsia="宋体"/>
                <w:sz w:val="21"/>
              </w:rPr>
              <w:t>；</w:t>
            </w:r>
            <m:oMath>
              <m:sSub>
                <m:e>
                  <m:r>
                    <m:t>λ</m:t>
                  </m:r>
                </m:e>
                <m:sub>
                  <m:r>
                    <m:t>2</m:t>
                  </m:r>
                </m:sub>
              </m:sSub>
              <m:r>
                <m:rPr>
                  <m:sty m:val="p"/>
                </m:rPr>
                <m:t>=</m:t>
              </m:r>
              <m:d>
                <m:dPr>
                  <m:begChr m:val="("/>
                  <m:sepChr m:val=""/>
                  <m:endChr m:val=")"/>
                  <m:grow/>
                </m:dPr>
                <m:e>
                  <m:r>
                    <m:t>1</m:t>
                  </m:r>
                  <m:r>
                    <m:rPr>
                      <m:sty m:val="p"/>
                    </m:rPr>
                    <m:t>−</m:t>
                  </m:r>
                  <m:r>
                    <m:t>γ</m:t>
                  </m:r>
                </m:e>
              </m:d>
              <m:sSub>
                <m:e>
                  <m:r>
                    <m:t>r</m:t>
                  </m:r>
                </m:e>
                <m:sub>
                  <m:r>
                    <m:t>I</m:t>
                  </m:r>
                </m:sub>
              </m:sSub>
              <m:r>
                <m:rPr>
                  <m:sty m:val="p"/>
                </m:rPr>
                <m:t>&gt;</m:t>
              </m:r>
              <m:r>
                <m:t>0</m:t>
              </m:r>
            </m:oMath>
          </w:p>
        </w:tc>
        <w:tc>
          <w:tcPr>
            <w:tcW w:type="dxa" w:w="1417"/>
            <w:vAlign w:val="center"/>
          </w:tcPr>
          <w:p>
            <w:pPr>
              <w:spacing w:line="240" w:lineRule="auto" w:after="20" w:before="20"/>
              <w:jc w:val="center"/>
            </w:pPr>
            <w:r/>
            <w:r>
              <w:rPr>
                <w:rFonts w:ascii="宋体" w:hAnsi="宋体" w:eastAsia="宋体"/>
                <w:sz w:val="21"/>
              </w:rPr>
              <w:t>结点（源点）</w:t>
            </w:r>
          </w:p>
        </w:tc>
        <w:tc>
          <w:tcPr>
            <w:tcW w:type="dxa" w:w="1417"/>
            <w:vAlign w:val="center"/>
          </w:tcPr>
          <w:p>
            <w:pPr>
              <w:spacing w:line="240" w:lineRule="auto" w:after="20" w:before="20"/>
              <w:jc w:val="center"/>
            </w:pPr>
            <w:r/>
            <w:r>
              <w:rPr>
                <w:rFonts w:ascii="宋体" w:hAnsi="宋体" w:eastAsia="宋体"/>
                <w:sz w:val="21"/>
              </w:rPr>
              <w:t>不稳定</w:t>
            </w:r>
          </w:p>
        </w:tc>
      </w:tr>
      <w:tr>
        <w:tc>
          <w:tcPr>
            <w:tcW w:type="dxa" w:w="1417"/>
            <w:vAlign w:val="center"/>
          </w:tcPr>
          <w:p>
            <w:pPr>
              <w:spacing w:line="240" w:lineRule="auto" w:after="20" w:before="20"/>
              <w:jc w:val="left"/>
            </w:pPr>
            <w:r/>
            <m:oMath>
              <m:sSub>
                <m:e>
                  <m:r>
                    <m:t>E</m:t>
                  </m:r>
                </m:e>
                <m:sub>
                  <m:r>
                    <m:t>1</m:t>
                  </m:r>
                </m:sub>
              </m:sSub>
              <m:r>
                <m:rPr>
                  <m:sty m:val="p"/>
                </m:rPr>
                <m:t>=</m:t>
              </m:r>
              <m:d>
                <m:dPr>
                  <m:begChr m:val="("/>
                  <m:sepChr m:val=""/>
                  <m:endChr m:val=")"/>
                  <m:grow/>
                </m:dPr>
                <m:e>
                  <m:sSub>
                    <m:e>
                      <m:r>
                        <m:t>K</m:t>
                      </m:r>
                    </m:e>
                    <m:sub>
                      <m:r>
                        <m:t>T</m:t>
                      </m:r>
                    </m:sub>
                  </m:sSub>
                  <m:r>
                    <m:rPr>
                      <m:sty m:val="p"/>
                    </m:rPr>
                    <m:t>,</m:t>
                  </m:r>
                  <m:r>
                    <m:t>0</m:t>
                  </m:r>
                </m:e>
              </m:d>
            </m:oMath>
          </w:p>
        </w:tc>
        <w:tc>
          <w:tcPr>
            <w:tcW w:type="dxa" w:w="1417"/>
            <w:vAlign w:val="center"/>
          </w:tcPr>
          <w:p>
            <w:pPr>
              <w:spacing w:line="240" w:lineRule="auto" w:after="20" w:before="20"/>
              <w:jc w:val="left"/>
            </w:pPr>
            <w:r/>
            <w:r>
              <w:rPr>
                <w:rFonts w:ascii="宋体" w:hAnsi="宋体" w:eastAsia="宋体"/>
                <w:sz w:val="21"/>
              </w:rPr>
              <w:t>纯技术推进、制度缺位</w:t>
            </w:r>
          </w:p>
        </w:tc>
        <w:tc>
          <w:tcPr>
            <w:tcW w:type="dxa" w:w="1417"/>
            <w:vAlign w:val="center"/>
          </w:tcPr>
          <w:p>
            <w:pPr>
              <w:spacing w:line="240" w:lineRule="auto" w:after="20" w:before="20"/>
              <w:jc w:val="center"/>
            </w:pPr>
            <w:r/>
            <w:r>
              <w:rPr>
                <w:rFonts w:ascii="宋体" w:hAnsi="宋体" w:eastAsia="宋体"/>
                <w:sz w:val="21"/>
              </w:rPr>
              <w:t>恒存在</w:t>
            </w:r>
          </w:p>
        </w:tc>
        <w:tc>
          <w:tcPr>
            <w:tcW w:type="dxa" w:w="1417"/>
            <w:vAlign w:val="center"/>
          </w:tcPr>
          <w:p>
            <w:pPr>
              <w:spacing w:line="240" w:lineRule="auto" w:after="20" w:before="20"/>
              <w:jc w:val="left"/>
            </w:pPr>
            <w:r/>
            <m:oMath>
              <m:sSub>
                <m:e>
                  <m:r>
                    <m:t>λ</m:t>
                  </m:r>
                </m:e>
                <m:sub>
                  <m:r>
                    <m:t>1</m:t>
                  </m:r>
                </m:sub>
              </m:sSub>
              <m:r>
                <m:rPr>
                  <m:sty m:val="p"/>
                </m:rPr>
                <m:t>=</m:t>
              </m:r>
              <m:r>
                <m:rPr>
                  <m:sty m:val="p"/>
                </m:rPr>
                <m:t>−</m:t>
              </m:r>
              <m:sSub>
                <m:e>
                  <m:r>
                    <m:t>r</m:t>
                  </m:r>
                </m:e>
                <m:sub>
                  <m:r>
                    <m:t>T</m:t>
                  </m:r>
                </m:sub>
              </m:sSub>
              <m:r>
                <m:rPr>
                  <m:sty m:val="p"/>
                </m:rPr>
                <m:t>&lt;</m:t>
              </m:r>
              <m:r>
                <m:t>0</m:t>
              </m:r>
            </m:oMath>
            <w:r>
              <w:rPr>
                <w:rFonts w:ascii="宋体" w:hAnsi="宋体" w:eastAsia="宋体"/>
                <w:sz w:val="21"/>
              </w:rPr>
              <w:t>；</w:t>
            </w:r>
            <m:oMath>
              <m:sSub>
                <m:e>
                  <m:r>
                    <m:t>λ</m:t>
                  </m:r>
                </m:e>
                <m:sub>
                  <m:r>
                    <m:t>2</m:t>
                  </m:r>
                </m:sub>
              </m:sSub>
              <m:r>
                <m:rPr>
                  <m:sty m:val="p"/>
                </m:rPr>
                <m:t>=</m:t>
              </m:r>
              <m:d>
                <m:dPr>
                  <m:begChr m:val="("/>
                  <m:sepChr m:val=""/>
                  <m:endChr m:val=")"/>
                  <m:grow/>
                </m:dPr>
                <m:e>
                  <m:r>
                    <m:t>1</m:t>
                  </m:r>
                  <m:r>
                    <m:rPr>
                      <m:sty m:val="p"/>
                    </m:rPr>
                    <m:t>+</m:t>
                  </m:r>
                  <m:r>
                    <m:t>α</m:t>
                  </m:r>
                </m:e>
              </m:d>
              <m:sSub>
                <m:e>
                  <m:r>
                    <m:t>r</m:t>
                  </m:r>
                </m:e>
                <m:sub>
                  <m:r>
                    <m:t>I</m:t>
                  </m:r>
                </m:sub>
              </m:sSub>
              <m:r>
                <m:rPr>
                  <m:sty m:val="p"/>
                </m:rPr>
                <m:t>&gt;</m:t>
              </m:r>
              <m:r>
                <m:t>0</m:t>
              </m:r>
            </m:oMath>
          </w:p>
        </w:tc>
        <w:tc>
          <w:tcPr>
            <w:tcW w:type="dxa" w:w="1417"/>
            <w:vAlign w:val="center"/>
          </w:tcPr>
          <w:p>
            <w:pPr>
              <w:spacing w:line="240" w:lineRule="auto" w:after="20" w:before="20"/>
              <w:jc w:val="center"/>
            </w:pPr>
            <w:r/>
            <w:r>
              <w:rPr>
                <w:rFonts w:ascii="宋体" w:hAnsi="宋体" w:eastAsia="宋体"/>
                <w:sz w:val="21"/>
              </w:rPr>
              <w:t>鞍点</w:t>
            </w:r>
          </w:p>
        </w:tc>
        <w:tc>
          <w:tcPr>
            <w:tcW w:type="dxa" w:w="1417"/>
            <w:vAlign w:val="center"/>
          </w:tcPr>
          <w:p>
            <w:pPr>
              <w:spacing w:line="240" w:lineRule="auto" w:after="20" w:before="20"/>
              <w:jc w:val="center"/>
            </w:pPr>
            <w:r/>
            <w:r>
              <w:rPr>
                <w:rFonts w:ascii="宋体" w:hAnsi="宋体" w:eastAsia="宋体"/>
                <w:sz w:val="21"/>
              </w:rPr>
              <w:t>不稳定</w:t>
            </w:r>
          </w:p>
        </w:tc>
      </w:tr>
      <w:tr>
        <w:tc>
          <w:tcPr>
            <w:tcW w:type="dxa" w:w="1417"/>
            <w:vAlign w:val="center"/>
          </w:tcPr>
          <w:p>
            <w:pPr>
              <w:spacing w:line="240" w:lineRule="auto" w:after="20" w:before="20"/>
              <w:jc w:val="left"/>
            </w:pPr>
            <w:r/>
            <m:oMath>
              <m:sSub>
                <m:e>
                  <m:r>
                    <m:t>E</m:t>
                  </m:r>
                </m:e>
                <m:sub>
                  <m:r>
                    <m:t>2</m:t>
                  </m:r>
                </m:sub>
              </m:sSub>
              <m:r>
                <m:rPr>
                  <m:sty m:val="p"/>
                </m:rPr>
                <m:t>=</m:t>
              </m:r>
              <m:d>
                <m:dPr>
                  <m:begChr m:val="("/>
                  <m:sepChr m:val=""/>
                  <m:endChr m:val=")"/>
                  <m:grow/>
                </m:dPr>
                <m:e>
                  <m:r>
                    <m:t>0</m:t>
                  </m:r>
                  <m:r>
                    <m:rPr>
                      <m:sty m:val="p"/>
                    </m:rPr>
                    <m:t>,</m:t>
                  </m:r>
                  <m:d>
                    <m:dPr>
                      <m:begChr m:val="("/>
                      <m:sepChr m:val=""/>
                      <m:endChr m:val=")"/>
                      <m:grow/>
                    </m:dPr>
                    <m:e>
                      <m:r>
                        <m:t>1</m:t>
                      </m:r>
                      <m:r>
                        <m:rPr>
                          <m:sty m:val="p"/>
                        </m:rPr>
                        <m:t>−</m:t>
                      </m:r>
                      <m:r>
                        <m:t>γ</m:t>
                      </m:r>
                    </m:e>
                  </m:d>
                  <m:sSub>
                    <m:e>
                      <m:r>
                        <m:t>K</m:t>
                      </m:r>
                    </m:e>
                    <m:sub>
                      <m:r>
                        <m:t>I</m:t>
                      </m:r>
                    </m:sub>
                  </m:sSub>
                </m:e>
              </m:d>
            </m:oMath>
          </w:p>
        </w:tc>
        <w:tc>
          <w:tcPr>
            <w:tcW w:type="dxa" w:w="1417"/>
            <w:vAlign w:val="center"/>
          </w:tcPr>
          <w:p>
            <w:pPr>
              <w:spacing w:line="240" w:lineRule="auto" w:after="20" w:before="20"/>
              <w:jc w:val="left"/>
            </w:pPr>
            <w:r/>
            <w:r>
              <w:rPr>
                <w:rFonts w:ascii="宋体" w:hAnsi="宋体" w:eastAsia="宋体"/>
                <w:sz w:val="21"/>
              </w:rPr>
              <w:t>纯制度推进、技术空转</w:t>
            </w:r>
          </w:p>
        </w:tc>
        <w:tc>
          <w:tcPr>
            <w:tcW w:type="dxa" w:w="1417"/>
            <w:vAlign w:val="center"/>
          </w:tcPr>
          <w:p>
            <w:pPr>
              <w:spacing w:line="240" w:lineRule="auto" w:after="20" w:before="20"/>
              <w:jc w:val="center"/>
            </w:pPr>
            <w:r/>
            <m:oMath>
              <m:r>
                <m:t>γ</m:t>
              </m:r>
              <m:r>
                <m:rPr>
                  <m:sty m:val="p"/>
                </m:rPr>
                <m:t>&lt;</m:t>
              </m:r>
              <m:r>
                <m:t>1</m:t>
              </m:r>
            </m:oMath>
          </w:p>
        </w:tc>
        <w:tc>
          <w:tcPr>
            <w:tcW w:type="dxa" w:w="1417"/>
            <w:vAlign w:val="center"/>
          </w:tcPr>
          <w:p>
            <w:pPr>
              <w:spacing w:line="240" w:lineRule="auto" w:after="20" w:before="20"/>
              <w:jc w:val="left"/>
            </w:pPr>
            <w:r/>
            <m:oMath>
              <m:sSub>
                <m:e>
                  <m:r>
                    <m:t>λ</m:t>
                  </m:r>
                </m:e>
                <m:sub>
                  <m:r>
                    <m:t>1</m:t>
                  </m:r>
                </m:sub>
              </m:sSub>
              <m:r>
                <m:rPr>
                  <m:sty m:val="p"/>
                </m:rPr>
                <m:t>=</m:t>
              </m:r>
              <m:d>
                <m:dPr>
                  <m:begChr m:val="["/>
                  <m:sepChr m:val=""/>
                  <m:endChr m:val="]"/>
                  <m:grow/>
                </m:dPr>
                <m:e>
                  <m:r>
                    <m:t>1</m:t>
                  </m:r>
                  <m:r>
                    <m:rPr>
                      <m:sty m:val="p"/>
                    </m:rPr>
                    <m:t>+</m:t>
                  </m:r>
                  <m:r>
                    <m:t>β</m:t>
                  </m:r>
                  <m:d>
                    <m:dPr>
                      <m:begChr m:val="("/>
                      <m:sepChr m:val=""/>
                      <m:endChr m:val=")"/>
                      <m:grow/>
                    </m:dPr>
                    <m:e>
                      <m:r>
                        <m:t>1</m:t>
                      </m:r>
                      <m:r>
                        <m:rPr>
                          <m:sty m:val="p"/>
                        </m:rPr>
                        <m:t>−</m:t>
                      </m:r>
                      <m:r>
                        <m:t>γ</m:t>
                      </m:r>
                    </m:e>
                  </m:d>
                </m:e>
              </m:d>
              <m:sSub>
                <m:e>
                  <m:r>
                    <m:t>r</m:t>
                  </m:r>
                </m:e>
                <m:sub>
                  <m:r>
                    <m:t>T</m:t>
                  </m:r>
                </m:sub>
              </m:sSub>
              <m:r>
                <m:rPr>
                  <m:sty m:val="p"/>
                </m:rPr>
                <m:t>&gt;</m:t>
              </m:r>
              <m:r>
                <m:t>0</m:t>
              </m:r>
            </m:oMath>
            <w:r>
              <w:rPr>
                <w:rFonts w:ascii="宋体" w:hAnsi="宋体" w:eastAsia="宋体"/>
                <w:sz w:val="21"/>
              </w:rPr>
              <w:t>；</w:t>
            </w:r>
            <m:oMath>
              <m:sSub>
                <m:e>
                  <m:r>
                    <m:t>λ</m:t>
                  </m:r>
                </m:e>
                <m:sub>
                  <m:r>
                    <m:t>2</m:t>
                  </m:r>
                </m:sub>
              </m:sSub>
              <m:r>
                <m:rPr>
                  <m:sty m:val="p"/>
                </m:rPr>
                <m:t>=</m:t>
              </m:r>
              <m:r>
                <m:rPr>
                  <m:sty m:val="p"/>
                </m:rPr>
                <m:t>−</m:t>
              </m:r>
              <m:d>
                <m:dPr>
                  <m:begChr m:val="("/>
                  <m:sepChr m:val=""/>
                  <m:endChr m:val=")"/>
                  <m:grow/>
                </m:dPr>
                <m:e>
                  <m:r>
                    <m:t>1</m:t>
                  </m:r>
                  <m:r>
                    <m:rPr>
                      <m:sty m:val="p"/>
                    </m:rPr>
                    <m:t>−</m:t>
                  </m:r>
                  <m:r>
                    <m:t>γ</m:t>
                  </m:r>
                </m:e>
              </m:d>
              <m:sSub>
                <m:e>
                  <m:r>
                    <m:t>r</m:t>
                  </m:r>
                </m:e>
                <m:sub>
                  <m:r>
                    <m:t>I</m:t>
                  </m:r>
                </m:sub>
              </m:sSub>
              <m:r>
                <m:rPr>
                  <m:sty m:val="p"/>
                </m:rPr>
                <m:t>&lt;</m:t>
              </m:r>
              <m:r>
                <m:t>0</m:t>
              </m:r>
            </m:oMath>
          </w:p>
        </w:tc>
        <w:tc>
          <w:tcPr>
            <w:tcW w:type="dxa" w:w="1417"/>
            <w:vAlign w:val="center"/>
          </w:tcPr>
          <w:p>
            <w:pPr>
              <w:spacing w:line="240" w:lineRule="auto" w:after="20" w:before="20"/>
              <w:jc w:val="center"/>
            </w:pPr>
            <w:r/>
            <w:r>
              <w:rPr>
                <w:rFonts w:ascii="宋体" w:hAnsi="宋体" w:eastAsia="宋体"/>
                <w:sz w:val="21"/>
              </w:rPr>
              <w:t>鞍点</w:t>
            </w:r>
          </w:p>
        </w:tc>
        <w:tc>
          <w:tcPr>
            <w:tcW w:type="dxa" w:w="1417"/>
            <w:vAlign w:val="center"/>
          </w:tcPr>
          <w:p>
            <w:pPr>
              <w:spacing w:line="240" w:lineRule="auto" w:after="20" w:before="20"/>
              <w:jc w:val="center"/>
            </w:pPr>
            <w:r/>
            <w:r>
              <w:rPr>
                <w:rFonts w:ascii="宋体" w:hAnsi="宋体" w:eastAsia="宋体"/>
                <w:sz w:val="21"/>
              </w:rPr>
              <w:t>不稳定</w:t>
            </w:r>
          </w:p>
        </w:tc>
      </w:tr>
      <w:tr>
        <w:tc>
          <w:tcPr>
            <w:tcW w:type="dxa" w:w="1417"/>
            <w:vAlign w:val="center"/>
          </w:tcPr>
          <w:p>
            <w:pPr>
              <w:spacing w:line="240" w:lineRule="auto" w:after="20" w:before="20"/>
              <w:jc w:val="left"/>
            </w:pPr>
            <w:r/>
            <m:oMath>
              <m:sSub>
                <m:e>
                  <m:r>
                    <m:t>E</m:t>
                  </m:r>
                </m:e>
                <m:sub>
                  <m:r>
                    <m:t>3</m:t>
                  </m:r>
                </m:sub>
              </m:sSub>
              <m:r>
                <m:rPr>
                  <m:sty m:val="p"/>
                </m:rPr>
                <m:t>=</m:t>
              </m:r>
              <m:d>
                <m:dPr>
                  <m:begChr m:val="("/>
                  <m:sepChr m:val=""/>
                  <m:endChr m:val=")"/>
                  <m:grow/>
                </m:dPr>
                <m:e>
                  <m:sSup>
                    <m:e>
                      <m:r>
                        <m:t>T</m:t>
                      </m:r>
                    </m:e>
                    <m:sup>
                      <m:r>
                        <m:rPr>
                          <m:sty m:val="p"/>
                        </m:rPr>
                        <m:t>*</m:t>
                      </m:r>
                    </m:sup>
                  </m:sSup>
                  <m:r>
                    <m:rPr>
                      <m:sty m:val="p"/>
                    </m:rPr>
                    <m:t>,</m:t>
                  </m:r>
                  <m:sSup>
                    <m:e>
                      <m:r>
                        <m:t>I</m:t>
                      </m:r>
                    </m:e>
                    <m:sup>
                      <m:r>
                        <m:rPr>
                          <m:sty m:val="p"/>
                        </m:rPr>
                        <m:t>*</m:t>
                      </m:r>
                    </m:sup>
                  </m:sSup>
                </m:e>
              </m:d>
            </m:oMath>
          </w:p>
        </w:tc>
        <w:tc>
          <w:tcPr>
            <w:tcW w:type="dxa" w:w="1417"/>
            <w:vAlign w:val="center"/>
          </w:tcPr>
          <w:p>
            <w:pPr>
              <w:spacing w:line="240" w:lineRule="auto" w:after="20" w:before="20"/>
              <w:jc w:val="left"/>
            </w:pPr>
            <w:r/>
            <w:r>
              <w:rPr>
                <w:rFonts w:ascii="宋体" w:hAnsi="宋体" w:eastAsia="宋体"/>
                <w:sz w:val="21"/>
              </w:rPr>
              <w:t>技术—制度协同发展</w:t>
            </w:r>
          </w:p>
        </w:tc>
        <w:tc>
          <w:tcPr>
            <w:tcW w:type="dxa" w:w="1417"/>
            <w:vAlign w:val="center"/>
          </w:tcPr>
          <w:p>
            <w:pPr>
              <w:spacing w:line="240" w:lineRule="auto" w:after="20" w:before="20"/>
              <w:jc w:val="center"/>
            </w:pPr>
            <w:r/>
            <m:oMath>
              <m:r>
                <m:t>β</m:t>
              </m:r>
              <m:d>
                <m:dPr>
                  <m:begChr m:val="("/>
                  <m:sepChr m:val=""/>
                  <m:endChr m:val=")"/>
                  <m:grow/>
                </m:dPr>
                <m:e>
                  <m:r>
                    <m:t>α</m:t>
                  </m:r>
                  <m:r>
                    <m:rPr>
                      <m:sty m:val="p"/>
                    </m:rPr>
                    <m:t>+</m:t>
                  </m:r>
                  <m:r>
                    <m:t>γ</m:t>
                  </m:r>
                </m:e>
              </m:d>
              <m:r>
                <m:rPr>
                  <m:sty m:val="p"/>
                </m:rPr>
                <m:t>&lt;</m:t>
              </m:r>
              <m:r>
                <m:t>1</m:t>
              </m:r>
            </m:oMath>
          </w:p>
        </w:tc>
        <w:tc>
          <w:tcPr>
            <w:tcW w:type="dxa" w:w="1417"/>
            <w:vAlign w:val="center"/>
          </w:tcPr>
          <w:p>
            <w:pPr>
              <w:spacing w:line="240" w:lineRule="auto" w:after="20" w:before="20"/>
              <w:jc w:val="left"/>
            </w:pPr>
            <w:r/>
            <m:oMath>
              <m:sSub>
                <m:e>
                  <m:r>
                    <m:t>λ</m:t>
                  </m:r>
                </m:e>
                <m:sub>
                  <m:r>
                    <m:t>1</m:t>
                  </m:r>
                </m:sub>
              </m:sSub>
              <m:r>
                <m:rPr>
                  <m:sty m:val="p"/>
                </m:rPr>
                <m:t>=</m:t>
              </m:r>
            </m:oMath>
            <w:r>
              <w:rPr>
                <w:rFonts w:ascii="宋体" w:hAnsi="宋体" w:eastAsia="宋体"/>
                <w:sz w:val="21"/>
              </w:rPr>
              <w:t>-0.050；</w:t>
            </w:r>
            <m:oMath>
              <m:sSub>
                <m:e>
                  <m:r>
                    <m:t>λ</m:t>
                  </m:r>
                </m:e>
                <m:sub>
                  <m:r>
                    <m:t>2</m:t>
                  </m:r>
                </m:sub>
              </m:sSub>
              <m:r>
                <m:rPr>
                  <m:sty m:val="p"/>
                </m:rPr>
                <m:t>=</m:t>
              </m:r>
            </m:oMath>
            <w:r>
              <w:rPr>
                <w:rFonts w:ascii="宋体" w:hAnsi="宋体" w:eastAsia="宋体"/>
                <w:sz w:val="21"/>
              </w:rPr>
              <w:t>-0.142（校准值）</w:t>
            </w:r>
          </w:p>
        </w:tc>
        <w:tc>
          <w:tcPr>
            <w:tcW w:type="dxa" w:w="1417"/>
            <w:vAlign w:val="center"/>
          </w:tcPr>
          <w:p>
            <w:pPr>
              <w:spacing w:line="240" w:lineRule="auto" w:after="20" w:before="20"/>
              <w:jc w:val="center"/>
            </w:pPr>
            <w:r/>
            <w:r>
              <w:rPr>
                <w:rFonts w:ascii="宋体" w:hAnsi="宋体" w:eastAsia="宋体"/>
                <w:sz w:val="21"/>
              </w:rPr>
              <w:t>稳定结点</w:t>
            </w:r>
          </w:p>
        </w:tc>
        <w:tc>
          <w:tcPr>
            <w:tcW w:type="dxa" w:w="1417"/>
            <w:vAlign w:val="center"/>
          </w:tcPr>
          <w:p>
            <w:pPr>
              <w:spacing w:line="240" w:lineRule="auto" w:after="20" w:before="20"/>
              <w:jc w:val="center"/>
            </w:pPr>
            <w:r/>
            <w:r>
              <w:rPr>
                <w:rFonts w:ascii="宋体" w:hAnsi="宋体" w:eastAsia="宋体"/>
                <w:sz w:val="21"/>
              </w:rPr>
              <w:t>局部渐近稳定</w:t>
            </w:r>
          </w:p>
        </w:tc>
      </w:tr>
    </w:tbl>
    <w:p>
      <w:pPr>
        <w:spacing w:after="200" w:line="240" w:lineRule="auto"/>
      </w:pPr>
      <w:r>
        <w:rPr>
          <w:rFonts w:ascii="宋体" w:hAnsi="宋体" w:eastAsia="宋体"/>
          <w:sz w:val="18"/>
        </w:rPr>
        <w:t>注：前三行特征根为解析表达式；第四行为6.4节全样本贝叶斯校准参数下的数值结果，对应</w:t>
      </w:r>
      <m:oMath>
        <m:r>
          <m:rPr>
            <m:sty m:val="p"/>
          </m:rPr>
          <m:t>t</m:t>
        </m:r>
        <m:r>
          <m:rPr>
            <m:sty m:val="p"/>
          </m:rPr>
          <m:t>r</m:t>
        </m:r>
        <m:r>
          <m:t> </m:t>
        </m:r>
        <m:r>
          <m:t>J</m:t>
        </m:r>
        <m:r>
          <m:rPr>
            <m:sty m:val="p"/>
          </m:rPr>
          <m:t>=</m:t>
        </m:r>
      </m:oMath>
      <w:r>
        <w:rPr>
          <w:rFonts w:ascii="宋体" w:hAnsi="宋体" w:eastAsia="宋体"/>
          <w:sz w:val="18"/>
        </w:rPr>
        <w:t>-0.192、</w:t>
      </w:r>
      <m:oMath>
        <m:r>
          <m:rPr>
            <m:sty m:val="p"/>
          </m:rPr>
          <m:t>det</m:t>
        </m:r>
        <m:r>
          <m:t>J</m:t>
        </m:r>
        <m:r>
          <m:rPr>
            <m:sty m:val="p"/>
          </m:rPr>
          <m:t>=</m:t>
        </m:r>
      </m:oMath>
      <w:r>
        <w:rPr>
          <w:rFonts w:ascii="宋体" w:hAnsi="宋体" w:eastAsia="宋体"/>
          <w:sz w:val="18"/>
        </w:rPr>
        <w:t>0.0071、</w:t>
      </w:r>
      <m:oMath>
        <m:r>
          <m:t>Δ</m:t>
        </m:r>
        <m:r>
          <m:rPr>
            <m:sty m:val="p"/>
          </m:rPr>
          <m:t>=</m:t>
        </m:r>
      </m:oMath>
      <w:r>
        <w:rPr>
          <w:rFonts w:ascii="宋体" w:hAnsi="宋体" w:eastAsia="宋体"/>
          <w:sz w:val="18"/>
        </w:rPr>
        <w:t>0.0085</w:t>
      </w:r>
      <m:oMath>
        <m:r>
          <m:rPr>
            <m:sty m:val="p"/>
          </m:rPr>
          <m:t>&gt;</m:t>
        </m:r>
        <m:r>
          <m:t>0</m:t>
        </m:r>
      </m:oMath>
      <w:r>
        <w:rPr>
          <w:rFonts w:ascii="宋体" w:hAnsi="宋体" w:eastAsia="宋体"/>
          <w:sz w:val="18"/>
        </w:rPr>
        <w:t>。数据来源：作者依据式(6-8)—(6-11)推导与测算。</w:t>
      </w:r>
    </w:p>
    <w:p>
      <w:pPr>
        <w:spacing w:line="360" w:lineRule="auto" w:after="0"/>
        <w:ind w:firstLineChars="200" w:firstLine="480"/>
        <w:jc w:val="both"/>
      </w:pPr>
      <w:r>
        <w:rPr>
          <w:rFonts w:ascii="宋体" w:hAnsi="宋体" w:eastAsia="宋体"/>
          <w:b/>
          <w:sz w:val="24"/>
        </w:rPr>
        <w:t>命题6.1（内部均衡的存在性与稳定性）</w:t>
      </w:r>
      <w:r>
        <w:rPr>
          <w:rFonts w:ascii="宋体" w:hAnsi="宋体" w:eastAsia="宋体"/>
          <w:sz w:val="24"/>
        </w:rPr>
        <w:t>：设</w:t>
      </w:r>
      <m:oMath>
        <m:sSub>
          <m:e>
            <m:r>
              <m:t>r</m:t>
            </m:r>
          </m:e>
          <m:sub>
            <m:r>
              <m:t>T</m:t>
            </m:r>
          </m:sub>
        </m:sSub>
        <m:r>
          <m:rPr>
            <m:sty m:val="p"/>
          </m:rPr>
          <m:t>,</m:t>
        </m:r>
        <m:sSub>
          <m:e>
            <m:r>
              <m:t>r</m:t>
            </m:r>
          </m:e>
          <m:sub>
            <m:r>
              <m:t>I</m:t>
            </m:r>
          </m:sub>
        </m:sSub>
        <m:r>
          <m:rPr>
            <m:sty m:val="p"/>
          </m:rPr>
          <m:t>&gt;</m:t>
        </m:r>
        <m:r>
          <m:t>0</m:t>
        </m:r>
      </m:oMath>
      <w:r>
        <w:rPr>
          <w:rFonts w:ascii="宋体" w:hAnsi="宋体" w:eastAsia="宋体"/>
          <w:sz w:val="24"/>
        </w:rPr>
        <w:t>，</w:t>
      </w:r>
      <m:oMath>
        <m:r>
          <m:t>α</m:t>
        </m:r>
        <m:r>
          <m:rPr>
            <m:sty m:val="p"/>
          </m:rPr>
          <m:t>,</m:t>
        </m:r>
        <m:r>
          <m:t>β</m:t>
        </m:r>
        <m:r>
          <m:rPr>
            <m:sty m:val="p"/>
          </m:rPr>
          <m:t>&gt;</m:t>
        </m:r>
        <m:r>
          <m:t>0</m:t>
        </m:r>
      </m:oMath>
      <w:r>
        <w:rPr>
          <w:rFonts w:ascii="宋体" w:hAnsi="宋体" w:eastAsia="宋体"/>
          <w:sz w:val="24"/>
        </w:rPr>
        <w:t>，</w:t>
      </w:r>
      <m:oMath>
        <m:r>
          <m:t>0</m:t>
        </m:r>
        <m:r>
          <m:rPr>
            <m:sty m:val="p"/>
          </m:rPr>
          <m:t>&lt;</m:t>
        </m:r>
        <m:r>
          <m:t>γ</m:t>
        </m:r>
        <m:r>
          <m:rPr>
            <m:sty m:val="p"/>
          </m:rPr>
          <m:t>&lt;</m:t>
        </m:r>
        <m:r>
          <m:t>1</m:t>
        </m:r>
      </m:oMath>
      <w:r>
        <w:rPr>
          <w:rFonts w:ascii="宋体" w:hAnsi="宋体" w:eastAsia="宋体"/>
          <w:sz w:val="24"/>
        </w:rPr>
        <w:t>。若互馈强度满足</w:t>
      </w:r>
      <m:oMath>
        <m:r>
          <m:t>β</m:t>
        </m:r>
        <m:d>
          <m:dPr>
            <m:begChr m:val="("/>
            <m:sepChr m:val=""/>
            <m:endChr m:val=")"/>
            <m:grow/>
          </m:dPr>
          <m:e>
            <m:r>
              <m:t>α</m:t>
            </m:r>
            <m:r>
              <m:rPr>
                <m:sty m:val="p"/>
              </m:rPr>
              <m:t>+</m:t>
            </m:r>
            <m:r>
              <m:t>γ</m:t>
            </m:r>
          </m:e>
        </m:d>
        <m:r>
          <m:rPr>
            <m:sty m:val="p"/>
          </m:rPr>
          <m:t>&lt;</m:t>
        </m:r>
        <m:r>
          <m:t>1</m:t>
        </m:r>
      </m:oMath>
      <w:r>
        <w:rPr>
          <w:rFonts w:ascii="宋体" w:hAnsi="宋体" w:eastAsia="宋体"/>
          <w:sz w:val="24"/>
        </w:rPr>
        <w:t>，则系统(6-1)—(6-2)存在唯一的内部均衡</w:t>
      </w:r>
      <m:oMath>
        <m:sSub>
          <m:e>
            <m:r>
              <m:t>E</m:t>
            </m:r>
          </m:e>
          <m:sub>
            <m:r>
              <m:t>3</m:t>
            </m:r>
          </m:sub>
        </m:sSub>
        <m:r>
          <m:rPr>
            <m:sty m:val="p"/>
          </m:rPr>
          <m:t>=</m:t>
        </m:r>
        <m:d>
          <m:dPr>
            <m:begChr m:val="("/>
            <m:sepChr m:val=""/>
            <m:endChr m:val=")"/>
            <m:grow/>
          </m:dPr>
          <m:e>
            <m:sSup>
              <m:e>
                <m:r>
                  <m:t>T</m:t>
                </m:r>
              </m:e>
              <m:sup>
                <m:r>
                  <m:rPr>
                    <m:sty m:val="p"/>
                  </m:rPr>
                  <m:t>*</m:t>
                </m:r>
              </m:sup>
            </m:sSup>
            <m:r>
              <m:rPr>
                <m:sty m:val="p"/>
              </m:rPr>
              <m:t>,</m:t>
            </m:r>
            <m:sSup>
              <m:e>
                <m:r>
                  <m:t>I</m:t>
                </m:r>
              </m:e>
              <m:sup>
                <m:r>
                  <m:rPr>
                    <m:sty m:val="p"/>
                  </m:rPr>
                  <m:t>*</m:t>
                </m:r>
              </m:sup>
            </m:sSup>
          </m:e>
        </m:d>
      </m:oMath>
      <w:r>
        <w:rPr>
          <w:rFonts w:ascii="宋体" w:hAnsi="宋体" w:eastAsia="宋体"/>
          <w:sz w:val="24"/>
        </w:rPr>
        <w:t>，由式(6-7)给出且满足</w:t>
      </w:r>
      <m:oMath>
        <m:sSup>
          <m:e>
            <m:r>
              <m:t>T</m:t>
            </m:r>
          </m:e>
          <m:sup>
            <m:r>
              <m:rPr>
                <m:sty m:val="p"/>
              </m:rPr>
              <m:t>*</m:t>
            </m:r>
          </m:sup>
        </m:sSup>
        <m:r>
          <m:rPr>
            <m:sty m:val="p"/>
          </m:rPr>
          <m:t>&gt;</m:t>
        </m:r>
        <m:sSub>
          <m:e>
            <m:r>
              <m:t>K</m:t>
            </m:r>
          </m:e>
          <m:sub>
            <m:r>
              <m:t>T</m:t>
            </m:r>
          </m:sub>
        </m:sSub>
      </m:oMath>
      <w:r>
        <w:rPr>
          <w:rFonts w:ascii="宋体" w:hAnsi="宋体" w:eastAsia="宋体"/>
          <w:sz w:val="24"/>
        </w:rPr>
        <w:t>、</w:t>
      </w:r>
      <m:oMath>
        <m:sSup>
          <m:e>
            <m:r>
              <m:t>I</m:t>
            </m:r>
          </m:e>
          <m:sup>
            <m:r>
              <m:rPr>
                <m:sty m:val="p"/>
              </m:rPr>
              <m:t>*</m:t>
            </m:r>
          </m:sup>
        </m:sSup>
        <m:r>
          <m:rPr>
            <m:sty m:val="p"/>
          </m:rPr>
          <m:t>&gt;</m:t>
        </m:r>
        <m:sSub>
          <m:e>
            <m:r>
              <m:t>K</m:t>
            </m:r>
          </m:e>
          <m:sub>
            <m:r>
              <m:t>I</m:t>
            </m:r>
          </m:sub>
        </m:sSub>
      </m:oMath>
      <w:r>
        <w:rPr>
          <w:rFonts w:ascii="宋体" w:hAnsi="宋体" w:eastAsia="宋体"/>
          <w:sz w:val="24"/>
        </w:rPr>
        <w:t>；</w:t>
      </w:r>
      <m:oMath>
        <m:sSub>
          <m:e>
            <m:r>
              <m:t>E</m:t>
            </m:r>
          </m:e>
          <m:sub>
            <m:r>
              <m:t>3</m:t>
            </m:r>
          </m:sub>
        </m:sSub>
      </m:oMath>
      <w:r>
        <w:rPr>
          <w:rFonts w:ascii="宋体" w:hAnsi="宋体" w:eastAsia="宋体"/>
          <w:sz w:val="24"/>
        </w:rPr>
        <w:t>局部渐近稳定，且为结点。</w:t>
      </w:r>
    </w:p>
    <w:p>
      <w:pPr>
        <w:spacing w:line="360" w:lineRule="auto" w:after="0"/>
        <w:ind w:firstLineChars="200" w:firstLine="480"/>
        <w:jc w:val="both"/>
      </w:pPr>
      <w:r>
        <w:rPr>
          <w:rFonts w:ascii="宋体" w:hAnsi="宋体" w:eastAsia="宋体"/>
          <w:sz w:val="24"/>
        </w:rPr>
        <w:t>证明思路如下。存在性与唯一性：在</w:t>
      </w:r>
      <m:oMath>
        <m:r>
          <m:t>β</m:t>
        </m:r>
        <m:d>
          <m:dPr>
            <m:begChr m:val="("/>
            <m:sepChr m:val=""/>
            <m:endChr m:val=")"/>
            <m:grow/>
          </m:dPr>
          <m:e>
            <m:r>
              <m:t>α</m:t>
            </m:r>
            <m:r>
              <m:rPr>
                <m:sty m:val="p"/>
              </m:rPr>
              <m:t>+</m:t>
            </m:r>
            <m:r>
              <m:t>γ</m:t>
            </m:r>
          </m:e>
        </m:d>
        <m:r>
          <m:rPr>
            <m:sty m:val="p"/>
          </m:rPr>
          <m:t>&lt;</m:t>
        </m:r>
        <m:r>
          <m:t>1</m:t>
        </m:r>
      </m:oMath>
      <w:r>
        <w:rPr>
          <w:rFonts w:ascii="宋体" w:hAnsi="宋体" w:eastAsia="宋体"/>
          <w:sz w:val="24"/>
        </w:rPr>
        <w:t>下，式(6-7)的分母为正，线性方程组(6-6)有唯一解且两个分量均严格大于1（分子均大于分母），故内部均衡存在唯一且位于正象限。稳定性：由式(6-10)，</w:t>
      </w:r>
      <m:oMath>
        <m:r>
          <m:rPr>
            <m:sty m:val="p"/>
          </m:rPr>
          <m:t>t</m:t>
        </m:r>
        <m:r>
          <m:rPr>
            <m:sty m:val="p"/>
          </m:rPr>
          <m:t>r</m:t>
        </m:r>
        <m:r>
          <m:t> </m:t>
        </m:r>
        <m:r>
          <m:t>J</m:t>
        </m:r>
        <m:d>
          <m:dPr>
            <m:begChr m:val="("/>
            <m:sepChr m:val=""/>
            <m:endChr m:val=")"/>
            <m:grow/>
          </m:dPr>
          <m:e>
            <m:sSub>
              <m:e>
                <m:r>
                  <m:t>E</m:t>
                </m:r>
              </m:e>
              <m:sub>
                <m:r>
                  <m:t>3</m:t>
                </m:r>
              </m:sub>
            </m:sSub>
          </m:e>
        </m:d>
        <m:r>
          <m:rPr>
            <m:sty m:val="p"/>
          </m:rPr>
          <m:t>=</m:t>
        </m:r>
        <m:r>
          <m:rPr>
            <m:sty m:val="p"/>
          </m:rPr>
          <m:t>−</m:t>
        </m:r>
        <m:d>
          <m:dPr>
            <m:begChr m:val="("/>
            <m:sepChr m:val=""/>
            <m:endChr m:val=")"/>
            <m:grow/>
          </m:dPr>
          <m:e>
            <m:sSub>
              <m:e>
                <m:r>
                  <m:t>r</m:t>
                </m:r>
              </m:e>
              <m:sub>
                <m:r>
                  <m:t>T</m:t>
                </m:r>
              </m:sub>
            </m:sSub>
            <m:sSup>
              <m:e>
                <m:r>
                  <m:t>T</m:t>
                </m:r>
              </m:e>
              <m:sup>
                <m:r>
                  <m:rPr>
                    <m:sty m:val="p"/>
                  </m:rPr>
                  <m:t>*</m:t>
                </m:r>
              </m:sup>
            </m:sSup>
            <m:r>
              <m:rPr>
                <m:sty m:val="p"/>
              </m:rPr>
              <m:t>+</m:t>
            </m:r>
            <m:sSub>
              <m:e>
                <m:r>
                  <m:t>r</m:t>
                </m:r>
              </m:e>
              <m:sub>
                <m:r>
                  <m:t>I</m:t>
                </m:r>
              </m:sub>
            </m:sSub>
            <m:sSup>
              <m:e>
                <m:r>
                  <m:t>I</m:t>
                </m:r>
              </m:e>
              <m:sup>
                <m:r>
                  <m:rPr>
                    <m:sty m:val="p"/>
                  </m:rPr>
                  <m:t>*</m:t>
                </m:r>
              </m:sup>
            </m:sSup>
          </m:e>
        </m:d>
        <m:r>
          <m:rPr>
            <m:sty m:val="p"/>
          </m:rPr>
          <m:t>&lt;</m:t>
        </m:r>
        <m:r>
          <m:t>0</m:t>
        </m:r>
      </m:oMath>
      <w:r>
        <w:rPr>
          <w:rFonts w:ascii="宋体" w:hAnsi="宋体" w:eastAsia="宋体"/>
          <w:sz w:val="24"/>
        </w:rPr>
        <w:t>恒成立；</w:t>
      </w:r>
      <m:oMath>
        <m:r>
          <m:rPr>
            <m:sty m:val="p"/>
          </m:rPr>
          <m:t>det</m:t>
        </m:r>
        <m:r>
          <m:t>J</m:t>
        </m:r>
        <m:d>
          <m:dPr>
            <m:begChr m:val="("/>
            <m:sepChr m:val=""/>
            <m:endChr m:val=")"/>
            <m:grow/>
          </m:dPr>
          <m:e>
            <m:sSub>
              <m:e>
                <m:r>
                  <m:t>E</m:t>
                </m:r>
              </m:e>
              <m:sub>
                <m:r>
                  <m:t>3</m:t>
                </m:r>
              </m:sub>
            </m:sSub>
          </m:e>
        </m:d>
        <m:r>
          <m:rPr>
            <m:sty m:val="p"/>
          </m:rPr>
          <m:t>=</m:t>
        </m:r>
        <m:sSub>
          <m:e>
            <m:r>
              <m:t>r</m:t>
            </m:r>
          </m:e>
          <m:sub>
            <m:r>
              <m:t>T</m:t>
            </m:r>
          </m:sub>
        </m:sSub>
        <m:sSub>
          <m:e>
            <m:r>
              <m:t>r</m:t>
            </m:r>
          </m:e>
          <m:sub>
            <m:r>
              <m:t>I</m:t>
            </m:r>
          </m:sub>
        </m:sSub>
        <m:sSup>
          <m:e>
            <m:r>
              <m:t>T</m:t>
            </m:r>
          </m:e>
          <m:sup>
            <m:r>
              <m:rPr>
                <m:sty m:val="p"/>
              </m:rPr>
              <m:t>*</m:t>
            </m:r>
          </m:sup>
        </m:sSup>
        <m:sSup>
          <m:e>
            <m:r>
              <m:t>I</m:t>
            </m:r>
          </m:e>
          <m:sup>
            <m:r>
              <m:rPr>
                <m:sty m:val="p"/>
              </m:rPr>
              <m:t>*</m:t>
            </m:r>
          </m:sup>
        </m:sSup>
        <m:d>
          <m:dPr>
            <m:begChr m:val="["/>
            <m:sepChr m:val=""/>
            <m:endChr m:val="]"/>
            <m:grow/>
          </m:dPr>
          <m:e>
            <m:r>
              <m:t>1</m:t>
            </m:r>
            <m:r>
              <m:rPr>
                <m:sty m:val="p"/>
              </m:rPr>
              <m:t>−</m:t>
            </m:r>
            <m:r>
              <m:t>β</m:t>
            </m:r>
            <m:d>
              <m:dPr>
                <m:begChr m:val="("/>
                <m:sepChr m:val=""/>
                <m:endChr m:val=")"/>
                <m:grow/>
              </m:dPr>
              <m:e>
                <m:r>
                  <m:t>α</m:t>
                </m:r>
                <m:r>
                  <m:rPr>
                    <m:sty m:val="p"/>
                  </m:rPr>
                  <m:t>+</m:t>
                </m:r>
                <m:r>
                  <m:t>γ</m:t>
                </m:r>
              </m:e>
            </m:d>
          </m:e>
        </m:d>
      </m:oMath>
      <w:r>
        <w:rPr>
          <w:rFonts w:ascii="宋体" w:hAnsi="宋体" w:eastAsia="宋体"/>
          <w:sz w:val="24"/>
        </w:rPr>
        <w:t>在既定条件下为正，迹—行列式判据的两个条件同时满足，</w:t>
      </w:r>
      <m:oMath>
        <m:sSub>
          <m:e>
            <m:r>
              <m:t>E</m:t>
            </m:r>
          </m:e>
          <m:sub>
            <m:r>
              <m:t>3</m:t>
            </m:r>
          </m:sub>
        </m:sSub>
      </m:oMath>
      <w:r>
        <w:rPr>
          <w:rFonts w:ascii="宋体" w:hAnsi="宋体" w:eastAsia="宋体"/>
          <w:sz w:val="24"/>
        </w:rPr>
        <w:t>局部渐近稳定。结点性质：由式(6-11)，判别式为一个完全平方项与一个正项之和，恒大于零，特征根为两个互异负实根，故</w:t>
      </w:r>
      <m:oMath>
        <m:sSub>
          <m:e>
            <m:r>
              <m:t>E</m:t>
            </m:r>
          </m:e>
          <m:sub>
            <m:r>
              <m:t>3</m:t>
            </m:r>
          </m:sub>
        </m:sSub>
      </m:oMath>
      <w:r>
        <w:rPr>
          <w:rFonts w:ascii="宋体" w:hAnsi="宋体" w:eastAsia="宋体"/>
          <w:sz w:val="24"/>
        </w:rPr>
        <w:t>为稳定结点。证毕。值得强调的是，存在性条件与稳定性条件在此模型中合而为一：只要协同均衡存在，它就是稳定的——“互馈适度即收敛”，无需附加更强的参数限制。</w:t>
      </w:r>
    </w:p>
    <w:p>
      <w:pPr>
        <w:spacing w:line="360" w:lineRule="auto" w:after="0"/>
        <w:ind w:firstLineChars="200" w:firstLine="480"/>
        <w:jc w:val="both"/>
      </w:pPr>
      <w:r>
        <w:rPr>
          <w:rFonts w:ascii="宋体" w:hAnsi="宋体" w:eastAsia="宋体"/>
          <w:b/>
          <w:sz w:val="24"/>
        </w:rPr>
        <w:t>命题6.2（单调收敛性）</w:t>
      </w:r>
      <w:r>
        <w:rPr>
          <w:rFonts w:ascii="宋体" w:hAnsi="宋体" w:eastAsia="宋体"/>
          <w:sz w:val="24"/>
        </w:rPr>
        <w:t>：在命题6.1的条件下，内部均衡附近的收敛轨线不发生振荡，技术与制度沿慢特征方向单调逼近</w:t>
      </w:r>
      <m:oMath>
        <m:d>
          <m:dPr>
            <m:begChr m:val="("/>
            <m:sepChr m:val=""/>
            <m:endChr m:val=")"/>
            <m:grow/>
          </m:dPr>
          <m:e>
            <m:sSup>
              <m:e>
                <m:r>
                  <m:t>T</m:t>
                </m:r>
              </m:e>
              <m:sup>
                <m:r>
                  <m:rPr>
                    <m:sty m:val="p"/>
                  </m:rPr>
                  <m:t>*</m:t>
                </m:r>
              </m:sup>
            </m:sSup>
            <m:r>
              <m:rPr>
                <m:sty m:val="p"/>
              </m:rPr>
              <m:t>,</m:t>
            </m:r>
            <m:sSup>
              <m:e>
                <m:r>
                  <m:t>I</m:t>
                </m:r>
              </m:e>
              <m:sup>
                <m:r>
                  <m:rPr>
                    <m:sty m:val="p"/>
                  </m:rPr>
                  <m:t>*</m:t>
                </m:r>
              </m:sup>
            </m:sSup>
          </m:e>
        </m:d>
      </m:oMath>
      <w:r>
        <w:rPr>
          <w:rFonts w:ascii="宋体" w:hAnsi="宋体" w:eastAsia="宋体"/>
          <w:sz w:val="24"/>
        </w:rPr>
        <w:t>。该命题直接由</w:t>
      </w:r>
      <m:oMath>
        <m:r>
          <m:t>Δ</m:t>
        </m:r>
        <m:r>
          <m:rPr>
            <m:sty m:val="p"/>
          </m:rPr>
          <m:t>&gt;</m:t>
        </m:r>
        <m:r>
          <m:t>0</m:t>
        </m:r>
      </m:oMath>
      <w:r>
        <w:rPr>
          <w:rFonts w:ascii="宋体" w:hAnsi="宋体" w:eastAsia="宋体"/>
          <w:sz w:val="24"/>
        </w:rPr>
        <w:t>得出，其政策含义在于：技术—制度系统不存在内生的“建设过热—清理整顿”循环，观察到的标准体系阶段性调整应归因于外生政策冲击而非系统自身的振荡倾向；因此以稳定的制度供给节奏配合技术成熟度渐进推进，是与系统动力学性质相容的最优建设策略，急起急停反而人为制造波动。</w:t>
      </w:r>
    </w:p>
    <w:p>
      <w:pPr>
        <w:keepNext/>
        <w:spacing w:before="160" w:after="120" w:line="360" w:lineRule="auto"/>
        <w:outlineLvl w:val="1"/>
      </w:pPr>
      <w:r>
        <w:rPr>
          <w:rFonts w:ascii="黑体" w:hAnsi="黑体" w:eastAsia="黑体"/>
          <w:sz w:val="28"/>
        </w:rPr>
        <w:t>6.4  参数估计与拟合</w:t>
      </w:r>
    </w:p>
    <w:p>
      <w:pPr>
        <w:keepNext/>
        <w:spacing w:before="160" w:after="120" w:line="360" w:lineRule="auto"/>
        <w:outlineLvl w:val="2"/>
      </w:pPr>
      <w:r>
        <w:rPr>
          <w:rFonts w:ascii="黑体" w:hAnsi="黑体" w:eastAsia="黑体"/>
          <w:sz w:val="24"/>
        </w:rPr>
        <w:t>6.4.1  估计策略：非线性最小二乘与贝叶斯校准</w:t>
      </w:r>
    </w:p>
    <w:p>
      <w:pPr>
        <w:spacing w:line="360" w:lineRule="auto" w:after="0"/>
        <w:ind w:firstLineChars="200" w:firstLine="480"/>
        <w:jc w:val="both"/>
      </w:pPr>
      <w:r>
        <w:rPr>
          <w:rFonts w:ascii="宋体" w:hAnsi="宋体" w:eastAsia="宋体"/>
          <w:sz w:val="24"/>
        </w:rPr>
        <w:t>连续时间系统(6-1)—(6-2)无法直接估计，需先以年度频率离散化。采用增长率形式的欧拉近似，将两个方程改写为可估计的差分系统：</w:t>
      </w:r>
    </w:p>
    <w:p>
      <w:pPr>
        <w:tabs>
          <w:tab w:pos="4252" w:val="center"/>
          <w:tab w:pos="8504" w:val="right"/>
        </w:tabs>
        <w:spacing w:line="360" w:lineRule="auto" w:before="80" w:after="80"/>
      </w:pPr>
      <w:r>
        <w:tab/>
      </w:r>
      <m:oMath>
        <m:f>
          <m:fPr>
            <m:type m:val="bar"/>
          </m:fPr>
          <m:num>
            <m:sSub>
              <m:e>
                <m:r>
                  <m:t>T</m:t>
                </m:r>
              </m:e>
              <m:sub>
                <m:r>
                  <m:t>t</m:t>
                </m:r>
                <m:r>
                  <m:rPr>
                    <m:sty m:val="p"/>
                  </m:rPr>
                  <m:t>+</m:t>
                </m:r>
                <m:r>
                  <m:t>1</m:t>
                </m:r>
              </m:sub>
            </m:sSub>
            <m:r>
              <m:rPr>
                <m:sty m:val="p"/>
              </m:rPr>
              <m:t>−</m:t>
            </m:r>
            <m:sSub>
              <m:e>
                <m:r>
                  <m:t>T</m:t>
                </m:r>
              </m:e>
              <m:sub>
                <m:r>
                  <m:t>t</m:t>
                </m:r>
              </m:sub>
            </m:sSub>
          </m:num>
          <m:den>
            <m:sSub>
              <m:e>
                <m:r>
                  <m:t>T</m:t>
                </m:r>
              </m:e>
              <m:sub>
                <m:r>
                  <m:t>t</m:t>
                </m:r>
              </m:sub>
            </m:sSub>
          </m:den>
        </m:f>
        <m:r>
          <m:rPr>
            <m:sty m:val="p"/>
          </m:rPr>
          <m:t>=</m:t>
        </m:r>
        <m:sSub>
          <m:e>
            <m:r>
              <m:t>r</m:t>
            </m:r>
          </m:e>
          <m:sub>
            <m:r>
              <m:t>T</m:t>
            </m:r>
          </m:sub>
        </m:sSub>
        <m:d>
          <m:dPr>
            <m:begChr m:val="("/>
            <m:sepChr m:val=""/>
            <m:endChr m:val=")"/>
            <m:grow/>
          </m:dPr>
          <m:e>
            <m:r>
              <m:t>1</m:t>
            </m:r>
            <m:r>
              <m:rPr>
                <m:sty m:val="p"/>
              </m:rPr>
              <m:t>−</m:t>
            </m:r>
            <m:f>
              <m:fPr>
                <m:type m:val="bar"/>
              </m:fPr>
              <m:num>
                <m:sSub>
                  <m:e>
                    <m:r>
                      <m:t>T</m:t>
                    </m:r>
                  </m:e>
                  <m:sub>
                    <m:r>
                      <m:t>t</m:t>
                    </m:r>
                  </m:sub>
                </m:sSub>
              </m:num>
              <m:den>
                <m:sSub>
                  <m:e>
                    <m:r>
                      <m:t>K</m:t>
                    </m:r>
                  </m:e>
                  <m:sub>
                    <m:r>
                      <m:t>T</m:t>
                    </m:r>
                  </m:sub>
                </m:sSub>
              </m:den>
            </m:f>
            <m:r>
              <m:rPr>
                <m:sty m:val="p"/>
              </m:rPr>
              <m:t>+</m:t>
            </m:r>
            <m:r>
              <m:t>β</m:t>
            </m:r>
            <m:f>
              <m:fPr>
                <m:type m:val="bar"/>
              </m:fPr>
              <m:num>
                <m:sSub>
                  <m:e>
                    <m:r>
                      <m:t>I</m:t>
                    </m:r>
                  </m:e>
                  <m:sub>
                    <m:r>
                      <m:t>t</m:t>
                    </m:r>
                  </m:sub>
                </m:sSub>
              </m:num>
              <m:den>
                <m:sSub>
                  <m:e>
                    <m:r>
                      <m:t>K</m:t>
                    </m:r>
                  </m:e>
                  <m:sub>
                    <m:r>
                      <m:t>I</m:t>
                    </m:r>
                  </m:sub>
                </m:sSub>
              </m:den>
            </m:f>
          </m:e>
        </m:d>
        <m:r>
          <m:rPr>
            <m:sty m:val="p"/>
          </m:rPr>
          <m:t>+</m:t>
        </m:r>
        <m:sSub>
          <m:e>
            <m:r>
              <m:t>ε</m:t>
            </m:r>
          </m:e>
          <m:sub>
            <m:r>
              <m:t>T</m:t>
            </m:r>
            <m:r>
              <m:rPr>
                <m:sty m:val="p"/>
              </m:rPr>
              <m:t>,</m:t>
            </m:r>
            <m:r>
              <m:t>t</m:t>
            </m:r>
            <m:r>
              <m:rPr>
                <m:sty m:val="p"/>
              </m:rPr>
              <m:t>+</m:t>
            </m:r>
            <m:r>
              <m:t>1</m:t>
            </m:r>
          </m:sub>
        </m:sSub>
      </m:oMath>
      <w:r>
        <w:tab/>
      </w:r>
      <w:r>
        <w:rPr>
          <w:rFonts w:ascii="Times New Roman" w:hAnsi="Times New Roman" w:eastAsia="宋体"/>
          <w:sz w:val="24"/>
        </w:rPr>
        <w:t>(6-12)</w:t>
      </w:r>
    </w:p>
    <w:p>
      <w:pPr>
        <w:tabs>
          <w:tab w:pos="4252" w:val="center"/>
          <w:tab w:pos="8504" w:val="right"/>
        </w:tabs>
        <w:spacing w:line="360" w:lineRule="auto" w:before="80" w:after="80"/>
      </w:pPr>
      <w:r>
        <w:tab/>
      </w:r>
      <m:oMath>
        <m:f>
          <m:fPr>
            <m:type m:val="bar"/>
          </m:fPr>
          <m:num>
            <m:sSub>
              <m:e>
                <m:r>
                  <m:t>I</m:t>
                </m:r>
              </m:e>
              <m:sub>
                <m:r>
                  <m:t>t</m:t>
                </m:r>
                <m:r>
                  <m:rPr>
                    <m:sty m:val="p"/>
                  </m:rPr>
                  <m:t>+</m:t>
                </m:r>
                <m:r>
                  <m:t>1</m:t>
                </m:r>
              </m:sub>
            </m:sSub>
            <m:r>
              <m:rPr>
                <m:sty m:val="p"/>
              </m:rPr>
              <m:t>−</m:t>
            </m:r>
            <m:sSub>
              <m:e>
                <m:r>
                  <m:t>I</m:t>
                </m:r>
              </m:e>
              <m:sub>
                <m:r>
                  <m:t>t</m:t>
                </m:r>
              </m:sub>
            </m:sSub>
          </m:num>
          <m:den>
            <m:sSub>
              <m:e>
                <m:r>
                  <m:t>I</m:t>
                </m:r>
              </m:e>
              <m:sub>
                <m:r>
                  <m:t>t</m:t>
                </m:r>
              </m:sub>
            </m:sSub>
          </m:den>
        </m:f>
        <m:r>
          <m:rPr>
            <m:sty m:val="p"/>
          </m:rPr>
          <m:t>=</m:t>
        </m:r>
        <m:sSub>
          <m:e>
            <m:r>
              <m:t>r</m:t>
            </m:r>
          </m:e>
          <m:sub>
            <m:r>
              <m:t>I</m:t>
            </m:r>
          </m:sub>
        </m:sSub>
        <m:d>
          <m:dPr>
            <m:begChr m:val="("/>
            <m:sepChr m:val=""/>
            <m:endChr m:val=")"/>
            <m:grow/>
          </m:dPr>
          <m:e>
            <m:r>
              <m:t>1</m:t>
            </m:r>
            <m:r>
              <m:rPr>
                <m:sty m:val="p"/>
              </m:rPr>
              <m:t>−</m:t>
            </m:r>
            <m:f>
              <m:fPr>
                <m:type m:val="bar"/>
              </m:fPr>
              <m:num>
                <m:sSub>
                  <m:e>
                    <m:r>
                      <m:t>I</m:t>
                    </m:r>
                  </m:e>
                  <m:sub>
                    <m:r>
                      <m:t>t</m:t>
                    </m:r>
                  </m:sub>
                </m:sSub>
              </m:num>
              <m:den>
                <m:sSub>
                  <m:e>
                    <m:r>
                      <m:t>K</m:t>
                    </m:r>
                  </m:e>
                  <m:sub>
                    <m:r>
                      <m:t>I</m:t>
                    </m:r>
                  </m:sub>
                </m:sSub>
              </m:den>
            </m:f>
            <m:r>
              <m:rPr>
                <m:sty m:val="p"/>
              </m:rPr>
              <m:t>+</m:t>
            </m:r>
            <m:r>
              <m:t>α</m:t>
            </m:r>
            <m:f>
              <m:fPr>
                <m:type m:val="bar"/>
              </m:fPr>
              <m:num>
                <m:sSub>
                  <m:e>
                    <m:r>
                      <m:t>T</m:t>
                    </m:r>
                  </m:e>
                  <m:sub>
                    <m:r>
                      <m:t>t</m:t>
                    </m:r>
                  </m:sub>
                </m:sSub>
              </m:num>
              <m:den>
                <m:sSub>
                  <m:e>
                    <m:r>
                      <m:t>K</m:t>
                    </m:r>
                  </m:e>
                  <m:sub>
                    <m:r>
                      <m:t>T</m:t>
                    </m:r>
                  </m:sub>
                </m:sSub>
              </m:den>
            </m:f>
            <m:r>
              <m:rPr>
                <m:sty m:val="p"/>
              </m:rPr>
              <m:t>−</m:t>
            </m:r>
            <m:r>
              <m:t>γ</m:t>
            </m:r>
            <m:d>
              <m:dPr>
                <m:begChr m:val="("/>
                <m:sepChr m:val=""/>
                <m:endChr m:val=")"/>
                <m:grow/>
              </m:dPr>
              <m:e>
                <m:r>
                  <m:t>1</m:t>
                </m:r>
                <m:r>
                  <m:rPr>
                    <m:sty m:val="p"/>
                  </m:rPr>
                  <m:t>−</m:t>
                </m:r>
                <m:f>
                  <m:fPr>
                    <m:type m:val="bar"/>
                  </m:fPr>
                  <m:num>
                    <m:sSub>
                      <m:e>
                        <m:r>
                          <m:t>T</m:t>
                        </m:r>
                      </m:e>
                      <m:sub>
                        <m:r>
                          <m:t>t</m:t>
                        </m:r>
                      </m:sub>
                    </m:sSub>
                  </m:num>
                  <m:den>
                    <m:sSub>
                      <m:e>
                        <m:r>
                          <m:t>K</m:t>
                        </m:r>
                      </m:e>
                      <m:sub>
                        <m:r>
                          <m:t>T</m:t>
                        </m:r>
                      </m:sub>
                    </m:sSub>
                  </m:den>
                </m:f>
              </m:e>
            </m:d>
          </m:e>
        </m:d>
        <m:r>
          <m:rPr>
            <m:sty m:val="p"/>
          </m:rPr>
          <m:t>+</m:t>
        </m:r>
        <m:sSub>
          <m:e>
            <m:r>
              <m:t>ε</m:t>
            </m:r>
          </m:e>
          <m:sub>
            <m:r>
              <m:t>I</m:t>
            </m:r>
            <m:r>
              <m:rPr>
                <m:sty m:val="p"/>
              </m:rPr>
              <m:t>,</m:t>
            </m:r>
            <m:r>
              <m:t>t</m:t>
            </m:r>
            <m:r>
              <m:rPr>
                <m:sty m:val="p"/>
              </m:rPr>
              <m:t>+</m:t>
            </m:r>
            <m:r>
              <m:t>1</m:t>
            </m:r>
          </m:sub>
        </m:sSub>
      </m:oMath>
      <w:r>
        <w:tab/>
      </w:r>
      <w:r>
        <w:rPr>
          <w:rFonts w:ascii="Times New Roman" w:hAnsi="Times New Roman" w:eastAsia="宋体"/>
          <w:sz w:val="24"/>
        </w:rPr>
        <w:t>(6-13)</w:t>
      </w:r>
    </w:p>
    <w:p>
      <w:pPr>
        <w:spacing w:line="360" w:lineRule="auto" w:after="0"/>
        <w:jc w:val="both"/>
      </w:pPr>
      <w:r>
        <w:rPr>
          <w:rFonts w:ascii="宋体" w:hAnsi="宋体" w:eastAsia="宋体"/>
          <w:sz w:val="24"/>
        </w:rPr>
        <w:t>其中，</w:t>
      </w:r>
      <m:oMath>
        <m:sSub>
          <m:e>
            <m:r>
              <m:t>ε</m:t>
            </m:r>
          </m:e>
          <m:sub>
            <m:r>
              <m:t>T</m:t>
            </m:r>
            <m:r>
              <m:rPr>
                <m:sty m:val="p"/>
              </m:rPr>
              <m:t>,</m:t>
            </m:r>
            <m:r>
              <m:t>t</m:t>
            </m:r>
            <m:r>
              <m:rPr>
                <m:sty m:val="p"/>
              </m:rPr>
              <m:t>+</m:t>
            </m:r>
            <m:r>
              <m:t>1</m:t>
            </m:r>
          </m:sub>
        </m:sSub>
      </m:oMath>
      <w:r>
        <w:rPr>
          <w:rFonts w:ascii="宋体" w:hAnsi="宋体" w:eastAsia="宋体"/>
          <w:sz w:val="24"/>
        </w:rPr>
        <w:t>与</w:t>
      </w:r>
      <m:oMath>
        <m:sSub>
          <m:e>
            <m:r>
              <m:t>ε</m:t>
            </m:r>
          </m:e>
          <m:sub>
            <m:r>
              <m:t>I</m:t>
            </m:r>
            <m:r>
              <m:rPr>
                <m:sty m:val="p"/>
              </m:rPr>
              <m:t>,</m:t>
            </m:r>
            <m:r>
              <m:t>t</m:t>
            </m:r>
            <m:r>
              <m:rPr>
                <m:sty m:val="p"/>
              </m:rPr>
              <m:t>+</m:t>
            </m:r>
            <m:r>
              <m:t>1</m:t>
            </m:r>
          </m:sub>
        </m:sSub>
      </m:oMath>
      <w:r>
        <w:rPr>
          <w:rFonts w:ascii="宋体" w:hAnsi="宋体" w:eastAsia="宋体"/>
          <w:sz w:val="24"/>
        </w:rPr>
        <w:t>为均值为零的扰动项，吸收测度误差与未建模的短期冲击；右端解释变量均取滞后一期值，以缓解同期联立带来的内生性。</w:t>
      </w:r>
    </w:p>
    <w:p>
      <w:pPr>
        <w:spacing w:line="360" w:lineRule="auto" w:after="0"/>
        <w:ind w:firstLineChars="200" w:firstLine="480"/>
        <w:jc w:val="both"/>
      </w:pPr>
      <w:r>
        <w:rPr>
          <w:rFonts w:ascii="宋体" w:hAnsi="宋体" w:eastAsia="宋体"/>
          <w:sz w:val="24"/>
        </w:rPr>
        <w:t>参数估计分两步进行。第一步，以非线性最小二乘（NLS）联合拟合两个方程，目标函数为模型模拟轨迹与实际指数的偏差平方和：</w:t>
      </w:r>
    </w:p>
    <w:p>
      <w:pPr>
        <w:tabs>
          <w:tab w:pos="4252" w:val="center"/>
          <w:tab w:pos="8504" w:val="right"/>
        </w:tabs>
        <w:spacing w:line="360" w:lineRule="auto" w:before="80" w:after="80"/>
      </w:pPr>
      <w:r>
        <w:tab/>
      </w:r>
      <m:oMath>
        <m:sSub>
          <m:e>
            <m:acc>
              <m:accPr>
                <m:chr m:val="̂"/>
              </m:accPr>
              <m:e>
                <m:r>
                  <m:t>Θ</m:t>
                </m:r>
              </m:e>
            </m:acc>
          </m:e>
          <m:sub>
            <m:r>
              <m:t>N</m:t>
            </m:r>
            <m:r>
              <m:t>L</m:t>
            </m:r>
            <m:r>
              <m:t>S</m:t>
            </m:r>
          </m:sub>
        </m:sSub>
        <m:r>
          <m:rPr>
            <m:sty m:val="p"/>
          </m:rPr>
          <m:t>=</m:t>
        </m:r>
        <m:r>
          <m:rPr>
            <m:sty m:val="p"/>
          </m:rPr>
          <m:t>arg</m:t>
        </m:r>
        <m:sSub>
          <m:e>
            <m:r>
              <m:rPr>
                <m:sty m:val="p"/>
              </m:rPr>
              <m:t>min</m:t>
            </m:r>
          </m:e>
          <m:sub>
            <m:r>
              <m:t>Θ</m:t>
            </m:r>
          </m:sub>
        </m:sSub>
        <m:nary>
          <m:naryPr>
            <m:chr m:val="∑"/>
            <m:limLoc m:val="undOvr"/>
            <m:subHide m:val="off"/>
            <m:supHide m:val="on"/>
          </m:naryPr>
          <m:sub>
            <m:r>
              <m:t>t</m:t>
            </m:r>
          </m:sub>
          <m:sup>
            <m:r>
              <m:t>​</m:t>
            </m:r>
          </m:sup>
          <m:e>
            <m:d>
              <m:dPr>
                <m:begChr m:val="["/>
                <m:sepChr m:val=""/>
                <m:endChr m:val="]"/>
                <m:grow/>
              </m:dPr>
              <m:e>
                <m:r>
                  <m:rPr>
                    <m:sty m:val="p"/>
                  </m:rPr>
                  <m:t>(</m:t>
                </m:r>
                <m:sSub>
                  <m:e>
                    <m:r>
                      <m:t>T</m:t>
                    </m:r>
                  </m:e>
                  <m:sub>
                    <m:r>
                      <m:t>t</m:t>
                    </m:r>
                  </m:sub>
                </m:sSub>
                <m:r>
                  <m:rPr>
                    <m:sty m:val="p"/>
                  </m:rPr>
                  <m:t>−</m:t>
                </m:r>
                <m:sSub>
                  <m:e>
                    <m:acc>
                      <m:accPr>
                        <m:chr m:val="̂"/>
                      </m:accPr>
                      <m:e>
                        <m:r>
                          <m:t>T</m:t>
                        </m:r>
                      </m:e>
                    </m:acc>
                  </m:e>
                  <m:sub>
                    <m:r>
                      <m:t>t</m:t>
                    </m:r>
                  </m:sub>
                </m:sSub>
                <m:d>
                  <m:dPr>
                    <m:begChr m:val="("/>
                    <m:sepChr m:val=""/>
                    <m:endChr m:val=")"/>
                    <m:grow/>
                  </m:dPr>
                  <m:e>
                    <m:r>
                      <m:t>Θ</m:t>
                    </m:r>
                  </m:e>
                </m:d>
                <m:sSup>
                  <m:e>
                    <m:r>
                      <m:rPr>
                        <m:sty m:val="p"/>
                      </m:rPr>
                      <m:t>)</m:t>
                    </m:r>
                  </m:e>
                  <m:sup>
                    <m:r>
                      <m:t>2</m:t>
                    </m:r>
                  </m:sup>
                </m:sSup>
                <m:r>
                  <m:rPr>
                    <m:sty m:val="p"/>
                  </m:rPr>
                  <m:t>+</m:t>
                </m:r>
                <m:r>
                  <m:rPr>
                    <m:sty m:val="p"/>
                  </m:rPr>
                  <m:t>(</m:t>
                </m:r>
                <m:sSub>
                  <m:e>
                    <m:r>
                      <m:t>I</m:t>
                    </m:r>
                  </m:e>
                  <m:sub>
                    <m:r>
                      <m:t>t</m:t>
                    </m:r>
                  </m:sub>
                </m:sSub>
                <m:r>
                  <m:rPr>
                    <m:sty m:val="p"/>
                  </m:rPr>
                  <m:t>−</m:t>
                </m:r>
                <m:sSub>
                  <m:e>
                    <m:acc>
                      <m:accPr>
                        <m:chr m:val="̂"/>
                      </m:accPr>
                      <m:e>
                        <m:r>
                          <m:t>I</m:t>
                        </m:r>
                      </m:e>
                    </m:acc>
                  </m:e>
                  <m:sub>
                    <m:r>
                      <m:t>t</m:t>
                    </m:r>
                  </m:sub>
                </m:sSub>
                <m:d>
                  <m:dPr>
                    <m:begChr m:val="("/>
                    <m:sepChr m:val=""/>
                    <m:endChr m:val=")"/>
                    <m:grow/>
                  </m:dPr>
                  <m:e>
                    <m:r>
                      <m:t>Θ</m:t>
                    </m:r>
                  </m:e>
                </m:d>
                <m:sSup>
                  <m:e>
                    <m:r>
                      <m:rPr>
                        <m:sty m:val="p"/>
                      </m:rPr>
                      <m:t>)</m:t>
                    </m:r>
                  </m:e>
                  <m:sup>
                    <m:r>
                      <m:t>2</m:t>
                    </m:r>
                  </m:sup>
                </m:sSup>
              </m:e>
            </m:d>
          </m:e>
        </m:nary>
      </m:oMath>
      <w:r>
        <w:tab/>
      </w:r>
      <w:r>
        <w:rPr>
          <w:rFonts w:ascii="Times New Roman" w:hAnsi="Times New Roman" w:eastAsia="宋体"/>
          <w:sz w:val="24"/>
        </w:rPr>
        <w:t>(6-14)</w:t>
      </w:r>
    </w:p>
    <w:p>
      <w:pPr>
        <w:spacing w:line="360" w:lineRule="auto" w:after="0"/>
        <w:jc w:val="both"/>
      </w:pPr>
      <w:r>
        <w:rPr>
          <w:rFonts w:ascii="宋体" w:hAnsi="宋体" w:eastAsia="宋体"/>
          <w:sz w:val="24"/>
        </w:rPr>
        <w:t>其中，</w:t>
      </w:r>
      <m:oMath>
        <m:r>
          <m:t>Θ</m:t>
        </m:r>
        <m:r>
          <m:rPr>
            <m:sty m:val="p"/>
          </m:rPr>
          <m:t>=</m:t>
        </m:r>
        <m:d>
          <m:dPr>
            <m:begChr m:val="("/>
            <m:sepChr m:val=""/>
            <m:endChr m:val=")"/>
            <m:grow/>
          </m:dPr>
          <m:e>
            <m:sSub>
              <m:e>
                <m:r>
                  <m:t>r</m:t>
                </m:r>
              </m:e>
              <m:sub>
                <m:r>
                  <m:t>T</m:t>
                </m:r>
              </m:sub>
            </m:sSub>
            <m:r>
              <m:rPr>
                <m:sty m:val="p"/>
              </m:rPr>
              <m:t>,</m:t>
            </m:r>
            <m:sSub>
              <m:e>
                <m:r>
                  <m:t>r</m:t>
                </m:r>
              </m:e>
              <m:sub>
                <m:r>
                  <m:t>I</m:t>
                </m:r>
              </m:sub>
            </m:sSub>
            <m:r>
              <m:rPr>
                <m:sty m:val="p"/>
              </m:rPr>
              <m:t>,</m:t>
            </m:r>
            <m:r>
              <m:t>α</m:t>
            </m:r>
            <m:r>
              <m:rPr>
                <m:sty m:val="p"/>
              </m:rPr>
              <m:t>,</m:t>
            </m:r>
            <m:r>
              <m:t>β</m:t>
            </m:r>
            <m:r>
              <m:rPr>
                <m:sty m:val="p"/>
              </m:rPr>
              <m:t>,</m:t>
            </m:r>
            <m:r>
              <m:t>γ</m:t>
            </m:r>
          </m:e>
        </m:d>
      </m:oMath>
      <w:r>
        <w:rPr>
          <w:rFonts w:ascii="宋体" w:hAnsi="宋体" w:eastAsia="宋体"/>
          <w:sz w:val="24"/>
        </w:rPr>
        <w:t>为待估参数向量，</w:t>
      </w:r>
      <m:oMath>
        <m:sSub>
          <m:e>
            <m:acc>
              <m:accPr>
                <m:chr m:val="̂"/>
              </m:accPr>
              <m:e>
                <m:r>
                  <m:t>T</m:t>
                </m:r>
              </m:e>
            </m:acc>
          </m:e>
          <m:sub>
            <m:r>
              <m:t>t</m:t>
            </m:r>
          </m:sub>
        </m:sSub>
        <m:d>
          <m:dPr>
            <m:begChr m:val="("/>
            <m:sepChr m:val=""/>
            <m:endChr m:val=")"/>
            <m:grow/>
          </m:dPr>
          <m:e>
            <m:r>
              <m:t>Θ</m:t>
            </m:r>
          </m:e>
        </m:d>
      </m:oMath>
      <w:r>
        <w:rPr>
          <w:rFonts w:ascii="宋体" w:hAnsi="宋体" w:eastAsia="宋体"/>
          <w:sz w:val="24"/>
        </w:rPr>
        <w:t>、</w:t>
      </w:r>
      <m:oMath>
        <m:sSub>
          <m:e>
            <m:acc>
              <m:accPr>
                <m:chr m:val="̂"/>
              </m:accPr>
              <m:e>
                <m:r>
                  <m:t>I</m:t>
                </m:r>
              </m:e>
            </m:acc>
          </m:e>
          <m:sub>
            <m:r>
              <m:t>t</m:t>
            </m:r>
          </m:sub>
        </m:sSub>
        <m:d>
          <m:dPr>
            <m:begChr m:val="("/>
            <m:sepChr m:val=""/>
            <m:endChr m:val=")"/>
            <m:grow/>
          </m:dPr>
          <m:e>
            <m:r>
              <m:t>Θ</m:t>
            </m:r>
          </m:e>
        </m:d>
      </m:oMath>
      <w:r>
        <w:rPr>
          <w:rFonts w:ascii="宋体" w:hAnsi="宋体" w:eastAsia="宋体"/>
          <w:sz w:val="24"/>
        </w:rPr>
        <w:t>为给定参数下由初值递推得到的模型轨迹。</w:t>
      </w:r>
    </w:p>
    <w:p>
      <w:pPr>
        <w:spacing w:line="360" w:lineRule="auto" w:after="0"/>
        <w:ind w:firstLineChars="200" w:firstLine="480"/>
        <w:jc w:val="both"/>
      </w:pPr>
      <w:r>
        <w:rPr>
          <w:rFonts w:ascii="宋体" w:hAnsi="宋体" w:eastAsia="宋体"/>
          <w:sz w:val="24"/>
        </w:rPr>
        <w:t>第二步，以贝叶斯方法对NLS结果进行校准。设参数先验为经济可行域上的截断正态分布——增长率与互馈系数限定为正、阻尼系数限定于单位区间，先验中心取NLS点估计，后验分布由</w:t>
      </w:r>
    </w:p>
    <w:p>
      <w:pPr>
        <w:tabs>
          <w:tab w:pos="4252" w:val="center"/>
          <w:tab w:pos="8504" w:val="right"/>
        </w:tabs>
        <w:spacing w:line="360" w:lineRule="auto" w:before="80" w:after="80"/>
      </w:pPr>
      <w:r>
        <w:tab/>
      </w:r>
      <m:oMath>
        <m:r>
          <m:t>p</m:t>
        </m:r>
        <m:d>
          <m:dPr>
            <m:begChr m:val="("/>
            <m:sepChr m:val=""/>
            <m:endChr m:val=")"/>
            <m:grow/>
          </m:dPr>
          <m:e>
            <m:r>
              <m:t>Θ</m:t>
            </m:r>
            <m:r>
              <m:rPr>
                <m:sty m:val="p"/>
              </m:rPr>
              <m:t>∣</m:t>
            </m:r>
            <m:r>
              <m:rPr>
                <m:scr m:val="script"/>
                <m:sty m:val="p"/>
              </m:rPr>
              <m:t>D</m:t>
            </m:r>
          </m:e>
        </m:d>
        <m:r>
          <m:rPr>
            <m:sty m:val="p"/>
          </m:rPr>
          <m:t>∝</m:t>
        </m:r>
        <m:r>
          <m:t>L</m:t>
        </m:r>
        <m:d>
          <m:dPr>
            <m:begChr m:val="("/>
            <m:sepChr m:val=""/>
            <m:endChr m:val=")"/>
            <m:grow/>
          </m:dPr>
          <m:e>
            <m:r>
              <m:rPr>
                <m:scr m:val="script"/>
                <m:sty m:val="p"/>
              </m:rPr>
              <m:t>D</m:t>
            </m:r>
            <m:r>
              <m:rPr>
                <m:sty m:val="p"/>
              </m:rPr>
              <m:t>∣</m:t>
            </m:r>
            <m:r>
              <m:t>Θ</m:t>
            </m:r>
          </m:e>
        </m:d>
        <m:r>
          <m:t> </m:t>
        </m:r>
        <m:r>
          <m:t>π</m:t>
        </m:r>
        <m:d>
          <m:dPr>
            <m:begChr m:val="("/>
            <m:sepChr m:val=""/>
            <m:endChr m:val=")"/>
            <m:grow/>
          </m:dPr>
          <m:e>
            <m:r>
              <m:t>Θ</m:t>
            </m:r>
          </m:e>
        </m:d>
      </m:oMath>
      <w:r>
        <w:tab/>
      </w:r>
      <w:r>
        <w:rPr>
          <w:rFonts w:ascii="Times New Roman" w:hAnsi="Times New Roman" w:eastAsia="宋体"/>
          <w:sz w:val="24"/>
        </w:rPr>
        <w:t>(6-15)</w:t>
      </w:r>
    </w:p>
    <w:p>
      <w:pPr>
        <w:spacing w:line="360" w:lineRule="auto" w:after="0"/>
        <w:jc w:val="both"/>
      </w:pPr>
      <w:r>
        <w:rPr>
          <w:rFonts w:ascii="宋体" w:hAnsi="宋体" w:eastAsia="宋体"/>
          <w:sz w:val="24"/>
        </w:rPr>
        <w:t>给出。其中，</w:t>
      </w:r>
      <m:oMath>
        <m:r>
          <m:rPr>
            <m:scr m:val="script"/>
            <m:sty m:val="p"/>
          </m:rPr>
          <m:t>D</m:t>
        </m:r>
      </m:oMath>
      <w:r>
        <w:rPr>
          <w:rFonts w:ascii="宋体" w:hAnsi="宋体" w:eastAsia="宋体"/>
          <w:sz w:val="24"/>
        </w:rPr>
        <w:t>为观测数据集，</w:t>
      </w:r>
      <m:oMath>
        <m:r>
          <m:t>L</m:t>
        </m:r>
        <m:d>
          <m:dPr>
            <m:begChr m:val="("/>
            <m:sepChr m:val=""/>
            <m:endChr m:val=")"/>
            <m:grow/>
          </m:dPr>
          <m:e>
            <m:r>
              <m:rPr>
                <m:scr m:val="script"/>
                <m:sty m:val="p"/>
              </m:rPr>
              <m:t>D</m:t>
            </m:r>
            <m:r>
              <m:rPr>
                <m:sty m:val="p"/>
              </m:rPr>
              <m:t>∣</m:t>
            </m:r>
            <m:r>
              <m:t>Θ</m:t>
            </m:r>
          </m:e>
        </m:d>
      </m:oMath>
      <w:r>
        <w:rPr>
          <w:rFonts w:ascii="宋体" w:hAnsi="宋体" w:eastAsia="宋体"/>
          <w:sz w:val="24"/>
        </w:rPr>
        <w:t>为高斯似然，</w:t>
      </w:r>
      <m:oMath>
        <m:r>
          <m:t>π</m:t>
        </m:r>
        <m:d>
          <m:dPr>
            <m:begChr m:val="("/>
            <m:sepChr m:val=""/>
            <m:endChr m:val=")"/>
            <m:grow/>
          </m:dPr>
          <m:e>
            <m:r>
              <m:t>Θ</m:t>
            </m:r>
          </m:e>
        </m:d>
      </m:oMath>
      <w:r>
        <w:rPr>
          <w:rFonts w:ascii="宋体" w:hAnsi="宋体" w:eastAsia="宋体"/>
          <w:sz w:val="24"/>
        </w:rPr>
        <w:t>为先验密度；后验抽样采用随机游走Metropolis-Hastings算法，多条并行链的通行收敛诊断均获通过，以后验均值作为参数的点估计。</w:t>
      </w:r>
    </w:p>
    <w:p>
      <w:pPr>
        <w:spacing w:line="360" w:lineRule="auto" w:after="0"/>
        <w:ind w:firstLineChars="200" w:firstLine="480"/>
        <w:jc w:val="both"/>
      </w:pPr>
      <w:r>
        <w:rPr>
          <w:rFonts w:ascii="宋体" w:hAnsi="宋体" w:eastAsia="宋体"/>
          <w:sz w:val="24"/>
        </w:rPr>
        <w:t>采用“NLS+贝叶斯校准”双重策略的理由有二。其一，样本长度有限——尤其是“双碳”后子样本仅有六个年度观测——纯频率学派估计易受个别年份扰动牵引，先验约束能有效抑制过拟合并保证参数落于经济可行域；其二，贝叶斯后验提供了参数不确定性的完整刻画，便于对均衡位置与稳定性判据作稳健性评估，而非仅依赖点估计，并延续了作者前期碳中和动态模拟研究的参数校准策略（Cai等，2024b）。两步结果高度一致：NLS点估计均落在后验90%可信区间之内，表明数据信息而非先验设定主导了估计结果。</w:t>
      </w:r>
    </w:p>
    <w:p>
      <w:pPr>
        <w:keepNext/>
        <w:spacing w:before="160" w:after="120" w:line="360" w:lineRule="auto"/>
        <w:outlineLvl w:val="2"/>
      </w:pPr>
      <w:r>
        <w:rPr>
          <w:rFonts w:ascii="黑体" w:hAnsi="黑体" w:eastAsia="黑体"/>
          <w:sz w:val="24"/>
        </w:rPr>
        <w:t>6.4.2  分样本估计结果：“双碳”前后的互馈结构变化</w:t>
      </w:r>
    </w:p>
    <w:p>
      <w:pPr>
        <w:spacing w:line="360" w:lineRule="auto" w:after="0"/>
        <w:ind w:firstLineChars="200" w:firstLine="480"/>
        <w:jc w:val="both"/>
      </w:pPr>
      <w:r>
        <w:rPr>
          <w:rFonts w:ascii="宋体" w:hAnsi="宋体" w:eastAsia="宋体"/>
          <w:sz w:val="24"/>
        </w:rPr>
        <w:t>2020年9月22日“双碳”目标正式宣示，以此为界将样本划分为2004—2019年与2020—2025年两个子样本（2020年归入后段），分别估计全部参数。断点设定有充分依据：第4章已论证2020年是标准供给数量、结构与驱动力格局的共同转折点，此后《碳达峰碳中和标准体系建设指南》等顶层设计密集出台（国家标准化管理委员会等，2023），能耗双控向碳排放双控的转型也系统性改变了技术与制度互动的政策环境（袁惊柱，2025）。表6.2报告了分样本估计结果。</w:t>
      </w:r>
    </w:p>
    <w:p>
      <w:pPr>
        <w:keepNext/>
        <w:spacing w:before="160" w:after="40"/>
        <w:jc w:val="center"/>
      </w:pPr>
      <w:r>
        <w:rPr>
          <w:rFonts w:ascii="黑体" w:hAnsi="黑体" w:eastAsia="黑体"/>
          <w:sz w:val="21"/>
        </w:rPr>
        <w:t>表6.2  技术—制度协同演进模型的参数估计结果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参数</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经济含义</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“双碳”前（2004—2019）</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“双碳”后（2020—2025）</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变化</w:t>
            </w:r>
          </w:p>
        </w:tc>
      </w:tr>
      <w:tr>
        <w:tc>
          <w:tcPr>
            <w:tcW w:type="dxa" w:w="1701"/>
            <w:vAlign w:val="center"/>
          </w:tcPr>
          <w:p>
            <w:pPr>
              <w:spacing w:line="240" w:lineRule="auto" w:after="20" w:before="20"/>
              <w:jc w:val="center"/>
            </w:pPr>
            <w:r/>
            <m:oMath>
              <m:sSub>
                <m:e>
                  <m:r>
                    <m:t>r</m:t>
                  </m:r>
                </m:e>
                <m:sub>
                  <m:r>
                    <m:t>T</m:t>
                  </m:r>
                </m:sub>
              </m:sSub>
            </m:oMath>
          </w:p>
        </w:tc>
        <w:tc>
          <w:tcPr>
            <w:tcW w:type="dxa" w:w="1701"/>
            <w:vAlign w:val="center"/>
          </w:tcPr>
          <w:p>
            <w:pPr>
              <w:spacing w:line="240" w:lineRule="auto" w:after="20" w:before="20"/>
              <w:jc w:val="left"/>
            </w:pPr>
            <w:r/>
            <w:r>
              <w:rPr>
                <w:rFonts w:ascii="宋体" w:hAnsi="宋体" w:eastAsia="宋体"/>
                <w:sz w:val="21"/>
              </w:rPr>
              <w:t>技术自主增长率</w:t>
            </w:r>
          </w:p>
        </w:tc>
        <w:tc>
          <w:tcPr>
            <w:tcW w:type="dxa" w:w="1701"/>
            <w:vAlign w:val="center"/>
          </w:tcPr>
          <w:p>
            <w:pPr>
              <w:spacing w:line="240" w:lineRule="auto" w:after="20" w:before="20"/>
              <w:jc w:val="center"/>
            </w:pPr>
            <w:r/>
            <w:r>
              <w:rPr>
                <w:rFonts w:ascii="宋体" w:hAnsi="宋体" w:eastAsia="宋体"/>
                <w:sz w:val="21"/>
              </w:rPr>
              <w:t>0.082</w:t>
            </w:r>
          </w:p>
        </w:tc>
        <w:tc>
          <w:tcPr>
            <w:tcW w:type="dxa" w:w="1701"/>
            <w:vAlign w:val="center"/>
          </w:tcPr>
          <w:p>
            <w:pPr>
              <w:spacing w:line="240" w:lineRule="auto" w:after="20" w:before="20"/>
              <w:jc w:val="center"/>
            </w:pPr>
            <w:r/>
            <w:r>
              <w:rPr>
                <w:rFonts w:ascii="宋体" w:hAnsi="宋体" w:eastAsia="宋体"/>
                <w:sz w:val="21"/>
              </w:rPr>
              <w:t>0.118</w:t>
            </w:r>
          </w:p>
        </w:tc>
        <w:tc>
          <w:tcPr>
            <w:tcW w:type="dxa" w:w="1701"/>
            <w:vAlign w:val="center"/>
          </w:tcPr>
          <w:p>
            <w:pPr>
              <w:spacing w:line="240" w:lineRule="auto" w:after="20" w:before="20"/>
              <w:jc w:val="center"/>
            </w:pPr>
            <w:r/>
            <w:r>
              <w:rPr>
                <w:rFonts w:ascii="宋体" w:hAnsi="宋体" w:eastAsia="宋体"/>
                <w:sz w:val="21"/>
              </w:rPr>
              <w:t>+43.9%</w:t>
            </w:r>
          </w:p>
        </w:tc>
      </w:tr>
      <w:tr>
        <w:tc>
          <w:tcPr>
            <w:tcW w:type="dxa" w:w="1701"/>
            <w:vAlign w:val="center"/>
          </w:tcPr>
          <w:p>
            <w:pPr>
              <w:spacing w:line="240" w:lineRule="auto" w:after="20" w:before="20"/>
              <w:jc w:val="center"/>
            </w:pPr>
            <w:r/>
            <m:oMath>
              <m:sSub>
                <m:e>
                  <m:r>
                    <m:t>r</m:t>
                  </m:r>
                </m:e>
                <m:sub>
                  <m:r>
                    <m:t>I</m:t>
                  </m:r>
                </m:sub>
              </m:sSub>
            </m:oMath>
          </w:p>
        </w:tc>
        <w:tc>
          <w:tcPr>
            <w:tcW w:type="dxa" w:w="1701"/>
            <w:vAlign w:val="center"/>
          </w:tcPr>
          <w:p>
            <w:pPr>
              <w:spacing w:line="240" w:lineRule="auto" w:after="20" w:before="20"/>
              <w:jc w:val="left"/>
            </w:pPr>
            <w:r/>
            <w:r>
              <w:rPr>
                <w:rFonts w:ascii="宋体" w:hAnsi="宋体" w:eastAsia="宋体"/>
                <w:sz w:val="21"/>
              </w:rPr>
              <w:t>制度自主供给速率</w:t>
            </w:r>
          </w:p>
        </w:tc>
        <w:tc>
          <w:tcPr>
            <w:tcW w:type="dxa" w:w="1701"/>
            <w:vAlign w:val="center"/>
          </w:tcPr>
          <w:p>
            <w:pPr>
              <w:spacing w:line="240" w:lineRule="auto" w:after="20" w:before="20"/>
              <w:jc w:val="center"/>
            </w:pPr>
            <w:r/>
            <w:r>
              <w:rPr>
                <w:rFonts w:ascii="宋体" w:hAnsi="宋体" w:eastAsia="宋体"/>
                <w:sz w:val="21"/>
              </w:rPr>
              <w:t>0.061</w:t>
            </w:r>
          </w:p>
        </w:tc>
        <w:tc>
          <w:tcPr>
            <w:tcW w:type="dxa" w:w="1701"/>
            <w:vAlign w:val="center"/>
          </w:tcPr>
          <w:p>
            <w:pPr>
              <w:spacing w:line="240" w:lineRule="auto" w:after="20" w:before="20"/>
              <w:jc w:val="center"/>
            </w:pPr>
            <w:r/>
            <w:r>
              <w:rPr>
                <w:rFonts w:ascii="宋体" w:hAnsi="宋体" w:eastAsia="宋体"/>
                <w:sz w:val="21"/>
              </w:rPr>
              <w:t>0.094</w:t>
            </w:r>
          </w:p>
        </w:tc>
        <w:tc>
          <w:tcPr>
            <w:tcW w:type="dxa" w:w="1701"/>
            <w:vAlign w:val="center"/>
          </w:tcPr>
          <w:p>
            <w:pPr>
              <w:spacing w:line="240" w:lineRule="auto" w:after="20" w:before="20"/>
              <w:jc w:val="center"/>
            </w:pPr>
            <w:r/>
            <w:r>
              <w:rPr>
                <w:rFonts w:ascii="宋体" w:hAnsi="宋体" w:eastAsia="宋体"/>
                <w:sz w:val="21"/>
              </w:rPr>
              <w:t>+54.1%</w:t>
            </w:r>
          </w:p>
        </w:tc>
      </w:tr>
      <w:tr>
        <w:tc>
          <w:tcPr>
            <w:tcW w:type="dxa" w:w="1701"/>
            <w:vAlign w:val="center"/>
          </w:tcPr>
          <w:p>
            <w:pPr>
              <w:spacing w:line="240" w:lineRule="auto" w:after="20" w:before="20"/>
              <w:jc w:val="center"/>
            </w:pPr>
            <w:r/>
            <m:oMath>
              <m:sSub>
                <m:e>
                  <m:r>
                    <m:t>K</m:t>
                  </m:r>
                </m:e>
                <m:sub>
                  <m:r>
                    <m:t>T</m:t>
                  </m:r>
                </m:sub>
              </m:sSub>
            </m:oMath>
          </w:p>
        </w:tc>
        <w:tc>
          <w:tcPr>
            <w:tcW w:type="dxa" w:w="1701"/>
            <w:vAlign w:val="center"/>
          </w:tcPr>
          <w:p>
            <w:pPr>
              <w:spacing w:line="240" w:lineRule="auto" w:after="20" w:before="20"/>
              <w:jc w:val="left"/>
            </w:pPr>
            <w:r/>
            <w:r>
              <w:rPr>
                <w:rFonts w:ascii="宋体" w:hAnsi="宋体" w:eastAsia="宋体"/>
                <w:sz w:val="21"/>
              </w:rPr>
              <w:t>技术潜在容量（归一化）</w:t>
            </w:r>
          </w:p>
        </w:tc>
        <w:tc>
          <w:tcPr>
            <w:tcW w:type="dxa" w:w="1701"/>
            <w:vAlign w:val="center"/>
          </w:tcPr>
          <w:p>
            <w:pPr>
              <w:spacing w:line="240" w:lineRule="auto" w:after="20" w:before="20"/>
              <w:jc w:val="center"/>
            </w:pPr>
            <w:r/>
            <w:r>
              <w:rPr>
                <w:rFonts w:ascii="宋体" w:hAnsi="宋体" w:eastAsia="宋体"/>
                <w:sz w:val="21"/>
              </w:rPr>
              <w:t>1.000</w:t>
            </w:r>
          </w:p>
        </w:tc>
        <w:tc>
          <w:tcPr>
            <w:tcW w:type="dxa" w:w="1701"/>
            <w:vAlign w:val="center"/>
          </w:tcPr>
          <w:p>
            <w:pPr>
              <w:spacing w:line="240" w:lineRule="auto" w:after="20" w:before="20"/>
              <w:jc w:val="center"/>
            </w:pPr>
            <w:r/>
            <w:r>
              <w:rPr>
                <w:rFonts w:ascii="宋体" w:hAnsi="宋体" w:eastAsia="宋体"/>
                <w:sz w:val="21"/>
              </w:rPr>
              <w:t>1.000</w:t>
            </w:r>
          </w:p>
        </w:tc>
        <w:tc>
          <w:tcPr>
            <w:tcW w:type="dxa" w:w="1701"/>
            <w:vAlign w:val="center"/>
          </w:tcPr>
          <w:p>
            <w:pPr>
              <w:spacing w:line="240" w:lineRule="auto" w:after="20" w:before="20"/>
              <w:jc w:val="center"/>
            </w:pPr>
            <w:r/>
            <w:r>
              <w:rPr>
                <w:rFonts w:ascii="宋体" w:hAnsi="宋体" w:eastAsia="宋体"/>
                <w:sz w:val="21"/>
              </w:rPr>
              <w:t>不变</w:t>
            </w:r>
          </w:p>
        </w:tc>
      </w:tr>
      <w:tr>
        <w:tc>
          <w:tcPr>
            <w:tcW w:type="dxa" w:w="1701"/>
            <w:vAlign w:val="center"/>
          </w:tcPr>
          <w:p>
            <w:pPr>
              <w:spacing w:line="240" w:lineRule="auto" w:after="20" w:before="20"/>
              <w:jc w:val="center"/>
            </w:pPr>
            <w:r/>
            <m:oMath>
              <m:sSub>
                <m:e>
                  <m:r>
                    <m:t>K</m:t>
                  </m:r>
                </m:e>
                <m:sub>
                  <m:r>
                    <m:t>I</m:t>
                  </m:r>
                </m:sub>
              </m:sSub>
            </m:oMath>
          </w:p>
        </w:tc>
        <w:tc>
          <w:tcPr>
            <w:tcW w:type="dxa" w:w="1701"/>
            <w:vAlign w:val="center"/>
          </w:tcPr>
          <w:p>
            <w:pPr>
              <w:spacing w:line="240" w:lineRule="auto" w:after="20" w:before="20"/>
              <w:jc w:val="left"/>
            </w:pPr>
            <w:r/>
            <w:r>
              <w:rPr>
                <w:rFonts w:ascii="宋体" w:hAnsi="宋体" w:eastAsia="宋体"/>
                <w:sz w:val="21"/>
              </w:rPr>
              <w:t>制度潜在容量（归一化）</w:t>
            </w:r>
          </w:p>
        </w:tc>
        <w:tc>
          <w:tcPr>
            <w:tcW w:type="dxa" w:w="1701"/>
            <w:vAlign w:val="center"/>
          </w:tcPr>
          <w:p>
            <w:pPr>
              <w:spacing w:line="240" w:lineRule="auto" w:after="20" w:before="20"/>
              <w:jc w:val="center"/>
            </w:pPr>
            <w:r/>
            <w:r>
              <w:rPr>
                <w:rFonts w:ascii="宋体" w:hAnsi="宋体" w:eastAsia="宋体"/>
                <w:sz w:val="21"/>
              </w:rPr>
              <w:t>1.000</w:t>
            </w:r>
          </w:p>
        </w:tc>
        <w:tc>
          <w:tcPr>
            <w:tcW w:type="dxa" w:w="1701"/>
            <w:vAlign w:val="center"/>
          </w:tcPr>
          <w:p>
            <w:pPr>
              <w:spacing w:line="240" w:lineRule="auto" w:after="20" w:before="20"/>
              <w:jc w:val="center"/>
            </w:pPr>
            <w:r/>
            <w:r>
              <w:rPr>
                <w:rFonts w:ascii="宋体" w:hAnsi="宋体" w:eastAsia="宋体"/>
                <w:sz w:val="21"/>
              </w:rPr>
              <w:t>1.000</w:t>
            </w:r>
          </w:p>
        </w:tc>
        <w:tc>
          <w:tcPr>
            <w:tcW w:type="dxa" w:w="1701"/>
            <w:vAlign w:val="center"/>
          </w:tcPr>
          <w:p>
            <w:pPr>
              <w:spacing w:line="240" w:lineRule="auto" w:after="20" w:before="20"/>
              <w:jc w:val="center"/>
            </w:pPr>
            <w:r/>
            <w:r>
              <w:rPr>
                <w:rFonts w:ascii="宋体" w:hAnsi="宋体" w:eastAsia="宋体"/>
                <w:sz w:val="21"/>
              </w:rPr>
              <w:t>不变</w:t>
            </w:r>
          </w:p>
        </w:tc>
      </w:tr>
      <w:tr>
        <w:tc>
          <w:tcPr>
            <w:tcW w:type="dxa" w:w="1701"/>
            <w:vAlign w:val="center"/>
          </w:tcPr>
          <w:p>
            <w:pPr>
              <w:spacing w:line="240" w:lineRule="auto" w:after="20" w:before="20"/>
              <w:jc w:val="center"/>
            </w:pPr>
            <w:r/>
            <m:oMath>
              <m:r>
                <m:t>α</m:t>
              </m:r>
            </m:oMath>
          </w:p>
        </w:tc>
        <w:tc>
          <w:tcPr>
            <w:tcW w:type="dxa" w:w="1701"/>
            <w:vAlign w:val="center"/>
          </w:tcPr>
          <w:p>
            <w:pPr>
              <w:spacing w:line="240" w:lineRule="auto" w:after="20" w:before="20"/>
              <w:jc w:val="left"/>
            </w:pPr>
            <w:r/>
            <w:r>
              <w:rPr>
                <w:rFonts w:ascii="宋体" w:hAnsi="宋体" w:eastAsia="宋体"/>
                <w:sz w:val="21"/>
              </w:rPr>
              <w:t>技术促制度互馈系数</w:t>
            </w:r>
          </w:p>
        </w:tc>
        <w:tc>
          <w:tcPr>
            <w:tcW w:type="dxa" w:w="1701"/>
            <w:vAlign w:val="center"/>
          </w:tcPr>
          <w:p>
            <w:pPr>
              <w:spacing w:line="240" w:lineRule="auto" w:after="20" w:before="20"/>
              <w:jc w:val="center"/>
            </w:pPr>
            <w:r/>
            <w:r>
              <w:rPr>
                <w:rFonts w:ascii="宋体" w:hAnsi="宋体" w:eastAsia="宋体"/>
                <w:sz w:val="21"/>
              </w:rPr>
              <w:t>0.021</w:t>
            </w:r>
          </w:p>
        </w:tc>
        <w:tc>
          <w:tcPr>
            <w:tcW w:type="dxa" w:w="1701"/>
            <w:vAlign w:val="center"/>
          </w:tcPr>
          <w:p>
            <w:pPr>
              <w:spacing w:line="240" w:lineRule="auto" w:after="20" w:before="20"/>
              <w:jc w:val="center"/>
            </w:pPr>
            <w:r/>
            <w:r>
              <w:rPr>
                <w:rFonts w:ascii="宋体" w:hAnsi="宋体" w:eastAsia="宋体"/>
                <w:sz w:val="21"/>
              </w:rPr>
              <w:t>0.058</w:t>
            </w:r>
          </w:p>
        </w:tc>
        <w:tc>
          <w:tcPr>
            <w:tcW w:type="dxa" w:w="1701"/>
            <w:vAlign w:val="center"/>
          </w:tcPr>
          <w:p>
            <w:pPr>
              <w:spacing w:line="240" w:lineRule="auto" w:after="20" w:before="20"/>
              <w:jc w:val="center"/>
            </w:pPr>
            <w:r/>
            <w:r>
              <w:rPr>
                <w:rFonts w:ascii="宋体" w:hAnsi="宋体" w:eastAsia="宋体"/>
                <w:sz w:val="21"/>
              </w:rPr>
              <w:t>提高至2.8倍</w:t>
            </w:r>
          </w:p>
        </w:tc>
      </w:tr>
      <w:tr>
        <w:tc>
          <w:tcPr>
            <w:tcW w:type="dxa" w:w="1701"/>
            <w:vAlign w:val="center"/>
          </w:tcPr>
          <w:p>
            <w:pPr>
              <w:spacing w:line="240" w:lineRule="auto" w:after="20" w:before="20"/>
              <w:jc w:val="center"/>
            </w:pPr>
            <w:r/>
            <m:oMath>
              <m:r>
                <m:t>β</m:t>
              </m:r>
            </m:oMath>
          </w:p>
        </w:tc>
        <w:tc>
          <w:tcPr>
            <w:tcW w:type="dxa" w:w="1701"/>
            <w:vAlign w:val="center"/>
          </w:tcPr>
          <w:p>
            <w:pPr>
              <w:spacing w:line="240" w:lineRule="auto" w:after="20" w:before="20"/>
              <w:jc w:val="left"/>
            </w:pPr>
            <w:r/>
            <w:r>
              <w:rPr>
                <w:rFonts w:ascii="宋体" w:hAnsi="宋体" w:eastAsia="宋体"/>
                <w:sz w:val="21"/>
              </w:rPr>
              <w:t>制度促技术互馈系数</w:t>
            </w:r>
          </w:p>
        </w:tc>
        <w:tc>
          <w:tcPr>
            <w:tcW w:type="dxa" w:w="1701"/>
            <w:vAlign w:val="center"/>
          </w:tcPr>
          <w:p>
            <w:pPr>
              <w:spacing w:line="240" w:lineRule="auto" w:after="20" w:before="20"/>
              <w:jc w:val="center"/>
            </w:pPr>
            <w:r/>
            <w:r>
              <w:rPr>
                <w:rFonts w:ascii="宋体" w:hAnsi="宋体" w:eastAsia="宋体"/>
                <w:sz w:val="21"/>
              </w:rPr>
              <w:t>0.018</w:t>
            </w:r>
          </w:p>
        </w:tc>
        <w:tc>
          <w:tcPr>
            <w:tcW w:type="dxa" w:w="1701"/>
            <w:vAlign w:val="center"/>
          </w:tcPr>
          <w:p>
            <w:pPr>
              <w:spacing w:line="240" w:lineRule="auto" w:after="20" w:before="20"/>
              <w:jc w:val="center"/>
            </w:pPr>
            <w:r/>
            <w:r>
              <w:rPr>
                <w:rFonts w:ascii="宋体" w:hAnsi="宋体" w:eastAsia="宋体"/>
                <w:sz w:val="21"/>
              </w:rPr>
              <w:t>0.049</w:t>
            </w:r>
          </w:p>
        </w:tc>
        <w:tc>
          <w:tcPr>
            <w:tcW w:type="dxa" w:w="1701"/>
            <w:vAlign w:val="center"/>
          </w:tcPr>
          <w:p>
            <w:pPr>
              <w:spacing w:line="240" w:lineRule="auto" w:after="20" w:before="20"/>
              <w:jc w:val="center"/>
            </w:pPr>
            <w:r/>
            <w:r>
              <w:rPr>
                <w:rFonts w:ascii="宋体" w:hAnsi="宋体" w:eastAsia="宋体"/>
                <w:sz w:val="21"/>
              </w:rPr>
              <w:t>提高至2.7倍</w:t>
            </w:r>
          </w:p>
        </w:tc>
      </w:tr>
      <w:tr>
        <w:tc>
          <w:tcPr>
            <w:tcW w:type="dxa" w:w="1701"/>
            <w:vAlign w:val="center"/>
          </w:tcPr>
          <w:p>
            <w:pPr>
              <w:spacing w:line="240" w:lineRule="auto" w:after="20" w:before="20"/>
              <w:jc w:val="center"/>
            </w:pPr>
            <w:r/>
            <m:oMath>
              <m:r>
                <m:t>γ</m:t>
              </m:r>
            </m:oMath>
          </w:p>
        </w:tc>
        <w:tc>
          <w:tcPr>
            <w:tcW w:type="dxa" w:w="1701"/>
            <w:vAlign w:val="center"/>
          </w:tcPr>
          <w:p>
            <w:pPr>
              <w:spacing w:line="240" w:lineRule="auto" w:after="20" w:before="20"/>
              <w:jc w:val="left"/>
            </w:pPr>
            <w:r/>
            <w:r>
              <w:rPr>
                <w:rFonts w:ascii="宋体" w:hAnsi="宋体" w:eastAsia="宋体"/>
                <w:sz w:val="21"/>
              </w:rPr>
              <w:t>不确定性阻尼系数</w:t>
            </w:r>
          </w:p>
        </w:tc>
        <w:tc>
          <w:tcPr>
            <w:tcW w:type="dxa" w:w="1701"/>
            <w:vAlign w:val="center"/>
          </w:tcPr>
          <w:p>
            <w:pPr>
              <w:spacing w:line="240" w:lineRule="auto" w:after="20" w:before="20"/>
              <w:jc w:val="center"/>
            </w:pPr>
            <w:r/>
            <w:r>
              <w:rPr>
                <w:rFonts w:ascii="宋体" w:hAnsi="宋体" w:eastAsia="宋体"/>
                <w:sz w:val="21"/>
              </w:rPr>
              <w:t>0.350</w:t>
            </w:r>
          </w:p>
        </w:tc>
        <w:tc>
          <w:tcPr>
            <w:tcW w:type="dxa" w:w="1701"/>
            <w:vAlign w:val="center"/>
          </w:tcPr>
          <w:p>
            <w:pPr>
              <w:spacing w:line="240" w:lineRule="auto" w:after="20" w:before="20"/>
              <w:jc w:val="center"/>
            </w:pPr>
            <w:r/>
            <w:r>
              <w:rPr>
                <w:rFonts w:ascii="宋体" w:hAnsi="宋体" w:eastAsia="宋体"/>
                <w:sz w:val="21"/>
              </w:rPr>
              <w:t>0.280</w:t>
            </w:r>
          </w:p>
        </w:tc>
        <w:tc>
          <w:tcPr>
            <w:tcW w:type="dxa" w:w="1701"/>
            <w:vAlign w:val="center"/>
          </w:tcPr>
          <w:p>
            <w:pPr>
              <w:spacing w:line="240" w:lineRule="auto" w:after="20" w:before="20"/>
              <w:jc w:val="center"/>
            </w:pPr>
            <w:r/>
            <w:r>
              <w:rPr>
                <w:rFonts w:ascii="宋体" w:hAnsi="宋体" w:eastAsia="宋体"/>
                <w:sz w:val="21"/>
              </w:rPr>
              <w:t>−20.0%</w:t>
            </w:r>
          </w:p>
        </w:tc>
      </w:tr>
      <w:tr>
        <w:tc>
          <w:tcPr>
            <w:tcW w:type="dxa" w:w="1701"/>
            <w:vAlign w:val="center"/>
          </w:tcPr>
          <w:p>
            <w:pPr>
              <w:spacing w:line="240" w:lineRule="auto" w:after="20" w:before="20"/>
              <w:jc w:val="center"/>
            </w:pPr>
            <w:r/>
            <m:oMath>
              <m:sSup>
                <m:e>
                  <m:r>
                    <m:t>R</m:t>
                  </m:r>
                </m:e>
                <m:sup>
                  <m:r>
                    <m:t>2</m:t>
                  </m:r>
                </m:sup>
              </m:sSup>
            </m:oMath>
            <w:r>
              <w:rPr>
                <w:rFonts w:ascii="宋体" w:hAnsi="宋体" w:eastAsia="宋体"/>
                <w:sz w:val="21"/>
              </w:rPr>
              <w:t>（技术方程）</w:t>
            </w:r>
          </w:p>
        </w:tc>
        <w:tc>
          <w:tcPr>
            <w:tcW w:type="dxa" w:w="1701"/>
            <w:vAlign w:val="center"/>
          </w:tcPr>
          <w:p>
            <w:pPr>
              <w:spacing w:line="240" w:lineRule="auto" w:after="20" w:before="20"/>
              <w:jc w:val="left"/>
            </w:pPr>
            <w:r/>
            <w:r>
              <w:rPr>
                <w:rFonts w:ascii="宋体" w:hAnsi="宋体" w:eastAsia="宋体"/>
                <w:sz w:val="21"/>
              </w:rPr>
              <w:t>拟合优度</w:t>
            </w:r>
          </w:p>
        </w:tc>
        <w:tc>
          <w:tcPr>
            <w:tcW w:type="dxa" w:w="1701"/>
            <w:vAlign w:val="center"/>
          </w:tcPr>
          <w:p>
            <w:pPr>
              <w:spacing w:line="240" w:lineRule="auto" w:after="20" w:before="20"/>
              <w:jc w:val="center"/>
            </w:pPr>
            <w:r/>
            <w:r>
              <w:rPr>
                <w:rFonts w:ascii="宋体" w:hAnsi="宋体" w:eastAsia="宋体"/>
                <w:sz w:val="21"/>
              </w:rPr>
              <w:t>0.931</w:t>
            </w:r>
          </w:p>
        </w:tc>
        <w:tc>
          <w:tcPr>
            <w:tcW w:type="dxa" w:w="1701"/>
            <w:vAlign w:val="center"/>
          </w:tcPr>
          <w:p>
            <w:pPr>
              <w:spacing w:line="240" w:lineRule="auto" w:after="20" w:before="20"/>
              <w:jc w:val="center"/>
            </w:pPr>
            <w:r/>
            <w:r>
              <w:rPr>
                <w:rFonts w:ascii="宋体" w:hAnsi="宋体" w:eastAsia="宋体"/>
                <w:sz w:val="21"/>
              </w:rPr>
              <w:t>0.957</w:t>
            </w:r>
          </w:p>
        </w:tc>
        <w:tc>
          <w:tcPr>
            <w:tcW w:type="dxa" w:w="1701"/>
            <w:vAlign w:val="center"/>
          </w:tcPr>
          <w:p>
            <w:pPr>
              <w:spacing w:line="240" w:lineRule="auto" w:after="20" w:before="20"/>
              <w:jc w:val="center"/>
            </w:pPr>
            <w:r/>
            <w:r>
              <w:rPr>
                <w:rFonts w:ascii="宋体" w:hAnsi="宋体" w:eastAsia="宋体"/>
                <w:sz w:val="21"/>
              </w:rPr>
              <w:t>—</w:t>
            </w:r>
          </w:p>
        </w:tc>
      </w:tr>
      <w:tr>
        <w:tc>
          <w:tcPr>
            <w:tcW w:type="dxa" w:w="1701"/>
            <w:vAlign w:val="center"/>
          </w:tcPr>
          <w:p>
            <w:pPr>
              <w:spacing w:line="240" w:lineRule="auto" w:after="20" w:before="20"/>
              <w:jc w:val="center"/>
            </w:pPr>
            <w:r/>
            <m:oMath>
              <m:sSup>
                <m:e>
                  <m:r>
                    <m:t>R</m:t>
                  </m:r>
                </m:e>
                <m:sup>
                  <m:r>
                    <m:t>2</m:t>
                  </m:r>
                </m:sup>
              </m:sSup>
            </m:oMath>
            <w:r>
              <w:rPr>
                <w:rFonts w:ascii="宋体" w:hAnsi="宋体" w:eastAsia="宋体"/>
                <w:sz w:val="21"/>
              </w:rPr>
              <w:t>（制度方程）</w:t>
            </w:r>
          </w:p>
        </w:tc>
        <w:tc>
          <w:tcPr>
            <w:tcW w:type="dxa" w:w="1701"/>
            <w:vAlign w:val="center"/>
          </w:tcPr>
          <w:p>
            <w:pPr>
              <w:spacing w:line="240" w:lineRule="auto" w:after="20" w:before="20"/>
              <w:jc w:val="left"/>
            </w:pPr>
            <w:r/>
            <w:r>
              <w:rPr>
                <w:rFonts w:ascii="宋体" w:hAnsi="宋体" w:eastAsia="宋体"/>
                <w:sz w:val="21"/>
              </w:rPr>
              <w:t>拟合优度</w:t>
            </w:r>
          </w:p>
        </w:tc>
        <w:tc>
          <w:tcPr>
            <w:tcW w:type="dxa" w:w="1701"/>
            <w:vAlign w:val="center"/>
          </w:tcPr>
          <w:p>
            <w:pPr>
              <w:spacing w:line="240" w:lineRule="auto" w:after="20" w:before="20"/>
              <w:jc w:val="center"/>
            </w:pPr>
            <w:r/>
            <w:r>
              <w:rPr>
                <w:rFonts w:ascii="宋体" w:hAnsi="宋体" w:eastAsia="宋体"/>
                <w:sz w:val="21"/>
              </w:rPr>
              <w:t>0.918</w:t>
            </w:r>
          </w:p>
        </w:tc>
        <w:tc>
          <w:tcPr>
            <w:tcW w:type="dxa" w:w="1701"/>
            <w:vAlign w:val="center"/>
          </w:tcPr>
          <w:p>
            <w:pPr>
              <w:spacing w:line="240" w:lineRule="auto" w:after="20" w:before="20"/>
              <w:jc w:val="center"/>
            </w:pPr>
            <w:r/>
            <w:r>
              <w:rPr>
                <w:rFonts w:ascii="宋体" w:hAnsi="宋体" w:eastAsia="宋体"/>
                <w:sz w:val="21"/>
              </w:rPr>
              <w:t>0.946</w:t>
            </w:r>
          </w:p>
        </w:tc>
        <w:tc>
          <w:tcPr>
            <w:tcW w:type="dxa" w:w="1701"/>
            <w:vAlign w:val="center"/>
          </w:tcPr>
          <w:p>
            <w:pPr>
              <w:spacing w:line="240" w:lineRule="auto" w:after="20" w:before="20"/>
              <w:jc w:val="center"/>
            </w:pPr>
            <w:r/>
            <w:r>
              <w:rPr>
                <w:rFonts w:ascii="宋体" w:hAnsi="宋体" w:eastAsia="宋体"/>
                <w:sz w:val="21"/>
              </w:rPr>
              <w:t>—</w:t>
            </w:r>
          </w:p>
        </w:tc>
      </w:tr>
    </w:tbl>
    <w:p>
      <w:pPr>
        <w:spacing w:after="200" w:line="240" w:lineRule="auto"/>
      </w:pPr>
      <w:r>
        <w:rPr>
          <w:rFonts w:ascii="宋体" w:hAnsi="宋体" w:eastAsia="宋体"/>
          <w:sz w:val="18"/>
        </w:rPr>
        <w:t>注：参数由式(6-12)—(6-14)的非线性最小二乘估计并经式(6-15)的贝叶斯校准得到，表中报告后验均值；</w:t>
      </w:r>
      <m:oMath>
        <m:sSub>
          <m:e>
            <m:r>
              <m:t>K</m:t>
            </m:r>
          </m:e>
          <m:sub>
            <m:r>
              <m:t>T</m:t>
            </m:r>
          </m:sub>
        </m:sSub>
      </m:oMath>
      <w:r>
        <w:rPr>
          <w:rFonts w:ascii="宋体" w:hAnsi="宋体" w:eastAsia="宋体"/>
          <w:sz w:val="18"/>
        </w:rPr>
        <w:t>、</w:t>
      </w:r>
      <m:oMath>
        <m:sSub>
          <m:e>
            <m:r>
              <m:t>K</m:t>
            </m:r>
          </m:e>
          <m:sub>
            <m:r>
              <m:t>I</m:t>
            </m:r>
          </m:sub>
        </m:sSub>
      </m:oMath>
      <w:r>
        <w:rPr>
          <w:rFonts w:ascii="宋体" w:hAnsi="宋体" w:eastAsia="宋体"/>
          <w:sz w:val="18"/>
        </w:rPr>
        <w:t>按指数构造归一化为1。数据来源：作者基于标准文本数据库与绿色低碳专利统计测算。</w:t>
      </w:r>
    </w:p>
    <w:p>
      <w:pPr>
        <w:spacing w:line="360" w:lineRule="auto" w:after="0"/>
        <w:ind w:firstLineChars="200" w:firstLine="480"/>
        <w:jc w:val="both"/>
      </w:pPr>
      <w:r>
        <w:rPr>
          <w:rFonts w:ascii="宋体" w:hAnsi="宋体" w:eastAsia="宋体"/>
          <w:sz w:val="24"/>
        </w:rPr>
        <w:t>表6.2传递的核心信息是互馈结构的系统性强化。技术促制度系数</w:t>
      </w:r>
      <m:oMath>
        <m:r>
          <m:t>α</m:t>
        </m:r>
      </m:oMath>
      <w:r>
        <w:rPr>
          <w:rFonts w:ascii="宋体" w:hAnsi="宋体" w:eastAsia="宋体"/>
          <w:sz w:val="24"/>
        </w:rPr>
        <w:t>由前期的0.021跃升至后期的0.058，提高至原有水平的约2.8倍；制度促技术系数</w:t>
      </w:r>
      <m:oMath>
        <m:r>
          <m:t>β</m:t>
        </m:r>
      </m:oMath>
      <w:r>
        <w:rPr>
          <w:rFonts w:ascii="宋体" w:hAnsi="宋体" w:eastAsia="宋体"/>
          <w:sz w:val="24"/>
        </w:rPr>
        <w:t>由0.018升至0.049，提高至约2.7倍。两条互馈通道近乎同步的倍增不是巧合，而是“双碳”顶层设计将互馈渠道制度化的结果。在技术促制度方向，2022年10月九部门印发《建立健全碳达峰碳中和标准计量体系实施方案》、2023年4月《碳达峰碳中和标准体系建设指南》明确到2025年制修订不少于1000项国家标准和行业标准，技术委员会与产业界的信息通道被系统性打通，成熟技术转化为标准的周期显著缩短；在制度促技术方向，“1+N”政策体系与全国碳市场共同稳定了低碳投资的长期预期——2021年7月全国碳市场上线、2024年碳价首次突破百元并带动年成交额创出181.14亿元新高，标准与碳价信号叠加，使绿色创新的合规溢价可感可期（张希良等，2021；舒辉和唐飞，2023）。</w:t>
      </w:r>
    </w:p>
    <w:p>
      <w:pPr>
        <w:spacing w:line="360" w:lineRule="auto" w:after="0"/>
        <w:ind w:firstLineChars="200" w:firstLine="480"/>
        <w:jc w:val="both"/>
      </w:pPr>
      <w:r>
        <w:rPr>
          <w:rFonts w:ascii="宋体" w:hAnsi="宋体" w:eastAsia="宋体"/>
          <w:sz w:val="24"/>
        </w:rPr>
        <w:t>自主增长率与阻尼的变化同样值得注意。技术自主增长率</w:t>
      </w:r>
      <m:oMath>
        <m:sSub>
          <m:e>
            <m:r>
              <m:t>r</m:t>
            </m:r>
          </m:e>
          <m:sub>
            <m:r>
              <m:t>T</m:t>
            </m:r>
          </m:sub>
        </m:sSub>
      </m:oMath>
      <w:r>
        <w:rPr>
          <w:rFonts w:ascii="宋体" w:hAnsi="宋体" w:eastAsia="宋体"/>
          <w:sz w:val="24"/>
        </w:rPr>
        <w:t>由0.082升至0.118、制度自主供给速率</w:t>
      </w:r>
      <m:oMath>
        <m:sSub>
          <m:e>
            <m:r>
              <m:t>r</m:t>
            </m:r>
          </m:e>
          <m:sub>
            <m:r>
              <m:t>I</m:t>
            </m:r>
          </m:sub>
        </m:sSub>
      </m:oMath>
      <w:r>
        <w:rPr>
          <w:rFonts w:ascii="宋体" w:hAnsi="宋体" w:eastAsia="宋体"/>
          <w:sz w:val="24"/>
        </w:rPr>
        <w:t>由0.061升至0.094，分别提高约44%与54%，对应研发投入加码与标准化行政资源的集中投放；阻尼系数</w:t>
      </w:r>
      <m:oMath>
        <m:r>
          <m:t>γ</m:t>
        </m:r>
      </m:oMath>
      <w:r>
        <w:rPr>
          <w:rFonts w:ascii="宋体" w:hAnsi="宋体" w:eastAsia="宋体"/>
          <w:sz w:val="24"/>
        </w:rPr>
        <w:t>由0.350降至0.280，降幅约20%，表明随着计量、监测、数据库等基础能力成熟，标准制定面临的技术不确定性成本明显消减——无技术支撑情形下的制度有效容量相应由潜在水平的65%升至72%。模型拟合质量优良：技术方程</w:t>
      </w:r>
      <m:oMath>
        <m:sSup>
          <m:e>
            <m:r>
              <m:t>R</m:t>
            </m:r>
          </m:e>
          <m:sup>
            <m:r>
              <m:t>2</m:t>
            </m:r>
          </m:sup>
        </m:sSup>
      </m:oMath>
      <w:r>
        <w:rPr>
          <w:rFonts w:ascii="宋体" w:hAnsi="宋体" w:eastAsia="宋体"/>
          <w:sz w:val="24"/>
        </w:rPr>
        <w:t>由0.931升至0.957，制度方程</w:t>
      </w:r>
      <m:oMath>
        <m:sSup>
          <m:e>
            <m:r>
              <m:t>R</m:t>
            </m:r>
          </m:e>
          <m:sup>
            <m:r>
              <m:t>2</m:t>
            </m:r>
          </m:sup>
        </m:sSup>
      </m:oMath>
      <w:r>
        <w:rPr>
          <w:rFonts w:ascii="宋体" w:hAnsi="宋体" w:eastAsia="宋体"/>
          <w:sz w:val="24"/>
        </w:rPr>
        <w:t>由0.918升至0.946，两阶段、两方程的拟合优度均在0.9以上，线性互馈设定对样本轨迹的解释力已相当充分。稳健性检验进一步显示：将样本起点在2004—2006年间移动、以加权最小二乘替代等权目标函数、将先验方差放大一倍，参数估计的相对格局与“互馈倍增、阻尼下降”的核心结论均保持不变。</w:t>
      </w:r>
    </w:p>
    <w:p>
      <w:pPr>
        <w:spacing w:line="360" w:lineRule="auto" w:after="0"/>
        <w:ind w:firstLineChars="200" w:firstLine="480"/>
        <w:jc w:val="both"/>
      </w:pPr>
      <w:r>
        <w:rPr>
          <w:rFonts w:ascii="宋体" w:hAnsi="宋体" w:eastAsia="宋体"/>
          <w:sz w:val="24"/>
        </w:rPr>
        <w:t>由图6.2可见，模型模拟轨迹与实际指数几乎重合，拟合残差无系统性形态；2020年虚线两侧曲线斜率的陡变被分样本参数准确捕捉——技术指数年均增速由前期的11.5%调整为后期的7.6%、制度指数由12.5%调整为8.4%（前期高增速部分源于低基数，后期则是高基数上的再加速，动力质量截然不同）。右侧小图对比了两阶段的互馈系数：</w:t>
      </w:r>
      <m:oMath>
        <m:r>
          <m:t>α</m:t>
        </m:r>
      </m:oMath>
      <w:r>
        <w:rPr>
          <w:rFonts w:ascii="宋体" w:hAnsi="宋体" w:eastAsia="宋体"/>
          <w:sz w:val="24"/>
        </w:rPr>
        <w:t>与</w:t>
      </w:r>
      <m:oMath>
        <m:r>
          <m:t>β</m:t>
        </m:r>
      </m:oMath>
      <w:r>
        <w:rPr>
          <w:rFonts w:ascii="宋体" w:hAnsi="宋体" w:eastAsia="宋体"/>
          <w:sz w:val="24"/>
        </w:rPr>
        <w:t>的柱高在“双碳”后同步跃升近两倍，直观呈现了互馈结构的历史性强化。尤其重要的是，即便允许全部参数在断点处切换，单一的LV结构仍能同时拟合两个阶段，说明“双碳”前后变化的是互馈的强度而非互馈的机制——技术与制度协同演进的基本逻辑一以贯之，顶层设计的作用是拧紧了既有的传动链条，而非另造一套传动系统。</w:t>
      </w:r>
    </w:p>
    <w:p>
      <w:pPr>
        <w:spacing w:before="120" w:after="40"/>
        <w:jc w:val="center"/>
      </w:pPr>
      <w:r>
        <w:drawing>
          <wp:inline xmlns:a="http://schemas.openxmlformats.org/drawingml/2006/main" xmlns:pic="http://schemas.openxmlformats.org/drawingml/2006/picture">
            <wp:extent cx="4860000" cy="2403578"/>
            <wp:docPr id="19" name="Picture 19"/>
            <wp:cNvGraphicFramePr>
              <a:graphicFrameLocks noChangeAspect="1"/>
            </wp:cNvGraphicFramePr>
            <a:graphic>
              <a:graphicData uri="http://schemas.openxmlformats.org/drawingml/2006/picture">
                <pic:pic>
                  <pic:nvPicPr>
                    <pic:cNvPr id="0" name="fig6_2.png"/>
                    <pic:cNvPicPr/>
                  </pic:nvPicPr>
                  <pic:blipFill>
                    <a:blip r:embed="rId27"/>
                    <a:stretch>
                      <a:fillRect/>
                    </a:stretch>
                  </pic:blipFill>
                  <pic:spPr>
                    <a:xfrm>
                      <a:off x="0" y="0"/>
                      <a:ext cx="4860000" cy="2403578"/>
                    </a:xfrm>
                    <a:prstGeom prst="rect"/>
                  </pic:spPr>
                </pic:pic>
              </a:graphicData>
            </a:graphic>
          </wp:inline>
        </w:drawing>
      </w:r>
    </w:p>
    <w:p>
      <w:pPr>
        <w:keepNext w:val="0"/>
        <w:spacing w:after="200"/>
        <w:jc w:val="center"/>
      </w:pPr>
      <w:r>
        <w:rPr>
          <w:rFonts w:ascii="黑体" w:hAnsi="黑体" w:eastAsia="黑体"/>
          <w:sz w:val="21"/>
        </w:rPr>
        <w:t>图6.2  技术与制度指数的拟合轨迹与阶段对比（2004—2025）</w:t>
      </w:r>
    </w:p>
    <w:p>
      <w:pPr>
        <w:keepNext/>
        <w:spacing w:before="160" w:after="120" w:line="360" w:lineRule="auto"/>
        <w:outlineLvl w:val="2"/>
      </w:pPr>
      <w:r>
        <w:rPr>
          <w:rFonts w:ascii="黑体" w:hAnsi="黑体" w:eastAsia="黑体"/>
          <w:sz w:val="24"/>
        </w:rPr>
        <w:t>6.4.3  全样本校准与均衡数值</w:t>
      </w:r>
    </w:p>
    <w:p>
      <w:pPr>
        <w:spacing w:line="360" w:lineRule="auto" w:after="0"/>
        <w:ind w:firstLineChars="200" w:firstLine="480"/>
        <w:jc w:val="both"/>
      </w:pPr>
      <w:r>
        <w:rPr>
          <w:rFonts w:ascii="宋体" w:hAnsi="宋体" w:eastAsia="宋体"/>
          <w:sz w:val="24"/>
        </w:rPr>
        <w:t>为刻画系统的长期归宿，本章进一步以2004—2025年全样本对模型作贝叶斯校准，以后验均值参数（各参数数值介于两个子样本估计值之间）数值求解内部均衡及其稳定性指标。结果显示：</w:t>
      </w:r>
      <m:oMath>
        <m:sSup>
          <m:e>
            <m:r>
              <m:t>T</m:t>
            </m:r>
          </m:e>
          <m:sup>
            <m:r>
              <m:rPr>
                <m:sty m:val="p"/>
              </m:rPr>
              <m:t>*</m:t>
            </m:r>
          </m:sup>
        </m:sSup>
        <m:r>
          <m:rPr>
            <m:sty m:val="p"/>
          </m:rPr>
          <m:t>=</m:t>
        </m:r>
        <m:r>
          <m:t>1.078</m:t>
        </m:r>
      </m:oMath>
      <w:r>
        <w:rPr>
          <w:rFonts w:ascii="宋体" w:hAnsi="宋体" w:eastAsia="宋体"/>
          <w:sz w:val="24"/>
        </w:rPr>
        <w:t>，</w:t>
      </w:r>
      <m:oMath>
        <m:sSup>
          <m:e>
            <m:r>
              <m:t>I</m:t>
            </m:r>
          </m:e>
          <m:sup>
            <m:r>
              <m:rPr>
                <m:sty m:val="p"/>
              </m:rPr>
              <m:t>*</m:t>
            </m:r>
          </m:sup>
        </m:sSup>
        <m:r>
          <m:rPr>
            <m:sty m:val="p"/>
          </m:rPr>
          <m:t>=</m:t>
        </m:r>
        <m:r>
          <m:t>1.062</m:t>
        </m:r>
      </m:oMath>
      <w:r>
        <w:rPr>
          <w:rFonts w:ascii="宋体" w:hAnsi="宋体" w:eastAsia="宋体"/>
          <w:sz w:val="24"/>
        </w:rPr>
        <w:t>，均衡处</w:t>
      </w:r>
      <m:oMath>
        <m:r>
          <m:rPr>
            <m:sty m:val="p"/>
          </m:rPr>
          <m:t>t</m:t>
        </m:r>
        <m:r>
          <m:rPr>
            <m:sty m:val="p"/>
          </m:rPr>
          <m:t>r</m:t>
        </m:r>
        <m:r>
          <m:t> </m:t>
        </m:r>
        <m:r>
          <m:t>J</m:t>
        </m:r>
        <m:r>
          <m:rPr>
            <m:sty m:val="p"/>
          </m:rPr>
          <m:t>=</m:t>
        </m:r>
        <m:r>
          <m:rPr>
            <m:sty m:val="p"/>
          </m:rPr>
          <m:t>−</m:t>
        </m:r>
        <m:r>
          <m:t>0.192</m:t>
        </m:r>
        <m:r>
          <m:rPr>
            <m:sty m:val="p"/>
          </m:rPr>
          <m:t>&lt;</m:t>
        </m:r>
        <m:r>
          <m:t>0</m:t>
        </m:r>
      </m:oMath>
      <w:r>
        <w:rPr>
          <w:rFonts w:ascii="宋体" w:hAnsi="宋体" w:eastAsia="宋体"/>
          <w:sz w:val="24"/>
        </w:rPr>
        <w:t>，</w:t>
      </w:r>
      <m:oMath>
        <m:r>
          <m:rPr>
            <m:sty m:val="p"/>
          </m:rPr>
          <m:t>det</m:t>
        </m:r>
        <m:r>
          <m:t>J</m:t>
        </m:r>
        <m:r>
          <m:rPr>
            <m:sty m:val="p"/>
          </m:rPr>
          <m:t>=</m:t>
        </m:r>
        <m:r>
          <m:t>0.0071</m:t>
        </m:r>
        <m:r>
          <m:rPr>
            <m:sty m:val="p"/>
          </m:rPr>
          <m:t>&gt;</m:t>
        </m:r>
        <m:r>
          <m:t>0</m:t>
        </m:r>
      </m:oMath>
      <w:r>
        <w:rPr>
          <w:rFonts w:ascii="宋体" w:hAnsi="宋体" w:eastAsia="宋体"/>
          <w:sz w:val="24"/>
        </w:rPr>
        <w:t>，判别式</w:t>
      </w:r>
      <m:oMath>
        <m:r>
          <m:t>Δ</m:t>
        </m:r>
        <m:r>
          <m:rPr>
            <m:sty m:val="p"/>
          </m:rPr>
          <m:t>=</m:t>
        </m:r>
        <m:r>
          <m:t>0.0085</m:t>
        </m:r>
        <m:r>
          <m:rPr>
            <m:sty m:val="p"/>
          </m:rPr>
          <m:t>&gt;</m:t>
        </m:r>
        <m:r>
          <m:t>0</m:t>
        </m:r>
      </m:oMath>
      <w:r>
        <w:rPr>
          <w:rFonts w:ascii="宋体" w:hAnsi="宋体" w:eastAsia="宋体"/>
          <w:sz w:val="24"/>
        </w:rPr>
        <w:t>，两个特征根分别为</w:t>
      </w:r>
      <m:oMath>
        <m:sSub>
          <m:e>
            <m:r>
              <m:t>λ</m:t>
            </m:r>
          </m:e>
          <m:sub>
            <m:r>
              <m:t>1</m:t>
            </m:r>
          </m:sub>
        </m:sSub>
        <m:r>
          <m:rPr>
            <m:sty m:val="p"/>
          </m:rPr>
          <m:t>=</m:t>
        </m:r>
        <m:r>
          <m:rPr>
            <m:sty m:val="p"/>
          </m:rPr>
          <m:t>−</m:t>
        </m:r>
        <m:r>
          <m:t>0.050</m:t>
        </m:r>
      </m:oMath>
      <w:r>
        <w:rPr>
          <w:rFonts w:ascii="宋体" w:hAnsi="宋体" w:eastAsia="宋体"/>
          <w:sz w:val="24"/>
        </w:rPr>
        <w:t>与</w:t>
      </w:r>
      <m:oMath>
        <m:sSub>
          <m:e>
            <m:r>
              <m:t>λ</m:t>
            </m:r>
          </m:e>
          <m:sub>
            <m:r>
              <m:t>2</m:t>
            </m:r>
          </m:sub>
        </m:sSub>
        <m:r>
          <m:rPr>
            <m:sty m:val="p"/>
          </m:rPr>
          <m:t>=</m:t>
        </m:r>
        <m:r>
          <m:rPr>
            <m:sty m:val="p"/>
          </m:rPr>
          <m:t>−</m:t>
        </m:r>
        <m:r>
          <m:t>0.142</m:t>
        </m:r>
      </m:oMath>
      <w:r>
        <w:rPr>
          <w:rFonts w:ascii="宋体" w:hAnsi="宋体" w:eastAsia="宋体"/>
          <w:sz w:val="24"/>
        </w:rPr>
        <w:t>，内部均衡为稳定结点，与命题6.1、命题6.2的解析结论完全一致。均衡数值蕴含约7.8%的技术协同溢价与6.2%的制度协同溢价——即双向互馈使技术与制度的长期水平越过各自孤立发展容量上限的幅度；若与无技术支撑情形下的制度有效容量相比，均衡制度水平高出约48%。以2025年实际观测衡量，技术指数已达均衡水平的66.8%、制度指数达62.1%，系统仍处于向协同均衡收敛的中后程，收敛的几何形态与时间尺度正是下一节相位图分析的对象。</w:t>
      </w:r>
    </w:p>
    <w:p>
      <w:pPr>
        <w:keepNext/>
        <w:spacing w:before="160" w:after="120" w:line="360" w:lineRule="auto"/>
        <w:outlineLvl w:val="1"/>
      </w:pPr>
      <w:r>
        <w:rPr>
          <w:rFonts w:ascii="黑体" w:hAnsi="黑体" w:eastAsia="黑体"/>
          <w:sz w:val="28"/>
        </w:rPr>
        <w:t>6.5  相位图分析与收敛路径</w:t>
      </w:r>
    </w:p>
    <w:p>
      <w:pPr>
        <w:keepNext/>
        <w:spacing w:before="160" w:after="120" w:line="360" w:lineRule="auto"/>
        <w:outlineLvl w:val="2"/>
      </w:pPr>
      <w:r>
        <w:rPr>
          <w:rFonts w:ascii="黑体" w:hAnsi="黑体" w:eastAsia="黑体"/>
          <w:sz w:val="24"/>
        </w:rPr>
        <w:t>6.5.1  零增长线与相位结构</w:t>
      </w:r>
    </w:p>
    <w:p>
      <w:pPr>
        <w:spacing w:line="360" w:lineRule="auto" w:after="0"/>
        <w:ind w:firstLineChars="200" w:firstLine="480"/>
        <w:jc w:val="both"/>
      </w:pPr>
      <w:r>
        <w:rPr>
          <w:rFonts w:ascii="宋体" w:hAnsi="宋体" w:eastAsia="宋体"/>
          <w:sz w:val="24"/>
        </w:rPr>
        <w:t>相位图分析把代数结果转译为几何直观。在</w:t>
      </w:r>
      <m:oMath>
        <m:d>
          <m:dPr>
            <m:begChr m:val="("/>
            <m:sepChr m:val=""/>
            <m:endChr m:val=")"/>
            <m:grow/>
          </m:dPr>
          <m:e>
            <m:r>
              <m:t>T</m:t>
            </m:r>
            <m:r>
              <m:rPr>
                <m:sty m:val="p"/>
              </m:rPr>
              <m:t>,</m:t>
            </m:r>
            <m:r>
              <m:t>I</m:t>
            </m:r>
          </m:e>
        </m:d>
      </m:oMath>
      <w:r>
        <w:rPr>
          <w:rFonts w:ascii="宋体" w:hAnsi="宋体" w:eastAsia="宋体"/>
          <w:sz w:val="24"/>
        </w:rPr>
        <w:t>平面上，技术与制度的零增长线（等倾线）分别由式(6-1)与式(6-2)的括号项为零给出（归一化</w:t>
      </w:r>
      <m:oMath>
        <m:sSub>
          <m:e>
            <m:r>
              <m:t>K</m:t>
            </m:r>
          </m:e>
          <m:sub>
            <m:r>
              <m:t>T</m:t>
            </m:r>
          </m:sub>
        </m:sSub>
        <m:r>
          <m:rPr>
            <m:sty m:val="p"/>
          </m:rPr>
          <m:t>=</m:t>
        </m:r>
        <m:sSub>
          <m:e>
            <m:r>
              <m:t>K</m:t>
            </m:r>
          </m:e>
          <m:sub>
            <m:r>
              <m:t>I</m:t>
            </m:r>
          </m:sub>
        </m:sSub>
        <m:r>
          <m:rPr>
            <m:sty m:val="p"/>
          </m:rPr>
          <m:t>=</m:t>
        </m:r>
        <m:r>
          <m:t>1</m:t>
        </m:r>
      </m:oMath>
      <w:r>
        <w:rPr>
          <w:rFonts w:ascii="宋体" w:hAnsi="宋体" w:eastAsia="宋体"/>
          <w:sz w:val="24"/>
        </w:rPr>
        <w:t>）：</w:t>
      </w:r>
    </w:p>
    <w:p>
      <w:pPr>
        <w:tabs>
          <w:tab w:pos="4252" w:val="center"/>
          <w:tab w:pos="8504" w:val="right"/>
        </w:tabs>
        <w:spacing w:line="360" w:lineRule="auto" w:before="80" w:after="80"/>
      </w:pPr>
      <w:r>
        <w:tab/>
      </w:r>
      <m:oMath>
        <m:r>
          <m:t>I</m:t>
        </m:r>
        <m:r>
          <m:rPr>
            <m:sty m:val="p"/>
          </m:rPr>
          <m:t>=</m:t>
        </m:r>
        <m:f>
          <m:fPr>
            <m:type m:val="bar"/>
          </m:fPr>
          <m:num>
            <m:r>
              <m:t>T</m:t>
            </m:r>
            <m:r>
              <m:rPr>
                <m:sty m:val="p"/>
              </m:rPr>
              <m:t>−</m:t>
            </m:r>
            <m:r>
              <m:t>1</m:t>
            </m:r>
          </m:num>
          <m:den>
            <m:r>
              <m:t>β</m:t>
            </m:r>
          </m:den>
        </m:f>
      </m:oMath>
      <w:r>
        <w:tab/>
      </w:r>
      <w:r>
        <w:rPr>
          <w:rFonts w:ascii="Times New Roman" w:hAnsi="Times New Roman" w:eastAsia="宋体"/>
          <w:sz w:val="24"/>
        </w:rPr>
        <w:t>(6-16)</w:t>
      </w:r>
    </w:p>
    <w:p>
      <w:pPr>
        <w:tabs>
          <w:tab w:pos="4252" w:val="center"/>
          <w:tab w:pos="8504" w:val="right"/>
        </w:tabs>
        <w:spacing w:line="360" w:lineRule="auto" w:before="80" w:after="80"/>
      </w:pPr>
      <w:r>
        <w:tab/>
      </w:r>
      <m:oMath>
        <m:r>
          <m:t>I</m:t>
        </m:r>
        <m:r>
          <m:rPr>
            <m:sty m:val="p"/>
          </m:rPr>
          <m:t>=</m:t>
        </m:r>
        <m:d>
          <m:dPr>
            <m:begChr m:val="("/>
            <m:sepChr m:val=""/>
            <m:endChr m:val=")"/>
            <m:grow/>
          </m:dPr>
          <m:e>
            <m:r>
              <m:t>1</m:t>
            </m:r>
            <m:r>
              <m:rPr>
                <m:sty m:val="p"/>
              </m:rPr>
              <m:t>−</m:t>
            </m:r>
            <m:r>
              <m:t>γ</m:t>
            </m:r>
          </m:e>
        </m:d>
        <m:r>
          <m:rPr>
            <m:sty m:val="p"/>
          </m:rPr>
          <m:t>+</m:t>
        </m:r>
        <m:d>
          <m:dPr>
            <m:begChr m:val="("/>
            <m:sepChr m:val=""/>
            <m:endChr m:val=")"/>
            <m:grow/>
          </m:dPr>
          <m:e>
            <m:r>
              <m:t>α</m:t>
            </m:r>
            <m:r>
              <m:rPr>
                <m:sty m:val="p"/>
              </m:rPr>
              <m:t>+</m:t>
            </m:r>
            <m:r>
              <m:t>γ</m:t>
            </m:r>
          </m:e>
        </m:d>
        <m:r>
          <m:t>T</m:t>
        </m:r>
      </m:oMath>
      <w:r>
        <w:tab/>
      </w:r>
      <w:r>
        <w:rPr>
          <w:rFonts w:ascii="Times New Roman" w:hAnsi="Times New Roman" w:eastAsia="宋体"/>
          <w:sz w:val="24"/>
        </w:rPr>
        <w:t>(6-17)</w:t>
      </w:r>
    </w:p>
    <w:p>
      <w:pPr>
        <w:spacing w:line="360" w:lineRule="auto" w:after="0"/>
        <w:ind w:firstLineChars="200" w:firstLine="480"/>
        <w:jc w:val="both"/>
      </w:pPr>
      <w:r>
        <w:rPr>
          <w:rFonts w:ascii="宋体" w:hAnsi="宋体" w:eastAsia="宋体"/>
          <w:sz w:val="24"/>
        </w:rPr>
        <w:t>式(6-16)为技术零增长线：其斜率</w:t>
      </w:r>
      <m:oMath>
        <m:r>
          <m:t>1</m:t>
        </m:r>
        <m:r>
          <m:rPr>
            <m:sty m:val="p"/>
          </m:rPr>
          <m:t>/</m:t>
        </m:r>
        <m:r>
          <m:t>β</m:t>
        </m:r>
      </m:oMath>
      <w:r>
        <w:rPr>
          <w:rFonts w:ascii="宋体" w:hAnsi="宋体" w:eastAsia="宋体"/>
          <w:sz w:val="24"/>
        </w:rPr>
        <w:t>极为陡峭（按“双碳”后参数约为20.4），在单位区间内几乎呈垂直形态，且仅当</w:t>
      </w:r>
      <m:oMath>
        <m:r>
          <m:t>T</m:t>
        </m:r>
        <m:r>
          <m:rPr>
            <m:sty m:val="p"/>
          </m:rPr>
          <m:t>&gt;</m:t>
        </m:r>
        <m:r>
          <m:t>1</m:t>
        </m:r>
      </m:oMath>
      <w:r>
        <w:rPr>
          <w:rFonts w:ascii="宋体" w:hAnsi="宋体" w:eastAsia="宋体"/>
          <w:sz w:val="24"/>
        </w:rPr>
        <w:t>时才进入正象限——这意味着在技术到达容量之前，技术增长恒为正，技术的“刹车”只在越过容量后由制度水平决定。式(6-17)为制度零增长线：截距</w:t>
      </w:r>
      <m:oMath>
        <m:r>
          <m:t>1</m:t>
        </m:r>
        <m:r>
          <m:rPr>
            <m:sty m:val="p"/>
          </m:rPr>
          <m:t>−</m:t>
        </m:r>
        <m:r>
          <m:t>γ</m:t>
        </m:r>
      </m:oMath>
      <w:r>
        <w:rPr>
          <w:rFonts w:ascii="宋体" w:hAnsi="宋体" w:eastAsia="宋体"/>
          <w:sz w:val="24"/>
        </w:rPr>
        <w:t>即无技术支撑时的有效容量，斜率</w:t>
      </w:r>
      <m:oMath>
        <m:r>
          <m:t>α</m:t>
        </m:r>
        <m:r>
          <m:rPr>
            <m:sty m:val="p"/>
          </m:rPr>
          <m:t>+</m:t>
        </m:r>
        <m:r>
          <m:t>γ</m:t>
        </m:r>
      </m:oMath>
      <w:r>
        <w:rPr>
          <w:rFonts w:ascii="宋体" w:hAnsi="宋体" w:eastAsia="宋体"/>
          <w:sz w:val="24"/>
        </w:rPr>
        <w:t>平缓（约为0.338），技术每前进一步，制度的零增长边界便相应上移。两线唯一的正象限交点即内部均衡</w:t>
      </w:r>
      <m:oMath>
        <m:sSub>
          <m:e>
            <m:r>
              <m:t>E</m:t>
            </m:r>
          </m:e>
          <m:sub>
            <m:r>
              <m:t>3</m:t>
            </m:r>
          </m:sub>
        </m:sSub>
      </m:oMath>
      <w:r>
        <w:rPr>
          <w:rFonts w:ascii="宋体" w:hAnsi="宋体" w:eastAsia="宋体"/>
          <w:sz w:val="24"/>
        </w:rPr>
        <w:t>；技术零增长线斜率大于制度零增长线斜率的几何条件</w:t>
      </w:r>
      <m:oMath>
        <m:r>
          <m:t>1</m:t>
        </m:r>
        <m:r>
          <m:rPr>
            <m:sty m:val="p"/>
          </m:rPr>
          <m:t>/</m:t>
        </m:r>
        <m:r>
          <m:t>β</m:t>
        </m:r>
        <m:r>
          <m:rPr>
            <m:sty m:val="p"/>
          </m:rPr>
          <m:t>&gt;</m:t>
        </m:r>
        <m:r>
          <m:t>α</m:t>
        </m:r>
        <m:r>
          <m:rPr>
            <m:sty m:val="p"/>
          </m:rPr>
          <m:t>+</m:t>
        </m:r>
        <m:r>
          <m:t>γ</m:t>
        </m:r>
      </m:oMath>
      <w:r>
        <w:rPr>
          <w:rFonts w:ascii="宋体" w:hAnsi="宋体" w:eastAsia="宋体"/>
          <w:sz w:val="24"/>
        </w:rPr>
        <w:t>，恰是命题6.1的稳定性条件</w:t>
      </w:r>
      <m:oMath>
        <m:r>
          <m:t>β</m:t>
        </m:r>
        <m:d>
          <m:dPr>
            <m:begChr m:val="("/>
            <m:sepChr m:val=""/>
            <m:endChr m:val=")"/>
            <m:grow/>
          </m:dPr>
          <m:e>
            <m:r>
              <m:t>α</m:t>
            </m:r>
            <m:r>
              <m:rPr>
                <m:sty m:val="p"/>
              </m:rPr>
              <m:t>+</m:t>
            </m:r>
            <m:r>
              <m:t>γ</m:t>
            </m:r>
          </m:e>
        </m:d>
        <m:r>
          <m:rPr>
            <m:sty m:val="p"/>
          </m:rPr>
          <m:t>&lt;</m:t>
        </m:r>
        <m:r>
          <m:t>1</m:t>
        </m:r>
      </m:oMath>
      <w:r>
        <w:rPr>
          <w:rFonts w:ascii="宋体" w:hAnsi="宋体" w:eastAsia="宋体"/>
          <w:sz w:val="24"/>
        </w:rPr>
        <w:t>——代数判据在相位图上获得了透明的几何对应。</w:t>
      </w:r>
    </w:p>
    <w:p>
      <w:pPr>
        <w:spacing w:line="360" w:lineRule="auto" w:after="0"/>
        <w:ind w:firstLineChars="200" w:firstLine="480"/>
        <w:jc w:val="both"/>
      </w:pPr>
      <w:r>
        <w:rPr>
          <w:rFonts w:ascii="宋体" w:hAnsi="宋体" w:eastAsia="宋体"/>
          <w:sz w:val="24"/>
        </w:rPr>
        <w:t>两条零增长线把正象限切分为四个区域，方向场随之确定：在两线之下的低位区域，技术与制度双双为正增长，轨线指向右上；越过制度零增长线而未及技术零增长线时，技术继续攀升而制度回落；反之亦然；只有在均衡点，两个方向的运动同时归零。由于三个边界平衡点均不稳定而内部均衡为稳定结点，从正象限内部任意初值出发的轨线最终都汇入</w:t>
      </w:r>
      <m:oMath>
        <m:sSub>
          <m:e>
            <m:r>
              <m:t>E</m:t>
            </m:r>
          </m:e>
          <m:sub>
            <m:r>
              <m:t>3</m:t>
            </m:r>
          </m:sub>
        </m:sSub>
      </m:oMath>
      <w:r>
        <w:rPr>
          <w:rFonts w:ascii="宋体" w:hAnsi="宋体" w:eastAsia="宋体"/>
          <w:sz w:val="24"/>
        </w:rPr>
        <w:t>——协同均衡是系统在经济可行域内的全局吸引子。</w:t>
      </w:r>
    </w:p>
    <w:p>
      <w:pPr>
        <w:keepNext/>
        <w:spacing w:before="160" w:after="120" w:line="360" w:lineRule="auto"/>
        <w:outlineLvl w:val="2"/>
      </w:pPr>
      <w:r>
        <w:rPr>
          <w:rFonts w:ascii="黑体" w:hAnsi="黑体" w:eastAsia="黑体"/>
          <w:sz w:val="24"/>
        </w:rPr>
        <w:t>6.5.2  鞍路径、收敛速度与中国的实际位置</w:t>
      </w:r>
    </w:p>
    <w:p>
      <w:pPr>
        <w:spacing w:line="360" w:lineRule="auto" w:after="0"/>
        <w:ind w:firstLineChars="200" w:firstLine="480"/>
        <w:jc w:val="both"/>
      </w:pPr>
      <w:r>
        <w:rPr>
          <w:rFonts w:ascii="宋体" w:hAnsi="宋体" w:eastAsia="宋体"/>
          <w:sz w:val="24"/>
        </w:rPr>
        <w:t>由图6.3可见，相位平面呈现教科书式的协同收敛结构：陡峭的技术零增长线与平缓的制度零增长线交汇于内部均衡（图中五角星），矢量场自四面八方指向该点；原点作为源点向外排斥，横轴与纵轴上的两个鞍点各有一条不稳定流形伸入正象限内部。这两条从鞍点出发、最终汇入协同均衡的轨线具有明确的经济含义：它们是“单极状态”通往“协同状态”的过渡路径——从纯技术均衡出发的鞍路径刻画“技术先行、制度追赶”的演化序列，从纯制度均衡出发的鞍路径刻画“制度先行、技术跟进”的演化序列。任何现实经济体的技术—制度轨迹，都可以理解为在初始禀赋与政策选择的约束下，向这两条骨架路径之一靠拢并沿其逼近均衡的过程。</w:t>
      </w:r>
    </w:p>
    <w:p>
      <w:pPr>
        <w:spacing w:before="120" w:after="40"/>
        <w:jc w:val="center"/>
      </w:pPr>
      <w:r>
        <w:drawing>
          <wp:inline xmlns:a="http://schemas.openxmlformats.org/drawingml/2006/main" xmlns:pic="http://schemas.openxmlformats.org/drawingml/2006/picture">
            <wp:extent cx="4860000" cy="4036561"/>
            <wp:docPr id="20" name="Picture 20"/>
            <wp:cNvGraphicFramePr>
              <a:graphicFrameLocks noChangeAspect="1"/>
            </wp:cNvGraphicFramePr>
            <a:graphic>
              <a:graphicData uri="http://schemas.openxmlformats.org/drawingml/2006/picture">
                <pic:pic>
                  <pic:nvPicPr>
                    <pic:cNvPr id="0" name="fig6_3.png"/>
                    <pic:cNvPicPr/>
                  </pic:nvPicPr>
                  <pic:blipFill>
                    <a:blip r:embed="rId28"/>
                    <a:stretch>
                      <a:fillRect/>
                    </a:stretch>
                  </pic:blipFill>
                  <pic:spPr>
                    <a:xfrm>
                      <a:off x="0" y="0"/>
                      <a:ext cx="4860000" cy="4036561"/>
                    </a:xfrm>
                    <a:prstGeom prst="rect"/>
                  </pic:spPr>
                </pic:pic>
              </a:graphicData>
            </a:graphic>
          </wp:inline>
        </w:drawing>
      </w:r>
    </w:p>
    <w:p>
      <w:pPr>
        <w:keepNext w:val="0"/>
        <w:spacing w:after="200"/>
        <w:jc w:val="center"/>
      </w:pPr>
      <w:r>
        <w:rPr>
          <w:rFonts w:ascii="黑体" w:hAnsi="黑体" w:eastAsia="黑体"/>
          <w:sz w:val="21"/>
        </w:rPr>
        <w:t>图6.3  技术—制度系统的相位图与均衡</w:t>
      </w:r>
    </w:p>
    <w:p>
      <w:pPr>
        <w:spacing w:line="360" w:lineRule="auto" w:after="0"/>
        <w:ind w:firstLineChars="200" w:firstLine="480"/>
        <w:jc w:val="both"/>
      </w:pPr>
      <w:r>
        <w:rPr>
          <w:rFonts w:ascii="宋体" w:hAnsi="宋体" w:eastAsia="宋体"/>
          <w:sz w:val="24"/>
        </w:rPr>
        <w:t>中国的实际轨迹（图中带箭头的粗实线）从左下角低位出发，长期位于对角线略偏技术一侧——样本期内技术指数始终领先制度指数，2025年二者之差约为0.06——整体呈现“技术先行半步、制度快速跟进”的准平衡增长形态。这一形态与模型的结构参数吻合：技术的自主增长率高于制度（</w:t>
      </w:r>
      <m:oMath>
        <m:sSub>
          <m:e>
            <m:r>
              <m:t>r</m:t>
            </m:r>
          </m:e>
          <m:sub>
            <m:r>
              <m:t>T</m:t>
            </m:r>
          </m:sub>
        </m:sSub>
        <m:r>
          <m:rPr>
            <m:sty m:val="p"/>
          </m:rPr>
          <m:t>&gt;</m:t>
        </m:r>
        <m:sSub>
          <m:e>
            <m:r>
              <m:t>r</m:t>
            </m:r>
          </m:e>
          <m:sub>
            <m:r>
              <m:t>I</m:t>
            </m:r>
          </m:sub>
        </m:sSub>
      </m:oMath>
      <w:r>
        <w:rPr>
          <w:rFonts w:ascii="宋体" w:hAnsi="宋体" w:eastAsia="宋体"/>
          <w:sz w:val="24"/>
        </w:rPr>
        <w:t>），而阻尼项又使制度供给在技术缺口较大的早期额外受抑，二者共同决定了技术的先导地位；随着技术缺口收窄、阻尼消减，制度增速逐步向技术增速靠拢，轨线转而沿慢流形滑向均衡。值得强调的是，轨迹并未偏向任何一个鞍点方向的极端——既没有出现长期“技术空转、标准缺位”，也没有出现“标准超前、技术悬空”，说明样本期内的政策实践在总体上维持了技术与制度的动态匹配。</w:t>
      </w:r>
    </w:p>
    <w:p>
      <w:pPr>
        <w:spacing w:line="360" w:lineRule="auto" w:after="0"/>
        <w:ind w:firstLineChars="200" w:firstLine="480"/>
        <w:jc w:val="both"/>
      </w:pPr>
      <w:r>
        <w:rPr>
          <w:rFonts w:ascii="宋体" w:hAnsi="宋体" w:eastAsia="宋体"/>
          <w:sz w:val="24"/>
        </w:rPr>
        <w:t>收敛速度由特征根决定。全样本校准下两个特征根分别为-0.050与-0.142，收敛由绝对值较小的慢根主导，对应的半衰期约为13.9年——即系统与均衡的剩余距离每缩减一半约需十四年。这一时间尺度传递了双重政策信息：一方面，技术—制度协同收敛是以十年计的慢变量过程，标准体系建设必须坚持长期主义，不能指望毕其功于一役；另一方面，收敛速度是参数的函数而非天定——比较静态分析表明，提高互馈系数</w:t>
      </w:r>
      <m:oMath>
        <m:r>
          <m:t>α</m:t>
        </m:r>
      </m:oMath>
      <w:r>
        <w:rPr>
          <w:rFonts w:ascii="宋体" w:hAnsi="宋体" w:eastAsia="宋体"/>
          <w:sz w:val="24"/>
        </w:rPr>
        <w:t>、</w:t>
      </w:r>
      <m:oMath>
        <m:r>
          <m:t>β</m:t>
        </m:r>
      </m:oMath>
      <w:r>
        <w:rPr>
          <w:rFonts w:ascii="宋体" w:hAnsi="宋体" w:eastAsia="宋体"/>
          <w:sz w:val="24"/>
        </w:rPr>
        <w:t>或降低阻尼</w:t>
      </w:r>
      <m:oMath>
        <m:r>
          <m:t>γ</m:t>
        </m:r>
      </m:oMath>
      <w:r>
        <w:rPr>
          <w:rFonts w:ascii="宋体" w:hAnsi="宋体" w:eastAsia="宋体"/>
          <w:sz w:val="24"/>
        </w:rPr>
        <w:t>，既抬升均衡水平（式(6-7)对参数的偏导为正），又使迹更负、收敛更快。“双碳”后互馈系数的倍增已经同时上移了均衡并压缩了半衰期，这正是顶层设计加速体系收敛的模型语言表达。</w:t>
      </w:r>
    </w:p>
    <w:p>
      <w:pPr>
        <w:keepNext/>
        <w:spacing w:before="160" w:after="120" w:line="360" w:lineRule="auto"/>
        <w:outlineLvl w:val="1"/>
      </w:pPr>
      <w:r>
        <w:rPr>
          <w:rFonts w:ascii="黑体" w:hAnsi="黑体" w:eastAsia="黑体"/>
          <w:sz w:val="28"/>
        </w:rPr>
        <w:t>6.6  合成弹性的时变与驱动结构转换</w:t>
      </w:r>
    </w:p>
    <w:p>
      <w:pPr>
        <w:keepNext/>
        <w:spacing w:before="160" w:after="120" w:line="360" w:lineRule="auto"/>
        <w:outlineLvl w:val="2"/>
      </w:pPr>
      <w:r>
        <w:rPr>
          <w:rFonts w:ascii="黑体" w:hAnsi="黑体" w:eastAsia="黑体"/>
          <w:sz w:val="24"/>
        </w:rPr>
        <w:t>6.6.1  时变弹性的估计</w:t>
      </w:r>
    </w:p>
    <w:p>
      <w:pPr>
        <w:spacing w:line="360" w:lineRule="auto" w:after="0"/>
        <w:ind w:firstLineChars="200" w:firstLine="480"/>
        <w:jc w:val="both"/>
      </w:pPr>
      <w:r>
        <w:rPr>
          <w:rFonts w:ascii="宋体" w:hAnsi="宋体" w:eastAsia="宋体"/>
          <w:sz w:val="24"/>
        </w:rPr>
        <w:t>合成式(6-3)中的弹性</w:t>
      </w:r>
      <m:oMath>
        <m:r>
          <m:t>ω</m:t>
        </m:r>
      </m:oMath>
      <w:r>
        <w:rPr>
          <w:rFonts w:ascii="宋体" w:hAnsi="宋体" w:eastAsia="宋体"/>
          <w:sz w:val="24"/>
        </w:rPr>
        <w:t>刻画标准体系水平对技术与制度的相对依赖，其是否稳定本身就是一个实证问题。对式(6-3)取对数并允许弹性分阶段取值，得到估计方程：</w:t>
      </w:r>
    </w:p>
    <w:p>
      <w:pPr>
        <w:tabs>
          <w:tab w:pos="4252" w:val="center"/>
          <w:tab w:pos="8504" w:val="right"/>
        </w:tabs>
        <w:spacing w:line="360" w:lineRule="auto" w:before="80" w:after="80"/>
      </w:pPr>
      <w:r>
        <w:tab/>
      </w:r>
      <m:oMath>
        <m:r>
          <m:rPr>
            <m:sty m:val="p"/>
          </m:rPr>
          <m:t>ln</m:t>
        </m:r>
        <m:sSub>
          <m:e>
            <m:r>
              <m:t>S</m:t>
            </m:r>
          </m:e>
          <m:sub>
            <m:r>
              <m:t>t</m:t>
            </m:r>
          </m:sub>
        </m:sSub>
        <m:r>
          <m:rPr>
            <m:sty m:val="p"/>
          </m:rPr>
          <m:t>=</m:t>
        </m:r>
        <m:r>
          <m:t>ω</m:t>
        </m:r>
        <m:r>
          <m:rPr>
            <m:sty m:val="p"/>
          </m:rPr>
          <m:t>ln</m:t>
        </m:r>
        <m:sSub>
          <m:e>
            <m:r>
              <m:t>T</m:t>
            </m:r>
          </m:e>
          <m:sub>
            <m:r>
              <m:t>t</m:t>
            </m:r>
          </m:sub>
        </m:sSub>
        <m:r>
          <m:rPr>
            <m:sty m:val="p"/>
          </m:rPr>
          <m:t>+</m:t>
        </m:r>
        <m:d>
          <m:dPr>
            <m:begChr m:val="("/>
            <m:sepChr m:val=""/>
            <m:endChr m:val=")"/>
            <m:grow/>
          </m:dPr>
          <m:e>
            <m:r>
              <m:t>1</m:t>
            </m:r>
            <m:r>
              <m:rPr>
                <m:sty m:val="p"/>
              </m:rPr>
              <m:t>−</m:t>
            </m:r>
            <m:r>
              <m:t>ω</m:t>
            </m:r>
          </m:e>
        </m:d>
        <m:r>
          <m:rPr>
            <m:sty m:val="p"/>
          </m:rPr>
          <m:t>ln</m:t>
        </m:r>
        <m:sSub>
          <m:e>
            <m:r>
              <m:t>I</m:t>
            </m:r>
          </m:e>
          <m:sub>
            <m:r>
              <m:t>t</m:t>
            </m:r>
          </m:sub>
        </m:sSub>
        <m:r>
          <m:rPr>
            <m:sty m:val="p"/>
          </m:rPr>
          <m:t>+</m:t>
        </m:r>
        <m:sSub>
          <m:e>
            <m:r>
              <m:t>e</m:t>
            </m:r>
          </m:e>
          <m:sub>
            <m:r>
              <m:t>t</m:t>
            </m:r>
          </m:sub>
        </m:sSub>
      </m:oMath>
      <w:r>
        <w:tab/>
      </w:r>
      <w:r>
        <w:rPr>
          <w:rFonts w:ascii="Times New Roman" w:hAnsi="Times New Roman" w:eastAsia="宋体"/>
          <w:sz w:val="24"/>
        </w:rPr>
        <w:t>(6-18)</w:t>
      </w:r>
    </w:p>
    <w:p>
      <w:pPr>
        <w:spacing w:line="360" w:lineRule="auto" w:after="0"/>
        <w:jc w:val="both"/>
      </w:pPr>
      <w:r>
        <w:rPr>
          <w:rFonts w:ascii="宋体" w:hAnsi="宋体" w:eastAsia="宋体"/>
          <w:sz w:val="24"/>
        </w:rPr>
        <w:t>其中，</w:t>
      </w:r>
      <m:oMath>
        <m:sSub>
          <m:e>
            <m:r>
              <m:t>S</m:t>
            </m:r>
          </m:e>
          <m:sub>
            <m:r>
              <m:t>t</m:t>
            </m:r>
          </m:sub>
        </m:sSub>
      </m:oMath>
      <w:r>
        <w:rPr>
          <w:rFonts w:ascii="宋体" w:hAnsi="宋体" w:eastAsia="宋体"/>
          <w:sz w:val="24"/>
        </w:rPr>
        <w:t>取第4章标准体系加权综合指数（与</w:t>
      </w:r>
      <m:oMath>
        <m:sSub>
          <m:e>
            <m:r>
              <m:t>T</m:t>
            </m:r>
          </m:e>
          <m:sub>
            <m:r>
              <m:t>t</m:t>
            </m:r>
          </m:sub>
        </m:sSub>
      </m:oMath>
      <w:r>
        <w:rPr>
          <w:rFonts w:ascii="宋体" w:hAnsi="宋体" w:eastAsia="宋体"/>
          <w:sz w:val="24"/>
        </w:rPr>
        <w:t>、</w:t>
      </w:r>
      <m:oMath>
        <m:sSub>
          <m:e>
            <m:r>
              <m:t>I</m:t>
            </m:r>
          </m:e>
          <m:sub>
            <m:r>
              <m:t>t</m:t>
            </m:r>
          </m:sub>
        </m:sSub>
      </m:oMath>
      <w:r>
        <w:rPr>
          <w:rFonts w:ascii="宋体" w:hAnsi="宋体" w:eastAsia="宋体"/>
          <w:sz w:val="24"/>
        </w:rPr>
        <w:t>测度来源独立），</w:t>
      </w:r>
      <m:oMath>
        <m:sSub>
          <m:e>
            <m:r>
              <m:t>e</m:t>
            </m:r>
          </m:e>
          <m:sub>
            <m:r>
              <m:t>t</m:t>
            </m:r>
          </m:sub>
        </m:sSub>
      </m:oMath>
      <w:r>
        <w:rPr>
          <w:rFonts w:ascii="宋体" w:hAnsi="宋体" w:eastAsia="宋体"/>
          <w:sz w:val="24"/>
        </w:rPr>
        <w:t>为扰动项；约束系数和为1后，</w:t>
      </w:r>
      <m:oMath>
        <m:r>
          <m:t>ω</m:t>
        </m:r>
      </m:oMath>
      <w:r>
        <w:rPr>
          <w:rFonts w:ascii="宋体" w:hAnsi="宋体" w:eastAsia="宋体"/>
          <w:sz w:val="24"/>
        </w:rPr>
        <w:t>可由受约束最小二乘分阶段估计。</w:t>
      </w:r>
    </w:p>
    <w:p>
      <w:pPr>
        <w:spacing w:line="360" w:lineRule="auto" w:after="0"/>
        <w:ind w:firstLineChars="200" w:firstLine="480"/>
        <w:jc w:val="both"/>
      </w:pPr>
      <w:r>
        <w:rPr>
          <w:rFonts w:ascii="宋体" w:hAnsi="宋体" w:eastAsia="宋体"/>
          <w:sz w:val="24"/>
        </w:rPr>
        <w:t>估计结果显示，</w:t>
      </w:r>
      <m:oMath>
        <m:r>
          <m:t>ω</m:t>
        </m:r>
      </m:oMath>
      <w:r>
        <w:rPr>
          <w:rFonts w:ascii="宋体" w:hAnsi="宋体" w:eastAsia="宋体"/>
          <w:sz w:val="24"/>
        </w:rPr>
        <w:t>由2004—2019年的0.42升至2020—2025年的0.55：前一阶段</w:t>
      </w:r>
      <m:oMath>
        <m:r>
          <m:t>1</m:t>
        </m:r>
        <m:r>
          <m:rPr>
            <m:sty m:val="p"/>
          </m:rPr>
          <m:t>−</m:t>
        </m:r>
        <m:r>
          <m:t>ω</m:t>
        </m:r>
        <m:r>
          <m:rPr>
            <m:sty m:val="p"/>
          </m:rPr>
          <m:t>=</m:t>
        </m:r>
        <m:r>
          <m:t>0.58</m:t>
        </m:r>
      </m:oMath>
      <w:r>
        <w:rPr>
          <w:rFonts w:ascii="宋体" w:hAnsi="宋体" w:eastAsia="宋体"/>
          <w:sz w:val="24"/>
        </w:rPr>
        <w:t>，标准体系水平主要由制度侧变量解释，呈制度驱动格局；后一阶段</w:t>
      </w:r>
      <m:oMath>
        <m:r>
          <m:t>ω</m:t>
        </m:r>
      </m:oMath>
      <w:r>
        <w:rPr>
          <w:rFonts w:ascii="宋体" w:hAnsi="宋体" w:eastAsia="宋体"/>
          <w:sz w:val="24"/>
        </w:rPr>
        <w:t>越过0.5的分水岭，技术侧成为边际上更重要的驱动来源。跨越0.5并非数字游戏，而是驱动结构的质变标志——标准体系的水平提升从“以制度文本的扩张为主”转向“以技术内容的深化为主”。这一转换与第5章状态空间模型的时变分解相互印证：政策推力的贡献份额由48%降至41%，技术拉力由28%升至33%，两个相互独立的模型指向同一个结构性事实。</w:t>
      </w:r>
    </w:p>
    <w:p>
      <w:pPr>
        <w:keepNext/>
        <w:spacing w:before="160" w:after="120" w:line="360" w:lineRule="auto"/>
        <w:outlineLvl w:val="2"/>
      </w:pPr>
      <w:r>
        <w:rPr>
          <w:rFonts w:ascii="黑体" w:hAnsi="黑体" w:eastAsia="黑体"/>
          <w:sz w:val="24"/>
        </w:rPr>
        <w:t>6.6.2  从制度驱动到技术驱动：含义与张力</w:t>
      </w:r>
    </w:p>
    <w:p>
      <w:pPr>
        <w:spacing w:line="360" w:lineRule="auto" w:after="0"/>
        <w:ind w:firstLineChars="200" w:firstLine="480"/>
        <w:jc w:val="both"/>
      </w:pPr>
      <w:r>
        <w:rPr>
          <w:rFonts w:ascii="宋体" w:hAnsi="宋体" w:eastAsia="宋体"/>
          <w:sz w:val="24"/>
        </w:rPr>
        <w:t>对式(6-3)全微分可得标准体系水平的增长分解：</w:t>
      </w:r>
    </w:p>
    <w:p>
      <w:pPr>
        <w:tabs>
          <w:tab w:pos="4252" w:val="center"/>
          <w:tab w:pos="8504" w:val="right"/>
        </w:tabs>
        <w:spacing w:line="360" w:lineRule="auto" w:before="80" w:after="80"/>
      </w:pPr>
      <w:r>
        <w:tab/>
      </w:r>
      <m:oMath>
        <m:sSub>
          <m:e>
            <m:r>
              <m:t>g</m:t>
            </m:r>
          </m:e>
          <m:sub>
            <m:r>
              <m:t>S</m:t>
            </m:r>
          </m:sub>
        </m:sSub>
        <m:r>
          <m:rPr>
            <m:sty m:val="p"/>
          </m:rPr>
          <m:t>=</m:t>
        </m:r>
        <m:r>
          <m:t>ω</m:t>
        </m:r>
        <m:r>
          <m:t> </m:t>
        </m:r>
        <m:sSub>
          <m:e>
            <m:r>
              <m:t>g</m:t>
            </m:r>
          </m:e>
          <m:sub>
            <m:r>
              <m:t>T</m:t>
            </m:r>
          </m:sub>
        </m:sSub>
        <m:r>
          <m:rPr>
            <m:sty m:val="p"/>
          </m:rPr>
          <m:t>+</m:t>
        </m:r>
        <m:d>
          <m:dPr>
            <m:begChr m:val="("/>
            <m:sepChr m:val=""/>
            <m:endChr m:val=")"/>
            <m:grow/>
          </m:dPr>
          <m:e>
            <m:r>
              <m:t>1</m:t>
            </m:r>
            <m:r>
              <m:rPr>
                <m:sty m:val="p"/>
              </m:rPr>
              <m:t>−</m:t>
            </m:r>
            <m:r>
              <m:t>ω</m:t>
            </m:r>
          </m:e>
        </m:d>
        <m:r>
          <m:t> </m:t>
        </m:r>
        <m:sSub>
          <m:e>
            <m:r>
              <m:t>g</m:t>
            </m:r>
          </m:e>
          <m:sub>
            <m:r>
              <m:t>I</m:t>
            </m:r>
          </m:sub>
        </m:sSub>
      </m:oMath>
      <w:r>
        <w:tab/>
      </w:r>
      <w:r>
        <w:rPr>
          <w:rFonts w:ascii="Times New Roman" w:hAnsi="Times New Roman" w:eastAsia="宋体"/>
          <w:sz w:val="24"/>
        </w:rPr>
        <w:t>(6-19)</w:t>
      </w:r>
    </w:p>
    <w:p>
      <w:pPr>
        <w:spacing w:line="360" w:lineRule="auto" w:after="0"/>
        <w:jc w:val="both"/>
      </w:pPr>
      <w:r>
        <w:rPr>
          <w:rFonts w:ascii="宋体" w:hAnsi="宋体" w:eastAsia="宋体"/>
          <w:sz w:val="24"/>
        </w:rPr>
        <w:t>其中，</w:t>
      </w:r>
      <m:oMath>
        <m:sSub>
          <m:e>
            <m:r>
              <m:t>g</m:t>
            </m:r>
          </m:e>
          <m:sub>
            <m:r>
              <m:t>S</m:t>
            </m:r>
          </m:sub>
        </m:sSub>
      </m:oMath>
      <w:r>
        <w:rPr>
          <w:rFonts w:ascii="宋体" w:hAnsi="宋体" w:eastAsia="宋体"/>
          <w:sz w:val="24"/>
        </w:rPr>
        <w:t>、</w:t>
      </w:r>
      <m:oMath>
        <m:sSub>
          <m:e>
            <m:r>
              <m:t>g</m:t>
            </m:r>
          </m:e>
          <m:sub>
            <m:r>
              <m:t>T</m:t>
            </m:r>
          </m:sub>
        </m:sSub>
      </m:oMath>
      <w:r>
        <w:rPr>
          <w:rFonts w:ascii="宋体" w:hAnsi="宋体" w:eastAsia="宋体"/>
          <w:sz w:val="24"/>
        </w:rPr>
        <w:t>、</w:t>
      </w:r>
      <m:oMath>
        <m:sSub>
          <m:e>
            <m:r>
              <m:t>g</m:t>
            </m:r>
          </m:e>
          <m:sub>
            <m:r>
              <m:t>I</m:t>
            </m:r>
          </m:sub>
        </m:sSub>
      </m:oMath>
      <w:r>
        <w:rPr>
          <w:rFonts w:ascii="宋体" w:hAnsi="宋体" w:eastAsia="宋体"/>
          <w:sz w:val="24"/>
        </w:rPr>
        <w:t>分别为标准体系水平、技术水平与制度完善度的增长率，</w:t>
      </w:r>
      <m:oMath>
        <m:r>
          <m:t>ω</m:t>
        </m:r>
      </m:oMath>
      <w:r>
        <w:rPr>
          <w:rFonts w:ascii="宋体" w:hAnsi="宋体" w:eastAsia="宋体"/>
          <w:sz w:val="24"/>
        </w:rPr>
        <w:t>与</w:t>
      </w:r>
      <m:oMath>
        <m:r>
          <m:t>1</m:t>
        </m:r>
        <m:r>
          <m:rPr>
            <m:sty m:val="p"/>
          </m:rPr>
          <m:t>−</m:t>
        </m:r>
        <m:r>
          <m:t>ω</m:t>
        </m:r>
      </m:oMath>
      <w:r>
        <w:rPr>
          <w:rFonts w:ascii="宋体" w:hAnsi="宋体" w:eastAsia="宋体"/>
          <w:sz w:val="24"/>
        </w:rPr>
        <w:t>即二者的贡献权重。</w:t>
      </w:r>
    </w:p>
    <w:p>
      <w:pPr>
        <w:spacing w:line="360" w:lineRule="auto" w:after="0"/>
        <w:ind w:firstLineChars="200" w:firstLine="480"/>
        <w:jc w:val="both"/>
      </w:pPr>
      <w:r>
        <w:rPr>
          <w:rFonts w:ascii="宋体" w:hAnsi="宋体" w:eastAsia="宋体"/>
          <w:sz w:val="24"/>
        </w:rPr>
        <w:t>按式(6-19)测算，2020—2025年标准体系水平年均增长约8.0%，其中技术侧贡献52.3%、制度侧贡献47.7%；而在2004—2019年，技术侧贡献仅为39.9%。技术驱动增强的含义可以从三个层面解读。在供给结构层面，标准的“含技术量”显著上升：新增标准从以管理规范、原则引导为主，转向以碳核算方法、碳足迹量化、产品技术门槛为主，2024年8月《关于进一步强化碳达峰碳中和标准计量体系建设行动方案（2024—2025年）》部署当年发布70项碳核算、碳足迹等国家标准，产品碳足迹核算通则与电解铝等首批产品碳足迹国家标准相继落地，即为例证——标准文本越来越像“技术文件”而非“行政文件”（孙亮等，2022）。在更新节奏层面，技术驱动意味着标准的知识折旧加快，固定周期的制修订安排将系统性滞后于技术前沿，第10章设计的技术—政策偏离度触发式动态更新机制正是对这一挑战的制度回应。在国际竞争层面，技术驱动的标准体系更接近国际标准竞争的主战场——谁的技术方案沉淀为国际标准，谁就掌握绿色贸易规则的定义权（侯俊军等，2025；王明涛等，2025）。</w:t>
      </w:r>
    </w:p>
    <w:p>
      <w:pPr>
        <w:spacing w:line="360" w:lineRule="auto" w:after="0"/>
        <w:ind w:firstLineChars="200" w:firstLine="480"/>
        <w:jc w:val="both"/>
      </w:pPr>
      <w:r>
        <w:rPr>
          <w:rFonts w:ascii="宋体" w:hAnsi="宋体" w:eastAsia="宋体"/>
          <w:sz w:val="24"/>
        </w:rPr>
        <w:t>但技术驱动增强绝不意味着制度一侧可以松劲，这里存在需要辨证把握的张力。其一，</w:t>
      </w:r>
      <m:oMath>
        <m:r>
          <m:t>ω</m:t>
        </m:r>
      </m:oMath>
      <w:r>
        <w:rPr>
          <w:rFonts w:ascii="宋体" w:hAnsi="宋体" w:eastAsia="宋体"/>
          <w:sz w:val="24"/>
        </w:rPr>
        <w:t>上升的前提恰恰是制度互馈的强化——正是</w:t>
      </w:r>
      <m:oMath>
        <m:r>
          <m:t>β</m:t>
        </m:r>
      </m:oMath>
      <w:r>
        <w:rPr>
          <w:rFonts w:ascii="宋体" w:hAnsi="宋体" w:eastAsia="宋体"/>
          <w:sz w:val="24"/>
        </w:rPr>
        <w:t>的倍增使技术增长获得制度加速，技术驱动本身是制度作用的结果，二者不是此消彼长的替代关系；其二，式(6-3)的强互补性意味着，若制度完善度停滞，技术侧再快的增长对体系水平的边际贡献也会递减，当前碳吸收、绿色金融等模块的制度短板仍是体系水平的紧约束；其三，从命题6.1看，均衡水平取决于双向互馈的乘积结构，单边发力无法抬升长期均衡。因此，“技术驱动增强”的正确政策解读是：制度供给的重心应从数量扩张转向质量适配——提高标准的技术含量、缩短技术转化周期、增强与国际规则的互操作性，使制度一侧以更高的“技术转化效率”回应技术一侧的加速，而非简单地多发文件。</w:t>
      </w:r>
    </w:p>
    <w:p>
      <w:pPr>
        <w:keepNext/>
        <w:spacing w:before="160" w:after="120" w:line="360" w:lineRule="auto"/>
        <w:outlineLvl w:val="1"/>
      </w:pPr>
      <w:r>
        <w:rPr>
          <w:rFonts w:ascii="黑体" w:hAnsi="黑体" w:eastAsia="黑体"/>
          <w:sz w:val="28"/>
        </w:rPr>
        <w:t>6.7  本章小结</w:t>
      </w:r>
    </w:p>
    <w:p>
      <w:pPr>
        <w:spacing w:line="360" w:lineRule="auto" w:after="0"/>
        <w:ind w:firstLineChars="200" w:firstLine="480"/>
        <w:jc w:val="both"/>
      </w:pPr>
      <w:r>
        <w:rPr>
          <w:rFonts w:ascii="宋体" w:hAnsi="宋体" w:eastAsia="宋体"/>
          <w:sz w:val="24"/>
        </w:rPr>
        <w:t>本章把绿色低碳标准体系动态演化机理的第二层次——技术—制度互馈——形式化为Lotka-Volterra协同演进模型，并完成了从解析求解到经验校准的完整闭环。主要结论有五。第一，机制层面：技术成熟通过降低标准制定的不确定性与调整成本促进制度供给（</w:t>
      </w:r>
      <m:oMath>
        <m:r>
          <m:t>α</m:t>
        </m:r>
      </m:oMath>
      <w:r>
        <w:rPr>
          <w:rFonts w:ascii="宋体" w:hAnsi="宋体" w:eastAsia="宋体"/>
          <w:sz w:val="24"/>
        </w:rPr>
        <w:t>渠道），标准完善通过稳定预期、协调网络与竞争筛选激励技术创新（</w:t>
      </w:r>
      <m:oMath>
        <m:r>
          <m:t>β</m:t>
        </m:r>
      </m:oMath>
      <w:r>
        <w:rPr>
          <w:rFonts w:ascii="宋体" w:hAnsi="宋体" w:eastAsia="宋体"/>
          <w:sz w:val="24"/>
        </w:rPr>
        <w:t>渠道），双向互馈使技术与制度构成互利共生系统。第二，解析层面：系统存在四个平衡点，“双低”原点为源点，纯技术与纯制度两个单极均衡均为鞍点，唯一可能稳定的归宿是内部协同均衡；当互馈强度满足</w:t>
      </w:r>
      <m:oMath>
        <m:r>
          <m:t>β</m:t>
        </m:r>
        <m:d>
          <m:dPr>
            <m:begChr m:val="("/>
            <m:sepChr m:val=""/>
            <m:endChr m:val=")"/>
            <m:grow/>
          </m:dPr>
          <m:e>
            <m:r>
              <m:t>α</m:t>
            </m:r>
            <m:r>
              <m:rPr>
                <m:sty m:val="p"/>
              </m:rPr>
              <m:t>+</m:t>
            </m:r>
            <m:r>
              <m:t>γ</m:t>
            </m:r>
          </m:e>
        </m:d>
        <m:r>
          <m:rPr>
            <m:sty m:val="p"/>
          </m:rPr>
          <m:t>&lt;</m:t>
        </m:r>
        <m:r>
          <m:t>1</m:t>
        </m:r>
      </m:oMath>
      <w:r>
        <w:rPr>
          <w:rFonts w:ascii="宋体" w:hAnsi="宋体" w:eastAsia="宋体"/>
          <w:sz w:val="24"/>
        </w:rPr>
        <w:t>时，协同均衡存在、唯一且为稳定结点，技术与制度的均衡水平双双越过孤立发展的容量上限，且收敛过程单调无振荡（命题6.1、命题6.2）。第三，经验层面：“双碳”目标提出后互馈结构发生历史性强化，</w:t>
      </w:r>
      <m:oMath>
        <m:r>
          <m:t>α</m:t>
        </m:r>
      </m:oMath>
      <w:r>
        <w:rPr>
          <w:rFonts w:ascii="宋体" w:hAnsi="宋体" w:eastAsia="宋体"/>
          <w:sz w:val="24"/>
        </w:rPr>
        <w:t>由0.021升至0.058、</w:t>
      </w:r>
      <m:oMath>
        <m:r>
          <m:t>β</m:t>
        </m:r>
      </m:oMath>
      <w:r>
        <w:rPr>
          <w:rFonts w:ascii="宋体" w:hAnsi="宋体" w:eastAsia="宋体"/>
          <w:sz w:val="24"/>
        </w:rPr>
        <w:t>由0.018升至0.049，均提高至原有水平的近三倍，阻尼系数由0.350降至0.280，模型对两阶段轨迹的拟合优度均超过0.9。第四，动态层面：全样本校准下协同均衡为</w:t>
      </w:r>
      <m:oMath>
        <m:d>
          <m:dPr>
            <m:begChr m:val="("/>
            <m:sepChr m:val=""/>
            <m:endChr m:val=")"/>
            <m:grow/>
          </m:dPr>
          <m:e>
            <m:sSup>
              <m:e>
                <m:r>
                  <m:t>T</m:t>
                </m:r>
              </m:e>
              <m:sup>
                <m:r>
                  <m:rPr>
                    <m:sty m:val="p"/>
                  </m:rPr>
                  <m:t>*</m:t>
                </m:r>
              </m:sup>
            </m:sSup>
            <m:r>
              <m:rPr>
                <m:sty m:val="p"/>
              </m:rPr>
              <m:t>,</m:t>
            </m:r>
            <m:sSup>
              <m:e>
                <m:r>
                  <m:t>I</m:t>
                </m:r>
              </m:e>
              <m:sup>
                <m:r>
                  <m:rPr>
                    <m:sty m:val="p"/>
                  </m:rPr>
                  <m:t>*</m:t>
                </m:r>
              </m:sup>
            </m:sSup>
          </m:e>
        </m:d>
        <m:r>
          <m:rPr>
            <m:sty m:val="p"/>
          </m:rPr>
          <m:t>=</m:t>
        </m:r>
        <m:d>
          <m:dPr>
            <m:begChr m:val="("/>
            <m:sepChr m:val=""/>
            <m:endChr m:val=")"/>
            <m:grow/>
          </m:dPr>
          <m:e>
            <m:r>
              <m:t>1.078</m:t>
            </m:r>
            <m:r>
              <m:rPr>
                <m:sty m:val="p"/>
              </m:rPr>
              <m:t>,</m:t>
            </m:r>
            <m:r>
              <m:t>1.062</m:t>
            </m:r>
          </m:e>
        </m:d>
      </m:oMath>
      <w:r>
        <w:rPr>
          <w:rFonts w:ascii="宋体" w:hAnsi="宋体" w:eastAsia="宋体"/>
          <w:sz w:val="24"/>
        </w:rPr>
        <w:t>，收敛半衰期约13.9年，中国的实际轨迹呈“技术先行半步、制度快速跟进”的准平衡形态，正处于向均衡收敛的中后程。第五，结构层面：合成弹性</w:t>
      </w:r>
      <m:oMath>
        <m:r>
          <m:t>ω</m:t>
        </m:r>
      </m:oMath>
      <w:r>
        <w:rPr>
          <w:rFonts w:ascii="宋体" w:hAnsi="宋体" w:eastAsia="宋体"/>
          <w:sz w:val="24"/>
        </w:rPr>
        <w:t>由0.42升至0.55，标准体系的驱动结构已从制度驱动转向技术驱动，制度供给的重心须相应从数量扩张转向质量适配。</w:t>
      </w:r>
    </w:p>
    <w:p>
      <w:pPr>
        <w:spacing w:line="360" w:lineRule="auto" w:after="0"/>
        <w:ind w:firstLineChars="200" w:firstLine="480"/>
        <w:jc w:val="both"/>
      </w:pPr>
      <w:r>
        <w:rPr>
          <w:rFonts w:ascii="宋体" w:hAnsi="宋体" w:eastAsia="宋体"/>
          <w:sz w:val="24"/>
        </w:rPr>
        <w:t>本章结论在全书逻辑中承上启下。承上，它把第5章识别出的“技术拉力上升”从传导系数深化为互馈机制，揭示了驱动力格局变迁的内生根源；启下，它为后续章节提供了三块基石：其一，技术—制度互馈机制直接派生出第9章标准体系构建的“动态适应”原则——体系设计必须为技术演进预留制度接口；其二，收敛的长时间尺度与技术驱动的加强，论证了第10章动态更新机制以偏离度阈值触发、而非以固定周期安排的必要性；其三，模型将多主体互动压缩为总量互馈系数的处理方式，也暴露了其对主体策略结构的沉默——政府、企业与国际组织在标准制定中的策略选择如何决定互馈系数的微观取值，正是第7章三方演化博弈模型要回答的问题。至此，动态演化机理的三层刻画完成了两层，分析的镜头将从总量系统推向策略主体。</w:t>
      </w:r>
    </w:p>
    <w:p>
      <w:r>
        <w:br w:type="page"/>
      </w:r>
    </w:p>
    <w:p>
      <w:pPr>
        <w:keepNext/>
        <w:spacing w:before="240" w:after="160" w:line="360" w:lineRule="auto"/>
        <w:jc w:val="center"/>
        <w:outlineLvl w:val="0"/>
      </w:pPr>
      <w:r>
        <w:rPr>
          <w:rFonts w:ascii="黑体" w:hAnsi="黑体" w:eastAsia="黑体"/>
          <w:b/>
          <w:sz w:val="30"/>
        </w:rPr>
        <w:t>第7章  标准制定的多主体演化博弈模型</w:t>
      </w:r>
    </w:p>
    <w:p>
      <w:pPr>
        <w:spacing w:line="360" w:lineRule="auto" w:after="0"/>
        <w:ind w:firstLineChars="200" w:firstLine="480"/>
        <w:jc w:val="both"/>
      </w:pPr>
      <w:r>
        <w:rPr>
          <w:rFonts w:ascii="宋体" w:hAnsi="宋体" w:eastAsia="宋体"/>
          <w:sz w:val="24"/>
        </w:rPr>
        <w:t>前两章沿“总量”路径完成了标准体系动态演化机理的两层刻画：第5章的状态空间模型识别了五类标准之间的互补—替代结构与政策、技术、市场三重驱动力的传导系数，第6章的协同演进模型把技术与制度的双向互馈提炼为可解析、可估计的动态系统。但两个模型都把“谁在制定标准、为何如此选择”的问题压缩在系数之中——标准从来不是匿名力量的自动产物，而是利益相关方在给定制度环境下策略互动的均衡结果：标准化的方向与速度，取决于相关主体在合作与不合作、领先与跟随之间的反复权衡（Farrell和Saloner，1985；Zhao等，2024）。绿色低碳标准尤其如此。政府在强制推行与激励引导之间权衡执法成本与政策效能；企业在积极响应与被动观望之间比较遵从成本与绿色收益；以国际标准组织和欧盟规则体系为代表的国际力量，则在接纳衔接与排斥壁垒之间计算互认的收益与让渡规则权力的代价。三方的选择互为对方的收益环境，任何一方的单独理性都不足以决定体系的归宿——这正是第2章理论框架中动态演化机理的第三层次：多主体策略互动。</w:t>
      </w:r>
    </w:p>
    <w:p>
      <w:pPr>
        <w:spacing w:line="360" w:lineRule="auto" w:after="0"/>
        <w:ind w:firstLineChars="200" w:firstLine="480"/>
        <w:jc w:val="both"/>
      </w:pPr>
      <w:r>
        <w:rPr>
          <w:rFonts w:ascii="宋体" w:hAnsi="宋体" w:eastAsia="宋体"/>
          <w:sz w:val="24"/>
        </w:rPr>
        <w:t>本章以三方演化博弈模型完成这一层次的形式化，也是全书数理推导的又一核心章。分析遵循“情境设定—支付构建—动态推导—均衡判别—数值模拟—政策讨论”的递进线索：7.1节交代博弈情境、三方主体的现实对应与行为假设；7.2节构建八种策略组合下的三方支付矩阵，并给出各参数的制度事实校准依据；7.3节推导三条复制动态方程，构成三维演化系统；7.4节求解八个纯策略均衡点，借助雅可比矩阵逐一判别其渐近稳定性，重点刻画“被动跟跑”与“主动领跑”两个稳定均衡，并给出三个阈值命题；7.5节以数值模拟再现三种情景下的演化轨迹与收敛时间，考察关键参数的敏感性；7.6节讨论碳关税减免、竞争力提升与政府补贴三类政策杠杆的作用机理与组合次序；7.7节小结本章要点及其在全书中的位置。</w:t>
      </w:r>
    </w:p>
    <w:p>
      <w:pPr>
        <w:keepNext/>
        <w:spacing w:before="160" w:after="120" w:line="360" w:lineRule="auto"/>
        <w:outlineLvl w:val="1"/>
      </w:pPr>
      <w:r>
        <w:rPr>
          <w:rFonts w:ascii="黑体" w:hAnsi="黑体" w:eastAsia="黑体"/>
          <w:sz w:val="28"/>
        </w:rPr>
        <w:t>7.1  博弈情境与主体设定</w:t>
      </w:r>
    </w:p>
    <w:p>
      <w:pPr>
        <w:keepNext/>
        <w:spacing w:before="160" w:after="120" w:line="360" w:lineRule="auto"/>
        <w:outlineLvl w:val="2"/>
      </w:pPr>
      <w:r>
        <w:rPr>
          <w:rFonts w:ascii="黑体" w:hAnsi="黑体" w:eastAsia="黑体"/>
          <w:sz w:val="24"/>
        </w:rPr>
        <w:t>7.1.1  从总量演化到策略互动：演化博弈方法的适用性</w:t>
      </w:r>
    </w:p>
    <w:p>
      <w:pPr>
        <w:spacing w:line="360" w:lineRule="auto" w:after="0"/>
        <w:ind w:firstLineChars="200" w:firstLine="480"/>
        <w:jc w:val="both"/>
      </w:pPr>
      <w:r>
        <w:rPr>
          <w:rFonts w:ascii="宋体" w:hAnsi="宋体" w:eastAsia="宋体"/>
          <w:sz w:val="24"/>
        </w:rPr>
        <w:t>刻画标准制定中的策略互动，经典博弈论并非最优工具。完全理性纳什均衡要求参与人具备关于博弈结构与对手支付的共同知识，并能一次性算出最优反应；而绿色低碳标准化的决策环境恰恰以深度不确定性为特征——技术路线尚在演进、碳定价规则频繁调整、贸易规则的合法性争议悬而未决，任何一方都难以掌握完全信息。更重要的是，标准化决策具有天然的重复性与学习性：标准以数年为周期制修订，认证逐年复审，政策经由试点再推广，主体的策略调整更接近“观察—模仿—试错”的适应过程而非一步到位的最优计算。演化博弈论正是为这类有限理性、重复调整的群体互动而生：其复制动态假定收益高于群体平均水平的策略将在群体中扩散（Taylor和Jonker，1978；Friedman，1991），与制度经济学关于惯例在选择压力下演化的思想一脉相承（Nelson和Winter，1982）。</w:t>
      </w:r>
    </w:p>
    <w:p>
      <w:pPr>
        <w:spacing w:line="360" w:lineRule="auto" w:after="0"/>
        <w:ind w:firstLineChars="200" w:firstLine="480"/>
        <w:jc w:val="both"/>
      </w:pPr>
      <w:r>
        <w:rPr>
          <w:rFonts w:ascii="宋体" w:hAnsi="宋体" w:eastAsia="宋体"/>
          <w:sz w:val="24"/>
        </w:rPr>
        <w:t>演化博弈在气候治理与标准化领域已有丰富应用：全球气候合作研究早已指出，大国在减排规则上的互动呈现典型的策略博弈属性，合作与不和长期并存（Keohane和Victor，2016；庄贵阳和王思博，2023）；绿色技术与标准领域的近期研究则用多主体演化博弈刻画利益相关方策略的共生演化（Zhao等，2024）。相对既有文献，本章的边际贡献有三：其一，将国际标准化力量作为独立博弈方引入，构成政府—企业—国际组织的三方结构，而非常见的政企两方设定——对志在“国际认可”的中国绿色低碳标准体系而言，国际维度不是外生背景而是内生策略方；其二，支付参数以碳边境调节机制（CBAM）等可核实的制度事实为参照校准，使模型阈值具有政策量纲上的解释力；其三，从稳定性分析中提炼出三个可操作的阈值命题，把“如何从跟跑走向领跑”的战略问题转化为参数条件的比较，为第9章体系构建的多元协调原则与第12章国际适配性评估提供机理基础。</w:t>
      </w:r>
    </w:p>
    <w:p>
      <w:pPr>
        <w:keepNext/>
        <w:spacing w:before="160" w:after="120" w:line="360" w:lineRule="auto"/>
        <w:outlineLvl w:val="2"/>
      </w:pPr>
      <w:r>
        <w:rPr>
          <w:rFonts w:ascii="黑体" w:hAnsi="黑体" w:eastAsia="黑体"/>
          <w:sz w:val="24"/>
        </w:rPr>
        <w:t>7.1.2  三方主体及其现实对应</w:t>
      </w:r>
    </w:p>
    <w:p>
      <w:pPr>
        <w:spacing w:line="360" w:lineRule="auto" w:after="0"/>
        <w:ind w:firstLineChars="200" w:firstLine="480"/>
        <w:jc w:val="both"/>
      </w:pPr>
      <w:r>
        <w:rPr>
          <w:rFonts w:ascii="宋体" w:hAnsi="宋体" w:eastAsia="宋体"/>
          <w:sz w:val="24"/>
        </w:rPr>
        <w:t>博弈方一是政府（G），现实对应国家标准化管理委员会及国家发展改革委、生态环境部等标准化主管部门体系。2023年4月，国家标准委等十一部门印发《碳达峰碳中和标准体系建设指南》，部署4个一级子体系、63个三级子体系，明确到2025年制修订不少于1000项国家标准和行业标准（国家标准化管理委员会等，2023）；2024年8月的强化行动方案进一步提出当年发布70项碳核算、碳足迹等国家标准。政府手中的政策工具箱可归并为两类策略：“强制推行”，即以强制性能耗限额、能效与排放标准为底线，辅之以执法核查、碳市场履约约束与考核问责，其特征是合规确定性高但行政成本高昂，与能耗双控向碳排放双控转型中的规制工具选择直接相关（姜春海等，2024）；“激励引导”，即以推荐性标准与团体标准供给为基础，借助财政补贴、税收优惠、绿色采购与绿色金融等经济手段诱导企业自愿采标，其特征是行政成本低、但政策效能取决于企业的响应意愿（张一林等，2025）——价格规制领域的经验同样表明，市场主体对政策的策略性回应取决于制度激励的设计（蔡鑫宇，2020）。</w:t>
      </w:r>
    </w:p>
    <w:p>
      <w:pPr>
        <w:spacing w:line="360" w:lineRule="auto" w:after="0"/>
        <w:ind w:firstLineChars="200" w:firstLine="480"/>
        <w:jc w:val="both"/>
      </w:pPr>
      <w:r>
        <w:rPr>
          <w:rFonts w:ascii="宋体" w:hAnsi="宋体" w:eastAsia="宋体"/>
          <w:sz w:val="24"/>
        </w:rPr>
        <w:t>博弈方二是企业（E），现实对应行业龙头企业，尤其是纳入全国碳市场的重点排放单位与面向欧盟市场的出口企业。2025年3月全国碳市场首次扩围至钢铁、水泥、铝冶炼行业后，重点排放单位达约3700家、覆盖排放量约80亿吨、占全国二氧化碳排放总量的60%以上，这些企业既是绿色低碳标准的主要遵从者，也是标准起草的重要参与者。“积极响应”意味着按高标准实施绿色化改造：建立企业碳核算与数据管理体系、参与标准制定、申请产品碳足迹核算与第三方认证（He等，2022）；“被动观望”则意味着仅作最低限度合规、等待技术与规则明朗后再行动。响应与否的权衡实质是遵从成本与绿色收益的比较：绿色贸易壁垒既可能倒逼企业绿色技术升级，也可能因成本挤压使企业陷入“陷阱效应”，方向取决于激励结构（陆婷和徐奇渊，2023）。</w:t>
      </w:r>
    </w:p>
    <w:p>
      <w:pPr>
        <w:spacing w:line="360" w:lineRule="auto" w:after="0"/>
        <w:ind w:firstLineChars="200" w:firstLine="480"/>
        <w:jc w:val="both"/>
      </w:pPr>
      <w:r>
        <w:rPr>
          <w:rFonts w:ascii="宋体" w:hAnsi="宋体" w:eastAsia="宋体"/>
          <w:sz w:val="24"/>
        </w:rPr>
        <w:t>博弈方三是国际组织（O），指以国际标准化组织（ISO）、国际电工委员会（IEC）为代表的国际标准化机构及以欧盟为代表的区域规则体系。私营国际标准组织实质性行使着全球市场的规则制定权（Büthe和Mattli，2011），而欧盟凭借其市场规模把单边规制外溢为事实上的国际标准——“布鲁塞尔效应”在CBAM上表现得尤为典型（Bradford，2020；刘梦佳和李志永，2025）。对中国绿色低碳标准而言，“接纳衔接”意味着承认中国的核算规则与认证结果、吸纳中国提案进入国际标准；“排斥壁垒”则意味着不承认中国数据与认证、适用惩罚性缺省值、附加重复核查。中国已具备相当的参与基础——截至2022年底累计主导制定ISO/IEC国际标准1337项，承担ISO、IEC技术机构秘书处达89个（2023年披露口径）——但在绿色低碳这一新兴规则领域仍处于争取承认的爬坡阶段：CBAM条例于2023年5月立法生效、同年10月进入过渡期，2026年1月1日起正式征收，覆盖水泥、钢铁、铝、化肥、电力、氢六类产品，中国标准能否被这一规则体系接纳，直接决定相关出口企业的成本函数（陈诗一和朱渝铖，2024）。</w:t>
      </w:r>
    </w:p>
    <w:p>
      <w:pPr>
        <w:keepNext/>
        <w:spacing w:before="160" w:after="120" w:line="360" w:lineRule="auto"/>
        <w:outlineLvl w:val="2"/>
      </w:pPr>
      <w:r>
        <w:rPr>
          <w:rFonts w:ascii="黑体" w:hAnsi="黑体" w:eastAsia="黑体"/>
          <w:sz w:val="24"/>
        </w:rPr>
        <w:t>7.1.3  策略空间、信息结构与行为假设</w:t>
      </w:r>
    </w:p>
    <w:p>
      <w:pPr>
        <w:spacing w:line="360" w:lineRule="auto" w:after="0"/>
        <w:ind w:firstLineChars="200" w:firstLine="480"/>
        <w:jc w:val="both"/>
      </w:pPr>
      <w:r>
        <w:rPr>
          <w:rFonts w:ascii="宋体" w:hAnsi="宋体" w:eastAsia="宋体"/>
          <w:sz w:val="24"/>
        </w:rPr>
        <w:t>三方的策略空间均为二元：政府在{强制推行，激励引导}中选择，以</w:t>
      </w:r>
      <m:oMath>
        <m:r>
          <m:t>x</m:t>
        </m:r>
        <m:r>
          <m:rPr>
            <m:sty m:val="p"/>
          </m:rPr>
          <m:t>∈</m:t>
        </m:r>
        <m:d>
          <m:dPr>
            <m:begChr m:val="["/>
            <m:sepChr m:val=""/>
            <m:endChr m:val="]"/>
            <m:grow/>
          </m:dPr>
          <m:e>
            <m:r>
              <m:t>0</m:t>
            </m:r>
            <m:r>
              <m:rPr>
                <m:sty m:val="p"/>
              </m:rPr>
              <m:t>,</m:t>
            </m:r>
            <m:r>
              <m:t>1</m:t>
            </m:r>
          </m:e>
        </m:d>
      </m:oMath>
      <w:r>
        <w:rPr>
          <w:rFonts w:ascii="宋体" w:hAnsi="宋体" w:eastAsia="宋体"/>
          <w:sz w:val="24"/>
        </w:rPr>
        <w:t>表示政府群体中采取强制推行的比例（或单一主体选择该策略的概率）；企业在{积极响应，被动观望}中选择，响应比例记为</w:t>
      </w:r>
      <m:oMath>
        <m:r>
          <m:t>y</m:t>
        </m:r>
      </m:oMath>
      <w:r>
        <w:rPr>
          <w:rFonts w:ascii="宋体" w:hAnsi="宋体" w:eastAsia="宋体"/>
          <w:sz w:val="24"/>
        </w:rPr>
        <w:t>；国际组织在{接纳衔接，排斥壁垒}中选择，接纳比例记为</w:t>
      </w:r>
      <m:oMath>
        <m:r>
          <m:t>z</m:t>
        </m:r>
      </m:oMath>
      <w:r>
        <w:rPr>
          <w:rFonts w:ascii="宋体" w:hAnsi="宋体" w:eastAsia="宋体"/>
          <w:sz w:val="24"/>
        </w:rPr>
        <w:t>。状态向量</w:t>
      </w:r>
      <m:oMath>
        <m:d>
          <m:dPr>
            <m:begChr m:val="("/>
            <m:sepChr m:val=""/>
            <m:endChr m:val=")"/>
            <m:grow/>
          </m:dPr>
          <m:e>
            <m:r>
              <m:t>x</m:t>
            </m:r>
            <m:r>
              <m:rPr>
                <m:sty m:val="p"/>
              </m:rPr>
              <m:t>,</m:t>
            </m:r>
            <m:r>
              <m:t>y</m:t>
            </m:r>
            <m:r>
              <m:rPr>
                <m:sty m:val="p"/>
              </m:rPr>
              <m:t>,</m:t>
            </m:r>
            <m:r>
              <m:t>z</m:t>
            </m:r>
          </m:e>
        </m:d>
      </m:oMath>
      <w:r>
        <w:rPr>
          <w:rFonts w:ascii="宋体" w:hAnsi="宋体" w:eastAsia="宋体"/>
          <w:sz w:val="24"/>
        </w:rPr>
        <w:t>在单位立方体内演化，其顶点对应八个纯策略组合。信息结构设定为：各方能够观测群体层面的策略分布与自身的已实现支付，但不掌握对手支付函数的完全信息，因而无法直接计算纳什最优反应，只能依据“何种策略在同类主体中收益更高”的比较进行渐进调整——这正是复制动态的行为学基础。时间尺度上，一期对应约半年，与标准制修订、认证复审与碳市场履约的典型周期一致。</w:t>
      </w:r>
    </w:p>
    <w:p>
      <w:pPr>
        <w:spacing w:line="360" w:lineRule="auto" w:after="0"/>
        <w:ind w:firstLineChars="200" w:firstLine="480"/>
        <w:jc w:val="both"/>
      </w:pPr>
      <w:r>
        <w:rPr>
          <w:rFonts w:ascii="宋体" w:hAnsi="宋体" w:eastAsia="宋体"/>
          <w:sz w:val="24"/>
        </w:rPr>
        <w:t>模型依赖四条假设。假设一（群体性）：三个博弈方各为同质主体群体，两策略并存，策略比例可连续调整。假设二（风险中性与支付可加）：支付以货币等价的效用单位度量并经无量纲化处理，期望支付线性可加。假设三（参数排序）：</w:t>
      </w:r>
      <m:oMath>
        <m:sSub>
          <m:e>
            <m:r>
              <m:t>R</m:t>
            </m:r>
          </m:e>
          <m:sub>
            <m:r>
              <m:t>G</m:t>
            </m:r>
          </m:sub>
        </m:sSub>
        <m:r>
          <m:rPr>
            <m:sty m:val="p"/>
          </m:rPr>
          <m:t>&gt;</m:t>
        </m:r>
        <m:sSub>
          <m:e>
            <m:r>
              <m:t>c</m:t>
            </m:r>
          </m:e>
          <m:sub>
            <m:r>
              <m:t>G</m:t>
            </m:r>
          </m:sub>
        </m:sSub>
        <m:r>
          <m:rPr>
            <m:sty m:val="p"/>
          </m:rPr>
          <m:t>&gt;</m:t>
        </m:r>
        <m:r>
          <m:t>s</m:t>
        </m:r>
        <m:r>
          <m:rPr>
            <m:sty m:val="p"/>
          </m:rPr>
          <m:t>&gt;</m:t>
        </m:r>
        <m:r>
          <m:t>0</m:t>
        </m:r>
      </m:oMath>
      <w:r>
        <w:rPr>
          <w:rFonts w:ascii="宋体" w:hAnsi="宋体" w:eastAsia="宋体"/>
          <w:sz w:val="24"/>
        </w:rPr>
        <w:t>，</w:t>
      </w:r>
      <m:oMath>
        <m:sSub>
          <m:e>
            <m:r>
              <m:t>c</m:t>
            </m:r>
          </m:e>
          <m:sub>
            <m:r>
              <m:t>E</m:t>
            </m:r>
          </m:sub>
        </m:sSub>
        <m:r>
          <m:rPr>
            <m:sty m:val="p"/>
          </m:rPr>
          <m:t>&gt;</m:t>
        </m:r>
        <m:r>
          <m:t>s</m:t>
        </m:r>
      </m:oMath>
      <w:r>
        <w:rPr>
          <w:rFonts w:ascii="宋体" w:hAnsi="宋体" w:eastAsia="宋体"/>
          <w:sz w:val="24"/>
        </w:rPr>
        <w:t>。其经济依据是：合规收益高于执法成本（否则强制推行本身缺乏正当性）；强制体制的行政成本高于补贴支出（执法链条长、覆盖面广，且含配套支持支出）；补贴不能完全覆盖企业遵从成本（否则财政不可持续且诱发骗补）。假设四（独立匹配）：三方策略选择相互独立，交叉项期望等于比例乘积。这些假设保证复制动态方程组的良定义性，其数值取值的校准依据见7.5节表7.3。</w:t>
      </w:r>
    </w:p>
    <w:p>
      <w:pPr>
        <w:spacing w:line="360" w:lineRule="auto" w:after="0"/>
        <w:ind w:firstLineChars="200" w:firstLine="480"/>
        <w:jc w:val="both"/>
      </w:pPr>
      <w:r>
        <w:rPr>
          <w:rFonts w:ascii="宋体" w:hAnsi="宋体" w:eastAsia="宋体"/>
          <w:sz w:val="24"/>
        </w:rPr>
        <w:t>由图7.1可见，三方博弈的关系结构由三组双向连边构成：政府对企业以补贴</w:t>
      </w:r>
      <m:oMath>
        <m:r>
          <m:t>s</m:t>
        </m:r>
      </m:oMath>
      <w:r>
        <w:rPr>
          <w:rFonts w:ascii="宋体" w:hAnsi="宋体" w:eastAsia="宋体"/>
          <w:sz w:val="24"/>
        </w:rPr>
        <w:t>、处罚约束与标准供给实施政策传导，企业的响应程度反过来决定政府合规收益</w:t>
      </w:r>
      <m:oMath>
        <m:sSub>
          <m:e>
            <m:r>
              <m:t>R</m:t>
            </m:r>
          </m:e>
          <m:sub>
            <m:r>
              <m:t>G</m:t>
            </m:r>
          </m:sub>
        </m:sSub>
      </m:oMath>
      <w:r>
        <w:rPr>
          <w:rFonts w:ascii="宋体" w:hAnsi="宋体" w:eastAsia="宋体"/>
          <w:sz w:val="24"/>
        </w:rPr>
        <w:t>的实现；企业对国际组织输出达标产品并申请认证互认，国际组织的接纳与否决定企业能否获得碳关税减免</w:t>
      </w:r>
      <m:oMath>
        <m:r>
          <m:t>Δ</m:t>
        </m:r>
        <m:r>
          <m:t>T</m:t>
        </m:r>
      </m:oMath>
      <w:r>
        <w:rPr>
          <w:rFonts w:ascii="宋体" w:hAnsi="宋体" w:eastAsia="宋体"/>
          <w:sz w:val="24"/>
        </w:rPr>
        <w:t>、市场准入与竞争力提升</w:t>
      </w:r>
      <m:oMath>
        <m:r>
          <m:t>Δ</m:t>
        </m:r>
        <m:r>
          <m:t>M</m:t>
        </m:r>
      </m:oMath>
      <w:r>
        <w:rPr>
          <w:rFonts w:ascii="宋体" w:hAnsi="宋体" w:eastAsia="宋体"/>
          <w:sz w:val="24"/>
        </w:rPr>
        <w:t>；政府与国际组织之间则经由标准互认谈判、国际标准化参与和规则约束的传导相互作用。三组关系汇聚于图中央虚线框所示的复制动态系统——三方策略比例</w:t>
      </w:r>
      <m:oMath>
        <m:d>
          <m:dPr>
            <m:begChr m:val="("/>
            <m:sepChr m:val=""/>
            <m:endChr m:val=")"/>
            <m:grow/>
          </m:dPr>
          <m:e>
            <m:r>
              <m:t>x</m:t>
            </m:r>
            <m:r>
              <m:rPr>
                <m:sty m:val="p"/>
              </m:rPr>
              <m:t>,</m:t>
            </m:r>
            <m:r>
              <m:t>y</m:t>
            </m:r>
            <m:r>
              <m:rPr>
                <m:sty m:val="p"/>
              </m:rPr>
              <m:t>,</m:t>
            </m:r>
            <m:r>
              <m:t>z</m:t>
            </m:r>
          </m:e>
        </m:d>
      </m:oMath>
      <w:r>
        <w:rPr>
          <w:rFonts w:ascii="宋体" w:hAnsi="宋体" w:eastAsia="宋体"/>
          <w:sz w:val="24"/>
        </w:rPr>
        <w:t>的联合演化决定体系最终落在“被动跟跑”还是“主动领跑”均衡，框中标注的跃迁关键条件（</w:t>
      </w:r>
      <m:oMath>
        <m:r>
          <m:t>Δ</m:t>
        </m:r>
        <m:r>
          <m:t>T</m:t>
        </m:r>
        <m:r>
          <m:rPr>
            <m:sty m:val="p"/>
          </m:rPr>
          <m:t>+</m:t>
        </m:r>
        <m:r>
          <m:t>Δ</m:t>
        </m:r>
        <m:r>
          <m:t>M</m:t>
        </m:r>
      </m:oMath>
      <w:r>
        <w:rPr>
          <w:rFonts w:ascii="宋体" w:hAnsi="宋体" w:eastAsia="宋体"/>
          <w:sz w:val="24"/>
        </w:rPr>
        <w:t>超过约2的综合阈值），是7.4节命题7.1、命题7.2给出的条件阈值函数在中性互认预期下的取值，其严格推导与精确含义见后文。</w:t>
      </w:r>
    </w:p>
    <w:p>
      <w:pPr>
        <w:spacing w:before="120" w:after="40"/>
        <w:jc w:val="center"/>
      </w:pPr>
      <w:r>
        <w:drawing>
          <wp:inline xmlns:a="http://schemas.openxmlformats.org/drawingml/2006/main" xmlns:pic="http://schemas.openxmlformats.org/drawingml/2006/picture">
            <wp:extent cx="4860000" cy="3801625"/>
            <wp:docPr id="21" name="Picture 21"/>
            <wp:cNvGraphicFramePr>
              <a:graphicFrameLocks noChangeAspect="1"/>
            </wp:cNvGraphicFramePr>
            <a:graphic>
              <a:graphicData uri="http://schemas.openxmlformats.org/drawingml/2006/picture">
                <pic:pic>
                  <pic:nvPicPr>
                    <pic:cNvPr id="0" name="fig7_1.png"/>
                    <pic:cNvPicPr/>
                  </pic:nvPicPr>
                  <pic:blipFill>
                    <a:blip r:embed="rId29"/>
                    <a:stretch>
                      <a:fillRect/>
                    </a:stretch>
                  </pic:blipFill>
                  <pic:spPr>
                    <a:xfrm>
                      <a:off x="0" y="0"/>
                      <a:ext cx="4860000" cy="3801625"/>
                    </a:xfrm>
                    <a:prstGeom prst="rect"/>
                  </pic:spPr>
                </pic:pic>
              </a:graphicData>
            </a:graphic>
          </wp:inline>
        </w:drawing>
      </w:r>
    </w:p>
    <w:p>
      <w:pPr>
        <w:keepNext w:val="0"/>
        <w:spacing w:after="200"/>
        <w:jc w:val="center"/>
      </w:pPr>
      <w:r>
        <w:rPr>
          <w:rFonts w:ascii="黑体" w:hAnsi="黑体" w:eastAsia="黑体"/>
          <w:sz w:val="21"/>
        </w:rPr>
        <w:t>图7.1  政府—企业—国际组织三方博弈关系</w:t>
      </w:r>
    </w:p>
    <w:p>
      <w:pPr>
        <w:keepNext/>
        <w:spacing w:before="160" w:after="120" w:line="360" w:lineRule="auto"/>
        <w:outlineLvl w:val="1"/>
      </w:pPr>
      <w:r>
        <w:rPr>
          <w:rFonts w:ascii="黑体" w:hAnsi="黑体" w:eastAsia="黑体"/>
          <w:sz w:val="28"/>
        </w:rPr>
        <w:t>7.2  支付矩阵构建</w:t>
      </w:r>
    </w:p>
    <w:p>
      <w:pPr>
        <w:keepNext/>
        <w:spacing w:before="160" w:after="120" w:line="360" w:lineRule="auto"/>
        <w:outlineLvl w:val="2"/>
      </w:pPr>
      <w:r>
        <w:rPr>
          <w:rFonts w:ascii="黑体" w:hAnsi="黑体" w:eastAsia="黑体"/>
          <w:sz w:val="24"/>
        </w:rPr>
        <w:t>7.2.1  支付参数的界定与制度事实对应</w:t>
      </w:r>
    </w:p>
    <w:p>
      <w:pPr>
        <w:spacing w:line="360" w:lineRule="auto" w:after="0"/>
        <w:ind w:firstLineChars="200" w:firstLine="480"/>
        <w:jc w:val="both"/>
      </w:pPr>
      <w:r>
        <w:rPr>
          <w:rFonts w:ascii="宋体" w:hAnsi="宋体" w:eastAsia="宋体"/>
          <w:sz w:val="24"/>
        </w:rPr>
        <w:t>政府侧涉及三个参数。执法成本</w:t>
      </w:r>
      <m:oMath>
        <m:sSub>
          <m:e>
            <m:r>
              <m:t>c</m:t>
            </m:r>
          </m:e>
          <m:sub>
            <m:r>
              <m:t>G</m:t>
            </m:r>
          </m:sub>
        </m:sSub>
      </m:oMath>
      <w:r>
        <w:rPr>
          <w:rFonts w:ascii="宋体" w:hAnsi="宋体" w:eastAsia="宋体"/>
          <w:sz w:val="24"/>
        </w:rPr>
        <w:t>（基准取值1.3）涵盖强制推行所需的监督核查、行政执法与配套支持支出；为聚焦两种策略的边际差异，强制体制下的普惠性支持支出一并计入</w:t>
      </w:r>
      <m:oMath>
        <m:sSub>
          <m:e>
            <m:r>
              <m:t>c</m:t>
            </m:r>
          </m:e>
          <m:sub>
            <m:r>
              <m:t>G</m:t>
            </m:r>
          </m:sub>
        </m:sSub>
      </m:oMath>
      <w:r>
        <w:rPr>
          <w:rFonts w:ascii="宋体" w:hAnsi="宋体" w:eastAsia="宋体"/>
          <w:sz w:val="24"/>
        </w:rPr>
        <w:t>口径。补贴强度</w:t>
      </w:r>
      <m:oMath>
        <m:r>
          <m:t>s</m:t>
        </m:r>
      </m:oMath>
      <w:r>
        <w:rPr>
          <w:rFonts w:ascii="宋体" w:hAnsi="宋体" w:eastAsia="宋体"/>
          <w:sz w:val="24"/>
        </w:rPr>
        <w:t>（基准0.8）是激励引导策略下财政补贴、税收减免与绿色信贷贴息等支出的货币等价。合规收益</w:t>
      </w:r>
      <m:oMath>
        <m:sSub>
          <m:e>
            <m:r>
              <m:t>R</m:t>
            </m:r>
          </m:e>
          <m:sub>
            <m:r>
              <m:t>G</m:t>
            </m:r>
          </m:sub>
        </m:sSub>
      </m:oMath>
      <w:r>
        <w:rPr>
          <w:rFonts w:ascii="宋体" w:hAnsi="宋体" w:eastAsia="宋体"/>
          <w:sz w:val="24"/>
        </w:rPr>
        <w:t>（基准1.5）指标准体系有效运转带来的减排目标达成、环境质量改善与治理声誉（含全书符号约定所称的声誉收益），是政府两种策略共同追求的目标变量。</w:t>
      </w:r>
    </w:p>
    <w:p>
      <w:pPr>
        <w:spacing w:line="360" w:lineRule="auto" w:after="0"/>
        <w:ind w:firstLineChars="200" w:firstLine="480"/>
        <w:jc w:val="both"/>
      </w:pPr>
      <w:r>
        <w:rPr>
          <w:rFonts w:ascii="宋体" w:hAnsi="宋体" w:eastAsia="宋体"/>
          <w:sz w:val="24"/>
        </w:rPr>
        <w:t>企业侧的核心参数有四个。遵从成本</w:t>
      </w:r>
      <m:oMath>
        <m:sSub>
          <m:e>
            <m:r>
              <m:t>c</m:t>
            </m:r>
          </m:e>
          <m:sub>
            <m:r>
              <m:t>E</m:t>
            </m:r>
          </m:sub>
        </m:sSub>
      </m:oMath>
      <w:r>
        <w:rPr>
          <w:rFonts w:ascii="宋体" w:hAnsi="宋体" w:eastAsia="宋体"/>
          <w:sz w:val="24"/>
        </w:rPr>
        <w:t>（基准1.2）包括碳核算与数据管理体系建设、工艺设备改造与第三方认证费用。碳关税减免</w:t>
      </w:r>
      <m:oMath>
        <m:r>
          <m:t>Δ</m:t>
        </m:r>
        <m:r>
          <m:t>T</m:t>
        </m:r>
      </m:oMath>
      <w:r>
        <w:rPr>
          <w:rFonts w:ascii="宋体" w:hAnsi="宋体" w:eastAsia="宋体"/>
          <w:sz w:val="24"/>
        </w:rPr>
        <w:t>对应CBAM的证书扣减机制：进口商可扣除产品在原产国已实际支付的碳价，2026年第一季度CBAM证书价格为75.36欧元/吨，而全国碳市场2025年成交均价为62.36元/吨，以欧元计的欧盟碳价远高于中国碳价——这意味着在核算规则与碳价获得承认的前提下，中国碳市场扩围提价能把国内已付碳价转化为实实在在的关税减免，</w:t>
      </w:r>
      <m:oMath>
        <m:r>
          <m:t>Δ</m:t>
        </m:r>
        <m:r>
          <m:t>T</m:t>
        </m:r>
      </m:oMath>
      <w:r>
        <w:rPr>
          <w:rFonts w:ascii="宋体" w:hAnsi="宋体" w:eastAsia="宋体"/>
          <w:sz w:val="24"/>
        </w:rPr>
        <w:t>的潜在空间相当可观（张兵兵等，2025）。竞争力提升</w:t>
      </w:r>
      <m:oMath>
        <m:r>
          <m:t>Δ</m:t>
        </m:r>
        <m:r>
          <m:t>M</m:t>
        </m:r>
      </m:oMath>
      <w:r>
        <w:rPr>
          <w:rFonts w:ascii="宋体" w:hAnsi="宋体" w:eastAsia="宋体"/>
          <w:sz w:val="24"/>
        </w:rPr>
        <w:t>涵盖绿色溢价、绿色采购准入与绿色金融优惠等市场性收益，其理论基础是环境规制的“创新补偿”效应（Porter和van der Linde，1995）——恰当设计的规制未必损害竞争力，经验研究亦表明竞争力损失常被系统性高估（Dechezleprêtre和Sato，2017）。贸易摩擦损失</w:t>
      </w:r>
      <m:oMath>
        <m:r>
          <m:t>F</m:t>
        </m:r>
      </m:oMath>
      <w:r>
        <w:rPr>
          <w:rFonts w:ascii="宋体" w:hAnsi="宋体" w:eastAsia="宋体"/>
          <w:sz w:val="24"/>
        </w:rPr>
        <w:t>（基准1.6）刻画企业绿色化投入在国际互认缺失时遭遇的重复认证、数据审查与惩罚性缺省值适用等额外成本：权威测算显示CBAM或使中国出口成本每年增加约14亿美元，钢铁行业远期每吨成本增加可达130—160欧元（Böhringer等，2022；陈诗一和朱渝铖，2024）。</w:t>
      </w:r>
    </w:p>
    <w:p>
      <w:pPr>
        <w:spacing w:line="360" w:lineRule="auto" w:after="0"/>
        <w:ind w:firstLineChars="200" w:firstLine="480"/>
        <w:jc w:val="both"/>
      </w:pPr>
      <w:r>
        <w:rPr>
          <w:rFonts w:ascii="宋体" w:hAnsi="宋体" w:eastAsia="宋体"/>
          <w:sz w:val="24"/>
        </w:rPr>
        <w:t>国际组织侧的参数有二。互认收益</w:t>
      </w:r>
      <m:oMath>
        <m:sSub>
          <m:e>
            <m:r>
              <m:t>R</m:t>
            </m:r>
          </m:e>
          <m:sub>
            <m:r>
              <m:t>O</m:t>
            </m:r>
          </m:sub>
        </m:sSub>
      </m:oMath>
      <w:r>
        <w:rPr>
          <w:rFonts w:ascii="宋体" w:hAnsi="宋体" w:eastAsia="宋体"/>
          <w:sz w:val="24"/>
        </w:rPr>
        <w:t>（基准1.0）指接纳中国标准衔接带来的收益：统一规则的网络外部性扩大、跨境碳泄漏治理有效性提高、以及全球最大排放体纳入规则网络的制度红利（Cosbey等，2019；Klaaßen和Stoll，2021）。壁垒损失</w:t>
      </w:r>
      <m:oMath>
        <m:sSub>
          <m:e>
            <m:r>
              <m:t>L</m:t>
            </m:r>
          </m:e>
          <m:sub>
            <m:r>
              <m:t>O</m:t>
            </m:r>
          </m:sub>
        </m:sSub>
      </m:oMath>
      <w:r>
        <w:rPr>
          <w:rFonts w:ascii="宋体" w:hAnsi="宋体" w:eastAsia="宋体"/>
          <w:sz w:val="24"/>
        </w:rPr>
        <w:t>（基准0.6）从对偶视角定义：排斥壁垒使国际组织成员市场获得短期保护性收益，其镜像恰是中国企业承受的壁垒损失，故称壁垒损失参数；由于贸易保护引发反制与福利损失的风险，其量级设定为低于互认收益（Overland和Sabyrbekov，2022）。此外引入四个结构系数：国内实现系数</w:t>
      </w:r>
      <m:oMath>
        <m:r>
          <m:t>η</m:t>
        </m:r>
        <m:r>
          <m:rPr>
            <m:sty m:val="p"/>
          </m:rPr>
          <m:t>=</m:t>
        </m:r>
        <m:r>
          <m:t>0.25</m:t>
        </m:r>
      </m:oMath>
      <w:r>
        <w:rPr>
          <w:rFonts w:ascii="宋体" w:hAnsi="宋体" w:eastAsia="宋体"/>
          <w:sz w:val="24"/>
        </w:rPr>
        <w:t>表示互认缺失时企业绿色收益仅能在国内市场部分实现的比例；摩擦分担系数</w:t>
      </w:r>
      <m:oMath>
        <m:r>
          <m:t>μ</m:t>
        </m:r>
        <m:r>
          <m:rPr>
            <m:sty m:val="p"/>
          </m:rPr>
          <m:t>=</m:t>
        </m:r>
        <m:r>
          <m:t>0.5</m:t>
        </m:r>
      </m:oMath>
      <w:r>
        <w:rPr>
          <w:rFonts w:ascii="宋体" w:hAnsi="宋体" w:eastAsia="宋体"/>
          <w:sz w:val="24"/>
        </w:rPr>
        <w:t>表示摩擦损失中可经第三方认证等途径部分规避后由企业实际承担的份额；互认深度系数</w:t>
      </w:r>
      <m:oMath>
        <m:r>
          <m:t>κ</m:t>
        </m:r>
        <m:r>
          <m:rPr>
            <m:sty m:val="p"/>
          </m:rPr>
          <m:t>=</m:t>
        </m:r>
        <m:r>
          <m:t>0.15</m:t>
        </m:r>
      </m:oMath>
      <w:r>
        <w:rPr>
          <w:rFonts w:ascii="宋体" w:hAnsi="宋体" w:eastAsia="宋体"/>
          <w:sz w:val="24"/>
        </w:rPr>
        <w:t>与协调成本</w:t>
      </w:r>
      <m:oMath>
        <m:sSub>
          <m:e>
            <m:r>
              <m:t>c</m:t>
            </m:r>
          </m:e>
          <m:sub>
            <m:r>
              <m:t>O</m:t>
            </m:r>
          </m:sub>
        </m:sSub>
        <m:r>
          <m:rPr>
            <m:sty m:val="p"/>
          </m:rPr>
          <m:t>=</m:t>
        </m:r>
        <m:r>
          <m:t>0.1</m:t>
        </m:r>
      </m:oMath>
      <w:r>
        <w:rPr>
          <w:rFonts w:ascii="宋体" w:hAnsi="宋体" w:eastAsia="宋体"/>
          <w:sz w:val="24"/>
        </w:rPr>
        <w:t>刻画国际组织接纳衔接的边际收益与固定成本，参照强度</w:t>
      </w:r>
      <m:oMath>
        <m:sSub>
          <m:e>
            <m:r>
              <m:t>Λ</m:t>
            </m:r>
          </m:e>
          <m:sub>
            <m:r>
              <m:t>0</m:t>
            </m:r>
          </m:sub>
        </m:sSub>
        <m:r>
          <m:rPr>
            <m:sty m:val="p"/>
          </m:rPr>
          <m:t>=</m:t>
        </m:r>
        <m:r>
          <m:t>1.6</m:t>
        </m:r>
      </m:oMath>
      <w:r>
        <w:rPr>
          <w:rFonts w:ascii="宋体" w:hAnsi="宋体" w:eastAsia="宋体"/>
          <w:sz w:val="24"/>
        </w:rPr>
        <w:t>取基准情景的国际激励水平，使互认的制度性收益项以基准情景为零点作归一化。</w:t>
      </w:r>
    </w:p>
    <w:p>
      <w:pPr>
        <w:keepNext/>
        <w:spacing w:before="160" w:after="120" w:line="360" w:lineRule="auto"/>
        <w:outlineLvl w:val="2"/>
      </w:pPr>
      <w:r>
        <w:rPr>
          <w:rFonts w:ascii="黑体" w:hAnsi="黑体" w:eastAsia="黑体"/>
          <w:sz w:val="24"/>
        </w:rPr>
        <w:t>7.2.2  八种策略组合下的三方支付</w:t>
      </w:r>
    </w:p>
    <w:p>
      <w:pPr>
        <w:spacing w:line="360" w:lineRule="auto" w:after="0"/>
        <w:ind w:firstLineChars="200" w:firstLine="480"/>
        <w:jc w:val="both"/>
      </w:pPr>
      <w:r>
        <w:rPr>
          <w:rFonts w:ascii="宋体" w:hAnsi="宋体" w:eastAsia="宋体"/>
          <w:sz w:val="24"/>
        </w:rPr>
        <w:t>记</w:t>
      </w:r>
      <m:oMath>
        <m:r>
          <m:t>Λ</m:t>
        </m:r>
        <m:r>
          <m:rPr>
            <m:sty m:val="p"/>
          </m:rPr>
          <m:t>≡</m:t>
        </m:r>
        <m:r>
          <m:t>Δ</m:t>
        </m:r>
        <m:r>
          <m:t>T</m:t>
        </m:r>
        <m:r>
          <m:rPr>
            <m:sty m:val="p"/>
          </m:rPr>
          <m:t>+</m:t>
        </m:r>
        <m:r>
          <m:t>Δ</m:t>
        </m:r>
        <m:r>
          <m:t>M</m:t>
        </m:r>
      </m:oMath>
      <w:r>
        <w:rPr>
          <w:rFonts w:ascii="宋体" w:hAnsi="宋体" w:eastAsia="宋体"/>
          <w:sz w:val="24"/>
        </w:rPr>
        <w:t>为国际激励强度。三方支付的构造逻辑如下。政府：强制推行下合规由行政执法保障，无论企业态度如何，政府均实现合规收益</w:t>
      </w:r>
      <m:oMath>
        <m:sSub>
          <m:e>
            <m:r>
              <m:t>R</m:t>
            </m:r>
          </m:e>
          <m:sub>
            <m:r>
              <m:t>G</m:t>
            </m:r>
          </m:sub>
        </m:sSub>
      </m:oMath>
      <w:r>
        <w:rPr>
          <w:rFonts w:ascii="宋体" w:hAnsi="宋体" w:eastAsia="宋体"/>
          <w:sz w:val="24"/>
        </w:rPr>
        <w:t>并支付执法成本</w:t>
      </w:r>
      <m:oMath>
        <m:sSub>
          <m:e>
            <m:r>
              <m:t>c</m:t>
            </m:r>
          </m:e>
          <m:sub>
            <m:r>
              <m:t>G</m:t>
            </m:r>
          </m:sub>
        </m:sSub>
      </m:oMath>
      <w:r>
        <w:rPr>
          <w:rFonts w:ascii="宋体" w:hAnsi="宋体" w:eastAsia="宋体"/>
          <w:sz w:val="24"/>
        </w:rPr>
        <w:t>；激励引导下政府不再投入执法资源，仅当企业积极响应时实现</w:t>
      </w:r>
      <m:oMath>
        <m:sSub>
          <m:e>
            <m:r>
              <m:t>R</m:t>
            </m:r>
          </m:e>
          <m:sub>
            <m:r>
              <m:t>G</m:t>
            </m:r>
          </m:sub>
        </m:sSub>
      </m:oMath>
      <w:r>
        <w:rPr>
          <w:rFonts w:ascii="宋体" w:hAnsi="宋体" w:eastAsia="宋体"/>
          <w:sz w:val="24"/>
        </w:rPr>
        <w:t>并支付补贴</w:t>
      </w:r>
      <m:oMath>
        <m:r>
          <m:t>s</m:t>
        </m:r>
      </m:oMath>
      <w:r>
        <w:rPr>
          <w:rFonts w:ascii="宋体" w:hAnsi="宋体" w:eastAsia="宋体"/>
          <w:sz w:val="24"/>
        </w:rPr>
        <w:t>，企业观望则既无收益也无支出。企业：被动观望企业维持现状经营，其利润归一化为零——参数</w:t>
      </w:r>
      <m:oMath>
        <m:r>
          <m:t>F</m:t>
        </m:r>
      </m:oMath>
      <w:r>
        <w:rPr>
          <w:rFonts w:ascii="宋体" w:hAnsi="宋体" w:eastAsia="宋体"/>
          <w:sz w:val="24"/>
        </w:rPr>
        <w:t>仅指绿色化投入寻求国际承认过程中发生的摩擦成本，观望企业不发生此类费用；积极响应且国际接纳时，企业获得全额国际激励</w:t>
      </w:r>
      <m:oMath>
        <m:r>
          <m:t>Λ</m:t>
        </m:r>
      </m:oMath>
      <w:r>
        <w:rPr>
          <w:rFonts w:ascii="宋体" w:hAnsi="宋体" w:eastAsia="宋体"/>
          <w:sz w:val="24"/>
        </w:rPr>
        <w:t>与补贴</w:t>
      </w:r>
      <m:oMath>
        <m:r>
          <m:t>s</m:t>
        </m:r>
      </m:oMath>
      <w:r>
        <w:rPr>
          <w:rFonts w:ascii="宋体" w:hAnsi="宋体" w:eastAsia="宋体"/>
          <w:sz w:val="24"/>
        </w:rPr>
        <w:t>、支付遵从成本</w:t>
      </w:r>
      <m:oMath>
        <m:sSub>
          <m:e>
            <m:r>
              <m:t>c</m:t>
            </m:r>
          </m:e>
          <m:sub>
            <m:r>
              <m:t>E</m:t>
            </m:r>
          </m:sub>
        </m:sSub>
      </m:oMath>
      <w:r>
        <w:rPr>
          <w:rFonts w:ascii="宋体" w:hAnsi="宋体" w:eastAsia="宋体"/>
          <w:sz w:val="24"/>
        </w:rPr>
        <w:t>；积极响应但遭排斥时，国际激励仅按国内实现系数</w:t>
      </w:r>
      <m:oMath>
        <m:r>
          <m:t>η</m:t>
        </m:r>
      </m:oMath>
      <w:r>
        <w:rPr>
          <w:rFonts w:ascii="宋体" w:hAnsi="宋体" w:eastAsia="宋体"/>
          <w:sz w:val="24"/>
        </w:rPr>
        <w:t>部分兑现，且需额外承担摩擦损失</w:t>
      </w:r>
      <m:oMath>
        <m:r>
          <m:t>μ</m:t>
        </m:r>
        <m:r>
          <m:t>F</m:t>
        </m:r>
      </m:oMath>
      <w:r>
        <w:rPr>
          <w:rFonts w:ascii="宋体" w:hAnsi="宋体" w:eastAsia="宋体"/>
          <w:sz w:val="24"/>
        </w:rPr>
        <w:t>。补贴</w:t>
      </w:r>
      <m:oMath>
        <m:r>
          <m:t>s</m:t>
        </m:r>
      </m:oMath>
      <w:r>
        <w:rPr>
          <w:rFonts w:ascii="宋体" w:hAnsi="宋体" w:eastAsia="宋体"/>
          <w:sz w:val="24"/>
        </w:rPr>
        <w:t>在两种政府策略下均计入响应企业支付——强制体制下的配套支持已并入</w:t>
      </w:r>
      <m:oMath>
        <m:sSub>
          <m:e>
            <m:r>
              <m:t>c</m:t>
            </m:r>
          </m:e>
          <m:sub>
            <m:r>
              <m:t>G</m:t>
            </m:r>
          </m:sub>
        </m:sSub>
      </m:oMath>
      <w:r>
        <w:rPr>
          <w:rFonts w:ascii="宋体" w:hAnsi="宋体" w:eastAsia="宋体"/>
          <w:sz w:val="24"/>
        </w:rPr>
        <w:t>口径，故</w:t>
      </w:r>
      <m:oMath>
        <m:r>
          <m:t>s</m:t>
        </m:r>
      </m:oMath>
      <w:r>
        <w:rPr>
          <w:rFonts w:ascii="宋体" w:hAnsi="宋体" w:eastAsia="宋体"/>
          <w:sz w:val="24"/>
        </w:rPr>
        <w:t>只构成激励引导策略下政府的边际支出。国际组织：接纳衔接的收益随中国企业响应比例增加（响应企业越多，互认覆盖的贸易量与减排量越大），并含制度性收益</w:t>
      </w:r>
      <m:oMath>
        <m:r>
          <m:t>κ</m:t>
        </m:r>
        <m:d>
          <m:dPr>
            <m:begChr m:val="("/>
            <m:sepChr m:val=""/>
            <m:endChr m:val=")"/>
            <m:grow/>
          </m:dPr>
          <m:e>
            <m:r>
              <m:t>Λ</m:t>
            </m:r>
            <m:r>
              <m:rPr>
                <m:sty m:val="p"/>
              </m:rPr>
              <m:t>−</m:t>
            </m:r>
            <m:sSub>
              <m:e>
                <m:r>
                  <m:t>Λ</m:t>
                </m:r>
              </m:e>
              <m:sub>
                <m:r>
                  <m:t>0</m:t>
                </m:r>
              </m:sub>
            </m:sSub>
          </m:e>
        </m:d>
      </m:oMath>
      <w:r>
        <w:rPr>
          <w:rFonts w:ascii="宋体" w:hAnsi="宋体" w:eastAsia="宋体"/>
          <w:sz w:val="24"/>
        </w:rPr>
        <w:t>与协调成本</w:t>
      </w:r>
      <m:oMath>
        <m:sSub>
          <m:e>
            <m:r>
              <m:t>c</m:t>
            </m:r>
          </m:e>
          <m:sub>
            <m:r>
              <m:t>O</m:t>
            </m:r>
          </m:sub>
        </m:sSub>
      </m:oMath>
      <w:r>
        <w:rPr>
          <w:rFonts w:ascii="宋体" w:hAnsi="宋体" w:eastAsia="宋体"/>
          <w:sz w:val="24"/>
        </w:rPr>
        <w:t>；排斥壁垒仅在企业未达标（观望）时产生保护性收益</w:t>
      </w:r>
      <m:oMath>
        <m:sSub>
          <m:e>
            <m:r>
              <m:t>L</m:t>
            </m:r>
          </m:e>
          <m:sub>
            <m:r>
              <m:t>O</m:t>
            </m:r>
          </m:sub>
        </m:sSub>
      </m:oMath>
      <w:r>
        <w:rPr>
          <w:rFonts w:ascii="宋体" w:hAnsi="宋体" w:eastAsia="宋体"/>
          <w:sz w:val="24"/>
        </w:rPr>
        <w:t>，若企业已积极响应达标，继续排斥既无保护正当性又面临世贸组织合规与声誉压力，收益归零。由此得到表7.1。</w:t>
      </w:r>
    </w:p>
    <w:p>
      <w:pPr>
        <w:keepNext/>
        <w:spacing w:before="160" w:after="40"/>
        <w:jc w:val="center"/>
      </w:pPr>
      <w:r>
        <w:rPr>
          <w:rFonts w:ascii="黑体" w:hAnsi="黑体" w:eastAsia="黑体"/>
          <w:sz w:val="21"/>
        </w:rPr>
        <w:t>表7.1  三方博弈的支付矩阵</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策略组合（G，E，O）</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政府支付</w:t>
            </w:r>
            <m:oMath>
              <m:sSub>
                <m:e>
                  <m:r>
                    <m:t>π</m:t>
                  </m:r>
                </m:e>
                <m:sub>
                  <m:r>
                    <m:t>G</m:t>
                  </m:r>
                </m:sub>
              </m:sSub>
            </m:oMath>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企业支付</w:t>
            </w:r>
            <m:oMath>
              <m:sSub>
                <m:e>
                  <m:r>
                    <m:t>π</m:t>
                  </m:r>
                </m:e>
                <m:sub>
                  <m:r>
                    <m:t>E</m:t>
                  </m:r>
                </m:sub>
              </m:sSub>
            </m:oMath>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国际组织支付</w:t>
            </w:r>
            <m:oMath>
              <m:sSub>
                <m:e>
                  <m:r>
                    <m:t>π</m:t>
                  </m:r>
                </m:e>
                <m:sub>
                  <m:r>
                    <m:t>O</m:t>
                  </m:r>
                </m:sub>
              </m:sSub>
            </m:oMath>
          </w:p>
        </w:tc>
      </w:tr>
      <w:tr>
        <w:tc>
          <w:tcPr>
            <w:tcW w:type="dxa" w:w="2126"/>
            <w:vAlign w:val="center"/>
          </w:tcPr>
          <w:p>
            <w:pPr>
              <w:spacing w:line="240" w:lineRule="auto" w:after="20" w:before="20"/>
              <w:jc w:val="left"/>
            </w:pPr>
            <w:r/>
            <w:r>
              <w:rPr>
                <w:rFonts w:ascii="宋体" w:hAnsi="宋体" w:eastAsia="宋体"/>
                <w:sz w:val="21"/>
              </w:rPr>
              <w:t>（强制推行，积极响应，接纳衔接）</w:t>
            </w:r>
          </w:p>
        </w:tc>
        <w:tc>
          <w:tcPr>
            <w:tcW w:type="dxa" w:w="2126"/>
            <w:vAlign w:val="center"/>
          </w:tcPr>
          <w:p>
            <w:pPr>
              <w:spacing w:line="240" w:lineRule="auto" w:after="20" w:before="20"/>
              <w:jc w:val="center"/>
            </w:pPr>
            <w:r/>
            <m:oMath>
              <m:sSub>
                <m:e>
                  <m:r>
                    <m:t>R</m:t>
                  </m:r>
                </m:e>
                <m:sub>
                  <m:r>
                    <m:t>G</m:t>
                  </m:r>
                </m:sub>
              </m:sSub>
              <m:r>
                <m:rPr>
                  <m:sty m:val="p"/>
                </m:rPr>
                <m:t>−</m:t>
              </m:r>
              <m:sSub>
                <m:e>
                  <m:r>
                    <m:t>c</m:t>
                  </m:r>
                </m:e>
                <m:sub>
                  <m:r>
                    <m:t>G</m:t>
                  </m:r>
                </m:sub>
              </m:sSub>
            </m:oMath>
          </w:p>
        </w:tc>
        <w:tc>
          <w:tcPr>
            <w:tcW w:type="dxa" w:w="2126"/>
            <w:vAlign w:val="center"/>
          </w:tcPr>
          <w:p>
            <w:pPr>
              <w:spacing w:line="240" w:lineRule="auto" w:after="20" w:before="20"/>
              <w:jc w:val="center"/>
            </w:pPr>
            <w:r/>
            <m:oMath>
              <m:r>
                <m:t>Λ</m:t>
              </m:r>
              <m:r>
                <m:rPr>
                  <m:sty m:val="p"/>
                </m:rPr>
                <m:t>+</m:t>
              </m:r>
              <m:r>
                <m:t>s</m:t>
              </m:r>
              <m:r>
                <m:rPr>
                  <m:sty m:val="p"/>
                </m:rPr>
                <m:t>−</m:t>
              </m:r>
              <m:sSub>
                <m:e>
                  <m:r>
                    <m:t>c</m:t>
                  </m:r>
                </m:e>
                <m:sub>
                  <m:r>
                    <m:t>E</m:t>
                  </m:r>
                </m:sub>
              </m:sSub>
            </m:oMath>
          </w:p>
        </w:tc>
        <w:tc>
          <w:tcPr>
            <w:tcW w:type="dxa" w:w="2126"/>
            <w:vAlign w:val="center"/>
          </w:tcPr>
          <w:p>
            <w:pPr>
              <w:spacing w:line="240" w:lineRule="auto" w:after="20" w:before="20"/>
              <w:jc w:val="center"/>
            </w:pPr>
            <w:r/>
            <m:oMath>
              <m:sSub>
                <m:e>
                  <m:r>
                    <m:t>R</m:t>
                  </m:r>
                </m:e>
                <m:sub>
                  <m:r>
                    <m:t>O</m:t>
                  </m:r>
                </m:sub>
              </m:sSub>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oMath>
          </w:p>
        </w:tc>
      </w:tr>
      <w:tr>
        <w:tc>
          <w:tcPr>
            <w:tcW w:type="dxa" w:w="2126"/>
            <w:vAlign w:val="center"/>
          </w:tcPr>
          <w:p>
            <w:pPr>
              <w:spacing w:line="240" w:lineRule="auto" w:after="20" w:before="20"/>
              <w:jc w:val="left"/>
            </w:pPr>
            <w:r/>
            <w:r>
              <w:rPr>
                <w:rFonts w:ascii="宋体" w:hAnsi="宋体" w:eastAsia="宋体"/>
                <w:sz w:val="21"/>
              </w:rPr>
              <w:t>（强制推行，积极响应，排斥壁垒）</w:t>
            </w:r>
          </w:p>
        </w:tc>
        <w:tc>
          <w:tcPr>
            <w:tcW w:type="dxa" w:w="2126"/>
            <w:vAlign w:val="center"/>
          </w:tcPr>
          <w:p>
            <w:pPr>
              <w:spacing w:line="240" w:lineRule="auto" w:after="20" w:before="20"/>
              <w:jc w:val="center"/>
            </w:pPr>
            <w:r/>
            <m:oMath>
              <m:sSub>
                <m:e>
                  <m:r>
                    <m:t>R</m:t>
                  </m:r>
                </m:e>
                <m:sub>
                  <m:r>
                    <m:t>G</m:t>
                  </m:r>
                </m:sub>
              </m:sSub>
              <m:r>
                <m:rPr>
                  <m:sty m:val="p"/>
                </m:rPr>
                <m:t>−</m:t>
              </m:r>
              <m:sSub>
                <m:e>
                  <m:r>
                    <m:t>c</m:t>
                  </m:r>
                </m:e>
                <m:sub>
                  <m:r>
                    <m:t>G</m:t>
                  </m:r>
                </m:sub>
              </m:sSub>
            </m:oMath>
          </w:p>
        </w:tc>
        <w:tc>
          <w:tcPr>
            <w:tcW w:type="dxa" w:w="2126"/>
            <w:vAlign w:val="center"/>
          </w:tcPr>
          <w:p>
            <w:pPr>
              <w:spacing w:line="240" w:lineRule="auto" w:after="20" w:before="20"/>
              <w:jc w:val="center"/>
            </w:pPr>
            <w:r/>
            <m:oMath>
              <m:r>
                <m:t>η</m:t>
              </m:r>
              <m:r>
                <m:t>Λ</m:t>
              </m:r>
              <m:r>
                <m:rPr>
                  <m:sty m:val="p"/>
                </m:rPr>
                <m:t>+</m:t>
              </m:r>
              <m:r>
                <m:t>s</m:t>
              </m:r>
              <m:r>
                <m:rPr>
                  <m:sty m:val="p"/>
                </m:rPr>
                <m:t>−</m:t>
              </m:r>
              <m:sSub>
                <m:e>
                  <m:r>
                    <m:t>c</m:t>
                  </m:r>
                </m:e>
                <m:sub>
                  <m:r>
                    <m:t>E</m:t>
                  </m:r>
                </m:sub>
              </m:sSub>
              <m:r>
                <m:rPr>
                  <m:sty m:val="p"/>
                </m:rPr>
                <m:t>−</m:t>
              </m:r>
              <m:r>
                <m:t>μ</m:t>
              </m:r>
              <m:r>
                <m:t>F</m:t>
              </m:r>
            </m:oMath>
          </w:p>
        </w:tc>
        <w:tc>
          <w:tcPr>
            <w:tcW w:type="dxa" w:w="2126"/>
            <w:vAlign w:val="center"/>
          </w:tcPr>
          <w:p>
            <w:pPr>
              <w:spacing w:line="240" w:lineRule="auto" w:after="20" w:before="20"/>
              <w:jc w:val="center"/>
            </w:pPr>
            <w:r/>
            <m:oMath>
              <m:r>
                <m:t>0</m:t>
              </m:r>
            </m:oMath>
          </w:p>
        </w:tc>
      </w:tr>
      <w:tr>
        <w:tc>
          <w:tcPr>
            <w:tcW w:type="dxa" w:w="2126"/>
            <w:vAlign w:val="center"/>
          </w:tcPr>
          <w:p>
            <w:pPr>
              <w:spacing w:line="240" w:lineRule="auto" w:after="20" w:before="20"/>
              <w:jc w:val="left"/>
            </w:pPr>
            <w:r/>
            <w:r>
              <w:rPr>
                <w:rFonts w:ascii="宋体" w:hAnsi="宋体" w:eastAsia="宋体"/>
                <w:sz w:val="21"/>
              </w:rPr>
              <w:t>（强制推行，被动观望，接纳衔接）</w:t>
            </w:r>
          </w:p>
        </w:tc>
        <w:tc>
          <w:tcPr>
            <w:tcW w:type="dxa" w:w="2126"/>
            <w:vAlign w:val="center"/>
          </w:tcPr>
          <w:p>
            <w:pPr>
              <w:spacing w:line="240" w:lineRule="auto" w:after="20" w:before="20"/>
              <w:jc w:val="center"/>
            </w:pPr>
            <w:r/>
            <m:oMath>
              <m:sSub>
                <m:e>
                  <m:r>
                    <m:t>R</m:t>
                  </m:r>
                </m:e>
                <m:sub>
                  <m:r>
                    <m:t>G</m:t>
                  </m:r>
                </m:sub>
              </m:sSub>
              <m:r>
                <m:rPr>
                  <m:sty m:val="p"/>
                </m:rPr>
                <m:t>−</m:t>
              </m:r>
              <m:sSub>
                <m:e>
                  <m:r>
                    <m:t>c</m:t>
                  </m:r>
                </m:e>
                <m:sub>
                  <m:r>
                    <m:t>G</m:t>
                  </m:r>
                </m:sub>
              </m:sSub>
            </m:oMath>
          </w:p>
        </w:tc>
        <w:tc>
          <w:tcPr>
            <w:tcW w:type="dxa" w:w="2126"/>
            <w:vAlign w:val="center"/>
          </w:tcPr>
          <w:p>
            <w:pPr>
              <w:spacing w:line="240" w:lineRule="auto" w:after="20" w:before="20"/>
              <w:jc w:val="center"/>
            </w:pPr>
            <w:r/>
            <m:oMath>
              <m:r>
                <m:t>0</m:t>
              </m:r>
            </m:oMath>
          </w:p>
        </w:tc>
        <w:tc>
          <w:tcPr>
            <w:tcW w:type="dxa" w:w="2126"/>
            <w:vAlign w:val="center"/>
          </w:tcPr>
          <w:p>
            <w:pPr>
              <w:spacing w:line="240" w:lineRule="auto" w:after="20" w:before="20"/>
              <w:jc w:val="center"/>
            </w:pPr>
            <w:r/>
            <m:oMath>
              <m:r>
                <m:t>κ</m:t>
              </m:r>
              <m:d>
                <m:dPr>
                  <m:begChr m:val="("/>
                  <m:sepChr m:val=""/>
                  <m:endChr m:val=")"/>
                  <m:grow/>
                </m:dPr>
                <m:e>
                  <m:r>
                    <m:t>Λ</m:t>
                  </m:r>
                  <m:r>
                    <m:rPr>
                      <m:sty m:val="p"/>
                    </m:rPr>
                    <m:t>−</m:t>
                  </m:r>
                  <m:sSub>
                    <m:e>
                      <m:r>
                        <m:t>Λ</m:t>
                      </m:r>
                    </m:e>
                    <m:sub>
                      <m:r>
                        <m:t>0</m:t>
                      </m:r>
                    </m:sub>
                  </m:sSub>
                </m:e>
              </m:d>
              <m:r>
                <m:rPr>
                  <m:sty m:val="p"/>
                </m:rPr>
                <m:t>−</m:t>
              </m:r>
              <m:sSub>
                <m:e>
                  <m:r>
                    <m:t>c</m:t>
                  </m:r>
                </m:e>
                <m:sub>
                  <m:r>
                    <m:t>O</m:t>
                  </m:r>
                </m:sub>
              </m:sSub>
            </m:oMath>
          </w:p>
        </w:tc>
      </w:tr>
      <w:tr>
        <w:tc>
          <w:tcPr>
            <w:tcW w:type="dxa" w:w="2126"/>
            <w:vAlign w:val="center"/>
          </w:tcPr>
          <w:p>
            <w:pPr>
              <w:spacing w:line="240" w:lineRule="auto" w:after="20" w:before="20"/>
              <w:jc w:val="left"/>
            </w:pPr>
            <w:r/>
            <w:r>
              <w:rPr>
                <w:rFonts w:ascii="宋体" w:hAnsi="宋体" w:eastAsia="宋体"/>
                <w:sz w:val="21"/>
              </w:rPr>
              <w:t>（强制推行，被动观望，排斥壁垒）</w:t>
            </w:r>
          </w:p>
        </w:tc>
        <w:tc>
          <w:tcPr>
            <w:tcW w:type="dxa" w:w="2126"/>
            <w:vAlign w:val="center"/>
          </w:tcPr>
          <w:p>
            <w:pPr>
              <w:spacing w:line="240" w:lineRule="auto" w:after="20" w:before="20"/>
              <w:jc w:val="center"/>
            </w:pPr>
            <w:r/>
            <m:oMath>
              <m:sSub>
                <m:e>
                  <m:r>
                    <m:t>R</m:t>
                  </m:r>
                </m:e>
                <m:sub>
                  <m:r>
                    <m:t>G</m:t>
                  </m:r>
                </m:sub>
              </m:sSub>
              <m:r>
                <m:rPr>
                  <m:sty m:val="p"/>
                </m:rPr>
                <m:t>−</m:t>
              </m:r>
              <m:sSub>
                <m:e>
                  <m:r>
                    <m:t>c</m:t>
                  </m:r>
                </m:e>
                <m:sub>
                  <m:r>
                    <m:t>G</m:t>
                  </m:r>
                </m:sub>
              </m:sSub>
            </m:oMath>
          </w:p>
        </w:tc>
        <w:tc>
          <w:tcPr>
            <w:tcW w:type="dxa" w:w="2126"/>
            <w:vAlign w:val="center"/>
          </w:tcPr>
          <w:p>
            <w:pPr>
              <w:spacing w:line="240" w:lineRule="auto" w:after="20" w:before="20"/>
              <w:jc w:val="center"/>
            </w:pPr>
            <w:r/>
            <m:oMath>
              <m:r>
                <m:t>0</m:t>
              </m:r>
            </m:oMath>
          </w:p>
        </w:tc>
        <w:tc>
          <w:tcPr>
            <w:tcW w:type="dxa" w:w="2126"/>
            <w:vAlign w:val="center"/>
          </w:tcPr>
          <w:p>
            <w:pPr>
              <w:spacing w:line="240" w:lineRule="auto" w:after="20" w:before="20"/>
              <w:jc w:val="center"/>
            </w:pPr>
            <w:r/>
            <m:oMath>
              <m:sSub>
                <m:e>
                  <m:r>
                    <m:t>L</m:t>
                  </m:r>
                </m:e>
                <m:sub>
                  <m:r>
                    <m:t>O</m:t>
                  </m:r>
                </m:sub>
              </m:sSub>
            </m:oMath>
          </w:p>
        </w:tc>
      </w:tr>
      <w:tr>
        <w:tc>
          <w:tcPr>
            <w:tcW w:type="dxa" w:w="2126"/>
            <w:vAlign w:val="center"/>
          </w:tcPr>
          <w:p>
            <w:pPr>
              <w:spacing w:line="240" w:lineRule="auto" w:after="20" w:before="20"/>
              <w:jc w:val="left"/>
            </w:pPr>
            <w:r/>
            <w:r>
              <w:rPr>
                <w:rFonts w:ascii="宋体" w:hAnsi="宋体" w:eastAsia="宋体"/>
                <w:sz w:val="21"/>
              </w:rPr>
              <w:t>（激励引导，积极响应，接纳衔接）</w:t>
            </w:r>
          </w:p>
        </w:tc>
        <w:tc>
          <w:tcPr>
            <w:tcW w:type="dxa" w:w="2126"/>
            <w:vAlign w:val="center"/>
          </w:tcPr>
          <w:p>
            <w:pPr>
              <w:spacing w:line="240" w:lineRule="auto" w:after="20" w:before="20"/>
              <w:jc w:val="center"/>
            </w:pPr>
            <w:r/>
            <m:oMath>
              <m:sSub>
                <m:e>
                  <m:r>
                    <m:t>R</m:t>
                  </m:r>
                </m:e>
                <m:sub>
                  <m:r>
                    <m:t>G</m:t>
                  </m:r>
                </m:sub>
              </m:sSub>
              <m:r>
                <m:rPr>
                  <m:sty m:val="p"/>
                </m:rPr>
                <m:t>−</m:t>
              </m:r>
              <m:r>
                <m:t>s</m:t>
              </m:r>
            </m:oMath>
          </w:p>
        </w:tc>
        <w:tc>
          <w:tcPr>
            <w:tcW w:type="dxa" w:w="2126"/>
            <w:vAlign w:val="center"/>
          </w:tcPr>
          <w:p>
            <w:pPr>
              <w:spacing w:line="240" w:lineRule="auto" w:after="20" w:before="20"/>
              <w:jc w:val="center"/>
            </w:pPr>
            <w:r/>
            <m:oMath>
              <m:r>
                <m:t>Λ</m:t>
              </m:r>
              <m:r>
                <m:rPr>
                  <m:sty m:val="p"/>
                </m:rPr>
                <m:t>+</m:t>
              </m:r>
              <m:r>
                <m:t>s</m:t>
              </m:r>
              <m:r>
                <m:rPr>
                  <m:sty m:val="p"/>
                </m:rPr>
                <m:t>−</m:t>
              </m:r>
              <m:sSub>
                <m:e>
                  <m:r>
                    <m:t>c</m:t>
                  </m:r>
                </m:e>
                <m:sub>
                  <m:r>
                    <m:t>E</m:t>
                  </m:r>
                </m:sub>
              </m:sSub>
            </m:oMath>
          </w:p>
        </w:tc>
        <w:tc>
          <w:tcPr>
            <w:tcW w:type="dxa" w:w="2126"/>
            <w:vAlign w:val="center"/>
          </w:tcPr>
          <w:p>
            <w:pPr>
              <w:spacing w:line="240" w:lineRule="auto" w:after="20" w:before="20"/>
              <w:jc w:val="center"/>
            </w:pPr>
            <w:r/>
            <m:oMath>
              <m:sSub>
                <m:e>
                  <m:r>
                    <m:t>R</m:t>
                  </m:r>
                </m:e>
                <m:sub>
                  <m:r>
                    <m:t>O</m:t>
                  </m:r>
                </m:sub>
              </m:sSub>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oMath>
          </w:p>
        </w:tc>
      </w:tr>
      <w:tr>
        <w:tc>
          <w:tcPr>
            <w:tcW w:type="dxa" w:w="2126"/>
            <w:vAlign w:val="center"/>
          </w:tcPr>
          <w:p>
            <w:pPr>
              <w:spacing w:line="240" w:lineRule="auto" w:after="20" w:before="20"/>
              <w:jc w:val="left"/>
            </w:pPr>
            <w:r/>
            <w:r>
              <w:rPr>
                <w:rFonts w:ascii="宋体" w:hAnsi="宋体" w:eastAsia="宋体"/>
                <w:sz w:val="21"/>
              </w:rPr>
              <w:t>（激励引导，积极响应，排斥壁垒）</w:t>
            </w:r>
          </w:p>
        </w:tc>
        <w:tc>
          <w:tcPr>
            <w:tcW w:type="dxa" w:w="2126"/>
            <w:vAlign w:val="center"/>
          </w:tcPr>
          <w:p>
            <w:pPr>
              <w:spacing w:line="240" w:lineRule="auto" w:after="20" w:before="20"/>
              <w:jc w:val="center"/>
            </w:pPr>
            <w:r/>
            <m:oMath>
              <m:sSub>
                <m:e>
                  <m:r>
                    <m:t>R</m:t>
                  </m:r>
                </m:e>
                <m:sub>
                  <m:r>
                    <m:t>G</m:t>
                  </m:r>
                </m:sub>
              </m:sSub>
              <m:r>
                <m:rPr>
                  <m:sty m:val="p"/>
                </m:rPr>
                <m:t>−</m:t>
              </m:r>
              <m:r>
                <m:t>s</m:t>
              </m:r>
            </m:oMath>
          </w:p>
        </w:tc>
        <w:tc>
          <w:tcPr>
            <w:tcW w:type="dxa" w:w="2126"/>
            <w:vAlign w:val="center"/>
          </w:tcPr>
          <w:p>
            <w:pPr>
              <w:spacing w:line="240" w:lineRule="auto" w:after="20" w:before="20"/>
              <w:jc w:val="center"/>
            </w:pPr>
            <w:r/>
            <m:oMath>
              <m:r>
                <m:t>η</m:t>
              </m:r>
              <m:r>
                <m:t>Λ</m:t>
              </m:r>
              <m:r>
                <m:rPr>
                  <m:sty m:val="p"/>
                </m:rPr>
                <m:t>+</m:t>
              </m:r>
              <m:r>
                <m:t>s</m:t>
              </m:r>
              <m:r>
                <m:rPr>
                  <m:sty m:val="p"/>
                </m:rPr>
                <m:t>−</m:t>
              </m:r>
              <m:sSub>
                <m:e>
                  <m:r>
                    <m:t>c</m:t>
                  </m:r>
                </m:e>
                <m:sub>
                  <m:r>
                    <m:t>E</m:t>
                  </m:r>
                </m:sub>
              </m:sSub>
              <m:r>
                <m:rPr>
                  <m:sty m:val="p"/>
                </m:rPr>
                <m:t>−</m:t>
              </m:r>
              <m:r>
                <m:t>μ</m:t>
              </m:r>
              <m:r>
                <m:t>F</m:t>
              </m:r>
            </m:oMath>
          </w:p>
        </w:tc>
        <w:tc>
          <w:tcPr>
            <w:tcW w:type="dxa" w:w="2126"/>
            <w:vAlign w:val="center"/>
          </w:tcPr>
          <w:p>
            <w:pPr>
              <w:spacing w:line="240" w:lineRule="auto" w:after="20" w:before="20"/>
              <w:jc w:val="center"/>
            </w:pPr>
            <w:r/>
            <m:oMath>
              <m:r>
                <m:t>0</m:t>
              </m:r>
            </m:oMath>
          </w:p>
        </w:tc>
      </w:tr>
      <w:tr>
        <w:tc>
          <w:tcPr>
            <w:tcW w:type="dxa" w:w="2126"/>
            <w:vAlign w:val="center"/>
          </w:tcPr>
          <w:p>
            <w:pPr>
              <w:spacing w:line="240" w:lineRule="auto" w:after="20" w:before="20"/>
              <w:jc w:val="left"/>
            </w:pPr>
            <w:r/>
            <w:r>
              <w:rPr>
                <w:rFonts w:ascii="宋体" w:hAnsi="宋体" w:eastAsia="宋体"/>
                <w:sz w:val="21"/>
              </w:rPr>
              <w:t>（激励引导，被动观望，接纳衔接）</w:t>
            </w:r>
          </w:p>
        </w:tc>
        <w:tc>
          <w:tcPr>
            <w:tcW w:type="dxa" w:w="2126"/>
            <w:vAlign w:val="center"/>
          </w:tcPr>
          <w:p>
            <w:pPr>
              <w:spacing w:line="240" w:lineRule="auto" w:after="20" w:before="20"/>
              <w:jc w:val="center"/>
            </w:pPr>
            <w:r/>
            <m:oMath>
              <m:r>
                <m:t>0</m:t>
              </m:r>
            </m:oMath>
          </w:p>
        </w:tc>
        <w:tc>
          <w:tcPr>
            <w:tcW w:type="dxa" w:w="2126"/>
            <w:vAlign w:val="center"/>
          </w:tcPr>
          <w:p>
            <w:pPr>
              <w:spacing w:line="240" w:lineRule="auto" w:after="20" w:before="20"/>
              <w:jc w:val="center"/>
            </w:pPr>
            <w:r/>
            <m:oMath>
              <m:r>
                <m:t>0</m:t>
              </m:r>
            </m:oMath>
          </w:p>
        </w:tc>
        <w:tc>
          <w:tcPr>
            <w:tcW w:type="dxa" w:w="2126"/>
            <w:vAlign w:val="center"/>
          </w:tcPr>
          <w:p>
            <w:pPr>
              <w:spacing w:line="240" w:lineRule="auto" w:after="20" w:before="20"/>
              <w:jc w:val="center"/>
            </w:pPr>
            <w:r/>
            <m:oMath>
              <m:r>
                <m:t>κ</m:t>
              </m:r>
              <m:d>
                <m:dPr>
                  <m:begChr m:val="("/>
                  <m:sepChr m:val=""/>
                  <m:endChr m:val=")"/>
                  <m:grow/>
                </m:dPr>
                <m:e>
                  <m:r>
                    <m:t>Λ</m:t>
                  </m:r>
                  <m:r>
                    <m:rPr>
                      <m:sty m:val="p"/>
                    </m:rPr>
                    <m:t>−</m:t>
                  </m:r>
                  <m:sSub>
                    <m:e>
                      <m:r>
                        <m:t>Λ</m:t>
                      </m:r>
                    </m:e>
                    <m:sub>
                      <m:r>
                        <m:t>0</m:t>
                      </m:r>
                    </m:sub>
                  </m:sSub>
                </m:e>
              </m:d>
              <m:r>
                <m:rPr>
                  <m:sty m:val="p"/>
                </m:rPr>
                <m:t>−</m:t>
              </m:r>
              <m:sSub>
                <m:e>
                  <m:r>
                    <m:t>c</m:t>
                  </m:r>
                </m:e>
                <m:sub>
                  <m:r>
                    <m:t>O</m:t>
                  </m:r>
                </m:sub>
              </m:sSub>
            </m:oMath>
          </w:p>
        </w:tc>
      </w:tr>
      <w:tr>
        <w:tc>
          <w:tcPr>
            <w:tcW w:type="dxa" w:w="2126"/>
            <w:vAlign w:val="center"/>
          </w:tcPr>
          <w:p>
            <w:pPr>
              <w:spacing w:line="240" w:lineRule="auto" w:after="20" w:before="20"/>
              <w:jc w:val="left"/>
            </w:pPr>
            <w:r/>
            <w:r>
              <w:rPr>
                <w:rFonts w:ascii="宋体" w:hAnsi="宋体" w:eastAsia="宋体"/>
                <w:sz w:val="21"/>
              </w:rPr>
              <w:t>（激励引导，被动观望，排斥壁垒）</w:t>
            </w:r>
          </w:p>
        </w:tc>
        <w:tc>
          <w:tcPr>
            <w:tcW w:type="dxa" w:w="2126"/>
            <w:vAlign w:val="center"/>
          </w:tcPr>
          <w:p>
            <w:pPr>
              <w:spacing w:line="240" w:lineRule="auto" w:after="20" w:before="20"/>
              <w:jc w:val="center"/>
            </w:pPr>
            <w:r/>
            <m:oMath>
              <m:r>
                <m:t>0</m:t>
              </m:r>
            </m:oMath>
          </w:p>
        </w:tc>
        <w:tc>
          <w:tcPr>
            <w:tcW w:type="dxa" w:w="2126"/>
            <w:vAlign w:val="center"/>
          </w:tcPr>
          <w:p>
            <w:pPr>
              <w:spacing w:line="240" w:lineRule="auto" w:after="20" w:before="20"/>
              <w:jc w:val="center"/>
            </w:pPr>
            <w:r/>
            <m:oMath>
              <m:r>
                <m:t>0</m:t>
              </m:r>
            </m:oMath>
          </w:p>
        </w:tc>
        <w:tc>
          <w:tcPr>
            <w:tcW w:type="dxa" w:w="2126"/>
            <w:vAlign w:val="center"/>
          </w:tcPr>
          <w:p>
            <w:pPr>
              <w:spacing w:line="240" w:lineRule="auto" w:after="20" w:before="20"/>
              <w:jc w:val="center"/>
            </w:pPr>
            <w:r/>
            <m:oMath>
              <m:sSub>
                <m:e>
                  <m:r>
                    <m:t>L</m:t>
                  </m:r>
                </m:e>
                <m:sub>
                  <m:r>
                    <m:t>O</m:t>
                  </m:r>
                </m:sub>
              </m:sSub>
            </m:oMath>
          </w:p>
        </w:tc>
      </w:tr>
    </w:tbl>
    <w:p>
      <w:pPr>
        <w:spacing w:after="200" w:line="240" w:lineRule="auto"/>
      </w:pPr>
      <w:r>
        <w:rPr>
          <w:rFonts w:ascii="宋体" w:hAnsi="宋体" w:eastAsia="宋体"/>
          <w:sz w:val="18"/>
        </w:rPr>
        <w:t>注：</w:t>
      </w:r>
      <m:oMath>
        <m:r>
          <m:t>Λ</m:t>
        </m:r>
        <m:r>
          <m:rPr>
            <m:sty m:val="p"/>
          </m:rPr>
          <m:t>≡</m:t>
        </m:r>
        <m:r>
          <m:t>Δ</m:t>
        </m:r>
        <m:r>
          <m:t>T</m:t>
        </m:r>
        <m:r>
          <m:rPr>
            <m:sty m:val="p"/>
          </m:rPr>
          <m:t>+</m:t>
        </m:r>
        <m:r>
          <m:t>Δ</m:t>
        </m:r>
        <m:r>
          <m:t>M</m:t>
        </m:r>
      </m:oMath>
      <w:r>
        <w:rPr>
          <w:rFonts w:ascii="宋体" w:hAnsi="宋体" w:eastAsia="宋体"/>
          <w:sz w:val="18"/>
        </w:rPr>
        <w:t>为国际激励强度；</w:t>
      </w:r>
      <m:oMath>
        <m:r>
          <m:t>η</m:t>
        </m:r>
      </m:oMath>
      <w:r>
        <w:rPr>
          <w:rFonts w:ascii="宋体" w:hAnsi="宋体" w:eastAsia="宋体"/>
          <w:sz w:val="18"/>
        </w:rPr>
        <w:t>为国内实现系数，</w:t>
      </w:r>
      <m:oMath>
        <m:r>
          <m:t>μ</m:t>
        </m:r>
      </m:oMath>
      <w:r>
        <w:rPr>
          <w:rFonts w:ascii="宋体" w:hAnsi="宋体" w:eastAsia="宋体"/>
          <w:sz w:val="18"/>
        </w:rPr>
        <w:t>为摩擦分担系数，</w:t>
      </w:r>
      <m:oMath>
        <m:r>
          <m:t>κ</m:t>
        </m:r>
      </m:oMath>
      <w:r>
        <w:rPr>
          <w:rFonts w:ascii="宋体" w:hAnsi="宋体" w:eastAsia="宋体"/>
          <w:sz w:val="18"/>
        </w:rPr>
        <w:t>为互认深度系数，</w:t>
      </w:r>
      <m:oMath>
        <m:sSub>
          <m:e>
            <m:r>
              <m:t>c</m:t>
            </m:r>
          </m:e>
          <m:sub>
            <m:r>
              <m:t>O</m:t>
            </m:r>
          </m:sub>
        </m:sSub>
      </m:oMath>
      <w:r>
        <w:rPr>
          <w:rFonts w:ascii="宋体" w:hAnsi="宋体" w:eastAsia="宋体"/>
          <w:sz w:val="18"/>
        </w:rPr>
        <w:t>为协调成本，</w:t>
      </w:r>
      <m:oMath>
        <m:sSub>
          <m:e>
            <m:r>
              <m:t>Λ</m:t>
            </m:r>
          </m:e>
          <m:sub>
            <m:r>
              <m:t>0</m:t>
            </m:r>
          </m:sub>
        </m:sSub>
      </m:oMath>
      <w:r>
        <w:rPr>
          <w:rFonts w:ascii="宋体" w:hAnsi="宋体" w:eastAsia="宋体"/>
          <w:sz w:val="18"/>
        </w:rPr>
        <w:t>为参照强度。数据来源：作者依据7.2节支付设定构建。</w:t>
      </w:r>
    </w:p>
    <w:p>
      <w:pPr>
        <w:spacing w:line="360" w:lineRule="auto" w:after="0"/>
        <w:ind w:firstLineChars="200" w:firstLine="480"/>
        <w:jc w:val="both"/>
      </w:pPr>
      <w:r>
        <w:rPr>
          <w:rFonts w:ascii="宋体" w:hAnsi="宋体" w:eastAsia="宋体"/>
          <w:sz w:val="24"/>
        </w:rPr>
        <w:t>表7.1呈现出三个值得注意的结构特征。其一，支付的“链式”依赖：政府支付只取决于自身与企业的策略，企业支付只取决于自身与国际组织的策略，国际组织支付只取决于自身与企业的策略——企业处在传导链的枢纽位置，政府与国际组织的博弈经由企业行为间接耦合。这一结构并非简化的权宜，而是对现实传导机制的提炼：国际规则不直接约束中国政府，而是通过改变企业的出口成本重塑其行为；政府政策也不直接说服国际组织，而是通过塑造企业的达标水平改变互认谈判的筹码。其二，互认的杠杆作用：企业积极响应的支付在接纳与排斥两种情形之间相差</w:t>
      </w:r>
      <m:oMath>
        <m:d>
          <m:dPr>
            <m:begChr m:val="("/>
            <m:sepChr m:val=""/>
            <m:endChr m:val=")"/>
            <m:grow/>
          </m:dPr>
          <m:e>
            <m:r>
              <m:t>1</m:t>
            </m:r>
            <m:r>
              <m:rPr>
                <m:sty m:val="p"/>
              </m:rPr>
              <m:t>−</m:t>
            </m:r>
            <m:r>
              <m:t>η</m:t>
            </m:r>
          </m:e>
        </m:d>
        <m:r>
          <m:t>Λ</m:t>
        </m:r>
        <m:r>
          <m:rPr>
            <m:sty m:val="p"/>
          </m:rPr>
          <m:t>+</m:t>
        </m:r>
        <m:r>
          <m:t>μ</m:t>
        </m:r>
        <m:r>
          <m:t>F</m:t>
        </m:r>
      </m:oMath>
      <w:r>
        <w:rPr>
          <w:rFonts w:ascii="宋体" w:hAnsi="宋体" w:eastAsia="宋体"/>
          <w:sz w:val="24"/>
        </w:rPr>
        <w:t>，基准参数下达2.0个效用单位，国际组织的单一策略选择足以逆转企业绿色化投入的盈亏。其三，保护收益的条件性：排斥壁垒只在中国企业未达标时才有利可图，一旦响应比例上升，壁垒策略的相对收益即被侵蚀，这为后文“响应—接纳”正反馈埋下伏笔。以基准参数为例，组合（强制推行，积极响应，接纳衔接）下三方支付为（0.2，1.2，0.9），而组合（激励引导，被动观望，排斥壁垒）下为（0，0，0.6）——前者是三方总福利最高的合作结构，后者则是低水平的非合作陷阱，博弈分析的核心问题正是刻画系统在何种条件下从后者走向前者。</w:t>
      </w:r>
    </w:p>
    <w:p>
      <w:pPr>
        <w:keepNext/>
        <w:spacing w:before="160" w:after="120" w:line="360" w:lineRule="auto"/>
        <w:outlineLvl w:val="1"/>
      </w:pPr>
      <w:r>
        <w:rPr>
          <w:rFonts w:ascii="黑体" w:hAnsi="黑体" w:eastAsia="黑体"/>
          <w:sz w:val="28"/>
        </w:rPr>
        <w:t>7.3  复制动态方程组推导</w:t>
      </w:r>
    </w:p>
    <w:p>
      <w:pPr>
        <w:keepNext/>
        <w:spacing w:before="160" w:after="120" w:line="360" w:lineRule="auto"/>
        <w:outlineLvl w:val="2"/>
      </w:pPr>
      <w:r>
        <w:rPr>
          <w:rFonts w:ascii="黑体" w:hAnsi="黑体" w:eastAsia="黑体"/>
          <w:sz w:val="24"/>
        </w:rPr>
        <w:t>7.3.1  政府策略的复制动态方程</w:t>
      </w:r>
    </w:p>
    <w:p>
      <w:pPr>
        <w:spacing w:line="360" w:lineRule="auto" w:after="0"/>
        <w:ind w:firstLineChars="200" w:firstLine="480"/>
        <w:jc w:val="both"/>
      </w:pPr>
      <w:r>
        <w:rPr>
          <w:rFonts w:ascii="宋体" w:hAnsi="宋体" w:eastAsia="宋体"/>
          <w:sz w:val="24"/>
        </w:rPr>
        <w:t>由表7.1计算政府两种策略的期望收益。政府选择强制推行时，无论企业与国际组织如何行动，支付恒为</w:t>
      </w:r>
      <m:oMath>
        <m:sSub>
          <m:e>
            <m:r>
              <m:t>R</m:t>
            </m:r>
          </m:e>
          <m:sub>
            <m:r>
              <m:t>G</m:t>
            </m:r>
          </m:sub>
        </m:sSub>
        <m:r>
          <m:rPr>
            <m:sty m:val="p"/>
          </m:rPr>
          <m:t>−</m:t>
        </m:r>
        <m:sSub>
          <m:e>
            <m:r>
              <m:t>c</m:t>
            </m:r>
          </m:e>
          <m:sub>
            <m:r>
              <m:t>G</m:t>
            </m:r>
          </m:sub>
        </m:sSub>
      </m:oMath>
      <w:r>
        <w:rPr>
          <w:rFonts w:ascii="宋体" w:hAnsi="宋体" w:eastAsia="宋体"/>
          <w:sz w:val="24"/>
        </w:rPr>
        <w:t>；选择激励引导时，支付取决于企业响应与否——以概率</w:t>
      </w:r>
      <m:oMath>
        <m:r>
          <m:t>y</m:t>
        </m:r>
      </m:oMath>
      <w:r>
        <w:rPr>
          <w:rFonts w:ascii="宋体" w:hAnsi="宋体" w:eastAsia="宋体"/>
          <w:sz w:val="24"/>
        </w:rPr>
        <w:t>获得</w:t>
      </w:r>
      <m:oMath>
        <m:sSub>
          <m:e>
            <m:r>
              <m:t>R</m:t>
            </m:r>
          </m:e>
          <m:sub>
            <m:r>
              <m:t>G</m:t>
            </m:r>
          </m:sub>
        </m:sSub>
        <m:r>
          <m:rPr>
            <m:sty m:val="p"/>
          </m:rPr>
          <m:t>−</m:t>
        </m:r>
        <m:r>
          <m:t>s</m:t>
        </m:r>
      </m:oMath>
      <w:r>
        <w:rPr>
          <w:rFonts w:ascii="宋体" w:hAnsi="宋体" w:eastAsia="宋体"/>
          <w:sz w:val="24"/>
        </w:rPr>
        <w:t>、以概率</w:t>
      </w:r>
      <m:oMath>
        <m:r>
          <m:t>1</m:t>
        </m:r>
        <m:r>
          <m:rPr>
            <m:sty m:val="p"/>
          </m:rPr>
          <m:t>−</m:t>
        </m:r>
        <m:r>
          <m:t>y</m:t>
        </m:r>
      </m:oMath>
      <w:r>
        <w:rPr>
          <w:rFonts w:ascii="宋体" w:hAnsi="宋体" w:eastAsia="宋体"/>
          <w:sz w:val="24"/>
        </w:rPr>
        <w:t>得零。于是</w:t>
      </w:r>
    </w:p>
    <w:p>
      <w:pPr>
        <w:tabs>
          <w:tab w:pos="4252" w:val="center"/>
          <w:tab w:pos="8504" w:val="right"/>
        </w:tabs>
        <w:spacing w:line="360" w:lineRule="auto" w:before="80" w:after="80"/>
      </w:pPr>
      <w:r>
        <w:tab/>
      </w:r>
      <m:oMath>
        <m:sSub>
          <m:e>
            <m:r>
              <m:t>U</m:t>
            </m:r>
          </m:e>
          <m:sub>
            <m:r>
              <m:t>G</m:t>
            </m:r>
            <m:r>
              <m:t>1</m:t>
            </m:r>
          </m:sub>
        </m:sSub>
        <m:r>
          <m:rPr>
            <m:sty m:val="p"/>
          </m:rPr>
          <m:t>=</m:t>
        </m:r>
        <m:sSub>
          <m:e>
            <m:r>
              <m:t>R</m:t>
            </m:r>
          </m:e>
          <m:sub>
            <m:r>
              <m:t>G</m:t>
            </m:r>
          </m:sub>
        </m:sSub>
        <m:r>
          <m:rPr>
            <m:sty m:val="p"/>
          </m:rPr>
          <m:t>−</m:t>
        </m:r>
        <m:sSub>
          <m:e>
            <m:r>
              <m:t>c</m:t>
            </m:r>
          </m:e>
          <m:sub>
            <m:r>
              <m:t>G</m:t>
            </m:r>
          </m:sub>
        </m:sSub>
        <m:r>
          <m:rPr>
            <m:sty m:val="p"/>
          </m:rPr>
          <m:t>,</m:t>
        </m:r>
        <m:r>
          <m:t>  </m:t>
        </m:r>
        <m:sSub>
          <m:e>
            <m:r>
              <m:t>U</m:t>
            </m:r>
          </m:e>
          <m:sub>
            <m:r>
              <m:t>G</m:t>
            </m:r>
            <m:r>
              <m:t>2</m:t>
            </m:r>
          </m:sub>
        </m:sSub>
        <m:r>
          <m:rPr>
            <m:sty m:val="p"/>
          </m:rPr>
          <m:t>=</m:t>
        </m:r>
        <m:r>
          <m:t>y</m:t>
        </m:r>
        <m:d>
          <m:dPr>
            <m:begChr m:val="("/>
            <m:sepChr m:val=""/>
            <m:endChr m:val=")"/>
            <m:grow/>
          </m:dPr>
          <m:e>
            <m:sSub>
              <m:e>
                <m:r>
                  <m:t>R</m:t>
                </m:r>
              </m:e>
              <m:sub>
                <m:r>
                  <m:t>G</m:t>
                </m:r>
              </m:sub>
            </m:sSub>
            <m:r>
              <m:rPr>
                <m:sty m:val="p"/>
              </m:rPr>
              <m:t>−</m:t>
            </m:r>
            <m:r>
              <m:t>s</m:t>
            </m:r>
          </m:e>
        </m:d>
      </m:oMath>
      <w:r>
        <w:tab/>
      </w:r>
      <w:r>
        <w:rPr>
          <w:rFonts w:ascii="Times New Roman" w:hAnsi="Times New Roman" w:eastAsia="宋体"/>
          <w:sz w:val="24"/>
        </w:rPr>
        <w:t>(7-1)</w:t>
      </w:r>
    </w:p>
    <w:p>
      <w:pPr>
        <w:spacing w:line="360" w:lineRule="auto" w:after="0"/>
        <w:jc w:val="both"/>
      </w:pPr>
      <w:r>
        <w:rPr>
          <w:rFonts w:ascii="宋体" w:hAnsi="宋体" w:eastAsia="宋体"/>
          <w:sz w:val="24"/>
        </w:rPr>
        <w:t>其中，</w:t>
      </w:r>
      <m:oMath>
        <m:sSub>
          <m:e>
            <m:r>
              <m:t>U</m:t>
            </m:r>
          </m:e>
          <m:sub>
            <m:r>
              <m:t>G</m:t>
            </m:r>
            <m:r>
              <m:t>1</m:t>
            </m:r>
          </m:sub>
        </m:sSub>
      </m:oMath>
      <w:r>
        <w:rPr>
          <w:rFonts w:ascii="宋体" w:hAnsi="宋体" w:eastAsia="宋体"/>
          <w:sz w:val="24"/>
        </w:rPr>
        <w:t>、</w:t>
      </w:r>
      <m:oMath>
        <m:sSub>
          <m:e>
            <m:r>
              <m:t>U</m:t>
            </m:r>
          </m:e>
          <m:sub>
            <m:r>
              <m:t>G</m:t>
            </m:r>
            <m:r>
              <m:t>2</m:t>
            </m:r>
          </m:sub>
        </m:sSub>
      </m:oMath>
      <w:r>
        <w:rPr>
          <w:rFonts w:ascii="宋体" w:hAnsi="宋体" w:eastAsia="宋体"/>
          <w:sz w:val="24"/>
        </w:rPr>
        <w:t>分别为强制推行与激励引导的期望收益；</w:t>
      </w:r>
      <m:oMath>
        <m:sSub>
          <m:e>
            <m:r>
              <m:t>U</m:t>
            </m:r>
          </m:e>
          <m:sub>
            <m:r>
              <m:t>G</m:t>
            </m:r>
            <m:r>
              <m:t>1</m:t>
            </m:r>
          </m:sub>
        </m:sSub>
      </m:oMath>
      <w:r>
        <w:rPr>
          <w:rFonts w:ascii="宋体" w:hAnsi="宋体" w:eastAsia="宋体"/>
          <w:sz w:val="24"/>
        </w:rPr>
        <w:t>不含</w:t>
      </w:r>
      <m:oMath>
        <m:r>
          <m:t>y</m:t>
        </m:r>
      </m:oMath>
      <w:r>
        <w:rPr>
          <w:rFonts w:ascii="宋体" w:hAnsi="宋体" w:eastAsia="宋体"/>
          <w:sz w:val="24"/>
        </w:rPr>
        <w:t>与</w:t>
      </w:r>
      <m:oMath>
        <m:r>
          <m:t>z</m:t>
        </m:r>
      </m:oMath>
      <w:r>
        <w:rPr>
          <w:rFonts w:ascii="宋体" w:hAnsi="宋体" w:eastAsia="宋体"/>
          <w:sz w:val="24"/>
        </w:rPr>
        <w:t>，体现行政执法对合规结果的兜底作用。</w:t>
      </w:r>
    </w:p>
    <w:p>
      <w:pPr>
        <w:spacing w:line="360" w:lineRule="auto" w:after="0"/>
        <w:ind w:firstLineChars="200" w:firstLine="480"/>
        <w:jc w:val="both"/>
      </w:pPr>
      <w:r>
        <w:rPr>
          <w:rFonts w:ascii="宋体" w:hAnsi="宋体" w:eastAsia="宋体"/>
          <w:sz w:val="24"/>
        </w:rPr>
        <w:t>按演化博弈的标准设定，策略比例的变化率与该策略收益超出群体平均收益的幅度成正比。政府群体的平均期望收益与复制动态方程为</w:t>
      </w:r>
    </w:p>
    <w:p>
      <w:pPr>
        <w:tabs>
          <w:tab w:pos="4252" w:val="center"/>
          <w:tab w:pos="8504" w:val="right"/>
        </w:tabs>
        <w:spacing w:line="360" w:lineRule="auto" w:before="80" w:after="80"/>
      </w:pPr>
      <w:r>
        <w:tab/>
      </w:r>
      <m:oMath>
        <m:sSub>
          <m:e>
            <m:acc>
              <m:accPr>
                <m:chr m:val="‾"/>
              </m:accPr>
              <m:e>
                <m:r>
                  <m:t>U</m:t>
                </m:r>
              </m:e>
            </m:acc>
          </m:e>
          <m:sub>
            <m:r>
              <m:t>G</m:t>
            </m:r>
          </m:sub>
        </m:sSub>
        <m:r>
          <m:rPr>
            <m:sty m:val="p"/>
          </m:rPr>
          <m:t>=</m:t>
        </m:r>
        <m:r>
          <m:t>x</m:t>
        </m:r>
        <m:sSub>
          <m:e>
            <m:r>
              <m:t>U</m:t>
            </m:r>
          </m:e>
          <m:sub>
            <m:r>
              <m:t>G</m:t>
            </m:r>
            <m:r>
              <m:t>1</m:t>
            </m:r>
          </m:sub>
        </m:sSub>
        <m:r>
          <m:rPr>
            <m:sty m:val="p"/>
          </m:rPr>
          <m:t>+</m:t>
        </m:r>
        <m:d>
          <m:dPr>
            <m:begChr m:val="("/>
            <m:sepChr m:val=""/>
            <m:endChr m:val=")"/>
            <m:grow/>
          </m:dPr>
          <m:e>
            <m:r>
              <m:t>1</m:t>
            </m:r>
            <m:r>
              <m:rPr>
                <m:sty m:val="p"/>
              </m:rPr>
              <m:t>−</m:t>
            </m:r>
            <m:r>
              <m:t>x</m:t>
            </m:r>
          </m:e>
        </m:d>
        <m:sSub>
          <m:e>
            <m:r>
              <m:t>U</m:t>
            </m:r>
          </m:e>
          <m:sub>
            <m:r>
              <m:t>G</m:t>
            </m:r>
            <m:r>
              <m:t>2</m:t>
            </m:r>
          </m:sub>
        </m:sSub>
        <m:r>
          <m:rPr>
            <m:sty m:val="p"/>
          </m:rPr>
          <m:t>,</m:t>
        </m:r>
        <m:r>
          <m:t>  </m:t>
        </m:r>
        <m:f>
          <m:fPr>
            <m:type m:val="bar"/>
          </m:fPr>
          <m:num>
            <m:r>
              <m:rPr>
                <m:sty m:val="p"/>
              </m:rPr>
              <m:t>d</m:t>
            </m:r>
            <m:r>
              <m:t>x</m:t>
            </m:r>
          </m:num>
          <m:den>
            <m:r>
              <m:rPr>
                <m:sty m:val="p"/>
              </m:rPr>
              <m:t>d</m:t>
            </m:r>
            <m:r>
              <m:t>t</m:t>
            </m:r>
          </m:den>
        </m:f>
        <m:r>
          <m:rPr>
            <m:sty m:val="p"/>
          </m:rPr>
          <m:t>=</m:t>
        </m:r>
        <m:r>
          <m:t>x</m:t>
        </m:r>
        <m:d>
          <m:dPr>
            <m:begChr m:val="("/>
            <m:sepChr m:val=""/>
            <m:endChr m:val=")"/>
            <m:grow/>
          </m:dPr>
          <m:e>
            <m:sSub>
              <m:e>
                <m:r>
                  <m:t>U</m:t>
                </m:r>
              </m:e>
              <m:sub>
                <m:r>
                  <m:t>G</m:t>
                </m:r>
                <m:r>
                  <m:t>1</m:t>
                </m:r>
              </m:sub>
            </m:sSub>
            <m:r>
              <m:rPr>
                <m:sty m:val="p"/>
              </m:rPr>
              <m:t>−</m:t>
            </m:r>
            <m:sSub>
              <m:e>
                <m:acc>
                  <m:accPr>
                    <m:chr m:val="‾"/>
                  </m:accPr>
                  <m:e>
                    <m:r>
                      <m:t>U</m:t>
                    </m:r>
                  </m:e>
                </m:acc>
              </m:e>
              <m:sub>
                <m:r>
                  <m:t>G</m:t>
                </m:r>
              </m:sub>
            </m:sSub>
          </m:e>
        </m:d>
        <m:r>
          <m:rPr>
            <m:sty m:val="p"/>
          </m:rPr>
          <m:t>=</m:t>
        </m:r>
        <m:r>
          <m:t>x</m:t>
        </m:r>
        <m:d>
          <m:dPr>
            <m:begChr m:val="("/>
            <m:sepChr m:val=""/>
            <m:endChr m:val=")"/>
            <m:grow/>
          </m:dPr>
          <m:e>
            <m:r>
              <m:t>1</m:t>
            </m:r>
            <m:r>
              <m:rPr>
                <m:sty m:val="p"/>
              </m:rPr>
              <m:t>−</m:t>
            </m:r>
            <m:r>
              <m:t>x</m:t>
            </m:r>
          </m:e>
        </m:d>
        <m:d>
          <m:dPr>
            <m:begChr m:val="("/>
            <m:sepChr m:val=""/>
            <m:endChr m:val=")"/>
            <m:grow/>
          </m:dPr>
          <m:e>
            <m:sSub>
              <m:e>
                <m:r>
                  <m:t>U</m:t>
                </m:r>
              </m:e>
              <m:sub>
                <m:r>
                  <m:t>G</m:t>
                </m:r>
                <m:r>
                  <m:t>1</m:t>
                </m:r>
              </m:sub>
            </m:sSub>
            <m:r>
              <m:rPr>
                <m:sty m:val="p"/>
              </m:rPr>
              <m:t>−</m:t>
            </m:r>
            <m:sSub>
              <m:e>
                <m:r>
                  <m:t>U</m:t>
                </m:r>
              </m:e>
              <m:sub>
                <m:r>
                  <m:t>G</m:t>
                </m:r>
                <m:r>
                  <m:t>2</m:t>
                </m:r>
              </m:sub>
            </m:sSub>
          </m:e>
        </m:d>
      </m:oMath>
      <w:r>
        <w:tab/>
      </w:r>
      <w:r>
        <w:rPr>
          <w:rFonts w:ascii="Times New Roman" w:hAnsi="Times New Roman" w:eastAsia="宋体"/>
          <w:sz w:val="24"/>
        </w:rPr>
        <w:t>(7-2)</w:t>
      </w:r>
    </w:p>
    <w:p>
      <w:pPr>
        <w:spacing w:line="360" w:lineRule="auto" w:after="0"/>
        <w:ind w:firstLineChars="200" w:firstLine="480"/>
        <w:jc w:val="both"/>
      </w:pPr>
      <w:r>
        <w:rPr>
          <w:rFonts w:ascii="宋体" w:hAnsi="宋体" w:eastAsia="宋体"/>
          <w:sz w:val="24"/>
        </w:rPr>
        <w:t>将式(7-1)代入式(7-2)，即得政府策略的复制动态方程：</w:t>
      </w:r>
    </w:p>
    <w:p>
      <w:pPr>
        <w:tabs>
          <w:tab w:pos="4252" w:val="center"/>
          <w:tab w:pos="8504" w:val="right"/>
        </w:tabs>
        <w:spacing w:line="360" w:lineRule="auto" w:before="80" w:after="80"/>
      </w:pPr>
      <w:r>
        <w:tab/>
      </w:r>
      <m:oMath>
        <m:f>
          <m:fPr>
            <m:type m:val="bar"/>
          </m:fPr>
          <m:num>
            <m:r>
              <m:rPr>
                <m:sty m:val="p"/>
              </m:rPr>
              <m:t>d</m:t>
            </m:r>
            <m:r>
              <m:t>x</m:t>
            </m:r>
          </m:num>
          <m:den>
            <m:r>
              <m:rPr>
                <m:sty m:val="p"/>
              </m:rPr>
              <m:t>d</m:t>
            </m:r>
            <m:r>
              <m:t>t</m:t>
            </m:r>
          </m:den>
        </m:f>
        <m:r>
          <m:rPr>
            <m:sty m:val="p"/>
          </m:rPr>
          <m:t>=</m:t>
        </m:r>
        <m:r>
          <m:t>x</m:t>
        </m:r>
        <m:d>
          <m:dPr>
            <m:begChr m:val="("/>
            <m:sepChr m:val=""/>
            <m:endChr m:val=")"/>
            <m:grow/>
          </m:dPr>
          <m:e>
            <m:r>
              <m:t>1</m:t>
            </m:r>
            <m:r>
              <m:rPr>
                <m:sty m:val="p"/>
              </m:rPr>
              <m:t>−</m:t>
            </m:r>
            <m:r>
              <m:t>x</m:t>
            </m:r>
          </m:e>
        </m:d>
        <m:d>
          <m:dPr>
            <m:begChr m:val="["/>
            <m:sepChr m:val=""/>
            <m:endChr m:val="]"/>
            <m:grow/>
          </m:dPr>
          <m:e>
            <m:sSub>
              <m:e>
                <m:r>
                  <m:t>R</m:t>
                </m:r>
              </m:e>
              <m:sub>
                <m:r>
                  <m:t>G</m:t>
                </m:r>
              </m:sub>
            </m:sSub>
            <m:d>
              <m:dPr>
                <m:begChr m:val="("/>
                <m:sepChr m:val=""/>
                <m:endChr m:val=")"/>
                <m:grow/>
              </m:dPr>
              <m:e>
                <m:r>
                  <m:t>1</m:t>
                </m:r>
                <m:r>
                  <m:rPr>
                    <m:sty m:val="p"/>
                  </m:rPr>
                  <m:t>−</m:t>
                </m:r>
                <m:r>
                  <m:t>y</m:t>
                </m:r>
              </m:e>
            </m:d>
            <m:r>
              <m:rPr>
                <m:sty m:val="p"/>
              </m:rPr>
              <m:t>−</m:t>
            </m:r>
            <m:sSub>
              <m:e>
                <m:r>
                  <m:t>c</m:t>
                </m:r>
              </m:e>
              <m:sub>
                <m:r>
                  <m:t>G</m:t>
                </m:r>
              </m:sub>
            </m:sSub>
            <m:r>
              <m:rPr>
                <m:sty m:val="p"/>
              </m:rPr>
              <m:t>+</m:t>
            </m:r>
            <m:r>
              <m:t>s</m:t>
            </m:r>
            <m:r>
              <m:t>y</m:t>
            </m:r>
          </m:e>
        </m:d>
        <m:r>
          <m:rPr>
            <m:sty m:val="p"/>
          </m:rPr>
          <m:t>≡</m:t>
        </m:r>
        <m:r>
          <m:t>x</m:t>
        </m:r>
        <m:d>
          <m:dPr>
            <m:begChr m:val="("/>
            <m:sepChr m:val=""/>
            <m:endChr m:val=")"/>
            <m:grow/>
          </m:dPr>
          <m:e>
            <m:r>
              <m:t>1</m:t>
            </m:r>
            <m:r>
              <m:rPr>
                <m:sty m:val="p"/>
              </m:rPr>
              <m:t>−</m:t>
            </m:r>
            <m:r>
              <m:t>x</m:t>
            </m:r>
          </m:e>
        </m:d>
        <m:sSub>
          <m:e>
            <m:r>
              <m:t>D</m:t>
            </m:r>
          </m:e>
          <m:sub>
            <m:r>
              <m:t>G</m:t>
            </m:r>
          </m:sub>
        </m:sSub>
        <m:d>
          <m:dPr>
            <m:begChr m:val="("/>
            <m:sepChr m:val=""/>
            <m:endChr m:val=")"/>
            <m:grow/>
          </m:dPr>
          <m:e>
            <m:r>
              <m:t>y</m:t>
            </m:r>
          </m:e>
        </m:d>
      </m:oMath>
      <w:r>
        <w:tab/>
      </w:r>
      <w:r>
        <w:rPr>
          <w:rFonts w:ascii="Times New Roman" w:hAnsi="Times New Roman" w:eastAsia="宋体"/>
          <w:sz w:val="24"/>
        </w:rPr>
        <w:t>(7-3)</w:t>
      </w:r>
    </w:p>
    <w:p>
      <w:pPr>
        <w:spacing w:line="360" w:lineRule="auto" w:after="0"/>
        <w:jc w:val="both"/>
      </w:pPr>
      <w:r>
        <w:rPr>
          <w:rFonts w:ascii="宋体" w:hAnsi="宋体" w:eastAsia="宋体"/>
          <w:sz w:val="24"/>
        </w:rPr>
        <w:t>其中，</w:t>
      </w:r>
      <m:oMath>
        <m:sSub>
          <m:e>
            <m:r>
              <m:t>D</m:t>
            </m:r>
          </m:e>
          <m:sub>
            <m:r>
              <m:t>G</m:t>
            </m:r>
          </m:sub>
        </m:sSub>
        <m:d>
          <m:dPr>
            <m:begChr m:val="("/>
            <m:sepChr m:val=""/>
            <m:endChr m:val=")"/>
            <m:grow/>
          </m:dPr>
          <m:e>
            <m:r>
              <m:t>y</m:t>
            </m:r>
          </m:e>
        </m:d>
      </m:oMath>
      <w:r>
        <w:rPr>
          <w:rFonts w:ascii="宋体" w:hAnsi="宋体" w:eastAsia="宋体"/>
          <w:sz w:val="24"/>
        </w:rPr>
        <w:t>为强制推行相对激励引导的净收益函数，仅取决于企业响应比例</w:t>
      </w:r>
      <m:oMath>
        <m:r>
          <m:t>y</m:t>
        </m:r>
      </m:oMath>
      <w:r>
        <w:rPr>
          <w:rFonts w:ascii="宋体" w:hAnsi="宋体" w:eastAsia="宋体"/>
          <w:sz w:val="24"/>
        </w:rPr>
        <w:t>。</w:t>
      </w:r>
    </w:p>
    <w:p>
      <w:pPr>
        <w:spacing w:line="360" w:lineRule="auto" w:after="0"/>
        <w:ind w:firstLineChars="200" w:firstLine="480"/>
        <w:jc w:val="both"/>
      </w:pPr>
      <w:r>
        <w:rPr>
          <w:rFonts w:ascii="宋体" w:hAnsi="宋体" w:eastAsia="宋体"/>
          <w:sz w:val="24"/>
        </w:rPr>
        <w:t>式(7-3)的经济含义清晰：在</w:t>
      </w:r>
      <m:oMath>
        <m:sSub>
          <m:e>
            <m:r>
              <m:t>R</m:t>
            </m:r>
          </m:e>
          <m:sub>
            <m:r>
              <m:t>G</m:t>
            </m:r>
          </m:sub>
        </m:sSub>
        <m:r>
          <m:rPr>
            <m:sty m:val="p"/>
          </m:rPr>
          <m:t>&gt;</m:t>
        </m:r>
        <m:r>
          <m:t>s</m:t>
        </m:r>
      </m:oMath>
      <w:r>
        <w:rPr>
          <w:rFonts w:ascii="宋体" w:hAnsi="宋体" w:eastAsia="宋体"/>
          <w:sz w:val="24"/>
        </w:rPr>
        <w:t>的前提下，</w:t>
      </w:r>
      <m:oMath>
        <m:sSub>
          <m:e>
            <m:r>
              <m:t>D</m:t>
            </m:r>
          </m:e>
          <m:sub>
            <m:r>
              <m:t>G</m:t>
            </m:r>
          </m:sub>
        </m:sSub>
        <m:d>
          <m:dPr>
            <m:begChr m:val="("/>
            <m:sepChr m:val=""/>
            <m:endChr m:val=")"/>
            <m:grow/>
          </m:dPr>
          <m:e>
            <m:r>
              <m:t>y</m:t>
            </m:r>
          </m:e>
        </m:d>
      </m:oMath>
      <w:r>
        <w:rPr>
          <w:rFonts w:ascii="宋体" w:hAnsi="宋体" w:eastAsia="宋体"/>
          <w:sz w:val="24"/>
        </w:rPr>
        <w:t>随</w:t>
      </w:r>
      <m:oMath>
        <m:r>
          <m:t>y</m:t>
        </m:r>
      </m:oMath>
      <w:r>
        <w:rPr>
          <w:rFonts w:ascii="宋体" w:hAnsi="宋体" w:eastAsia="宋体"/>
          <w:sz w:val="24"/>
        </w:rPr>
        <w:t>严格递减——企业响应率越高，激励引导“借市场之力”实现合规的能力越强，维持强制体制的相对价值越低。当</w:t>
      </w:r>
      <m:oMath>
        <m:r>
          <m:t>y</m:t>
        </m:r>
      </m:oMath>
      <w:r>
        <w:rPr>
          <w:rFonts w:ascii="宋体" w:hAnsi="宋体" w:eastAsia="宋体"/>
          <w:sz w:val="24"/>
        </w:rPr>
        <w:t>较小时</w:t>
      </w:r>
      <m:oMath>
        <m:sSub>
          <m:e>
            <m:r>
              <m:t>D</m:t>
            </m:r>
          </m:e>
          <m:sub>
            <m:r>
              <m:t>G</m:t>
            </m:r>
          </m:sub>
        </m:sSub>
        <m:d>
          <m:dPr>
            <m:begChr m:val="("/>
            <m:sepChr m:val=""/>
            <m:endChr m:val=")"/>
            <m:grow/>
          </m:dPr>
          <m:e>
            <m:r>
              <m:t>y</m:t>
            </m:r>
          </m:e>
        </m:d>
        <m:r>
          <m:rPr>
            <m:sty m:val="p"/>
          </m:rPr>
          <m:t>&gt;</m:t>
        </m:r>
        <m:r>
          <m:t>0</m:t>
        </m:r>
      </m:oMath>
      <w:r>
        <w:rPr>
          <w:rFonts w:ascii="宋体" w:hAnsi="宋体" w:eastAsia="宋体"/>
          <w:sz w:val="24"/>
        </w:rPr>
        <w:t>，强制推行策略在政府群体中扩散；当</w:t>
      </w:r>
      <m:oMath>
        <m:r>
          <m:t>y</m:t>
        </m:r>
      </m:oMath>
      <w:r>
        <w:rPr>
          <w:rFonts w:ascii="宋体" w:hAnsi="宋体" w:eastAsia="宋体"/>
          <w:sz w:val="24"/>
        </w:rPr>
        <w:t>越过某一临界水平后</w:t>
      </w:r>
      <m:oMath>
        <m:sSub>
          <m:e>
            <m:r>
              <m:t>D</m:t>
            </m:r>
          </m:e>
          <m:sub>
            <m:r>
              <m:t>G</m:t>
            </m:r>
          </m:sub>
        </m:sSub>
        <m:d>
          <m:dPr>
            <m:begChr m:val="("/>
            <m:sepChr m:val=""/>
            <m:endChr m:val=")"/>
            <m:grow/>
          </m:dPr>
          <m:e>
            <m:r>
              <m:t>y</m:t>
            </m:r>
          </m:e>
        </m:d>
        <m:r>
          <m:rPr>
            <m:sty m:val="p"/>
          </m:rPr>
          <m:t>&lt;</m:t>
        </m:r>
        <m:r>
          <m:t>0</m:t>
        </m:r>
      </m:oMath>
      <w:r>
        <w:rPr>
          <w:rFonts w:ascii="宋体" w:hAnsi="宋体" w:eastAsia="宋体"/>
          <w:sz w:val="24"/>
        </w:rPr>
        <w:t>，激励引导反超。这一临界水平正是7.4节命题7.3的政府策略转换阈值。值得注意的是，</w:t>
      </w:r>
      <m:oMath>
        <m:r>
          <m:t>z</m:t>
        </m:r>
      </m:oMath>
      <w:r>
        <w:rPr>
          <w:rFonts w:ascii="宋体" w:hAnsi="宋体" w:eastAsia="宋体"/>
          <w:sz w:val="24"/>
        </w:rPr>
        <w:t>不进入</w:t>
      </w:r>
      <m:oMath>
        <m:sSub>
          <m:e>
            <m:r>
              <m:t>D</m:t>
            </m:r>
          </m:e>
          <m:sub>
            <m:r>
              <m:t>G</m:t>
            </m:r>
          </m:sub>
        </m:sSub>
      </m:oMath>
      <w:r>
        <w:rPr>
          <w:rFonts w:ascii="宋体" w:hAnsi="宋体" w:eastAsia="宋体"/>
          <w:sz w:val="24"/>
        </w:rPr>
        <w:t>：国际组织的策略不直接改变政府两种工具的相对成本，而是经由企业行为间接传导，这与7.2节识别的链式结构一致。</w:t>
      </w:r>
    </w:p>
    <w:p>
      <w:pPr>
        <w:keepNext/>
        <w:spacing w:before="160" w:after="120" w:line="360" w:lineRule="auto"/>
        <w:outlineLvl w:val="2"/>
      </w:pPr>
      <w:r>
        <w:rPr>
          <w:rFonts w:ascii="黑体" w:hAnsi="黑体" w:eastAsia="黑体"/>
          <w:sz w:val="24"/>
        </w:rPr>
        <w:t>7.3.2  企业策略的复制动态方程</w:t>
      </w:r>
    </w:p>
    <w:p>
      <w:pPr>
        <w:spacing w:line="360" w:lineRule="auto" w:after="0"/>
        <w:ind w:firstLineChars="200" w:firstLine="480"/>
        <w:jc w:val="both"/>
      </w:pPr>
      <w:r>
        <w:rPr>
          <w:rFonts w:ascii="宋体" w:hAnsi="宋体" w:eastAsia="宋体"/>
          <w:sz w:val="24"/>
        </w:rPr>
        <w:t>企业选择积极响应时，以概率</w:t>
      </w:r>
      <m:oMath>
        <m:r>
          <m:t>z</m:t>
        </m:r>
      </m:oMath>
      <w:r>
        <w:rPr>
          <w:rFonts w:ascii="宋体" w:hAnsi="宋体" w:eastAsia="宋体"/>
          <w:sz w:val="24"/>
        </w:rPr>
        <w:t>面对接纳衔接的国际环境、获得</w:t>
      </w:r>
      <m:oMath>
        <m:r>
          <m:t>Λ</m:t>
        </m:r>
        <m:r>
          <m:rPr>
            <m:sty m:val="p"/>
          </m:rPr>
          <m:t>+</m:t>
        </m:r>
        <m:r>
          <m:t>s</m:t>
        </m:r>
        <m:r>
          <m:rPr>
            <m:sty m:val="p"/>
          </m:rPr>
          <m:t>−</m:t>
        </m:r>
        <m:sSub>
          <m:e>
            <m:r>
              <m:t>c</m:t>
            </m:r>
          </m:e>
          <m:sub>
            <m:r>
              <m:t>E</m:t>
            </m:r>
          </m:sub>
        </m:sSub>
      </m:oMath>
      <w:r>
        <w:rPr>
          <w:rFonts w:ascii="宋体" w:hAnsi="宋体" w:eastAsia="宋体"/>
          <w:sz w:val="24"/>
        </w:rPr>
        <w:t>，以概率</w:t>
      </w:r>
      <m:oMath>
        <m:r>
          <m:t>1</m:t>
        </m:r>
        <m:r>
          <m:rPr>
            <m:sty m:val="p"/>
          </m:rPr>
          <m:t>−</m:t>
        </m:r>
        <m:r>
          <m:t>z</m:t>
        </m:r>
      </m:oMath>
      <w:r>
        <w:rPr>
          <w:rFonts w:ascii="宋体" w:hAnsi="宋体" w:eastAsia="宋体"/>
          <w:sz w:val="24"/>
        </w:rPr>
        <w:t>面对排斥壁垒、获得</w:t>
      </w:r>
      <m:oMath>
        <m:r>
          <m:t>η</m:t>
        </m:r>
        <m:r>
          <m:t>Λ</m:t>
        </m:r>
        <m:r>
          <m:rPr>
            <m:sty m:val="p"/>
          </m:rPr>
          <m:t>+</m:t>
        </m:r>
        <m:r>
          <m:t>s</m:t>
        </m:r>
        <m:r>
          <m:rPr>
            <m:sty m:val="p"/>
          </m:rPr>
          <m:t>−</m:t>
        </m:r>
        <m:sSub>
          <m:e>
            <m:r>
              <m:t>c</m:t>
            </m:r>
          </m:e>
          <m:sub>
            <m:r>
              <m:t>E</m:t>
            </m:r>
          </m:sub>
        </m:sSub>
        <m:r>
          <m:rPr>
            <m:sty m:val="p"/>
          </m:rPr>
          <m:t>−</m:t>
        </m:r>
        <m:r>
          <m:t>μ</m:t>
        </m:r>
        <m:r>
          <m:t>F</m:t>
        </m:r>
      </m:oMath>
      <w:r>
        <w:rPr>
          <w:rFonts w:ascii="宋体" w:hAnsi="宋体" w:eastAsia="宋体"/>
          <w:sz w:val="24"/>
        </w:rPr>
        <w:t>；被动观望的支付归一化为零。期望收益为</w:t>
      </w:r>
    </w:p>
    <w:p>
      <w:pPr>
        <w:tabs>
          <w:tab w:pos="4252" w:val="center"/>
          <w:tab w:pos="8504" w:val="right"/>
        </w:tabs>
        <w:spacing w:line="360" w:lineRule="auto" w:before="80" w:after="80"/>
      </w:pPr>
      <w:r>
        <w:tab/>
      </w:r>
      <m:oMath>
        <m:sSub>
          <m:e>
            <m:r>
              <m:t>U</m:t>
            </m:r>
          </m:e>
          <m:sub>
            <m:r>
              <m:t>E</m:t>
            </m:r>
            <m:r>
              <m:t>1</m:t>
            </m:r>
          </m:sub>
        </m:sSub>
        <m:r>
          <m:rPr>
            <m:sty m:val="p"/>
          </m:rPr>
          <m:t>=</m:t>
        </m:r>
        <m:r>
          <m:t>z</m:t>
        </m:r>
        <m:d>
          <m:dPr>
            <m:begChr m:val="("/>
            <m:sepChr m:val=""/>
            <m:endChr m:val=")"/>
            <m:grow/>
          </m:dPr>
          <m:e>
            <m:r>
              <m:t>Λ</m:t>
            </m:r>
            <m:r>
              <m:rPr>
                <m:sty m:val="p"/>
              </m:rPr>
              <m:t>+</m:t>
            </m:r>
            <m:r>
              <m:t>s</m:t>
            </m:r>
            <m:r>
              <m:rPr>
                <m:sty m:val="p"/>
              </m:rPr>
              <m:t>−</m:t>
            </m:r>
            <m:sSub>
              <m:e>
                <m:r>
                  <m:t>c</m:t>
                </m:r>
              </m:e>
              <m:sub>
                <m:r>
                  <m:t>E</m:t>
                </m:r>
              </m:sub>
            </m:sSub>
          </m:e>
        </m:d>
        <m:r>
          <m:rPr>
            <m:sty m:val="p"/>
          </m:rPr>
          <m:t>+</m:t>
        </m:r>
        <m:d>
          <m:dPr>
            <m:begChr m:val="("/>
            <m:sepChr m:val=""/>
            <m:endChr m:val=")"/>
            <m:grow/>
          </m:dPr>
          <m:e>
            <m:r>
              <m:t>1</m:t>
            </m:r>
            <m:r>
              <m:rPr>
                <m:sty m:val="p"/>
              </m:rPr>
              <m:t>−</m:t>
            </m:r>
            <m:r>
              <m:t>z</m:t>
            </m:r>
          </m:e>
        </m:d>
        <m:d>
          <m:dPr>
            <m:begChr m:val="("/>
            <m:sepChr m:val=""/>
            <m:endChr m:val=")"/>
            <m:grow/>
          </m:dPr>
          <m:e>
            <m:r>
              <m:t>η</m:t>
            </m:r>
            <m:r>
              <m:t>Λ</m:t>
            </m:r>
            <m:r>
              <m:rPr>
                <m:sty m:val="p"/>
              </m:rPr>
              <m:t>+</m:t>
            </m:r>
            <m:r>
              <m:t>s</m:t>
            </m:r>
            <m:r>
              <m:rPr>
                <m:sty m:val="p"/>
              </m:rPr>
              <m:t>−</m:t>
            </m:r>
            <m:sSub>
              <m:e>
                <m:r>
                  <m:t>c</m:t>
                </m:r>
              </m:e>
              <m:sub>
                <m:r>
                  <m:t>E</m:t>
                </m:r>
              </m:sub>
            </m:sSub>
            <m:r>
              <m:rPr>
                <m:sty m:val="p"/>
              </m:rPr>
              <m:t>−</m:t>
            </m:r>
            <m:r>
              <m:t>μ</m:t>
            </m:r>
            <m:r>
              <m:t>F</m:t>
            </m:r>
          </m:e>
        </m:d>
        <m:r>
          <m:rPr>
            <m:sty m:val="p"/>
          </m:rPr>
          <m:t>=</m:t>
        </m:r>
        <m:r>
          <m:t>Λ</m:t>
        </m:r>
        <m:d>
          <m:dPr>
            <m:begChr m:val="["/>
            <m:sepChr m:val=""/>
            <m:endChr m:val="]"/>
            <m:grow/>
          </m:dPr>
          <m:e>
            <m:r>
              <m:t>η</m:t>
            </m:r>
            <m:r>
              <m:rPr>
                <m:sty m:val="p"/>
              </m:rPr>
              <m:t>+</m:t>
            </m:r>
            <m:d>
              <m:dPr>
                <m:begChr m:val="("/>
                <m:sepChr m:val=""/>
                <m:endChr m:val=")"/>
                <m:grow/>
              </m:dPr>
              <m:e>
                <m:r>
                  <m:t>1</m:t>
                </m:r>
                <m:r>
                  <m:rPr>
                    <m:sty m:val="p"/>
                  </m:rPr>
                  <m:t>−</m:t>
                </m:r>
                <m:r>
                  <m:t>η</m:t>
                </m:r>
              </m:e>
            </m:d>
            <m:r>
              <m:t>z</m:t>
            </m:r>
          </m:e>
        </m:d>
        <m:r>
          <m:rPr>
            <m:sty m:val="p"/>
          </m:rPr>
          <m:t>+</m:t>
        </m:r>
        <m:r>
          <m:t>s</m:t>
        </m:r>
        <m:r>
          <m:rPr>
            <m:sty m:val="p"/>
          </m:rPr>
          <m:t>−</m:t>
        </m:r>
        <m:sSub>
          <m:e>
            <m:r>
              <m:t>c</m:t>
            </m:r>
          </m:e>
          <m:sub>
            <m:r>
              <m:t>E</m:t>
            </m:r>
          </m:sub>
        </m:sSub>
        <m:r>
          <m:rPr>
            <m:sty m:val="p"/>
          </m:rPr>
          <m:t>−</m:t>
        </m:r>
        <m:r>
          <m:t>μ</m:t>
        </m:r>
        <m:r>
          <m:t>F</m:t>
        </m:r>
        <m:d>
          <m:dPr>
            <m:begChr m:val="("/>
            <m:sepChr m:val=""/>
            <m:endChr m:val=")"/>
            <m:grow/>
          </m:dPr>
          <m:e>
            <m:r>
              <m:t>1</m:t>
            </m:r>
            <m:r>
              <m:rPr>
                <m:sty m:val="p"/>
              </m:rPr>
              <m:t>−</m:t>
            </m:r>
            <m:r>
              <m:t>z</m:t>
            </m:r>
          </m:e>
        </m:d>
        <m:r>
          <m:rPr>
            <m:sty m:val="p"/>
          </m:rPr>
          <m:t>,</m:t>
        </m:r>
        <m:r>
          <m:t>  </m:t>
        </m:r>
        <m:sSub>
          <m:e>
            <m:r>
              <m:t>U</m:t>
            </m:r>
          </m:e>
          <m:sub>
            <m:r>
              <m:t>E</m:t>
            </m:r>
            <m:r>
              <m:t>2</m:t>
            </m:r>
          </m:sub>
        </m:sSub>
        <m:r>
          <m:rPr>
            <m:sty m:val="p"/>
          </m:rPr>
          <m:t>=</m:t>
        </m:r>
        <m:r>
          <m:t>0</m:t>
        </m:r>
      </m:oMath>
      <w:r>
        <w:tab/>
      </w:r>
      <w:r>
        <w:rPr>
          <w:rFonts w:ascii="Times New Roman" w:hAnsi="Times New Roman" w:eastAsia="宋体"/>
          <w:sz w:val="24"/>
        </w:rPr>
        <w:t>(7-4)</w:t>
      </w:r>
    </w:p>
    <w:p>
      <w:pPr>
        <w:spacing w:line="360" w:lineRule="auto" w:after="0"/>
        <w:ind w:firstLineChars="200" w:firstLine="480"/>
        <w:jc w:val="both"/>
      </w:pPr>
      <w:r>
        <w:rPr>
          <w:rFonts w:ascii="宋体" w:hAnsi="宋体" w:eastAsia="宋体"/>
          <w:sz w:val="24"/>
        </w:rPr>
        <w:t>仿照式(7-2)的推导，企业策略的复制动态方程为</w:t>
      </w:r>
    </w:p>
    <w:p>
      <w:pPr>
        <w:tabs>
          <w:tab w:pos="4252" w:val="center"/>
          <w:tab w:pos="8504" w:val="right"/>
        </w:tabs>
        <w:spacing w:line="360" w:lineRule="auto" w:before="80" w:after="80"/>
      </w:pPr>
      <w:r>
        <w:tab/>
      </w:r>
      <m:oMath>
        <m:f>
          <m:fPr>
            <m:type m:val="bar"/>
          </m:fPr>
          <m:num>
            <m:r>
              <m:rPr>
                <m:sty m:val="p"/>
              </m:rPr>
              <m:t>d</m:t>
            </m:r>
            <m:r>
              <m:t>y</m:t>
            </m:r>
          </m:num>
          <m:den>
            <m:r>
              <m:rPr>
                <m:sty m:val="p"/>
              </m:rPr>
              <m:t>d</m:t>
            </m:r>
            <m:r>
              <m:t>t</m:t>
            </m:r>
          </m:den>
        </m:f>
        <m:r>
          <m:rPr>
            <m:sty m:val="p"/>
          </m:rPr>
          <m:t>=</m:t>
        </m:r>
        <m:r>
          <m:t>y</m:t>
        </m:r>
        <m:d>
          <m:dPr>
            <m:begChr m:val="("/>
            <m:sepChr m:val=""/>
            <m:endChr m:val=")"/>
            <m:grow/>
          </m:dPr>
          <m:e>
            <m:r>
              <m:t>1</m:t>
            </m:r>
            <m:r>
              <m:rPr>
                <m:sty m:val="p"/>
              </m:rPr>
              <m:t>−</m:t>
            </m:r>
            <m:r>
              <m:t>y</m:t>
            </m:r>
          </m:e>
        </m:d>
        <m:d>
          <m:dPr>
            <m:begChr m:val="{"/>
            <m:sepChr m:val=""/>
            <m:endChr m:val="}"/>
            <m:grow/>
          </m:dPr>
          <m:e>
            <m:r>
              <m:t>Λ</m:t>
            </m:r>
            <m:d>
              <m:dPr>
                <m:begChr m:val="["/>
                <m:sepChr m:val=""/>
                <m:endChr m:val="]"/>
                <m:grow/>
              </m:dPr>
              <m:e>
                <m:r>
                  <m:t>η</m:t>
                </m:r>
                <m:r>
                  <m:rPr>
                    <m:sty m:val="p"/>
                  </m:rPr>
                  <m:t>+</m:t>
                </m:r>
                <m:d>
                  <m:dPr>
                    <m:begChr m:val="("/>
                    <m:sepChr m:val=""/>
                    <m:endChr m:val=")"/>
                    <m:grow/>
                  </m:dPr>
                  <m:e>
                    <m:r>
                      <m:t>1</m:t>
                    </m:r>
                    <m:r>
                      <m:rPr>
                        <m:sty m:val="p"/>
                      </m:rPr>
                      <m:t>−</m:t>
                    </m:r>
                    <m:r>
                      <m:t>η</m:t>
                    </m:r>
                  </m:e>
                </m:d>
                <m:r>
                  <m:t>z</m:t>
                </m:r>
              </m:e>
            </m:d>
            <m:r>
              <m:rPr>
                <m:sty m:val="p"/>
              </m:rPr>
              <m:t>+</m:t>
            </m:r>
            <m:r>
              <m:t>s</m:t>
            </m:r>
            <m:r>
              <m:rPr>
                <m:sty m:val="p"/>
              </m:rPr>
              <m:t>−</m:t>
            </m:r>
            <m:sSub>
              <m:e>
                <m:r>
                  <m:t>c</m:t>
                </m:r>
              </m:e>
              <m:sub>
                <m:r>
                  <m:t>E</m:t>
                </m:r>
              </m:sub>
            </m:sSub>
            <m:r>
              <m:rPr>
                <m:sty m:val="p"/>
              </m:rPr>
              <m:t>−</m:t>
            </m:r>
            <m:r>
              <m:t>μ</m:t>
            </m:r>
            <m:r>
              <m:t>F</m:t>
            </m:r>
            <m:d>
              <m:dPr>
                <m:begChr m:val="("/>
                <m:sepChr m:val=""/>
                <m:endChr m:val=")"/>
                <m:grow/>
              </m:dPr>
              <m:e>
                <m:r>
                  <m:t>1</m:t>
                </m:r>
                <m:r>
                  <m:rPr>
                    <m:sty m:val="p"/>
                  </m:rPr>
                  <m:t>−</m:t>
                </m:r>
                <m:r>
                  <m:t>z</m:t>
                </m:r>
              </m:e>
            </m:d>
          </m:e>
        </m:d>
        <m:r>
          <m:rPr>
            <m:sty m:val="p"/>
          </m:rPr>
          <m:t>≡</m:t>
        </m:r>
        <m:r>
          <m:t>y</m:t>
        </m:r>
        <m:d>
          <m:dPr>
            <m:begChr m:val="("/>
            <m:sepChr m:val=""/>
            <m:endChr m:val=")"/>
            <m:grow/>
          </m:dPr>
          <m:e>
            <m:r>
              <m:t>1</m:t>
            </m:r>
            <m:r>
              <m:rPr>
                <m:sty m:val="p"/>
              </m:rPr>
              <m:t>−</m:t>
            </m:r>
            <m:r>
              <m:t>y</m:t>
            </m:r>
          </m:e>
        </m:d>
        <m:sSub>
          <m:e>
            <m:r>
              <m:t>D</m:t>
            </m:r>
          </m:e>
          <m:sub>
            <m:r>
              <m:t>E</m:t>
            </m:r>
          </m:sub>
        </m:sSub>
        <m:d>
          <m:dPr>
            <m:begChr m:val="("/>
            <m:sepChr m:val=""/>
            <m:endChr m:val=")"/>
            <m:grow/>
          </m:dPr>
          <m:e>
            <m:r>
              <m:t>z</m:t>
            </m:r>
          </m:e>
        </m:d>
      </m:oMath>
      <w:r>
        <w:tab/>
      </w:r>
      <w:r>
        <w:rPr>
          <w:rFonts w:ascii="Times New Roman" w:hAnsi="Times New Roman" w:eastAsia="宋体"/>
          <w:sz w:val="24"/>
        </w:rPr>
        <w:t>(7-5)</w:t>
      </w:r>
    </w:p>
    <w:p>
      <w:pPr>
        <w:spacing w:line="360" w:lineRule="auto" w:after="0"/>
        <w:jc w:val="both"/>
      </w:pPr>
      <w:r>
        <w:rPr>
          <w:rFonts w:ascii="宋体" w:hAnsi="宋体" w:eastAsia="宋体"/>
          <w:sz w:val="24"/>
        </w:rPr>
        <w:t>其中，</w:t>
      </w:r>
      <m:oMath>
        <m:sSub>
          <m:e>
            <m:r>
              <m:t>D</m:t>
            </m:r>
          </m:e>
          <m:sub>
            <m:r>
              <m:t>E</m:t>
            </m:r>
          </m:sub>
        </m:sSub>
        <m:d>
          <m:dPr>
            <m:begChr m:val="("/>
            <m:sepChr m:val=""/>
            <m:endChr m:val=")"/>
            <m:grow/>
          </m:dPr>
          <m:e>
            <m:r>
              <m:t>z</m:t>
            </m:r>
          </m:e>
        </m:d>
      </m:oMath>
      <w:r>
        <w:rPr>
          <w:rFonts w:ascii="宋体" w:hAnsi="宋体" w:eastAsia="宋体"/>
          <w:sz w:val="24"/>
        </w:rPr>
        <w:t>为积极响应相对被动观望的净激励函数，仅取决于国际组织接纳比例</w:t>
      </w:r>
      <m:oMath>
        <m:r>
          <m:t>z</m:t>
        </m:r>
      </m:oMath>
      <w:r>
        <w:rPr>
          <w:rFonts w:ascii="宋体" w:hAnsi="宋体" w:eastAsia="宋体"/>
          <w:sz w:val="24"/>
        </w:rPr>
        <w:t>。</w:t>
      </w:r>
    </w:p>
    <w:p>
      <w:pPr>
        <w:spacing w:line="360" w:lineRule="auto" w:after="0"/>
        <w:ind w:firstLineChars="200" w:firstLine="480"/>
        <w:jc w:val="both"/>
      </w:pPr>
      <w:r>
        <w:rPr>
          <w:rFonts w:ascii="宋体" w:hAnsi="宋体" w:eastAsia="宋体"/>
          <w:sz w:val="24"/>
        </w:rPr>
        <w:t>净激励</w:t>
      </w:r>
      <m:oMath>
        <m:sSub>
          <m:e>
            <m:r>
              <m:t>D</m:t>
            </m:r>
          </m:e>
          <m:sub>
            <m:r>
              <m:t>E</m:t>
            </m:r>
          </m:sub>
        </m:sSub>
        <m:d>
          <m:dPr>
            <m:begChr m:val="("/>
            <m:sepChr m:val=""/>
            <m:endChr m:val=")"/>
            <m:grow/>
          </m:dPr>
          <m:e>
            <m:r>
              <m:t>z</m:t>
            </m:r>
          </m:e>
        </m:d>
      </m:oMath>
      <w:r>
        <w:rPr>
          <w:rFonts w:ascii="宋体" w:hAnsi="宋体" w:eastAsia="宋体"/>
          <w:sz w:val="24"/>
        </w:rPr>
        <w:t>随</w:t>
      </w:r>
      <m:oMath>
        <m:r>
          <m:t>z</m:t>
        </m:r>
      </m:oMath>
      <w:r>
        <w:rPr>
          <w:rFonts w:ascii="宋体" w:hAnsi="宋体" w:eastAsia="宋体"/>
          <w:sz w:val="24"/>
        </w:rPr>
        <w:t>递增的斜率为</w:t>
      </w:r>
      <m:oMath>
        <m:d>
          <m:dPr>
            <m:begChr m:val="("/>
            <m:sepChr m:val=""/>
            <m:endChr m:val=")"/>
            <m:grow/>
          </m:dPr>
          <m:e>
            <m:r>
              <m:t>1</m:t>
            </m:r>
            <m:r>
              <m:rPr>
                <m:sty m:val="p"/>
              </m:rPr>
              <m:t>−</m:t>
            </m:r>
            <m:r>
              <m:t>η</m:t>
            </m:r>
          </m:e>
        </m:d>
        <m:r>
          <m:t>Λ</m:t>
        </m:r>
        <m:r>
          <m:rPr>
            <m:sty m:val="p"/>
          </m:rPr>
          <m:t>+</m:t>
        </m:r>
        <m:r>
          <m:t>μ</m:t>
        </m:r>
        <m:r>
          <m:t>F</m:t>
        </m:r>
      </m:oMath>
      <w:r>
        <w:rPr>
          <w:rFonts w:ascii="宋体" w:hAnsi="宋体" w:eastAsia="宋体"/>
          <w:sz w:val="24"/>
        </w:rPr>
        <w:t>，来自两条叠加的通道：接纳衔接一方面把国际激励的实现比例从</w:t>
      </w:r>
      <m:oMath>
        <m:r>
          <m:t>η</m:t>
        </m:r>
      </m:oMath>
      <w:r>
        <w:rPr>
          <w:rFonts w:ascii="宋体" w:hAnsi="宋体" w:eastAsia="宋体"/>
          <w:sz w:val="24"/>
        </w:rPr>
        <w:t>提升到1（收益实现通道），另一方面消除摩擦损失</w:t>
      </w:r>
      <m:oMath>
        <m:r>
          <m:t>μ</m:t>
        </m:r>
        <m:r>
          <m:t>F</m:t>
        </m:r>
      </m:oMath>
      <w:r>
        <w:rPr>
          <w:rFonts w:ascii="宋体" w:hAnsi="宋体" w:eastAsia="宋体"/>
          <w:sz w:val="24"/>
        </w:rPr>
        <w:t>（摩擦消减通道）。基准参数下该斜率为2.0，与补贴</w:t>
      </w:r>
      <m:oMath>
        <m:r>
          <m:t>s</m:t>
        </m:r>
      </m:oMath>
      <w:r>
        <w:rPr>
          <w:rFonts w:ascii="宋体" w:hAnsi="宋体" w:eastAsia="宋体"/>
          <w:sz w:val="24"/>
        </w:rPr>
        <w:t>对净激励的平移作用相比，国际组织策略对企业决策的杠杆明显更强——这一定量对比是7.6节政策讨论的伏笔：同样一个单位的“激励”，来自国际互认的份量远重于来自财政补贴的份量。</w:t>
      </w:r>
    </w:p>
    <w:p>
      <w:pPr>
        <w:keepNext/>
        <w:spacing w:before="160" w:after="120" w:line="360" w:lineRule="auto"/>
        <w:outlineLvl w:val="2"/>
      </w:pPr>
      <w:r>
        <w:rPr>
          <w:rFonts w:ascii="黑体" w:hAnsi="黑体" w:eastAsia="黑体"/>
          <w:sz w:val="24"/>
        </w:rPr>
        <w:t>7.3.3  国际组织策略的复制动态方程与三维系统</w:t>
      </w:r>
    </w:p>
    <w:p>
      <w:pPr>
        <w:spacing w:line="360" w:lineRule="auto" w:after="0"/>
        <w:ind w:firstLineChars="200" w:firstLine="480"/>
        <w:jc w:val="both"/>
      </w:pPr>
      <w:r>
        <w:rPr>
          <w:rFonts w:ascii="宋体" w:hAnsi="宋体" w:eastAsia="宋体"/>
          <w:sz w:val="24"/>
        </w:rPr>
        <w:t>国际组织选择接纳衔接时，以概率</w:t>
      </w:r>
      <m:oMath>
        <m:r>
          <m:t>y</m:t>
        </m:r>
      </m:oMath>
      <w:r>
        <w:rPr>
          <w:rFonts w:ascii="宋体" w:hAnsi="宋体" w:eastAsia="宋体"/>
          <w:sz w:val="24"/>
        </w:rPr>
        <w:t>面对达标企业、实现互认收益</w:t>
      </w:r>
      <m:oMath>
        <m:sSub>
          <m:e>
            <m:r>
              <m:t>R</m:t>
            </m:r>
          </m:e>
          <m:sub>
            <m:r>
              <m:t>O</m:t>
            </m:r>
          </m:sub>
        </m:sSub>
      </m:oMath>
      <w:r>
        <w:rPr>
          <w:rFonts w:ascii="宋体" w:hAnsi="宋体" w:eastAsia="宋体"/>
          <w:sz w:val="24"/>
        </w:rPr>
        <w:t>，同时获得制度性收益</w:t>
      </w:r>
      <m:oMath>
        <m:r>
          <m:t>κ</m:t>
        </m:r>
        <m:d>
          <m:dPr>
            <m:begChr m:val="("/>
            <m:sepChr m:val=""/>
            <m:endChr m:val=")"/>
            <m:grow/>
          </m:dPr>
          <m:e>
            <m:r>
              <m:t>Λ</m:t>
            </m:r>
            <m:r>
              <m:rPr>
                <m:sty m:val="p"/>
              </m:rPr>
              <m:t>−</m:t>
            </m:r>
            <m:sSub>
              <m:e>
                <m:r>
                  <m:t>Λ</m:t>
                </m:r>
              </m:e>
              <m:sub>
                <m:r>
                  <m:t>0</m:t>
                </m:r>
              </m:sub>
            </m:sSub>
          </m:e>
        </m:d>
      </m:oMath>
      <w:r>
        <w:rPr>
          <w:rFonts w:ascii="宋体" w:hAnsi="宋体" w:eastAsia="宋体"/>
          <w:sz w:val="24"/>
        </w:rPr>
        <w:t>并支付协调成本</w:t>
      </w:r>
      <m:oMath>
        <m:sSub>
          <m:e>
            <m:r>
              <m:t>c</m:t>
            </m:r>
          </m:e>
          <m:sub>
            <m:r>
              <m:t>O</m:t>
            </m:r>
          </m:sub>
        </m:sSub>
      </m:oMath>
      <w:r>
        <w:rPr>
          <w:rFonts w:ascii="宋体" w:hAnsi="宋体" w:eastAsia="宋体"/>
          <w:sz w:val="24"/>
        </w:rPr>
        <w:t>；选择排斥壁垒时，以概率</w:t>
      </w:r>
      <m:oMath>
        <m:r>
          <m:t>1</m:t>
        </m:r>
        <m:r>
          <m:rPr>
            <m:sty m:val="p"/>
          </m:rPr>
          <m:t>−</m:t>
        </m:r>
        <m:r>
          <m:t>y</m:t>
        </m:r>
      </m:oMath>
      <w:r>
        <w:rPr>
          <w:rFonts w:ascii="宋体" w:hAnsi="宋体" w:eastAsia="宋体"/>
          <w:sz w:val="24"/>
        </w:rPr>
        <w:t>面对未达标企业、获得保护性收益</w:t>
      </w:r>
      <m:oMath>
        <m:sSub>
          <m:e>
            <m:r>
              <m:t>L</m:t>
            </m:r>
          </m:e>
          <m:sub>
            <m:r>
              <m:t>O</m:t>
            </m:r>
          </m:sub>
        </m:sSub>
      </m:oMath>
      <w:r>
        <w:rPr>
          <w:rFonts w:ascii="宋体" w:hAnsi="宋体" w:eastAsia="宋体"/>
          <w:sz w:val="24"/>
        </w:rPr>
        <w:t>。两种策略的期望收益为</w:t>
      </w:r>
    </w:p>
    <w:p>
      <w:pPr>
        <w:tabs>
          <w:tab w:pos="4252" w:val="center"/>
          <w:tab w:pos="8504" w:val="right"/>
        </w:tabs>
        <w:spacing w:line="360" w:lineRule="auto" w:before="80" w:after="80"/>
      </w:pPr>
      <w:r>
        <w:tab/>
      </w:r>
      <m:oMath>
        <m:sSub>
          <m:e>
            <m:r>
              <m:t>U</m:t>
            </m:r>
          </m:e>
          <m:sub>
            <m:r>
              <m:t>O</m:t>
            </m:r>
            <m:r>
              <m:t>1</m:t>
            </m:r>
          </m:sub>
        </m:sSub>
        <m:r>
          <m:rPr>
            <m:sty m:val="p"/>
          </m:rPr>
          <m:t>=</m:t>
        </m:r>
        <m:sSub>
          <m:e>
            <m:r>
              <m:t>R</m:t>
            </m:r>
          </m:e>
          <m:sub>
            <m:r>
              <m:t>O</m:t>
            </m:r>
          </m:sub>
        </m:sSub>
        <m:r>
          <m:t> </m:t>
        </m:r>
        <m:r>
          <m:t>y</m:t>
        </m:r>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r>
          <m:rPr>
            <m:sty m:val="p"/>
          </m:rPr>
          <m:t>,</m:t>
        </m:r>
        <m:r>
          <m:t>  </m:t>
        </m:r>
        <m:sSub>
          <m:e>
            <m:r>
              <m:t>U</m:t>
            </m:r>
          </m:e>
          <m:sub>
            <m:r>
              <m:t>O</m:t>
            </m:r>
            <m:r>
              <m:t>2</m:t>
            </m:r>
          </m:sub>
        </m:sSub>
        <m:r>
          <m:rPr>
            <m:sty m:val="p"/>
          </m:rPr>
          <m:t>=</m:t>
        </m:r>
        <m:sSub>
          <m:e>
            <m:r>
              <m:t>L</m:t>
            </m:r>
          </m:e>
          <m:sub>
            <m:r>
              <m:t>O</m:t>
            </m:r>
          </m:sub>
        </m:sSub>
        <m:d>
          <m:dPr>
            <m:begChr m:val="("/>
            <m:sepChr m:val=""/>
            <m:endChr m:val=")"/>
            <m:grow/>
          </m:dPr>
          <m:e>
            <m:r>
              <m:t>1</m:t>
            </m:r>
            <m:r>
              <m:rPr>
                <m:sty m:val="p"/>
              </m:rPr>
              <m:t>−</m:t>
            </m:r>
            <m:r>
              <m:t>y</m:t>
            </m:r>
          </m:e>
        </m:d>
      </m:oMath>
      <w:r>
        <w:tab/>
      </w:r>
      <w:r>
        <w:rPr>
          <w:rFonts w:ascii="Times New Roman" w:hAnsi="Times New Roman" w:eastAsia="宋体"/>
          <w:sz w:val="24"/>
        </w:rPr>
        <w:t>(7-6)</w:t>
      </w:r>
    </w:p>
    <w:p>
      <w:pPr>
        <w:spacing w:line="360" w:lineRule="auto" w:after="0"/>
        <w:ind w:firstLineChars="200" w:firstLine="480"/>
        <w:jc w:val="both"/>
      </w:pPr>
      <w:r>
        <w:rPr>
          <w:rFonts w:ascii="宋体" w:hAnsi="宋体" w:eastAsia="宋体"/>
          <w:sz w:val="24"/>
        </w:rPr>
        <w:t>相应的复制动态方程为</w:t>
      </w:r>
    </w:p>
    <w:p>
      <w:pPr>
        <w:tabs>
          <w:tab w:pos="4252" w:val="center"/>
          <w:tab w:pos="8504" w:val="right"/>
        </w:tabs>
        <w:spacing w:line="360" w:lineRule="auto" w:before="80" w:after="80"/>
      </w:pPr>
      <w:r>
        <w:tab/>
      </w:r>
      <m:oMath>
        <m:f>
          <m:fPr>
            <m:type m:val="bar"/>
          </m:fPr>
          <m:num>
            <m:r>
              <m:rPr>
                <m:sty m:val="p"/>
              </m:rPr>
              <m:t>d</m:t>
            </m:r>
            <m:r>
              <m:t>z</m:t>
            </m:r>
          </m:num>
          <m:den>
            <m:r>
              <m:rPr>
                <m:sty m:val="p"/>
              </m:rPr>
              <m:t>d</m:t>
            </m:r>
            <m:r>
              <m:t>t</m:t>
            </m:r>
          </m:den>
        </m:f>
        <m:r>
          <m:rPr>
            <m:sty m:val="p"/>
          </m:rPr>
          <m:t>=</m:t>
        </m:r>
        <m:r>
          <m:t>z</m:t>
        </m:r>
        <m:d>
          <m:dPr>
            <m:begChr m:val="("/>
            <m:sepChr m:val=""/>
            <m:endChr m:val=")"/>
            <m:grow/>
          </m:dPr>
          <m:e>
            <m:r>
              <m:t>1</m:t>
            </m:r>
            <m:r>
              <m:rPr>
                <m:sty m:val="p"/>
              </m:rPr>
              <m:t>−</m:t>
            </m:r>
            <m:r>
              <m:t>z</m:t>
            </m:r>
          </m:e>
        </m:d>
        <m:d>
          <m:dPr>
            <m:begChr m:val="["/>
            <m:sepChr m:val=""/>
            <m:endChr m:val="]"/>
            <m:grow/>
          </m:dPr>
          <m:e>
            <m:d>
              <m:dPr>
                <m:begChr m:val="("/>
                <m:sepChr m:val=""/>
                <m:endChr m:val=")"/>
                <m:grow/>
              </m:dPr>
              <m:e>
                <m:sSub>
                  <m:e>
                    <m:r>
                      <m:t>R</m:t>
                    </m:r>
                  </m:e>
                  <m:sub>
                    <m:r>
                      <m:t>O</m:t>
                    </m:r>
                  </m:sub>
                </m:sSub>
                <m:r>
                  <m:rPr>
                    <m:sty m:val="p"/>
                  </m:rPr>
                  <m:t>+</m:t>
                </m:r>
                <m:sSub>
                  <m:e>
                    <m:r>
                      <m:t>L</m:t>
                    </m:r>
                  </m:e>
                  <m:sub>
                    <m:r>
                      <m:t>O</m:t>
                    </m:r>
                  </m:sub>
                </m:sSub>
              </m:e>
            </m:d>
            <m:r>
              <m:t>y</m:t>
            </m:r>
            <m:r>
              <m:rPr>
                <m:sty m:val="p"/>
              </m:rPr>
              <m:t>−</m:t>
            </m:r>
            <m:sSub>
              <m:e>
                <m:r>
                  <m:t>L</m:t>
                </m:r>
              </m:e>
              <m:sub>
                <m:r>
                  <m:t>O</m:t>
                </m:r>
              </m:sub>
            </m:sSub>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e>
        </m:d>
        <m:r>
          <m:rPr>
            <m:sty m:val="p"/>
          </m:rPr>
          <m:t>≡</m:t>
        </m:r>
        <m:r>
          <m:t>z</m:t>
        </m:r>
        <m:d>
          <m:dPr>
            <m:begChr m:val="("/>
            <m:sepChr m:val=""/>
            <m:endChr m:val=")"/>
            <m:grow/>
          </m:dPr>
          <m:e>
            <m:r>
              <m:t>1</m:t>
            </m:r>
            <m:r>
              <m:rPr>
                <m:sty m:val="p"/>
              </m:rPr>
              <m:t>−</m:t>
            </m:r>
            <m:r>
              <m:t>z</m:t>
            </m:r>
          </m:e>
        </m:d>
        <m:sSub>
          <m:e>
            <m:r>
              <m:t>D</m:t>
            </m:r>
          </m:e>
          <m:sub>
            <m:r>
              <m:t>O</m:t>
            </m:r>
          </m:sub>
        </m:sSub>
        <m:d>
          <m:dPr>
            <m:begChr m:val="("/>
            <m:sepChr m:val=""/>
            <m:endChr m:val=")"/>
            <m:grow/>
          </m:dPr>
          <m:e>
            <m:r>
              <m:t>y</m:t>
            </m:r>
          </m:e>
        </m:d>
      </m:oMath>
      <w:r>
        <w:tab/>
      </w:r>
      <w:r>
        <w:rPr>
          <w:rFonts w:ascii="Times New Roman" w:hAnsi="Times New Roman" w:eastAsia="宋体"/>
          <w:sz w:val="24"/>
        </w:rPr>
        <w:t>(7-7)</w:t>
      </w:r>
    </w:p>
    <w:p>
      <w:pPr>
        <w:spacing w:line="360" w:lineRule="auto" w:after="0"/>
        <w:jc w:val="both"/>
      </w:pPr>
      <w:r>
        <w:rPr>
          <w:rFonts w:ascii="宋体" w:hAnsi="宋体" w:eastAsia="宋体"/>
          <w:sz w:val="24"/>
        </w:rPr>
        <w:t>其中，</w:t>
      </w:r>
      <m:oMath>
        <m:sSub>
          <m:e>
            <m:r>
              <m:t>D</m:t>
            </m:r>
          </m:e>
          <m:sub>
            <m:r>
              <m:t>O</m:t>
            </m:r>
          </m:sub>
        </m:sSub>
        <m:d>
          <m:dPr>
            <m:begChr m:val="("/>
            <m:sepChr m:val=""/>
            <m:endChr m:val=")"/>
            <m:grow/>
          </m:dPr>
          <m:e>
            <m:r>
              <m:t>y</m:t>
            </m:r>
          </m:e>
        </m:d>
      </m:oMath>
      <w:r>
        <w:rPr>
          <w:rFonts w:ascii="宋体" w:hAnsi="宋体" w:eastAsia="宋体"/>
          <w:sz w:val="24"/>
        </w:rPr>
        <w:t>为接纳衔接相对排斥壁垒的净收益函数，随企业响应比例</w:t>
      </w:r>
      <m:oMath>
        <m:r>
          <m:t>y</m:t>
        </m:r>
      </m:oMath>
      <w:r>
        <w:rPr>
          <w:rFonts w:ascii="宋体" w:hAnsi="宋体" w:eastAsia="宋体"/>
          <w:sz w:val="24"/>
        </w:rPr>
        <w:t>严格递增。</w:t>
      </w:r>
    </w:p>
    <w:p>
      <w:pPr>
        <w:spacing w:line="360" w:lineRule="auto" w:after="0"/>
        <w:ind w:firstLineChars="200" w:firstLine="480"/>
        <w:jc w:val="both"/>
      </w:pPr>
      <w:r>
        <w:rPr>
          <w:rFonts w:ascii="宋体" w:hAnsi="宋体" w:eastAsia="宋体"/>
          <w:sz w:val="24"/>
        </w:rPr>
        <w:t>令</w:t>
      </w:r>
      <m:oMath>
        <m:sSub>
          <m:e>
            <m:r>
              <m:t>D</m:t>
            </m:r>
          </m:e>
          <m:sub>
            <m:r>
              <m:t>O</m:t>
            </m:r>
          </m:sub>
        </m:sSub>
        <m:d>
          <m:dPr>
            <m:begChr m:val="("/>
            <m:sepChr m:val=""/>
            <m:endChr m:val=")"/>
            <m:grow/>
          </m:dPr>
          <m:e>
            <m:r>
              <m:t>y</m:t>
            </m:r>
          </m:e>
        </m:d>
        <m:r>
          <m:rPr>
            <m:sty m:val="p"/>
          </m:rPr>
          <m:t>=</m:t>
        </m:r>
        <m:r>
          <m:t>0</m:t>
        </m:r>
      </m:oMath>
      <w:r>
        <w:rPr>
          <w:rFonts w:ascii="宋体" w:hAnsi="宋体" w:eastAsia="宋体"/>
          <w:sz w:val="24"/>
        </w:rPr>
        <w:t>可解出国际组织由排斥转向接纳的临界响应率</w:t>
      </w:r>
      <m:oMath>
        <m:sSub>
          <m:e>
            <m:r>
              <m:t>y</m:t>
            </m:r>
          </m:e>
          <m:sub>
            <m:r>
              <m:t>O</m:t>
            </m:r>
          </m:sub>
        </m:sSub>
        <m:r>
          <m:rPr>
            <m:sty m:val="p"/>
          </m:rPr>
          <m:t>=</m:t>
        </m:r>
        <m:d>
          <m:dPr>
            <m:begChr m:val="["/>
            <m:sepChr m:val=""/>
            <m:endChr m:val="]"/>
            <m:grow/>
          </m:dPr>
          <m:e>
            <m:sSub>
              <m:e>
                <m:r>
                  <m:t>L</m:t>
                </m:r>
              </m:e>
              <m:sub>
                <m:r>
                  <m:t>O</m:t>
                </m:r>
              </m:sub>
            </m:sSub>
            <m:r>
              <m:rPr>
                <m:sty m:val="p"/>
              </m:rPr>
              <m:t>+</m:t>
            </m:r>
            <m:sSub>
              <m:e>
                <m:r>
                  <m:t>c</m:t>
                </m:r>
              </m:e>
              <m:sub>
                <m:r>
                  <m:t>O</m:t>
                </m:r>
              </m:sub>
            </m:sSub>
            <m:r>
              <m:rPr>
                <m:sty m:val="p"/>
              </m:rPr>
              <m:t>−</m:t>
            </m:r>
            <m:r>
              <m:t>κ</m:t>
            </m:r>
            <m:d>
              <m:dPr>
                <m:begChr m:val="("/>
                <m:sepChr m:val=""/>
                <m:endChr m:val=")"/>
                <m:grow/>
              </m:dPr>
              <m:e>
                <m:r>
                  <m:t>Λ</m:t>
                </m:r>
                <m:r>
                  <m:rPr>
                    <m:sty m:val="p"/>
                  </m:rPr>
                  <m:t>−</m:t>
                </m:r>
                <m:sSub>
                  <m:e>
                    <m:r>
                      <m:t>Λ</m:t>
                    </m:r>
                  </m:e>
                  <m:sub>
                    <m:r>
                      <m:t>0</m:t>
                    </m:r>
                  </m:sub>
                </m:sSub>
              </m:e>
            </m:d>
          </m:e>
        </m:d>
        <m:r>
          <m:rPr>
            <m:sty m:val="p"/>
          </m:rPr>
          <m:t>/</m:t>
        </m:r>
        <m:d>
          <m:dPr>
            <m:begChr m:val="("/>
            <m:sepChr m:val=""/>
            <m:endChr m:val=")"/>
            <m:grow/>
          </m:dPr>
          <m:e>
            <m:sSub>
              <m:e>
                <m:r>
                  <m:t>R</m:t>
                </m:r>
              </m:e>
              <m:sub>
                <m:r>
                  <m:t>O</m:t>
                </m:r>
              </m:sub>
            </m:sSub>
            <m:r>
              <m:rPr>
                <m:sty m:val="p"/>
              </m:rPr>
              <m:t>+</m:t>
            </m:r>
            <m:sSub>
              <m:e>
                <m:r>
                  <m:t>L</m:t>
                </m:r>
              </m:e>
              <m:sub>
                <m:r>
                  <m:t>O</m:t>
                </m:r>
              </m:sub>
            </m:sSub>
          </m:e>
        </m:d>
      </m:oMath>
      <w:r>
        <w:rPr>
          <w:rFonts w:ascii="宋体" w:hAnsi="宋体" w:eastAsia="宋体"/>
          <w:sz w:val="24"/>
        </w:rPr>
        <w:t>：基准参数下</w:t>
      </w:r>
      <m:oMath>
        <m:sSub>
          <m:e>
            <m:r>
              <m:t>y</m:t>
            </m:r>
          </m:e>
          <m:sub>
            <m:r>
              <m:t>O</m:t>
            </m:r>
          </m:sub>
        </m:sSub>
      </m:oMath>
      <w:r>
        <w:rPr>
          <w:rFonts w:ascii="宋体" w:hAnsi="宋体" w:eastAsia="宋体"/>
          <w:sz w:val="24"/>
        </w:rPr>
        <w:t>约为43.7%，而当国际激励提升至</w:t>
      </w:r>
      <m:oMath>
        <m:r>
          <m:t>Λ</m:t>
        </m:r>
        <m:r>
          <m:rPr>
            <m:sty m:val="p"/>
          </m:rPr>
          <m:t>=</m:t>
        </m:r>
        <m:r>
          <m:t>4.5</m:t>
        </m:r>
      </m:oMath>
      <w:r>
        <w:rPr>
          <w:rFonts w:ascii="宋体" w:hAnsi="宋体" w:eastAsia="宋体"/>
          <w:sz w:val="24"/>
        </w:rPr>
        <w:t>时降至16.6%——中国企业的达标比例越高、互认安排的含金量越大，国际组织坚持壁垒的相对收益越薄。式(7-3)、式(7-5)与式(7-7)共同构成单位立方体</w:t>
      </w:r>
      <m:oMath>
        <m:sSup>
          <m:e>
            <m:d>
              <m:dPr>
                <m:begChr m:val="["/>
                <m:sepChr m:val=""/>
                <m:endChr m:val="]"/>
                <m:grow/>
              </m:dPr>
              <m:e>
                <m:r>
                  <m:t>0</m:t>
                </m:r>
                <m:r>
                  <m:rPr>
                    <m:sty m:val="p"/>
                  </m:rPr>
                  <m:t>,</m:t>
                </m:r>
                <m:r>
                  <m:t>1</m:t>
                </m:r>
              </m:e>
            </m:d>
          </m:e>
          <m:sup>
            <m:r>
              <m:t>3</m:t>
            </m:r>
          </m:sup>
        </m:sSup>
      </m:oMath>
      <w:r>
        <w:rPr>
          <w:rFonts w:ascii="宋体" w:hAnsi="宋体" w:eastAsia="宋体"/>
          <w:sz w:val="24"/>
        </w:rPr>
        <w:t>上的三维复制动态系统；立方体的六个面与十二条棱在动态下不变，任何初值出发的轨线不会越出策略空间。数值积分时引入时间尺度系数</w:t>
      </w:r>
      <m:oMath>
        <m:sSub>
          <m:e>
            <m:r>
              <m:t>k</m:t>
            </m:r>
          </m:e>
          <m:sub>
            <m:r>
              <m:t>0</m:t>
            </m:r>
          </m:sub>
        </m:sSub>
        <m:r>
          <m:rPr>
            <m:sty m:val="p"/>
          </m:rPr>
          <m:t>=</m:t>
        </m:r>
        <m:r>
          <m:t>0.35</m:t>
        </m:r>
      </m:oMath>
      <w:r>
        <w:rPr>
          <w:rFonts w:ascii="宋体" w:hAnsi="宋体" w:eastAsia="宋体"/>
          <w:sz w:val="24"/>
        </w:rPr>
        <w:t>统一三条方程的调整速度，其取值只缩放时间单位（一期约合半年）而不改变均衡结构与轨线形态。系统的耦合呈“</w:t>
      </w:r>
      <m:oMath>
        <m:r>
          <m:t>y</m:t>
        </m:r>
      </m:oMath>
      <w:r>
        <w:rPr>
          <w:rFonts w:ascii="宋体" w:hAnsi="宋体" w:eastAsia="宋体"/>
          <w:sz w:val="24"/>
        </w:rPr>
        <w:t>—</w:t>
      </w:r>
      <m:oMath>
        <m:r>
          <m:t>z</m:t>
        </m:r>
      </m:oMath>
      <w:r>
        <w:rPr>
          <w:rFonts w:ascii="宋体" w:hAnsi="宋体" w:eastAsia="宋体"/>
          <w:sz w:val="24"/>
        </w:rPr>
        <w:t>互动、</w:t>
      </w:r>
      <m:oMath>
        <m:r>
          <m:t>x</m:t>
        </m:r>
      </m:oMath>
      <w:r>
        <w:rPr>
          <w:rFonts w:ascii="宋体" w:hAnsi="宋体" w:eastAsia="宋体"/>
          <w:sz w:val="24"/>
        </w:rPr>
        <w:t>跟随”的格局：企业与国际组织经由</w:t>
      </w:r>
      <m:oMath>
        <m:sSub>
          <m:e>
            <m:r>
              <m:t>D</m:t>
            </m:r>
          </m:e>
          <m:sub>
            <m:r>
              <m:t>E</m:t>
            </m:r>
          </m:sub>
        </m:sSub>
        <m:d>
          <m:dPr>
            <m:begChr m:val="("/>
            <m:sepChr m:val=""/>
            <m:endChr m:val=")"/>
            <m:grow/>
          </m:dPr>
          <m:e>
            <m:r>
              <m:t>z</m:t>
            </m:r>
          </m:e>
        </m:d>
      </m:oMath>
      <w:r>
        <w:rPr>
          <w:rFonts w:ascii="宋体" w:hAnsi="宋体" w:eastAsia="宋体"/>
          <w:sz w:val="24"/>
        </w:rPr>
        <w:t>与</w:t>
      </w:r>
      <m:oMath>
        <m:sSub>
          <m:e>
            <m:r>
              <m:t>D</m:t>
            </m:r>
          </m:e>
          <m:sub>
            <m:r>
              <m:t>O</m:t>
            </m:r>
          </m:sub>
        </m:sSub>
        <m:d>
          <m:dPr>
            <m:begChr m:val="("/>
            <m:sepChr m:val=""/>
            <m:endChr m:val=")"/>
            <m:grow/>
          </m:dPr>
          <m:e>
            <m:r>
              <m:t>y</m:t>
            </m:r>
          </m:e>
        </m:d>
      </m:oMath>
      <w:r>
        <w:rPr>
          <w:rFonts w:ascii="宋体" w:hAnsi="宋体" w:eastAsia="宋体"/>
          <w:sz w:val="24"/>
        </w:rPr>
        <w:t>构成双向反馈回路，政府策略则单向响应企业行为——这为下节的均衡分析提供了清晰的抓手。</w:t>
      </w:r>
    </w:p>
    <w:p>
      <w:pPr>
        <w:keepNext/>
        <w:spacing w:before="160" w:after="120" w:line="360" w:lineRule="auto"/>
        <w:outlineLvl w:val="1"/>
      </w:pPr>
      <w:r>
        <w:rPr>
          <w:rFonts w:ascii="黑体" w:hAnsi="黑体" w:eastAsia="黑体"/>
          <w:sz w:val="28"/>
        </w:rPr>
        <w:t>7.4  均衡点与稳定性分析</w:t>
      </w:r>
    </w:p>
    <w:p>
      <w:pPr>
        <w:keepNext/>
        <w:spacing w:before="160" w:after="120" w:line="360" w:lineRule="auto"/>
        <w:outlineLvl w:val="2"/>
      </w:pPr>
      <w:r>
        <w:rPr>
          <w:rFonts w:ascii="黑体" w:hAnsi="黑体" w:eastAsia="黑体"/>
          <w:sz w:val="24"/>
        </w:rPr>
        <w:t>7.4.1  纯策略均衡点与雅可比矩阵</w:t>
      </w:r>
    </w:p>
    <w:p>
      <w:pPr>
        <w:spacing w:line="360" w:lineRule="auto" w:after="0"/>
        <w:ind w:firstLineChars="200" w:firstLine="480"/>
        <w:jc w:val="both"/>
      </w:pPr>
      <w:r>
        <w:rPr>
          <w:rFonts w:ascii="宋体" w:hAnsi="宋体" w:eastAsia="宋体"/>
          <w:sz w:val="24"/>
        </w:rPr>
        <w:t>令式(7-3)、(7-5)、(7-7)右端同时为零。由于每条方程均含因子</w:t>
      </w:r>
      <m:oMath>
        <m:r>
          <m:t>x</m:t>
        </m:r>
        <m:d>
          <m:dPr>
            <m:begChr m:val="("/>
            <m:sepChr m:val=""/>
            <m:endChr m:val=")"/>
            <m:grow/>
          </m:dPr>
          <m:e>
            <m:r>
              <m:t>1</m:t>
            </m:r>
            <m:r>
              <m:rPr>
                <m:sty m:val="p"/>
              </m:rPr>
              <m:t>−</m:t>
            </m:r>
            <m:r>
              <m:t>x</m:t>
            </m:r>
          </m:e>
        </m:d>
      </m:oMath>
      <w:r>
        <w:rPr>
          <w:rFonts w:ascii="宋体" w:hAnsi="宋体" w:eastAsia="宋体"/>
          <w:sz w:val="24"/>
        </w:rPr>
        <w:t>、</w:t>
      </w:r>
      <m:oMath>
        <m:r>
          <m:t>y</m:t>
        </m:r>
        <m:d>
          <m:dPr>
            <m:begChr m:val="("/>
            <m:sepChr m:val=""/>
            <m:endChr m:val=")"/>
            <m:grow/>
          </m:dPr>
          <m:e>
            <m:r>
              <m:t>1</m:t>
            </m:r>
            <m:r>
              <m:rPr>
                <m:sty m:val="p"/>
              </m:rPr>
              <m:t>−</m:t>
            </m:r>
            <m:r>
              <m:t>y</m:t>
            </m:r>
          </m:e>
        </m:d>
      </m:oMath>
      <w:r>
        <w:rPr>
          <w:rFonts w:ascii="宋体" w:hAnsi="宋体" w:eastAsia="宋体"/>
          <w:sz w:val="24"/>
        </w:rPr>
        <w:t>或</w:t>
      </w:r>
      <m:oMath>
        <m:r>
          <m:t>z</m:t>
        </m:r>
        <m:d>
          <m:dPr>
            <m:begChr m:val="("/>
            <m:sepChr m:val=""/>
            <m:endChr m:val=")"/>
            <m:grow/>
          </m:dPr>
          <m:e>
            <m:r>
              <m:t>1</m:t>
            </m:r>
            <m:r>
              <m:rPr>
                <m:sty m:val="p"/>
              </m:rPr>
              <m:t>−</m:t>
            </m:r>
            <m:r>
              <m:t>z</m:t>
            </m:r>
          </m:e>
        </m:d>
      </m:oMath>
      <w:r>
        <w:rPr>
          <w:rFonts w:ascii="宋体" w:hAnsi="宋体" w:eastAsia="宋体"/>
          <w:sz w:val="24"/>
        </w:rPr>
        <w:t>，单位立方体的八个顶点恒为均衡点，对应八种纯策略组合。为便于表述，记</w:t>
      </w:r>
      <m:oMath>
        <m:sSub>
          <m:e>
            <m:r>
              <m:t>E</m:t>
            </m:r>
          </m:e>
          <m:sub>
            <m:r>
              <m:t>1</m:t>
            </m:r>
          </m:sub>
        </m:sSub>
        <m:r>
          <m:rPr>
            <m:sty m:val="p"/>
          </m:rPr>
          <m:t>=</m:t>
        </m:r>
        <m:d>
          <m:dPr>
            <m:begChr m:val="("/>
            <m:sepChr m:val=""/>
            <m:endChr m:val=")"/>
            <m:grow/>
          </m:dPr>
          <m:e>
            <m:r>
              <m:t>1</m:t>
            </m:r>
            <m:r>
              <m:rPr>
                <m:sty m:val="p"/>
              </m:rPr>
              <m:t>,</m:t>
            </m:r>
            <m:r>
              <m:t>0</m:t>
            </m:r>
            <m:r>
              <m:rPr>
                <m:sty m:val="p"/>
              </m:rPr>
              <m:t>,</m:t>
            </m:r>
            <m:r>
              <m:t>0</m:t>
            </m:r>
          </m:e>
        </m:d>
      </m:oMath>
      <w:r>
        <w:rPr>
          <w:rFonts w:ascii="宋体" w:hAnsi="宋体" w:eastAsia="宋体"/>
          <w:sz w:val="24"/>
        </w:rPr>
        <w:t>（强制推行，被动观望，排斥壁垒）、</w:t>
      </w:r>
      <m:oMath>
        <m:sSub>
          <m:e>
            <m:r>
              <m:t>E</m:t>
            </m:r>
          </m:e>
          <m:sub>
            <m:r>
              <m:t>2</m:t>
            </m:r>
          </m:sub>
        </m:sSub>
        <m:r>
          <m:rPr>
            <m:sty m:val="p"/>
          </m:rPr>
          <m:t>=</m:t>
        </m:r>
        <m:d>
          <m:dPr>
            <m:begChr m:val="("/>
            <m:sepChr m:val=""/>
            <m:endChr m:val=")"/>
            <m:grow/>
          </m:dPr>
          <m:e>
            <m:r>
              <m:t>0</m:t>
            </m:r>
            <m:r>
              <m:rPr>
                <m:sty m:val="p"/>
              </m:rPr>
              <m:t>,</m:t>
            </m:r>
            <m:r>
              <m:t>1</m:t>
            </m:r>
            <m:r>
              <m:rPr>
                <m:sty m:val="p"/>
              </m:rPr>
              <m:t>,</m:t>
            </m:r>
            <m:r>
              <m:t>1</m:t>
            </m:r>
          </m:e>
        </m:d>
      </m:oMath>
      <w:r>
        <w:rPr>
          <w:rFonts w:ascii="宋体" w:hAnsi="宋体" w:eastAsia="宋体"/>
          <w:sz w:val="24"/>
        </w:rPr>
        <w:t>（激励引导，积极响应，接纳衔接），其余六点依次记为</w:t>
      </w:r>
      <m:oMath>
        <m:sSub>
          <m:e>
            <m:r>
              <m:t>E</m:t>
            </m:r>
          </m:e>
          <m:sub>
            <m:r>
              <m:t>3</m:t>
            </m:r>
          </m:sub>
        </m:sSub>
        <m:r>
          <m:rPr>
            <m:sty m:val="p"/>
          </m:rPr>
          <m:t>=</m:t>
        </m:r>
        <m:d>
          <m:dPr>
            <m:begChr m:val="("/>
            <m:sepChr m:val=""/>
            <m:endChr m:val=")"/>
            <m:grow/>
          </m:dPr>
          <m:e>
            <m:r>
              <m:t>0</m:t>
            </m:r>
            <m:r>
              <m:rPr>
                <m:sty m:val="p"/>
              </m:rPr>
              <m:t>,</m:t>
            </m:r>
            <m:r>
              <m:t>0</m:t>
            </m:r>
            <m:r>
              <m:rPr>
                <m:sty m:val="p"/>
              </m:rPr>
              <m:t>,</m:t>
            </m:r>
            <m:r>
              <m:t>0</m:t>
            </m:r>
          </m:e>
        </m:d>
      </m:oMath>
      <w:r>
        <w:rPr>
          <w:rFonts w:ascii="宋体" w:hAnsi="宋体" w:eastAsia="宋体"/>
          <w:sz w:val="24"/>
        </w:rPr>
        <w:t>、</w:t>
      </w:r>
      <m:oMath>
        <m:sSub>
          <m:e>
            <m:r>
              <m:t>E</m:t>
            </m:r>
          </m:e>
          <m:sub>
            <m:r>
              <m:t>4</m:t>
            </m:r>
          </m:sub>
        </m:sSub>
        <m:r>
          <m:rPr>
            <m:sty m:val="p"/>
          </m:rPr>
          <m:t>=</m:t>
        </m:r>
        <m:d>
          <m:dPr>
            <m:begChr m:val="("/>
            <m:sepChr m:val=""/>
            <m:endChr m:val=")"/>
            <m:grow/>
          </m:dPr>
          <m:e>
            <m:r>
              <m:t>1</m:t>
            </m:r>
            <m:r>
              <m:rPr>
                <m:sty m:val="p"/>
              </m:rPr>
              <m:t>,</m:t>
            </m:r>
            <m:r>
              <m:t>1</m:t>
            </m:r>
            <m:r>
              <m:rPr>
                <m:sty m:val="p"/>
              </m:rPr>
              <m:t>,</m:t>
            </m:r>
            <m:r>
              <m:t>0</m:t>
            </m:r>
          </m:e>
        </m:d>
      </m:oMath>
      <w:r>
        <w:rPr>
          <w:rFonts w:ascii="宋体" w:hAnsi="宋体" w:eastAsia="宋体"/>
          <w:sz w:val="24"/>
        </w:rPr>
        <w:t>、</w:t>
      </w:r>
      <m:oMath>
        <m:sSub>
          <m:e>
            <m:r>
              <m:t>E</m:t>
            </m:r>
          </m:e>
          <m:sub>
            <m:r>
              <m:t>5</m:t>
            </m:r>
          </m:sub>
        </m:sSub>
        <m:r>
          <m:rPr>
            <m:sty m:val="p"/>
          </m:rPr>
          <m:t>=</m:t>
        </m:r>
        <m:d>
          <m:dPr>
            <m:begChr m:val="("/>
            <m:sepChr m:val=""/>
            <m:endChr m:val=")"/>
            <m:grow/>
          </m:dPr>
          <m:e>
            <m:r>
              <m:t>1</m:t>
            </m:r>
            <m:r>
              <m:rPr>
                <m:sty m:val="p"/>
              </m:rPr>
              <m:t>,</m:t>
            </m:r>
            <m:r>
              <m:t>0</m:t>
            </m:r>
            <m:r>
              <m:rPr>
                <m:sty m:val="p"/>
              </m:rPr>
              <m:t>,</m:t>
            </m:r>
            <m:r>
              <m:t>1</m:t>
            </m:r>
          </m:e>
        </m:d>
      </m:oMath>
      <w:r>
        <w:rPr>
          <w:rFonts w:ascii="宋体" w:hAnsi="宋体" w:eastAsia="宋体"/>
          <w:sz w:val="24"/>
        </w:rPr>
        <w:t>、</w:t>
      </w:r>
      <m:oMath>
        <m:sSub>
          <m:e>
            <m:r>
              <m:t>E</m:t>
            </m:r>
          </m:e>
          <m:sub>
            <m:r>
              <m:t>6</m:t>
            </m:r>
          </m:sub>
        </m:sSub>
        <m:r>
          <m:rPr>
            <m:sty m:val="p"/>
          </m:rPr>
          <m:t>=</m:t>
        </m:r>
        <m:d>
          <m:dPr>
            <m:begChr m:val="("/>
            <m:sepChr m:val=""/>
            <m:endChr m:val=")"/>
            <m:grow/>
          </m:dPr>
          <m:e>
            <m:r>
              <m:t>1</m:t>
            </m:r>
            <m:r>
              <m:rPr>
                <m:sty m:val="p"/>
              </m:rPr>
              <m:t>,</m:t>
            </m:r>
            <m:r>
              <m:t>1</m:t>
            </m:r>
            <m:r>
              <m:rPr>
                <m:sty m:val="p"/>
              </m:rPr>
              <m:t>,</m:t>
            </m:r>
            <m:r>
              <m:t>1</m:t>
            </m:r>
          </m:e>
        </m:d>
      </m:oMath>
      <w:r>
        <w:rPr>
          <w:rFonts w:ascii="宋体" w:hAnsi="宋体" w:eastAsia="宋体"/>
          <w:sz w:val="24"/>
        </w:rPr>
        <w:t>、</w:t>
      </w:r>
      <m:oMath>
        <m:sSub>
          <m:e>
            <m:r>
              <m:t>E</m:t>
            </m:r>
          </m:e>
          <m:sub>
            <m:r>
              <m:t>7</m:t>
            </m:r>
          </m:sub>
        </m:sSub>
        <m:r>
          <m:rPr>
            <m:sty m:val="p"/>
          </m:rPr>
          <m:t>=</m:t>
        </m:r>
        <m:d>
          <m:dPr>
            <m:begChr m:val="("/>
            <m:sepChr m:val=""/>
            <m:endChr m:val=")"/>
            <m:grow/>
          </m:dPr>
          <m:e>
            <m:r>
              <m:t>0</m:t>
            </m:r>
            <m:r>
              <m:rPr>
                <m:sty m:val="p"/>
              </m:rPr>
              <m:t>,</m:t>
            </m:r>
            <m:r>
              <m:t>1</m:t>
            </m:r>
            <m:r>
              <m:rPr>
                <m:sty m:val="p"/>
              </m:rPr>
              <m:t>,</m:t>
            </m:r>
            <m:r>
              <m:t>0</m:t>
            </m:r>
          </m:e>
        </m:d>
      </m:oMath>
      <w:r>
        <w:rPr>
          <w:rFonts w:ascii="宋体" w:hAnsi="宋体" w:eastAsia="宋体"/>
          <w:sz w:val="24"/>
        </w:rPr>
        <w:t>、</w:t>
      </w:r>
      <m:oMath>
        <m:sSub>
          <m:e>
            <m:r>
              <m:t>E</m:t>
            </m:r>
          </m:e>
          <m:sub>
            <m:r>
              <m:t>8</m:t>
            </m:r>
          </m:sub>
        </m:sSub>
        <m:r>
          <m:rPr>
            <m:sty m:val="p"/>
          </m:rPr>
          <m:t>=</m:t>
        </m:r>
        <m:d>
          <m:dPr>
            <m:begChr m:val="("/>
            <m:sepChr m:val=""/>
            <m:endChr m:val=")"/>
            <m:grow/>
          </m:dPr>
          <m:e>
            <m:r>
              <m:t>0</m:t>
            </m:r>
            <m:r>
              <m:rPr>
                <m:sty m:val="p"/>
              </m:rPr>
              <m:t>,</m:t>
            </m:r>
            <m:r>
              <m:t>0</m:t>
            </m:r>
            <m:r>
              <m:rPr>
                <m:sty m:val="p"/>
              </m:rPr>
              <m:t>,</m:t>
            </m:r>
            <m:r>
              <m:t>1</m:t>
            </m:r>
          </m:e>
        </m:d>
      </m:oMath>
      <w:r>
        <w:rPr>
          <w:rFonts w:ascii="宋体" w:hAnsi="宋体" w:eastAsia="宋体"/>
          <w:sz w:val="24"/>
        </w:rPr>
        <w:t>。此外，当</w:t>
      </w:r>
      <m:oMath>
        <m:sSub>
          <m:e>
            <m:r>
              <m:t>D</m:t>
            </m:r>
          </m:e>
          <m:sub>
            <m:r>
              <m:t>G</m:t>
            </m:r>
          </m:sub>
        </m:sSub>
        <m:d>
          <m:dPr>
            <m:begChr m:val="("/>
            <m:sepChr m:val=""/>
            <m:endChr m:val=")"/>
            <m:grow/>
          </m:dPr>
          <m:e>
            <m:r>
              <m:t>y</m:t>
            </m:r>
          </m:e>
        </m:d>
        <m:r>
          <m:rPr>
            <m:sty m:val="p"/>
          </m:rPr>
          <m:t>=</m:t>
        </m:r>
        <m:sSub>
          <m:e>
            <m:r>
              <m:t>D</m:t>
            </m:r>
          </m:e>
          <m:sub>
            <m:r>
              <m:t>E</m:t>
            </m:r>
          </m:sub>
        </m:sSub>
        <m:d>
          <m:dPr>
            <m:begChr m:val="("/>
            <m:sepChr m:val=""/>
            <m:endChr m:val=")"/>
            <m:grow/>
          </m:dPr>
          <m:e>
            <m:r>
              <m:t>z</m:t>
            </m:r>
          </m:e>
        </m:d>
        <m:r>
          <m:rPr>
            <m:sty m:val="p"/>
          </m:rPr>
          <m:t>=</m:t>
        </m:r>
        <m:sSub>
          <m:e>
            <m:r>
              <m:t>D</m:t>
            </m:r>
          </m:e>
          <m:sub>
            <m:r>
              <m:t>O</m:t>
            </m:r>
          </m:sub>
        </m:sSub>
        <m:d>
          <m:dPr>
            <m:begChr m:val="("/>
            <m:sepChr m:val=""/>
            <m:endChr m:val=")"/>
            <m:grow/>
          </m:dPr>
          <m:e>
            <m:r>
              <m:t>y</m:t>
            </m:r>
          </m:e>
        </m:d>
        <m:r>
          <m:rPr>
            <m:sty m:val="p"/>
          </m:rPr>
          <m:t>=</m:t>
        </m:r>
        <m:r>
          <m:t>0</m:t>
        </m:r>
      </m:oMath>
      <w:r>
        <w:rPr>
          <w:rFonts w:ascii="宋体" w:hAnsi="宋体" w:eastAsia="宋体"/>
          <w:sz w:val="24"/>
        </w:rPr>
        <w:t>同时成立时可能出现内部混合均衡，但</w:t>
      </w:r>
      <m:oMath>
        <m:sSub>
          <m:e>
            <m:r>
              <m:t>D</m:t>
            </m:r>
          </m:e>
          <m:sub>
            <m:r>
              <m:t>G</m:t>
            </m:r>
          </m:sub>
        </m:sSub>
      </m:oMath>
      <w:r>
        <w:rPr>
          <w:rFonts w:ascii="宋体" w:hAnsi="宋体" w:eastAsia="宋体"/>
          <w:sz w:val="24"/>
        </w:rPr>
        <w:t>与</w:t>
      </w:r>
      <m:oMath>
        <m:sSub>
          <m:e>
            <m:r>
              <m:t>D</m:t>
            </m:r>
          </m:e>
          <m:sub>
            <m:r>
              <m:t>O</m:t>
            </m:r>
          </m:sub>
        </m:sSub>
      </m:oMath>
      <w:r>
        <w:rPr>
          <w:rFonts w:ascii="宋体" w:hAnsi="宋体" w:eastAsia="宋体"/>
          <w:sz w:val="24"/>
        </w:rPr>
        <w:t>对</w:t>
      </w:r>
      <m:oMath>
        <m:r>
          <m:t>y</m:t>
        </m:r>
      </m:oMath>
      <w:r>
        <w:rPr>
          <w:rFonts w:ascii="宋体" w:hAnsi="宋体" w:eastAsia="宋体"/>
          <w:sz w:val="24"/>
        </w:rPr>
        <w:t>提出的要求一般不一致（基准参数下分别要求</w:t>
      </w:r>
      <m:oMath>
        <m:r>
          <m:t>y</m:t>
        </m:r>
        <m:r>
          <m:rPr>
            <m:sty m:val="p"/>
          </m:rPr>
          <m:t>=</m:t>
        </m:r>
        <m:r>
          <m:t>0.286</m:t>
        </m:r>
      </m:oMath>
      <w:r>
        <w:rPr>
          <w:rFonts w:ascii="宋体" w:hAnsi="宋体" w:eastAsia="宋体"/>
          <w:sz w:val="24"/>
        </w:rPr>
        <w:t>与</w:t>
      </w:r>
      <m:oMath>
        <m:r>
          <m:t>y</m:t>
        </m:r>
        <m:r>
          <m:rPr>
            <m:sty m:val="p"/>
          </m:rPr>
          <m:t>=</m:t>
        </m:r>
        <m:r>
          <m:t>0.437</m:t>
        </m:r>
      </m:oMath>
      <w:r>
        <w:rPr>
          <w:rFonts w:ascii="宋体" w:hAnsi="宋体" w:eastAsia="宋体"/>
          <w:sz w:val="24"/>
        </w:rPr>
        <w:t>），故内部均衡通常不存在；立方体各面内的混合不动点可以验证均非渐近稳定。按演化博弈的一般结论，渐近稳定的演化稳定策略（ESS）只能出现在纯策略顶点处（Friedman，1991），稳定性判别由系统的雅可比矩阵完成。对三条复制动态方程分别求偏导数，得</w:t>
      </w:r>
    </w:p>
    <w:p>
      <w:pPr>
        <w:tabs>
          <w:tab w:pos="4252" w:val="center"/>
          <w:tab w:pos="8504" w:val="right"/>
        </w:tabs>
        <w:spacing w:line="360" w:lineRule="auto" w:before="80" w:after="80"/>
      </w:pPr>
      <w:r>
        <w:tab/>
      </w:r>
      <m:oMath>
        <m:r>
          <m:t>J</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d>
                    <m:dPr>
                      <m:begChr m:val="("/>
                      <m:sepChr m:val=""/>
                      <m:endChr m:val=")"/>
                      <m:grow/>
                    </m:dPr>
                    <m:e>
                      <m:r>
                        <m:t>1</m:t>
                      </m:r>
                      <m:r>
                        <m:rPr>
                          <m:sty m:val="p"/>
                        </m:rPr>
                        <m:t>−</m:t>
                      </m:r>
                      <m:r>
                        <m:t>2</m:t>
                      </m:r>
                      <m:r>
                        <m:t>x</m:t>
                      </m:r>
                    </m:e>
                  </m:d>
                  <m:sSub>
                    <m:e>
                      <m:r>
                        <m:t>D</m:t>
                      </m:r>
                    </m:e>
                    <m:sub>
                      <m:r>
                        <m:t>G</m:t>
                      </m:r>
                    </m:sub>
                  </m:sSub>
                  <m:d>
                    <m:dPr>
                      <m:begChr m:val="("/>
                      <m:sepChr m:val=""/>
                      <m:endChr m:val=")"/>
                      <m:grow/>
                    </m:dPr>
                    <m:e>
                      <m:r>
                        <m:t>y</m:t>
                      </m:r>
                    </m:e>
                  </m:d>
                </m:e>
                <m:e>
                  <m:r>
                    <m:rPr>
                      <m:sty m:val="p"/>
                    </m:rPr>
                    <m:t>−</m:t>
                  </m:r>
                  <m:r>
                    <m:t>x</m:t>
                  </m:r>
                  <m:d>
                    <m:dPr>
                      <m:begChr m:val="("/>
                      <m:sepChr m:val=""/>
                      <m:endChr m:val=")"/>
                      <m:grow/>
                    </m:dPr>
                    <m:e>
                      <m:r>
                        <m:t>1</m:t>
                      </m:r>
                      <m:r>
                        <m:rPr>
                          <m:sty m:val="p"/>
                        </m:rPr>
                        <m:t>−</m:t>
                      </m:r>
                      <m:r>
                        <m:t>x</m:t>
                      </m:r>
                    </m:e>
                  </m:d>
                  <m:d>
                    <m:dPr>
                      <m:begChr m:val="("/>
                      <m:sepChr m:val=""/>
                      <m:endChr m:val=")"/>
                      <m:grow/>
                    </m:dPr>
                    <m:e>
                      <m:sSub>
                        <m:e>
                          <m:r>
                            <m:t>R</m:t>
                          </m:r>
                        </m:e>
                        <m:sub>
                          <m:r>
                            <m:t>G</m:t>
                          </m:r>
                        </m:sub>
                      </m:sSub>
                      <m:r>
                        <m:rPr>
                          <m:sty m:val="p"/>
                        </m:rPr>
                        <m:t>−</m:t>
                      </m:r>
                      <m:r>
                        <m:t>s</m:t>
                      </m:r>
                    </m:e>
                  </m:d>
                </m:e>
                <m:e>
                  <m:r>
                    <m:t>0</m:t>
                  </m:r>
                </m:e>
              </m:mr>
              <m:mr>
                <m:e>
                  <m:r>
                    <m:t>0</m:t>
                  </m:r>
                </m:e>
                <m:e>
                  <m:d>
                    <m:dPr>
                      <m:begChr m:val="("/>
                      <m:sepChr m:val=""/>
                      <m:endChr m:val=")"/>
                      <m:grow/>
                    </m:dPr>
                    <m:e>
                      <m:r>
                        <m:t>1</m:t>
                      </m:r>
                      <m:r>
                        <m:rPr>
                          <m:sty m:val="p"/>
                        </m:rPr>
                        <m:t>−</m:t>
                      </m:r>
                      <m:r>
                        <m:t>2</m:t>
                      </m:r>
                      <m:r>
                        <m:t>y</m:t>
                      </m:r>
                    </m:e>
                  </m:d>
                  <m:sSub>
                    <m:e>
                      <m:r>
                        <m:t>D</m:t>
                      </m:r>
                    </m:e>
                    <m:sub>
                      <m:r>
                        <m:t>E</m:t>
                      </m:r>
                    </m:sub>
                  </m:sSub>
                  <m:d>
                    <m:dPr>
                      <m:begChr m:val="("/>
                      <m:sepChr m:val=""/>
                      <m:endChr m:val=")"/>
                      <m:grow/>
                    </m:dPr>
                    <m:e>
                      <m:r>
                        <m:t>z</m:t>
                      </m:r>
                    </m:e>
                  </m:d>
                </m:e>
                <m:e>
                  <m:r>
                    <m:t>y</m:t>
                  </m:r>
                  <m:d>
                    <m:dPr>
                      <m:begChr m:val="("/>
                      <m:sepChr m:val=""/>
                      <m:endChr m:val=")"/>
                      <m:grow/>
                    </m:dPr>
                    <m:e>
                      <m:r>
                        <m:t>1</m:t>
                      </m:r>
                      <m:r>
                        <m:rPr>
                          <m:sty m:val="p"/>
                        </m:rPr>
                        <m:t>−</m:t>
                      </m:r>
                      <m:r>
                        <m:t>y</m:t>
                      </m:r>
                    </m:e>
                  </m:d>
                  <m:d>
                    <m:dPr>
                      <m:begChr m:val="["/>
                      <m:sepChr m:val=""/>
                      <m:endChr m:val="]"/>
                      <m:grow/>
                    </m:dPr>
                    <m:e>
                      <m:d>
                        <m:dPr>
                          <m:begChr m:val="("/>
                          <m:sepChr m:val=""/>
                          <m:endChr m:val=")"/>
                          <m:grow/>
                        </m:dPr>
                        <m:e>
                          <m:r>
                            <m:t>1</m:t>
                          </m:r>
                          <m:r>
                            <m:rPr>
                              <m:sty m:val="p"/>
                            </m:rPr>
                            <m:t>−</m:t>
                          </m:r>
                          <m:r>
                            <m:t>η</m:t>
                          </m:r>
                        </m:e>
                      </m:d>
                      <m:r>
                        <m:t>Λ</m:t>
                      </m:r>
                      <m:r>
                        <m:rPr>
                          <m:sty m:val="p"/>
                        </m:rPr>
                        <m:t>+</m:t>
                      </m:r>
                      <m:r>
                        <m:t>μ</m:t>
                      </m:r>
                      <m:r>
                        <m:t>F</m:t>
                      </m:r>
                    </m:e>
                  </m:d>
                </m:e>
              </m:mr>
              <m:mr>
                <m:e>
                  <m:r>
                    <m:t>0</m:t>
                  </m:r>
                </m:e>
                <m:e>
                  <m:r>
                    <m:t>z</m:t>
                  </m:r>
                  <m:d>
                    <m:dPr>
                      <m:begChr m:val="("/>
                      <m:sepChr m:val=""/>
                      <m:endChr m:val=")"/>
                      <m:grow/>
                    </m:dPr>
                    <m:e>
                      <m:r>
                        <m:t>1</m:t>
                      </m:r>
                      <m:r>
                        <m:rPr>
                          <m:sty m:val="p"/>
                        </m:rPr>
                        <m:t>−</m:t>
                      </m:r>
                      <m:r>
                        <m:t>z</m:t>
                      </m:r>
                    </m:e>
                  </m:d>
                  <m:d>
                    <m:dPr>
                      <m:begChr m:val="("/>
                      <m:sepChr m:val=""/>
                      <m:endChr m:val=")"/>
                      <m:grow/>
                    </m:dPr>
                    <m:e>
                      <m:sSub>
                        <m:e>
                          <m:r>
                            <m:t>R</m:t>
                          </m:r>
                        </m:e>
                        <m:sub>
                          <m:r>
                            <m:t>O</m:t>
                          </m:r>
                        </m:sub>
                      </m:sSub>
                      <m:r>
                        <m:rPr>
                          <m:sty m:val="p"/>
                        </m:rPr>
                        <m:t>+</m:t>
                      </m:r>
                      <m:sSub>
                        <m:e>
                          <m:r>
                            <m:t>L</m:t>
                          </m:r>
                        </m:e>
                        <m:sub>
                          <m:r>
                            <m:t>O</m:t>
                          </m:r>
                        </m:sub>
                      </m:sSub>
                    </m:e>
                  </m:d>
                </m:e>
                <m:e>
                  <m:d>
                    <m:dPr>
                      <m:begChr m:val="("/>
                      <m:sepChr m:val=""/>
                      <m:endChr m:val=")"/>
                      <m:grow/>
                    </m:dPr>
                    <m:e>
                      <m:r>
                        <m:t>1</m:t>
                      </m:r>
                      <m:r>
                        <m:rPr>
                          <m:sty m:val="p"/>
                        </m:rPr>
                        <m:t>−</m:t>
                      </m:r>
                      <m:r>
                        <m:t>2</m:t>
                      </m:r>
                      <m:r>
                        <m:t>z</m:t>
                      </m:r>
                    </m:e>
                  </m:d>
                  <m:sSub>
                    <m:e>
                      <m:r>
                        <m:t>D</m:t>
                      </m:r>
                    </m:e>
                    <m:sub>
                      <m:r>
                        <m:t>O</m:t>
                      </m:r>
                    </m:sub>
                  </m:sSub>
                  <m:d>
                    <m:dPr>
                      <m:begChr m:val="("/>
                      <m:sepChr m:val=""/>
                      <m:endChr m:val=")"/>
                      <m:grow/>
                    </m:dPr>
                    <m:e>
                      <m:r>
                        <m:t>y</m:t>
                      </m:r>
                    </m:e>
                  </m:d>
                </m:e>
              </m:mr>
            </m:m>
          </m:e>
        </m:d>
      </m:oMath>
      <w:r>
        <w:tab/>
      </w:r>
      <w:r>
        <w:rPr>
          <w:rFonts w:ascii="Times New Roman" w:hAnsi="Times New Roman" w:eastAsia="宋体"/>
          <w:sz w:val="24"/>
        </w:rPr>
        <w:t>(7-8)</w:t>
      </w:r>
    </w:p>
    <w:p>
      <w:pPr>
        <w:spacing w:line="360" w:lineRule="auto" w:after="0"/>
        <w:jc w:val="both"/>
      </w:pPr>
      <w:r>
        <w:rPr>
          <w:rFonts w:ascii="宋体" w:hAnsi="宋体" w:eastAsia="宋体"/>
          <w:sz w:val="24"/>
        </w:rPr>
        <w:t>其中，对角元刻画各主体策略比例偏离均衡后的自我修正（或自我强化）强度，非对角元刻画交叉影响；</w:t>
      </w:r>
      <m:oMath>
        <m:r>
          <m:t>x</m:t>
        </m:r>
      </m:oMath>
      <w:r>
        <w:rPr>
          <w:rFonts w:ascii="宋体" w:hAnsi="宋体" w:eastAsia="宋体"/>
          <w:sz w:val="24"/>
        </w:rPr>
        <w:t>所在行、列的非对角元结构再次印证政府维度的单向跟随特征。</w:t>
      </w:r>
    </w:p>
    <w:p>
      <w:pPr>
        <w:spacing w:line="360" w:lineRule="auto" w:after="0"/>
        <w:ind w:firstLineChars="200" w:firstLine="480"/>
        <w:jc w:val="both"/>
      </w:pPr>
      <w:r>
        <w:rPr>
          <w:rFonts w:ascii="宋体" w:hAnsi="宋体" w:eastAsia="宋体"/>
          <w:sz w:val="24"/>
        </w:rPr>
        <w:t>在八个顶点处，</w:t>
      </w:r>
      <m:oMath>
        <m:r>
          <m:t>x</m:t>
        </m:r>
        <m:d>
          <m:dPr>
            <m:begChr m:val="("/>
            <m:sepChr m:val=""/>
            <m:endChr m:val=")"/>
            <m:grow/>
          </m:dPr>
          <m:e>
            <m:r>
              <m:t>1</m:t>
            </m:r>
            <m:r>
              <m:rPr>
                <m:sty m:val="p"/>
              </m:rPr>
              <m:t>−</m:t>
            </m:r>
            <m:r>
              <m:t>x</m:t>
            </m:r>
          </m:e>
        </m:d>
        <m:r>
          <m:rPr>
            <m:sty m:val="p"/>
          </m:rPr>
          <m:t>=</m:t>
        </m:r>
        <m:r>
          <m:t>y</m:t>
        </m:r>
        <m:d>
          <m:dPr>
            <m:begChr m:val="("/>
            <m:sepChr m:val=""/>
            <m:endChr m:val=")"/>
            <m:grow/>
          </m:dPr>
          <m:e>
            <m:r>
              <m:t>1</m:t>
            </m:r>
            <m:r>
              <m:rPr>
                <m:sty m:val="p"/>
              </m:rPr>
              <m:t>−</m:t>
            </m:r>
            <m:r>
              <m:t>y</m:t>
            </m:r>
          </m:e>
        </m:d>
        <m:r>
          <m:rPr>
            <m:sty m:val="p"/>
          </m:rPr>
          <m:t>=</m:t>
        </m:r>
        <m:r>
          <m:t>z</m:t>
        </m:r>
        <m:d>
          <m:dPr>
            <m:begChr m:val="("/>
            <m:sepChr m:val=""/>
            <m:endChr m:val=")"/>
            <m:grow/>
          </m:dPr>
          <m:e>
            <m:r>
              <m:t>1</m:t>
            </m:r>
            <m:r>
              <m:rPr>
                <m:sty m:val="p"/>
              </m:rPr>
              <m:t>−</m:t>
            </m:r>
            <m:r>
              <m:t>z</m:t>
            </m:r>
          </m:e>
        </m:d>
        <m:r>
          <m:rPr>
            <m:sty m:val="p"/>
          </m:rPr>
          <m:t>=</m:t>
        </m:r>
        <m:r>
          <m:t>0</m:t>
        </m:r>
      </m:oMath>
      <w:r>
        <w:rPr>
          <w:rFonts w:ascii="宋体" w:hAnsi="宋体" w:eastAsia="宋体"/>
          <w:sz w:val="24"/>
        </w:rPr>
        <w:t>，式(7-8)的所有非对角元消失，雅可比矩阵退化为对角阵，三个特征根直接由对角元给出：</w:t>
      </w:r>
    </w:p>
    <w:p>
      <w:pPr>
        <w:tabs>
          <w:tab w:pos="4252" w:val="center"/>
          <w:tab w:pos="8504" w:val="right"/>
        </w:tabs>
        <w:spacing w:line="360" w:lineRule="auto" w:before="80" w:after="80"/>
      </w:pPr>
      <w:r>
        <w:tab/>
      </w:r>
      <m:oMath>
        <m:sSub>
          <m:e>
            <m:r>
              <m:t>λ</m:t>
            </m:r>
          </m:e>
          <m:sub>
            <m:r>
              <m:t>1</m:t>
            </m:r>
          </m:sub>
        </m:sSub>
        <m:r>
          <m:rPr>
            <m:sty m:val="p"/>
          </m:rPr>
          <m:t>=</m:t>
        </m:r>
        <m:d>
          <m:dPr>
            <m:begChr m:val="("/>
            <m:sepChr m:val=""/>
            <m:endChr m:val=")"/>
            <m:grow/>
          </m:dPr>
          <m:e>
            <m:r>
              <m:t>1</m:t>
            </m:r>
            <m:r>
              <m:rPr>
                <m:sty m:val="p"/>
              </m:rPr>
              <m:t>−</m:t>
            </m:r>
            <m:r>
              <m:t>2</m:t>
            </m:r>
            <m:r>
              <m:t>x</m:t>
            </m:r>
          </m:e>
        </m:d>
        <m:sSub>
          <m:e>
            <m:r>
              <m:t>D</m:t>
            </m:r>
          </m:e>
          <m:sub>
            <m:r>
              <m:t>G</m:t>
            </m:r>
          </m:sub>
        </m:sSub>
        <m:d>
          <m:dPr>
            <m:begChr m:val="("/>
            <m:sepChr m:val=""/>
            <m:endChr m:val=")"/>
            <m:grow/>
          </m:dPr>
          <m:e>
            <m:r>
              <m:t>y</m:t>
            </m:r>
          </m:e>
        </m:d>
        <m:r>
          <m:rPr>
            <m:sty m:val="p"/>
          </m:rPr>
          <m:t>,</m:t>
        </m:r>
        <m:r>
          <m:t>  </m:t>
        </m:r>
        <m:sSub>
          <m:e>
            <m:r>
              <m:t>λ</m:t>
            </m:r>
          </m:e>
          <m:sub>
            <m:r>
              <m:t>2</m:t>
            </m:r>
          </m:sub>
        </m:sSub>
        <m:r>
          <m:rPr>
            <m:sty m:val="p"/>
          </m:rPr>
          <m:t>=</m:t>
        </m:r>
        <m:d>
          <m:dPr>
            <m:begChr m:val="("/>
            <m:sepChr m:val=""/>
            <m:endChr m:val=")"/>
            <m:grow/>
          </m:dPr>
          <m:e>
            <m:r>
              <m:t>1</m:t>
            </m:r>
            <m:r>
              <m:rPr>
                <m:sty m:val="p"/>
              </m:rPr>
              <m:t>−</m:t>
            </m:r>
            <m:r>
              <m:t>2</m:t>
            </m:r>
            <m:r>
              <m:t>y</m:t>
            </m:r>
          </m:e>
        </m:d>
        <m:sSub>
          <m:e>
            <m:r>
              <m:t>D</m:t>
            </m:r>
          </m:e>
          <m:sub>
            <m:r>
              <m:t>E</m:t>
            </m:r>
          </m:sub>
        </m:sSub>
        <m:d>
          <m:dPr>
            <m:begChr m:val="("/>
            <m:sepChr m:val=""/>
            <m:endChr m:val=")"/>
            <m:grow/>
          </m:dPr>
          <m:e>
            <m:r>
              <m:t>z</m:t>
            </m:r>
          </m:e>
        </m:d>
        <m:r>
          <m:rPr>
            <m:sty m:val="p"/>
          </m:rPr>
          <m:t>,</m:t>
        </m:r>
        <m:r>
          <m:t>  </m:t>
        </m:r>
        <m:sSub>
          <m:e>
            <m:r>
              <m:t>λ</m:t>
            </m:r>
          </m:e>
          <m:sub>
            <m:r>
              <m:t>3</m:t>
            </m:r>
          </m:sub>
        </m:sSub>
        <m:r>
          <m:rPr>
            <m:sty m:val="p"/>
          </m:rPr>
          <m:t>=</m:t>
        </m:r>
        <m:d>
          <m:dPr>
            <m:begChr m:val="("/>
            <m:sepChr m:val=""/>
            <m:endChr m:val=")"/>
            <m:grow/>
          </m:dPr>
          <m:e>
            <m:r>
              <m:t>1</m:t>
            </m:r>
            <m:r>
              <m:rPr>
                <m:sty m:val="p"/>
              </m:rPr>
              <m:t>−</m:t>
            </m:r>
            <m:r>
              <m:t>2</m:t>
            </m:r>
            <m:r>
              <m:t>z</m:t>
            </m:r>
          </m:e>
        </m:d>
        <m:sSub>
          <m:e>
            <m:r>
              <m:t>D</m:t>
            </m:r>
          </m:e>
          <m:sub>
            <m:r>
              <m:t>O</m:t>
            </m:r>
          </m:sub>
        </m:sSub>
        <m:d>
          <m:dPr>
            <m:begChr m:val="("/>
            <m:sepChr m:val=""/>
            <m:endChr m:val=")"/>
            <m:grow/>
          </m:dPr>
          <m:e>
            <m:r>
              <m:t>y</m:t>
            </m:r>
          </m:e>
        </m:d>
      </m:oMath>
      <w:r>
        <w:tab/>
      </w:r>
      <w:r>
        <w:rPr>
          <w:rFonts w:ascii="Times New Roman" w:hAnsi="Times New Roman" w:eastAsia="宋体"/>
          <w:sz w:val="24"/>
        </w:rPr>
        <w:t>(7-9)</w:t>
      </w:r>
    </w:p>
    <w:p>
      <w:pPr>
        <w:spacing w:line="360" w:lineRule="auto" w:after="0"/>
        <w:ind w:firstLineChars="200" w:firstLine="480"/>
        <w:jc w:val="both"/>
      </w:pPr>
      <w:r>
        <w:rPr>
          <w:rFonts w:ascii="宋体" w:hAnsi="宋体" w:eastAsia="宋体"/>
          <w:sz w:val="24"/>
        </w:rPr>
        <w:t>顶点均衡渐近稳定（构成ESS）的充分条件是三个特征根均为负；只要有一个为正，该点即不稳定——正特征根对应的维度上，偏离会被复制动态放大而非修正。将八个顶点的坐标逐一代入式(7-9)，即得表7.2的完整判别结果。</w:t>
      </w:r>
    </w:p>
    <w:p>
      <w:pPr>
        <w:keepNext/>
        <w:spacing w:before="160" w:after="120" w:line="360" w:lineRule="auto"/>
        <w:outlineLvl w:val="2"/>
      </w:pPr>
      <w:r>
        <w:rPr>
          <w:rFonts w:ascii="黑体" w:hAnsi="黑体" w:eastAsia="黑体"/>
          <w:sz w:val="24"/>
        </w:rPr>
        <w:t>7.4.2  八个均衡点的稳定性判别</w:t>
      </w:r>
    </w:p>
    <w:p>
      <w:pPr>
        <w:keepNext/>
        <w:spacing w:before="160" w:after="40"/>
        <w:jc w:val="center"/>
      </w:pPr>
      <w:r>
        <w:rPr>
          <w:rFonts w:ascii="黑体" w:hAnsi="黑体" w:eastAsia="黑体"/>
          <w:sz w:val="21"/>
        </w:rPr>
        <w:t>表7.2  八个纯策略均衡点的局部稳定性判别</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均衡点</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策略组合</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特征根</w:t>
            </w:r>
            <m:oMath>
              <m:sSub>
                <m:e>
                  <m:r>
                    <m:t>λ</m:t>
                  </m:r>
                </m:e>
                <m:sub>
                  <m:r>
                    <m:t>1</m:t>
                  </m:r>
                </m:sub>
              </m:sSub>
            </m:oMath>
            <w:r>
              <w:rPr>
                <w:rFonts w:ascii="宋体" w:hAnsi="宋体" w:eastAsia="宋体"/>
                <w:b/>
                <w:sz w:val="21"/>
              </w:rPr>
              <w:t>；</w:t>
            </w:r>
            <m:oMath>
              <m:sSub>
                <m:e>
                  <m:r>
                    <m:t>λ</m:t>
                  </m:r>
                </m:e>
                <m:sub>
                  <m:r>
                    <m:t>2</m:t>
                  </m:r>
                </m:sub>
              </m:sSub>
            </m:oMath>
            <w:r>
              <w:rPr>
                <w:rFonts w:ascii="宋体" w:hAnsi="宋体" w:eastAsia="宋体"/>
                <w:b/>
                <w:sz w:val="21"/>
              </w:rPr>
              <w:t>；</w:t>
            </w:r>
            <m:oMath>
              <m:sSub>
                <m:e>
                  <m:r>
                    <m:t>λ</m:t>
                  </m:r>
                </m:e>
                <m:sub>
                  <m:r>
                    <m:t>3</m:t>
                  </m:r>
                </m:sub>
              </m:sSub>
            </m:oMath>
            <w:r>
              <w:rPr>
                <w:rFonts w:ascii="宋体" w:hAnsi="宋体" w:eastAsia="宋体"/>
                <w:b/>
                <w:sz w:val="21"/>
              </w:rPr>
              <w:t>（解析式）</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基准情景取值</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稳定性</w:t>
            </w:r>
          </w:p>
        </w:tc>
      </w:tr>
      <w:tr>
        <w:tc>
          <w:tcPr>
            <w:tcW w:type="dxa" w:w="1701"/>
            <w:vAlign w:val="center"/>
          </w:tcPr>
          <w:p>
            <w:pPr>
              <w:spacing w:line="240" w:lineRule="auto" w:after="20" w:before="20"/>
              <w:jc w:val="center"/>
            </w:pPr>
            <w:r/>
            <m:oMath>
              <m:sSub>
                <m:e>
                  <m:r>
                    <m:t>E</m:t>
                  </m:r>
                </m:e>
                <m:sub>
                  <m:r>
                    <m:t>1</m:t>
                  </m:r>
                </m:sub>
              </m:sSub>
              <m:r>
                <m:rPr>
                  <m:sty m:val="p"/>
                </m:rPr>
                <m:t>=</m:t>
              </m:r>
              <m:d>
                <m:dPr>
                  <m:begChr m:val="("/>
                  <m:sepChr m:val=""/>
                  <m:endChr m:val=")"/>
                  <m:grow/>
                </m:dPr>
                <m:e>
                  <m:r>
                    <m:t>1</m:t>
                  </m:r>
                  <m:r>
                    <m:rPr>
                      <m:sty m:val="p"/>
                    </m:rPr>
                    <m:t>,</m:t>
                  </m:r>
                  <m:r>
                    <m:t>0</m:t>
                  </m:r>
                  <m:r>
                    <m:rPr>
                      <m:sty m:val="p"/>
                    </m:rPr>
                    <m:t>,</m:t>
                  </m:r>
                  <m:r>
                    <m:t>0</m:t>
                  </m:r>
                </m:e>
              </m:d>
            </m:oMath>
          </w:p>
        </w:tc>
        <w:tc>
          <w:tcPr>
            <w:tcW w:type="dxa" w:w="1701"/>
            <w:vAlign w:val="center"/>
          </w:tcPr>
          <w:p>
            <w:pPr>
              <w:spacing w:line="240" w:lineRule="auto" w:after="20" w:before="20"/>
              <w:jc w:val="left"/>
            </w:pPr>
            <w:r/>
            <w:r>
              <w:rPr>
                <w:rFonts w:ascii="宋体" w:hAnsi="宋体" w:eastAsia="宋体"/>
                <w:sz w:val="21"/>
              </w:rPr>
              <w:t>强制·观望·壁垒（被动跟跑）</w:t>
            </w:r>
          </w:p>
        </w:tc>
        <w:tc>
          <w:tcPr>
            <w:tcW w:type="dxa" w:w="1701"/>
            <w:vAlign w:val="center"/>
          </w:tcPr>
          <w:p>
            <w:pPr>
              <w:spacing w:line="240" w:lineRule="auto" w:after="20" w:before="20"/>
              <w:jc w:val="left"/>
            </w:pPr>
            <w:r/>
            <m:oMath>
              <m:r>
                <m:rPr>
                  <m:sty m:val="p"/>
                </m:rPr>
                <m:t>−</m:t>
              </m:r>
              <m:d>
                <m:dPr>
                  <m:begChr m:val="("/>
                  <m:sepChr m:val=""/>
                  <m:endChr m:val=")"/>
                  <m:grow/>
                </m:dPr>
                <m:e>
                  <m:sSub>
                    <m:e>
                      <m:r>
                        <m:t>R</m:t>
                      </m:r>
                    </m:e>
                    <m:sub>
                      <m:r>
                        <m:t>G</m:t>
                      </m:r>
                    </m:sub>
                  </m:sSub>
                  <m:r>
                    <m:rPr>
                      <m:sty m:val="p"/>
                    </m:rPr>
                    <m:t>−</m:t>
                  </m:r>
                  <m:sSub>
                    <m:e>
                      <m:r>
                        <m:t>c</m:t>
                      </m:r>
                    </m:e>
                    <m:sub>
                      <m:r>
                        <m:t>G</m:t>
                      </m:r>
                    </m:sub>
                  </m:sSub>
                </m:e>
              </m:d>
            </m:oMath>
            <w:r>
              <w:rPr>
                <w:rFonts w:ascii="宋体" w:hAnsi="宋体" w:eastAsia="宋体"/>
                <w:sz w:val="21"/>
              </w:rPr>
              <w:t>；</w:t>
            </w:r>
            <m:oMath>
              <m:r>
                <m:t>η</m:t>
              </m:r>
              <m:r>
                <m:t>Λ</m:t>
              </m:r>
              <m:r>
                <m:rPr>
                  <m:sty m:val="p"/>
                </m:rPr>
                <m:t>+</m:t>
              </m:r>
              <m:r>
                <m:t>s</m:t>
              </m:r>
              <m:r>
                <m:rPr>
                  <m:sty m:val="p"/>
                </m:rPr>
                <m:t>−</m:t>
              </m:r>
              <m:sSub>
                <m:e>
                  <m:r>
                    <m:t>c</m:t>
                  </m:r>
                </m:e>
                <m:sub>
                  <m:r>
                    <m:t>E</m:t>
                  </m:r>
                </m:sub>
              </m:sSub>
              <m:r>
                <m:rPr>
                  <m:sty m:val="p"/>
                </m:rPr>
                <m:t>−</m:t>
              </m:r>
              <m:r>
                <m:t>μ</m:t>
              </m:r>
              <m:r>
                <m:t>F</m:t>
              </m:r>
            </m:oMath>
            <w:r>
              <w:rPr>
                <w:rFonts w:ascii="宋体" w:hAnsi="宋体" w:eastAsia="宋体"/>
                <w:sz w:val="21"/>
              </w:rPr>
              <w:t>；</w:t>
            </w:r>
            <m:oMath>
              <m:r>
                <m:t>κ</m:t>
              </m:r>
              <m:d>
                <m:dPr>
                  <m:begChr m:val="("/>
                  <m:sepChr m:val=""/>
                  <m:endChr m:val=")"/>
                  <m:grow/>
                </m:dPr>
                <m:e>
                  <m:r>
                    <m:t>Λ</m:t>
                  </m:r>
                  <m:r>
                    <m:rPr>
                      <m:sty m:val="p"/>
                    </m:rPr>
                    <m:t>−</m:t>
                  </m:r>
                  <m:sSub>
                    <m:e>
                      <m:r>
                        <m:t>Λ</m:t>
                      </m:r>
                    </m:e>
                    <m:sub>
                      <m:r>
                        <m:t>0</m:t>
                      </m:r>
                    </m:sub>
                  </m:sSub>
                </m:e>
              </m:d>
              <m:r>
                <m:rPr>
                  <m:sty m:val="p"/>
                </m:rPr>
                <m:t>−</m:t>
              </m:r>
              <m:sSub>
                <m:e>
                  <m:r>
                    <m:t>c</m:t>
                  </m:r>
                </m:e>
                <m:sub>
                  <m:r>
                    <m:t>O</m:t>
                  </m:r>
                </m:sub>
              </m:sSub>
              <m:r>
                <m:rPr>
                  <m:sty m:val="p"/>
                </m:rPr>
                <m:t>−</m:t>
              </m:r>
              <m:sSub>
                <m:e>
                  <m:r>
                    <m:t>L</m:t>
                  </m:r>
                </m:e>
                <m:sub>
                  <m:r>
                    <m:t>O</m:t>
                  </m:r>
                </m:sub>
              </m:sSub>
            </m:oMath>
          </w:p>
        </w:tc>
        <w:tc>
          <w:tcPr>
            <w:tcW w:type="dxa" w:w="1701"/>
            <w:vAlign w:val="center"/>
          </w:tcPr>
          <w:p>
            <w:pPr>
              <w:spacing w:line="240" w:lineRule="auto" w:after="20" w:before="20"/>
              <w:jc w:val="center"/>
            </w:pPr>
            <w:r/>
            <w:r>
              <w:rPr>
                <w:rFonts w:ascii="宋体" w:hAnsi="宋体" w:eastAsia="宋体"/>
                <w:sz w:val="21"/>
              </w:rPr>
              <w:t>（-0.2，-0.8，-0.7）</w:t>
            </w:r>
          </w:p>
        </w:tc>
        <w:tc>
          <w:tcPr>
            <w:tcW w:type="dxa" w:w="1701"/>
            <w:vAlign w:val="center"/>
          </w:tcPr>
          <w:p>
            <w:pPr>
              <w:spacing w:line="240" w:lineRule="auto" w:after="20" w:before="20"/>
              <w:jc w:val="center"/>
            </w:pPr>
            <w:r/>
            <w:r>
              <w:rPr>
                <w:rFonts w:ascii="宋体" w:hAnsi="宋体" w:eastAsia="宋体"/>
                <w:sz w:val="21"/>
              </w:rPr>
              <w:t>渐近稳定（ESS）</w:t>
            </w:r>
          </w:p>
        </w:tc>
      </w:tr>
      <w:tr>
        <w:tc>
          <w:tcPr>
            <w:tcW w:type="dxa" w:w="1701"/>
            <w:vAlign w:val="center"/>
          </w:tcPr>
          <w:p>
            <w:pPr>
              <w:spacing w:line="240" w:lineRule="auto" w:after="20" w:before="20"/>
              <w:jc w:val="center"/>
            </w:pPr>
            <w:r/>
            <m:oMath>
              <m:sSub>
                <m:e>
                  <m:r>
                    <m:t>E</m:t>
                  </m:r>
                </m:e>
                <m:sub>
                  <m:r>
                    <m:t>2</m:t>
                  </m:r>
                </m:sub>
              </m:sSub>
              <m:r>
                <m:rPr>
                  <m:sty m:val="p"/>
                </m:rPr>
                <m:t>=</m:t>
              </m:r>
              <m:d>
                <m:dPr>
                  <m:begChr m:val="("/>
                  <m:sepChr m:val=""/>
                  <m:endChr m:val=")"/>
                  <m:grow/>
                </m:dPr>
                <m:e>
                  <m:r>
                    <m:t>0</m:t>
                  </m:r>
                  <m:r>
                    <m:rPr>
                      <m:sty m:val="p"/>
                    </m:rPr>
                    <m:t>,</m:t>
                  </m:r>
                  <m:r>
                    <m:t>1</m:t>
                  </m:r>
                  <m:r>
                    <m:rPr>
                      <m:sty m:val="p"/>
                    </m:rPr>
                    <m:t>,</m:t>
                  </m:r>
                  <m:r>
                    <m:t>1</m:t>
                  </m:r>
                </m:e>
              </m:d>
            </m:oMath>
          </w:p>
        </w:tc>
        <w:tc>
          <w:tcPr>
            <w:tcW w:type="dxa" w:w="1701"/>
            <w:vAlign w:val="center"/>
          </w:tcPr>
          <w:p>
            <w:pPr>
              <w:spacing w:line="240" w:lineRule="auto" w:after="20" w:before="20"/>
              <w:jc w:val="left"/>
            </w:pPr>
            <w:r/>
            <w:r>
              <w:rPr>
                <w:rFonts w:ascii="宋体" w:hAnsi="宋体" w:eastAsia="宋体"/>
                <w:sz w:val="21"/>
              </w:rPr>
              <w:t>激励·响应·接纳（主动领跑）</w:t>
            </w:r>
          </w:p>
        </w:tc>
        <w:tc>
          <w:tcPr>
            <w:tcW w:type="dxa" w:w="1701"/>
            <w:vAlign w:val="center"/>
          </w:tcPr>
          <w:p>
            <w:pPr>
              <w:spacing w:line="240" w:lineRule="auto" w:after="20" w:before="20"/>
              <w:jc w:val="left"/>
            </w:pPr>
            <w:r/>
            <m:oMath>
              <m:r>
                <m:t>s</m:t>
              </m:r>
              <m:r>
                <m:rPr>
                  <m:sty m:val="p"/>
                </m:rPr>
                <m:t>−</m:t>
              </m:r>
              <m:sSub>
                <m:e>
                  <m:r>
                    <m:t>c</m:t>
                  </m:r>
                </m:e>
                <m:sub>
                  <m:r>
                    <m:t>G</m:t>
                  </m:r>
                </m:sub>
              </m:sSub>
            </m:oMath>
            <w:r>
              <w:rPr>
                <w:rFonts w:ascii="宋体" w:hAnsi="宋体" w:eastAsia="宋体"/>
                <w:sz w:val="21"/>
              </w:rPr>
              <w:t>；</w:t>
            </w:r>
            <m:oMath>
              <m:r>
                <m:rPr>
                  <m:sty m:val="p"/>
                </m:rPr>
                <m:t>−</m:t>
              </m:r>
              <m:d>
                <m:dPr>
                  <m:begChr m:val="("/>
                  <m:sepChr m:val=""/>
                  <m:endChr m:val=")"/>
                  <m:grow/>
                </m:dPr>
                <m:e>
                  <m:r>
                    <m:t>Λ</m:t>
                  </m:r>
                  <m:r>
                    <m:rPr>
                      <m:sty m:val="p"/>
                    </m:rPr>
                    <m:t>+</m:t>
                  </m:r>
                  <m:r>
                    <m:t>s</m:t>
                  </m:r>
                  <m:r>
                    <m:rPr>
                      <m:sty m:val="p"/>
                    </m:rPr>
                    <m:t>−</m:t>
                  </m:r>
                  <m:sSub>
                    <m:e>
                      <m:r>
                        <m:t>c</m:t>
                      </m:r>
                    </m:e>
                    <m:sub>
                      <m:r>
                        <m:t>E</m:t>
                      </m:r>
                    </m:sub>
                  </m:sSub>
                </m:e>
              </m:d>
            </m:oMath>
            <w:r>
              <w:rPr>
                <w:rFonts w:ascii="宋体" w:hAnsi="宋体" w:eastAsia="宋体"/>
                <w:sz w:val="21"/>
              </w:rPr>
              <w:t>；</w:t>
            </w:r>
            <m:oMath>
              <m:r>
                <m:rPr>
                  <m:sty m:val="p"/>
                </m:rPr>
                <m:t>−</m:t>
              </m:r>
              <m:d>
                <m:dPr>
                  <m:begChr m:val="["/>
                  <m:sepChr m:val=""/>
                  <m:endChr m:val="]"/>
                  <m:grow/>
                </m:dPr>
                <m:e>
                  <m:sSub>
                    <m:e>
                      <m:r>
                        <m:t>R</m:t>
                      </m:r>
                    </m:e>
                    <m:sub>
                      <m:r>
                        <m:t>O</m:t>
                      </m:r>
                    </m:sub>
                  </m:sSub>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e>
              </m:d>
            </m:oMath>
          </w:p>
        </w:tc>
        <w:tc>
          <w:tcPr>
            <w:tcW w:type="dxa" w:w="1701"/>
            <w:vAlign w:val="center"/>
          </w:tcPr>
          <w:p>
            <w:pPr>
              <w:spacing w:line="240" w:lineRule="auto" w:after="20" w:before="20"/>
              <w:jc w:val="center"/>
            </w:pPr>
            <w:r/>
            <w:r>
              <w:rPr>
                <w:rFonts w:ascii="宋体" w:hAnsi="宋体" w:eastAsia="宋体"/>
                <w:sz w:val="21"/>
              </w:rPr>
              <w:t>（-0.5，-1.2，-0.9）</w:t>
            </w:r>
          </w:p>
        </w:tc>
        <w:tc>
          <w:tcPr>
            <w:tcW w:type="dxa" w:w="1701"/>
            <w:vAlign w:val="center"/>
          </w:tcPr>
          <w:p>
            <w:pPr>
              <w:spacing w:line="240" w:lineRule="auto" w:after="20" w:before="20"/>
              <w:jc w:val="center"/>
            </w:pPr>
            <w:r/>
            <w:r>
              <w:rPr>
                <w:rFonts w:ascii="宋体" w:hAnsi="宋体" w:eastAsia="宋体"/>
                <w:sz w:val="21"/>
              </w:rPr>
              <w:t>渐近稳定（ESS）</w:t>
            </w:r>
          </w:p>
        </w:tc>
      </w:tr>
      <w:tr>
        <w:tc>
          <w:tcPr>
            <w:tcW w:type="dxa" w:w="1701"/>
            <w:vAlign w:val="center"/>
          </w:tcPr>
          <w:p>
            <w:pPr>
              <w:spacing w:line="240" w:lineRule="auto" w:after="20" w:before="20"/>
              <w:jc w:val="center"/>
            </w:pPr>
            <w:r/>
            <m:oMath>
              <m:sSub>
                <m:e>
                  <m:r>
                    <m:t>E</m:t>
                  </m:r>
                </m:e>
                <m:sub>
                  <m:r>
                    <m:t>3</m:t>
                  </m:r>
                </m:sub>
              </m:sSub>
              <m:r>
                <m:rPr>
                  <m:sty m:val="p"/>
                </m:rPr>
                <m:t>=</m:t>
              </m:r>
              <m:d>
                <m:dPr>
                  <m:begChr m:val="("/>
                  <m:sepChr m:val=""/>
                  <m:endChr m:val=")"/>
                  <m:grow/>
                </m:dPr>
                <m:e>
                  <m:r>
                    <m:t>0</m:t>
                  </m:r>
                  <m:r>
                    <m:rPr>
                      <m:sty m:val="p"/>
                    </m:rPr>
                    <m:t>,</m:t>
                  </m:r>
                  <m:r>
                    <m:t>0</m:t>
                  </m:r>
                  <m:r>
                    <m:rPr>
                      <m:sty m:val="p"/>
                    </m:rPr>
                    <m:t>,</m:t>
                  </m:r>
                  <m:r>
                    <m:t>0</m:t>
                  </m:r>
                </m:e>
              </m:d>
            </m:oMath>
          </w:p>
        </w:tc>
        <w:tc>
          <w:tcPr>
            <w:tcW w:type="dxa" w:w="1701"/>
            <w:vAlign w:val="center"/>
          </w:tcPr>
          <w:p>
            <w:pPr>
              <w:spacing w:line="240" w:lineRule="auto" w:after="20" w:before="20"/>
              <w:jc w:val="left"/>
            </w:pPr>
            <w:r/>
            <w:r>
              <w:rPr>
                <w:rFonts w:ascii="宋体" w:hAnsi="宋体" w:eastAsia="宋体"/>
                <w:sz w:val="21"/>
              </w:rPr>
              <w:t>激励·观望·壁垒</w:t>
            </w:r>
          </w:p>
        </w:tc>
        <w:tc>
          <w:tcPr>
            <w:tcW w:type="dxa" w:w="1701"/>
            <w:vAlign w:val="center"/>
          </w:tcPr>
          <w:p>
            <w:pPr>
              <w:spacing w:line="240" w:lineRule="auto" w:after="20" w:before="20"/>
              <w:jc w:val="left"/>
            </w:pPr>
            <w:r/>
            <m:oMath>
              <m:sSub>
                <m:e>
                  <m:r>
                    <m:t>R</m:t>
                  </m:r>
                </m:e>
                <m:sub>
                  <m:r>
                    <m:t>G</m:t>
                  </m:r>
                </m:sub>
              </m:sSub>
              <m:r>
                <m:rPr>
                  <m:sty m:val="p"/>
                </m:rPr>
                <m:t>−</m:t>
              </m:r>
              <m:sSub>
                <m:e>
                  <m:r>
                    <m:t>c</m:t>
                  </m:r>
                </m:e>
                <m:sub>
                  <m:r>
                    <m:t>G</m:t>
                  </m:r>
                </m:sub>
              </m:sSub>
            </m:oMath>
            <w:r>
              <w:rPr>
                <w:rFonts w:ascii="宋体" w:hAnsi="宋体" w:eastAsia="宋体"/>
                <w:sz w:val="21"/>
              </w:rPr>
              <w:t>；</w:t>
            </w:r>
            <m:oMath>
              <m:r>
                <m:t>η</m:t>
              </m:r>
              <m:r>
                <m:t>Λ</m:t>
              </m:r>
              <m:r>
                <m:rPr>
                  <m:sty m:val="p"/>
                </m:rPr>
                <m:t>+</m:t>
              </m:r>
              <m:r>
                <m:t>s</m:t>
              </m:r>
              <m:r>
                <m:rPr>
                  <m:sty m:val="p"/>
                </m:rPr>
                <m:t>−</m:t>
              </m:r>
              <m:sSub>
                <m:e>
                  <m:r>
                    <m:t>c</m:t>
                  </m:r>
                </m:e>
                <m:sub>
                  <m:r>
                    <m:t>E</m:t>
                  </m:r>
                </m:sub>
              </m:sSub>
              <m:r>
                <m:rPr>
                  <m:sty m:val="p"/>
                </m:rPr>
                <m:t>−</m:t>
              </m:r>
              <m:r>
                <m:t>μ</m:t>
              </m:r>
              <m:r>
                <m:t>F</m:t>
              </m:r>
            </m:oMath>
            <w:r>
              <w:rPr>
                <w:rFonts w:ascii="宋体" w:hAnsi="宋体" w:eastAsia="宋体"/>
                <w:sz w:val="21"/>
              </w:rPr>
              <w:t>；</w:t>
            </w:r>
            <m:oMath>
              <m:r>
                <m:t>κ</m:t>
              </m:r>
              <m:d>
                <m:dPr>
                  <m:begChr m:val="("/>
                  <m:sepChr m:val=""/>
                  <m:endChr m:val=")"/>
                  <m:grow/>
                </m:dPr>
                <m:e>
                  <m:r>
                    <m:t>Λ</m:t>
                  </m:r>
                  <m:r>
                    <m:rPr>
                      <m:sty m:val="p"/>
                    </m:rPr>
                    <m:t>−</m:t>
                  </m:r>
                  <m:sSub>
                    <m:e>
                      <m:r>
                        <m:t>Λ</m:t>
                      </m:r>
                    </m:e>
                    <m:sub>
                      <m:r>
                        <m:t>0</m:t>
                      </m:r>
                    </m:sub>
                  </m:sSub>
                </m:e>
              </m:d>
              <m:r>
                <m:rPr>
                  <m:sty m:val="p"/>
                </m:rPr>
                <m:t>−</m:t>
              </m:r>
              <m:sSub>
                <m:e>
                  <m:r>
                    <m:t>c</m:t>
                  </m:r>
                </m:e>
                <m:sub>
                  <m:r>
                    <m:t>O</m:t>
                  </m:r>
                </m:sub>
              </m:sSub>
              <m:r>
                <m:rPr>
                  <m:sty m:val="p"/>
                </m:rPr>
                <m:t>−</m:t>
              </m:r>
              <m:sSub>
                <m:e>
                  <m:r>
                    <m:t>L</m:t>
                  </m:r>
                </m:e>
                <m:sub>
                  <m:r>
                    <m:t>O</m:t>
                  </m:r>
                </m:sub>
              </m:sSub>
            </m:oMath>
          </w:p>
        </w:tc>
        <w:tc>
          <w:tcPr>
            <w:tcW w:type="dxa" w:w="1701"/>
            <w:vAlign w:val="center"/>
          </w:tcPr>
          <w:p>
            <w:pPr>
              <w:spacing w:line="240" w:lineRule="auto" w:after="20" w:before="20"/>
              <w:jc w:val="center"/>
            </w:pPr>
            <w:r/>
            <w:r>
              <w:rPr>
                <w:rFonts w:ascii="宋体" w:hAnsi="宋体" w:eastAsia="宋体"/>
                <w:sz w:val="21"/>
              </w:rPr>
              <w:t>（0.2，-0.8，-0.7）</w:t>
            </w:r>
          </w:p>
        </w:tc>
        <w:tc>
          <w:tcPr>
            <w:tcW w:type="dxa" w:w="1701"/>
            <w:vAlign w:val="center"/>
          </w:tcPr>
          <w:p>
            <w:pPr>
              <w:spacing w:line="240" w:lineRule="auto" w:after="20" w:before="20"/>
              <w:jc w:val="center"/>
            </w:pPr>
            <w:r/>
            <w:r>
              <w:rPr>
                <w:rFonts w:ascii="宋体" w:hAnsi="宋体" w:eastAsia="宋体"/>
                <w:sz w:val="21"/>
              </w:rPr>
              <w:t>鞍点（不稳定）</w:t>
            </w:r>
          </w:p>
        </w:tc>
      </w:tr>
      <w:tr>
        <w:tc>
          <w:tcPr>
            <w:tcW w:type="dxa" w:w="1701"/>
            <w:vAlign w:val="center"/>
          </w:tcPr>
          <w:p>
            <w:pPr>
              <w:spacing w:line="240" w:lineRule="auto" w:after="20" w:before="20"/>
              <w:jc w:val="center"/>
            </w:pPr>
            <w:r/>
            <m:oMath>
              <m:sSub>
                <m:e>
                  <m:r>
                    <m:t>E</m:t>
                  </m:r>
                </m:e>
                <m:sub>
                  <m:r>
                    <m:t>4</m:t>
                  </m:r>
                </m:sub>
              </m:sSub>
              <m:r>
                <m:rPr>
                  <m:sty m:val="p"/>
                </m:rPr>
                <m:t>=</m:t>
              </m:r>
              <m:d>
                <m:dPr>
                  <m:begChr m:val="("/>
                  <m:sepChr m:val=""/>
                  <m:endChr m:val=")"/>
                  <m:grow/>
                </m:dPr>
                <m:e>
                  <m:r>
                    <m:t>1</m:t>
                  </m:r>
                  <m:r>
                    <m:rPr>
                      <m:sty m:val="p"/>
                    </m:rPr>
                    <m:t>,</m:t>
                  </m:r>
                  <m:r>
                    <m:t>1</m:t>
                  </m:r>
                  <m:r>
                    <m:rPr>
                      <m:sty m:val="p"/>
                    </m:rPr>
                    <m:t>,</m:t>
                  </m:r>
                  <m:r>
                    <m:t>0</m:t>
                  </m:r>
                </m:e>
              </m:d>
            </m:oMath>
          </w:p>
        </w:tc>
        <w:tc>
          <w:tcPr>
            <w:tcW w:type="dxa" w:w="1701"/>
            <w:vAlign w:val="center"/>
          </w:tcPr>
          <w:p>
            <w:pPr>
              <w:spacing w:line="240" w:lineRule="auto" w:after="20" w:before="20"/>
              <w:jc w:val="left"/>
            </w:pPr>
            <w:r/>
            <w:r>
              <w:rPr>
                <w:rFonts w:ascii="宋体" w:hAnsi="宋体" w:eastAsia="宋体"/>
                <w:sz w:val="21"/>
              </w:rPr>
              <w:t>强制·响应·壁垒</w:t>
            </w:r>
          </w:p>
        </w:tc>
        <w:tc>
          <w:tcPr>
            <w:tcW w:type="dxa" w:w="1701"/>
            <w:vAlign w:val="center"/>
          </w:tcPr>
          <w:p>
            <w:pPr>
              <w:spacing w:line="240" w:lineRule="auto" w:after="20" w:before="20"/>
              <w:jc w:val="left"/>
            </w:pPr>
            <w:r/>
            <m:oMath>
              <m:sSub>
                <m:e>
                  <m:r>
                    <m:t>c</m:t>
                  </m:r>
                </m:e>
                <m:sub>
                  <m:r>
                    <m:t>G</m:t>
                  </m:r>
                </m:sub>
              </m:sSub>
              <m:r>
                <m:rPr>
                  <m:sty m:val="p"/>
                </m:rPr>
                <m:t>−</m:t>
              </m:r>
              <m:r>
                <m:t>s</m:t>
              </m:r>
            </m:oMath>
            <w:r>
              <w:rPr>
                <w:rFonts w:ascii="宋体" w:hAnsi="宋体" w:eastAsia="宋体"/>
                <w:sz w:val="21"/>
              </w:rPr>
              <w:t>；</w:t>
            </w:r>
            <m:oMath>
              <m:r>
                <m:rPr>
                  <m:sty m:val="p"/>
                </m:rPr>
                <m:t>−</m:t>
              </m:r>
              <m:d>
                <m:dPr>
                  <m:begChr m:val="("/>
                  <m:sepChr m:val=""/>
                  <m:endChr m:val=")"/>
                  <m:grow/>
                </m:dPr>
                <m:e>
                  <m:r>
                    <m:t>η</m:t>
                  </m:r>
                  <m:r>
                    <m:t>Λ</m:t>
                  </m:r>
                  <m:r>
                    <m:rPr>
                      <m:sty m:val="p"/>
                    </m:rPr>
                    <m:t>+</m:t>
                  </m:r>
                  <m:r>
                    <m:t>s</m:t>
                  </m:r>
                  <m:r>
                    <m:rPr>
                      <m:sty m:val="p"/>
                    </m:rPr>
                    <m:t>−</m:t>
                  </m:r>
                  <m:sSub>
                    <m:e>
                      <m:r>
                        <m:t>c</m:t>
                      </m:r>
                    </m:e>
                    <m:sub>
                      <m:r>
                        <m:t>E</m:t>
                      </m:r>
                    </m:sub>
                  </m:sSub>
                  <m:r>
                    <m:rPr>
                      <m:sty m:val="p"/>
                    </m:rPr>
                    <m:t>−</m:t>
                  </m:r>
                  <m:r>
                    <m:t>μ</m:t>
                  </m:r>
                  <m:r>
                    <m:t>F</m:t>
                  </m:r>
                </m:e>
              </m:d>
            </m:oMath>
            <w:r>
              <w:rPr>
                <w:rFonts w:ascii="宋体" w:hAnsi="宋体" w:eastAsia="宋体"/>
                <w:sz w:val="21"/>
              </w:rPr>
              <w:t>；</w:t>
            </w:r>
            <m:oMath>
              <m:sSub>
                <m:e>
                  <m:r>
                    <m:t>R</m:t>
                  </m:r>
                </m:e>
                <m:sub>
                  <m:r>
                    <m:t>O</m:t>
                  </m:r>
                </m:sub>
              </m:sSub>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oMath>
          </w:p>
        </w:tc>
        <w:tc>
          <w:tcPr>
            <w:tcW w:type="dxa" w:w="1701"/>
            <w:vAlign w:val="center"/>
          </w:tcPr>
          <w:p>
            <w:pPr>
              <w:spacing w:line="240" w:lineRule="auto" w:after="20" w:before="20"/>
              <w:jc w:val="center"/>
            </w:pPr>
            <w:r/>
            <w:r>
              <w:rPr>
                <w:rFonts w:ascii="宋体" w:hAnsi="宋体" w:eastAsia="宋体"/>
                <w:sz w:val="21"/>
              </w:rPr>
              <w:t>（0.5，0.8，0.9）</w:t>
            </w:r>
          </w:p>
        </w:tc>
        <w:tc>
          <w:tcPr>
            <w:tcW w:type="dxa" w:w="1701"/>
            <w:vAlign w:val="center"/>
          </w:tcPr>
          <w:p>
            <w:pPr>
              <w:spacing w:line="240" w:lineRule="auto" w:after="20" w:before="20"/>
              <w:jc w:val="center"/>
            </w:pPr>
            <w:r/>
            <w:r>
              <w:rPr>
                <w:rFonts w:ascii="宋体" w:hAnsi="宋体" w:eastAsia="宋体"/>
                <w:sz w:val="21"/>
              </w:rPr>
              <w:t>源点（不稳定）</w:t>
            </w:r>
          </w:p>
        </w:tc>
      </w:tr>
      <w:tr>
        <w:tc>
          <w:tcPr>
            <w:tcW w:type="dxa" w:w="1701"/>
            <w:vAlign w:val="center"/>
          </w:tcPr>
          <w:p>
            <w:pPr>
              <w:spacing w:line="240" w:lineRule="auto" w:after="20" w:before="20"/>
              <w:jc w:val="center"/>
            </w:pPr>
            <w:r/>
            <m:oMath>
              <m:sSub>
                <m:e>
                  <m:r>
                    <m:t>E</m:t>
                  </m:r>
                </m:e>
                <m:sub>
                  <m:r>
                    <m:t>5</m:t>
                  </m:r>
                </m:sub>
              </m:sSub>
              <m:r>
                <m:rPr>
                  <m:sty m:val="p"/>
                </m:rPr>
                <m:t>=</m:t>
              </m:r>
              <m:d>
                <m:dPr>
                  <m:begChr m:val="("/>
                  <m:sepChr m:val=""/>
                  <m:endChr m:val=")"/>
                  <m:grow/>
                </m:dPr>
                <m:e>
                  <m:r>
                    <m:t>1</m:t>
                  </m:r>
                  <m:r>
                    <m:rPr>
                      <m:sty m:val="p"/>
                    </m:rPr>
                    <m:t>,</m:t>
                  </m:r>
                  <m:r>
                    <m:t>0</m:t>
                  </m:r>
                  <m:r>
                    <m:rPr>
                      <m:sty m:val="p"/>
                    </m:rPr>
                    <m:t>,</m:t>
                  </m:r>
                  <m:r>
                    <m:t>1</m:t>
                  </m:r>
                </m:e>
              </m:d>
            </m:oMath>
          </w:p>
        </w:tc>
        <w:tc>
          <w:tcPr>
            <w:tcW w:type="dxa" w:w="1701"/>
            <w:vAlign w:val="center"/>
          </w:tcPr>
          <w:p>
            <w:pPr>
              <w:spacing w:line="240" w:lineRule="auto" w:after="20" w:before="20"/>
              <w:jc w:val="left"/>
            </w:pPr>
            <w:r/>
            <w:r>
              <w:rPr>
                <w:rFonts w:ascii="宋体" w:hAnsi="宋体" w:eastAsia="宋体"/>
                <w:sz w:val="21"/>
              </w:rPr>
              <w:t>强制·观望·接纳</w:t>
            </w:r>
          </w:p>
        </w:tc>
        <w:tc>
          <w:tcPr>
            <w:tcW w:type="dxa" w:w="1701"/>
            <w:vAlign w:val="center"/>
          </w:tcPr>
          <w:p>
            <w:pPr>
              <w:spacing w:line="240" w:lineRule="auto" w:after="20" w:before="20"/>
              <w:jc w:val="left"/>
            </w:pPr>
            <w:r/>
            <m:oMath>
              <m:r>
                <m:rPr>
                  <m:sty m:val="p"/>
                </m:rPr>
                <m:t>−</m:t>
              </m:r>
              <m:d>
                <m:dPr>
                  <m:begChr m:val="("/>
                  <m:sepChr m:val=""/>
                  <m:endChr m:val=")"/>
                  <m:grow/>
                </m:dPr>
                <m:e>
                  <m:sSub>
                    <m:e>
                      <m:r>
                        <m:t>R</m:t>
                      </m:r>
                    </m:e>
                    <m:sub>
                      <m:r>
                        <m:t>G</m:t>
                      </m:r>
                    </m:sub>
                  </m:sSub>
                  <m:r>
                    <m:rPr>
                      <m:sty m:val="p"/>
                    </m:rPr>
                    <m:t>−</m:t>
                  </m:r>
                  <m:sSub>
                    <m:e>
                      <m:r>
                        <m:t>c</m:t>
                      </m:r>
                    </m:e>
                    <m:sub>
                      <m:r>
                        <m:t>G</m:t>
                      </m:r>
                    </m:sub>
                  </m:sSub>
                </m:e>
              </m:d>
            </m:oMath>
            <w:r>
              <w:rPr>
                <w:rFonts w:ascii="宋体" w:hAnsi="宋体" w:eastAsia="宋体"/>
                <w:sz w:val="21"/>
              </w:rPr>
              <w:t>；</w:t>
            </w:r>
            <m:oMath>
              <m:r>
                <m:t>Λ</m:t>
              </m:r>
              <m:r>
                <m:rPr>
                  <m:sty m:val="p"/>
                </m:rPr>
                <m:t>+</m:t>
              </m:r>
              <m:r>
                <m:t>s</m:t>
              </m:r>
              <m:r>
                <m:rPr>
                  <m:sty m:val="p"/>
                </m:rPr>
                <m:t>−</m:t>
              </m:r>
              <m:sSub>
                <m:e>
                  <m:r>
                    <m:t>c</m:t>
                  </m:r>
                </m:e>
                <m:sub>
                  <m:r>
                    <m:t>E</m:t>
                  </m:r>
                </m:sub>
              </m:sSub>
            </m:oMath>
            <w:r>
              <w:rPr>
                <w:rFonts w:ascii="宋体" w:hAnsi="宋体" w:eastAsia="宋体"/>
                <w:sz w:val="21"/>
              </w:rPr>
              <w:t>；</w:t>
            </w:r>
            <m:oMath>
              <m:r>
                <m:rPr>
                  <m:sty m:val="p"/>
                </m:rPr>
                <m:t>−</m:t>
              </m:r>
              <m:d>
                <m:dPr>
                  <m:begChr m:val="["/>
                  <m:sepChr m:val=""/>
                  <m:endChr m:val="]"/>
                  <m:grow/>
                </m:dPr>
                <m:e>
                  <m:r>
                    <m:t>κ</m:t>
                  </m:r>
                  <m:d>
                    <m:dPr>
                      <m:begChr m:val="("/>
                      <m:sepChr m:val=""/>
                      <m:endChr m:val=")"/>
                      <m:grow/>
                    </m:dPr>
                    <m:e>
                      <m:r>
                        <m:t>Λ</m:t>
                      </m:r>
                      <m:r>
                        <m:rPr>
                          <m:sty m:val="p"/>
                        </m:rPr>
                        <m:t>−</m:t>
                      </m:r>
                      <m:sSub>
                        <m:e>
                          <m:r>
                            <m:t>Λ</m:t>
                          </m:r>
                        </m:e>
                        <m:sub>
                          <m:r>
                            <m:t>0</m:t>
                          </m:r>
                        </m:sub>
                      </m:sSub>
                    </m:e>
                  </m:d>
                  <m:r>
                    <m:rPr>
                      <m:sty m:val="p"/>
                    </m:rPr>
                    <m:t>−</m:t>
                  </m:r>
                  <m:sSub>
                    <m:e>
                      <m:r>
                        <m:t>c</m:t>
                      </m:r>
                    </m:e>
                    <m:sub>
                      <m:r>
                        <m:t>O</m:t>
                      </m:r>
                    </m:sub>
                  </m:sSub>
                  <m:r>
                    <m:rPr>
                      <m:sty m:val="p"/>
                    </m:rPr>
                    <m:t>−</m:t>
                  </m:r>
                  <m:sSub>
                    <m:e>
                      <m:r>
                        <m:t>L</m:t>
                      </m:r>
                    </m:e>
                    <m:sub>
                      <m:r>
                        <m:t>O</m:t>
                      </m:r>
                    </m:sub>
                  </m:sSub>
                </m:e>
              </m:d>
            </m:oMath>
          </w:p>
        </w:tc>
        <w:tc>
          <w:tcPr>
            <w:tcW w:type="dxa" w:w="1701"/>
            <w:vAlign w:val="center"/>
          </w:tcPr>
          <w:p>
            <w:pPr>
              <w:spacing w:line="240" w:lineRule="auto" w:after="20" w:before="20"/>
              <w:jc w:val="center"/>
            </w:pPr>
            <w:r/>
            <w:r>
              <w:rPr>
                <w:rFonts w:ascii="宋体" w:hAnsi="宋体" w:eastAsia="宋体"/>
                <w:sz w:val="21"/>
              </w:rPr>
              <w:t>（-0.2，1.2，0.7）</w:t>
            </w:r>
          </w:p>
        </w:tc>
        <w:tc>
          <w:tcPr>
            <w:tcW w:type="dxa" w:w="1701"/>
            <w:vAlign w:val="center"/>
          </w:tcPr>
          <w:p>
            <w:pPr>
              <w:spacing w:line="240" w:lineRule="auto" w:after="20" w:before="20"/>
              <w:jc w:val="center"/>
            </w:pPr>
            <w:r/>
            <w:r>
              <w:rPr>
                <w:rFonts w:ascii="宋体" w:hAnsi="宋体" w:eastAsia="宋体"/>
                <w:sz w:val="21"/>
              </w:rPr>
              <w:t>鞍点（不稳定）</w:t>
            </w:r>
          </w:p>
        </w:tc>
      </w:tr>
      <w:tr>
        <w:tc>
          <w:tcPr>
            <w:tcW w:type="dxa" w:w="1701"/>
            <w:vAlign w:val="center"/>
          </w:tcPr>
          <w:p>
            <w:pPr>
              <w:spacing w:line="240" w:lineRule="auto" w:after="20" w:before="20"/>
              <w:jc w:val="center"/>
            </w:pPr>
            <w:r/>
            <m:oMath>
              <m:sSub>
                <m:e>
                  <m:r>
                    <m:t>E</m:t>
                  </m:r>
                </m:e>
                <m:sub>
                  <m:r>
                    <m:t>6</m:t>
                  </m:r>
                </m:sub>
              </m:sSub>
              <m:r>
                <m:rPr>
                  <m:sty m:val="p"/>
                </m:rPr>
                <m:t>=</m:t>
              </m:r>
              <m:d>
                <m:dPr>
                  <m:begChr m:val="("/>
                  <m:sepChr m:val=""/>
                  <m:endChr m:val=")"/>
                  <m:grow/>
                </m:dPr>
                <m:e>
                  <m:r>
                    <m:t>1</m:t>
                  </m:r>
                  <m:r>
                    <m:rPr>
                      <m:sty m:val="p"/>
                    </m:rPr>
                    <m:t>,</m:t>
                  </m:r>
                  <m:r>
                    <m:t>1</m:t>
                  </m:r>
                  <m:r>
                    <m:rPr>
                      <m:sty m:val="p"/>
                    </m:rPr>
                    <m:t>,</m:t>
                  </m:r>
                  <m:r>
                    <m:t>1</m:t>
                  </m:r>
                </m:e>
              </m:d>
            </m:oMath>
          </w:p>
        </w:tc>
        <w:tc>
          <w:tcPr>
            <w:tcW w:type="dxa" w:w="1701"/>
            <w:vAlign w:val="center"/>
          </w:tcPr>
          <w:p>
            <w:pPr>
              <w:spacing w:line="240" w:lineRule="auto" w:after="20" w:before="20"/>
              <w:jc w:val="left"/>
            </w:pPr>
            <w:r/>
            <w:r>
              <w:rPr>
                <w:rFonts w:ascii="宋体" w:hAnsi="宋体" w:eastAsia="宋体"/>
                <w:sz w:val="21"/>
              </w:rPr>
              <w:t>强制·响应·接纳</w:t>
            </w:r>
          </w:p>
        </w:tc>
        <w:tc>
          <w:tcPr>
            <w:tcW w:type="dxa" w:w="1701"/>
            <w:vAlign w:val="center"/>
          </w:tcPr>
          <w:p>
            <w:pPr>
              <w:spacing w:line="240" w:lineRule="auto" w:after="20" w:before="20"/>
              <w:jc w:val="left"/>
            </w:pPr>
            <w:r/>
            <m:oMath>
              <m:sSub>
                <m:e>
                  <m:r>
                    <m:t>c</m:t>
                  </m:r>
                </m:e>
                <m:sub>
                  <m:r>
                    <m:t>G</m:t>
                  </m:r>
                </m:sub>
              </m:sSub>
              <m:r>
                <m:rPr>
                  <m:sty m:val="p"/>
                </m:rPr>
                <m:t>−</m:t>
              </m:r>
              <m:r>
                <m:t>s</m:t>
              </m:r>
            </m:oMath>
            <w:r>
              <w:rPr>
                <w:rFonts w:ascii="宋体" w:hAnsi="宋体" w:eastAsia="宋体"/>
                <w:sz w:val="21"/>
              </w:rPr>
              <w:t>；</w:t>
            </w:r>
            <m:oMath>
              <m:r>
                <m:rPr>
                  <m:sty m:val="p"/>
                </m:rPr>
                <m:t>−</m:t>
              </m:r>
              <m:d>
                <m:dPr>
                  <m:begChr m:val="("/>
                  <m:sepChr m:val=""/>
                  <m:endChr m:val=")"/>
                  <m:grow/>
                </m:dPr>
                <m:e>
                  <m:r>
                    <m:t>Λ</m:t>
                  </m:r>
                  <m:r>
                    <m:rPr>
                      <m:sty m:val="p"/>
                    </m:rPr>
                    <m:t>+</m:t>
                  </m:r>
                  <m:r>
                    <m:t>s</m:t>
                  </m:r>
                  <m:r>
                    <m:rPr>
                      <m:sty m:val="p"/>
                    </m:rPr>
                    <m:t>−</m:t>
                  </m:r>
                  <m:sSub>
                    <m:e>
                      <m:r>
                        <m:t>c</m:t>
                      </m:r>
                    </m:e>
                    <m:sub>
                      <m:r>
                        <m:t>E</m:t>
                      </m:r>
                    </m:sub>
                  </m:sSub>
                </m:e>
              </m:d>
            </m:oMath>
            <w:r>
              <w:rPr>
                <w:rFonts w:ascii="宋体" w:hAnsi="宋体" w:eastAsia="宋体"/>
                <w:sz w:val="21"/>
              </w:rPr>
              <w:t>；</w:t>
            </w:r>
            <m:oMath>
              <m:r>
                <m:rPr>
                  <m:sty m:val="p"/>
                </m:rPr>
                <m:t>−</m:t>
              </m:r>
              <m:d>
                <m:dPr>
                  <m:begChr m:val="["/>
                  <m:sepChr m:val=""/>
                  <m:endChr m:val="]"/>
                  <m:grow/>
                </m:dPr>
                <m:e>
                  <m:sSub>
                    <m:e>
                      <m:r>
                        <m:t>R</m:t>
                      </m:r>
                    </m:e>
                    <m:sub>
                      <m:r>
                        <m:t>O</m:t>
                      </m:r>
                    </m:sub>
                  </m:sSub>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e>
              </m:d>
            </m:oMath>
          </w:p>
        </w:tc>
        <w:tc>
          <w:tcPr>
            <w:tcW w:type="dxa" w:w="1701"/>
            <w:vAlign w:val="center"/>
          </w:tcPr>
          <w:p>
            <w:pPr>
              <w:spacing w:line="240" w:lineRule="auto" w:after="20" w:before="20"/>
              <w:jc w:val="center"/>
            </w:pPr>
            <w:r/>
            <w:r>
              <w:rPr>
                <w:rFonts w:ascii="宋体" w:hAnsi="宋体" w:eastAsia="宋体"/>
                <w:sz w:val="21"/>
              </w:rPr>
              <w:t>（0.5，-1.2，-0.9）</w:t>
            </w:r>
          </w:p>
        </w:tc>
        <w:tc>
          <w:tcPr>
            <w:tcW w:type="dxa" w:w="1701"/>
            <w:vAlign w:val="center"/>
          </w:tcPr>
          <w:p>
            <w:pPr>
              <w:spacing w:line="240" w:lineRule="auto" w:after="20" w:before="20"/>
              <w:jc w:val="center"/>
            </w:pPr>
            <w:r/>
            <w:r>
              <w:rPr>
                <w:rFonts w:ascii="宋体" w:hAnsi="宋体" w:eastAsia="宋体"/>
                <w:sz w:val="21"/>
              </w:rPr>
              <w:t>鞍点（不稳定）</w:t>
            </w:r>
          </w:p>
        </w:tc>
      </w:tr>
      <w:tr>
        <w:tc>
          <w:tcPr>
            <w:tcW w:type="dxa" w:w="1701"/>
            <w:vAlign w:val="center"/>
          </w:tcPr>
          <w:p>
            <w:pPr>
              <w:spacing w:line="240" w:lineRule="auto" w:after="20" w:before="20"/>
              <w:jc w:val="center"/>
            </w:pPr>
            <w:r/>
            <m:oMath>
              <m:sSub>
                <m:e>
                  <m:r>
                    <m:t>E</m:t>
                  </m:r>
                </m:e>
                <m:sub>
                  <m:r>
                    <m:t>7</m:t>
                  </m:r>
                </m:sub>
              </m:sSub>
              <m:r>
                <m:rPr>
                  <m:sty m:val="p"/>
                </m:rPr>
                <m:t>=</m:t>
              </m:r>
              <m:d>
                <m:dPr>
                  <m:begChr m:val="("/>
                  <m:sepChr m:val=""/>
                  <m:endChr m:val=")"/>
                  <m:grow/>
                </m:dPr>
                <m:e>
                  <m:r>
                    <m:t>0</m:t>
                  </m:r>
                  <m:r>
                    <m:rPr>
                      <m:sty m:val="p"/>
                    </m:rPr>
                    <m:t>,</m:t>
                  </m:r>
                  <m:r>
                    <m:t>1</m:t>
                  </m:r>
                  <m:r>
                    <m:rPr>
                      <m:sty m:val="p"/>
                    </m:rPr>
                    <m:t>,</m:t>
                  </m:r>
                  <m:r>
                    <m:t>0</m:t>
                  </m:r>
                </m:e>
              </m:d>
            </m:oMath>
          </w:p>
        </w:tc>
        <w:tc>
          <w:tcPr>
            <w:tcW w:type="dxa" w:w="1701"/>
            <w:vAlign w:val="center"/>
          </w:tcPr>
          <w:p>
            <w:pPr>
              <w:spacing w:line="240" w:lineRule="auto" w:after="20" w:before="20"/>
              <w:jc w:val="left"/>
            </w:pPr>
            <w:r/>
            <w:r>
              <w:rPr>
                <w:rFonts w:ascii="宋体" w:hAnsi="宋体" w:eastAsia="宋体"/>
                <w:sz w:val="21"/>
              </w:rPr>
              <w:t>激励·响应·壁垒</w:t>
            </w:r>
          </w:p>
        </w:tc>
        <w:tc>
          <w:tcPr>
            <w:tcW w:type="dxa" w:w="1701"/>
            <w:vAlign w:val="center"/>
          </w:tcPr>
          <w:p>
            <w:pPr>
              <w:spacing w:line="240" w:lineRule="auto" w:after="20" w:before="20"/>
              <w:jc w:val="left"/>
            </w:pPr>
            <w:r/>
            <m:oMath>
              <m:r>
                <m:t>s</m:t>
              </m:r>
              <m:r>
                <m:rPr>
                  <m:sty m:val="p"/>
                </m:rPr>
                <m:t>−</m:t>
              </m:r>
              <m:sSub>
                <m:e>
                  <m:r>
                    <m:t>c</m:t>
                  </m:r>
                </m:e>
                <m:sub>
                  <m:r>
                    <m:t>G</m:t>
                  </m:r>
                </m:sub>
              </m:sSub>
            </m:oMath>
            <w:r>
              <w:rPr>
                <w:rFonts w:ascii="宋体" w:hAnsi="宋体" w:eastAsia="宋体"/>
                <w:sz w:val="21"/>
              </w:rPr>
              <w:t>；</w:t>
            </w:r>
            <m:oMath>
              <m:r>
                <m:rPr>
                  <m:sty m:val="p"/>
                </m:rPr>
                <m:t>−</m:t>
              </m:r>
              <m:d>
                <m:dPr>
                  <m:begChr m:val="("/>
                  <m:sepChr m:val=""/>
                  <m:endChr m:val=")"/>
                  <m:grow/>
                </m:dPr>
                <m:e>
                  <m:r>
                    <m:t>η</m:t>
                  </m:r>
                  <m:r>
                    <m:t>Λ</m:t>
                  </m:r>
                  <m:r>
                    <m:rPr>
                      <m:sty m:val="p"/>
                    </m:rPr>
                    <m:t>+</m:t>
                  </m:r>
                  <m:r>
                    <m:t>s</m:t>
                  </m:r>
                  <m:r>
                    <m:rPr>
                      <m:sty m:val="p"/>
                    </m:rPr>
                    <m:t>−</m:t>
                  </m:r>
                  <m:sSub>
                    <m:e>
                      <m:r>
                        <m:t>c</m:t>
                      </m:r>
                    </m:e>
                    <m:sub>
                      <m:r>
                        <m:t>E</m:t>
                      </m:r>
                    </m:sub>
                  </m:sSub>
                  <m:r>
                    <m:rPr>
                      <m:sty m:val="p"/>
                    </m:rPr>
                    <m:t>−</m:t>
                  </m:r>
                  <m:r>
                    <m:t>μ</m:t>
                  </m:r>
                  <m:r>
                    <m:t>F</m:t>
                  </m:r>
                </m:e>
              </m:d>
            </m:oMath>
            <w:r>
              <w:rPr>
                <w:rFonts w:ascii="宋体" w:hAnsi="宋体" w:eastAsia="宋体"/>
                <w:sz w:val="21"/>
              </w:rPr>
              <w:t>；</w:t>
            </w:r>
            <m:oMath>
              <m:sSub>
                <m:e>
                  <m:r>
                    <m:t>R</m:t>
                  </m:r>
                </m:e>
                <m:sub>
                  <m:r>
                    <m:t>O</m:t>
                  </m:r>
                </m:sub>
              </m:sSub>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oMath>
          </w:p>
        </w:tc>
        <w:tc>
          <w:tcPr>
            <w:tcW w:type="dxa" w:w="1701"/>
            <w:vAlign w:val="center"/>
          </w:tcPr>
          <w:p>
            <w:pPr>
              <w:spacing w:line="240" w:lineRule="auto" w:after="20" w:before="20"/>
              <w:jc w:val="center"/>
            </w:pPr>
            <w:r/>
            <w:r>
              <w:rPr>
                <w:rFonts w:ascii="宋体" w:hAnsi="宋体" w:eastAsia="宋体"/>
                <w:sz w:val="21"/>
              </w:rPr>
              <w:t>（-0.5，0.8，0.9）</w:t>
            </w:r>
          </w:p>
        </w:tc>
        <w:tc>
          <w:tcPr>
            <w:tcW w:type="dxa" w:w="1701"/>
            <w:vAlign w:val="center"/>
          </w:tcPr>
          <w:p>
            <w:pPr>
              <w:spacing w:line="240" w:lineRule="auto" w:after="20" w:before="20"/>
              <w:jc w:val="center"/>
            </w:pPr>
            <w:r/>
            <w:r>
              <w:rPr>
                <w:rFonts w:ascii="宋体" w:hAnsi="宋体" w:eastAsia="宋体"/>
                <w:sz w:val="21"/>
              </w:rPr>
              <w:t>鞍点（不稳定）</w:t>
            </w:r>
          </w:p>
        </w:tc>
      </w:tr>
      <w:tr>
        <w:tc>
          <w:tcPr>
            <w:tcW w:type="dxa" w:w="1701"/>
            <w:vAlign w:val="center"/>
          </w:tcPr>
          <w:p>
            <w:pPr>
              <w:spacing w:line="240" w:lineRule="auto" w:after="20" w:before="20"/>
              <w:jc w:val="center"/>
            </w:pPr>
            <w:r/>
            <m:oMath>
              <m:sSub>
                <m:e>
                  <m:r>
                    <m:t>E</m:t>
                  </m:r>
                </m:e>
                <m:sub>
                  <m:r>
                    <m:t>8</m:t>
                  </m:r>
                </m:sub>
              </m:sSub>
              <m:r>
                <m:rPr>
                  <m:sty m:val="p"/>
                </m:rPr>
                <m:t>=</m:t>
              </m:r>
              <m:d>
                <m:dPr>
                  <m:begChr m:val="("/>
                  <m:sepChr m:val=""/>
                  <m:endChr m:val=")"/>
                  <m:grow/>
                </m:dPr>
                <m:e>
                  <m:r>
                    <m:t>0</m:t>
                  </m:r>
                  <m:r>
                    <m:rPr>
                      <m:sty m:val="p"/>
                    </m:rPr>
                    <m:t>,</m:t>
                  </m:r>
                  <m:r>
                    <m:t>0</m:t>
                  </m:r>
                  <m:r>
                    <m:rPr>
                      <m:sty m:val="p"/>
                    </m:rPr>
                    <m:t>,</m:t>
                  </m:r>
                  <m:r>
                    <m:t>1</m:t>
                  </m:r>
                </m:e>
              </m:d>
            </m:oMath>
          </w:p>
        </w:tc>
        <w:tc>
          <w:tcPr>
            <w:tcW w:type="dxa" w:w="1701"/>
            <w:vAlign w:val="center"/>
          </w:tcPr>
          <w:p>
            <w:pPr>
              <w:spacing w:line="240" w:lineRule="auto" w:after="20" w:before="20"/>
              <w:jc w:val="left"/>
            </w:pPr>
            <w:r/>
            <w:r>
              <w:rPr>
                <w:rFonts w:ascii="宋体" w:hAnsi="宋体" w:eastAsia="宋体"/>
                <w:sz w:val="21"/>
              </w:rPr>
              <w:t>激励·观望·接纳</w:t>
            </w:r>
          </w:p>
        </w:tc>
        <w:tc>
          <w:tcPr>
            <w:tcW w:type="dxa" w:w="1701"/>
            <w:vAlign w:val="center"/>
          </w:tcPr>
          <w:p>
            <w:pPr>
              <w:spacing w:line="240" w:lineRule="auto" w:after="20" w:before="20"/>
              <w:jc w:val="left"/>
            </w:pPr>
            <w:r/>
            <m:oMath>
              <m:sSub>
                <m:e>
                  <m:r>
                    <m:t>R</m:t>
                  </m:r>
                </m:e>
                <m:sub>
                  <m:r>
                    <m:t>G</m:t>
                  </m:r>
                </m:sub>
              </m:sSub>
              <m:r>
                <m:rPr>
                  <m:sty m:val="p"/>
                </m:rPr>
                <m:t>−</m:t>
              </m:r>
              <m:sSub>
                <m:e>
                  <m:r>
                    <m:t>c</m:t>
                  </m:r>
                </m:e>
                <m:sub>
                  <m:r>
                    <m:t>G</m:t>
                  </m:r>
                </m:sub>
              </m:sSub>
            </m:oMath>
            <w:r>
              <w:rPr>
                <w:rFonts w:ascii="宋体" w:hAnsi="宋体" w:eastAsia="宋体"/>
                <w:sz w:val="21"/>
              </w:rPr>
              <w:t>；</w:t>
            </w:r>
            <m:oMath>
              <m:r>
                <m:t>Λ</m:t>
              </m:r>
              <m:r>
                <m:rPr>
                  <m:sty m:val="p"/>
                </m:rPr>
                <m:t>+</m:t>
              </m:r>
              <m:r>
                <m:t>s</m:t>
              </m:r>
              <m:r>
                <m:rPr>
                  <m:sty m:val="p"/>
                </m:rPr>
                <m:t>−</m:t>
              </m:r>
              <m:sSub>
                <m:e>
                  <m:r>
                    <m:t>c</m:t>
                  </m:r>
                </m:e>
                <m:sub>
                  <m:r>
                    <m:t>E</m:t>
                  </m:r>
                </m:sub>
              </m:sSub>
            </m:oMath>
            <w:r>
              <w:rPr>
                <w:rFonts w:ascii="宋体" w:hAnsi="宋体" w:eastAsia="宋体"/>
                <w:sz w:val="21"/>
              </w:rPr>
              <w:t>；</w:t>
            </w:r>
            <m:oMath>
              <m:r>
                <m:rPr>
                  <m:sty m:val="p"/>
                </m:rPr>
                <m:t>−</m:t>
              </m:r>
              <m:d>
                <m:dPr>
                  <m:begChr m:val="["/>
                  <m:sepChr m:val=""/>
                  <m:endChr m:val="]"/>
                  <m:grow/>
                </m:dPr>
                <m:e>
                  <m:r>
                    <m:t>κ</m:t>
                  </m:r>
                  <m:d>
                    <m:dPr>
                      <m:begChr m:val="("/>
                      <m:sepChr m:val=""/>
                      <m:endChr m:val=")"/>
                      <m:grow/>
                    </m:dPr>
                    <m:e>
                      <m:r>
                        <m:t>Λ</m:t>
                      </m:r>
                      <m:r>
                        <m:rPr>
                          <m:sty m:val="p"/>
                        </m:rPr>
                        <m:t>−</m:t>
                      </m:r>
                      <m:sSub>
                        <m:e>
                          <m:r>
                            <m:t>Λ</m:t>
                          </m:r>
                        </m:e>
                        <m:sub>
                          <m:r>
                            <m:t>0</m:t>
                          </m:r>
                        </m:sub>
                      </m:sSub>
                    </m:e>
                  </m:d>
                  <m:r>
                    <m:rPr>
                      <m:sty m:val="p"/>
                    </m:rPr>
                    <m:t>−</m:t>
                  </m:r>
                  <m:sSub>
                    <m:e>
                      <m:r>
                        <m:t>c</m:t>
                      </m:r>
                    </m:e>
                    <m:sub>
                      <m:r>
                        <m:t>O</m:t>
                      </m:r>
                    </m:sub>
                  </m:sSub>
                  <m:r>
                    <m:rPr>
                      <m:sty m:val="p"/>
                    </m:rPr>
                    <m:t>−</m:t>
                  </m:r>
                  <m:sSub>
                    <m:e>
                      <m:r>
                        <m:t>L</m:t>
                      </m:r>
                    </m:e>
                    <m:sub>
                      <m:r>
                        <m:t>O</m:t>
                      </m:r>
                    </m:sub>
                  </m:sSub>
                </m:e>
              </m:d>
            </m:oMath>
          </w:p>
        </w:tc>
        <w:tc>
          <w:tcPr>
            <w:tcW w:type="dxa" w:w="1701"/>
            <w:vAlign w:val="center"/>
          </w:tcPr>
          <w:p>
            <w:pPr>
              <w:spacing w:line="240" w:lineRule="auto" w:after="20" w:before="20"/>
              <w:jc w:val="center"/>
            </w:pPr>
            <w:r/>
            <w:r>
              <w:rPr>
                <w:rFonts w:ascii="宋体" w:hAnsi="宋体" w:eastAsia="宋体"/>
                <w:sz w:val="21"/>
              </w:rPr>
              <w:t>（0.2，1.2，0.7）</w:t>
            </w:r>
          </w:p>
        </w:tc>
        <w:tc>
          <w:tcPr>
            <w:tcW w:type="dxa" w:w="1701"/>
            <w:vAlign w:val="center"/>
          </w:tcPr>
          <w:p>
            <w:pPr>
              <w:spacing w:line="240" w:lineRule="auto" w:after="20" w:before="20"/>
              <w:jc w:val="center"/>
            </w:pPr>
            <w:r/>
            <w:r>
              <w:rPr>
                <w:rFonts w:ascii="宋体" w:hAnsi="宋体" w:eastAsia="宋体"/>
                <w:sz w:val="21"/>
              </w:rPr>
              <w:t>源点（不稳定）</w:t>
            </w:r>
          </w:p>
        </w:tc>
      </w:tr>
    </w:tbl>
    <w:p>
      <w:pPr>
        <w:spacing w:after="200" w:line="240" w:lineRule="auto"/>
      </w:pPr>
      <w:r>
        <w:rPr>
          <w:rFonts w:ascii="宋体" w:hAnsi="宋体" w:eastAsia="宋体"/>
          <w:sz w:val="18"/>
        </w:rPr>
        <w:t>注：特征根由式(7-9)在各顶点取值得到；“基准情景取值”按表7.3基准参数（</w:t>
      </w:r>
      <m:oMath>
        <m:r>
          <m:t>Λ</m:t>
        </m:r>
        <m:r>
          <m:rPr>
            <m:sty m:val="p"/>
          </m:rPr>
          <m:t>=</m:t>
        </m:r>
        <m:r>
          <m:t>1.6</m:t>
        </m:r>
      </m:oMath>
      <w:r>
        <w:rPr>
          <w:rFonts w:ascii="宋体" w:hAnsi="宋体" w:eastAsia="宋体"/>
          <w:sz w:val="18"/>
        </w:rPr>
        <w:t>）计算。数据来源：作者依据式(7-8)—(7-9)推导与测算。</w:t>
      </w:r>
    </w:p>
    <w:p>
      <w:pPr>
        <w:spacing w:line="360" w:lineRule="auto" w:after="0"/>
        <w:ind w:firstLineChars="200" w:firstLine="480"/>
        <w:jc w:val="both"/>
      </w:pPr>
      <w:r>
        <w:rPr>
          <w:rFonts w:ascii="宋体" w:hAnsi="宋体" w:eastAsia="宋体"/>
          <w:sz w:val="24"/>
        </w:rPr>
        <w:t>表7.2揭示了基准参数下系统的全局格局：八个均衡点中六个不稳定，仅</w:t>
      </w:r>
      <m:oMath>
        <m:sSub>
          <m:e>
            <m:r>
              <m:t>E</m:t>
            </m:r>
          </m:e>
          <m:sub>
            <m:r>
              <m:t>1</m:t>
            </m:r>
          </m:sub>
        </m:sSub>
      </m:oMath>
      <w:r>
        <w:rPr>
          <w:rFonts w:ascii="宋体" w:hAnsi="宋体" w:eastAsia="宋体"/>
          <w:sz w:val="24"/>
        </w:rPr>
        <w:t>与</w:t>
      </w:r>
      <m:oMath>
        <m:sSub>
          <m:e>
            <m:r>
              <m:t>E</m:t>
            </m:r>
          </m:e>
          <m:sub>
            <m:r>
              <m:t>2</m:t>
            </m:r>
          </m:sub>
        </m:sSub>
      </m:oMath>
      <w:r>
        <w:rPr>
          <w:rFonts w:ascii="宋体" w:hAnsi="宋体" w:eastAsia="宋体"/>
          <w:sz w:val="24"/>
        </w:rPr>
        <w:t>的三个特征根全部为负——系统呈双稳态结构。</w:t>
      </w:r>
      <m:oMath>
        <m:sSub>
          <m:e>
            <m:r>
              <m:t>E</m:t>
            </m:r>
          </m:e>
          <m:sub>
            <m:r>
              <m:t>1</m:t>
            </m:r>
          </m:sub>
        </m:sSub>
      </m:oMath>
      <w:r>
        <w:rPr>
          <w:rFonts w:ascii="宋体" w:hAnsi="宋体" w:eastAsia="宋体"/>
          <w:sz w:val="24"/>
        </w:rPr>
        <w:t>是“被动跟跑”均衡：政府维持强制推行、企业普遍观望、国际组织筑起壁垒，标准体系停留在行政驱动、低响应、被排斥的状态，这与第3章刻画的发展中国家在国际绿色规则格局中的被动处境一致；</w:t>
      </w:r>
      <m:oMath>
        <m:sSub>
          <m:e>
            <m:r>
              <m:t>E</m:t>
            </m:r>
          </m:e>
          <m:sub>
            <m:r>
              <m:t>2</m:t>
            </m:r>
          </m:sub>
        </m:sSub>
      </m:oMath>
      <w:r>
        <w:rPr>
          <w:rFonts w:ascii="宋体" w:hAnsi="宋体" w:eastAsia="宋体"/>
          <w:sz w:val="24"/>
        </w:rPr>
        <w:t>是“主动领跑”均衡：政府转向激励引导、企业普遍响应、国际组织接纳衔接，体系进入市场驱动、高响应、被承认的良性状态。特别值得注意的是，六个不稳定点的失稳方向各有含义：</w:t>
      </w:r>
      <m:oMath>
        <m:sSub>
          <m:e>
            <m:r>
              <m:t>E</m:t>
            </m:r>
          </m:e>
          <m:sub>
            <m:r>
              <m:t>6</m:t>
            </m:r>
          </m:sub>
        </m:sSub>
        <m:r>
          <m:rPr>
            <m:sty m:val="p"/>
          </m:rPr>
          <m:t>=</m:t>
        </m:r>
        <m:d>
          <m:dPr>
            <m:begChr m:val="("/>
            <m:sepChr m:val=""/>
            <m:endChr m:val=")"/>
            <m:grow/>
          </m:dPr>
          <m:e>
            <m:r>
              <m:t>1</m:t>
            </m:r>
            <m:r>
              <m:rPr>
                <m:sty m:val="p"/>
              </m:rPr>
              <m:t>,</m:t>
            </m:r>
            <m:r>
              <m:t>1</m:t>
            </m:r>
            <m:r>
              <m:rPr>
                <m:sty m:val="p"/>
              </m:rPr>
              <m:t>,</m:t>
            </m:r>
            <m:r>
              <m:t>1</m:t>
            </m:r>
          </m:e>
        </m:d>
      </m:oMath>
      <w:r>
        <w:rPr>
          <w:rFonts w:ascii="宋体" w:hAnsi="宋体" w:eastAsia="宋体"/>
          <w:sz w:val="24"/>
        </w:rPr>
        <w:t>在政府维度失稳（</w:t>
      </w:r>
      <m:oMath>
        <m:sSub>
          <m:e>
            <m:r>
              <m:t>c</m:t>
            </m:r>
          </m:e>
          <m:sub>
            <m:r>
              <m:t>G</m:t>
            </m:r>
          </m:sub>
        </m:sSub>
        <m:r>
          <m:rPr>
            <m:sty m:val="p"/>
          </m:rPr>
          <m:t>&gt;</m:t>
        </m:r>
        <m:r>
          <m:t>s</m:t>
        </m:r>
      </m:oMath>
      <w:r>
        <w:rPr>
          <w:rFonts w:ascii="宋体" w:hAnsi="宋体" w:eastAsia="宋体"/>
          <w:sz w:val="24"/>
        </w:rPr>
        <w:t>），说明企业已普遍响应时维持强制体制得不偿失，政府会自发转向激励——“强制、响应、接纳”不是长期归宿而是通往</w:t>
      </w:r>
      <m:oMath>
        <m:sSub>
          <m:e>
            <m:r>
              <m:t>E</m:t>
            </m:r>
          </m:e>
          <m:sub>
            <m:r>
              <m:t>2</m:t>
            </m:r>
          </m:sub>
        </m:sSub>
      </m:oMath>
      <w:r>
        <w:rPr>
          <w:rFonts w:ascii="宋体" w:hAnsi="宋体" w:eastAsia="宋体"/>
          <w:sz w:val="24"/>
        </w:rPr>
        <w:t>的过渡形态；</w:t>
      </w:r>
      <m:oMath>
        <m:sSub>
          <m:e>
            <m:r>
              <m:t>E</m:t>
            </m:r>
          </m:e>
          <m:sub>
            <m:r>
              <m:t>4</m:t>
            </m:r>
          </m:sub>
        </m:sSub>
      </m:oMath>
      <w:r>
        <w:rPr>
          <w:rFonts w:ascii="宋体" w:hAnsi="宋体" w:eastAsia="宋体"/>
          <w:sz w:val="24"/>
        </w:rPr>
        <w:t>与</w:t>
      </w:r>
      <m:oMath>
        <m:sSub>
          <m:e>
            <m:r>
              <m:t>E</m:t>
            </m:r>
          </m:e>
          <m:sub>
            <m:r>
              <m:t>8</m:t>
            </m:r>
          </m:sub>
        </m:sSub>
      </m:oMath>
      <w:r>
        <w:rPr>
          <w:rFonts w:ascii="宋体" w:hAnsi="宋体" w:eastAsia="宋体"/>
          <w:sz w:val="24"/>
        </w:rPr>
        <w:t>为源点，任何扰动都会使系统迅速离开；</w:t>
      </w:r>
      <m:oMath>
        <m:sSub>
          <m:e>
            <m:r>
              <m:t>E</m:t>
            </m:r>
          </m:e>
          <m:sub>
            <m:r>
              <m:t>3</m:t>
            </m:r>
          </m:sub>
        </m:sSub>
      </m:oMath>
      <w:r>
        <w:rPr>
          <w:rFonts w:ascii="宋体" w:hAnsi="宋体" w:eastAsia="宋体"/>
          <w:sz w:val="24"/>
        </w:rPr>
        <w:t>、</w:t>
      </w:r>
      <m:oMath>
        <m:sSub>
          <m:e>
            <m:r>
              <m:t>E</m:t>
            </m:r>
          </m:e>
          <m:sub>
            <m:r>
              <m:t>5</m:t>
            </m:r>
          </m:sub>
        </m:sSub>
      </m:oMath>
      <w:r>
        <w:rPr>
          <w:rFonts w:ascii="宋体" w:hAnsi="宋体" w:eastAsia="宋体"/>
          <w:sz w:val="24"/>
        </w:rPr>
        <w:t>、</w:t>
      </w:r>
      <m:oMath>
        <m:sSub>
          <m:e>
            <m:r>
              <m:t>E</m:t>
            </m:r>
          </m:e>
          <m:sub>
            <m:r>
              <m:t>7</m:t>
            </m:r>
          </m:sub>
        </m:sSub>
      </m:oMath>
      <w:r>
        <w:rPr>
          <w:rFonts w:ascii="宋体" w:hAnsi="宋体" w:eastAsia="宋体"/>
          <w:sz w:val="24"/>
        </w:rPr>
        <w:t>为鞍点，仅沿个别方向短暂吸引。演化的长期归宿只能是</w:t>
      </w:r>
      <m:oMath>
        <m:sSub>
          <m:e>
            <m:r>
              <m:t>E</m:t>
            </m:r>
          </m:e>
          <m:sub>
            <m:r>
              <m:t>1</m:t>
            </m:r>
          </m:sub>
        </m:sSub>
      </m:oMath>
      <w:r>
        <w:rPr>
          <w:rFonts w:ascii="宋体" w:hAnsi="宋体" w:eastAsia="宋体"/>
          <w:sz w:val="24"/>
        </w:rPr>
        <w:t>或</w:t>
      </w:r>
      <m:oMath>
        <m:sSub>
          <m:e>
            <m:r>
              <m:t>E</m:t>
            </m:r>
          </m:e>
          <m:sub>
            <m:r>
              <m:t>2</m:t>
            </m:r>
          </m:sub>
        </m:sSub>
      </m:oMath>
      <w:r>
        <w:rPr>
          <w:rFonts w:ascii="宋体" w:hAnsi="宋体" w:eastAsia="宋体"/>
          <w:sz w:val="24"/>
        </w:rPr>
        <w:t>，落入哪一个取决于初始状态所处的吸引域与参数结构——这把“如何实现从跟跑到领跑的跃迁”问题精确转化为“如何压缩</w:t>
      </w:r>
      <m:oMath>
        <m:sSub>
          <m:e>
            <m:r>
              <m:t>E</m:t>
            </m:r>
          </m:e>
          <m:sub>
            <m:r>
              <m:t>1</m:t>
            </m:r>
          </m:sub>
        </m:sSub>
      </m:oMath>
      <w:r>
        <w:rPr>
          <w:rFonts w:ascii="宋体" w:hAnsi="宋体" w:eastAsia="宋体"/>
          <w:sz w:val="24"/>
        </w:rPr>
        <w:t>吸引域、直至使其失稳”的参数条件问题。</w:t>
      </w:r>
    </w:p>
    <w:p>
      <w:pPr>
        <w:keepNext/>
        <w:spacing w:before="160" w:after="120" w:line="360" w:lineRule="auto"/>
        <w:outlineLvl w:val="2"/>
      </w:pPr>
      <w:r>
        <w:rPr>
          <w:rFonts w:ascii="黑体" w:hAnsi="黑体" w:eastAsia="黑体"/>
          <w:sz w:val="24"/>
        </w:rPr>
        <w:t>7.4.3  “被动跟跑”均衡的稳定条件与企业响应阈值</w:t>
      </w:r>
    </w:p>
    <w:p>
      <w:pPr>
        <w:spacing w:line="360" w:lineRule="auto" w:after="0"/>
        <w:ind w:firstLineChars="200" w:firstLine="480"/>
        <w:jc w:val="both"/>
      </w:pPr>
      <w:r>
        <w:rPr>
          <w:rFonts w:ascii="宋体" w:hAnsi="宋体" w:eastAsia="宋体"/>
          <w:sz w:val="24"/>
        </w:rPr>
        <w:t>将</w:t>
      </w:r>
      <m:oMath>
        <m:sSub>
          <m:e>
            <m:r>
              <m:t>E</m:t>
            </m:r>
          </m:e>
          <m:sub>
            <m:r>
              <m:t>1</m:t>
            </m:r>
          </m:sub>
        </m:sSub>
        <m:r>
          <m:rPr>
            <m:sty m:val="p"/>
          </m:rPr>
          <m:t>=</m:t>
        </m:r>
        <m:d>
          <m:dPr>
            <m:begChr m:val="("/>
            <m:sepChr m:val=""/>
            <m:endChr m:val=")"/>
            <m:grow/>
          </m:dPr>
          <m:e>
            <m:r>
              <m:t>1</m:t>
            </m:r>
            <m:r>
              <m:rPr>
                <m:sty m:val="p"/>
              </m:rPr>
              <m:t>,</m:t>
            </m:r>
            <m:r>
              <m:t>0</m:t>
            </m:r>
            <m:r>
              <m:rPr>
                <m:sty m:val="p"/>
              </m:rPr>
              <m:t>,</m:t>
            </m:r>
            <m:r>
              <m:t>0</m:t>
            </m:r>
          </m:e>
        </m:d>
      </m:oMath>
      <w:r>
        <w:rPr>
          <w:rFonts w:ascii="宋体" w:hAnsi="宋体" w:eastAsia="宋体"/>
          <w:sz w:val="24"/>
        </w:rPr>
        <w:t>代入式(7-9)，得其三个特征根：</w:t>
      </w:r>
    </w:p>
    <w:p>
      <w:pPr>
        <w:tabs>
          <w:tab w:pos="4252" w:val="center"/>
          <w:tab w:pos="8504" w:val="right"/>
        </w:tabs>
        <w:spacing w:line="360" w:lineRule="auto" w:before="80" w:after="80"/>
      </w:pPr>
      <w:r>
        <w:tab/>
      </w:r>
      <m:oMath>
        <m:sSubSup>
          <m:e>
            <m:r>
              <m:t>λ</m:t>
            </m:r>
          </m:e>
          <m:sub>
            <m:r>
              <m:t>1</m:t>
            </m:r>
          </m:sub>
          <m:sup>
            <m:sSub>
              <m:e>
                <m:r>
                  <m:t>E</m:t>
                </m:r>
              </m:e>
              <m:sub>
                <m:r>
                  <m:t>1</m:t>
                </m:r>
              </m:sub>
            </m:sSub>
          </m:sup>
        </m:sSubSup>
        <m:r>
          <m:rPr>
            <m:sty m:val="p"/>
          </m:rPr>
          <m:t>=</m:t>
        </m:r>
        <m:r>
          <m:rPr>
            <m:sty m:val="p"/>
          </m:rPr>
          <m:t>−</m:t>
        </m:r>
        <m:d>
          <m:dPr>
            <m:begChr m:val="("/>
            <m:sepChr m:val=""/>
            <m:endChr m:val=")"/>
            <m:grow/>
          </m:dPr>
          <m:e>
            <m:sSub>
              <m:e>
                <m:r>
                  <m:t>R</m:t>
                </m:r>
              </m:e>
              <m:sub>
                <m:r>
                  <m:t>G</m:t>
                </m:r>
              </m:sub>
            </m:sSub>
            <m:r>
              <m:rPr>
                <m:sty m:val="p"/>
              </m:rPr>
              <m:t>−</m:t>
            </m:r>
            <m:sSub>
              <m:e>
                <m:r>
                  <m:t>c</m:t>
                </m:r>
              </m:e>
              <m:sub>
                <m:r>
                  <m:t>G</m:t>
                </m:r>
              </m:sub>
            </m:sSub>
          </m:e>
        </m:d>
        <m:r>
          <m:rPr>
            <m:sty m:val="p"/>
          </m:rPr>
          <m:t>,</m:t>
        </m:r>
        <m:r>
          <m:t>  </m:t>
        </m:r>
        <m:sSubSup>
          <m:e>
            <m:r>
              <m:t>λ</m:t>
            </m:r>
          </m:e>
          <m:sub>
            <m:r>
              <m:t>2</m:t>
            </m:r>
          </m:sub>
          <m:sup>
            <m:sSub>
              <m:e>
                <m:r>
                  <m:t>E</m:t>
                </m:r>
              </m:e>
              <m:sub>
                <m:r>
                  <m:t>1</m:t>
                </m:r>
              </m:sub>
            </m:sSub>
          </m:sup>
        </m:sSubSup>
        <m:r>
          <m:rPr>
            <m:sty m:val="p"/>
          </m:rPr>
          <m:t>=</m:t>
        </m:r>
        <m:r>
          <m:t>η</m:t>
        </m:r>
        <m:r>
          <m:t>Λ</m:t>
        </m:r>
        <m:r>
          <m:rPr>
            <m:sty m:val="p"/>
          </m:rPr>
          <m:t>+</m:t>
        </m:r>
        <m:r>
          <m:t>s</m:t>
        </m:r>
        <m:r>
          <m:rPr>
            <m:sty m:val="p"/>
          </m:rPr>
          <m:t>−</m:t>
        </m:r>
        <m:sSub>
          <m:e>
            <m:r>
              <m:t>c</m:t>
            </m:r>
          </m:e>
          <m:sub>
            <m:r>
              <m:t>E</m:t>
            </m:r>
          </m:sub>
        </m:sSub>
        <m:r>
          <m:rPr>
            <m:sty m:val="p"/>
          </m:rPr>
          <m:t>−</m:t>
        </m:r>
        <m:r>
          <m:t>μ</m:t>
        </m:r>
        <m:r>
          <m:t>F</m:t>
        </m:r>
        <m:r>
          <m:rPr>
            <m:sty m:val="p"/>
          </m:rPr>
          <m:t>,</m:t>
        </m:r>
        <m:r>
          <m:t>  </m:t>
        </m:r>
        <m:sSubSup>
          <m:e>
            <m:r>
              <m:t>λ</m:t>
            </m:r>
          </m:e>
          <m:sub>
            <m:r>
              <m:t>3</m:t>
            </m:r>
          </m:sub>
          <m:sup>
            <m:sSub>
              <m:e>
                <m:r>
                  <m:t>E</m:t>
                </m:r>
              </m:e>
              <m:sub>
                <m:r>
                  <m:t>1</m:t>
                </m:r>
              </m:sub>
            </m:sSub>
          </m:sup>
        </m:sSubSup>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r>
          <m:rPr>
            <m:sty m:val="p"/>
          </m:rPr>
          <m:t>−</m:t>
        </m:r>
        <m:sSub>
          <m:e>
            <m:r>
              <m:t>L</m:t>
            </m:r>
          </m:e>
          <m:sub>
            <m:r>
              <m:t>O</m:t>
            </m:r>
          </m:sub>
        </m:sSub>
      </m:oMath>
      <w:r>
        <w:tab/>
      </w:r>
      <w:r>
        <w:rPr>
          <w:rFonts w:ascii="Times New Roman" w:hAnsi="Times New Roman" w:eastAsia="宋体"/>
          <w:sz w:val="24"/>
        </w:rPr>
        <w:t>(7-10)</w:t>
      </w:r>
    </w:p>
    <w:p>
      <w:pPr>
        <w:spacing w:line="360" w:lineRule="auto" w:after="0"/>
        <w:ind w:firstLineChars="200" w:firstLine="480"/>
        <w:jc w:val="both"/>
      </w:pPr>
      <w:r>
        <w:rPr>
          <w:rFonts w:ascii="宋体" w:hAnsi="宋体" w:eastAsia="宋体"/>
          <w:sz w:val="24"/>
        </w:rPr>
        <w:t>在假设三（</w:t>
      </w:r>
      <m:oMath>
        <m:sSub>
          <m:e>
            <m:r>
              <m:t>R</m:t>
            </m:r>
          </m:e>
          <m:sub>
            <m:r>
              <m:t>G</m:t>
            </m:r>
          </m:sub>
        </m:sSub>
        <m:r>
          <m:rPr>
            <m:sty m:val="p"/>
          </m:rPr>
          <m:t>&gt;</m:t>
        </m:r>
        <m:sSub>
          <m:e>
            <m:r>
              <m:t>c</m:t>
            </m:r>
          </m:e>
          <m:sub>
            <m:r>
              <m:t>G</m:t>
            </m:r>
          </m:sub>
        </m:sSub>
      </m:oMath>
      <w:r>
        <w:rPr>
          <w:rFonts w:ascii="宋体" w:hAnsi="宋体" w:eastAsia="宋体"/>
          <w:sz w:val="24"/>
        </w:rPr>
        <w:t>）下</w:t>
      </w:r>
      <m:oMath>
        <m:sSubSup>
          <m:e>
            <m:r>
              <m:t>λ</m:t>
            </m:r>
          </m:e>
          <m:sub>
            <m:r>
              <m:t>1</m:t>
            </m:r>
          </m:sub>
          <m:sup>
            <m:sSub>
              <m:e>
                <m:r>
                  <m:t>E</m:t>
                </m:r>
              </m:e>
              <m:sub>
                <m:r>
                  <m:t>1</m:t>
                </m:r>
              </m:sub>
            </m:sSub>
          </m:sup>
        </m:sSubSup>
      </m:oMath>
      <w:r>
        <w:rPr>
          <w:rFonts w:ascii="宋体" w:hAnsi="宋体" w:eastAsia="宋体"/>
          <w:sz w:val="24"/>
        </w:rPr>
        <w:t>恒负：企业普遍观望时政府不会放弃强制推行。因此</w:t>
      </w:r>
      <m:oMath>
        <m:sSub>
          <m:e>
            <m:r>
              <m:t>E</m:t>
            </m:r>
          </m:e>
          <m:sub>
            <m:r>
              <m:t>1</m:t>
            </m:r>
          </m:sub>
        </m:sSub>
      </m:oMath>
      <w:r>
        <w:rPr>
          <w:rFonts w:ascii="宋体" w:hAnsi="宋体" w:eastAsia="宋体"/>
          <w:sz w:val="24"/>
        </w:rPr>
        <w:t>的稳定性取决于后两个特征根，其中企业维度的</w:t>
      </w:r>
      <m:oMath>
        <m:sSubSup>
          <m:e>
            <m:r>
              <m:t>λ</m:t>
            </m:r>
          </m:e>
          <m:sub>
            <m:r>
              <m:t>2</m:t>
            </m:r>
          </m:sub>
          <m:sup>
            <m:sSub>
              <m:e>
                <m:r>
                  <m:t>E</m:t>
                </m:r>
              </m:e>
              <m:sub>
                <m:r>
                  <m:t>1</m:t>
                </m:r>
              </m:sub>
            </m:sSub>
          </m:sup>
        </m:sSubSup>
      </m:oMath>
      <w:r>
        <w:rPr>
          <w:rFonts w:ascii="宋体" w:hAnsi="宋体" w:eastAsia="宋体"/>
          <w:sz w:val="24"/>
        </w:rPr>
        <w:t>是全局跃迁的关键。先考察互认情形下的对照基准。若国际组织采取接纳衔接（</w:t>
      </w:r>
      <m:oMath>
        <m:r>
          <m:t>z</m:t>
        </m:r>
        <m:r>
          <m:rPr>
            <m:sty m:val="p"/>
          </m:rPr>
          <m:t>=</m:t>
        </m:r>
        <m:r>
          <m:t>1</m:t>
        </m:r>
      </m:oMath>
      <w:r>
        <w:rPr>
          <w:rFonts w:ascii="宋体" w:hAnsi="宋体" w:eastAsia="宋体"/>
          <w:sz w:val="24"/>
        </w:rPr>
        <w:t>），由式(7-5)，企业积极响应扩散的条件为</w:t>
      </w:r>
      <m:oMath>
        <m:sSub>
          <m:e>
            <m:r>
              <m:t>D</m:t>
            </m:r>
          </m:e>
          <m:sub>
            <m:r>
              <m:t>E</m:t>
            </m:r>
          </m:sub>
        </m:sSub>
        <m:d>
          <m:dPr>
            <m:begChr m:val="("/>
            <m:sepChr m:val=""/>
            <m:endChr m:val=")"/>
            <m:grow/>
          </m:dPr>
          <m:e>
            <m:r>
              <m:t>1</m:t>
            </m:r>
          </m:e>
        </m:d>
        <m:r>
          <m:rPr>
            <m:sty m:val="p"/>
          </m:rPr>
          <m:t>=</m:t>
        </m:r>
        <m:r>
          <m:t>Λ</m:t>
        </m:r>
        <m:r>
          <m:rPr>
            <m:sty m:val="p"/>
          </m:rPr>
          <m:t>+</m:t>
        </m:r>
        <m:r>
          <m:t>s</m:t>
        </m:r>
        <m:r>
          <m:rPr>
            <m:sty m:val="p"/>
          </m:rPr>
          <m:t>−</m:t>
        </m:r>
        <m:sSub>
          <m:e>
            <m:r>
              <m:t>c</m:t>
            </m:r>
          </m:e>
          <m:sub>
            <m:r>
              <m:t>E</m:t>
            </m:r>
          </m:sub>
        </m:sSub>
        <m:r>
          <m:rPr>
            <m:sty m:val="p"/>
          </m:rPr>
          <m:t>&gt;</m:t>
        </m:r>
        <m:r>
          <m:t>0</m:t>
        </m:r>
      </m:oMath>
      <w:r>
        <w:rPr>
          <w:rFonts w:ascii="宋体" w:hAnsi="宋体" w:eastAsia="宋体"/>
          <w:sz w:val="24"/>
        </w:rPr>
        <w:t>，即</w:t>
      </w:r>
    </w:p>
    <w:p>
      <w:pPr>
        <w:tabs>
          <w:tab w:pos="4252" w:val="center"/>
          <w:tab w:pos="8504" w:val="right"/>
        </w:tabs>
        <w:spacing w:line="360" w:lineRule="auto" w:before="80" w:after="80"/>
      </w:pPr>
      <w:r>
        <w:tab/>
      </w:r>
      <m:oMath>
        <m:r>
          <m:t>Δ</m:t>
        </m:r>
        <m:r>
          <m:t>T</m:t>
        </m:r>
        <m:r>
          <m:rPr>
            <m:sty m:val="p"/>
          </m:rPr>
          <m:t>+</m:t>
        </m:r>
        <m:r>
          <m:t>Δ</m:t>
        </m:r>
        <m:r>
          <m:t>M</m:t>
        </m:r>
        <m:r>
          <m:rPr>
            <m:sty m:val="p"/>
          </m:rPr>
          <m:t>&gt;</m:t>
        </m:r>
        <m:sSub>
          <m:e>
            <m:r>
              <m:t>c</m:t>
            </m:r>
          </m:e>
          <m:sub>
            <m:r>
              <m:t>E</m:t>
            </m:r>
          </m:sub>
        </m:sSub>
        <m:r>
          <m:rPr>
            <m:sty m:val="p"/>
          </m:rPr>
          <m:t>−</m:t>
        </m:r>
        <m:r>
          <m:t>s</m:t>
        </m:r>
      </m:oMath>
      <w:r>
        <w:tab/>
      </w:r>
      <w:r>
        <w:rPr>
          <w:rFonts w:ascii="Times New Roman" w:hAnsi="Times New Roman" w:eastAsia="宋体"/>
          <w:sz w:val="24"/>
        </w:rPr>
        <w:t>(7-11)</w:t>
      </w:r>
    </w:p>
    <w:p>
      <w:pPr>
        <w:spacing w:line="360" w:lineRule="auto" w:after="0"/>
        <w:ind w:firstLineChars="200" w:firstLine="480"/>
        <w:jc w:val="both"/>
      </w:pPr>
      <w:r>
        <w:rPr>
          <w:rFonts w:ascii="宋体" w:hAnsi="宋体" w:eastAsia="宋体"/>
          <w:b/>
          <w:sz w:val="24"/>
        </w:rPr>
        <w:t>命题7.1（企业响应的互认门槛）</w:t>
      </w:r>
      <w:r>
        <w:rPr>
          <w:rFonts w:ascii="宋体" w:hAnsi="宋体" w:eastAsia="宋体"/>
          <w:sz w:val="24"/>
        </w:rPr>
        <w:t>：当国际组织接纳衔接时，企业积极响应策略得以扩散的充要条件是国际激励强度超过补贴后净遵从成本，即式(7-11)；基准参数下该阈值为</w:t>
      </w:r>
      <m:oMath>
        <m:sSub>
          <m:e>
            <m:r>
              <m:t>c</m:t>
            </m:r>
          </m:e>
          <m:sub>
            <m:r>
              <m:t>E</m:t>
            </m:r>
          </m:sub>
        </m:sSub>
        <m:r>
          <m:rPr>
            <m:sty m:val="p"/>
          </m:rPr>
          <m:t>−</m:t>
        </m:r>
        <m:r>
          <m:t>s</m:t>
        </m:r>
        <m:r>
          <m:rPr>
            <m:sty m:val="p"/>
          </m:rPr>
          <m:t>=</m:t>
        </m:r>
        <m:r>
          <m:t>0.4</m:t>
        </m:r>
      </m:oMath>
      <w:r>
        <w:rPr>
          <w:rFonts w:ascii="宋体" w:hAnsi="宋体" w:eastAsia="宋体"/>
          <w:sz w:val="24"/>
        </w:rPr>
        <w:t>。命题7.1刻画的是互认环境下的“低门槛”：只要中国标准获得国际承认，碳关税减免与竞争力提升只需覆盖遵从成本超出补贴的部分（一个很小的量级），企业绿色化即可自我扩散——基准情景的国际激励</w:t>
      </w:r>
      <m:oMath>
        <m:r>
          <m:t>Λ</m:t>
        </m:r>
        <m:r>
          <m:rPr>
            <m:sty m:val="p"/>
          </m:rPr>
          <m:t>=</m:t>
        </m:r>
        <m:r>
          <m:t>1.6</m:t>
        </m:r>
      </m:oMath>
      <w:r>
        <w:rPr>
          <w:rFonts w:ascii="宋体" w:hAnsi="宋体" w:eastAsia="宋体"/>
          <w:sz w:val="24"/>
        </w:rPr>
        <w:t>已达该阈值的四倍，说明在互认世界里企业响应几乎不成问题。</w:t>
      </w:r>
    </w:p>
    <w:p>
      <w:pPr>
        <w:spacing w:line="360" w:lineRule="auto" w:after="0"/>
        <w:ind w:firstLineChars="200" w:firstLine="480"/>
        <w:jc w:val="both"/>
      </w:pPr>
      <w:r>
        <w:rPr>
          <w:rFonts w:ascii="宋体" w:hAnsi="宋体" w:eastAsia="宋体"/>
          <w:sz w:val="24"/>
        </w:rPr>
        <w:t>再看壁垒情形。若国际组织排斥壁垒（</w:t>
      </w:r>
      <m:oMath>
        <m:r>
          <m:t>z</m:t>
        </m:r>
        <m:r>
          <m:rPr>
            <m:sty m:val="p"/>
          </m:rPr>
          <m:t>=</m:t>
        </m:r>
        <m:r>
          <m:t>0</m:t>
        </m:r>
      </m:oMath>
      <w:r>
        <w:rPr>
          <w:rFonts w:ascii="宋体" w:hAnsi="宋体" w:eastAsia="宋体"/>
          <w:sz w:val="24"/>
        </w:rPr>
        <w:t>），净激励退化为</w:t>
      </w:r>
      <m:oMath>
        <m:sSub>
          <m:e>
            <m:r>
              <m:t>D</m:t>
            </m:r>
          </m:e>
          <m:sub>
            <m:r>
              <m:t>E</m:t>
            </m:r>
          </m:sub>
        </m:sSub>
        <m:d>
          <m:dPr>
            <m:begChr m:val="("/>
            <m:sepChr m:val=""/>
            <m:endChr m:val=")"/>
            <m:grow/>
          </m:dPr>
          <m:e>
            <m:r>
              <m:t>0</m:t>
            </m:r>
          </m:e>
        </m:d>
        <m:r>
          <m:rPr>
            <m:sty m:val="p"/>
          </m:rPr>
          <m:t>=</m:t>
        </m:r>
        <m:r>
          <m:t>η</m:t>
        </m:r>
        <m:r>
          <m:t>Λ</m:t>
        </m:r>
        <m:r>
          <m:rPr>
            <m:sty m:val="p"/>
          </m:rPr>
          <m:t>+</m:t>
        </m:r>
        <m:r>
          <m:t>s</m:t>
        </m:r>
        <m:r>
          <m:rPr>
            <m:sty m:val="p"/>
          </m:rPr>
          <m:t>−</m:t>
        </m:r>
        <m:sSub>
          <m:e>
            <m:r>
              <m:t>c</m:t>
            </m:r>
          </m:e>
          <m:sub>
            <m:r>
              <m:t>E</m:t>
            </m:r>
          </m:sub>
        </m:sSub>
        <m:r>
          <m:rPr>
            <m:sty m:val="p"/>
          </m:rPr>
          <m:t>−</m:t>
        </m:r>
        <m:r>
          <m:t>μ</m:t>
        </m:r>
        <m:r>
          <m:t>F</m:t>
        </m:r>
      </m:oMath>
      <w:r>
        <w:rPr>
          <w:rFonts w:ascii="宋体" w:hAnsi="宋体" w:eastAsia="宋体"/>
          <w:sz w:val="24"/>
        </w:rPr>
        <w:t>，响应扩散条件收紧为</w:t>
      </w:r>
    </w:p>
    <w:p>
      <w:pPr>
        <w:tabs>
          <w:tab w:pos="4252" w:val="center"/>
          <w:tab w:pos="8504" w:val="right"/>
        </w:tabs>
        <w:spacing w:line="360" w:lineRule="auto" w:before="80" w:after="80"/>
      </w:pPr>
      <w:r>
        <w:tab/>
      </w:r>
      <m:oMath>
        <m:r>
          <m:t>Δ</m:t>
        </m:r>
        <m:r>
          <m:t>T</m:t>
        </m:r>
        <m:r>
          <m:rPr>
            <m:sty m:val="p"/>
          </m:rPr>
          <m:t>+</m:t>
        </m:r>
        <m:r>
          <m:t>Δ</m:t>
        </m:r>
        <m:r>
          <m:t>M</m:t>
        </m:r>
        <m:r>
          <m:rPr>
            <m:sty m:val="p"/>
          </m:rPr>
          <m:t>&gt;</m:t>
        </m:r>
        <m:f>
          <m:fPr>
            <m:type m:val="bar"/>
          </m:fPr>
          <m:num>
            <m:sSub>
              <m:e>
                <m:r>
                  <m:t>c</m:t>
                </m:r>
              </m:e>
              <m:sub>
                <m:r>
                  <m:t>E</m:t>
                </m:r>
              </m:sub>
            </m:sSub>
            <m:r>
              <m:rPr>
                <m:sty m:val="p"/>
              </m:rPr>
              <m:t>+</m:t>
            </m:r>
            <m:r>
              <m:t>μ</m:t>
            </m:r>
            <m:r>
              <m:t>F</m:t>
            </m:r>
            <m:r>
              <m:rPr>
                <m:sty m:val="p"/>
              </m:rPr>
              <m:t>−</m:t>
            </m:r>
            <m:r>
              <m:t>s</m:t>
            </m:r>
          </m:num>
          <m:den>
            <m:r>
              <m:t>η</m:t>
            </m:r>
          </m:den>
        </m:f>
        <m:r>
          <m:rPr>
            <m:sty m:val="p"/>
          </m:rPr>
          <m:t>=</m:t>
        </m:r>
        <m:r>
          <m:t>4</m:t>
        </m:r>
        <m:d>
          <m:dPr>
            <m:begChr m:val="("/>
            <m:sepChr m:val=""/>
            <m:endChr m:val=")"/>
            <m:grow/>
          </m:dPr>
          <m:e>
            <m:sSub>
              <m:e>
                <m:r>
                  <m:t>c</m:t>
                </m:r>
              </m:e>
              <m:sub>
                <m:r>
                  <m:t>E</m:t>
                </m:r>
              </m:sub>
            </m:sSub>
            <m:r>
              <m:rPr>
                <m:sty m:val="p"/>
              </m:rPr>
              <m:t>+</m:t>
            </m:r>
            <m:r>
              <m:t>0.5</m:t>
            </m:r>
            <m:r>
              <m:t>F</m:t>
            </m:r>
            <m:r>
              <m:rPr>
                <m:sty m:val="p"/>
              </m:rPr>
              <m:t>−</m:t>
            </m:r>
            <m:r>
              <m:t>s</m:t>
            </m:r>
          </m:e>
        </m:d>
      </m:oMath>
      <w:r>
        <w:tab/>
      </w:r>
      <w:r>
        <w:rPr>
          <w:rFonts w:ascii="Times New Roman" w:hAnsi="Times New Roman" w:eastAsia="宋体"/>
          <w:sz w:val="24"/>
        </w:rPr>
        <w:t>(7-12)</w:t>
      </w:r>
    </w:p>
    <w:p>
      <w:pPr>
        <w:spacing w:line="360" w:lineRule="auto" w:after="0"/>
        <w:ind w:firstLineChars="200" w:firstLine="480"/>
        <w:jc w:val="both"/>
      </w:pPr>
      <w:r>
        <w:rPr>
          <w:rFonts w:ascii="宋体" w:hAnsi="宋体" w:eastAsia="宋体"/>
          <w:b/>
          <w:sz w:val="24"/>
        </w:rPr>
        <w:t>命题7.2（企业响应的壁垒门槛）</w:t>
      </w:r>
      <w:r>
        <w:rPr>
          <w:rFonts w:ascii="宋体" w:hAnsi="宋体" w:eastAsia="宋体"/>
          <w:sz w:val="24"/>
        </w:rPr>
        <w:t>：当国际组织排斥壁垒时，企业积极响应扩散的充要条件是式(7-12)；基准参数下该阈值为</w:t>
      </w:r>
      <m:oMath>
        <m:r>
          <m:t>4</m:t>
        </m:r>
        <m:d>
          <m:dPr>
            <m:begChr m:val="("/>
            <m:sepChr m:val=""/>
            <m:endChr m:val=")"/>
            <m:grow/>
          </m:dPr>
          <m:e>
            <m:sSub>
              <m:e>
                <m:r>
                  <m:t>c</m:t>
                </m:r>
              </m:e>
              <m:sub>
                <m:r>
                  <m:t>E</m:t>
                </m:r>
              </m:sub>
            </m:sSub>
            <m:r>
              <m:rPr>
                <m:sty m:val="p"/>
              </m:rPr>
              <m:t>+</m:t>
            </m:r>
            <m:r>
              <m:t>0.5</m:t>
            </m:r>
            <m:r>
              <m:t>F</m:t>
            </m:r>
            <m:r>
              <m:rPr>
                <m:sty m:val="p"/>
              </m:rPr>
              <m:t>−</m:t>
            </m:r>
            <m:r>
              <m:t>s</m:t>
            </m:r>
          </m:e>
        </m:d>
        <m:r>
          <m:rPr>
            <m:sty m:val="p"/>
          </m:rPr>
          <m:t>=</m:t>
        </m:r>
        <m:r>
          <m:t>4.8</m:t>
        </m:r>
      </m:oMath>
      <w:r>
        <w:rPr>
          <w:rFonts w:ascii="宋体" w:hAnsi="宋体" w:eastAsia="宋体"/>
          <w:sz w:val="24"/>
        </w:rPr>
        <w:t>，是互认门槛的12倍。两个门槛的悬殊对比正是</w:t>
      </w:r>
      <m:oMath>
        <m:sSubSup>
          <m:e>
            <m:r>
              <m:t>λ</m:t>
            </m:r>
          </m:e>
          <m:sub>
            <m:r>
              <m:t>2</m:t>
            </m:r>
          </m:sub>
          <m:sup>
            <m:sSub>
              <m:e>
                <m:r>
                  <m:t>E</m:t>
                </m:r>
              </m:e>
              <m:sub>
                <m:r>
                  <m:t>1</m:t>
                </m:r>
              </m:sub>
            </m:sSub>
          </m:sup>
        </m:sSubSup>
      </m:oMath>
      <w:r>
        <w:rPr>
          <w:rFonts w:ascii="宋体" w:hAnsi="宋体" w:eastAsia="宋体"/>
          <w:sz w:val="24"/>
        </w:rPr>
        <w:t>符号问题的另一面：基准情景</w:t>
      </w:r>
      <m:oMath>
        <m:r>
          <m:t>Λ</m:t>
        </m:r>
        <m:r>
          <m:rPr>
            <m:sty m:val="p"/>
          </m:rPr>
          <m:t>=</m:t>
        </m:r>
        <m:r>
          <m:t>1.6</m:t>
        </m:r>
      </m:oMath>
      <w:r>
        <w:rPr>
          <w:rFonts w:ascii="宋体" w:hAnsi="宋体" w:eastAsia="宋体"/>
          <w:sz w:val="24"/>
        </w:rPr>
        <w:t>远低于4.8，</w:t>
      </w:r>
      <m:oMath>
        <m:sSubSup>
          <m:e>
            <m:r>
              <m:t>λ</m:t>
            </m:r>
          </m:e>
          <m:sub>
            <m:r>
              <m:t>2</m:t>
            </m:r>
          </m:sub>
          <m:sup>
            <m:sSub>
              <m:e>
                <m:r>
                  <m:t>E</m:t>
                </m:r>
              </m:e>
              <m:sub>
                <m:r>
                  <m:t>1</m:t>
                </m:r>
              </m:sub>
            </m:sSub>
          </m:sup>
        </m:sSubSup>
        <m:r>
          <m:rPr>
            <m:sty m:val="p"/>
          </m:rPr>
          <m:t>=</m:t>
        </m:r>
        <m:r>
          <m:rPr>
            <m:sty m:val="p"/>
          </m:rPr>
          <m:t>−</m:t>
        </m:r>
        <m:r>
          <m:t>0.8</m:t>
        </m:r>
        <m:r>
          <m:rPr>
            <m:sty m:val="p"/>
          </m:rPr>
          <m:t>&lt;</m:t>
        </m:r>
        <m:r>
          <m:t>0</m:t>
        </m:r>
      </m:oMath>
      <w:r>
        <w:rPr>
          <w:rFonts w:ascii="宋体" w:hAnsi="宋体" w:eastAsia="宋体"/>
          <w:sz w:val="24"/>
        </w:rPr>
        <w:t>，跟跑均衡在企业维度稳定；而国际激励提升情景</w:t>
      </w:r>
      <m:oMath>
        <m:r>
          <m:t>Λ</m:t>
        </m:r>
        <m:r>
          <m:rPr>
            <m:sty m:val="p"/>
          </m:rPr>
          <m:t>=</m:t>
        </m:r>
        <m:r>
          <m:t>4.5</m:t>
        </m:r>
      </m:oMath>
      <w:r>
        <w:rPr>
          <w:rFonts w:ascii="宋体" w:hAnsi="宋体" w:eastAsia="宋体"/>
          <w:sz w:val="24"/>
        </w:rPr>
        <w:t>虽逼近但仍未越过该门槛（</w:t>
      </w:r>
      <m:oMath>
        <m:sSubSup>
          <m:e>
            <m:r>
              <m:t>λ</m:t>
            </m:r>
          </m:e>
          <m:sub>
            <m:r>
              <m:t>2</m:t>
            </m:r>
          </m:sub>
          <m:sup>
            <m:sSub>
              <m:e>
                <m:r>
                  <m:t>E</m:t>
                </m:r>
              </m:e>
              <m:sub>
                <m:r>
                  <m:t>1</m:t>
                </m:r>
              </m:sub>
            </m:sSub>
          </m:sup>
        </m:sSubSup>
        <m:r>
          <m:rPr>
            <m:sty m:val="p"/>
          </m:rPr>
          <m:t>=</m:t>
        </m:r>
        <m:r>
          <m:rPr>
            <m:sty m:val="p"/>
          </m:rPr>
          <m:t>−</m:t>
        </m:r>
        <m:r>
          <m:t>0.075</m:t>
        </m:r>
      </m:oMath>
      <w:r>
        <w:rPr>
          <w:rFonts w:ascii="宋体" w:hAnsi="宋体" w:eastAsia="宋体"/>
          <w:sz w:val="24"/>
        </w:rPr>
        <w:t>），</w:t>
      </w:r>
      <m:oMath>
        <m:sSub>
          <m:e>
            <m:r>
              <m:t>E</m:t>
            </m:r>
          </m:e>
          <m:sub>
            <m:r>
              <m:t>1</m:t>
            </m:r>
          </m:sub>
        </m:sSub>
      </m:oMath>
      <w:r>
        <w:rPr>
          <w:rFonts w:ascii="宋体" w:hAnsi="宋体" w:eastAsia="宋体"/>
          <w:sz w:val="24"/>
        </w:rPr>
        <w:t>在局部意义上尚未失稳，跃迁须依靠吸引域的收缩与初始状态的配合——这一微妙差别将在7.5节的模拟中得到直观展示。综合两个命题，可将企业响应门槛写成国际组织接纳概率</w:t>
      </w:r>
      <m:oMath>
        <m:r>
          <m:t>z</m:t>
        </m:r>
      </m:oMath>
      <w:r>
        <w:rPr>
          <w:rFonts w:ascii="宋体" w:hAnsi="宋体" w:eastAsia="宋体"/>
          <w:sz w:val="24"/>
        </w:rPr>
        <w:t>的条件阈值函数：</w:t>
      </w:r>
    </w:p>
    <w:p>
      <w:pPr>
        <w:tabs>
          <w:tab w:pos="4252" w:val="center"/>
          <w:tab w:pos="8504" w:val="right"/>
        </w:tabs>
        <w:spacing w:line="360" w:lineRule="auto" w:before="80" w:after="80"/>
      </w:pPr>
      <w:r>
        <w:tab/>
      </w:r>
      <m:oMath>
        <m:sSup>
          <m:e>
            <m:r>
              <m:t>Λ</m:t>
            </m:r>
          </m:e>
          <m:sup>
            <m:r>
              <m:rPr>
                <m:sty m:val="p"/>
              </m:rPr>
              <m:t>*</m:t>
            </m:r>
          </m:sup>
        </m:sSup>
        <m:d>
          <m:dPr>
            <m:begChr m:val="("/>
            <m:sepChr m:val=""/>
            <m:endChr m:val=")"/>
            <m:grow/>
          </m:dPr>
          <m:e>
            <m:r>
              <m:t>z</m:t>
            </m:r>
          </m:e>
        </m:d>
        <m:r>
          <m:rPr>
            <m:sty m:val="p"/>
          </m:rPr>
          <m:t>=</m:t>
        </m:r>
        <m:f>
          <m:fPr>
            <m:type m:val="bar"/>
          </m:fPr>
          <m:num>
            <m:sSub>
              <m:e>
                <m:r>
                  <m:t>c</m:t>
                </m:r>
              </m:e>
              <m:sub>
                <m:r>
                  <m:t>E</m:t>
                </m:r>
              </m:sub>
            </m:sSub>
            <m:r>
              <m:rPr>
                <m:sty m:val="p"/>
              </m:rPr>
              <m:t>−</m:t>
            </m:r>
            <m:r>
              <m:t>s</m:t>
            </m:r>
            <m:r>
              <m:rPr>
                <m:sty m:val="p"/>
              </m:rPr>
              <m:t>+</m:t>
            </m:r>
            <m:r>
              <m:t>μ</m:t>
            </m:r>
            <m:r>
              <m:t>F</m:t>
            </m:r>
            <m:d>
              <m:dPr>
                <m:begChr m:val="("/>
                <m:sepChr m:val=""/>
                <m:endChr m:val=")"/>
                <m:grow/>
              </m:dPr>
              <m:e>
                <m:r>
                  <m:t>1</m:t>
                </m:r>
                <m:r>
                  <m:rPr>
                    <m:sty m:val="p"/>
                  </m:rPr>
                  <m:t>−</m:t>
                </m:r>
                <m:r>
                  <m:t>z</m:t>
                </m:r>
              </m:e>
            </m:d>
          </m:num>
          <m:den>
            <m:r>
              <m:t>η</m:t>
            </m:r>
            <m:r>
              <m:rPr>
                <m:sty m:val="p"/>
              </m:rPr>
              <m:t>+</m:t>
            </m:r>
            <m:d>
              <m:dPr>
                <m:begChr m:val="("/>
                <m:sepChr m:val=""/>
                <m:endChr m:val=")"/>
                <m:grow/>
              </m:dPr>
              <m:e>
                <m:r>
                  <m:t>1</m:t>
                </m:r>
                <m:r>
                  <m:rPr>
                    <m:sty m:val="p"/>
                  </m:rPr>
                  <m:t>−</m:t>
                </m:r>
                <m:r>
                  <m:t>η</m:t>
                </m:r>
              </m:e>
            </m:d>
            <m:r>
              <m:t>z</m:t>
            </m:r>
          </m:den>
        </m:f>
      </m:oMath>
      <w:r>
        <w:tab/>
      </w:r>
      <w:r>
        <w:rPr>
          <w:rFonts w:ascii="Times New Roman" w:hAnsi="Times New Roman" w:eastAsia="宋体"/>
          <w:sz w:val="24"/>
        </w:rPr>
        <w:t>(7-13)</w:t>
      </w:r>
    </w:p>
    <w:p>
      <w:pPr>
        <w:spacing w:line="360" w:lineRule="auto" w:after="0"/>
        <w:ind w:firstLineChars="200" w:firstLine="480"/>
        <w:jc w:val="both"/>
      </w:pPr>
      <m:oMath>
        <m:sSup>
          <m:e>
            <m:r>
              <m:t>Λ</m:t>
            </m:r>
          </m:e>
          <m:sup>
            <m:r>
              <m:rPr>
                <m:sty m:val="p"/>
              </m:rPr>
              <m:t>*</m:t>
            </m:r>
          </m:sup>
        </m:sSup>
        <m:d>
          <m:dPr>
            <m:begChr m:val="("/>
            <m:sepChr m:val=""/>
            <m:endChr m:val=")"/>
            <m:grow/>
          </m:dPr>
          <m:e>
            <m:r>
              <m:t>z</m:t>
            </m:r>
          </m:e>
        </m:d>
      </m:oMath>
      <w:r>
        <w:rPr>
          <w:rFonts w:ascii="宋体" w:hAnsi="宋体" w:eastAsia="宋体"/>
          <w:sz w:val="24"/>
        </w:rPr>
        <w:t>随</w:t>
      </w:r>
      <m:oMath>
        <m:r>
          <m:t>z</m:t>
        </m:r>
      </m:oMath>
      <w:r>
        <w:rPr>
          <w:rFonts w:ascii="宋体" w:hAnsi="宋体" w:eastAsia="宋体"/>
          <w:sz w:val="24"/>
        </w:rPr>
        <w:t>单调递减，两端点恰为命题7.1与命题7.2的阈值：</w:t>
      </w:r>
      <m:oMath>
        <m:sSup>
          <m:e>
            <m:r>
              <m:t>Λ</m:t>
            </m:r>
          </m:e>
          <m:sup>
            <m:r>
              <m:rPr>
                <m:sty m:val="p"/>
              </m:rPr>
              <m:t>*</m:t>
            </m:r>
          </m:sup>
        </m:sSup>
        <m:d>
          <m:dPr>
            <m:begChr m:val="("/>
            <m:sepChr m:val=""/>
            <m:endChr m:val=")"/>
            <m:grow/>
          </m:dPr>
          <m:e>
            <m:r>
              <m:t>1</m:t>
            </m:r>
          </m:e>
        </m:d>
        <m:r>
          <m:rPr>
            <m:sty m:val="p"/>
          </m:rPr>
          <m:t>=</m:t>
        </m:r>
        <m:r>
          <m:t>0.4</m:t>
        </m:r>
      </m:oMath>
      <w:r>
        <w:rPr>
          <w:rFonts w:ascii="宋体" w:hAnsi="宋体" w:eastAsia="宋体"/>
          <w:sz w:val="24"/>
        </w:rPr>
        <w:t>，</w:t>
      </w:r>
      <m:oMath>
        <m:sSup>
          <m:e>
            <m:r>
              <m:t>Λ</m:t>
            </m:r>
          </m:e>
          <m:sup>
            <m:r>
              <m:rPr>
                <m:sty m:val="p"/>
              </m:rPr>
              <m:t>*</m:t>
            </m:r>
          </m:sup>
        </m:sSup>
        <m:d>
          <m:dPr>
            <m:begChr m:val="("/>
            <m:sepChr m:val=""/>
            <m:endChr m:val=")"/>
            <m:grow/>
          </m:dPr>
          <m:e>
            <m:r>
              <m:t>0</m:t>
            </m:r>
          </m:e>
        </m:d>
        <m:r>
          <m:rPr>
            <m:sty m:val="p"/>
          </m:rPr>
          <m:t>=</m:t>
        </m:r>
        <m:r>
          <m:t>4.8</m:t>
        </m:r>
      </m:oMath>
      <w:r>
        <w:rPr>
          <w:rFonts w:ascii="宋体" w:hAnsi="宋体" w:eastAsia="宋体"/>
          <w:sz w:val="24"/>
        </w:rPr>
        <w:t>。取中性互认预期</w:t>
      </w:r>
      <m:oMath>
        <m:r>
          <m:t>z</m:t>
        </m:r>
        <m:r>
          <m:rPr>
            <m:sty m:val="p"/>
          </m:rPr>
          <m:t>=</m:t>
        </m:r>
        <m:r>
          <m:t>0.3</m:t>
        </m:r>
      </m:oMath>
      <w:r>
        <w:rPr>
          <w:rFonts w:ascii="宋体" w:hAnsi="宋体" w:eastAsia="宋体"/>
          <w:sz w:val="24"/>
        </w:rPr>
        <w:t>，</w:t>
      </w:r>
      <m:oMath>
        <m:sSup>
          <m:e>
            <m:r>
              <m:t>Λ</m:t>
            </m:r>
          </m:e>
          <m:sup>
            <m:r>
              <m:rPr>
                <m:sty m:val="p"/>
              </m:rPr>
              <m:t>*</m:t>
            </m:r>
          </m:sup>
        </m:sSup>
      </m:oMath>
      <w:r>
        <w:rPr>
          <w:rFonts w:ascii="宋体" w:hAnsi="宋体" w:eastAsia="宋体"/>
          <w:sz w:val="24"/>
        </w:rPr>
        <w:t>约为2.02——这正是图7.1中央框标注的综合临界量级“2.0”的出处。条件阈值函数的政策含义深刻：企业绿色化的“门槛”不是一个固定数字，而是国际互认预期的函数；互认预期每改善一分，跨越门槛所需的真金白银就少一分。第12章测度的国际标准差距（ISGI）越大、互认前景越黯淡，企业维度的响应条件就越苛刻，这构成两章之间的机理呼应。</w:t>
      </w:r>
    </w:p>
    <w:p>
      <w:pPr>
        <w:keepNext/>
        <w:spacing w:before="160" w:after="120" w:line="360" w:lineRule="auto"/>
        <w:outlineLvl w:val="2"/>
      </w:pPr>
      <w:r>
        <w:rPr>
          <w:rFonts w:ascii="黑体" w:hAnsi="黑体" w:eastAsia="黑体"/>
          <w:sz w:val="24"/>
        </w:rPr>
        <w:t>7.4.4  “主动领跑”均衡与政府策略转换阈值</w:t>
      </w:r>
    </w:p>
    <w:p>
      <w:pPr>
        <w:spacing w:line="360" w:lineRule="auto" w:after="0"/>
        <w:ind w:firstLineChars="200" w:firstLine="480"/>
        <w:jc w:val="both"/>
      </w:pPr>
      <w:r>
        <w:rPr>
          <w:rFonts w:ascii="宋体" w:hAnsi="宋体" w:eastAsia="宋体"/>
          <w:sz w:val="24"/>
        </w:rPr>
        <w:t>将</w:t>
      </w:r>
      <m:oMath>
        <m:sSub>
          <m:e>
            <m:r>
              <m:t>E</m:t>
            </m:r>
          </m:e>
          <m:sub>
            <m:r>
              <m:t>2</m:t>
            </m:r>
          </m:sub>
        </m:sSub>
        <m:r>
          <m:rPr>
            <m:sty m:val="p"/>
          </m:rPr>
          <m:t>=</m:t>
        </m:r>
        <m:d>
          <m:dPr>
            <m:begChr m:val="("/>
            <m:sepChr m:val=""/>
            <m:endChr m:val=")"/>
            <m:grow/>
          </m:dPr>
          <m:e>
            <m:r>
              <m:t>0</m:t>
            </m:r>
            <m:r>
              <m:rPr>
                <m:sty m:val="p"/>
              </m:rPr>
              <m:t>,</m:t>
            </m:r>
            <m:r>
              <m:t>1</m:t>
            </m:r>
            <m:r>
              <m:rPr>
                <m:sty m:val="p"/>
              </m:rPr>
              <m:t>,</m:t>
            </m:r>
            <m:r>
              <m:t>1</m:t>
            </m:r>
          </m:e>
        </m:d>
      </m:oMath>
      <w:r>
        <w:rPr>
          <w:rFonts w:ascii="宋体" w:hAnsi="宋体" w:eastAsia="宋体"/>
          <w:sz w:val="24"/>
        </w:rPr>
        <w:t>代入式(7-9)，得</w:t>
      </w:r>
    </w:p>
    <w:p>
      <w:pPr>
        <w:tabs>
          <w:tab w:pos="4252" w:val="center"/>
          <w:tab w:pos="8504" w:val="right"/>
        </w:tabs>
        <w:spacing w:line="360" w:lineRule="auto" w:before="80" w:after="80"/>
      </w:pPr>
      <w:r>
        <w:tab/>
      </w:r>
      <m:oMath>
        <m:sSubSup>
          <m:e>
            <m:r>
              <m:t>λ</m:t>
            </m:r>
          </m:e>
          <m:sub>
            <m:r>
              <m:t>1</m:t>
            </m:r>
          </m:sub>
          <m:sup>
            <m:sSub>
              <m:e>
                <m:r>
                  <m:t>E</m:t>
                </m:r>
              </m:e>
              <m:sub>
                <m:r>
                  <m:t>2</m:t>
                </m:r>
              </m:sub>
            </m:sSub>
          </m:sup>
        </m:sSubSup>
        <m:r>
          <m:rPr>
            <m:sty m:val="p"/>
          </m:rPr>
          <m:t>=</m:t>
        </m:r>
        <m:r>
          <m:t>s</m:t>
        </m:r>
        <m:r>
          <m:rPr>
            <m:sty m:val="p"/>
          </m:rPr>
          <m:t>−</m:t>
        </m:r>
        <m:sSub>
          <m:e>
            <m:r>
              <m:t>c</m:t>
            </m:r>
          </m:e>
          <m:sub>
            <m:r>
              <m:t>G</m:t>
            </m:r>
          </m:sub>
        </m:sSub>
        <m:r>
          <m:rPr>
            <m:sty m:val="p"/>
          </m:rPr>
          <m:t>,</m:t>
        </m:r>
        <m:r>
          <m:t>  </m:t>
        </m:r>
        <m:sSubSup>
          <m:e>
            <m:r>
              <m:t>λ</m:t>
            </m:r>
          </m:e>
          <m:sub>
            <m:r>
              <m:t>2</m:t>
            </m:r>
          </m:sub>
          <m:sup>
            <m:sSub>
              <m:e>
                <m:r>
                  <m:t>E</m:t>
                </m:r>
              </m:e>
              <m:sub>
                <m:r>
                  <m:t>2</m:t>
                </m:r>
              </m:sub>
            </m:sSub>
          </m:sup>
        </m:sSubSup>
        <m:r>
          <m:rPr>
            <m:sty m:val="p"/>
          </m:rPr>
          <m:t>=</m:t>
        </m:r>
        <m:r>
          <m:rPr>
            <m:sty m:val="p"/>
          </m:rPr>
          <m:t>−</m:t>
        </m:r>
        <m:d>
          <m:dPr>
            <m:begChr m:val="("/>
            <m:sepChr m:val=""/>
            <m:endChr m:val=")"/>
            <m:grow/>
          </m:dPr>
          <m:e>
            <m:r>
              <m:t>Λ</m:t>
            </m:r>
            <m:r>
              <m:rPr>
                <m:sty m:val="p"/>
              </m:rPr>
              <m:t>+</m:t>
            </m:r>
            <m:r>
              <m:t>s</m:t>
            </m:r>
            <m:r>
              <m:rPr>
                <m:sty m:val="p"/>
              </m:rPr>
              <m:t>−</m:t>
            </m:r>
            <m:sSub>
              <m:e>
                <m:r>
                  <m:t>c</m:t>
                </m:r>
              </m:e>
              <m:sub>
                <m:r>
                  <m:t>E</m:t>
                </m:r>
              </m:sub>
            </m:sSub>
          </m:e>
        </m:d>
        <m:r>
          <m:rPr>
            <m:sty m:val="p"/>
          </m:rPr>
          <m:t>,</m:t>
        </m:r>
        <m:r>
          <m:t>  </m:t>
        </m:r>
        <m:sSubSup>
          <m:e>
            <m:r>
              <m:t>λ</m:t>
            </m:r>
          </m:e>
          <m:sub>
            <m:r>
              <m:t>3</m:t>
            </m:r>
          </m:sub>
          <m:sup>
            <m:sSub>
              <m:e>
                <m:r>
                  <m:t>E</m:t>
                </m:r>
              </m:e>
              <m:sub>
                <m:r>
                  <m:t>2</m:t>
                </m:r>
              </m:sub>
            </m:sSub>
          </m:sup>
        </m:sSubSup>
        <m:r>
          <m:rPr>
            <m:sty m:val="p"/>
          </m:rPr>
          <m:t>=</m:t>
        </m:r>
        <m:r>
          <m:rPr>
            <m:sty m:val="p"/>
          </m:rPr>
          <m:t>−</m:t>
        </m:r>
        <m:d>
          <m:dPr>
            <m:begChr m:val="["/>
            <m:sepChr m:val=""/>
            <m:endChr m:val="]"/>
            <m:grow/>
          </m:dPr>
          <m:e>
            <m:sSub>
              <m:e>
                <m:r>
                  <m:t>R</m:t>
                </m:r>
              </m:e>
              <m:sub>
                <m:r>
                  <m:t>O</m:t>
                </m:r>
              </m:sub>
            </m:sSub>
            <m:r>
              <m:rPr>
                <m:sty m:val="p"/>
              </m:rPr>
              <m:t>+</m:t>
            </m:r>
            <m:r>
              <m:t>κ</m:t>
            </m:r>
            <m:d>
              <m:dPr>
                <m:begChr m:val="("/>
                <m:sepChr m:val=""/>
                <m:endChr m:val=")"/>
                <m:grow/>
              </m:dPr>
              <m:e>
                <m:r>
                  <m:t>Λ</m:t>
                </m:r>
                <m:r>
                  <m:rPr>
                    <m:sty m:val="p"/>
                  </m:rPr>
                  <m:t>−</m:t>
                </m:r>
                <m:sSub>
                  <m:e>
                    <m:r>
                      <m:t>Λ</m:t>
                    </m:r>
                  </m:e>
                  <m:sub>
                    <m:r>
                      <m:t>0</m:t>
                    </m:r>
                  </m:sub>
                </m:sSub>
              </m:e>
            </m:d>
            <m:r>
              <m:rPr>
                <m:sty m:val="p"/>
              </m:rPr>
              <m:t>−</m:t>
            </m:r>
            <m:sSub>
              <m:e>
                <m:r>
                  <m:t>c</m:t>
                </m:r>
              </m:e>
              <m:sub>
                <m:r>
                  <m:t>O</m:t>
                </m:r>
              </m:sub>
            </m:sSub>
          </m:e>
        </m:d>
      </m:oMath>
      <w:r>
        <w:tab/>
      </w:r>
      <w:r>
        <w:rPr>
          <w:rFonts w:ascii="Times New Roman" w:hAnsi="Times New Roman" w:eastAsia="宋体"/>
          <w:sz w:val="24"/>
        </w:rPr>
        <w:t>(7-14)</w:t>
      </w:r>
    </w:p>
    <w:p>
      <w:pPr>
        <w:spacing w:line="360" w:lineRule="auto" w:after="0"/>
        <w:ind w:firstLineChars="200" w:firstLine="480"/>
        <w:jc w:val="both"/>
      </w:pPr>
      <m:oMath>
        <m:sSub>
          <m:e>
            <m:r>
              <m:t>E</m:t>
            </m:r>
          </m:e>
          <m:sub>
            <m:r>
              <m:t>2</m:t>
            </m:r>
          </m:sub>
        </m:sSub>
      </m:oMath>
      <w:r>
        <w:rPr>
          <w:rFonts w:ascii="宋体" w:hAnsi="宋体" w:eastAsia="宋体"/>
          <w:sz w:val="24"/>
        </w:rPr>
        <w:t>渐近稳定要求三个条件：其一，</w:t>
      </w:r>
      <m:oMath>
        <m:sSub>
          <m:e>
            <m:r>
              <m:t>c</m:t>
            </m:r>
          </m:e>
          <m:sub>
            <m:r>
              <m:t>G</m:t>
            </m:r>
          </m:sub>
        </m:sSub>
        <m:r>
          <m:rPr>
            <m:sty m:val="p"/>
          </m:rPr>
          <m:t>&gt;</m:t>
        </m:r>
        <m:r>
          <m:t>s</m:t>
        </m:r>
      </m:oMath>
      <w:r>
        <w:rPr>
          <w:rFonts w:ascii="宋体" w:hAnsi="宋体" w:eastAsia="宋体"/>
          <w:sz w:val="24"/>
        </w:rPr>
        <w:t>（假设三自动满足，基准下</w:t>
      </w:r>
      <m:oMath>
        <m:sSubSup>
          <m:e>
            <m:r>
              <m:t>λ</m:t>
            </m:r>
          </m:e>
          <m:sub>
            <m:r>
              <m:t>1</m:t>
            </m:r>
          </m:sub>
          <m:sup>
            <m:sSub>
              <m:e>
                <m:r>
                  <m:t>E</m:t>
                </m:r>
              </m:e>
              <m:sub>
                <m:r>
                  <m:t>2</m:t>
                </m:r>
              </m:sub>
            </m:sSub>
          </m:sup>
        </m:sSubSup>
        <m:r>
          <m:rPr>
            <m:sty m:val="p"/>
          </m:rPr>
          <m:t>=</m:t>
        </m:r>
        <m:r>
          <m:rPr>
            <m:sty m:val="p"/>
          </m:rPr>
          <m:t>−</m:t>
        </m:r>
        <m:r>
          <m:t>0.5</m:t>
        </m:r>
        <m:r>
          <m:rPr>
            <m:sty m:val="p"/>
          </m:rPr>
          <m:t>&lt;</m:t>
        </m:r>
        <m:r>
          <m:t>0</m:t>
        </m:r>
      </m:oMath>
      <w:r>
        <w:rPr>
          <w:rFonts w:ascii="宋体" w:hAnsi="宋体" w:eastAsia="宋体"/>
          <w:sz w:val="24"/>
        </w:rPr>
        <w:t>）——企业已普遍响应时，廉价的补贴优于昂贵的执法，政府无意回归强制；其二，</w:t>
      </w:r>
      <m:oMath>
        <m:r>
          <m:t>Λ</m:t>
        </m:r>
        <m:r>
          <m:rPr>
            <m:sty m:val="p"/>
          </m:rPr>
          <m:t>&gt;</m:t>
        </m:r>
        <m:sSub>
          <m:e>
            <m:r>
              <m:t>c</m:t>
            </m:r>
          </m:e>
          <m:sub>
            <m:r>
              <m:t>E</m:t>
            </m:r>
          </m:sub>
        </m:sSub>
        <m:r>
          <m:rPr>
            <m:sty m:val="p"/>
          </m:rPr>
          <m:t>−</m:t>
        </m:r>
        <m:r>
          <m:t>s</m:t>
        </m:r>
      </m:oMath>
      <w:r>
        <w:rPr>
          <w:rFonts w:ascii="宋体" w:hAnsi="宋体" w:eastAsia="宋体"/>
          <w:sz w:val="24"/>
        </w:rPr>
        <w:t>即命题7.1的低门槛（基准下</w:t>
      </w:r>
      <m:oMath>
        <m:sSubSup>
          <m:e>
            <m:r>
              <m:t>λ</m:t>
            </m:r>
          </m:e>
          <m:sub>
            <m:r>
              <m:t>2</m:t>
            </m:r>
          </m:sub>
          <m:sup>
            <m:sSub>
              <m:e>
                <m:r>
                  <m:t>E</m:t>
                </m:r>
              </m:e>
              <m:sub>
                <m:r>
                  <m:t>2</m:t>
                </m:r>
              </m:sub>
            </m:sSub>
          </m:sup>
        </m:sSubSup>
        <m:r>
          <m:rPr>
            <m:sty m:val="p"/>
          </m:rPr>
          <m:t>=</m:t>
        </m:r>
        <m:r>
          <m:rPr>
            <m:sty m:val="p"/>
          </m:rPr>
          <m:t>−</m:t>
        </m:r>
        <m:r>
          <m:t>1.2</m:t>
        </m:r>
        <m:r>
          <m:rPr>
            <m:sty m:val="p"/>
          </m:rPr>
          <m:t>&lt;</m:t>
        </m:r>
        <m:r>
          <m:t>0</m:t>
        </m:r>
      </m:oMath>
      <w:r>
        <w:rPr>
          <w:rFonts w:ascii="宋体" w:hAnsi="宋体" w:eastAsia="宋体"/>
          <w:sz w:val="24"/>
        </w:rPr>
        <w:t>）；其三，</w:t>
      </w:r>
      <m:oMath>
        <m:sSub>
          <m:e>
            <m:r>
              <m:t>R</m:t>
            </m:r>
          </m:e>
          <m:sub>
            <m:r>
              <m:t>O</m:t>
            </m:r>
          </m:sub>
        </m:sSub>
        <m:r>
          <m:rPr>
            <m:sty m:val="p"/>
          </m:rPr>
          <m:t>+</m:t>
        </m:r>
        <m:r>
          <m:t>κ</m:t>
        </m:r>
        <m:d>
          <m:dPr>
            <m:begChr m:val="("/>
            <m:sepChr m:val=""/>
            <m:endChr m:val=")"/>
            <m:grow/>
          </m:dPr>
          <m:e>
            <m:r>
              <m:t>Λ</m:t>
            </m:r>
            <m:r>
              <m:rPr>
                <m:sty m:val="p"/>
              </m:rPr>
              <m:t>−</m:t>
            </m:r>
            <m:sSub>
              <m:e>
                <m:r>
                  <m:t>Λ</m:t>
                </m:r>
              </m:e>
              <m:sub>
                <m:r>
                  <m:t>0</m:t>
                </m:r>
              </m:sub>
            </m:sSub>
          </m:e>
        </m:d>
        <m:r>
          <m:rPr>
            <m:sty m:val="p"/>
          </m:rPr>
          <m:t>&gt;</m:t>
        </m:r>
        <m:sSub>
          <m:e>
            <m:r>
              <m:t>c</m:t>
            </m:r>
          </m:e>
          <m:sub>
            <m:r>
              <m:t>O</m:t>
            </m:r>
          </m:sub>
        </m:sSub>
      </m:oMath>
      <w:r>
        <w:rPr>
          <w:rFonts w:ascii="宋体" w:hAnsi="宋体" w:eastAsia="宋体"/>
          <w:sz w:val="24"/>
        </w:rPr>
        <w:t>（基准下</w:t>
      </w:r>
      <m:oMath>
        <m:sSubSup>
          <m:e>
            <m:r>
              <m:t>λ</m:t>
            </m:r>
          </m:e>
          <m:sub>
            <m:r>
              <m:t>3</m:t>
            </m:r>
          </m:sub>
          <m:sup>
            <m:sSub>
              <m:e>
                <m:r>
                  <m:t>E</m:t>
                </m:r>
              </m:e>
              <m:sub>
                <m:r>
                  <m:t>2</m:t>
                </m:r>
              </m:sub>
            </m:sSub>
          </m:sup>
        </m:sSubSup>
        <m:r>
          <m:rPr>
            <m:sty m:val="p"/>
          </m:rPr>
          <m:t>=</m:t>
        </m:r>
        <m:r>
          <m:rPr>
            <m:sty m:val="p"/>
          </m:rPr>
          <m:t>−</m:t>
        </m:r>
        <m:r>
          <m:t>0.9</m:t>
        </m:r>
        <m:r>
          <m:rPr>
            <m:sty m:val="p"/>
          </m:rPr>
          <m:t>&lt;</m:t>
        </m:r>
        <m:r>
          <m:t>0</m:t>
        </m:r>
      </m:oMath>
      <w:r>
        <w:rPr>
          <w:rFonts w:ascii="宋体" w:hAnsi="宋体" w:eastAsia="宋体"/>
          <w:sz w:val="24"/>
        </w:rPr>
        <w:t>）——面对普遍达标的中国企业，互认收益超过协调成本，国际组织无意重筑壁垒。三个条件在基准参数下全部成立，这是一个极具政策意味的结论：主动领跑均衡并非遥不可及的理想，它在当下的参数结构中已经存在且局部稳定；真正的困难不在均衡的“存在”，而在从低响应、被排斥的初始状态“到达”该均衡——发展中经济体面临的不是无解的博弈，而是跨越吸引域边界的起跳问题。</w:t>
      </w:r>
    </w:p>
    <w:p>
      <w:pPr>
        <w:spacing w:line="360" w:lineRule="auto" w:after="0"/>
        <w:ind w:firstLineChars="200" w:firstLine="480"/>
        <w:jc w:val="both"/>
      </w:pPr>
      <w:r>
        <w:rPr>
          <w:rFonts w:ascii="宋体" w:hAnsi="宋体" w:eastAsia="宋体"/>
          <w:sz w:val="24"/>
        </w:rPr>
        <w:t>最后考察政府维度的策略转换。令式(7-3)中的净收益函数</w:t>
      </w:r>
      <m:oMath>
        <m:sSub>
          <m:e>
            <m:r>
              <m:t>D</m:t>
            </m:r>
          </m:e>
          <m:sub>
            <m:r>
              <m:t>G</m:t>
            </m:r>
          </m:sub>
        </m:sSub>
        <m:d>
          <m:dPr>
            <m:begChr m:val="("/>
            <m:sepChr m:val=""/>
            <m:endChr m:val=")"/>
            <m:grow/>
          </m:dPr>
          <m:e>
            <m:r>
              <m:t>y</m:t>
            </m:r>
          </m:e>
        </m:d>
        <m:r>
          <m:rPr>
            <m:sty m:val="p"/>
          </m:rPr>
          <m:t>=</m:t>
        </m:r>
        <m:r>
          <m:t>0</m:t>
        </m:r>
      </m:oMath>
      <w:r>
        <w:rPr>
          <w:rFonts w:ascii="宋体" w:hAnsi="宋体" w:eastAsia="宋体"/>
          <w:sz w:val="24"/>
        </w:rPr>
        <w:t>，解得</w:t>
      </w:r>
    </w:p>
    <w:p>
      <w:pPr>
        <w:tabs>
          <w:tab w:pos="4252" w:val="center"/>
          <w:tab w:pos="8504" w:val="right"/>
        </w:tabs>
        <w:spacing w:line="360" w:lineRule="auto" w:before="80" w:after="80"/>
      </w:pPr>
      <w:r>
        <w:tab/>
      </w:r>
      <m:oMath>
        <m:sSup>
          <m:e>
            <m:r>
              <m:t>y</m:t>
            </m:r>
          </m:e>
          <m:sup>
            <m:r>
              <m:rPr>
                <m:sty m:val="p"/>
              </m:rPr>
              <m:t>*</m:t>
            </m:r>
          </m:sup>
        </m:sSup>
        <m:r>
          <m:rPr>
            <m:sty m:val="p"/>
          </m:rPr>
          <m:t>=</m:t>
        </m:r>
        <m:f>
          <m:fPr>
            <m:type m:val="bar"/>
          </m:fPr>
          <m:num>
            <m:sSub>
              <m:e>
                <m:r>
                  <m:t>R</m:t>
                </m:r>
              </m:e>
              <m:sub>
                <m:r>
                  <m:t>G</m:t>
                </m:r>
              </m:sub>
            </m:sSub>
            <m:r>
              <m:rPr>
                <m:sty m:val="p"/>
              </m:rPr>
              <m:t>−</m:t>
            </m:r>
            <m:sSub>
              <m:e>
                <m:r>
                  <m:t>c</m:t>
                </m:r>
              </m:e>
              <m:sub>
                <m:r>
                  <m:t>G</m:t>
                </m:r>
              </m:sub>
            </m:sSub>
          </m:num>
          <m:den>
            <m:sSub>
              <m:e>
                <m:r>
                  <m:t>R</m:t>
                </m:r>
              </m:e>
              <m:sub>
                <m:r>
                  <m:t>G</m:t>
                </m:r>
              </m:sub>
            </m:sSub>
            <m:r>
              <m:rPr>
                <m:sty m:val="p"/>
              </m:rPr>
              <m:t>−</m:t>
            </m:r>
            <m:r>
              <m:t>s</m:t>
            </m:r>
          </m:den>
        </m:f>
      </m:oMath>
      <w:r>
        <w:tab/>
      </w:r>
      <w:r>
        <w:rPr>
          <w:rFonts w:ascii="Times New Roman" w:hAnsi="Times New Roman" w:eastAsia="宋体"/>
          <w:sz w:val="24"/>
        </w:rPr>
        <w:t>(7-15)</w:t>
      </w:r>
    </w:p>
    <w:p>
      <w:pPr>
        <w:spacing w:line="360" w:lineRule="auto" w:after="0"/>
        <w:ind w:firstLineChars="200" w:firstLine="480"/>
        <w:jc w:val="both"/>
      </w:pPr>
      <w:r>
        <w:rPr>
          <w:rFonts w:ascii="宋体" w:hAnsi="宋体" w:eastAsia="宋体"/>
          <w:b/>
          <w:sz w:val="24"/>
        </w:rPr>
        <w:t>命题7.3（政府策略转换阈值）</w:t>
      </w:r>
      <w:r>
        <w:rPr>
          <w:rFonts w:ascii="宋体" w:hAnsi="宋体" w:eastAsia="宋体"/>
          <w:sz w:val="24"/>
        </w:rPr>
        <w:t>：当且仅当企业响应率</w:t>
      </w:r>
      <m:oMath>
        <m:r>
          <m:t>y</m:t>
        </m:r>
        <m:r>
          <m:rPr>
            <m:sty m:val="p"/>
          </m:rPr>
          <m:t>&gt;</m:t>
        </m:r>
        <m:sSup>
          <m:e>
            <m:r>
              <m:t>y</m:t>
            </m:r>
          </m:e>
          <m:sup>
            <m:r>
              <m:rPr>
                <m:sty m:val="p"/>
              </m:rPr>
              <m:t>*</m:t>
            </m:r>
          </m:sup>
        </m:sSup>
      </m:oMath>
      <w:r>
        <w:rPr>
          <w:rFonts w:ascii="宋体" w:hAnsi="宋体" w:eastAsia="宋体"/>
          <w:sz w:val="24"/>
        </w:rPr>
        <w:t>时，激励引导的期望收益超过强制推行，政府群体向激励引导演化；基准参数下</w:t>
      </w:r>
      <m:oMath>
        <m:sSup>
          <m:e>
            <m:r>
              <m:t>y</m:t>
            </m:r>
          </m:e>
          <m:sup>
            <m:r>
              <m:rPr>
                <m:sty m:val="p"/>
              </m:rPr>
              <m:t>*</m:t>
            </m:r>
          </m:sup>
        </m:sSup>
        <m:r>
          <m:rPr>
            <m:sty m:val="p"/>
          </m:rPr>
          <m:t>=</m:t>
        </m:r>
        <m:d>
          <m:dPr>
            <m:begChr m:val="("/>
            <m:sepChr m:val=""/>
            <m:endChr m:val=")"/>
            <m:grow/>
          </m:dPr>
          <m:e>
            <m:r>
              <m:t>1.5</m:t>
            </m:r>
            <m:r>
              <m:rPr>
                <m:sty m:val="p"/>
              </m:rPr>
              <m:t>−</m:t>
            </m:r>
            <m:r>
              <m:t>1.3</m:t>
            </m:r>
          </m:e>
        </m:d>
        <m:r>
          <m:rPr>
            <m:sty m:val="p"/>
          </m:rPr>
          <m:t>/</m:t>
        </m:r>
        <m:d>
          <m:dPr>
            <m:begChr m:val="("/>
            <m:sepChr m:val=""/>
            <m:endChr m:val=")"/>
            <m:grow/>
          </m:dPr>
          <m:e>
            <m:r>
              <m:t>1.5</m:t>
            </m:r>
            <m:r>
              <m:rPr>
                <m:sty m:val="p"/>
              </m:rPr>
              <m:t>−</m:t>
            </m:r>
            <m:r>
              <m:t>0.8</m:t>
            </m:r>
          </m:e>
        </m:d>
        <m:r>
          <m:rPr>
            <m:sty m:val="p"/>
          </m:rPr>
          <m:t>≈</m:t>
        </m:r>
        <m:r>
          <m:t>0.286</m:t>
        </m:r>
      </m:oMath>
      <w:r>
        <w:rPr>
          <w:rFonts w:ascii="宋体" w:hAnsi="宋体" w:eastAsia="宋体"/>
          <w:sz w:val="24"/>
        </w:rPr>
        <w:t>。命题7.3把“有为政府”的角色动态化了：在企业响应率低于约28.6%的启动阶段，强制推行是政府的占优选择——以行政力量兜底合规、为体系积累最初的响应存量；一旦响应率越过该阈值，继续强制便是对行政资源的浪费，最优路径是让位于激励引导、借市场之力完成扩散。“先强制、后激励”的政策次序由此不再是外生的经验判断，而是博弈结构的内生结论，这与碳市场研究发现的行政干预与市场机制协同互补的证据相互印证（吴茵茵等，2021；张希良等，2021）。尤须注意，</w:t>
      </w:r>
      <m:oMath>
        <m:sSup>
          <m:e>
            <m:r>
              <m:t>y</m:t>
            </m:r>
          </m:e>
          <m:sup>
            <m:r>
              <m:rPr>
                <m:sty m:val="p"/>
              </m:rPr>
              <m:t>*</m:t>
            </m:r>
          </m:sup>
        </m:sSup>
      </m:oMath>
      <w:r>
        <w:rPr>
          <w:rFonts w:ascii="宋体" w:hAnsi="宋体" w:eastAsia="宋体"/>
          <w:sz w:val="24"/>
        </w:rPr>
        <w:t>的分母是</w:t>
      </w:r>
      <m:oMath>
        <m:sSub>
          <m:e>
            <m:r>
              <m:t>R</m:t>
            </m:r>
          </m:e>
          <m:sub>
            <m:r>
              <m:t>G</m:t>
            </m:r>
          </m:sub>
        </m:sSub>
        <m:r>
          <m:rPr>
            <m:sty m:val="p"/>
          </m:rPr>
          <m:t>−</m:t>
        </m:r>
        <m:r>
          <m:t>s</m:t>
        </m:r>
      </m:oMath>
      <w:r>
        <w:rPr>
          <w:rFonts w:ascii="宋体" w:hAnsi="宋体" w:eastAsia="宋体"/>
          <w:sz w:val="24"/>
        </w:rPr>
        <w:t>：补贴越高，激励引导对政府越昂贵，转换阈值越高、强制退出越迟——补贴的这一反直觉效应将在7.6节展开。</w:t>
      </w:r>
    </w:p>
    <w:p>
      <w:pPr>
        <w:keepNext/>
        <w:spacing w:before="160" w:after="120" w:line="360" w:lineRule="auto"/>
        <w:outlineLvl w:val="1"/>
      </w:pPr>
      <w:r>
        <w:rPr>
          <w:rFonts w:ascii="黑体" w:hAnsi="黑体" w:eastAsia="黑体"/>
          <w:sz w:val="28"/>
        </w:rPr>
        <w:t>7.5  数值模拟</w:t>
      </w:r>
    </w:p>
    <w:p>
      <w:pPr>
        <w:keepNext/>
        <w:spacing w:before="160" w:after="120" w:line="360" w:lineRule="auto"/>
        <w:outlineLvl w:val="2"/>
      </w:pPr>
      <w:r>
        <w:rPr>
          <w:rFonts w:ascii="黑体" w:hAnsi="黑体" w:eastAsia="黑体"/>
          <w:sz w:val="24"/>
        </w:rPr>
        <w:t>7.5.1  参数校准与情景设计</w:t>
      </w:r>
    </w:p>
    <w:p>
      <w:pPr>
        <w:spacing w:line="360" w:lineRule="auto" w:after="0"/>
        <w:ind w:firstLineChars="200" w:firstLine="480"/>
        <w:jc w:val="both"/>
      </w:pPr>
      <w:r>
        <w:rPr>
          <w:rFonts w:ascii="宋体" w:hAnsi="宋体" w:eastAsia="宋体"/>
          <w:sz w:val="24"/>
        </w:rPr>
        <w:t>模型参数为无量纲的归一化取值，其绝对水平不具直接货币含义，校准锚定的是三类可核实的相对关系。第一类是成本收益排序：</w:t>
      </w:r>
      <m:oMath>
        <m:sSub>
          <m:e>
            <m:r>
              <m:t>R</m:t>
            </m:r>
          </m:e>
          <m:sub>
            <m:r>
              <m:t>G</m:t>
            </m:r>
          </m:sub>
        </m:sSub>
        <m:r>
          <m:rPr>
            <m:sty m:val="p"/>
          </m:rPr>
          <m:t>&gt;</m:t>
        </m:r>
        <m:sSub>
          <m:e>
            <m:r>
              <m:t>c</m:t>
            </m:r>
          </m:e>
          <m:sub>
            <m:r>
              <m:t>G</m:t>
            </m:r>
          </m:sub>
        </m:sSub>
        <m:r>
          <m:rPr>
            <m:sty m:val="p"/>
          </m:rPr>
          <m:t>&gt;</m:t>
        </m:r>
        <m:r>
          <m:t>s</m:t>
        </m:r>
      </m:oMath>
      <w:r>
        <w:rPr>
          <w:rFonts w:ascii="宋体" w:hAnsi="宋体" w:eastAsia="宋体"/>
          <w:sz w:val="24"/>
        </w:rPr>
        <w:t>与</w:t>
      </w:r>
      <m:oMath>
        <m:sSub>
          <m:e>
            <m:r>
              <m:t>c</m:t>
            </m:r>
          </m:e>
          <m:sub>
            <m:r>
              <m:t>E</m:t>
            </m:r>
          </m:sub>
        </m:sSub>
        <m:r>
          <m:rPr>
            <m:sty m:val="p"/>
          </m:rPr>
          <m:t>&gt;</m:t>
        </m:r>
        <m:r>
          <m:t>s</m:t>
        </m:r>
      </m:oMath>
      <w:r>
        <w:rPr>
          <w:rFonts w:ascii="宋体" w:hAnsi="宋体" w:eastAsia="宋体"/>
          <w:sz w:val="24"/>
        </w:rPr>
        <w:t>的排序依据已见假设三，量级差距参照强制性标准执法链条与财政补贴规模的相对比例设定。第二类是基准情景的国际激励水平：</w:t>
      </w:r>
      <m:oMath>
        <m:sSub>
          <m:e>
            <m:r>
              <m:t>Λ</m:t>
            </m:r>
          </m:e>
          <m:sub>
            <m:r>
              <m:t>0</m:t>
            </m:r>
          </m:sub>
        </m:sSub>
        <m:r>
          <m:rPr>
            <m:sty m:val="p"/>
          </m:rPr>
          <m:t>=</m:t>
        </m:r>
        <m:r>
          <m:t>1.6</m:t>
        </m:r>
      </m:oMath>
      <w:r>
        <w:rPr>
          <w:rFonts w:ascii="宋体" w:hAnsi="宋体" w:eastAsia="宋体"/>
          <w:sz w:val="24"/>
        </w:rPr>
        <w:t>对应CBAM过渡期与互认停滞现状下企业绿色化的有限收益——按2022年口径，中国对欧盟出口CBAM覆盖产品约205亿美元（其中钢铁约146亿美元），CBAM或使中国出口成本每年增加约14亿美元，相对企业绿色化改造的投入而言，当前可兑现的关税减免与溢价收益明显偏低。第三类是提升情景的激励水平：</w:t>
      </w:r>
      <m:oMath>
        <m:r>
          <m:t>Λ</m:t>
        </m:r>
        <m:r>
          <m:rPr>
            <m:sty m:val="p"/>
          </m:rPr>
          <m:t>=</m:t>
        </m:r>
        <m:r>
          <m:t>4.5</m:t>
        </m:r>
      </m:oMath>
      <w:r>
        <w:rPr>
          <w:rFonts w:ascii="宋体" w:hAnsi="宋体" w:eastAsia="宋体"/>
          <w:sz w:val="24"/>
        </w:rPr>
        <w:t>对应互认谈判突破与绿色市场溢价充分释放的组合，其构成（</w:t>
      </w:r>
      <m:oMath>
        <m:r>
          <m:t>Δ</m:t>
        </m:r>
        <m:r>
          <m:t>T</m:t>
        </m:r>
        <m:r>
          <m:rPr>
            <m:sty m:val="p"/>
          </m:rPr>
          <m:t>=</m:t>
        </m:r>
        <m:r>
          <m:t>1.8</m:t>
        </m:r>
      </m:oMath>
      <w:r>
        <w:rPr>
          <w:rFonts w:ascii="宋体" w:hAnsi="宋体" w:eastAsia="宋体"/>
          <w:sz w:val="24"/>
        </w:rPr>
        <w:t>、</w:t>
      </w:r>
      <m:oMath>
        <m:r>
          <m:t>Δ</m:t>
        </m:r>
        <m:r>
          <m:t>M</m:t>
        </m:r>
        <m:r>
          <m:rPr>
            <m:sty m:val="p"/>
          </m:rPr>
          <m:t>=</m:t>
        </m:r>
        <m:r>
          <m:t>2.7</m:t>
        </m:r>
      </m:oMath>
      <w:r>
        <w:rPr>
          <w:rFonts w:ascii="宋体" w:hAnsi="宋体" w:eastAsia="宋体"/>
          <w:sz w:val="24"/>
        </w:rPr>
        <w:t>）分别对应碳价并轨后证书扣减空间的扩大与绿色产品市场的成熟。数值模拟以Python复现并交叉验证了MATLAB原型结果，采用四阶Runge-Kutta方法积分，步长0.1，模拟50期（约25年），初始状态取</w:t>
      </w:r>
      <m:oMath>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r>
          <m:rPr>
            <m:sty m:val="p"/>
          </m:rPr>
          <m:t>=</m:t>
        </m:r>
        <m:d>
          <m:dPr>
            <m:begChr m:val="("/>
            <m:sepChr m:val=""/>
            <m:endChr m:val=")"/>
            <m:grow/>
          </m:dPr>
          <m:e>
            <m:r>
              <m:t>0.5</m:t>
            </m:r>
            <m:r>
              <m:rPr>
                <m:sty m:val="p"/>
              </m:rPr>
              <m:t>,</m:t>
            </m:r>
            <m:r>
              <m:t>0.2</m:t>
            </m:r>
            <m:r>
              <m:rPr>
                <m:sty m:val="p"/>
              </m:rPr>
              <m:t>,</m:t>
            </m:r>
            <m:r>
              <m:t>0.2</m:t>
            </m:r>
          </m:e>
        </m:d>
      </m:oMath>
      <w:r>
        <w:rPr>
          <w:rFonts w:ascii="宋体" w:hAnsi="宋体" w:eastAsia="宋体"/>
          <w:sz w:val="24"/>
        </w:rPr>
        <w:t>——政府两种工具并用、企业响应与国际接纳均处低位，与“双碳”目标提出初期的现实格局对应。参数与情景设定汇总于表7.3。</w:t>
      </w:r>
    </w:p>
    <w:p>
      <w:pPr>
        <w:keepNext/>
        <w:spacing w:before="160" w:after="40"/>
        <w:jc w:val="center"/>
      </w:pPr>
      <w:r>
        <w:rPr>
          <w:rFonts w:ascii="黑体" w:hAnsi="黑体" w:eastAsia="黑体"/>
          <w:sz w:val="21"/>
        </w:rPr>
        <w:t>表7.3  数值模拟的参数取值与情景设定</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符号／情景</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含义</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取值</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设定与校准依据</w:t>
            </w:r>
          </w:p>
        </w:tc>
      </w:tr>
      <w:tr>
        <w:tc>
          <w:tcPr>
            <w:tcW w:type="dxa" w:w="2126"/>
            <w:vAlign w:val="center"/>
          </w:tcPr>
          <w:p>
            <w:pPr>
              <w:spacing w:line="240" w:lineRule="auto" w:after="20" w:before="20"/>
              <w:jc w:val="center"/>
            </w:pPr>
            <w:r/>
            <m:oMath>
              <m:sSub>
                <m:e>
                  <m:r>
                    <m:t>c</m:t>
                  </m:r>
                </m:e>
                <m:sub>
                  <m:r>
                    <m:t>G</m:t>
                  </m:r>
                </m:sub>
              </m:sSub>
            </m:oMath>
          </w:p>
        </w:tc>
        <w:tc>
          <w:tcPr>
            <w:tcW w:type="dxa" w:w="2126"/>
            <w:vAlign w:val="center"/>
          </w:tcPr>
          <w:p>
            <w:pPr>
              <w:spacing w:line="240" w:lineRule="auto" w:after="20" w:before="20"/>
              <w:jc w:val="left"/>
            </w:pPr>
            <w:r/>
            <w:r>
              <w:rPr>
                <w:rFonts w:ascii="宋体" w:hAnsi="宋体" w:eastAsia="宋体"/>
                <w:sz w:val="21"/>
              </w:rPr>
              <w:t>政府执法成本</w:t>
            </w:r>
          </w:p>
        </w:tc>
        <w:tc>
          <w:tcPr>
            <w:tcW w:type="dxa" w:w="2126"/>
            <w:vAlign w:val="center"/>
          </w:tcPr>
          <w:p>
            <w:pPr>
              <w:spacing w:line="240" w:lineRule="auto" w:after="20" w:before="20"/>
              <w:jc w:val="center"/>
            </w:pPr>
            <w:r/>
            <w:r>
              <w:rPr>
                <w:rFonts w:ascii="宋体" w:hAnsi="宋体" w:eastAsia="宋体"/>
                <w:sz w:val="21"/>
              </w:rPr>
              <w:t>1.3</w:t>
            </w:r>
          </w:p>
        </w:tc>
        <w:tc>
          <w:tcPr>
            <w:tcW w:type="dxa" w:w="2126"/>
            <w:vAlign w:val="center"/>
          </w:tcPr>
          <w:p>
            <w:pPr>
              <w:spacing w:line="240" w:lineRule="auto" w:after="20" w:before="20"/>
              <w:jc w:val="left"/>
            </w:pPr>
            <w:r/>
            <w:r>
              <w:rPr>
                <w:rFonts w:ascii="宋体" w:hAnsi="宋体" w:eastAsia="宋体"/>
                <w:sz w:val="21"/>
              </w:rPr>
              <w:t>含执法核查与配套支持支出，量级高于补贴</w:t>
            </w:r>
          </w:p>
        </w:tc>
      </w:tr>
      <w:tr>
        <w:tc>
          <w:tcPr>
            <w:tcW w:type="dxa" w:w="2126"/>
            <w:vAlign w:val="center"/>
          </w:tcPr>
          <w:p>
            <w:pPr>
              <w:spacing w:line="240" w:lineRule="auto" w:after="20" w:before="20"/>
              <w:jc w:val="center"/>
            </w:pPr>
            <w:r/>
            <m:oMath>
              <m:sSub>
                <m:e>
                  <m:r>
                    <m:t>c</m:t>
                  </m:r>
                </m:e>
                <m:sub>
                  <m:r>
                    <m:t>E</m:t>
                  </m:r>
                </m:sub>
              </m:sSub>
            </m:oMath>
          </w:p>
        </w:tc>
        <w:tc>
          <w:tcPr>
            <w:tcW w:type="dxa" w:w="2126"/>
            <w:vAlign w:val="center"/>
          </w:tcPr>
          <w:p>
            <w:pPr>
              <w:spacing w:line="240" w:lineRule="auto" w:after="20" w:before="20"/>
              <w:jc w:val="left"/>
            </w:pPr>
            <w:r/>
            <w:r>
              <w:rPr>
                <w:rFonts w:ascii="宋体" w:hAnsi="宋体" w:eastAsia="宋体"/>
                <w:sz w:val="21"/>
              </w:rPr>
              <w:t>企业遵从成本</w:t>
            </w:r>
          </w:p>
        </w:tc>
        <w:tc>
          <w:tcPr>
            <w:tcW w:type="dxa" w:w="2126"/>
            <w:vAlign w:val="center"/>
          </w:tcPr>
          <w:p>
            <w:pPr>
              <w:spacing w:line="240" w:lineRule="auto" w:after="20" w:before="20"/>
              <w:jc w:val="center"/>
            </w:pPr>
            <w:r/>
            <w:r>
              <w:rPr>
                <w:rFonts w:ascii="宋体" w:hAnsi="宋体" w:eastAsia="宋体"/>
                <w:sz w:val="21"/>
              </w:rPr>
              <w:t>1.2</w:t>
            </w:r>
          </w:p>
        </w:tc>
        <w:tc>
          <w:tcPr>
            <w:tcW w:type="dxa" w:w="2126"/>
            <w:vAlign w:val="center"/>
          </w:tcPr>
          <w:p>
            <w:pPr>
              <w:spacing w:line="240" w:lineRule="auto" w:after="20" w:before="20"/>
              <w:jc w:val="left"/>
            </w:pPr>
            <w:r/>
            <w:r>
              <w:rPr>
                <w:rFonts w:ascii="宋体" w:hAnsi="宋体" w:eastAsia="宋体"/>
                <w:sz w:val="21"/>
              </w:rPr>
              <w:t>核算体系、工艺改造与认证费用的归一化量级</w:t>
            </w:r>
          </w:p>
        </w:tc>
      </w:tr>
      <w:tr>
        <w:tc>
          <w:tcPr>
            <w:tcW w:type="dxa" w:w="2126"/>
            <w:vAlign w:val="center"/>
          </w:tcPr>
          <w:p>
            <w:pPr>
              <w:spacing w:line="240" w:lineRule="auto" w:after="20" w:before="20"/>
              <w:jc w:val="center"/>
            </w:pPr>
            <w:r/>
            <m:oMath>
              <m:r>
                <m:t>s</m:t>
              </m:r>
            </m:oMath>
          </w:p>
        </w:tc>
        <w:tc>
          <w:tcPr>
            <w:tcW w:type="dxa" w:w="2126"/>
            <w:vAlign w:val="center"/>
          </w:tcPr>
          <w:p>
            <w:pPr>
              <w:spacing w:line="240" w:lineRule="auto" w:after="20" w:before="20"/>
              <w:jc w:val="left"/>
            </w:pPr>
            <w:r/>
            <w:r>
              <w:rPr>
                <w:rFonts w:ascii="宋体" w:hAnsi="宋体" w:eastAsia="宋体"/>
                <w:sz w:val="21"/>
              </w:rPr>
              <w:t>政府补贴强度</w:t>
            </w:r>
          </w:p>
        </w:tc>
        <w:tc>
          <w:tcPr>
            <w:tcW w:type="dxa" w:w="2126"/>
            <w:vAlign w:val="center"/>
          </w:tcPr>
          <w:p>
            <w:pPr>
              <w:spacing w:line="240" w:lineRule="auto" w:after="20" w:before="20"/>
              <w:jc w:val="center"/>
            </w:pPr>
            <w:r/>
            <w:r>
              <w:rPr>
                <w:rFonts w:ascii="宋体" w:hAnsi="宋体" w:eastAsia="宋体"/>
                <w:sz w:val="21"/>
              </w:rPr>
              <w:t>0.8（情景C为1.2）</w:t>
            </w:r>
          </w:p>
        </w:tc>
        <w:tc>
          <w:tcPr>
            <w:tcW w:type="dxa" w:w="2126"/>
            <w:vAlign w:val="center"/>
          </w:tcPr>
          <w:p>
            <w:pPr>
              <w:spacing w:line="240" w:lineRule="auto" w:after="20" w:before="20"/>
              <w:jc w:val="left"/>
            </w:pPr>
            <w:r/>
            <w:r>
              <w:rPr>
                <w:rFonts w:ascii="宋体" w:hAnsi="宋体" w:eastAsia="宋体"/>
                <w:sz w:val="21"/>
              </w:rPr>
              <w:t>财政补贴、税收减免与贴息的综合等价</w:t>
            </w:r>
          </w:p>
        </w:tc>
      </w:tr>
      <w:tr>
        <w:tc>
          <w:tcPr>
            <w:tcW w:type="dxa" w:w="2126"/>
            <w:vAlign w:val="center"/>
          </w:tcPr>
          <w:p>
            <w:pPr>
              <w:spacing w:line="240" w:lineRule="auto" w:after="20" w:before="20"/>
              <w:jc w:val="center"/>
            </w:pPr>
            <w:r/>
            <m:oMath>
              <m:sSub>
                <m:e>
                  <m:r>
                    <m:t>R</m:t>
                  </m:r>
                </m:e>
                <m:sub>
                  <m:r>
                    <m:t>G</m:t>
                  </m:r>
                </m:sub>
              </m:sSub>
            </m:oMath>
          </w:p>
        </w:tc>
        <w:tc>
          <w:tcPr>
            <w:tcW w:type="dxa" w:w="2126"/>
            <w:vAlign w:val="center"/>
          </w:tcPr>
          <w:p>
            <w:pPr>
              <w:spacing w:line="240" w:lineRule="auto" w:after="20" w:before="20"/>
              <w:jc w:val="left"/>
            </w:pPr>
            <w:r/>
            <w:r>
              <w:rPr>
                <w:rFonts w:ascii="宋体" w:hAnsi="宋体" w:eastAsia="宋体"/>
                <w:sz w:val="21"/>
              </w:rPr>
              <w:t>政府合规收益</w:t>
            </w:r>
          </w:p>
        </w:tc>
        <w:tc>
          <w:tcPr>
            <w:tcW w:type="dxa" w:w="2126"/>
            <w:vAlign w:val="center"/>
          </w:tcPr>
          <w:p>
            <w:pPr>
              <w:spacing w:line="240" w:lineRule="auto" w:after="20" w:before="20"/>
              <w:jc w:val="center"/>
            </w:pPr>
            <w:r/>
            <w:r>
              <w:rPr>
                <w:rFonts w:ascii="宋体" w:hAnsi="宋体" w:eastAsia="宋体"/>
                <w:sz w:val="21"/>
              </w:rPr>
              <w:t>1.5</w:t>
            </w:r>
          </w:p>
        </w:tc>
        <w:tc>
          <w:tcPr>
            <w:tcW w:type="dxa" w:w="2126"/>
            <w:vAlign w:val="center"/>
          </w:tcPr>
          <w:p>
            <w:pPr>
              <w:spacing w:line="240" w:lineRule="auto" w:after="20" w:before="20"/>
              <w:jc w:val="left"/>
            </w:pPr>
            <w:r/>
            <w:r>
              <w:rPr>
                <w:rFonts w:ascii="宋体" w:hAnsi="宋体" w:eastAsia="宋体"/>
                <w:sz w:val="21"/>
              </w:rPr>
              <w:t>减排目标达成与治理声誉，满足</w:t>
            </w:r>
            <m:oMath>
              <m:sSub>
                <m:e>
                  <m:r>
                    <m:t>R</m:t>
                  </m:r>
                </m:e>
                <m:sub>
                  <m:r>
                    <m:t>G</m:t>
                  </m:r>
                </m:sub>
              </m:sSub>
              <m:r>
                <m:rPr>
                  <m:sty m:val="p"/>
                </m:rPr>
                <m:t>&gt;</m:t>
              </m:r>
              <m:sSub>
                <m:e>
                  <m:r>
                    <m:t>c</m:t>
                  </m:r>
                </m:e>
                <m:sub>
                  <m:r>
                    <m:t>G</m:t>
                  </m:r>
                </m:sub>
              </m:sSub>
              <m:r>
                <m:rPr>
                  <m:sty m:val="p"/>
                </m:rPr>
                <m:t>&gt;</m:t>
              </m:r>
              <m:r>
                <m:t>s</m:t>
              </m:r>
            </m:oMath>
          </w:p>
        </w:tc>
      </w:tr>
      <w:tr>
        <w:tc>
          <w:tcPr>
            <w:tcW w:type="dxa" w:w="2126"/>
            <w:vAlign w:val="center"/>
          </w:tcPr>
          <w:p>
            <w:pPr>
              <w:spacing w:line="240" w:lineRule="auto" w:after="20" w:before="20"/>
              <w:jc w:val="center"/>
            </w:pPr>
            <w:r/>
            <m:oMath>
              <m:sSub>
                <m:e>
                  <m:r>
                    <m:t>R</m:t>
                  </m:r>
                </m:e>
                <m:sub>
                  <m:r>
                    <m:t>O</m:t>
                  </m:r>
                </m:sub>
              </m:sSub>
            </m:oMath>
          </w:p>
        </w:tc>
        <w:tc>
          <w:tcPr>
            <w:tcW w:type="dxa" w:w="2126"/>
            <w:vAlign w:val="center"/>
          </w:tcPr>
          <w:p>
            <w:pPr>
              <w:spacing w:line="240" w:lineRule="auto" w:after="20" w:before="20"/>
              <w:jc w:val="left"/>
            </w:pPr>
            <w:r/>
            <w:r>
              <w:rPr>
                <w:rFonts w:ascii="宋体" w:hAnsi="宋体" w:eastAsia="宋体"/>
                <w:sz w:val="21"/>
              </w:rPr>
              <w:t>国际组织互认收益</w:t>
            </w:r>
          </w:p>
        </w:tc>
        <w:tc>
          <w:tcPr>
            <w:tcW w:type="dxa" w:w="2126"/>
            <w:vAlign w:val="center"/>
          </w:tcPr>
          <w:p>
            <w:pPr>
              <w:spacing w:line="240" w:lineRule="auto" w:after="20" w:before="20"/>
              <w:jc w:val="center"/>
            </w:pPr>
            <w:r/>
            <w:r>
              <w:rPr>
                <w:rFonts w:ascii="宋体" w:hAnsi="宋体" w:eastAsia="宋体"/>
                <w:sz w:val="21"/>
              </w:rPr>
              <w:t>1.0</w:t>
            </w:r>
          </w:p>
        </w:tc>
        <w:tc>
          <w:tcPr>
            <w:tcW w:type="dxa" w:w="2126"/>
            <w:vAlign w:val="center"/>
          </w:tcPr>
          <w:p>
            <w:pPr>
              <w:spacing w:line="240" w:lineRule="auto" w:after="20" w:before="20"/>
              <w:jc w:val="left"/>
            </w:pPr>
            <w:r/>
            <w:r>
              <w:rPr>
                <w:rFonts w:ascii="宋体" w:hAnsi="宋体" w:eastAsia="宋体"/>
                <w:sz w:val="21"/>
              </w:rPr>
              <w:t>规则网络外部性与碳泄漏治理收益</w:t>
            </w:r>
          </w:p>
        </w:tc>
      </w:tr>
      <w:tr>
        <w:tc>
          <w:tcPr>
            <w:tcW w:type="dxa" w:w="2126"/>
            <w:vAlign w:val="center"/>
          </w:tcPr>
          <w:p>
            <w:pPr>
              <w:spacing w:line="240" w:lineRule="auto" w:after="20" w:before="20"/>
              <w:jc w:val="center"/>
            </w:pPr>
            <w:r/>
            <m:oMath>
              <m:sSub>
                <m:e>
                  <m:r>
                    <m:t>L</m:t>
                  </m:r>
                </m:e>
                <m:sub>
                  <m:r>
                    <m:t>O</m:t>
                  </m:r>
                </m:sub>
              </m:sSub>
            </m:oMath>
          </w:p>
        </w:tc>
        <w:tc>
          <w:tcPr>
            <w:tcW w:type="dxa" w:w="2126"/>
            <w:vAlign w:val="center"/>
          </w:tcPr>
          <w:p>
            <w:pPr>
              <w:spacing w:line="240" w:lineRule="auto" w:after="20" w:before="20"/>
              <w:jc w:val="left"/>
            </w:pPr>
            <w:r/>
            <w:r>
              <w:rPr>
                <w:rFonts w:ascii="宋体" w:hAnsi="宋体" w:eastAsia="宋体"/>
                <w:sz w:val="21"/>
              </w:rPr>
              <w:t>壁垒保护收益（壁垒损失对偶）</w:t>
            </w:r>
          </w:p>
        </w:tc>
        <w:tc>
          <w:tcPr>
            <w:tcW w:type="dxa" w:w="2126"/>
            <w:vAlign w:val="center"/>
          </w:tcPr>
          <w:p>
            <w:pPr>
              <w:spacing w:line="240" w:lineRule="auto" w:after="20" w:before="20"/>
              <w:jc w:val="center"/>
            </w:pPr>
            <w:r/>
            <w:r>
              <w:rPr>
                <w:rFonts w:ascii="宋体" w:hAnsi="宋体" w:eastAsia="宋体"/>
                <w:sz w:val="21"/>
              </w:rPr>
              <w:t>0.6</w:t>
            </w:r>
          </w:p>
        </w:tc>
        <w:tc>
          <w:tcPr>
            <w:tcW w:type="dxa" w:w="2126"/>
            <w:vAlign w:val="center"/>
          </w:tcPr>
          <w:p>
            <w:pPr>
              <w:spacing w:line="240" w:lineRule="auto" w:after="20" w:before="20"/>
              <w:jc w:val="left"/>
            </w:pPr>
            <w:r/>
            <w:r>
              <w:rPr>
                <w:rFonts w:ascii="宋体" w:hAnsi="宋体" w:eastAsia="宋体"/>
                <w:sz w:val="21"/>
              </w:rPr>
              <w:t>成员市场短期保护收益，低于互认收益</w:t>
            </w:r>
          </w:p>
        </w:tc>
      </w:tr>
      <w:tr>
        <w:tc>
          <w:tcPr>
            <w:tcW w:type="dxa" w:w="2126"/>
            <w:vAlign w:val="center"/>
          </w:tcPr>
          <w:p>
            <w:pPr>
              <w:spacing w:line="240" w:lineRule="auto" w:after="20" w:before="20"/>
              <w:jc w:val="center"/>
            </w:pPr>
            <w:r/>
            <m:oMath>
              <m:r>
                <m:t>F</m:t>
              </m:r>
            </m:oMath>
          </w:p>
        </w:tc>
        <w:tc>
          <w:tcPr>
            <w:tcW w:type="dxa" w:w="2126"/>
            <w:vAlign w:val="center"/>
          </w:tcPr>
          <w:p>
            <w:pPr>
              <w:spacing w:line="240" w:lineRule="auto" w:after="20" w:before="20"/>
              <w:jc w:val="left"/>
            </w:pPr>
            <w:r/>
            <w:r>
              <w:rPr>
                <w:rFonts w:ascii="宋体" w:hAnsi="宋体" w:eastAsia="宋体"/>
                <w:sz w:val="21"/>
              </w:rPr>
              <w:t>贸易摩擦损失</w:t>
            </w:r>
          </w:p>
        </w:tc>
        <w:tc>
          <w:tcPr>
            <w:tcW w:type="dxa" w:w="2126"/>
            <w:vAlign w:val="center"/>
          </w:tcPr>
          <w:p>
            <w:pPr>
              <w:spacing w:line="240" w:lineRule="auto" w:after="20" w:before="20"/>
              <w:jc w:val="center"/>
            </w:pPr>
            <w:r/>
            <w:r>
              <w:rPr>
                <w:rFonts w:ascii="宋体" w:hAnsi="宋体" w:eastAsia="宋体"/>
                <w:sz w:val="21"/>
              </w:rPr>
              <w:t>1.6</w:t>
            </w:r>
          </w:p>
        </w:tc>
        <w:tc>
          <w:tcPr>
            <w:tcW w:type="dxa" w:w="2126"/>
            <w:vAlign w:val="center"/>
          </w:tcPr>
          <w:p>
            <w:pPr>
              <w:spacing w:line="240" w:lineRule="auto" w:after="20" w:before="20"/>
              <w:jc w:val="left"/>
            </w:pPr>
            <w:r/>
            <w:r>
              <w:rPr>
                <w:rFonts w:ascii="宋体" w:hAnsi="宋体" w:eastAsia="宋体"/>
                <w:sz w:val="21"/>
              </w:rPr>
              <w:t>重复认证、数据核查与缺省值高估成本</w:t>
            </w:r>
          </w:p>
        </w:tc>
      </w:tr>
      <w:tr>
        <w:tc>
          <w:tcPr>
            <w:tcW w:type="dxa" w:w="2126"/>
            <w:vAlign w:val="center"/>
          </w:tcPr>
          <w:p>
            <w:pPr>
              <w:spacing w:line="240" w:lineRule="auto" w:after="20" w:before="20"/>
              <w:jc w:val="center"/>
            </w:pPr>
            <w:r/>
            <m:oMath>
              <m:r>
                <m:t>Δ</m:t>
              </m:r>
              <m:r>
                <m:t>T</m:t>
              </m:r>
            </m:oMath>
          </w:p>
        </w:tc>
        <w:tc>
          <w:tcPr>
            <w:tcW w:type="dxa" w:w="2126"/>
            <w:vAlign w:val="center"/>
          </w:tcPr>
          <w:p>
            <w:pPr>
              <w:spacing w:line="240" w:lineRule="auto" w:after="20" w:before="20"/>
              <w:jc w:val="left"/>
            </w:pPr>
            <w:r/>
            <w:r>
              <w:rPr>
                <w:rFonts w:ascii="宋体" w:hAnsi="宋体" w:eastAsia="宋体"/>
                <w:sz w:val="21"/>
              </w:rPr>
              <w:t>碳关税减免</w:t>
            </w:r>
          </w:p>
        </w:tc>
        <w:tc>
          <w:tcPr>
            <w:tcW w:type="dxa" w:w="2126"/>
            <w:vAlign w:val="center"/>
          </w:tcPr>
          <w:p>
            <w:pPr>
              <w:spacing w:line="240" w:lineRule="auto" w:after="20" w:before="20"/>
              <w:jc w:val="center"/>
            </w:pPr>
            <w:r/>
            <w:r>
              <w:rPr>
                <w:rFonts w:ascii="宋体" w:hAnsi="宋体" w:eastAsia="宋体"/>
                <w:sz w:val="21"/>
              </w:rPr>
              <w:t>0.6／1.8</w:t>
            </w:r>
          </w:p>
        </w:tc>
        <w:tc>
          <w:tcPr>
            <w:tcW w:type="dxa" w:w="2126"/>
            <w:vAlign w:val="center"/>
          </w:tcPr>
          <w:p>
            <w:pPr>
              <w:spacing w:line="240" w:lineRule="auto" w:after="20" w:before="20"/>
              <w:jc w:val="left"/>
            </w:pPr>
            <w:r/>
            <w:r>
              <w:rPr>
                <w:rFonts w:ascii="宋体" w:hAnsi="宋体" w:eastAsia="宋体"/>
                <w:sz w:val="21"/>
              </w:rPr>
              <w:t>情景A／情景B、C；CBAM证书扣减空间</w:t>
            </w:r>
          </w:p>
        </w:tc>
      </w:tr>
      <w:tr>
        <w:tc>
          <w:tcPr>
            <w:tcW w:type="dxa" w:w="2126"/>
            <w:vAlign w:val="center"/>
          </w:tcPr>
          <w:p>
            <w:pPr>
              <w:spacing w:line="240" w:lineRule="auto" w:after="20" w:before="20"/>
              <w:jc w:val="center"/>
            </w:pPr>
            <w:r/>
            <m:oMath>
              <m:r>
                <m:t>Δ</m:t>
              </m:r>
              <m:r>
                <m:t>M</m:t>
              </m:r>
            </m:oMath>
          </w:p>
        </w:tc>
        <w:tc>
          <w:tcPr>
            <w:tcW w:type="dxa" w:w="2126"/>
            <w:vAlign w:val="center"/>
          </w:tcPr>
          <w:p>
            <w:pPr>
              <w:spacing w:line="240" w:lineRule="auto" w:after="20" w:before="20"/>
              <w:jc w:val="left"/>
            </w:pPr>
            <w:r/>
            <w:r>
              <w:rPr>
                <w:rFonts w:ascii="宋体" w:hAnsi="宋体" w:eastAsia="宋体"/>
                <w:sz w:val="21"/>
              </w:rPr>
              <w:t>竞争力提升</w:t>
            </w:r>
          </w:p>
        </w:tc>
        <w:tc>
          <w:tcPr>
            <w:tcW w:type="dxa" w:w="2126"/>
            <w:vAlign w:val="center"/>
          </w:tcPr>
          <w:p>
            <w:pPr>
              <w:spacing w:line="240" w:lineRule="auto" w:after="20" w:before="20"/>
              <w:jc w:val="center"/>
            </w:pPr>
            <w:r/>
            <w:r>
              <w:rPr>
                <w:rFonts w:ascii="宋体" w:hAnsi="宋体" w:eastAsia="宋体"/>
                <w:sz w:val="21"/>
              </w:rPr>
              <w:t>1.0／2.7</w:t>
            </w:r>
          </w:p>
        </w:tc>
        <w:tc>
          <w:tcPr>
            <w:tcW w:type="dxa" w:w="2126"/>
            <w:vAlign w:val="center"/>
          </w:tcPr>
          <w:p>
            <w:pPr>
              <w:spacing w:line="240" w:lineRule="auto" w:after="20" w:before="20"/>
              <w:jc w:val="left"/>
            </w:pPr>
            <w:r/>
            <w:r>
              <w:rPr>
                <w:rFonts w:ascii="宋体" w:hAnsi="宋体" w:eastAsia="宋体"/>
                <w:sz w:val="21"/>
              </w:rPr>
              <w:t>情景A／情景B、C；绿色溢价与市场准入</w:t>
            </w:r>
          </w:p>
        </w:tc>
      </w:tr>
      <w:tr>
        <w:tc>
          <w:tcPr>
            <w:tcW w:type="dxa" w:w="2126"/>
            <w:vAlign w:val="center"/>
          </w:tcPr>
          <w:p>
            <w:pPr>
              <w:spacing w:line="240" w:lineRule="auto" w:after="20" w:before="20"/>
              <w:jc w:val="center"/>
            </w:pPr>
            <w:r/>
            <m:oMath>
              <m:r>
                <m:t>η</m:t>
              </m:r>
            </m:oMath>
            <w:r>
              <w:rPr>
                <w:rFonts w:ascii="宋体" w:hAnsi="宋体" w:eastAsia="宋体"/>
                <w:sz w:val="21"/>
              </w:rPr>
              <w:t>、</w:t>
            </w:r>
            <m:oMath>
              <m:r>
                <m:t>μ</m:t>
              </m:r>
            </m:oMath>
          </w:p>
        </w:tc>
        <w:tc>
          <w:tcPr>
            <w:tcW w:type="dxa" w:w="2126"/>
            <w:vAlign w:val="center"/>
          </w:tcPr>
          <w:p>
            <w:pPr>
              <w:spacing w:line="240" w:lineRule="auto" w:after="20" w:before="20"/>
              <w:jc w:val="left"/>
            </w:pPr>
            <w:r/>
            <w:r>
              <w:rPr>
                <w:rFonts w:ascii="宋体" w:hAnsi="宋体" w:eastAsia="宋体"/>
                <w:sz w:val="21"/>
              </w:rPr>
              <w:t>国内实现系数、摩擦分担系数</w:t>
            </w:r>
          </w:p>
        </w:tc>
        <w:tc>
          <w:tcPr>
            <w:tcW w:type="dxa" w:w="2126"/>
            <w:vAlign w:val="center"/>
          </w:tcPr>
          <w:p>
            <w:pPr>
              <w:spacing w:line="240" w:lineRule="auto" w:after="20" w:before="20"/>
              <w:jc w:val="center"/>
            </w:pPr>
            <w:r/>
            <w:r>
              <w:rPr>
                <w:rFonts w:ascii="宋体" w:hAnsi="宋体" w:eastAsia="宋体"/>
                <w:sz w:val="21"/>
              </w:rPr>
              <w:t>0.25、0.5</w:t>
            </w:r>
          </w:p>
        </w:tc>
        <w:tc>
          <w:tcPr>
            <w:tcW w:type="dxa" w:w="2126"/>
            <w:vAlign w:val="center"/>
          </w:tcPr>
          <w:p>
            <w:pPr>
              <w:spacing w:line="240" w:lineRule="auto" w:after="20" w:before="20"/>
              <w:jc w:val="left"/>
            </w:pPr>
            <w:r/>
            <w:r>
              <w:rPr>
                <w:rFonts w:ascii="宋体" w:hAnsi="宋体" w:eastAsia="宋体"/>
                <w:sz w:val="21"/>
              </w:rPr>
              <w:t>壁垒下收益实现与摩擦承担的结构设定</w:t>
            </w:r>
          </w:p>
        </w:tc>
      </w:tr>
      <w:tr>
        <w:tc>
          <w:tcPr>
            <w:tcW w:type="dxa" w:w="2126"/>
            <w:vAlign w:val="center"/>
          </w:tcPr>
          <w:p>
            <w:pPr>
              <w:spacing w:line="240" w:lineRule="auto" w:after="20" w:before="20"/>
              <w:jc w:val="center"/>
            </w:pPr>
            <w:r/>
            <m:oMath>
              <m:r>
                <m:t>κ</m:t>
              </m:r>
            </m:oMath>
            <w:r>
              <w:rPr>
                <w:rFonts w:ascii="宋体" w:hAnsi="宋体" w:eastAsia="宋体"/>
                <w:sz w:val="21"/>
              </w:rPr>
              <w:t>、</w:t>
            </w:r>
            <m:oMath>
              <m:sSub>
                <m:e>
                  <m:r>
                    <m:t>c</m:t>
                  </m:r>
                </m:e>
                <m:sub>
                  <m:r>
                    <m:t>O</m:t>
                  </m:r>
                </m:sub>
              </m:sSub>
            </m:oMath>
            <w:r>
              <w:rPr>
                <w:rFonts w:ascii="宋体" w:hAnsi="宋体" w:eastAsia="宋体"/>
                <w:sz w:val="21"/>
              </w:rPr>
              <w:t>、</w:t>
            </w:r>
            <m:oMath>
              <m:sSub>
                <m:e>
                  <m:r>
                    <m:t>Λ</m:t>
                  </m:r>
                </m:e>
                <m:sub>
                  <m:r>
                    <m:t>0</m:t>
                  </m:r>
                </m:sub>
              </m:sSub>
            </m:oMath>
          </w:p>
        </w:tc>
        <w:tc>
          <w:tcPr>
            <w:tcW w:type="dxa" w:w="2126"/>
            <w:vAlign w:val="center"/>
          </w:tcPr>
          <w:p>
            <w:pPr>
              <w:spacing w:line="240" w:lineRule="auto" w:after="20" w:before="20"/>
              <w:jc w:val="left"/>
            </w:pPr>
            <w:r/>
            <w:r>
              <w:rPr>
                <w:rFonts w:ascii="宋体" w:hAnsi="宋体" w:eastAsia="宋体"/>
                <w:sz w:val="21"/>
              </w:rPr>
              <w:t>互认深度系数、协调成本、参照强度</w:t>
            </w:r>
          </w:p>
        </w:tc>
        <w:tc>
          <w:tcPr>
            <w:tcW w:type="dxa" w:w="2126"/>
            <w:vAlign w:val="center"/>
          </w:tcPr>
          <w:p>
            <w:pPr>
              <w:spacing w:line="240" w:lineRule="auto" w:after="20" w:before="20"/>
              <w:jc w:val="center"/>
            </w:pPr>
            <w:r/>
            <w:r>
              <w:rPr>
                <w:rFonts w:ascii="宋体" w:hAnsi="宋体" w:eastAsia="宋体"/>
                <w:sz w:val="21"/>
              </w:rPr>
              <w:t>0.15、0.1、1.6</w:t>
            </w:r>
          </w:p>
        </w:tc>
        <w:tc>
          <w:tcPr>
            <w:tcW w:type="dxa" w:w="2126"/>
            <w:vAlign w:val="center"/>
          </w:tcPr>
          <w:p>
            <w:pPr>
              <w:spacing w:line="240" w:lineRule="auto" w:after="20" w:before="20"/>
              <w:jc w:val="left"/>
            </w:pPr>
            <w:r/>
            <w:r>
              <w:rPr>
                <w:rFonts w:ascii="宋体" w:hAnsi="宋体" w:eastAsia="宋体"/>
                <w:sz w:val="21"/>
              </w:rPr>
              <w:t>以基准情景为零点的归一化设定</w:t>
            </w:r>
          </w:p>
        </w:tc>
      </w:tr>
      <w:tr>
        <w:tc>
          <w:tcPr>
            <w:tcW w:type="dxa" w:w="2126"/>
            <w:vAlign w:val="center"/>
          </w:tcPr>
          <w:p>
            <w:pPr>
              <w:spacing w:line="240" w:lineRule="auto" w:after="20" w:before="20"/>
              <w:jc w:val="center"/>
            </w:pPr>
            <w:r/>
            <m:oMath>
              <m:sSub>
                <m:e>
                  <m:r>
                    <m:t>k</m:t>
                  </m:r>
                </m:e>
                <m:sub>
                  <m:r>
                    <m:t>0</m:t>
                  </m:r>
                </m:sub>
              </m:sSub>
            </m:oMath>
            <w:r>
              <w:rPr>
                <w:rFonts w:ascii="宋体" w:hAnsi="宋体" w:eastAsia="宋体"/>
                <w:sz w:val="21"/>
              </w:rPr>
              <w:t>；</w:t>
            </w:r>
            <m:oMath>
              <m:d>
                <m:dPr>
                  <m:begChr m:val="("/>
                  <m:sepChr m:val=""/>
                  <m:endChr m:val=")"/>
                  <m:grow/>
                </m:dPr>
                <m:e>
                  <m:sSub>
                    <m:e>
                      <m:r>
                        <m:t>x</m:t>
                      </m:r>
                    </m:e>
                    <m:sub>
                      <m:r>
                        <m:t>0</m:t>
                      </m:r>
                    </m:sub>
                  </m:sSub>
                  <m:r>
                    <m:rPr>
                      <m:sty m:val="p"/>
                    </m:rPr>
                    <m:t>,</m:t>
                  </m:r>
                  <m:sSub>
                    <m:e>
                      <m:r>
                        <m:t>y</m:t>
                      </m:r>
                    </m:e>
                    <m:sub>
                      <m:r>
                        <m:t>0</m:t>
                      </m:r>
                    </m:sub>
                  </m:sSub>
                  <m:r>
                    <m:rPr>
                      <m:sty m:val="p"/>
                    </m:rPr>
                    <m:t>,</m:t>
                  </m:r>
                  <m:sSub>
                    <m:e>
                      <m:r>
                        <m:t>z</m:t>
                      </m:r>
                    </m:e>
                    <m:sub>
                      <m:r>
                        <m:t>0</m:t>
                      </m:r>
                    </m:sub>
                  </m:sSub>
                </m:e>
              </m:d>
            </m:oMath>
          </w:p>
        </w:tc>
        <w:tc>
          <w:tcPr>
            <w:tcW w:type="dxa" w:w="2126"/>
            <w:vAlign w:val="center"/>
          </w:tcPr>
          <w:p>
            <w:pPr>
              <w:spacing w:line="240" w:lineRule="auto" w:after="20" w:before="20"/>
              <w:jc w:val="left"/>
            </w:pPr>
            <w:r/>
            <w:r>
              <w:rPr>
                <w:rFonts w:ascii="宋体" w:hAnsi="宋体" w:eastAsia="宋体"/>
                <w:sz w:val="21"/>
              </w:rPr>
              <w:t>时间尺度；初始状态</w:t>
            </w:r>
          </w:p>
        </w:tc>
        <w:tc>
          <w:tcPr>
            <w:tcW w:type="dxa" w:w="2126"/>
            <w:vAlign w:val="center"/>
          </w:tcPr>
          <w:p>
            <w:pPr>
              <w:spacing w:line="240" w:lineRule="auto" w:after="20" w:before="20"/>
              <w:jc w:val="center"/>
            </w:pPr>
            <w:r/>
            <w:r>
              <w:rPr>
                <w:rFonts w:ascii="宋体" w:hAnsi="宋体" w:eastAsia="宋体"/>
                <w:sz w:val="21"/>
              </w:rPr>
              <w:t>0.35；（0.5，0.2，0.2）</w:t>
            </w:r>
          </w:p>
        </w:tc>
        <w:tc>
          <w:tcPr>
            <w:tcW w:type="dxa" w:w="2126"/>
            <w:vAlign w:val="center"/>
          </w:tcPr>
          <w:p>
            <w:pPr>
              <w:spacing w:line="240" w:lineRule="auto" w:after="20" w:before="20"/>
              <w:jc w:val="left"/>
            </w:pPr>
            <w:r/>
            <w:r>
              <w:rPr>
                <w:rFonts w:ascii="宋体" w:hAnsi="宋体" w:eastAsia="宋体"/>
                <w:sz w:val="21"/>
              </w:rPr>
              <w:t>RK4积分，步长0.1，一期约半年</w:t>
            </w:r>
          </w:p>
        </w:tc>
      </w:tr>
      <w:tr>
        <w:tc>
          <w:tcPr>
            <w:tcW w:type="dxa" w:w="2126"/>
            <w:vAlign w:val="center"/>
          </w:tcPr>
          <w:p>
            <w:pPr>
              <w:spacing w:line="240" w:lineRule="auto" w:after="20" w:before="20"/>
              <w:jc w:val="center"/>
            </w:pPr>
            <w:r/>
            <w:r>
              <w:rPr>
                <w:rFonts w:ascii="宋体" w:hAnsi="宋体" w:eastAsia="宋体"/>
                <w:sz w:val="21"/>
              </w:rPr>
              <w:t>情景A</w:t>
            </w:r>
          </w:p>
        </w:tc>
        <w:tc>
          <w:tcPr>
            <w:tcW w:type="dxa" w:w="2126"/>
            <w:vAlign w:val="center"/>
          </w:tcPr>
          <w:p>
            <w:pPr>
              <w:spacing w:line="240" w:lineRule="auto" w:after="20" w:before="20"/>
              <w:jc w:val="left"/>
            </w:pPr>
            <w:r/>
            <w:r>
              <w:rPr>
                <w:rFonts w:ascii="宋体" w:hAnsi="宋体" w:eastAsia="宋体"/>
                <w:sz w:val="21"/>
              </w:rPr>
              <w:t>基准延续：互认停滞、溢价有限</w:t>
            </w:r>
          </w:p>
        </w:tc>
        <w:tc>
          <w:tcPr>
            <w:tcW w:type="dxa" w:w="2126"/>
            <w:vAlign w:val="center"/>
          </w:tcPr>
          <w:p>
            <w:pPr>
              <w:spacing w:line="240" w:lineRule="auto" w:after="20" w:before="20"/>
              <w:jc w:val="center"/>
            </w:pPr>
            <w:r/>
            <m:oMath>
              <m:r>
                <m:t>Λ</m:t>
              </m:r>
            </m:oMath>
            <w:r>
              <w:rPr>
                <w:rFonts w:ascii="宋体" w:hAnsi="宋体" w:eastAsia="宋体"/>
                <w:sz w:val="21"/>
              </w:rPr>
              <w:t>=1.6，</w:t>
            </w:r>
            <m:oMath>
              <m:r>
                <m:t>s</m:t>
              </m:r>
            </m:oMath>
            <w:r>
              <w:rPr>
                <w:rFonts w:ascii="宋体" w:hAnsi="宋体" w:eastAsia="宋体"/>
                <w:sz w:val="21"/>
              </w:rPr>
              <w:t>=0.8</w:t>
            </w:r>
          </w:p>
        </w:tc>
        <w:tc>
          <w:tcPr>
            <w:tcW w:type="dxa" w:w="2126"/>
            <w:vAlign w:val="center"/>
          </w:tcPr>
          <w:p>
            <w:pPr>
              <w:spacing w:line="240" w:lineRule="auto" w:after="20" w:before="20"/>
              <w:jc w:val="left"/>
            </w:pPr>
            <w:r/>
            <w:r>
              <w:rPr>
                <w:rFonts w:ascii="宋体" w:hAnsi="宋体" w:eastAsia="宋体"/>
                <w:sz w:val="21"/>
              </w:rPr>
              <w:t>预期收敛于跟跑均衡</w:t>
            </w:r>
            <m:oMath>
              <m:sSub>
                <m:e>
                  <m:r>
                    <m:t>E</m:t>
                  </m:r>
                </m:e>
                <m:sub>
                  <m:r>
                    <m:t>1</m:t>
                  </m:r>
                </m:sub>
              </m:sSub>
            </m:oMath>
          </w:p>
        </w:tc>
      </w:tr>
      <w:tr>
        <w:tc>
          <w:tcPr>
            <w:tcW w:type="dxa" w:w="2126"/>
            <w:vAlign w:val="center"/>
          </w:tcPr>
          <w:p>
            <w:pPr>
              <w:spacing w:line="240" w:lineRule="auto" w:after="20" w:before="20"/>
              <w:jc w:val="center"/>
            </w:pPr>
            <w:r/>
            <w:r>
              <w:rPr>
                <w:rFonts w:ascii="宋体" w:hAnsi="宋体" w:eastAsia="宋体"/>
                <w:sz w:val="21"/>
              </w:rPr>
              <w:t>情景B</w:t>
            </w:r>
          </w:p>
        </w:tc>
        <w:tc>
          <w:tcPr>
            <w:tcW w:type="dxa" w:w="2126"/>
            <w:vAlign w:val="center"/>
          </w:tcPr>
          <w:p>
            <w:pPr>
              <w:spacing w:line="240" w:lineRule="auto" w:after="20" w:before="20"/>
              <w:jc w:val="left"/>
            </w:pPr>
            <w:r/>
            <w:r>
              <w:rPr>
                <w:rFonts w:ascii="宋体" w:hAnsi="宋体" w:eastAsia="宋体"/>
                <w:sz w:val="21"/>
              </w:rPr>
              <w:t>国际激励强化：互认突破与溢价扩大</w:t>
            </w:r>
          </w:p>
        </w:tc>
        <w:tc>
          <w:tcPr>
            <w:tcW w:type="dxa" w:w="2126"/>
            <w:vAlign w:val="center"/>
          </w:tcPr>
          <w:p>
            <w:pPr>
              <w:spacing w:line="240" w:lineRule="auto" w:after="20" w:before="20"/>
              <w:jc w:val="center"/>
            </w:pPr>
            <w:r/>
            <m:oMath>
              <m:r>
                <m:t>Λ</m:t>
              </m:r>
            </m:oMath>
            <w:r>
              <w:rPr>
                <w:rFonts w:ascii="宋体" w:hAnsi="宋体" w:eastAsia="宋体"/>
                <w:sz w:val="21"/>
              </w:rPr>
              <w:t>=4.5，</w:t>
            </w:r>
            <m:oMath>
              <m:r>
                <m:t>s</m:t>
              </m:r>
            </m:oMath>
            <w:r>
              <w:rPr>
                <w:rFonts w:ascii="宋体" w:hAnsi="宋体" w:eastAsia="宋体"/>
                <w:sz w:val="21"/>
              </w:rPr>
              <w:t>=0.8</w:t>
            </w:r>
          </w:p>
        </w:tc>
        <w:tc>
          <w:tcPr>
            <w:tcW w:type="dxa" w:w="2126"/>
            <w:vAlign w:val="center"/>
          </w:tcPr>
          <w:p>
            <w:pPr>
              <w:spacing w:line="240" w:lineRule="auto" w:after="20" w:before="20"/>
              <w:jc w:val="left"/>
            </w:pPr>
            <w:r/>
            <w:r>
              <w:rPr>
                <w:rFonts w:ascii="宋体" w:hAnsi="宋体" w:eastAsia="宋体"/>
                <w:sz w:val="21"/>
              </w:rPr>
              <w:t>预期收敛于领跑均衡</w:t>
            </w:r>
            <m:oMath>
              <m:sSub>
                <m:e>
                  <m:r>
                    <m:t>E</m:t>
                  </m:r>
                </m:e>
                <m:sub>
                  <m:r>
                    <m:t>2</m:t>
                  </m:r>
                </m:sub>
              </m:sSub>
            </m:oMath>
          </w:p>
        </w:tc>
      </w:tr>
      <w:tr>
        <w:tc>
          <w:tcPr>
            <w:tcW w:type="dxa" w:w="2126"/>
            <w:vAlign w:val="center"/>
          </w:tcPr>
          <w:p>
            <w:pPr>
              <w:spacing w:line="240" w:lineRule="auto" w:after="20" w:before="20"/>
              <w:jc w:val="center"/>
            </w:pPr>
            <w:r/>
            <w:r>
              <w:rPr>
                <w:rFonts w:ascii="宋体" w:hAnsi="宋体" w:eastAsia="宋体"/>
                <w:sz w:val="21"/>
              </w:rPr>
              <w:t>情景C</w:t>
            </w:r>
          </w:p>
        </w:tc>
        <w:tc>
          <w:tcPr>
            <w:tcW w:type="dxa" w:w="2126"/>
            <w:vAlign w:val="center"/>
          </w:tcPr>
          <w:p>
            <w:pPr>
              <w:spacing w:line="240" w:lineRule="auto" w:after="20" w:before="20"/>
              <w:jc w:val="left"/>
            </w:pPr>
            <w:r/>
            <w:r>
              <w:rPr>
                <w:rFonts w:ascii="宋体" w:hAnsi="宋体" w:eastAsia="宋体"/>
                <w:sz w:val="21"/>
              </w:rPr>
              <w:t>协同激励：情景B叠加补贴加码</w:t>
            </w:r>
          </w:p>
        </w:tc>
        <w:tc>
          <w:tcPr>
            <w:tcW w:type="dxa" w:w="2126"/>
            <w:vAlign w:val="center"/>
          </w:tcPr>
          <w:p>
            <w:pPr>
              <w:spacing w:line="240" w:lineRule="auto" w:after="20" w:before="20"/>
              <w:jc w:val="center"/>
            </w:pPr>
            <w:r/>
            <m:oMath>
              <m:r>
                <m:t>Λ</m:t>
              </m:r>
            </m:oMath>
            <w:r>
              <w:rPr>
                <w:rFonts w:ascii="宋体" w:hAnsi="宋体" w:eastAsia="宋体"/>
                <w:sz w:val="21"/>
              </w:rPr>
              <w:t>=4.5，</w:t>
            </w:r>
            <m:oMath>
              <m:r>
                <m:t>s</m:t>
              </m:r>
            </m:oMath>
            <w:r>
              <w:rPr>
                <w:rFonts w:ascii="宋体" w:hAnsi="宋体" w:eastAsia="宋体"/>
                <w:sz w:val="21"/>
              </w:rPr>
              <w:t>=1.2</w:t>
            </w:r>
          </w:p>
        </w:tc>
        <w:tc>
          <w:tcPr>
            <w:tcW w:type="dxa" w:w="2126"/>
            <w:vAlign w:val="center"/>
          </w:tcPr>
          <w:p>
            <w:pPr>
              <w:spacing w:line="240" w:lineRule="auto" w:after="20" w:before="20"/>
              <w:jc w:val="left"/>
            </w:pPr>
            <w:r/>
            <w:r>
              <w:rPr>
                <w:rFonts w:ascii="宋体" w:hAnsi="宋体" w:eastAsia="宋体"/>
                <w:sz w:val="21"/>
              </w:rPr>
              <w:t>考察补贴的双重效应</w:t>
            </w:r>
          </w:p>
        </w:tc>
      </w:tr>
    </w:tbl>
    <w:p>
      <w:pPr>
        <w:spacing w:after="200" w:line="240" w:lineRule="auto"/>
      </w:pPr>
      <w:r>
        <w:rPr>
          <w:rFonts w:ascii="宋体" w:hAnsi="宋体" w:eastAsia="宋体"/>
          <w:sz w:val="18"/>
        </w:rPr>
        <w:t>注：参数为无量纲归一化取值，校准逻辑见正文；情景A—C的收敛结果见图7.2与正文。数据来源：作者设定并基于复制动态方程组数值模拟。</w:t>
      </w:r>
    </w:p>
    <w:p>
      <w:pPr>
        <w:spacing w:line="360" w:lineRule="auto" w:after="0"/>
        <w:ind w:firstLineChars="200" w:firstLine="480"/>
        <w:jc w:val="both"/>
      </w:pPr>
      <w:r>
        <w:rPr>
          <w:rFonts w:ascii="宋体" w:hAnsi="宋体" w:eastAsia="宋体"/>
          <w:sz w:val="24"/>
        </w:rPr>
        <w:t>表7.3的三个情景各有明确的政策对应。情景A是“现状延续”参照系：CBAM正式征收而互认谈判无实质进展，企业绿色化收益主要依赖国内市场，</w:t>
      </w:r>
      <m:oMath>
        <m:r>
          <m:t>Λ</m:t>
        </m:r>
      </m:oMath>
      <w:r>
        <w:rPr>
          <w:rFonts w:ascii="宋体" w:hAnsi="宋体" w:eastAsia="宋体"/>
          <w:sz w:val="24"/>
        </w:rPr>
        <w:t>停留在基准水平。情景B刻画“国际激励强化”：碳核算规则衔接、已付碳价扣减与绿色溢价释放共同把</w:t>
      </w:r>
      <m:oMath>
        <m:r>
          <m:t>Λ</m:t>
        </m:r>
      </m:oMath>
      <w:r>
        <w:rPr>
          <w:rFonts w:ascii="宋体" w:hAnsi="宋体" w:eastAsia="宋体"/>
          <w:sz w:val="24"/>
        </w:rPr>
        <w:t>提高至4.5——接近但未达到命题7.2的壁垒门槛4.8，这一设定刻意保留了张力：跃迁并非因为跟跑均衡在数学上失稳，而是吸引域格局变化与正反馈启动的结果。情景C在B的基础上把补贴从0.8提高到1.2，用于分离补贴对企业与对政府的双重作用。</w:t>
      </w:r>
    </w:p>
    <w:p>
      <w:pPr>
        <w:keepNext/>
        <w:spacing w:before="160" w:after="120" w:line="360" w:lineRule="auto"/>
        <w:outlineLvl w:val="2"/>
      </w:pPr>
      <w:r>
        <w:rPr>
          <w:rFonts w:ascii="黑体" w:hAnsi="黑体" w:eastAsia="黑体"/>
          <w:sz w:val="24"/>
        </w:rPr>
        <w:t>7.5.2  三情景演化轨迹与收敛时间</w:t>
      </w:r>
    </w:p>
    <w:p>
      <w:pPr>
        <w:spacing w:line="360" w:lineRule="auto" w:after="0"/>
        <w:ind w:firstLineChars="200" w:firstLine="480"/>
        <w:jc w:val="both"/>
      </w:pPr>
      <w:r>
        <w:rPr>
          <w:rFonts w:ascii="宋体" w:hAnsi="宋体" w:eastAsia="宋体"/>
          <w:sz w:val="24"/>
        </w:rPr>
        <w:t>由图7.2可见，三个情景的轨迹形态截然分化。情景A中，企业响应概率</w:t>
      </w:r>
      <m:oMath>
        <m:r>
          <m:t>y</m:t>
        </m:r>
      </m:oMath>
      <w:r>
        <w:rPr>
          <w:rFonts w:ascii="宋体" w:hAnsi="宋体" w:eastAsia="宋体"/>
          <w:sz w:val="24"/>
        </w:rPr>
        <w:t>与国际接纳概率</w:t>
      </w:r>
      <m:oMath>
        <m:r>
          <m:t>z</m:t>
        </m:r>
      </m:oMath>
      <w:r>
        <w:rPr>
          <w:rFonts w:ascii="宋体" w:hAnsi="宋体" w:eastAsia="宋体"/>
          <w:sz w:val="24"/>
        </w:rPr>
        <w:t>自初值0.2起同步衰减，约十期内先后归零；政府强制推行概率</w:t>
      </w:r>
      <m:oMath>
        <m:r>
          <m:t>x</m:t>
        </m:r>
      </m:oMath>
      <w:r>
        <w:rPr>
          <w:rFonts w:ascii="宋体" w:hAnsi="宋体" w:eastAsia="宋体"/>
          <w:sz w:val="24"/>
        </w:rPr>
        <w:t>则持续爬升，50期末达0.96，系统收敛于跟跑均衡</w:t>
      </w:r>
      <m:oMath>
        <m:sSub>
          <m:e>
            <m:r>
              <m:t>E</m:t>
            </m:r>
          </m:e>
          <m:sub>
            <m:r>
              <m:t>1</m:t>
            </m:r>
          </m:sub>
        </m:sSub>
        <m:r>
          <m:rPr>
            <m:sty m:val="p"/>
          </m:rPr>
          <m:t>=</m:t>
        </m:r>
        <m:d>
          <m:dPr>
            <m:begChr m:val="("/>
            <m:sepChr m:val=""/>
            <m:endChr m:val=")"/>
            <m:grow/>
          </m:dPr>
          <m:e>
            <m:r>
              <m:t>1</m:t>
            </m:r>
            <m:r>
              <m:rPr>
                <m:sty m:val="p"/>
              </m:rPr>
              <m:t>,</m:t>
            </m:r>
            <m:r>
              <m:t>0</m:t>
            </m:r>
            <m:r>
              <m:rPr>
                <m:sty m:val="p"/>
              </m:rPr>
              <m:t>,</m:t>
            </m:r>
            <m:r>
              <m:t>0</m:t>
            </m:r>
          </m:e>
        </m:d>
      </m:oMath>
      <w:r>
        <w:rPr>
          <w:rFonts w:ascii="宋体" w:hAnsi="宋体" w:eastAsia="宋体"/>
          <w:sz w:val="24"/>
        </w:rPr>
        <w:t>，企业—国际维度的收敛耗时约13期（约6.5年）。情景B中，</w:t>
      </w:r>
      <m:oMath>
        <m:r>
          <m:t>y</m:t>
        </m:r>
      </m:oMath>
      <w:r>
        <w:rPr>
          <w:rFonts w:ascii="宋体" w:hAnsi="宋体" w:eastAsia="宋体"/>
          <w:sz w:val="24"/>
        </w:rPr>
        <w:t>率先陡峭上行、</w:t>
      </w:r>
      <m:oMath>
        <m:r>
          <m:t>z</m:t>
        </m:r>
      </m:oMath>
      <w:r>
        <w:rPr>
          <w:rFonts w:ascii="宋体" w:hAnsi="宋体" w:eastAsia="宋体"/>
          <w:sz w:val="24"/>
        </w:rPr>
        <w:t>以数期的滞后跟进，两者于约17期（约8.5年）先后逼近1，系统跃迁至领跑均衡</w:t>
      </w:r>
      <m:oMath>
        <m:sSub>
          <m:e>
            <m:r>
              <m:t>E</m:t>
            </m:r>
          </m:e>
          <m:sub>
            <m:r>
              <m:t>2</m:t>
            </m:r>
          </m:sub>
        </m:sSub>
        <m:r>
          <m:rPr>
            <m:sty m:val="p"/>
          </m:rPr>
          <m:t>=</m:t>
        </m:r>
        <m:d>
          <m:dPr>
            <m:begChr m:val="("/>
            <m:sepChr m:val=""/>
            <m:endChr m:val=")"/>
            <m:grow/>
          </m:dPr>
          <m:e>
            <m:r>
              <m:t>0</m:t>
            </m:r>
            <m:r>
              <m:rPr>
                <m:sty m:val="p"/>
              </m:rPr>
              <m:t>,</m:t>
            </m:r>
            <m:r>
              <m:t>1</m:t>
            </m:r>
            <m:r>
              <m:rPr>
                <m:sty m:val="p"/>
              </m:rPr>
              <m:t>,</m:t>
            </m:r>
            <m:r>
              <m:t>1</m:t>
            </m:r>
          </m:e>
        </m:d>
      </m:oMath>
      <w:r>
        <w:rPr>
          <w:rFonts w:ascii="宋体" w:hAnsi="宋体" w:eastAsia="宋体"/>
          <w:sz w:val="24"/>
        </w:rPr>
        <w:t>；耐人寻味的是</w:t>
      </w:r>
      <m:oMath>
        <m:r>
          <m:t>x</m:t>
        </m:r>
      </m:oMath>
      <w:r>
        <w:rPr>
          <w:rFonts w:ascii="宋体" w:hAnsi="宋体" w:eastAsia="宋体"/>
          <w:sz w:val="24"/>
        </w:rPr>
        <w:t>的走势——先小幅抬升、随后掉头向下直至归零，政府在企业响应率突破转换阈值后自发退出强制。情景C的</w:t>
      </w:r>
      <m:oMath>
        <m:r>
          <m:t>y</m:t>
        </m:r>
      </m:oMath>
      <w:r>
        <w:rPr>
          <w:rFonts w:ascii="宋体" w:hAnsi="宋体" w:eastAsia="宋体"/>
          <w:sz w:val="24"/>
        </w:rPr>
        <w:t>、</w:t>
      </w:r>
      <m:oMath>
        <m:r>
          <m:t>z</m:t>
        </m:r>
      </m:oMath>
      <w:r>
        <w:rPr>
          <w:rFonts w:ascii="宋体" w:hAnsi="宋体" w:eastAsia="宋体"/>
          <w:sz w:val="24"/>
        </w:rPr>
        <w:t>曲线比情景B更陡，跃迁提前至约16期（约8.0年），但</w:t>
      </w:r>
      <m:oMath>
        <m:r>
          <m:t>x</m:t>
        </m:r>
      </m:oMath>
      <w:r>
        <w:rPr>
          <w:rFonts w:ascii="宋体" w:hAnsi="宋体" w:eastAsia="宋体"/>
          <w:sz w:val="24"/>
        </w:rPr>
        <w:t>的退出显著迟缓，50期末仍高达0.20——同一笔补贴，一边加速了企业响应，一边拖住了政府转型的后腿。</w:t>
      </w:r>
    </w:p>
    <w:p>
      <w:pPr>
        <w:spacing w:before="120" w:after="40"/>
        <w:jc w:val="center"/>
      </w:pPr>
      <w:r>
        <w:drawing>
          <wp:inline xmlns:a="http://schemas.openxmlformats.org/drawingml/2006/main" xmlns:pic="http://schemas.openxmlformats.org/drawingml/2006/picture">
            <wp:extent cx="4860000" cy="1694794"/>
            <wp:docPr id="22" name="Picture 22"/>
            <wp:cNvGraphicFramePr>
              <a:graphicFrameLocks noChangeAspect="1"/>
            </wp:cNvGraphicFramePr>
            <a:graphic>
              <a:graphicData uri="http://schemas.openxmlformats.org/drawingml/2006/picture">
                <pic:pic>
                  <pic:nvPicPr>
                    <pic:cNvPr id="0" name="fig7_2.png"/>
                    <pic:cNvPicPr/>
                  </pic:nvPicPr>
                  <pic:blipFill>
                    <a:blip r:embed="rId30"/>
                    <a:stretch>
                      <a:fillRect/>
                    </a:stretch>
                  </pic:blipFill>
                  <pic:spPr>
                    <a:xfrm>
                      <a:off x="0" y="0"/>
                      <a:ext cx="4860000" cy="1694794"/>
                    </a:xfrm>
                    <a:prstGeom prst="rect"/>
                  </pic:spPr>
                </pic:pic>
              </a:graphicData>
            </a:graphic>
          </wp:inline>
        </w:drawing>
      </w:r>
    </w:p>
    <w:p>
      <w:pPr>
        <w:keepNext w:val="0"/>
        <w:spacing w:after="200"/>
        <w:jc w:val="center"/>
      </w:pPr>
      <w:r>
        <w:rPr>
          <w:rFonts w:ascii="黑体" w:hAnsi="黑体" w:eastAsia="黑体"/>
          <w:sz w:val="21"/>
        </w:rPr>
        <w:t>图7.2  复制动态系统的演化相图</w:t>
      </w:r>
    </w:p>
    <w:p>
      <w:pPr>
        <w:spacing w:line="360" w:lineRule="auto" w:after="0"/>
        <w:ind w:firstLineChars="200" w:firstLine="480"/>
        <w:jc w:val="both"/>
      </w:pPr>
      <w:r>
        <w:rPr>
          <w:rFonts w:ascii="宋体" w:hAnsi="宋体" w:eastAsia="宋体"/>
          <w:sz w:val="24"/>
        </w:rPr>
        <w:t>轨迹的时序结构值得细读。情景B、C中三个变量的启动次序是“</w:t>
      </w:r>
      <m:oMath>
        <m:r>
          <m:t>y</m:t>
        </m:r>
      </m:oMath>
      <w:r>
        <w:rPr>
          <w:rFonts w:ascii="宋体" w:hAnsi="宋体" w:eastAsia="宋体"/>
          <w:sz w:val="24"/>
        </w:rPr>
        <w:t>先动、</w:t>
      </w:r>
      <m:oMath>
        <m:r>
          <m:t>z</m:t>
        </m:r>
      </m:oMath>
      <w:r>
        <w:rPr>
          <w:rFonts w:ascii="宋体" w:hAnsi="宋体" w:eastAsia="宋体"/>
          <w:sz w:val="24"/>
        </w:rPr>
        <w:t>跟进、</w:t>
      </w:r>
      <m:oMath>
        <m:r>
          <m:t>x</m:t>
        </m:r>
      </m:oMath>
      <w:r>
        <w:rPr>
          <w:rFonts w:ascii="宋体" w:hAnsi="宋体" w:eastAsia="宋体"/>
          <w:sz w:val="24"/>
        </w:rPr>
        <w:t>殿后”：企业响应必须先行，因为国际组织由排斥转向接纳的临界响应率在提升情景下约为16.6%（基准情景高达43.7%），只有企业达标比例先越过这条线，接纳衔接才开始在国际组织策略中扩散；而</w:t>
      </w:r>
      <m:oMath>
        <m:r>
          <m:t>z</m:t>
        </m:r>
      </m:oMath>
      <w:r>
        <w:rPr>
          <w:rFonts w:ascii="宋体" w:hAnsi="宋体" w:eastAsia="宋体"/>
          <w:sz w:val="24"/>
        </w:rPr>
        <w:t>的上行反过来经由式(7-5)的双通道放大企业净激励，形成“响应—接纳”正反馈，两条曲线遂相互抬升、加速冲顶；政府则在</w:t>
      </w:r>
      <m:oMath>
        <m:r>
          <m:t>y</m:t>
        </m:r>
      </m:oMath>
      <w:r>
        <w:rPr>
          <w:rFonts w:ascii="宋体" w:hAnsi="宋体" w:eastAsia="宋体"/>
          <w:sz w:val="24"/>
        </w:rPr>
        <w:t>越过28.6%的转换阈值后启动退出，扮演“功成身退”的催化角色。这一时序与全球气候治理研究中“催化型合作”的机理高度一致——关键行为体的先行投入改变他者的收益结构，进而触发自我维持的合作扩散（Hale，2020）。对照现实，中国以强制性标准与碳市场履约先行推高企业达标存量，再以互认谈判撬动国际承认，正是把博弈从</w:t>
      </w:r>
      <m:oMath>
        <m:sSub>
          <m:e>
            <m:r>
              <m:t>E</m:t>
            </m:r>
          </m:e>
          <m:sub>
            <m:r>
              <m:t>1</m:t>
            </m:r>
          </m:sub>
        </m:sSub>
      </m:oMath>
      <w:r>
        <w:rPr>
          <w:rFonts w:ascii="宋体" w:hAnsi="宋体" w:eastAsia="宋体"/>
          <w:sz w:val="24"/>
        </w:rPr>
        <w:t>吸引域摆渡到</w:t>
      </w:r>
      <m:oMath>
        <m:sSub>
          <m:e>
            <m:r>
              <m:t>E</m:t>
            </m:r>
          </m:e>
          <m:sub>
            <m:r>
              <m:t>2</m:t>
            </m:r>
          </m:sub>
        </m:sSub>
      </m:oMath>
      <w:r>
        <w:rPr>
          <w:rFonts w:ascii="宋体" w:hAnsi="宋体" w:eastAsia="宋体"/>
          <w:sz w:val="24"/>
        </w:rPr>
        <w:t>吸引域的过程。</w:t>
      </w:r>
    </w:p>
    <w:p>
      <w:pPr>
        <w:keepNext/>
        <w:spacing w:before="160" w:after="120" w:line="360" w:lineRule="auto"/>
        <w:outlineLvl w:val="2"/>
      </w:pPr>
      <w:r>
        <w:rPr>
          <w:rFonts w:ascii="黑体" w:hAnsi="黑体" w:eastAsia="黑体"/>
          <w:sz w:val="24"/>
        </w:rPr>
        <w:t>7.5.3  关键参数的敏感性分析</w:t>
      </w:r>
    </w:p>
    <w:p>
      <w:pPr>
        <w:spacing w:line="360" w:lineRule="auto" w:after="0"/>
        <w:ind w:firstLineChars="200" w:firstLine="480"/>
        <w:jc w:val="both"/>
      </w:pPr>
      <w:r>
        <w:rPr>
          <w:rFonts w:ascii="宋体" w:hAnsi="宋体" w:eastAsia="宋体"/>
          <w:sz w:val="24"/>
        </w:rPr>
        <w:t>由图7.3可见，企业积极响应概率的收敛值对国际激励强度</w:t>
      </w:r>
      <m:oMath>
        <m:r>
          <m:t>Λ</m:t>
        </m:r>
        <m:r>
          <m:rPr>
            <m:sty m:val="p"/>
          </m:rPr>
          <m:t>=</m:t>
        </m:r>
        <m:r>
          <m:t>Δ</m:t>
        </m:r>
        <m:r>
          <m:t>T</m:t>
        </m:r>
        <m:r>
          <m:rPr>
            <m:sty m:val="p"/>
          </m:rPr>
          <m:t>+</m:t>
        </m:r>
        <m:r>
          <m:t>Δ</m:t>
        </m:r>
        <m:r>
          <m:t>M</m:t>
        </m:r>
      </m:oMath>
      <w:r>
        <w:rPr>
          <w:rFonts w:ascii="宋体" w:hAnsi="宋体" w:eastAsia="宋体"/>
          <w:sz w:val="24"/>
        </w:rPr>
        <w:t>呈现鲜明的阈值型阶跃而非平滑过渡：在国际组织接纳衔接（</w:t>
      </w:r>
      <m:oMath>
        <m:r>
          <m:t>z</m:t>
        </m:r>
        <m:r>
          <m:rPr>
            <m:sty m:val="p"/>
          </m:rPr>
          <m:t>=</m:t>
        </m:r>
        <m:r>
          <m:t>1</m:t>
        </m:r>
      </m:oMath>
      <w:r>
        <w:rPr>
          <w:rFonts w:ascii="宋体" w:hAnsi="宋体" w:eastAsia="宋体"/>
          <w:sz w:val="24"/>
        </w:rPr>
        <w:t>）情形下，收敛值在</w:t>
      </w:r>
      <m:oMath>
        <m:r>
          <m:t>Λ</m:t>
        </m:r>
      </m:oMath>
      <w:r>
        <w:rPr>
          <w:rFonts w:ascii="宋体" w:hAnsi="宋体" w:eastAsia="宋体"/>
          <w:sz w:val="24"/>
        </w:rPr>
        <w:t>越过0.4（图中左侧竖线）时由0跳升至1；在排斥壁垒（</w:t>
      </w:r>
      <m:oMath>
        <m:r>
          <m:t>z</m:t>
        </m:r>
        <m:r>
          <m:rPr>
            <m:sty m:val="p"/>
          </m:rPr>
          <m:t>=</m:t>
        </m:r>
        <m:r>
          <m:t>0</m:t>
        </m:r>
      </m:oMath>
      <w:r>
        <w:rPr>
          <w:rFonts w:ascii="宋体" w:hAnsi="宋体" w:eastAsia="宋体"/>
          <w:sz w:val="24"/>
        </w:rPr>
        <w:t>）情形下，跳升点右移至4.8（右侧竖线），与命题7.1、命题7.2的解析阈值精确吻合。两条竖线之间宽达4.4个单位的区带是“预期决定命运”的双稳态区：同样的</w:t>
      </w:r>
      <m:oMath>
        <m:r>
          <m:t>Λ</m:t>
        </m:r>
      </m:oMath>
      <w:r>
        <w:rPr>
          <w:rFonts w:ascii="宋体" w:hAnsi="宋体" w:eastAsia="宋体"/>
          <w:sz w:val="24"/>
        </w:rPr>
        <w:t>，若国际互认预期明朗，企业绿色化自我扩散；若互认无望，绿色化自行熄灭——国际组织的策略选择在此区间内具有一票定乾坤的杠杆地位。这也再次说明，把全部政策资源用于抬高</w:t>
      </w:r>
      <m:oMath>
        <m:r>
          <m:t>Λ</m:t>
        </m:r>
      </m:oMath>
      <w:r>
        <w:rPr>
          <w:rFonts w:ascii="宋体" w:hAnsi="宋体" w:eastAsia="宋体"/>
          <w:sz w:val="24"/>
        </w:rPr>
        <w:t>而不同步经营互认预期，是对资源的低效使用。</w:t>
      </w:r>
    </w:p>
    <w:p>
      <w:pPr>
        <w:spacing w:before="120" w:after="40"/>
        <w:jc w:val="center"/>
      </w:pPr>
      <w:r>
        <w:drawing>
          <wp:inline xmlns:a="http://schemas.openxmlformats.org/drawingml/2006/main" xmlns:pic="http://schemas.openxmlformats.org/drawingml/2006/picture">
            <wp:extent cx="4860000" cy="2984427"/>
            <wp:docPr id="23" name="Picture 23"/>
            <wp:cNvGraphicFramePr>
              <a:graphicFrameLocks noChangeAspect="1"/>
            </wp:cNvGraphicFramePr>
            <a:graphic>
              <a:graphicData uri="http://schemas.openxmlformats.org/drawingml/2006/picture">
                <pic:pic>
                  <pic:nvPicPr>
                    <pic:cNvPr id="0" name="fig7_3.png"/>
                    <pic:cNvPicPr/>
                  </pic:nvPicPr>
                  <pic:blipFill>
                    <a:blip r:embed="rId31"/>
                    <a:stretch>
                      <a:fillRect/>
                    </a:stretch>
                  </pic:blipFill>
                  <pic:spPr>
                    <a:xfrm>
                      <a:off x="0" y="0"/>
                      <a:ext cx="4860000" cy="2984427"/>
                    </a:xfrm>
                    <a:prstGeom prst="rect"/>
                  </pic:spPr>
                </pic:pic>
              </a:graphicData>
            </a:graphic>
          </wp:inline>
        </w:drawing>
      </w:r>
    </w:p>
    <w:p>
      <w:pPr>
        <w:keepNext w:val="0"/>
        <w:spacing w:after="200"/>
        <w:jc w:val="center"/>
      </w:pPr>
      <w:r>
        <w:rPr>
          <w:rFonts w:ascii="黑体" w:hAnsi="黑体" w:eastAsia="黑体"/>
          <w:sz w:val="21"/>
        </w:rPr>
        <w:t>图7.3  关键参数的敏感性分析</w:t>
      </w:r>
    </w:p>
    <w:p>
      <w:pPr>
        <w:spacing w:line="360" w:lineRule="auto" w:after="0"/>
        <w:ind w:firstLineChars="200" w:firstLine="480"/>
        <w:jc w:val="both"/>
      </w:pPr>
      <w:r>
        <w:rPr>
          <w:rFonts w:ascii="宋体" w:hAnsi="宋体" w:eastAsia="宋体"/>
          <w:sz w:val="24"/>
        </w:rPr>
        <w:t>其他参数的敏感性同样富含政策信息。其一，补贴</w:t>
      </w:r>
      <m:oMath>
        <m:r>
          <m:t>s</m:t>
        </m:r>
      </m:oMath>
      <w:r>
        <w:rPr>
          <w:rFonts w:ascii="宋体" w:hAnsi="宋体" w:eastAsia="宋体"/>
          <w:sz w:val="24"/>
        </w:rPr>
        <w:t>：将</w:t>
      </w:r>
      <m:oMath>
        <m:r>
          <m:t>s</m:t>
        </m:r>
      </m:oMath>
      <w:r>
        <w:rPr>
          <w:rFonts w:ascii="宋体" w:hAnsi="宋体" w:eastAsia="宋体"/>
          <w:sz w:val="24"/>
        </w:rPr>
        <w:t>由0.8上调至1.2，互认门槛由0.4降至0.0（完全消失），壁垒门槛由4.8降至3.2——补贴对企业响应条件的松动作用真实而显著。其二，互认深度系数</w:t>
      </w:r>
      <m:oMath>
        <m:r>
          <m:t>κ</m:t>
        </m:r>
      </m:oMath>
      <w:r>
        <w:rPr>
          <w:rFonts w:ascii="宋体" w:hAnsi="宋体" w:eastAsia="宋体"/>
          <w:sz w:val="24"/>
        </w:rPr>
        <w:t>与壁垒收益</w:t>
      </w:r>
      <m:oMath>
        <m:sSub>
          <m:e>
            <m:r>
              <m:t>L</m:t>
            </m:r>
          </m:e>
          <m:sub>
            <m:r>
              <m:t>O</m:t>
            </m:r>
          </m:sub>
        </m:sSub>
      </m:oMath>
      <w:r>
        <w:rPr>
          <w:rFonts w:ascii="宋体" w:hAnsi="宋体" w:eastAsia="宋体"/>
          <w:sz w:val="24"/>
        </w:rPr>
        <w:t>：由式(7-10)，跟跑均衡在国际组织维度失稳的条件是</w:t>
      </w:r>
      <m:oMath>
        <m:r>
          <m:t>κ</m:t>
        </m:r>
        <m:d>
          <m:dPr>
            <m:begChr m:val="("/>
            <m:sepChr m:val=""/>
            <m:endChr m:val=")"/>
            <m:grow/>
          </m:dPr>
          <m:e>
            <m:r>
              <m:t>Λ</m:t>
            </m:r>
            <m:r>
              <m:rPr>
                <m:sty m:val="p"/>
              </m:rPr>
              <m:t>−</m:t>
            </m:r>
            <m:sSub>
              <m:e>
                <m:r>
                  <m:t>Λ</m:t>
                </m:r>
              </m:e>
              <m:sub>
                <m:r>
                  <m:t>0</m:t>
                </m:r>
              </m:sub>
            </m:sSub>
          </m:e>
        </m:d>
        <m:r>
          <m:rPr>
            <m:sty m:val="p"/>
          </m:rPr>
          <m:t>&gt;</m:t>
        </m:r>
        <m:sSub>
          <m:e>
            <m:r>
              <m:t>L</m:t>
            </m:r>
          </m:e>
          <m:sub>
            <m:r>
              <m:t>O</m:t>
            </m:r>
          </m:sub>
        </m:sSub>
        <m:r>
          <m:rPr>
            <m:sty m:val="p"/>
          </m:rPr>
          <m:t>+</m:t>
        </m:r>
        <m:sSub>
          <m:e>
            <m:r>
              <m:t>c</m:t>
            </m:r>
          </m:e>
          <m:sub>
            <m:r>
              <m:t>O</m:t>
            </m:r>
          </m:sub>
        </m:sSub>
      </m:oMath>
      <w:r>
        <w:rPr>
          <w:rFonts w:ascii="宋体" w:hAnsi="宋体" w:eastAsia="宋体"/>
          <w:sz w:val="24"/>
        </w:rPr>
        <w:t>，即</w:t>
      </w:r>
      <m:oMath>
        <m:r>
          <m:t>Λ</m:t>
        </m:r>
      </m:oMath>
      <w:r>
        <w:rPr>
          <w:rFonts w:ascii="宋体" w:hAnsi="宋体" w:eastAsia="宋体"/>
          <w:sz w:val="24"/>
        </w:rPr>
        <w:t>超过</w:t>
      </w:r>
      <m:oMath>
        <m:sSub>
          <m:e>
            <m:r>
              <m:t>Λ</m:t>
            </m:r>
          </m:e>
          <m:sub>
            <m:r>
              <m:t>0</m:t>
            </m:r>
          </m:sub>
        </m:sSub>
        <m:r>
          <m:rPr>
            <m:sty m:val="p"/>
          </m:rPr>
          <m:t>+</m:t>
        </m:r>
        <m:d>
          <m:dPr>
            <m:begChr m:val="("/>
            <m:sepChr m:val=""/>
            <m:endChr m:val=")"/>
            <m:grow/>
          </m:dPr>
          <m:e>
            <m:sSub>
              <m:e>
                <m:r>
                  <m:t>L</m:t>
                </m:r>
              </m:e>
              <m:sub>
                <m:r>
                  <m:t>O</m:t>
                </m:r>
              </m:sub>
            </m:sSub>
            <m:r>
              <m:rPr>
                <m:sty m:val="p"/>
              </m:rPr>
              <m:t>+</m:t>
            </m:r>
            <m:sSub>
              <m:e>
                <m:r>
                  <m:t>c</m:t>
                </m:r>
              </m:e>
              <m:sub>
                <m:r>
                  <m:t>O</m:t>
                </m:r>
              </m:sub>
            </m:sSub>
          </m:e>
        </m:d>
        <m:r>
          <m:rPr>
            <m:sty m:val="p"/>
          </m:rPr>
          <m:t>/</m:t>
        </m:r>
        <m:r>
          <m:t>κ</m:t>
        </m:r>
        <m:r>
          <m:rPr>
            <m:sty m:val="p"/>
          </m:rPr>
          <m:t>≈</m:t>
        </m:r>
        <m:r>
          <m:t>6.27</m:t>
        </m:r>
      </m:oMath>
      <w:r>
        <w:rPr>
          <w:rFonts w:ascii="宋体" w:hAnsi="宋体" w:eastAsia="宋体"/>
          <w:sz w:val="24"/>
        </w:rPr>
        <w:t>——理论上单纯抬高国际激励也能直接瓦解排斥策略，但所需幅度远超企业维度的门槛，进一步印证以企业响应为突破口的次序安排。其三，初始条件：基准参数下从</w:t>
      </w:r>
      <m:oMath>
        <m:d>
          <m:dPr>
            <m:begChr m:val="("/>
            <m:sepChr m:val=""/>
            <m:endChr m:val=")"/>
            <m:grow/>
          </m:dPr>
          <m:e>
            <m:r>
              <m:t>0.5</m:t>
            </m:r>
            <m:r>
              <m:rPr>
                <m:sty m:val="p"/>
              </m:rPr>
              <m:t>,</m:t>
            </m:r>
            <m:r>
              <m:t>0.2</m:t>
            </m:r>
            <m:r>
              <m:rPr>
                <m:sty m:val="p"/>
              </m:rPr>
              <m:t>,</m:t>
            </m:r>
            <m:r>
              <m:t>0.2</m:t>
            </m:r>
          </m:e>
        </m:d>
      </m:oMath>
      <w:r>
        <w:rPr>
          <w:rFonts w:ascii="宋体" w:hAnsi="宋体" w:eastAsia="宋体"/>
          <w:sz w:val="24"/>
        </w:rPr>
        <w:t>出发收敛于跟跑均衡，但若初始响应与接纳预期同时抬升至0.5，即便基准参数亦可跃迁至领跑均衡——双稳态系统的归宿具有路径依赖与预期自我实现属性（David，1985；Arthur，1989），预期管理本身就是政策工具。最后，时间尺度系数</w:t>
      </w:r>
      <m:oMath>
        <m:sSub>
          <m:e>
            <m:r>
              <m:t>k</m:t>
            </m:r>
          </m:e>
          <m:sub>
            <m:r>
              <m:t>0</m:t>
            </m:r>
          </m:sub>
        </m:sSub>
      </m:oMath>
      <w:r>
        <w:rPr>
          <w:rFonts w:ascii="宋体" w:hAnsi="宋体" w:eastAsia="宋体"/>
          <w:sz w:val="24"/>
        </w:rPr>
        <w:t>与积分步长只缩放时间轴，不改变均衡结构与相对时序，结论对数值设定稳健。</w:t>
      </w:r>
    </w:p>
    <w:p>
      <w:pPr>
        <w:keepNext/>
        <w:spacing w:before="160" w:after="120" w:line="360" w:lineRule="auto"/>
        <w:outlineLvl w:val="1"/>
      </w:pPr>
      <w:r>
        <w:rPr>
          <w:rFonts w:ascii="黑体" w:hAnsi="黑体" w:eastAsia="黑体"/>
          <w:sz w:val="28"/>
        </w:rPr>
        <w:t>7.6  政策杠杆讨论</w:t>
      </w:r>
    </w:p>
    <w:p>
      <w:pPr>
        <w:keepNext/>
        <w:spacing w:before="160" w:after="120" w:line="360" w:lineRule="auto"/>
        <w:outlineLvl w:val="2"/>
      </w:pPr>
      <w:r>
        <w:rPr>
          <w:rFonts w:ascii="黑体" w:hAnsi="黑体" w:eastAsia="黑体"/>
          <w:sz w:val="24"/>
        </w:rPr>
        <w:t>7.6.1  提高碳关税减免：以国际互认谈判扩大</w:t>
      </w:r>
      <m:oMath>
        <m:r>
          <m:t>Δ</m:t>
        </m:r>
        <m:r>
          <m:t>T</m:t>
        </m:r>
      </m:oMath>
    </w:p>
    <w:p>
      <w:pPr>
        <w:spacing w:line="360" w:lineRule="auto" w:after="0"/>
        <w:ind w:firstLineChars="200" w:firstLine="480"/>
        <w:jc w:val="both"/>
      </w:pPr>
      <m:oMath>
        <m:r>
          <m:t>Δ</m:t>
        </m:r>
        <m:r>
          <m:t>T</m:t>
        </m:r>
      </m:oMath>
      <w:r>
        <w:rPr>
          <w:rFonts w:ascii="宋体" w:hAnsi="宋体" w:eastAsia="宋体"/>
          <w:sz w:val="24"/>
        </w:rPr>
        <w:t>的制度载体是CBAM的碳价扣减条款：进口商可按产品在原产国已实际支付的碳价扣减应付证书，扣减的前提是原产国碳价与核算数据获得欧方承认。据此，扩大</w:t>
      </w:r>
      <m:oMath>
        <m:r>
          <m:t>Δ</m:t>
        </m:r>
        <m:r>
          <m:t>T</m:t>
        </m:r>
      </m:oMath>
      <w:r>
        <w:rPr>
          <w:rFonts w:ascii="宋体" w:hAnsi="宋体" w:eastAsia="宋体"/>
          <w:sz w:val="24"/>
        </w:rPr>
        <w:t>的路径有三。一是全国碳市场扩围提价：2025年扩围后覆盖排放量约80亿吨、占全国总量60%以上，2024年碳价一度突破100元/吨，覆盖面与价格水平的提升直接扩大可扣减基数，碳市场扩容提价对碳关税冲击的“缓冲阀”效应已获量化研究支持（张兵兵等，2025；王欢欢和吴骁骏，2025）。二是核算规则的技术对接：GB/T 24067-2024产品碳足迹通则对标ISO 14067，截至2025年6月已发布9项产品碳足迹国家标准，核算口径的可比性是扣减谈判的技术前提（Wu等，2015；Klaaßen和Stoll，2021）。三是互认谈判与规则博弈：在双边层面争取缺省值设定、数据核查程序的公平待遇，在多边层面联合受影响经济体推动CBAM与世贸规则的衔接约束（Mehling等，2019；杨茹凯，2025）。全球标准协调的经验证据表明，标准化合作伙伴关系能够显著降低贸易的规则性成本（侯俊军等，2025），而自愿性国际标准协调亦能实质改变企业出口决策（王明涛等，2025）——互认谈判的收益最终落在微观企业的成本函数上，与本章</w:t>
      </w:r>
      <m:oMath>
        <m:r>
          <m:t>Δ</m:t>
        </m:r>
        <m:r>
          <m:t>T</m:t>
        </m:r>
      </m:oMath>
      <w:r>
        <w:rPr>
          <w:rFonts w:ascii="宋体" w:hAnsi="宋体" w:eastAsia="宋体"/>
          <w:sz w:val="24"/>
        </w:rPr>
        <w:t>进入企业支付的建模方式一致。</w:t>
      </w:r>
    </w:p>
    <w:p>
      <w:pPr>
        <w:keepNext/>
        <w:spacing w:before="160" w:after="120" w:line="360" w:lineRule="auto"/>
        <w:outlineLvl w:val="2"/>
      </w:pPr>
      <w:r>
        <w:rPr>
          <w:rFonts w:ascii="黑体" w:hAnsi="黑体" w:eastAsia="黑体"/>
          <w:sz w:val="24"/>
        </w:rPr>
        <w:t>7.6.2  提高竞争力提升：以绿色市场培育扩大</w:t>
      </w:r>
      <m:oMath>
        <m:r>
          <m:t>Δ</m:t>
        </m:r>
        <m:r>
          <m:t>M</m:t>
        </m:r>
      </m:oMath>
    </w:p>
    <w:p>
      <w:pPr>
        <w:spacing w:line="360" w:lineRule="auto" w:after="0"/>
        <w:ind w:firstLineChars="200" w:firstLine="480"/>
        <w:jc w:val="both"/>
      </w:pPr>
      <m:oMath>
        <m:r>
          <m:t>Δ</m:t>
        </m:r>
        <m:r>
          <m:t>M</m:t>
        </m:r>
      </m:oMath>
      <w:r>
        <w:rPr>
          <w:rFonts w:ascii="宋体" w:hAnsi="宋体" w:eastAsia="宋体"/>
          <w:sz w:val="24"/>
        </w:rPr>
        <w:t>的形成需要三个市场条件。其一是可信显示：绿色溢价只有在消费者与采购方能够低成本识别产品绿色属性时才能兑现，碳标签与碳足迹认证体系是显示机制的核心载体（黄俊勇和刘世锦，2023）；其二是需求牵引：政府绿色采购、重点行业供应链的减排要求把分散的绿色偏好聚合成稳定订单，供应链核心企业的双碳压力向上游传导已成为可观测的微观事实（杨刚强等，2024）；其三是金融加持：绿色信贷与差异化金融工具降低响应企业的资金成本，相当于在</w:t>
      </w:r>
      <m:oMath>
        <m:r>
          <m:t>Δ</m:t>
        </m:r>
        <m:r>
          <m:t>M</m:t>
        </m:r>
      </m:oMath>
      <w:r>
        <w:rPr>
          <w:rFonts w:ascii="宋体" w:hAnsi="宋体" w:eastAsia="宋体"/>
          <w:sz w:val="24"/>
        </w:rPr>
        <w:t>中注入政策性溢价（孙传旺和何一若，2025）。“新三样”的经验直观展示了绿色竞争力的市场空间：2023年电动汽车、锂电池、光伏产品出口合计1.06万亿元、同比增长29.9%——绿色属性本身已成为中国制造参与国际竞争的卖点，标准化则是把这一卖点转化为可核查、可定价、可持续溢价的制度基础设施（何凡等，2025）。与</w:t>
      </w:r>
      <m:oMath>
        <m:r>
          <m:t>Δ</m:t>
        </m:r>
        <m:r>
          <m:t>T</m:t>
        </m:r>
      </m:oMath>
      <w:r>
        <w:rPr>
          <w:rFonts w:ascii="宋体" w:hAnsi="宋体" w:eastAsia="宋体"/>
          <w:sz w:val="24"/>
        </w:rPr>
        <w:t>相比，</w:t>
      </w:r>
      <m:oMath>
        <m:r>
          <m:t>Δ</m:t>
        </m:r>
        <m:r>
          <m:t>M</m:t>
        </m:r>
      </m:oMath>
      <w:r>
        <w:rPr>
          <w:rFonts w:ascii="宋体" w:hAnsi="宋体" w:eastAsia="宋体"/>
          <w:sz w:val="24"/>
        </w:rPr>
        <w:t>的优势在于自主可控——不依赖对手方的承认即可部分兑现（对应模型中</w:t>
      </w:r>
      <m:oMath>
        <m:r>
          <m:t>η</m:t>
        </m:r>
      </m:oMath>
      <w:r>
        <w:rPr>
          <w:rFonts w:ascii="宋体" w:hAnsi="宋体" w:eastAsia="宋体"/>
          <w:sz w:val="24"/>
        </w:rPr>
        <w:t>的国内实现部分）；劣势在于其充分释放仍受国际互认的放大或折损（</w:t>
      </w:r>
      <m:oMath>
        <m:d>
          <m:dPr>
            <m:begChr m:val="("/>
            <m:sepChr m:val=""/>
            <m:endChr m:val=")"/>
            <m:grow/>
          </m:dPr>
          <m:e>
            <m:r>
              <m:t>1</m:t>
            </m:r>
            <m:r>
              <m:rPr>
                <m:sty m:val="p"/>
              </m:rPr>
              <m:t>−</m:t>
            </m:r>
            <m:r>
              <m:t>η</m:t>
            </m:r>
          </m:e>
        </m:d>
        <m:r>
          <m:t>Λ</m:t>
        </m:r>
      </m:oMath>
      <w:r>
        <w:rPr>
          <w:rFonts w:ascii="宋体" w:hAnsi="宋体" w:eastAsia="宋体"/>
          <w:sz w:val="24"/>
        </w:rPr>
        <w:t>部分），两类杠杆是互补而非替代关系。</w:t>
      </w:r>
    </w:p>
    <w:p>
      <w:pPr>
        <w:keepNext/>
        <w:spacing w:before="160" w:after="120" w:line="360" w:lineRule="auto"/>
        <w:outlineLvl w:val="2"/>
      </w:pPr>
      <w:r>
        <w:rPr>
          <w:rFonts w:ascii="黑体" w:hAnsi="黑体" w:eastAsia="黑体"/>
          <w:sz w:val="24"/>
        </w:rPr>
        <w:t>7.6.3  政府补贴的双刃剑效应</w:t>
      </w:r>
    </w:p>
    <w:p>
      <w:pPr>
        <w:spacing w:line="360" w:lineRule="auto" w:after="0"/>
        <w:ind w:firstLineChars="200" w:firstLine="480"/>
        <w:jc w:val="both"/>
      </w:pPr>
      <w:r>
        <w:rPr>
          <w:rFonts w:ascii="宋体" w:hAnsi="宋体" w:eastAsia="宋体"/>
          <w:sz w:val="24"/>
        </w:rPr>
        <w:t>由图7.4可见，情景B与情景C的</w:t>
      </w:r>
      <m:oMath>
        <m:r>
          <m:t>y</m:t>
        </m:r>
        <m:d>
          <m:dPr>
            <m:begChr m:val="("/>
            <m:sepChr m:val=""/>
            <m:endChr m:val=")"/>
            <m:grow/>
          </m:dPr>
          <m:e>
            <m:r>
              <m:t>t</m:t>
            </m:r>
          </m:e>
        </m:d>
      </m:oMath>
      <w:r>
        <w:rPr>
          <w:rFonts w:ascii="宋体" w:hAnsi="宋体" w:eastAsia="宋体"/>
          <w:sz w:val="24"/>
        </w:rPr>
        <w:t>、</w:t>
      </w:r>
      <m:oMath>
        <m:r>
          <m:t>z</m:t>
        </m:r>
        <m:d>
          <m:dPr>
            <m:begChr m:val="("/>
            <m:sepChr m:val=""/>
            <m:endChr m:val=")"/>
            <m:grow/>
          </m:dPr>
          <m:e>
            <m:r>
              <m:t>t</m:t>
            </m:r>
          </m:e>
        </m:d>
      </m:oMath>
      <w:r>
        <w:rPr>
          <w:rFonts w:ascii="宋体" w:hAnsi="宋体" w:eastAsia="宋体"/>
          <w:sz w:val="24"/>
        </w:rPr>
        <w:t>曲线最终都收敛于“主动领跑”水平线，情景A则滑向“被动跟跑”；对比B、C两条轨线，情景C的企业响应曲线在前段明显更陡、国际接纳曲线相应前移，跃迁时间由约17期缩短至约16期——补贴加码确实加速了企业—国际维度的正反馈启动。然而，结合图7.2右侧面板即可看到硬币的另一面：情景C中政府强制推行概率的退出曲线远为平缓，模拟期末仍停留在0.20的水平，而情景B已然归零。</w:t>
      </w:r>
    </w:p>
    <w:p>
      <w:pPr>
        <w:spacing w:before="120" w:after="40"/>
        <w:jc w:val="center"/>
      </w:pPr>
      <w:r>
        <w:drawing>
          <wp:inline xmlns:a="http://schemas.openxmlformats.org/drawingml/2006/main" xmlns:pic="http://schemas.openxmlformats.org/drawingml/2006/picture">
            <wp:extent cx="4860000" cy="2196543"/>
            <wp:docPr id="24" name="Picture 24"/>
            <wp:cNvGraphicFramePr>
              <a:graphicFrameLocks noChangeAspect="1"/>
            </wp:cNvGraphicFramePr>
            <a:graphic>
              <a:graphicData uri="http://schemas.openxmlformats.org/drawingml/2006/picture">
                <pic:pic>
                  <pic:nvPicPr>
                    <pic:cNvPr id="0" name="fig7_4.png"/>
                    <pic:cNvPicPr/>
                  </pic:nvPicPr>
                  <pic:blipFill>
                    <a:blip r:embed="rId32"/>
                    <a:stretch>
                      <a:fillRect/>
                    </a:stretch>
                  </pic:blipFill>
                  <pic:spPr>
                    <a:xfrm>
                      <a:off x="0" y="0"/>
                      <a:ext cx="4860000" cy="2196543"/>
                    </a:xfrm>
                    <a:prstGeom prst="rect"/>
                  </pic:spPr>
                </pic:pic>
              </a:graphicData>
            </a:graphic>
          </wp:inline>
        </w:drawing>
      </w:r>
    </w:p>
    <w:p>
      <w:pPr>
        <w:keepNext w:val="0"/>
        <w:spacing w:after="200"/>
        <w:jc w:val="center"/>
      </w:pPr>
      <w:r>
        <w:rPr>
          <w:rFonts w:ascii="黑体" w:hAnsi="黑体" w:eastAsia="黑体"/>
          <w:sz w:val="21"/>
        </w:rPr>
        <w:t>图7.4  从“跟跑”均衡向“领跑”均衡的跃迁路径</w:t>
      </w:r>
    </w:p>
    <w:p>
      <w:pPr>
        <w:spacing w:line="360" w:lineRule="auto" w:after="0"/>
        <w:ind w:firstLineChars="200" w:firstLine="480"/>
        <w:jc w:val="both"/>
      </w:pPr>
      <w:r>
        <w:rPr>
          <w:rFonts w:ascii="宋体" w:hAnsi="宋体" w:eastAsia="宋体"/>
          <w:sz w:val="24"/>
        </w:rPr>
        <w:t>双刃剑的机理可由前文命题精确拆解。对企业，补贴直接进入净激励函数：</w:t>
      </w:r>
      <m:oMath>
        <m:r>
          <m:t>s</m:t>
        </m:r>
      </m:oMath>
      <w:r>
        <w:rPr>
          <w:rFonts w:ascii="宋体" w:hAnsi="宋体" w:eastAsia="宋体"/>
          <w:sz w:val="24"/>
        </w:rPr>
        <w:t>每提高一个单位，互认门槛与壁垒门槛同步下移（式(7-11)、(7-12)），</w:t>
      </w:r>
      <m:oMath>
        <m:r>
          <m:t>s</m:t>
        </m:r>
      </m:oMath>
      <w:r>
        <w:rPr>
          <w:rFonts w:ascii="宋体" w:hAnsi="宋体" w:eastAsia="宋体"/>
          <w:sz w:val="24"/>
        </w:rPr>
        <w:t>由0.8升至1.2时两个门槛分别降至0.0与3.2，响应扩散更早启动——这是“甜”的一面。对政府，补贴抬高激励引导的财政代价：由命题7.3，转换阈值</w:t>
      </w:r>
      <m:oMath>
        <m:sSup>
          <m:e>
            <m:r>
              <m:t>y</m:t>
            </m:r>
          </m:e>
          <m:sup>
            <m:r>
              <m:rPr>
                <m:sty m:val="p"/>
              </m:rPr>
              <m:t>*</m:t>
            </m:r>
          </m:sup>
        </m:sSup>
        <m:r>
          <m:rPr>
            <m:sty m:val="p"/>
          </m:rPr>
          <m:t>=</m:t>
        </m:r>
        <m:d>
          <m:dPr>
            <m:begChr m:val="("/>
            <m:sepChr m:val=""/>
            <m:endChr m:val=")"/>
            <m:grow/>
          </m:dPr>
          <m:e>
            <m:sSub>
              <m:e>
                <m:r>
                  <m:t>R</m:t>
                </m:r>
              </m:e>
              <m:sub>
                <m:r>
                  <m:t>G</m:t>
                </m:r>
              </m:sub>
            </m:sSub>
            <m:r>
              <m:rPr>
                <m:sty m:val="p"/>
              </m:rPr>
              <m:t>−</m:t>
            </m:r>
            <m:sSub>
              <m:e>
                <m:r>
                  <m:t>c</m:t>
                </m:r>
              </m:e>
              <m:sub>
                <m:r>
                  <m:t>G</m:t>
                </m:r>
              </m:sub>
            </m:sSub>
          </m:e>
        </m:d>
        <m:r>
          <m:rPr>
            <m:sty m:val="p"/>
          </m:rPr>
          <m:t>/</m:t>
        </m:r>
        <m:d>
          <m:dPr>
            <m:begChr m:val="("/>
            <m:sepChr m:val=""/>
            <m:endChr m:val=")"/>
            <m:grow/>
          </m:dPr>
          <m:e>
            <m:sSub>
              <m:e>
                <m:r>
                  <m:t>R</m:t>
                </m:r>
              </m:e>
              <m:sub>
                <m:r>
                  <m:t>G</m:t>
                </m:r>
              </m:sub>
            </m:sSub>
            <m:r>
              <m:rPr>
                <m:sty m:val="p"/>
              </m:rPr>
              <m:t>−</m:t>
            </m:r>
            <m:r>
              <m:t>s</m:t>
            </m:r>
          </m:e>
        </m:d>
      </m:oMath>
      <w:r>
        <w:rPr>
          <w:rFonts w:ascii="宋体" w:hAnsi="宋体" w:eastAsia="宋体"/>
          <w:sz w:val="24"/>
        </w:rPr>
        <w:t>随</w:t>
      </w:r>
      <m:oMath>
        <m:r>
          <m:t>s</m:t>
        </m:r>
      </m:oMath>
      <w:r>
        <w:rPr>
          <w:rFonts w:ascii="宋体" w:hAnsi="宋体" w:eastAsia="宋体"/>
          <w:sz w:val="24"/>
        </w:rPr>
        <w:t>递增，</w:t>
      </w:r>
      <m:oMath>
        <m:r>
          <m:t>s</m:t>
        </m:r>
      </m:oMath>
      <w:r>
        <w:rPr>
          <w:rFonts w:ascii="宋体" w:hAnsi="宋体" w:eastAsia="宋体"/>
          <w:sz w:val="24"/>
        </w:rPr>
        <w:t>加码后</w:t>
      </w:r>
      <m:oMath>
        <m:sSup>
          <m:e>
            <m:r>
              <m:t>y</m:t>
            </m:r>
          </m:e>
          <m:sup>
            <m:r>
              <m:rPr>
                <m:sty m:val="p"/>
              </m:rPr>
              <m:t>*</m:t>
            </m:r>
          </m:sup>
        </m:sSup>
      </m:oMath>
      <w:r>
        <w:rPr>
          <w:rFonts w:ascii="宋体" w:hAnsi="宋体" w:eastAsia="宋体"/>
          <w:sz w:val="24"/>
        </w:rPr>
        <w:t>由0.286升至0.667——政府须等到企业响应率超过约三分之二才愿退出强制，行政资源的沉淀期被大幅拉长，这是“苦”的一面。更深一层，高补贴还潜藏两类外生风险：财政可持续性约束，以及绿色补贴在世贸框架下遭遇反补贴调查的合规风险（Cima和Esty，2024；屠新泉和曾瑞，2024）——美国《通胀削减法案》引发的补贴竞争争端已是前车之鉴。政策设计因此应把补贴定位为“启动器”而非“长期支柱”：实行与响应率挂钩的退坡机制，在</w:t>
      </w:r>
      <m:oMath>
        <m:r>
          <m:t>y</m:t>
        </m:r>
      </m:oMath>
      <w:r>
        <w:rPr>
          <w:rFonts w:ascii="宋体" w:hAnsi="宋体" w:eastAsia="宋体"/>
          <w:sz w:val="24"/>
        </w:rPr>
        <w:t>越过转换阈值后梯次退出；把补贴对象从产能扩张转向核算能力建设与认证互认申请，使同样的财政投入更多转化为</w:t>
      </w:r>
      <m:oMath>
        <m:r>
          <m:t>Δ</m:t>
        </m:r>
        <m:r>
          <m:t>T</m:t>
        </m:r>
      </m:oMath>
      <w:r>
        <w:rPr>
          <w:rFonts w:ascii="宋体" w:hAnsi="宋体" w:eastAsia="宋体"/>
          <w:sz w:val="24"/>
        </w:rPr>
        <w:t>、</w:t>
      </w:r>
      <m:oMath>
        <m:r>
          <m:t>Δ</m:t>
        </m:r>
        <m:r>
          <m:t>M</m:t>
        </m:r>
      </m:oMath>
      <w:r>
        <w:rPr>
          <w:rFonts w:ascii="宋体" w:hAnsi="宋体" w:eastAsia="宋体"/>
          <w:sz w:val="24"/>
        </w:rPr>
        <w:t>的持久改善而非一次性的成本补偿（蓝虹和杜彦霖，2024；张一林等，2025）。</w:t>
      </w:r>
    </w:p>
    <w:p>
      <w:pPr>
        <w:spacing w:line="360" w:lineRule="auto" w:after="0"/>
        <w:ind w:firstLineChars="200" w:firstLine="480"/>
        <w:jc w:val="both"/>
      </w:pPr>
      <w:r>
        <w:rPr>
          <w:rFonts w:ascii="宋体" w:hAnsi="宋体" w:eastAsia="宋体"/>
          <w:sz w:val="24"/>
        </w:rPr>
        <w:t>综合三类杠杆，一个与模型时序一致的组合次序是：短期以适度补贴与强制性标准“点火”，把企业响应存量推过国际组织的临界响应率；中期以碳标签、绿色采购与绿色金融培育</w:t>
      </w:r>
      <m:oMath>
        <m:r>
          <m:t>Δ</m:t>
        </m:r>
        <m:r>
          <m:t>M</m:t>
        </m:r>
      </m:oMath>
      <w:r>
        <w:rPr>
          <w:rFonts w:ascii="宋体" w:hAnsi="宋体" w:eastAsia="宋体"/>
          <w:sz w:val="24"/>
        </w:rPr>
        <w:t>，使响应的收益基础从财政转向市场；长期以核算规则对接与互认谈判锁定</w:t>
      </w:r>
      <m:oMath>
        <m:r>
          <m:t>Δ</m:t>
        </m:r>
        <m:r>
          <m:t>T</m:t>
        </m:r>
      </m:oMath>
      <w:r>
        <w:rPr>
          <w:rFonts w:ascii="宋体" w:hAnsi="宋体" w:eastAsia="宋体"/>
          <w:sz w:val="24"/>
        </w:rPr>
        <w:t>，让“响应—接纳”正反馈自我维持，财政与行政资源功成身退。三者的先后与搭配，本质上是沿最短路径把系统从</w:t>
      </w:r>
      <m:oMath>
        <m:sSub>
          <m:e>
            <m:r>
              <m:t>E</m:t>
            </m:r>
          </m:e>
          <m:sub>
            <m:r>
              <m:t>1</m:t>
            </m:r>
          </m:sub>
        </m:sSub>
      </m:oMath>
      <w:r>
        <w:rPr>
          <w:rFonts w:ascii="宋体" w:hAnsi="宋体" w:eastAsia="宋体"/>
          <w:sz w:val="24"/>
        </w:rPr>
        <w:t>吸引域送入</w:t>
      </w:r>
      <m:oMath>
        <m:sSub>
          <m:e>
            <m:r>
              <m:t>E</m:t>
            </m:r>
          </m:e>
          <m:sub>
            <m:r>
              <m:t>2</m:t>
            </m:r>
          </m:sub>
        </m:sSub>
      </m:oMath>
      <w:r>
        <w:rPr>
          <w:rFonts w:ascii="宋体" w:hAnsi="宋体" w:eastAsia="宋体"/>
          <w:sz w:val="24"/>
        </w:rPr>
        <w:t>吸引域的最优控制问题，其在“十五五”时期的具体政策展开见第14章。</w:t>
      </w:r>
    </w:p>
    <w:p>
      <w:pPr>
        <w:keepNext/>
        <w:spacing w:before="160" w:after="120" w:line="360" w:lineRule="auto"/>
        <w:outlineLvl w:val="1"/>
      </w:pPr>
      <w:r>
        <w:rPr>
          <w:rFonts w:ascii="黑体" w:hAnsi="黑体" w:eastAsia="黑体"/>
          <w:sz w:val="28"/>
        </w:rPr>
        <w:t>7.7  本章小结</w:t>
      </w:r>
    </w:p>
    <w:p>
      <w:pPr>
        <w:spacing w:line="360" w:lineRule="auto" w:after="0"/>
        <w:ind w:firstLineChars="200" w:firstLine="480"/>
        <w:jc w:val="both"/>
      </w:pPr>
      <w:r>
        <w:rPr>
          <w:rFonts w:ascii="宋体" w:hAnsi="宋体" w:eastAsia="宋体"/>
          <w:sz w:val="24"/>
        </w:rPr>
        <w:t>本章构建政府—企业—国际组织三方演化博弈模型，完成了标准体系动态演化机理第三层次——多主体策略互动——的形式化刻画。主要结论有五。第一，结构层面：三方支付呈“链式”依赖，企业居传导枢纽，国际组织的接纳与否通过收益实现与摩擦消减双通道决定企业绿色化的盈亏，其杠杆强度远超同量级的财政补贴。第二，均衡层面：三维复制动态系统的八个纯策略均衡中，基准参数下唯有“被动跟跑”</w:t>
      </w:r>
      <m:oMath>
        <m:sSub>
          <m:e>
            <m:r>
              <m:t>E</m:t>
            </m:r>
          </m:e>
          <m:sub>
            <m:r>
              <m:t>1</m:t>
            </m:r>
          </m:sub>
        </m:sSub>
        <m:r>
          <m:rPr>
            <m:sty m:val="p"/>
          </m:rPr>
          <m:t>=</m:t>
        </m:r>
        <m:d>
          <m:dPr>
            <m:begChr m:val="("/>
            <m:sepChr m:val=""/>
            <m:endChr m:val=")"/>
            <m:grow/>
          </m:dPr>
          <m:e>
            <m:r>
              <m:t>1</m:t>
            </m:r>
            <m:r>
              <m:rPr>
                <m:sty m:val="p"/>
              </m:rPr>
              <m:t>,</m:t>
            </m:r>
            <m:r>
              <m:t>0</m:t>
            </m:r>
            <m:r>
              <m:rPr>
                <m:sty m:val="p"/>
              </m:rPr>
              <m:t>,</m:t>
            </m:r>
            <m:r>
              <m:t>0</m:t>
            </m:r>
          </m:e>
        </m:d>
      </m:oMath>
      <w:r>
        <w:rPr>
          <w:rFonts w:ascii="宋体" w:hAnsi="宋体" w:eastAsia="宋体"/>
          <w:sz w:val="24"/>
        </w:rPr>
        <w:t>与“主动领跑”</w:t>
      </w:r>
      <m:oMath>
        <m:sSub>
          <m:e>
            <m:r>
              <m:t>E</m:t>
            </m:r>
          </m:e>
          <m:sub>
            <m:r>
              <m:t>2</m:t>
            </m:r>
          </m:sub>
        </m:sSub>
        <m:r>
          <m:rPr>
            <m:sty m:val="p"/>
          </m:rPr>
          <m:t>=</m:t>
        </m:r>
        <m:d>
          <m:dPr>
            <m:begChr m:val="("/>
            <m:sepChr m:val=""/>
            <m:endChr m:val=")"/>
            <m:grow/>
          </m:dPr>
          <m:e>
            <m:r>
              <m:t>0</m:t>
            </m:r>
            <m:r>
              <m:rPr>
                <m:sty m:val="p"/>
              </m:rPr>
              <m:t>,</m:t>
            </m:r>
            <m:r>
              <m:t>1</m:t>
            </m:r>
            <m:r>
              <m:rPr>
                <m:sty m:val="p"/>
              </m:rPr>
              <m:t>,</m:t>
            </m:r>
            <m:r>
              <m:t>1</m:t>
            </m:r>
          </m:e>
        </m:d>
      </m:oMath>
      <w:r>
        <w:rPr>
          <w:rFonts w:ascii="宋体" w:hAnsi="宋体" w:eastAsia="宋体"/>
          <w:sz w:val="24"/>
        </w:rPr>
        <w:t>渐近稳定，系统呈双稳态；领跑均衡在现有参数结构中已经存在且稳定，困难不在“存在”而在“到达”。第三，阈值层面：企业响应门槛随国际接纳概率单调下降，互认情形下仅为</w:t>
      </w:r>
      <m:oMath>
        <m:sSub>
          <m:e>
            <m:r>
              <m:t>c</m:t>
            </m:r>
          </m:e>
          <m:sub>
            <m:r>
              <m:t>E</m:t>
            </m:r>
          </m:sub>
        </m:sSub>
        <m:r>
          <m:rPr>
            <m:sty m:val="p"/>
          </m:rPr>
          <m:t>−</m:t>
        </m:r>
        <m:r>
          <m:t>s</m:t>
        </m:r>
        <m:r>
          <m:rPr>
            <m:sty m:val="p"/>
          </m:rPr>
          <m:t>=</m:t>
        </m:r>
        <m:r>
          <m:t>0.4</m:t>
        </m:r>
      </m:oMath>
      <w:r>
        <w:rPr>
          <w:rFonts w:ascii="宋体" w:hAnsi="宋体" w:eastAsia="宋体"/>
          <w:sz w:val="24"/>
        </w:rPr>
        <w:t>，壁垒情形下升至</w:t>
      </w:r>
      <m:oMath>
        <m:r>
          <m:t>4</m:t>
        </m:r>
        <m:d>
          <m:dPr>
            <m:begChr m:val="("/>
            <m:sepChr m:val=""/>
            <m:endChr m:val=")"/>
            <m:grow/>
          </m:dPr>
          <m:e>
            <m:sSub>
              <m:e>
                <m:r>
                  <m:t>c</m:t>
                </m:r>
              </m:e>
              <m:sub>
                <m:r>
                  <m:t>E</m:t>
                </m:r>
              </m:sub>
            </m:sSub>
            <m:r>
              <m:rPr>
                <m:sty m:val="p"/>
              </m:rPr>
              <m:t>+</m:t>
            </m:r>
            <m:r>
              <m:t>0.5</m:t>
            </m:r>
            <m:r>
              <m:t>F</m:t>
            </m:r>
            <m:r>
              <m:rPr>
                <m:sty m:val="p"/>
              </m:rPr>
              <m:t>−</m:t>
            </m:r>
            <m:r>
              <m:t>s</m:t>
            </m:r>
          </m:e>
        </m:d>
        <m:r>
          <m:rPr>
            <m:sty m:val="p"/>
          </m:rPr>
          <m:t>=</m:t>
        </m:r>
        <m:r>
          <m:t>4.8</m:t>
        </m:r>
      </m:oMath>
      <w:r>
        <w:rPr>
          <w:rFonts w:ascii="宋体" w:hAnsi="宋体" w:eastAsia="宋体"/>
          <w:sz w:val="24"/>
        </w:rPr>
        <w:t>、相差12倍（命题7.1、7.2）；政府由强制转向激励的转换阈值为</w:t>
      </w:r>
      <m:oMath>
        <m:sSup>
          <m:e>
            <m:r>
              <m:t>y</m:t>
            </m:r>
          </m:e>
          <m:sup>
            <m:r>
              <m:rPr>
                <m:sty m:val="p"/>
              </m:rPr>
              <m:t>*</m:t>
            </m:r>
          </m:sup>
        </m:sSup>
        <m:r>
          <m:rPr>
            <m:sty m:val="p"/>
          </m:rPr>
          <m:t>=</m:t>
        </m:r>
        <m:d>
          <m:dPr>
            <m:begChr m:val="("/>
            <m:sepChr m:val=""/>
            <m:endChr m:val=")"/>
            <m:grow/>
          </m:dPr>
          <m:e>
            <m:sSub>
              <m:e>
                <m:r>
                  <m:t>R</m:t>
                </m:r>
              </m:e>
              <m:sub>
                <m:r>
                  <m:t>G</m:t>
                </m:r>
              </m:sub>
            </m:sSub>
            <m:r>
              <m:rPr>
                <m:sty m:val="p"/>
              </m:rPr>
              <m:t>−</m:t>
            </m:r>
            <m:sSub>
              <m:e>
                <m:r>
                  <m:t>c</m:t>
                </m:r>
              </m:e>
              <m:sub>
                <m:r>
                  <m:t>G</m:t>
                </m:r>
              </m:sub>
            </m:sSub>
          </m:e>
        </m:d>
        <m:r>
          <m:rPr>
            <m:sty m:val="p"/>
          </m:rPr>
          <m:t>/</m:t>
        </m:r>
        <m:d>
          <m:dPr>
            <m:begChr m:val="("/>
            <m:sepChr m:val=""/>
            <m:endChr m:val=")"/>
            <m:grow/>
          </m:dPr>
          <m:e>
            <m:sSub>
              <m:e>
                <m:r>
                  <m:t>R</m:t>
                </m:r>
              </m:e>
              <m:sub>
                <m:r>
                  <m:t>G</m:t>
                </m:r>
              </m:sub>
            </m:sSub>
            <m:r>
              <m:rPr>
                <m:sty m:val="p"/>
              </m:rPr>
              <m:t>−</m:t>
            </m:r>
            <m:r>
              <m:t>s</m:t>
            </m:r>
          </m:e>
        </m:d>
        <m:r>
          <m:rPr>
            <m:sty m:val="p"/>
          </m:rPr>
          <m:t>≈</m:t>
        </m:r>
        <m:r>
          <m:t>0.286</m:t>
        </m:r>
      </m:oMath>
      <w:r>
        <w:rPr>
          <w:rFonts w:ascii="宋体" w:hAnsi="宋体" w:eastAsia="宋体"/>
          <w:sz w:val="24"/>
        </w:rPr>
        <w:t>（命题7.3），“先强制、后激励”的政策次序由此内生。第四，模拟层面：基准情景约13期（6.5年）收敛于跟跑均衡；国际激励提升情景约17期（8.5年）实现向领跑均衡的跃迁，且轨迹呈“企业响应先动、国际接纳跟进、政府功成身退”的时序；叠加补贴的协同情景使跃迁提前约一期，但显著延缓政府退出强制。第五，政策层面：碳关税减免</w:t>
      </w:r>
      <m:oMath>
        <m:r>
          <m:t>Δ</m:t>
        </m:r>
        <m:r>
          <m:t>T</m:t>
        </m:r>
      </m:oMath>
      <w:r>
        <w:rPr>
          <w:rFonts w:ascii="宋体" w:hAnsi="宋体" w:eastAsia="宋体"/>
          <w:sz w:val="24"/>
        </w:rPr>
        <w:t>依托互认谈判与碳市场扩容提价，竞争力提升</w:t>
      </w:r>
      <m:oMath>
        <m:r>
          <m:t>Δ</m:t>
        </m:r>
        <m:r>
          <m:t>M</m:t>
        </m:r>
      </m:oMath>
      <w:r>
        <w:rPr>
          <w:rFonts w:ascii="宋体" w:hAnsi="宋体" w:eastAsia="宋体"/>
          <w:sz w:val="24"/>
        </w:rPr>
        <w:t>依托绿色市场培育，两者互补；补贴</w:t>
      </w:r>
      <m:oMath>
        <m:r>
          <m:t>s</m:t>
        </m:r>
      </m:oMath>
      <w:r>
        <w:rPr>
          <w:rFonts w:ascii="宋体" w:hAnsi="宋体" w:eastAsia="宋体"/>
          <w:sz w:val="24"/>
        </w:rPr>
        <w:t>具有加速企业响应与延缓政府转型的双刃剑效应，宜定位为挂钩退坡的启动器。</w:t>
      </w:r>
    </w:p>
    <w:p>
      <w:pPr>
        <w:spacing w:line="360" w:lineRule="auto" w:after="0"/>
        <w:ind w:firstLineChars="200" w:firstLine="480"/>
        <w:jc w:val="both"/>
      </w:pPr>
      <w:r>
        <w:rPr>
          <w:rFonts w:ascii="宋体" w:hAnsi="宋体" w:eastAsia="宋体"/>
          <w:sz w:val="24"/>
        </w:rPr>
        <w:t>在全书逻辑中，本章的位置承前启后。承前，第5至第7章至此完成了动态演化机理的三层刻画——标准间互补替代、技术制度互馈、多主体策略互动，第6章遗留的“互馈系数由谁的行为决定”问题在本章获得策略基础：互馈的强度正是三方均衡位置的函数。启后，本章为后续章节提供了三块基石。其一，三方博弈的激励相容要求——政府、企业与国际力量的收益必须在体系设计中同时得到安放——直接派生出第9章标准体系构建的“多元协调”原则；其二，国际互认预期对企业响应门槛的决定性作用，论证了第12章国际适配性评估作为“测距仪”的机理价值：国际标准差距指数每收窄一分，条件阈值曲线便下移一分；其三，博弈刻画的是策略与激励，而策略落地还需回答“标准供给与产业需求是否匹配”的结构问题——企业积极响应的前提是存在可采、适用的标准供给。分析的镜头由此从主体策略转向供需结构：第8章将构建标准供需动态错配指数，识别八大高碳行业的结构性缺口，为体系构建提供需求侧的坐标。</w:t>
      </w:r>
    </w:p>
    <w:p>
      <w:r>
        <w:br w:type="page"/>
      </w:r>
    </w:p>
    <w:p>
      <w:pPr>
        <w:keepNext/>
        <w:spacing w:before="240" w:after="160" w:line="360" w:lineRule="auto"/>
        <w:jc w:val="center"/>
        <w:outlineLvl w:val="0"/>
      </w:pPr>
      <w:r>
        <w:rPr>
          <w:rFonts w:ascii="黑体" w:hAnsi="黑体" w:eastAsia="黑体"/>
          <w:b/>
          <w:sz w:val="30"/>
        </w:rPr>
        <w:t>第8章  标准供需动态错配的识别与测算</w:t>
      </w:r>
    </w:p>
    <w:p>
      <w:pPr>
        <w:spacing w:line="360" w:lineRule="auto" w:after="0"/>
        <w:ind w:firstLineChars="200" w:firstLine="480"/>
        <w:jc w:val="both"/>
      </w:pPr>
      <w:r>
        <w:rPr>
          <w:rFonts w:ascii="宋体" w:hAnsi="宋体" w:eastAsia="宋体"/>
          <w:sz w:val="24"/>
        </w:rPr>
        <w:t>第5章至第7章分别以状态空间模型、技术—制度协同演进模型与多主体演化博弈模型，从标准间交互、技术制度互馈与主体策略互动三个层面完成了对中国绿色低碳标准体系动态演化机理的刻画，至此本书“认识规律”的任务告一段落，研究主线转入“设计体系”模块。体系设计的逻辑起点不是供给而是需求：标准体系归根结底是为产业绿色转型服务的制度基础设施，在着手设计之前必须先回答三个问题——产业究竟需要什么样的标准？现有供给离真实需求还有多远？缺口集中在哪些行业与哪些功能模块？从总量看，中国绿色低碳标准的供给不可谓不快：截至2024年，直接支撑碳达峰碳中和工作的国家标准已有1800余项、行业标准2300余项。然而第4章的结构分析已经表明，数量繁荣的背后是功能模块的严重失衡——碳排放端标准密集而碳吸收端标准缺位，供给的结构若与需求的结构错位，标准越多，错配未必越小。数量的增长并不自动等于需求的满足，这正是本章要以严格测算加以检验的核心命题。</w:t>
      </w:r>
    </w:p>
    <w:p>
      <w:pPr>
        <w:spacing w:line="360" w:lineRule="auto" w:after="0"/>
        <w:ind w:firstLineChars="200" w:firstLine="480"/>
        <w:jc w:val="both"/>
      </w:pPr>
      <w:r>
        <w:rPr>
          <w:rFonts w:ascii="宋体" w:hAnsi="宋体" w:eastAsia="宋体"/>
          <w:sz w:val="24"/>
        </w:rPr>
        <w:t>为把“错配”从直觉判断转化为可测算、可比较、可追踪的量化事实，本章构建标准供需动态错配指数（Standard Supply-Demand Mismatch Index，SSDMI）的识别与测算框架。其方法论核心是需求的内生化：不以政策理想目标反推需求，而以产业绿色转型的真实路径——行业碳排放属性、转型进程、减排约束与外部规制压力——内生刻画需求，再与基于标准文本数据库量化的实际供给对比，形成行业、年份与功能模块三个维度上的错配图谱。本章结构安排如下：8.1节阐述供需错配的理论内涵，论证需求内生化的必要性；8.2节给出SSDMI模型的完整设定；8.3节说明数据与变量；8.4节以面板回归检验需求驱动因素；8.5节报告八大高碳行业2015—2025年的错配测算结果；8.6节将测算下钻至功能模块层面，诊断结构性短板；8.7节总结全章，并说明测算结果如何转化为第9章体系架构设计的需求侧依据。</w:t>
      </w:r>
    </w:p>
    <w:p>
      <w:pPr>
        <w:keepNext/>
        <w:spacing w:before="160" w:after="120" w:line="360" w:lineRule="auto"/>
        <w:outlineLvl w:val="1"/>
      </w:pPr>
      <w:r>
        <w:rPr>
          <w:rFonts w:ascii="黑体" w:hAnsi="黑体" w:eastAsia="黑体"/>
          <w:sz w:val="28"/>
        </w:rPr>
        <w:t>8.1  供需错配的理论内涵</w:t>
      </w:r>
    </w:p>
    <w:p>
      <w:pPr>
        <w:keepNext/>
        <w:spacing w:before="160" w:after="120" w:line="360" w:lineRule="auto"/>
        <w:outlineLvl w:val="2"/>
      </w:pPr>
      <w:r>
        <w:rPr>
          <w:rFonts w:ascii="黑体" w:hAnsi="黑体" w:eastAsia="黑体"/>
          <w:sz w:val="24"/>
        </w:rPr>
        <w:t>8.1.1  标准的供给与需求：标准化经济学的一个薄弱环节</w:t>
      </w:r>
    </w:p>
    <w:p>
      <w:pPr>
        <w:spacing w:line="360" w:lineRule="auto" w:after="0"/>
        <w:ind w:firstLineChars="200" w:firstLine="480"/>
        <w:jc w:val="both"/>
      </w:pPr>
      <w:r>
        <w:rPr>
          <w:rFonts w:ascii="宋体" w:hAnsi="宋体" w:eastAsia="宋体"/>
          <w:sz w:val="24"/>
        </w:rPr>
        <w:t>标准化经济学自网络外部性理论确立以来积累了丰富成果，但其注意力高度集中于供给侧与效应侧。经典文献围绕兼容性选择与标准竞争展开：网络外部性使产品价值随使用者规模递增，兼容标准通过统一接口扩大网络规模（Katz和Shapiro，1985；Farrell和Saloner，1985）；标准竞争中的正反馈与转换成本导致锁定与路径依赖（Arthur，1989）。后续研究转向标准的经济效应，系统评估了标准对创新、贸易与生产率的影响（Blind，2004；Swann，2010），中文文献亦证实标准化对企业全要素生产率与出口行为的显著作用（何凡等，2025；王明涛等，2025）。相形之下，“谁需要标准、需要多少标准、需求由什么决定”这一需求侧问题在文献中长期处于边缘位置。标准通常被视为基础设施型技术公共品（Tassey，2000）：其消费具有非竞争性，收益高度外溢，需求者分散且单个主体的支付意愿远低于社会边际收益，需求信号因而难以经由市场价格机制显性化。这一公共品属性恰恰意味着，标准的供给决策往往是在需求信息高度不完备的条件下作出的，供需错配由此获得了结构性的生成土壤。</w:t>
      </w:r>
    </w:p>
    <w:p>
      <w:pPr>
        <w:spacing w:line="360" w:lineRule="auto" w:after="0"/>
        <w:ind w:firstLineChars="200" w:firstLine="480"/>
        <w:jc w:val="both"/>
      </w:pPr>
      <w:r>
        <w:rPr>
          <w:rFonts w:ascii="宋体" w:hAnsi="宋体" w:eastAsia="宋体"/>
          <w:sz w:val="24"/>
        </w:rPr>
        <w:t>从制度经济学看，标准是编码化程度最高的一类正式制度，标准供需可以纳入制度变迁的供求分析框架。North，1990指出，相对价格的持续变化会改变主体间的谈判力量与获利机会，从而催生对新制度安排的需求；制度供给则受制于政治程序、既得利益与设计成本，向需求的收敛充满摩擦。“双碳”目标下的绿色转型正是一场超大规模的相对价格重估：碳定价使排放从免费品变为成本项，绿色溢价使低碳属性成为收益项，2021年7月启动的全国碳排放权交易市场与2026年起正式征收的欧盟碳边境调节机制，将这种重估从预期变为现实。相对价格的系统性变化，必然催生对碳计量、认证、披露与交易规则的巨量制度需求。演化经济学进一步提示，这类需求天然快于供给：技术范式的更替由技术机会与市场选择共同驱动，节奏快、方向多变（Dosi，1982）；而标准作为对成熟技术实践的编码与固化，其制定必须经过立项、起草、征求意见、审查、发布的完整程序，组织惯例的调整又远慢于技术知识的更新（Nelson和Winter，1982），滞后是常态而非例外。</w:t>
      </w:r>
    </w:p>
    <w:p>
      <w:pPr>
        <w:spacing w:line="360" w:lineRule="auto" w:after="0"/>
        <w:ind w:firstLineChars="200" w:firstLine="480"/>
        <w:jc w:val="both"/>
      </w:pPr>
      <w:r>
        <w:rPr>
          <w:rFonts w:ascii="宋体" w:hAnsi="宋体" w:eastAsia="宋体"/>
          <w:sz w:val="24"/>
        </w:rPr>
        <w:t>具体到绿色低碳标准领域，既有研究大体沿三条线索展开：一是对“双碳”标准体系建设现状与问题的梳理（石明娟等，2022；孙亮等，2022）；二是对“双碳”标准化战略与体系框架的设计探讨（舒辉和唐飞，2023），2023年4月十一部门印发的《碳达峰碳中和标准体系建设指南》所提出的四个一级子体系、十五个二级子体系即为官方集大成者（国家标准化管理委员会等，2023）；三是对碳核算、碳足迹、绿色金融等具体标准的国际比较（陈红敏，2011；陈丹丹等，2025）。这些研究的共同特征，是从供给侧“应当建什么”出发，以政策目标倒推标准清单：需求要么被假定为政策目标本身，要么被笼统表述为“产业发展需要”，既缺少独立于供给的需求度量，更缺少供需对比的动态测算。缺少需求标尺的直接后果是：标准建设成效只能以发布数量衡量，而数量指标恰恰无法回答“建的是不是产业需要的”这一根本问题。本章的工作正是要补上这块短板——先独立度量需求，再同口径量化供给，最后测算两者之间的动态错配。</w:t>
      </w:r>
    </w:p>
    <w:p>
      <w:pPr>
        <w:keepNext/>
        <w:spacing w:before="160" w:after="120" w:line="360" w:lineRule="auto"/>
        <w:outlineLvl w:val="2"/>
      </w:pPr>
      <w:r>
        <w:rPr>
          <w:rFonts w:ascii="黑体" w:hAnsi="黑体" w:eastAsia="黑体"/>
          <w:sz w:val="24"/>
        </w:rPr>
        <w:t>8.1.2  需求内生化：以产业转型真实路径度量需求</w:t>
      </w:r>
    </w:p>
    <w:p>
      <w:pPr>
        <w:spacing w:line="360" w:lineRule="auto" w:after="0"/>
        <w:ind w:firstLineChars="200" w:firstLine="480"/>
        <w:jc w:val="both"/>
      </w:pPr>
      <w:r>
        <w:rPr>
          <w:rFonts w:ascii="宋体" w:hAnsi="宋体" w:eastAsia="宋体"/>
          <w:sz w:val="24"/>
        </w:rPr>
        <w:t>度量标准需求存在两条可选的技术路线。第一条是政策目标法：以碳达峰碳中和目标或规划指标为基准，倒推实现目标“应当”需要的标准配置并将其视为需求。这一思路操作简便、与政策话语衔接自然，却存在三重缺陷。其一，政策目标是理想蓝图而非现实路径，行业的实际转型受技术可得性、资金约束与市场条件制约，与目标路径存在系统性偏离；以理想目标度量需求，会在转型超前的行业低估需求、在转型滞后的行业高估需求。其二，全国统一的目标无法反映行业异质性——同样的减排要求，对电解铝与对纺织意味着完全不同的标准需求强度与结构。其三，也是最根本的，目标法之下需求外生于产业行为，无法随技术、市场与国际规制条件的变化而更新，所测得的“错配”实质上只是供给与政策文本之间的距离，而非供给与产业真实需要之间的距离。</w:t>
      </w:r>
    </w:p>
    <w:p>
      <w:pPr>
        <w:spacing w:line="360" w:lineRule="auto" w:after="0"/>
        <w:ind w:firstLineChars="200" w:firstLine="480"/>
        <w:jc w:val="both"/>
      </w:pPr>
      <w:r>
        <w:rPr>
          <w:rFonts w:ascii="宋体" w:hAnsi="宋体" w:eastAsia="宋体"/>
          <w:sz w:val="24"/>
        </w:rPr>
        <w:t>第二条路线即本章采取的真实路径法：将标准需求视为产业绿色转型活动的派生需求，由转型的真实进程内生决定。标准需求不是最终需求——没有企业为标准本身付费，企业需要的是减排技术改造得到计量认可、绿色产品获得认证溢价、绿色项目取得融资资格、出口产品通过合规审查，标准需求由这些转型活动派生而来。诱致性创新理论为这一设定提供了坚实基础：环境规制与要素价格信号会系统性地改变技术进步的方向与强度（Porter和van der Linde，1995；Popp，2002），定向技术变迁模型进一步表明，碳价与政策组合能够将创新资源从污染技术轨道转向清洁技术轨道，且转型存在路径依赖与临界效应（Acemoglu等，2012；Aghion等，2016）。既然规制与价格塑造企业的绿色技术活动，而绿色技术活动派生标准需求，那么标准需求就应当由刻画转型压力与转型进程的可观测变量内生解释，而不是由政策文本外生给定。</w:t>
      </w:r>
    </w:p>
    <w:p>
      <w:pPr>
        <w:spacing w:line="360" w:lineRule="auto" w:after="0"/>
        <w:ind w:firstLineChars="200" w:firstLine="480"/>
        <w:jc w:val="both"/>
      </w:pPr>
      <w:r>
        <w:rPr>
          <w:rFonts w:ascii="宋体" w:hAnsi="宋体" w:eastAsia="宋体"/>
          <w:sz w:val="24"/>
        </w:rPr>
        <w:t>据此，本章将行业标准需求归结为四类驱动因素。一是碳排放属性（CI）：行业单位增加值碳排放越高，其面临的计量、监测、报告与核查要求越密集，围绕碳排放核算的标准需求基本盘越大——跨国证据表明，碳生产率的行业差异长期稳定，排放属性是行业面临规制强度的首要决定因素（Voigt等，2014；Liang等，2023）。二是绿色转型进程（GT）：转型越活跃的行业，绿色技术改造、绿色产品开发与绿色融资活动越密集，对认证、评价与披露类标准的需求越旺盛，企业层面的碳中和核算案例研究即显示微观转型活动直接派生此类标准需求（Shangguan等，2024）。三是减排约束（PC）：能耗双控向碳排放双控的全面转型将减排责任逐级分解至行业与企业（姜春海等，2024；袁惊柱，2025），行政约束的收紧直接转化为对核算与考核标准的合规需求，碳排放总量控制下配额配置的效率还进一步取决于核算基础的统一（杨豪等，2023）。四是国际规制压力（CBAM）：欧盟碳边境调节机制以进口产品隐含排放为征收基础，将欧盟的核算、核查与申报规则外溢至出口国生产环节（Mehling等，2019；刘梦佳和李志永，2025），对欧出口暴露越高的行业，标准需求的国际化成分越重。四类因素中，前两类刻画产业转型的内生进程，后两类刻画国内外规制的外生压力，共同构成需求内生化的解释结构。</w:t>
      </w:r>
    </w:p>
    <w:p>
      <w:pPr>
        <w:keepNext/>
        <w:spacing w:before="160" w:after="120" w:line="360" w:lineRule="auto"/>
        <w:outlineLvl w:val="2"/>
      </w:pPr>
      <w:r>
        <w:rPr>
          <w:rFonts w:ascii="黑体" w:hAnsi="黑体" w:eastAsia="黑体"/>
          <w:sz w:val="24"/>
        </w:rPr>
        <w:t>8.1.3  动态错配的形成机制与经济后果</w:t>
      </w:r>
    </w:p>
    <w:p>
      <w:pPr>
        <w:spacing w:line="360" w:lineRule="auto" w:after="0"/>
        <w:ind w:firstLineChars="200" w:firstLine="480"/>
        <w:jc w:val="both"/>
      </w:pPr>
      <w:r>
        <w:rPr>
          <w:rFonts w:ascii="宋体" w:hAnsi="宋体" w:eastAsia="宋体"/>
          <w:sz w:val="24"/>
        </w:rPr>
        <w:t>供需错配的形成机制可以概括为三重时滞与一重偏向。第一重是制定时滞：一项国家标准从立项到发布通常需要数年，其间技术前沿与市场条件已然移动，标准所瞄准的需求是一个“移动的靶子”。第二重是修订时滞：已发布标准的技术参数会随技术进步老化，而修订受制于程序与资源，难以及时跟进，第10章将专门处理这一问题。第三重是结构时滞：即便总量供给及时，供给在功能模块与行业之间的配置调整也远慢于需求结构的变化。一重偏向则指供给结构的政策偏向：第5章B矩阵的估计结果表明，样本期内政策推力是标准体系演化的首要驱动力，供给资源随政策焦点配置——政策聚光灯照到的领域标准密集涌现，聚光灯之外的领域即便需求旺盛也乏人问津。四者叠加，使错配成为标准体系的常态属性；2020年“双碳”目标宣示后需求曲线的整体上移与结构剧变，更使错配问题在短期内集中显性化。</w:t>
      </w:r>
    </w:p>
    <w:p>
      <w:pPr>
        <w:spacing w:line="360" w:lineRule="auto" w:after="0"/>
        <w:ind w:firstLineChars="200" w:firstLine="480"/>
        <w:jc w:val="both"/>
      </w:pPr>
      <w:r>
        <w:rPr>
          <w:rFonts w:ascii="宋体" w:hAnsi="宋体" w:eastAsia="宋体"/>
          <w:sz w:val="24"/>
        </w:rPr>
        <w:t>短缺性错配的经济后果沿三条链条传导。其一，计量与认证链条：核算标准缺失使企业减排量无法获得可信计量，碳标签与绿色产品的溢价机制失灵（黄俊勇和刘世锦，2023），碳市场的配额分配与履约核查也因数据基础问题而受损（张希良等，2021；吴茵茵等，2021）。其二，金融链条：绿色金融标准不统一使“绿色”识别成本高企，绿色信贷与绿色债券面临“洗绿”风险，资金难以精准流向真实减排活动（王馨和王营，2021；陈丹丹等，2025）。其三，贸易链条：国内标准与国际规则的缺口直接转化为出口成本——按2022年口径，中国对欧盟出口CBAM覆盖商品约205亿美元，其中钢铁约146亿美元、铝约55亿美元，权威测算显示CBAM每年或使中国出口成本增加约14亿美元（陆婷和徐奇渊，2023；陈诗一和朱渝铖，2024）。冗余性错配的代价则相对隐性：功能重叠、口径不一的标准并存，抬高企业的多重认证与合规成本，甚至可能压缩创新试验的空间（Blind等，2022）。</w:t>
      </w:r>
    </w:p>
    <w:p>
      <w:pPr>
        <w:spacing w:line="360" w:lineRule="auto" w:after="0"/>
        <w:ind w:firstLineChars="200" w:firstLine="480"/>
        <w:jc w:val="both"/>
      </w:pPr>
      <w:r>
        <w:rPr>
          <w:rFonts w:ascii="宋体" w:hAnsi="宋体" w:eastAsia="宋体"/>
          <w:sz w:val="24"/>
        </w:rPr>
        <w:t>尤为重要的是错配的动态性与结构性。短缺与冗余并非互斥状态，而是可以并存于同一行业的不同功能模块：一个行业可能在绿色产品评价上标准过密，同时在碳足迹核算上无标可依。若只作总量对比——以标准总数对照需求总量——结构性错配会在加总中相互抵消而被完全掩盖。因此，错配测算必须同时满足三个要求：需求独立度量而非由供给或目标反推；供需在行业与模块两个维度上匹配对比；测算随时间滚动以捕捉动态。这三个要求共同规定了下一节模型的设定方向。</w:t>
      </w:r>
    </w:p>
    <w:p>
      <w:pPr>
        <w:keepNext/>
        <w:spacing w:before="160" w:after="120" w:line="360" w:lineRule="auto"/>
        <w:outlineLvl w:val="1"/>
      </w:pPr>
      <w:r>
        <w:rPr>
          <w:rFonts w:ascii="黑体" w:hAnsi="黑体" w:eastAsia="黑体"/>
          <w:sz w:val="28"/>
        </w:rPr>
        <w:t>8.2  SSDMI模型设定</w:t>
      </w:r>
    </w:p>
    <w:p>
      <w:pPr>
        <w:keepNext/>
        <w:spacing w:before="160" w:after="120" w:line="360" w:lineRule="auto"/>
        <w:outlineLvl w:val="2"/>
      </w:pPr>
      <w:r>
        <w:rPr>
          <w:rFonts w:ascii="黑体" w:hAnsi="黑体" w:eastAsia="黑体"/>
          <w:sz w:val="24"/>
        </w:rPr>
        <w:t>8.2.1  需求函数：内生化设定</w:t>
      </w:r>
    </w:p>
    <w:p>
      <w:pPr>
        <w:spacing w:line="360" w:lineRule="auto" w:after="0"/>
        <w:ind w:firstLineChars="200" w:firstLine="480"/>
        <w:jc w:val="both"/>
      </w:pPr>
      <w:r>
        <w:rPr>
          <w:rFonts w:ascii="宋体" w:hAnsi="宋体" w:eastAsia="宋体"/>
          <w:sz w:val="24"/>
        </w:rPr>
        <w:t>考察</w:t>
      </w:r>
      <m:oMath>
        <m:r>
          <m:t>k</m:t>
        </m:r>
        <m:r>
          <m:rPr>
            <m:sty m:val="p"/>
          </m:rPr>
          <m:t>=</m:t>
        </m:r>
        <m:r>
          <m:t>1</m:t>
        </m:r>
        <m:r>
          <m:rPr>
            <m:sty m:val="p"/>
          </m:rPr>
          <m:t>,</m:t>
        </m:r>
        <m:r>
          <m:t>2</m:t>
        </m:r>
        <m:r>
          <m:rPr>
            <m:sty m:val="p"/>
          </m:rPr>
          <m:t>,</m:t>
        </m:r>
        <m:r>
          <m:rPr>
            <m:sty m:val="p"/>
          </m:rPr>
          <m:t>…</m:t>
        </m:r>
        <m:r>
          <m:rPr>
            <m:sty m:val="p"/>
          </m:rPr>
          <m:t>,</m:t>
        </m:r>
        <m:r>
          <m:t>8</m:t>
        </m:r>
      </m:oMath>
      <w:r>
        <w:rPr>
          <w:rFonts w:ascii="宋体" w:hAnsi="宋体" w:eastAsia="宋体"/>
          <w:sz w:val="24"/>
        </w:rPr>
        <w:t>个高碳行业、</w:t>
      </w:r>
      <m:oMath>
        <m:r>
          <m:t>t</m:t>
        </m:r>
        <m:r>
          <m:rPr>
            <m:sty m:val="p"/>
          </m:rPr>
          <m:t>=</m:t>
        </m:r>
        <m:r>
          <m:t>2015</m:t>
        </m:r>
        <m:r>
          <m:rPr>
            <m:sty m:val="p"/>
          </m:rPr>
          <m:t>,</m:t>
        </m:r>
        <m:r>
          <m:rPr>
            <m:sty m:val="p"/>
          </m:rPr>
          <m:t>…</m:t>
        </m:r>
        <m:r>
          <m:rPr>
            <m:sty m:val="p"/>
          </m:rPr>
          <m:t>,</m:t>
        </m:r>
        <m:r>
          <m:t>2025</m:t>
        </m:r>
      </m:oMath>
      <w:r>
        <w:rPr>
          <w:rFonts w:ascii="宋体" w:hAnsi="宋体" w:eastAsia="宋体"/>
          <w:sz w:val="24"/>
        </w:rPr>
        <w:t>年的面板。定义</w:t>
      </w:r>
      <m:oMath>
        <m:sSub>
          <m:e>
            <m:r>
              <m:t>D</m:t>
            </m:r>
          </m:e>
          <m:sub>
            <m:r>
              <m:t>k</m:t>
            </m:r>
            <m:r>
              <m:t>t</m:t>
            </m:r>
          </m:sub>
        </m:sSub>
        <m:r>
          <m:rPr>
            <m:sty m:val="p"/>
          </m:rPr>
          <m:t>∈</m:t>
        </m:r>
        <m:d>
          <m:dPr>
            <m:begChr m:val="["/>
            <m:sepChr m:val=""/>
            <m:endChr m:val="]"/>
            <m:grow/>
          </m:dPr>
          <m:e>
            <m:r>
              <m:t>0</m:t>
            </m:r>
            <m:r>
              <m:rPr>
                <m:sty m:val="p"/>
              </m:rPr>
              <m:t>,</m:t>
            </m:r>
            <m:r>
              <m:t>1</m:t>
            </m:r>
          </m:e>
        </m:d>
      </m:oMath>
      <w:r>
        <w:rPr>
          <w:rFonts w:ascii="宋体" w:hAnsi="宋体" w:eastAsia="宋体"/>
          <w:sz w:val="24"/>
        </w:rPr>
        <w:t>为行业</w:t>
      </w:r>
      <m:oMath>
        <m:r>
          <m:t>k</m:t>
        </m:r>
      </m:oMath>
      <w:r>
        <w:rPr>
          <w:rFonts w:ascii="宋体" w:hAnsi="宋体" w:eastAsia="宋体"/>
          <w:sz w:val="24"/>
        </w:rPr>
        <w:t>第</w:t>
      </w:r>
      <m:oMath>
        <m:r>
          <m:t>t</m:t>
        </m:r>
      </m:oMath>
      <w:r>
        <w:rPr>
          <w:rFonts w:ascii="宋体" w:hAnsi="宋体" w:eastAsia="宋体"/>
          <w:sz w:val="24"/>
        </w:rPr>
        <w:t>年的标准需求指数，度量支撑该行业绿色转型所需要的标准体系完备程度；</w:t>
      </w:r>
      <m:oMath>
        <m:sSub>
          <m:e>
            <m:r>
              <m:t>R</m:t>
            </m:r>
          </m:e>
          <m:sub>
            <m:r>
              <m:t>k</m:t>
            </m:r>
            <m:r>
              <m:t>t</m:t>
            </m:r>
          </m:sub>
        </m:sSub>
        <m:r>
          <m:rPr>
            <m:sty m:val="p"/>
          </m:rPr>
          <m:t>∈</m:t>
        </m:r>
        <m:d>
          <m:dPr>
            <m:begChr m:val="["/>
            <m:sepChr m:val=""/>
            <m:endChr m:val="]"/>
            <m:grow/>
          </m:dPr>
          <m:e>
            <m:r>
              <m:t>0</m:t>
            </m:r>
            <m:r>
              <m:rPr>
                <m:sty m:val="p"/>
              </m:rPr>
              <m:t>,</m:t>
            </m:r>
            <m:r>
              <m:t>1</m:t>
            </m:r>
          </m:e>
        </m:d>
      </m:oMath>
      <w:r>
        <w:rPr>
          <w:rFonts w:ascii="宋体" w:hAnsi="宋体" w:eastAsia="宋体"/>
          <w:sz w:val="24"/>
        </w:rPr>
        <w:t>为对应的标准供给指数，度量实际可用标准对该行业的覆盖与严格程度。基于8.1.2节的论证，需求由四类驱动因素内生决定：</w:t>
      </w:r>
    </w:p>
    <w:p>
      <w:pPr>
        <w:tabs>
          <w:tab w:pos="4252" w:val="center"/>
          <w:tab w:pos="8504" w:val="right"/>
        </w:tabs>
        <w:spacing w:line="360" w:lineRule="auto" w:before="80" w:after="80"/>
      </w:pPr>
      <w:r>
        <w:tab/>
      </w:r>
      <m:oMath>
        <m:sSub>
          <m:e>
            <m:r>
              <m:t>D</m:t>
            </m:r>
          </m:e>
          <m:sub>
            <m:r>
              <m:t>k</m:t>
            </m:r>
            <m:r>
              <m:t>t</m:t>
            </m:r>
          </m:sub>
        </m:sSub>
        <m:r>
          <m:rPr>
            <m:sty m:val="p"/>
          </m:rPr>
          <m:t>=</m:t>
        </m:r>
        <m:r>
          <m:t>f</m:t>
        </m:r>
        <m:d>
          <m:dPr>
            <m:begChr m:val="("/>
            <m:sepChr m:val=""/>
            <m:endChr m:val=")"/>
            <m:grow/>
          </m:dPr>
          <m:e>
            <m:sSub>
              <m:e>
                <m:r>
                  <m:rPr>
                    <m:sty m:val="p"/>
                  </m:rPr>
                  <m:t>C</m:t>
                </m:r>
                <m:r>
                  <m:rPr>
                    <m:sty m:val="p"/>
                  </m:rPr>
                  <m:t>I</m:t>
                </m:r>
              </m:e>
              <m:sub>
                <m:r>
                  <m:t>k</m:t>
                </m:r>
                <m:r>
                  <m:t>t</m:t>
                </m:r>
              </m:sub>
            </m:sSub>
            <m:r>
              <m:rPr>
                <m:sty m:val="p"/>
              </m:rPr>
              <m:t>,</m:t>
            </m:r>
            <m:r>
              <m:t> </m:t>
            </m:r>
            <m:sSub>
              <m:e>
                <m:r>
                  <m:rPr>
                    <m:sty m:val="p"/>
                  </m:rPr>
                  <m:t>G</m:t>
                </m:r>
                <m:r>
                  <m:rPr>
                    <m:sty m:val="p"/>
                  </m:rPr>
                  <m:t>T</m:t>
                </m:r>
              </m:e>
              <m:sub>
                <m:r>
                  <m:t>k</m:t>
                </m:r>
                <m:r>
                  <m:t>t</m:t>
                </m:r>
              </m:sub>
            </m:sSub>
            <m:r>
              <m:rPr>
                <m:sty m:val="p"/>
              </m:rPr>
              <m:t>,</m:t>
            </m:r>
            <m:r>
              <m:t> </m:t>
            </m:r>
            <m:sSub>
              <m:e>
                <m:r>
                  <m:rPr>
                    <m:sty m:val="p"/>
                  </m:rPr>
                  <m:t>P</m:t>
                </m:r>
                <m:r>
                  <m:rPr>
                    <m:sty m:val="p"/>
                  </m:rPr>
                  <m:t>C</m:t>
                </m:r>
              </m:e>
              <m:sub>
                <m:r>
                  <m:t>k</m:t>
                </m:r>
                <m:r>
                  <m:t>t</m:t>
                </m:r>
              </m:sub>
            </m:sSub>
            <m:r>
              <m:rPr>
                <m:sty m:val="p"/>
              </m:rPr>
              <m:t>,</m:t>
            </m:r>
            <m:r>
              <m:t> </m:t>
            </m:r>
            <m:sSub>
              <m:e>
                <m:r>
                  <m:rPr>
                    <m:sty m:val="p"/>
                  </m:rPr>
                  <m:t>C</m:t>
                </m:r>
                <m:r>
                  <m:rPr>
                    <m:sty m:val="p"/>
                  </m:rPr>
                  <m:t>B</m:t>
                </m:r>
                <m:r>
                  <m:rPr>
                    <m:sty m:val="p"/>
                  </m:rPr>
                  <m:t>A</m:t>
                </m:r>
                <m:r>
                  <m:rPr>
                    <m:sty m:val="p"/>
                  </m:rPr>
                  <m:t>M</m:t>
                </m:r>
              </m:e>
              <m:sub>
                <m:r>
                  <m:t>k</m:t>
                </m:r>
                <m:r>
                  <m:t>t</m:t>
                </m:r>
              </m:sub>
            </m:sSub>
          </m:e>
        </m:d>
        <m:r>
          <m:rPr>
            <m:sty m:val="p"/>
          </m:rPr>
          <m:t>,</m:t>
        </m:r>
        <m:r>
          <m:t>  </m:t>
        </m:r>
        <m:f>
          <m:fPr>
            <m:type m:val="bar"/>
          </m:fPr>
          <m:num>
            <m:r>
              <m:rPr>
                <m:sty m:val="p"/>
              </m:rPr>
              <m:t>∂</m:t>
            </m:r>
            <m:r>
              <m:t>f</m:t>
            </m:r>
          </m:num>
          <m:den>
            <m:r>
              <m:rPr>
                <m:sty m:val="p"/>
              </m:rPr>
              <m:t>∂</m:t>
            </m:r>
            <m:r>
              <m:rPr>
                <m:sty m:val="p"/>
              </m:rPr>
              <m:t>C</m:t>
            </m:r>
            <m:r>
              <m:rPr>
                <m:sty m:val="p"/>
              </m:rPr>
              <m:t>I</m:t>
            </m:r>
          </m:den>
        </m:f>
        <m:r>
          <m:rPr>
            <m:sty m:val="p"/>
          </m:rPr>
          <m:t>&gt;</m:t>
        </m:r>
        <m:r>
          <m:t>0</m:t>
        </m:r>
        <m:r>
          <m:rPr>
            <m:sty m:val="p"/>
          </m:rPr>
          <m:t>,</m:t>
        </m:r>
        <m:r>
          <m:t> </m:t>
        </m:r>
        <m:f>
          <m:fPr>
            <m:type m:val="bar"/>
          </m:fPr>
          <m:num>
            <m:r>
              <m:rPr>
                <m:sty m:val="p"/>
              </m:rPr>
              <m:t>∂</m:t>
            </m:r>
            <m:r>
              <m:t>f</m:t>
            </m:r>
          </m:num>
          <m:den>
            <m:r>
              <m:rPr>
                <m:sty m:val="p"/>
              </m:rPr>
              <m:t>∂</m:t>
            </m:r>
            <m:r>
              <m:rPr>
                <m:sty m:val="p"/>
              </m:rPr>
              <m:t>G</m:t>
            </m:r>
            <m:r>
              <m:rPr>
                <m:sty m:val="p"/>
              </m:rPr>
              <m:t>T</m:t>
            </m:r>
          </m:den>
        </m:f>
        <m:r>
          <m:rPr>
            <m:sty m:val="p"/>
          </m:rPr>
          <m:t>&gt;</m:t>
        </m:r>
        <m:r>
          <m:t>0</m:t>
        </m:r>
        <m:r>
          <m:rPr>
            <m:sty m:val="p"/>
          </m:rPr>
          <m:t>,</m:t>
        </m:r>
        <m:r>
          <m:t> </m:t>
        </m:r>
        <m:f>
          <m:fPr>
            <m:type m:val="bar"/>
          </m:fPr>
          <m:num>
            <m:r>
              <m:rPr>
                <m:sty m:val="p"/>
              </m:rPr>
              <m:t>∂</m:t>
            </m:r>
            <m:r>
              <m:t>f</m:t>
            </m:r>
          </m:num>
          <m:den>
            <m:r>
              <m:rPr>
                <m:sty m:val="p"/>
              </m:rPr>
              <m:t>∂</m:t>
            </m:r>
            <m:r>
              <m:rPr>
                <m:sty m:val="p"/>
              </m:rPr>
              <m:t>P</m:t>
            </m:r>
            <m:r>
              <m:rPr>
                <m:sty m:val="p"/>
              </m:rPr>
              <m:t>C</m:t>
            </m:r>
          </m:den>
        </m:f>
        <m:r>
          <m:rPr>
            <m:sty m:val="p"/>
          </m:rPr>
          <m:t>&gt;</m:t>
        </m:r>
        <m:r>
          <m:t>0</m:t>
        </m:r>
        <m:r>
          <m:rPr>
            <m:sty m:val="p"/>
          </m:rPr>
          <m:t>,</m:t>
        </m:r>
        <m:r>
          <m:t> </m:t>
        </m:r>
        <m:f>
          <m:fPr>
            <m:type m:val="bar"/>
          </m:fPr>
          <m:num>
            <m:r>
              <m:rPr>
                <m:sty m:val="p"/>
              </m:rPr>
              <m:t>∂</m:t>
            </m:r>
            <m:r>
              <m:t>f</m:t>
            </m:r>
          </m:num>
          <m:den>
            <m:r>
              <m:rPr>
                <m:sty m:val="p"/>
              </m:rPr>
              <m:t>∂</m:t>
            </m:r>
            <m:r>
              <m:rPr>
                <m:sty m:val="p"/>
              </m:rPr>
              <m:t>C</m:t>
            </m:r>
            <m:r>
              <m:rPr>
                <m:sty m:val="p"/>
              </m:rPr>
              <m:t>B</m:t>
            </m:r>
            <m:r>
              <m:rPr>
                <m:sty m:val="p"/>
              </m:rPr>
              <m:t>A</m:t>
            </m:r>
            <m:r>
              <m:rPr>
                <m:sty m:val="p"/>
              </m:rPr>
              <m:t>M</m:t>
            </m:r>
          </m:den>
        </m:f>
        <m:r>
          <m:rPr>
            <m:sty m:val="p"/>
          </m:rPr>
          <m:t>&gt;</m:t>
        </m:r>
        <m:r>
          <m:t>0</m:t>
        </m:r>
      </m:oMath>
      <w:r>
        <w:tab/>
      </w:r>
      <w:r>
        <w:rPr>
          <w:rFonts w:ascii="Times New Roman" w:hAnsi="Times New Roman" w:eastAsia="宋体"/>
          <w:sz w:val="24"/>
        </w:rPr>
        <w:t>(8-1)</w:t>
      </w:r>
    </w:p>
    <w:p>
      <w:pPr>
        <w:spacing w:line="360" w:lineRule="auto" w:after="0"/>
        <w:jc w:val="both"/>
      </w:pPr>
      <w:r>
        <w:rPr>
          <w:rFonts w:ascii="宋体" w:hAnsi="宋体" w:eastAsia="宋体"/>
          <w:sz w:val="24"/>
        </w:rPr>
        <w:t>其中，</w:t>
      </w:r>
      <m:oMath>
        <m:sSub>
          <m:e>
            <m:r>
              <m:rPr>
                <m:sty m:val="p"/>
              </m:rPr>
              <m:t>C</m:t>
            </m:r>
            <m:r>
              <m:rPr>
                <m:sty m:val="p"/>
              </m:rPr>
              <m:t>I</m:t>
            </m:r>
          </m:e>
          <m:sub>
            <m:r>
              <m:t>k</m:t>
            </m:r>
            <m:r>
              <m:t>t</m:t>
            </m:r>
          </m:sub>
        </m:sSub>
      </m:oMath>
      <w:r>
        <w:rPr>
          <w:rFonts w:ascii="宋体" w:hAnsi="宋体" w:eastAsia="宋体"/>
          <w:sz w:val="24"/>
        </w:rPr>
        <w:t>为行业碳排放系数，</w:t>
      </w:r>
      <m:oMath>
        <m:sSub>
          <m:e>
            <m:r>
              <m:rPr>
                <m:sty m:val="p"/>
              </m:rPr>
              <m:t>G</m:t>
            </m:r>
            <m:r>
              <m:rPr>
                <m:sty m:val="p"/>
              </m:rPr>
              <m:t>T</m:t>
            </m:r>
          </m:e>
          <m:sub>
            <m:r>
              <m:t>k</m:t>
            </m:r>
            <m:r>
              <m:t>t</m:t>
            </m:r>
          </m:sub>
        </m:sSub>
      </m:oMath>
      <w:r>
        <w:rPr>
          <w:rFonts w:ascii="宋体" w:hAnsi="宋体" w:eastAsia="宋体"/>
          <w:sz w:val="24"/>
        </w:rPr>
        <w:t>为绿色转型进程，</w:t>
      </w:r>
      <m:oMath>
        <m:sSub>
          <m:e>
            <m:r>
              <m:rPr>
                <m:sty m:val="p"/>
              </m:rPr>
              <m:t>P</m:t>
            </m:r>
            <m:r>
              <m:rPr>
                <m:sty m:val="p"/>
              </m:rPr>
              <m:t>C</m:t>
            </m:r>
          </m:e>
          <m:sub>
            <m:r>
              <m:t>k</m:t>
            </m:r>
            <m:r>
              <m:t>t</m:t>
            </m:r>
          </m:sub>
        </m:sSub>
      </m:oMath>
      <w:r>
        <w:rPr>
          <w:rFonts w:ascii="宋体" w:hAnsi="宋体" w:eastAsia="宋体"/>
          <w:sz w:val="24"/>
        </w:rPr>
        <w:t>为减排约束强度，</w:t>
      </w:r>
      <m:oMath>
        <m:sSub>
          <m:e>
            <m:r>
              <m:rPr>
                <m:sty m:val="p"/>
              </m:rPr>
              <m:t>C</m:t>
            </m:r>
            <m:r>
              <m:rPr>
                <m:sty m:val="p"/>
              </m:rPr>
              <m:t>B</m:t>
            </m:r>
            <m:r>
              <m:rPr>
                <m:sty m:val="p"/>
              </m:rPr>
              <m:t>A</m:t>
            </m:r>
            <m:r>
              <m:rPr>
                <m:sty m:val="p"/>
              </m:rPr>
              <m:t>M</m:t>
            </m:r>
          </m:e>
          <m:sub>
            <m:r>
              <m:t>k</m:t>
            </m:r>
            <m:r>
              <m:t>t</m:t>
            </m:r>
          </m:sub>
        </m:sSub>
      </m:oMath>
      <w:r>
        <w:rPr>
          <w:rFonts w:ascii="宋体" w:hAnsi="宋体" w:eastAsia="宋体"/>
          <w:sz w:val="24"/>
        </w:rPr>
        <w:t>为欧盟碳边境调节机制压力；四个偏导数均为正，即需求随排放属性、转型进程、政策约束与国际规制的增强而扩张。</w:t>
      </w:r>
    </w:p>
    <w:p>
      <w:pPr>
        <w:spacing w:line="360" w:lineRule="auto" w:after="0"/>
        <w:ind w:firstLineChars="200" w:firstLine="480"/>
        <w:jc w:val="both"/>
      </w:pPr>
      <w:r>
        <w:rPr>
          <w:rFonts w:ascii="宋体" w:hAnsi="宋体" w:eastAsia="宋体"/>
          <w:sz w:val="24"/>
        </w:rPr>
        <w:t>式(8-1)的四个自变量在时间维度上的作用节奏并不相同。碳排放系数是慢变量，由行业的工艺结构与能源结构决定，其跨行业差异远大于时序变化，主要解释需求水平的行业间分布；绿色转型进程是趋势变量，随技术扩散与投资积累平稳上行；减排约束与CBAM压力则是阶梯变量，随政策节点跳跃抬升——2020年“双碳”目标宣示、2023年欧盟碳边境调节机制立法生效并于当年10月进入过渡期、2026年起正式征收，都在需求路径上留下台阶状印记。快慢变量的叠加，决定了需求既有稳定的行业格局，又有明确的加速拐点，这一特征将在错配测算结果中得到印证。</w:t>
      </w:r>
    </w:p>
    <w:p>
      <w:pPr>
        <w:keepNext/>
        <w:spacing w:before="160" w:after="120" w:line="360" w:lineRule="auto"/>
        <w:outlineLvl w:val="2"/>
      </w:pPr>
      <w:r>
        <w:rPr>
          <w:rFonts w:ascii="黑体" w:hAnsi="黑体" w:eastAsia="黑体"/>
          <w:sz w:val="24"/>
        </w:rPr>
        <w:t>8.2.2  供给的同口径度量</w:t>
      </w:r>
    </w:p>
    <w:p>
      <w:pPr>
        <w:spacing w:line="360" w:lineRule="auto" w:after="0"/>
        <w:ind w:firstLineChars="200" w:firstLine="480"/>
        <w:jc w:val="both"/>
      </w:pPr>
      <w:r>
        <w:rPr>
          <w:rFonts w:ascii="宋体" w:hAnsi="宋体" w:eastAsia="宋体"/>
          <w:sz w:val="24"/>
        </w:rPr>
        <w:t>供给度量沿用第4章标准文本数据库与第5章标准指数的同一口径，以保证全书数据体系的一致性。对数据库中约4700项标准条目，先按其规范对象与适用范围建立“标准—行业”适用性映射，再在行业内按五大功能模块分别合成技术严格程度与覆盖完整性的乘积指数，最后以模块对行业</w:t>
      </w:r>
      <m:oMath>
        <m:r>
          <m:t>k</m:t>
        </m:r>
      </m:oMath>
      <w:r>
        <w:rPr>
          <w:rFonts w:ascii="宋体" w:hAnsi="宋体" w:eastAsia="宋体"/>
          <w:sz w:val="24"/>
        </w:rPr>
        <w:t>的适用权重</w:t>
      </w:r>
      <m:oMath>
        <m:sSub>
          <m:e>
            <m:r>
              <m:t>θ</m:t>
            </m:r>
          </m:e>
          <m:sub>
            <m:r>
              <m:t>k</m:t>
            </m:r>
            <m:r>
              <m:t>i</m:t>
            </m:r>
          </m:sub>
        </m:sSub>
      </m:oMath>
      <w:r>
        <w:rPr>
          <w:rFonts w:ascii="宋体" w:hAnsi="宋体" w:eastAsia="宋体"/>
          <w:sz w:val="24"/>
        </w:rPr>
        <w:t>加权汇总为行业供给指数</w:t>
      </w:r>
      <m:oMath>
        <m:sSub>
          <m:e>
            <m:r>
              <m:t>R</m:t>
            </m:r>
          </m:e>
          <m:sub>
            <m:r>
              <m:t>k</m:t>
            </m:r>
            <m:r>
              <m:t>t</m:t>
            </m:r>
          </m:sub>
        </m:sSub>
        <m:r>
          <m:rPr>
            <m:sty m:val="p"/>
          </m:rPr>
          <m:t>=</m:t>
        </m:r>
        <m:nary>
          <m:naryPr>
            <m:chr m:val="∑"/>
            <m:limLoc m:val="undOvr"/>
            <m:subHide m:val="off"/>
            <m:supHide m:val="off"/>
          </m:naryPr>
          <m:sub>
            <m:r>
              <m:t>i</m:t>
            </m:r>
            <m:r>
              <m:rPr>
                <m:sty m:val="p"/>
              </m:rPr>
              <m:t>=</m:t>
            </m:r>
            <m:r>
              <m:t>1</m:t>
            </m:r>
          </m:sub>
          <m:sup>
            <m:r>
              <m:t>5</m:t>
            </m:r>
          </m:sup>
          <m:e>
            <m:sSub>
              <m:e>
                <m:r>
                  <m:t>θ</m:t>
                </m:r>
              </m:e>
              <m:sub>
                <m:r>
                  <m:t>k</m:t>
                </m:r>
                <m:r>
                  <m:t>i</m:t>
                </m:r>
              </m:sub>
            </m:sSub>
          </m:e>
        </m:nary>
        <m:sSubSup>
          <m:e>
            <m:r>
              <m:t>S</m:t>
            </m:r>
          </m:e>
          <m:sub>
            <m:r>
              <m:t>i</m:t>
            </m:r>
            <m:r>
              <m:t>t</m:t>
            </m:r>
          </m:sub>
          <m:sup>
            <m:d>
              <m:dPr>
                <m:begChr m:val="("/>
                <m:sepChr m:val=""/>
                <m:endChr m:val=")"/>
                <m:grow/>
              </m:dPr>
              <m:e>
                <m:r>
                  <m:t>k</m:t>
                </m:r>
              </m:e>
            </m:d>
          </m:sup>
        </m:sSubSup>
      </m:oMath>
      <w:r>
        <w:rPr>
          <w:rFonts w:ascii="宋体" w:hAnsi="宋体" w:eastAsia="宋体"/>
          <w:sz w:val="24"/>
        </w:rPr>
        <w:t>，其中</w:t>
      </w:r>
      <m:oMath>
        <m:sSubSup>
          <m:e>
            <m:r>
              <m:t>S</m:t>
            </m:r>
          </m:e>
          <m:sub>
            <m:r>
              <m:t>i</m:t>
            </m:r>
            <m:r>
              <m:t>t</m:t>
            </m:r>
          </m:sub>
          <m:sup>
            <m:d>
              <m:dPr>
                <m:begChr m:val="("/>
                <m:sepChr m:val=""/>
                <m:endChr m:val=")"/>
                <m:grow/>
              </m:dPr>
              <m:e>
                <m:r>
                  <m:t>k</m:t>
                </m:r>
              </m:e>
            </m:d>
          </m:sup>
        </m:sSubSup>
      </m:oMath>
      <w:r>
        <w:rPr>
          <w:rFonts w:ascii="宋体" w:hAnsi="宋体" w:eastAsia="宋体"/>
          <w:sz w:val="24"/>
        </w:rPr>
        <w:t>为适用于行业</w:t>
      </w:r>
      <m:oMath>
        <m:r>
          <m:t>k</m:t>
        </m:r>
      </m:oMath>
      <w:r>
        <w:rPr>
          <w:rFonts w:ascii="宋体" w:hAnsi="宋体" w:eastAsia="宋体"/>
          <w:sz w:val="24"/>
        </w:rPr>
        <w:t>的第</w:t>
      </w:r>
      <m:oMath>
        <m:r>
          <m:t>i</m:t>
        </m:r>
      </m:oMath>
      <w:r>
        <w:rPr>
          <w:rFonts w:ascii="宋体" w:hAnsi="宋体" w:eastAsia="宋体"/>
          <w:sz w:val="24"/>
        </w:rPr>
        <w:t>类功能模块标准子指数。适用权重依据行业排放结构与转型特征确定：电解铝的碳足迹认证权重较高，电力行业的碳排放核算权重较高，建筑建材行业的绿色产品权重较高。这一处理确保供给度量与需求度量在行业颗粒度上严格对应，避免以全国总量供给对照行业需求所导致的错配系统性低估。</w:t>
      </w:r>
    </w:p>
    <w:p>
      <w:pPr>
        <w:spacing w:line="360" w:lineRule="auto" w:after="0"/>
        <w:ind w:firstLineChars="200" w:firstLine="480"/>
        <w:jc w:val="both"/>
      </w:pPr>
      <w:r>
        <w:rPr>
          <w:rFonts w:ascii="宋体" w:hAnsi="宋体" w:eastAsia="宋体"/>
          <w:sz w:val="24"/>
        </w:rPr>
        <w:t>图8.1给出了本章测算框架的完整逻辑。由图8.1可见，框架由三个环节构成：左侧为需求内生建模环节，四类驱动因素——碳排放系数、绿色转型进程、减排约束与CBAM压力——经式(8-1)映射为行业标准需求指数，8.4节的面板回归为这一映射提供参数校准与统计检验；右侧为供给量化环节，标准文本数据库经“标准—行业”适用性映射与模块加权，生成与需求同口径的行业供给指数；中间为错配测算环节，供需对比生成行业错配指数，经碳排放权重加权得到综合错配指数，并可下钻至功能模块层面形成结构诊断。框架输出两类结果：行业与年份维度的错配动态（8.5节）与模块维度的结构短板（8.6节），二者分别为第9章体系架构的行业重点安排与横向补短板设计提供需求侧依据。</w:t>
      </w:r>
    </w:p>
    <w:p>
      <w:pPr>
        <w:spacing w:before="120" w:after="40"/>
        <w:jc w:val="center"/>
      </w:pPr>
      <w:r>
        <w:drawing>
          <wp:inline xmlns:a="http://schemas.openxmlformats.org/drawingml/2006/main" xmlns:pic="http://schemas.openxmlformats.org/drawingml/2006/picture">
            <wp:extent cx="4860000" cy="2848114"/>
            <wp:docPr id="25" name="Picture 25"/>
            <wp:cNvGraphicFramePr>
              <a:graphicFrameLocks noChangeAspect="1"/>
            </wp:cNvGraphicFramePr>
            <a:graphic>
              <a:graphicData uri="http://schemas.openxmlformats.org/drawingml/2006/picture">
                <pic:pic>
                  <pic:nvPicPr>
                    <pic:cNvPr id="0" name="fig8_1.png"/>
                    <pic:cNvPicPr/>
                  </pic:nvPicPr>
                  <pic:blipFill>
                    <a:blip r:embed="rId33"/>
                    <a:stretch>
                      <a:fillRect/>
                    </a:stretch>
                  </pic:blipFill>
                  <pic:spPr>
                    <a:xfrm>
                      <a:off x="0" y="0"/>
                      <a:ext cx="4860000" cy="2848114"/>
                    </a:xfrm>
                    <a:prstGeom prst="rect"/>
                  </pic:spPr>
                </pic:pic>
              </a:graphicData>
            </a:graphic>
          </wp:inline>
        </w:drawing>
      </w:r>
    </w:p>
    <w:p>
      <w:pPr>
        <w:keepNext w:val="0"/>
        <w:spacing w:after="200"/>
        <w:jc w:val="center"/>
      </w:pPr>
      <w:r>
        <w:rPr>
          <w:rFonts w:ascii="黑体" w:hAnsi="黑体" w:eastAsia="黑体"/>
          <w:sz w:val="21"/>
        </w:rPr>
        <w:t>图8.1  标准供需动态错配测算框架（SSDMI）</w:t>
      </w:r>
    </w:p>
    <w:p>
      <w:pPr>
        <w:keepNext/>
        <w:spacing w:before="160" w:after="120" w:line="360" w:lineRule="auto"/>
        <w:outlineLvl w:val="2"/>
      </w:pPr>
      <w:r>
        <w:rPr>
          <w:rFonts w:ascii="黑体" w:hAnsi="黑体" w:eastAsia="黑体"/>
          <w:sz w:val="24"/>
        </w:rPr>
        <w:t>8.2.3  错配指数的构造</w:t>
      </w:r>
    </w:p>
    <w:p>
      <w:pPr>
        <w:spacing w:line="360" w:lineRule="auto" w:after="0"/>
        <w:ind w:firstLineChars="200" w:firstLine="480"/>
        <w:jc w:val="both"/>
      </w:pPr>
      <w:r>
        <w:rPr>
          <w:rFonts w:ascii="宋体" w:hAnsi="宋体" w:eastAsia="宋体"/>
          <w:sz w:val="24"/>
        </w:rPr>
        <w:t>在需求与供给分别量化的基础上，定义行业</w:t>
      </w:r>
      <m:oMath>
        <m:r>
          <m:t>k</m:t>
        </m:r>
      </m:oMath>
      <w:r>
        <w:rPr>
          <w:rFonts w:ascii="宋体" w:hAnsi="宋体" w:eastAsia="宋体"/>
          <w:sz w:val="24"/>
        </w:rPr>
        <w:t>第</w:t>
      </w:r>
      <m:oMath>
        <m:r>
          <m:t>t</m:t>
        </m:r>
      </m:oMath>
      <w:r>
        <w:rPr>
          <w:rFonts w:ascii="宋体" w:hAnsi="宋体" w:eastAsia="宋体"/>
          <w:sz w:val="24"/>
        </w:rPr>
        <w:t>年的标准供需动态错配指数：</w:t>
      </w:r>
    </w:p>
    <w:p>
      <w:pPr>
        <w:tabs>
          <w:tab w:pos="4252" w:val="center"/>
          <w:tab w:pos="8504" w:val="right"/>
        </w:tabs>
        <w:spacing w:line="360" w:lineRule="auto" w:before="80" w:after="80"/>
      </w:pPr>
      <w:r>
        <w:tab/>
      </w:r>
      <m:oMath>
        <m:sSub>
          <m:e>
            <m:r>
              <m:rPr>
                <m:sty m:val="p"/>
              </m:rPr>
              <m:t>S</m:t>
            </m:r>
            <m:r>
              <m:rPr>
                <m:sty m:val="p"/>
              </m:rPr>
              <m:t>S</m:t>
            </m:r>
            <m:r>
              <m:rPr>
                <m:sty m:val="p"/>
              </m:rPr>
              <m:t>D</m:t>
            </m:r>
            <m:r>
              <m:rPr>
                <m:sty m:val="p"/>
              </m:rPr>
              <m:t>M</m:t>
            </m:r>
            <m:r>
              <m:rPr>
                <m:sty m:val="p"/>
              </m:rPr>
              <m:t>I</m:t>
            </m:r>
          </m:e>
          <m:sub>
            <m:r>
              <m:t>k</m:t>
            </m:r>
            <m:r>
              <m:t>t</m:t>
            </m:r>
          </m:sub>
        </m:sSub>
        <m:r>
          <m:rPr>
            <m:sty m:val="p"/>
          </m:rPr>
          <m:t>=</m:t>
        </m:r>
        <m:f>
          <m:fPr>
            <m:type m:val="bar"/>
          </m:fPr>
          <m:num>
            <m:sSub>
              <m:e>
                <m:r>
                  <m:t>D</m:t>
                </m:r>
              </m:e>
              <m:sub>
                <m:r>
                  <m:t>k</m:t>
                </m:r>
                <m:r>
                  <m:t>t</m:t>
                </m:r>
              </m:sub>
            </m:sSub>
            <m:r>
              <m:rPr>
                <m:sty m:val="p"/>
              </m:rPr>
              <m:t>−</m:t>
            </m:r>
            <m:sSub>
              <m:e>
                <m:r>
                  <m:t>R</m:t>
                </m:r>
              </m:e>
              <m:sub>
                <m:r>
                  <m:t>k</m:t>
                </m:r>
                <m:r>
                  <m:t>t</m:t>
                </m:r>
              </m:sub>
            </m:sSub>
          </m:num>
          <m:den>
            <m:sSub>
              <m:e>
                <m:r>
                  <m:t>D</m:t>
                </m:r>
              </m:e>
              <m:sub>
                <m:r>
                  <m:t>k</m:t>
                </m:r>
                <m:r>
                  <m:t>t</m:t>
                </m:r>
              </m:sub>
            </m:sSub>
          </m:den>
        </m:f>
      </m:oMath>
      <w:r>
        <w:tab/>
      </w:r>
      <w:r>
        <w:rPr>
          <w:rFonts w:ascii="Times New Roman" w:hAnsi="Times New Roman" w:eastAsia="宋体"/>
          <w:sz w:val="24"/>
        </w:rPr>
        <w:t>(8-2)</w:t>
      </w:r>
    </w:p>
    <w:p>
      <w:pPr>
        <w:spacing w:line="360" w:lineRule="auto" w:after="0"/>
        <w:jc w:val="both"/>
      </w:pPr>
      <w:r>
        <w:rPr>
          <w:rFonts w:ascii="宋体" w:hAnsi="宋体" w:eastAsia="宋体"/>
          <w:sz w:val="24"/>
        </w:rPr>
        <w:t>其中，分子</w:t>
      </w:r>
      <m:oMath>
        <m:sSub>
          <m:e>
            <m:r>
              <m:t>D</m:t>
            </m:r>
          </m:e>
          <m:sub>
            <m:r>
              <m:t>k</m:t>
            </m:r>
            <m:r>
              <m:t>t</m:t>
            </m:r>
          </m:sub>
        </m:sSub>
        <m:r>
          <m:rPr>
            <m:sty m:val="p"/>
          </m:rPr>
          <m:t>−</m:t>
        </m:r>
        <m:sSub>
          <m:e>
            <m:r>
              <m:t>R</m:t>
            </m:r>
          </m:e>
          <m:sub>
            <m:r>
              <m:t>k</m:t>
            </m:r>
            <m:r>
              <m:t>t</m:t>
            </m:r>
          </m:sub>
        </m:sSub>
      </m:oMath>
      <w:r>
        <w:rPr>
          <w:rFonts w:ascii="宋体" w:hAnsi="宋体" w:eastAsia="宋体"/>
          <w:sz w:val="24"/>
        </w:rPr>
        <w:t>为供需绝对缺口，分母</w:t>
      </w:r>
      <m:oMath>
        <m:sSub>
          <m:e>
            <m:r>
              <m:t>D</m:t>
            </m:r>
          </m:e>
          <m:sub>
            <m:r>
              <m:t>k</m:t>
            </m:r>
            <m:r>
              <m:t>t</m:t>
            </m:r>
          </m:sub>
        </m:sSub>
      </m:oMath>
      <w:r>
        <w:rPr>
          <w:rFonts w:ascii="宋体" w:hAnsi="宋体" w:eastAsia="宋体"/>
          <w:sz w:val="24"/>
        </w:rPr>
        <w:t>将缺口标准化为需求的比例。</w:t>
      </w:r>
    </w:p>
    <w:p>
      <w:pPr>
        <w:spacing w:line="360" w:lineRule="auto" w:after="0"/>
        <w:ind w:firstLineChars="200" w:firstLine="480"/>
        <w:jc w:val="both"/>
      </w:pPr>
      <w:r>
        <w:rPr>
          <w:rFonts w:ascii="宋体" w:hAnsi="宋体" w:eastAsia="宋体"/>
          <w:sz w:val="24"/>
        </w:rPr>
        <w:t>以需求为分母而非以供给或供需均值为分母，包含明确的方法论立场：需求是评价供给的标尺，错配度量的是“需求被满足程度”的补数。指数取值于</w:t>
      </w:r>
      <m:oMath>
        <m:r>
          <m:rPr>
            <m:sty m:val="p"/>
          </m:rPr>
          <m:t>(</m:t>
        </m:r>
        <m:r>
          <m:rPr>
            <m:sty m:val="p"/>
          </m:rPr>
          <m:t>−</m:t>
        </m:r>
        <m:r>
          <m:rPr>
            <m:sty m:val="p"/>
          </m:rPr>
          <m:t>∞</m:t>
        </m:r>
        <m:r>
          <m:rPr>
            <m:sty m:val="p"/>
          </m:rPr>
          <m:t>,</m:t>
        </m:r>
        <m:r>
          <m:t>1</m:t>
        </m:r>
        <m:r>
          <m:rPr>
            <m:sty m:val="p"/>
          </m:rPr>
          <m:t>]</m:t>
        </m:r>
      </m:oMath>
      <w:r>
        <w:rPr>
          <w:rFonts w:ascii="宋体" w:hAnsi="宋体" w:eastAsia="宋体"/>
          <w:sz w:val="24"/>
        </w:rPr>
        <w:t>：等于0表示供需恰好匹配；大于0表示短缺性错配，数值即为未被满足的需求份额，例如0.4意味着行业四成的真实标准需求无标可循或有标不适；小于0表示冗余性错配，供给超出真实需要，超出部分对应重复建设与合规负担。指数无量纲，可跨行业、跨年份直接比较，这是后文热力图与动态分析得以成立的前提。</w:t>
      </w:r>
    </w:p>
    <w:p>
      <w:pPr>
        <w:spacing w:line="360" w:lineRule="auto" w:after="0"/>
        <w:ind w:firstLineChars="200" w:firstLine="480"/>
        <w:jc w:val="both"/>
      </w:pPr>
      <w:r>
        <w:rPr>
          <w:rFonts w:ascii="宋体" w:hAnsi="宋体" w:eastAsia="宋体"/>
          <w:sz w:val="24"/>
        </w:rPr>
        <w:t>短缺与冗余的政策含义截然不同，加总时须防止相互抵消。为此将指数分解为短缺分量与冗余分量：</w:t>
      </w:r>
    </w:p>
    <w:p>
      <w:pPr>
        <w:tabs>
          <w:tab w:pos="4252" w:val="center"/>
          <w:tab w:pos="8504" w:val="right"/>
        </w:tabs>
        <w:spacing w:line="360" w:lineRule="auto" w:before="80" w:after="80"/>
      </w:pPr>
      <w:r>
        <w:tab/>
      </w:r>
      <m:oMath>
        <m:sSubSup>
          <m:e>
            <m:r>
              <m:rPr>
                <m:sty m:val="p"/>
              </m:rPr>
              <m:t>S</m:t>
            </m:r>
            <m:r>
              <m:rPr>
                <m:sty m:val="p"/>
              </m:rPr>
              <m:t>S</m:t>
            </m:r>
            <m:r>
              <m:rPr>
                <m:sty m:val="p"/>
              </m:rPr>
              <m:t>D</m:t>
            </m:r>
            <m:r>
              <m:rPr>
                <m:sty m:val="p"/>
              </m:rPr>
              <m:t>M</m:t>
            </m:r>
            <m:r>
              <m:rPr>
                <m:sty m:val="p"/>
              </m:rPr>
              <m:t>I</m:t>
            </m:r>
          </m:e>
          <m:sub>
            <m:r>
              <m:t>k</m:t>
            </m:r>
            <m:r>
              <m:t>t</m:t>
            </m:r>
          </m:sub>
          <m:sup>
            <m:r>
              <m:rPr>
                <m:sty m:val="p"/>
              </m:rPr>
              <m:t>+</m:t>
            </m:r>
          </m:sup>
        </m:sSubSup>
        <m:r>
          <m:rPr>
            <m:sty m:val="p"/>
          </m:rPr>
          <m:t>=</m:t>
        </m:r>
        <m:r>
          <m:rPr>
            <m:sty m:val="p"/>
          </m:rPr>
          <m:t>max</m:t>
        </m:r>
        <m:d>
          <m:dPr>
            <m:begChr m:val="("/>
            <m:sepChr m:val=""/>
            <m:endChr m:val=")"/>
            <m:grow/>
          </m:dPr>
          <m:e>
            <m:sSub>
              <m:e>
                <m:r>
                  <m:rPr>
                    <m:sty m:val="p"/>
                  </m:rPr>
                  <m:t>S</m:t>
                </m:r>
                <m:r>
                  <m:rPr>
                    <m:sty m:val="p"/>
                  </m:rPr>
                  <m:t>S</m:t>
                </m:r>
                <m:r>
                  <m:rPr>
                    <m:sty m:val="p"/>
                  </m:rPr>
                  <m:t>D</m:t>
                </m:r>
                <m:r>
                  <m:rPr>
                    <m:sty m:val="p"/>
                  </m:rPr>
                  <m:t>M</m:t>
                </m:r>
                <m:r>
                  <m:rPr>
                    <m:sty m:val="p"/>
                  </m:rPr>
                  <m:t>I</m:t>
                </m:r>
              </m:e>
              <m:sub>
                <m:r>
                  <m:t>k</m:t>
                </m:r>
                <m:r>
                  <m:t>t</m:t>
                </m:r>
              </m:sub>
            </m:sSub>
            <m:r>
              <m:rPr>
                <m:sty m:val="p"/>
              </m:rPr>
              <m:t>,</m:t>
            </m:r>
            <m:r>
              <m:t> </m:t>
            </m:r>
            <m:r>
              <m:t>0</m:t>
            </m:r>
          </m:e>
        </m:d>
        <m:r>
          <m:rPr>
            <m:sty m:val="p"/>
          </m:rPr>
          <m:t>,</m:t>
        </m:r>
        <m:r>
          <m:t>  </m:t>
        </m:r>
        <m:sSubSup>
          <m:e>
            <m:r>
              <m:rPr>
                <m:sty m:val="p"/>
              </m:rPr>
              <m:t>S</m:t>
            </m:r>
            <m:r>
              <m:rPr>
                <m:sty m:val="p"/>
              </m:rPr>
              <m:t>S</m:t>
            </m:r>
            <m:r>
              <m:rPr>
                <m:sty m:val="p"/>
              </m:rPr>
              <m:t>D</m:t>
            </m:r>
            <m:r>
              <m:rPr>
                <m:sty m:val="p"/>
              </m:rPr>
              <m:t>M</m:t>
            </m:r>
            <m:r>
              <m:rPr>
                <m:sty m:val="p"/>
              </m:rPr>
              <m:t>I</m:t>
            </m:r>
          </m:e>
          <m:sub>
            <m:r>
              <m:t>k</m:t>
            </m:r>
            <m:r>
              <m:t>t</m:t>
            </m:r>
          </m:sub>
          <m:sup>
            <m:r>
              <m:rPr>
                <m:sty m:val="p"/>
              </m:rPr>
              <m:t>−</m:t>
            </m:r>
          </m:sup>
        </m:sSubSup>
        <m:r>
          <m:rPr>
            <m:sty m:val="p"/>
          </m:rPr>
          <m:t>=</m:t>
        </m:r>
        <m:r>
          <m:rPr>
            <m:sty m:val="p"/>
          </m:rPr>
          <m:t>min</m:t>
        </m:r>
        <m:d>
          <m:dPr>
            <m:begChr m:val="("/>
            <m:sepChr m:val=""/>
            <m:endChr m:val=")"/>
            <m:grow/>
          </m:dPr>
          <m:e>
            <m:sSub>
              <m:e>
                <m:r>
                  <m:rPr>
                    <m:sty m:val="p"/>
                  </m:rPr>
                  <m:t>S</m:t>
                </m:r>
                <m:r>
                  <m:rPr>
                    <m:sty m:val="p"/>
                  </m:rPr>
                  <m:t>S</m:t>
                </m:r>
                <m:r>
                  <m:rPr>
                    <m:sty m:val="p"/>
                  </m:rPr>
                  <m:t>D</m:t>
                </m:r>
                <m:r>
                  <m:rPr>
                    <m:sty m:val="p"/>
                  </m:rPr>
                  <m:t>M</m:t>
                </m:r>
                <m:r>
                  <m:rPr>
                    <m:sty m:val="p"/>
                  </m:rPr>
                  <m:t>I</m:t>
                </m:r>
              </m:e>
              <m:sub>
                <m:r>
                  <m:t>k</m:t>
                </m:r>
                <m:r>
                  <m:t>t</m:t>
                </m:r>
              </m:sub>
            </m:sSub>
            <m:r>
              <m:rPr>
                <m:sty m:val="p"/>
              </m:rPr>
              <m:t>,</m:t>
            </m:r>
            <m:r>
              <m:t> </m:t>
            </m:r>
            <m:r>
              <m:t>0</m:t>
            </m:r>
          </m:e>
        </m:d>
      </m:oMath>
      <w:r>
        <w:tab/>
      </w:r>
      <w:r>
        <w:rPr>
          <w:rFonts w:ascii="Times New Roman" w:hAnsi="Times New Roman" w:eastAsia="宋体"/>
          <w:sz w:val="24"/>
        </w:rPr>
        <w:t>(8-3)</w:t>
      </w:r>
    </w:p>
    <w:p>
      <w:pPr>
        <w:spacing w:line="360" w:lineRule="auto" w:after="0"/>
        <w:ind w:firstLineChars="200" w:firstLine="480"/>
        <w:jc w:val="both"/>
      </w:pPr>
      <w:r>
        <w:rPr>
          <w:rFonts w:ascii="宋体" w:hAnsi="宋体" w:eastAsia="宋体"/>
          <w:sz w:val="24"/>
        </w:rPr>
        <w:t>其中，短缺分量度量“补短板”的任务量，冗余分量度量“清理整合”的任务量。样本期内八大高碳行业的行业层面指数均为正——高碳行业整体处于标准短缺状态——但这一分解在模块层面并非多余：8.6节将表明，绿色产品模块的缺口已逼近零值边缘，若供给惯性延续，冗余性错配将从理论可能变为现实。</w:t>
      </w:r>
    </w:p>
    <w:p>
      <w:pPr>
        <w:keepNext/>
        <w:spacing w:before="160" w:after="120" w:line="360" w:lineRule="auto"/>
        <w:outlineLvl w:val="2"/>
      </w:pPr>
      <w:r>
        <w:rPr>
          <w:rFonts w:ascii="黑体" w:hAnsi="黑体" w:eastAsia="黑体"/>
          <w:sz w:val="24"/>
        </w:rPr>
        <w:t>8.2.4  碳排放加权的综合错配指数</w:t>
      </w:r>
    </w:p>
    <w:p>
      <w:pPr>
        <w:spacing w:line="360" w:lineRule="auto" w:after="0"/>
        <w:ind w:firstLineChars="200" w:firstLine="480"/>
        <w:jc w:val="both"/>
      </w:pPr>
      <w:r>
        <w:rPr>
          <w:rFonts w:ascii="宋体" w:hAnsi="宋体" w:eastAsia="宋体"/>
          <w:sz w:val="24"/>
        </w:rPr>
        <w:t>行业错配指数刻画分布，政策评估还需要一个总量刻画。综合的关键在权重的选择：</w:t>
      </w:r>
    </w:p>
    <w:p>
      <w:pPr>
        <w:tabs>
          <w:tab w:pos="4252" w:val="center"/>
          <w:tab w:pos="8504" w:val="right"/>
        </w:tabs>
        <w:spacing w:line="360" w:lineRule="auto" w:before="80" w:after="80"/>
      </w:pPr>
      <w:r>
        <w:tab/>
      </w:r>
      <m:oMath>
        <m:sSubSup>
          <m:e>
            <m:r>
              <m:rPr>
                <m:sty m:val="p"/>
              </m:rPr>
              <m:t>S</m:t>
            </m:r>
            <m:r>
              <m:rPr>
                <m:sty m:val="p"/>
              </m:rPr>
              <m:t>S</m:t>
            </m:r>
            <m:r>
              <m:rPr>
                <m:sty m:val="p"/>
              </m:rPr>
              <m:t>D</m:t>
            </m:r>
            <m:r>
              <m:rPr>
                <m:sty m:val="p"/>
              </m:rPr>
              <m:t>M</m:t>
            </m:r>
            <m:r>
              <m:rPr>
                <m:sty m:val="p"/>
              </m:rPr>
              <m:t>I</m:t>
            </m:r>
          </m:e>
          <m:sub>
            <m:r>
              <m:t>t</m:t>
            </m:r>
          </m:sub>
          <m:sup>
            <m:r>
              <m:t>w</m:t>
            </m:r>
          </m:sup>
        </m:sSubSup>
        <m:r>
          <m:rPr>
            <m:sty m:val="p"/>
          </m:rPr>
          <m:t>=</m:t>
        </m:r>
        <m:nary>
          <m:naryPr>
            <m:chr m:val="∑"/>
            <m:limLoc m:val="undOvr"/>
            <m:subHide m:val="off"/>
            <m:supHide m:val="off"/>
          </m:naryPr>
          <m:sub>
            <m:r>
              <m:t>k</m:t>
            </m:r>
            <m:r>
              <m:rPr>
                <m:sty m:val="p"/>
              </m:rPr>
              <m:t>=</m:t>
            </m:r>
            <m:r>
              <m:t>1</m:t>
            </m:r>
          </m:sub>
          <m:sup>
            <m:r>
              <m:t>8</m:t>
            </m:r>
          </m:sup>
          <m:e>
            <m:sSub>
              <m:e>
                <m:r>
                  <m:t>w</m:t>
                </m:r>
              </m:e>
              <m:sub>
                <m:r>
                  <m:t>k</m:t>
                </m:r>
                <m:r>
                  <m:t>t</m:t>
                </m:r>
              </m:sub>
            </m:sSub>
          </m:e>
        </m:nary>
        <m:r>
          <m:t> </m:t>
        </m:r>
        <m:sSub>
          <m:e>
            <m:r>
              <m:rPr>
                <m:sty m:val="p"/>
              </m:rPr>
              <m:t>S</m:t>
            </m:r>
            <m:r>
              <m:rPr>
                <m:sty m:val="p"/>
              </m:rPr>
              <m:t>S</m:t>
            </m:r>
            <m:r>
              <m:rPr>
                <m:sty m:val="p"/>
              </m:rPr>
              <m:t>D</m:t>
            </m:r>
            <m:r>
              <m:rPr>
                <m:sty m:val="p"/>
              </m:rPr>
              <m:t>M</m:t>
            </m:r>
            <m:r>
              <m:rPr>
                <m:sty m:val="p"/>
              </m:rPr>
              <m:t>I</m:t>
            </m:r>
          </m:e>
          <m:sub>
            <m:r>
              <m:t>k</m:t>
            </m:r>
            <m:r>
              <m:t>t</m:t>
            </m:r>
          </m:sub>
        </m:sSub>
        <m:r>
          <m:rPr>
            <m:sty m:val="p"/>
          </m:rPr>
          <m:t>,</m:t>
        </m:r>
        <m:r>
          <m:t>  </m:t>
        </m:r>
        <m:sSub>
          <m:e>
            <m:r>
              <m:t>w</m:t>
            </m:r>
          </m:e>
          <m:sub>
            <m:r>
              <m:t>k</m:t>
            </m:r>
            <m:r>
              <m:t>t</m:t>
            </m:r>
          </m:sub>
        </m:sSub>
        <m:r>
          <m:rPr>
            <m:sty m:val="p"/>
          </m:rPr>
          <m:t>=</m:t>
        </m:r>
        <m:f>
          <m:fPr>
            <m:type m:val="bar"/>
          </m:fPr>
          <m:num>
            <m:sSub>
              <m:e>
                <m:r>
                  <m:t>E</m:t>
                </m:r>
              </m:e>
              <m:sub>
                <m:r>
                  <m:t>k</m:t>
                </m:r>
                <m:r>
                  <m:t>t</m:t>
                </m:r>
              </m:sub>
            </m:sSub>
          </m:num>
          <m:den>
            <m:nary>
              <m:naryPr>
                <m:chr m:val="∑"/>
                <m:limLoc m:val="undOvr"/>
                <m:subHide m:val="off"/>
                <m:supHide m:val="off"/>
              </m:naryPr>
              <m:sub>
                <m:r>
                  <m:t>j</m:t>
                </m:r>
                <m:r>
                  <m:rPr>
                    <m:sty m:val="p"/>
                  </m:rPr>
                  <m:t>=</m:t>
                </m:r>
                <m:r>
                  <m:t>1</m:t>
                </m:r>
              </m:sub>
              <m:sup>
                <m:r>
                  <m:t>8</m:t>
                </m:r>
              </m:sup>
              <m:e>
                <m:sSub>
                  <m:e>
                    <m:r>
                      <m:t>E</m:t>
                    </m:r>
                  </m:e>
                  <m:sub>
                    <m:r>
                      <m:t>j</m:t>
                    </m:r>
                    <m:r>
                      <m:t>t</m:t>
                    </m:r>
                  </m:sub>
                </m:sSub>
              </m:e>
            </m:nary>
          </m:den>
        </m:f>
      </m:oMath>
      <w:r>
        <w:tab/>
      </w:r>
      <w:r>
        <w:rPr>
          <w:rFonts w:ascii="Times New Roman" w:hAnsi="Times New Roman" w:eastAsia="宋体"/>
          <w:sz w:val="24"/>
        </w:rPr>
        <w:t>(8-4)</w:t>
      </w:r>
    </w:p>
    <w:p>
      <w:pPr>
        <w:spacing w:line="360" w:lineRule="auto" w:after="0"/>
        <w:jc w:val="both"/>
      </w:pPr>
      <w:r>
        <w:rPr>
          <w:rFonts w:ascii="宋体" w:hAnsi="宋体" w:eastAsia="宋体"/>
          <w:sz w:val="24"/>
        </w:rPr>
        <w:t>其中，</w:t>
      </w:r>
      <m:oMath>
        <m:sSub>
          <m:e>
            <m:r>
              <m:t>E</m:t>
            </m:r>
          </m:e>
          <m:sub>
            <m:r>
              <m:t>k</m:t>
            </m:r>
            <m:r>
              <m:t>t</m:t>
            </m:r>
          </m:sub>
        </m:sSub>
      </m:oMath>
      <w:r>
        <w:rPr>
          <w:rFonts w:ascii="宋体" w:hAnsi="宋体" w:eastAsia="宋体"/>
          <w:sz w:val="24"/>
        </w:rPr>
        <w:t>为行业</w:t>
      </w:r>
      <m:oMath>
        <m:r>
          <m:t>k</m:t>
        </m:r>
      </m:oMath>
      <w:r>
        <w:rPr>
          <w:rFonts w:ascii="宋体" w:hAnsi="宋体" w:eastAsia="宋体"/>
          <w:sz w:val="24"/>
        </w:rPr>
        <w:t>第</w:t>
      </w:r>
      <m:oMath>
        <m:r>
          <m:t>t</m:t>
        </m:r>
      </m:oMath>
      <w:r>
        <w:rPr>
          <w:rFonts w:ascii="宋体" w:hAnsi="宋体" w:eastAsia="宋体"/>
          <w:sz w:val="24"/>
        </w:rPr>
        <w:t>年的二氧化碳排放量，</w:t>
      </w:r>
      <m:oMath>
        <m:sSub>
          <m:e>
            <m:r>
              <m:t>w</m:t>
            </m:r>
          </m:e>
          <m:sub>
            <m:r>
              <m:t>k</m:t>
            </m:r>
            <m:r>
              <m:t>t</m:t>
            </m:r>
          </m:sub>
        </m:sSub>
      </m:oMath>
      <w:r>
        <w:rPr>
          <w:rFonts w:ascii="宋体" w:hAnsi="宋体" w:eastAsia="宋体"/>
          <w:sz w:val="24"/>
        </w:rPr>
        <w:t>为该行业排放占八行业合计的份额。</w:t>
      </w:r>
    </w:p>
    <w:p>
      <w:pPr>
        <w:spacing w:line="360" w:lineRule="auto" w:after="0"/>
        <w:ind w:firstLineChars="200" w:firstLine="480"/>
        <w:jc w:val="both"/>
      </w:pPr>
      <w:r>
        <w:rPr>
          <w:rFonts w:ascii="宋体" w:hAnsi="宋体" w:eastAsia="宋体"/>
          <w:sz w:val="24"/>
        </w:rPr>
        <w:t>以碳排放而非产值或增加值加权，依据在于本书的评价基准是标准体系对“双碳”目标的贡献度：一单位错配发生在排放十亿吨级的行业与发生在排放千万吨级的行业，对全局减排的含义不可同日而语。排放加权使综合指数直接回答“从碳减排全局看，标准供给离需求还有多远”，与第9章AHP权重体系中“碳减排贡献度”准则居首的设计一脉相承。作为稳健性参照，本章还以行业增加值加权与简单算术平均重新合成综合指数，错配的下行趋势与主要拐点均不改变，量级差异将在8.5.1节结合数据具体讨论。</w:t>
      </w:r>
    </w:p>
    <w:p>
      <w:pPr>
        <w:keepNext/>
        <w:spacing w:before="160" w:after="120" w:line="360" w:lineRule="auto"/>
        <w:outlineLvl w:val="1"/>
      </w:pPr>
      <w:r>
        <w:rPr>
          <w:rFonts w:ascii="黑体" w:hAnsi="黑体" w:eastAsia="黑体"/>
          <w:sz w:val="28"/>
        </w:rPr>
        <w:t>8.3  数据与变量</w:t>
      </w:r>
    </w:p>
    <w:p>
      <w:pPr>
        <w:keepNext/>
        <w:spacing w:before="160" w:after="120" w:line="360" w:lineRule="auto"/>
        <w:outlineLvl w:val="2"/>
      </w:pPr>
      <w:r>
        <w:rPr>
          <w:rFonts w:ascii="黑体" w:hAnsi="黑体" w:eastAsia="黑体"/>
          <w:sz w:val="24"/>
        </w:rPr>
        <w:t>8.3.1  样本范围与行业界定</w:t>
      </w:r>
    </w:p>
    <w:p>
      <w:pPr>
        <w:spacing w:line="360" w:lineRule="auto" w:after="0"/>
        <w:ind w:firstLineChars="200" w:firstLine="480"/>
        <w:jc w:val="both"/>
      </w:pPr>
      <w:r>
        <w:rPr>
          <w:rFonts w:ascii="宋体" w:hAnsi="宋体" w:eastAsia="宋体"/>
          <w:sz w:val="24"/>
        </w:rPr>
        <w:t>样本覆盖钢铁、水泥、铝冶炼、化肥、电力、交通运输、建筑建材与纺织八个行业，时间跨度为2015—2025年，共11年、88个行业—年度观测。行业选择遵循三重考量。第一，减排权重：八行业覆盖了中国二氧化碳排放的绝大部分——仅全国碳市场2025年3月扩围钢铁、水泥、铝冶炼后纳入配额管理的重点排放单位即达约3700家、覆盖排放约80亿吨，占全国二氧化碳排放总量的60%以上。第二，规制暴露：欧盟碳边境调节机制首批覆盖的水泥、钢铁、铝、化肥、电力、氢六类产品中，前五类均在样本之内，样本因而同时暴露于国内碳规制与国际碳规制的双重压力之下。第三，梯度对照：八行业在碳排放强度、出口暴露与转型进程上形成清晰梯度——从深度暴露于CBAM的铝冶炼与钢铁，到率先纳入全国碳市场的电力，再到碳强度与国际规制暴露均较低的纺织——为检验需求内生化逻辑提供了充分的截面变异。</w:t>
      </w:r>
    </w:p>
    <w:p>
      <w:pPr>
        <w:spacing w:line="360" w:lineRule="auto" w:after="0"/>
        <w:ind w:firstLineChars="200" w:firstLine="480"/>
        <w:jc w:val="both"/>
      </w:pPr>
      <w:r>
        <w:rPr>
          <w:rFonts w:ascii="宋体" w:hAnsi="宋体" w:eastAsia="宋体"/>
          <w:sz w:val="24"/>
        </w:rPr>
        <w:t>起讫年份的选择同样有明确依据。以2015年为起点，是因为《巴黎协定》达成与国内“十三五”规划编制使该年成为绿色转型约束系统化的元年，行业层面的标准需求自此进入可辨识的扩张通道；以2025年为终点，则涵盖了“双碳”目标宣示、全国碳市场启动与扩围、能耗双控转向碳排放双控、CBAM立法与过渡期申报等全部关键政策节点，恰好构成一个完整的需求加速周期。行业口径上，铝冶炼以电解铝为主体，建筑建材涵盖建材生产与建筑运行两端，交通运输以营运性运输为主，纺织涵盖纺织业与服装业；各行业排放量按CEADs中国碳核算数据库分部门清单口径归并，保证权重序列的口径一致。</w:t>
      </w:r>
    </w:p>
    <w:p>
      <w:pPr>
        <w:keepNext/>
        <w:spacing w:before="160" w:after="120" w:line="360" w:lineRule="auto"/>
        <w:outlineLvl w:val="2"/>
      </w:pPr>
      <w:r>
        <w:rPr>
          <w:rFonts w:ascii="黑体" w:hAnsi="黑体" w:eastAsia="黑体"/>
          <w:sz w:val="24"/>
        </w:rPr>
        <w:t>8.3.2  变量度量与数据来源</w:t>
      </w:r>
    </w:p>
    <w:p>
      <w:pPr>
        <w:spacing w:line="360" w:lineRule="auto" w:after="0"/>
        <w:ind w:firstLineChars="200" w:firstLine="480"/>
        <w:jc w:val="both"/>
      </w:pPr>
      <w:r>
        <w:rPr>
          <w:rFonts w:ascii="宋体" w:hAnsi="宋体" w:eastAsia="宋体"/>
          <w:sz w:val="24"/>
        </w:rPr>
        <w:t>需求指数的合成是测算的关键环节，其要义在于只使用“显示性”需求信息，与政策目标严格切割。具体而言，从六类可观测的转型活动中提取需求信号：行业绿色技术改造投资与设备更新规模，反映减排活动对计量验证规则的需要；绿色认证申请与产品检测送样量，反映认证评价类标准的现实需求；绿色信贷与绿色债券的行业投放，反映金融活动对绿色识别标准的消费；CBAM过渡期季度申报所覆盖的出口规模，反映国际合规需求；全国标准信息公共服务平台上行业相关的标准立项提案数，反映标准化诉求的直接表达；行业协会企业调查中“无标可依”事项的报告频次，反映需求缺口的微观感知。六类信息分别标准化后按熵权法合成，再以极差法归一至[0,1]区间。</w:t>
      </w:r>
    </w:p>
    <w:p>
      <w:pPr>
        <w:spacing w:line="360" w:lineRule="auto" w:after="0"/>
        <w:ind w:firstLineChars="200" w:firstLine="480"/>
        <w:jc w:val="both"/>
      </w:pPr>
      <w:r>
        <w:rPr>
          <w:rFonts w:ascii="宋体" w:hAnsi="宋体" w:eastAsia="宋体"/>
          <w:sz w:val="24"/>
        </w:rPr>
        <w:t>四个驱动变量的度量如下。碳排放系数CI为行业二氧化碳排放量与行业增加值之比，排放数据取自CEADs分部门清单，增加值取自国家统计局；绿色转型进程GT由行业绿色低碳专利申请占比、绿色投资强度与非化石能源替代率三项合成，专利数据采用国家知识产权局绿色低碳专利统计口径；减排约束PC为政策文本量化指标，对适用于该行业的能耗双控与碳排放双控指标分解、行业碳达峰实施方案、碳市场纳入与配额收紧等规制事件逐年赋值累积；CBAM压力为行业对欧出口中覆盖产品占比、欧中碳价差与立法进程强度三者的乘积——其中欧中碳价差以EU ETS配额年均价与全国碳市场成交均价之差衡量，2024年前者约为65欧元/吨，后者约为95.8元/吨，两个市场碳价仍存在数倍差距，构成CBAM压力的价格基础。全部解释变量经零均值—单位方差标准化处理，回归系数因而可以横向比较。表8.1汇总了变量定义、度量方法与数据来源。</w:t>
      </w:r>
    </w:p>
    <w:p>
      <w:pPr>
        <w:keepNext/>
        <w:spacing w:before="160" w:after="40"/>
        <w:jc w:val="center"/>
      </w:pPr>
      <w:r>
        <w:rPr>
          <w:rFonts w:ascii="黑体" w:hAnsi="黑体" w:eastAsia="黑体"/>
          <w:sz w:val="21"/>
        </w:rPr>
        <w:t>表8.1  变量定义、度量方法与数据来源</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18"/>
              </w:rPr>
              <w:t>变量</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符号</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度量方法与口径</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数据来源</w:t>
            </w:r>
          </w:p>
        </w:tc>
      </w:tr>
      <w:tr>
        <w:tc>
          <w:tcPr>
            <w:tcW w:type="dxa" w:w="2126"/>
            <w:vAlign w:val="center"/>
          </w:tcPr>
          <w:p>
            <w:pPr>
              <w:spacing w:line="240" w:lineRule="auto" w:after="20" w:before="20"/>
              <w:jc w:val="left"/>
            </w:pPr>
            <w:r/>
            <w:r>
              <w:rPr>
                <w:rFonts w:ascii="宋体" w:hAnsi="宋体" w:eastAsia="宋体"/>
                <w:sz w:val="18"/>
              </w:rPr>
              <w:t>标准需求指数</w:t>
            </w:r>
          </w:p>
        </w:tc>
        <w:tc>
          <w:tcPr>
            <w:tcW w:type="dxa" w:w="2126"/>
            <w:vAlign w:val="center"/>
          </w:tcPr>
          <w:p>
            <w:pPr>
              <w:spacing w:line="240" w:lineRule="auto" w:after="20" w:before="20"/>
              <w:jc w:val="center"/>
            </w:pPr>
            <w:r/>
            <m:oMath>
              <m:sSub>
                <m:e>
                  <m:r>
                    <m:t>D</m:t>
                  </m:r>
                </m:e>
                <m:sub>
                  <m:r>
                    <m:t>k</m:t>
                  </m:r>
                  <m:r>
                    <m:t>t</m:t>
                  </m:r>
                </m:sub>
              </m:sSub>
            </m:oMath>
          </w:p>
        </w:tc>
        <w:tc>
          <w:tcPr>
            <w:tcW w:type="dxa" w:w="2126"/>
            <w:vAlign w:val="center"/>
          </w:tcPr>
          <w:p>
            <w:pPr>
              <w:spacing w:line="240" w:lineRule="auto" w:after="20" w:before="20"/>
              <w:jc w:val="left"/>
            </w:pPr>
            <w:r/>
            <w:r>
              <w:rPr>
                <w:rFonts w:ascii="宋体" w:hAnsi="宋体" w:eastAsia="宋体"/>
                <w:sz w:val="18"/>
              </w:rPr>
              <w:t>绿色技改投资、认证检测活动、绿色信贷债券投放、CBAM申报规模、标准立项提案、企业需求调查六类显示性信息熵权合成，归一至[0,1]</w:t>
            </w:r>
          </w:p>
        </w:tc>
        <w:tc>
          <w:tcPr>
            <w:tcW w:type="dxa" w:w="2126"/>
            <w:vAlign w:val="center"/>
          </w:tcPr>
          <w:p>
            <w:pPr>
              <w:spacing w:line="240" w:lineRule="auto" w:after="20" w:before="20"/>
              <w:jc w:val="left"/>
            </w:pPr>
            <w:r/>
            <w:r>
              <w:rPr>
                <w:rFonts w:ascii="宋体" w:hAnsi="宋体" w:eastAsia="宋体"/>
                <w:sz w:val="18"/>
              </w:rPr>
              <w:t>国家统计局、中国人民银行、欧盟委员会CBAM过渡期申报数据、全国标准信息公共服务平台、行业协会调查</w:t>
            </w:r>
          </w:p>
        </w:tc>
      </w:tr>
      <w:tr>
        <w:tc>
          <w:tcPr>
            <w:tcW w:type="dxa" w:w="2126"/>
            <w:vAlign w:val="center"/>
          </w:tcPr>
          <w:p>
            <w:pPr>
              <w:spacing w:line="240" w:lineRule="auto" w:after="20" w:before="20"/>
              <w:jc w:val="left"/>
            </w:pPr>
            <w:r/>
            <w:r>
              <w:rPr>
                <w:rFonts w:ascii="宋体" w:hAnsi="宋体" w:eastAsia="宋体"/>
                <w:sz w:val="18"/>
              </w:rPr>
              <w:t>标准供给指数</w:t>
            </w:r>
          </w:p>
        </w:tc>
        <w:tc>
          <w:tcPr>
            <w:tcW w:type="dxa" w:w="2126"/>
            <w:vAlign w:val="center"/>
          </w:tcPr>
          <w:p>
            <w:pPr>
              <w:spacing w:line="240" w:lineRule="auto" w:after="20" w:before="20"/>
              <w:jc w:val="center"/>
            </w:pPr>
            <w:r/>
            <m:oMath>
              <m:sSub>
                <m:e>
                  <m:r>
                    <m:t>R</m:t>
                  </m:r>
                </m:e>
                <m:sub>
                  <m:r>
                    <m:t>k</m:t>
                  </m:r>
                  <m:r>
                    <m:t>t</m:t>
                  </m:r>
                </m:sub>
              </m:sSub>
            </m:oMath>
          </w:p>
        </w:tc>
        <w:tc>
          <w:tcPr>
            <w:tcW w:type="dxa" w:w="2126"/>
            <w:vAlign w:val="center"/>
          </w:tcPr>
          <w:p>
            <w:pPr>
              <w:spacing w:line="240" w:lineRule="auto" w:after="20" w:before="20"/>
              <w:jc w:val="left"/>
            </w:pPr>
            <w:r/>
            <w:r>
              <w:rPr>
                <w:rFonts w:ascii="宋体" w:hAnsi="宋体" w:eastAsia="宋体"/>
                <w:sz w:val="18"/>
              </w:rPr>
              <w:t>“标准—行业”适用性映射后，按五大功能模块以适用权重加权合成，口径同第4、5章标准指数</w:t>
            </w:r>
          </w:p>
        </w:tc>
        <w:tc>
          <w:tcPr>
            <w:tcW w:type="dxa" w:w="2126"/>
            <w:vAlign w:val="center"/>
          </w:tcPr>
          <w:p>
            <w:pPr>
              <w:spacing w:line="240" w:lineRule="auto" w:after="20" w:before="20"/>
              <w:jc w:val="left"/>
            </w:pPr>
            <w:r/>
            <w:r>
              <w:rPr>
                <w:rFonts w:ascii="宋体" w:hAnsi="宋体" w:eastAsia="宋体"/>
                <w:sz w:val="18"/>
              </w:rPr>
              <w:t>标准文本数据库（第4章）</w:t>
            </w:r>
          </w:p>
        </w:tc>
      </w:tr>
      <w:tr>
        <w:tc>
          <w:tcPr>
            <w:tcW w:type="dxa" w:w="2126"/>
            <w:vAlign w:val="center"/>
          </w:tcPr>
          <w:p>
            <w:pPr>
              <w:spacing w:line="240" w:lineRule="auto" w:after="20" w:before="20"/>
              <w:jc w:val="left"/>
            </w:pPr>
            <w:r/>
            <w:r>
              <w:rPr>
                <w:rFonts w:ascii="宋体" w:hAnsi="宋体" w:eastAsia="宋体"/>
                <w:sz w:val="18"/>
              </w:rPr>
              <w:t>碳排放系数</w:t>
            </w:r>
          </w:p>
        </w:tc>
        <w:tc>
          <w:tcPr>
            <w:tcW w:type="dxa" w:w="2126"/>
            <w:vAlign w:val="center"/>
          </w:tcPr>
          <w:p>
            <w:pPr>
              <w:spacing w:line="240" w:lineRule="auto" w:after="20" w:before="20"/>
              <w:jc w:val="center"/>
            </w:pPr>
            <w:r/>
            <m:oMath>
              <m:r>
                <m:t>C</m:t>
              </m:r>
              <m:sSub>
                <m:e>
                  <m:r>
                    <m:t>I</m:t>
                  </m:r>
                </m:e>
                <m:sub>
                  <m:r>
                    <m:t>k</m:t>
                  </m:r>
                  <m:r>
                    <m:t>t</m:t>
                  </m:r>
                </m:sub>
              </m:sSub>
            </m:oMath>
          </w:p>
        </w:tc>
        <w:tc>
          <w:tcPr>
            <w:tcW w:type="dxa" w:w="2126"/>
            <w:vAlign w:val="center"/>
          </w:tcPr>
          <w:p>
            <w:pPr>
              <w:spacing w:line="240" w:lineRule="auto" w:after="20" w:before="20"/>
              <w:jc w:val="left"/>
            </w:pPr>
            <w:r/>
            <w:r>
              <w:rPr>
                <w:rFonts w:ascii="宋体" w:hAnsi="宋体" w:eastAsia="宋体"/>
                <w:sz w:val="18"/>
              </w:rPr>
              <w:t>行业二氧化碳排放量/行业增加值，标准化</w:t>
            </w:r>
          </w:p>
        </w:tc>
        <w:tc>
          <w:tcPr>
            <w:tcW w:type="dxa" w:w="2126"/>
            <w:vAlign w:val="center"/>
          </w:tcPr>
          <w:p>
            <w:pPr>
              <w:spacing w:line="240" w:lineRule="auto" w:after="20" w:before="20"/>
              <w:jc w:val="left"/>
            </w:pPr>
            <w:r/>
            <w:r>
              <w:rPr>
                <w:rFonts w:ascii="宋体" w:hAnsi="宋体" w:eastAsia="宋体"/>
                <w:sz w:val="18"/>
              </w:rPr>
              <w:t>CEADs、国家统计局</w:t>
            </w:r>
          </w:p>
        </w:tc>
      </w:tr>
      <w:tr>
        <w:tc>
          <w:tcPr>
            <w:tcW w:type="dxa" w:w="2126"/>
            <w:vAlign w:val="center"/>
          </w:tcPr>
          <w:p>
            <w:pPr>
              <w:spacing w:line="240" w:lineRule="auto" w:after="20" w:before="20"/>
              <w:jc w:val="left"/>
            </w:pPr>
            <w:r/>
            <w:r>
              <w:rPr>
                <w:rFonts w:ascii="宋体" w:hAnsi="宋体" w:eastAsia="宋体"/>
                <w:sz w:val="18"/>
              </w:rPr>
              <w:t>绿色转型进程</w:t>
            </w:r>
          </w:p>
        </w:tc>
        <w:tc>
          <w:tcPr>
            <w:tcW w:type="dxa" w:w="2126"/>
            <w:vAlign w:val="center"/>
          </w:tcPr>
          <w:p>
            <w:pPr>
              <w:spacing w:line="240" w:lineRule="auto" w:after="20" w:before="20"/>
              <w:jc w:val="center"/>
            </w:pPr>
            <w:r/>
            <m:oMath>
              <m:r>
                <m:t>G</m:t>
              </m:r>
              <m:sSub>
                <m:e>
                  <m:r>
                    <m:t>T</m:t>
                  </m:r>
                </m:e>
                <m:sub>
                  <m:r>
                    <m:t>k</m:t>
                  </m:r>
                  <m:r>
                    <m:t>t</m:t>
                  </m:r>
                </m:sub>
              </m:sSub>
            </m:oMath>
          </w:p>
        </w:tc>
        <w:tc>
          <w:tcPr>
            <w:tcW w:type="dxa" w:w="2126"/>
            <w:vAlign w:val="center"/>
          </w:tcPr>
          <w:p>
            <w:pPr>
              <w:spacing w:line="240" w:lineRule="auto" w:after="20" w:before="20"/>
              <w:jc w:val="left"/>
            </w:pPr>
            <w:r/>
            <w:r>
              <w:rPr>
                <w:rFonts w:ascii="宋体" w:hAnsi="宋体" w:eastAsia="宋体"/>
                <w:sz w:val="18"/>
              </w:rPr>
              <w:t>绿色低碳专利申请占比、绿色投资强度、非化石能源替代率合成，标准化</w:t>
            </w:r>
          </w:p>
        </w:tc>
        <w:tc>
          <w:tcPr>
            <w:tcW w:type="dxa" w:w="2126"/>
            <w:vAlign w:val="center"/>
          </w:tcPr>
          <w:p>
            <w:pPr>
              <w:spacing w:line="240" w:lineRule="auto" w:after="20" w:before="20"/>
              <w:jc w:val="left"/>
            </w:pPr>
            <w:r/>
            <w:r>
              <w:rPr>
                <w:rFonts w:ascii="宋体" w:hAnsi="宋体" w:eastAsia="宋体"/>
                <w:sz w:val="18"/>
              </w:rPr>
              <w:t>国家知识产权局、国家统计局、国家能源局</w:t>
            </w:r>
          </w:p>
        </w:tc>
      </w:tr>
      <w:tr>
        <w:tc>
          <w:tcPr>
            <w:tcW w:type="dxa" w:w="2126"/>
            <w:vAlign w:val="center"/>
          </w:tcPr>
          <w:p>
            <w:pPr>
              <w:spacing w:line="240" w:lineRule="auto" w:after="20" w:before="20"/>
              <w:jc w:val="left"/>
            </w:pPr>
            <w:r/>
            <w:r>
              <w:rPr>
                <w:rFonts w:ascii="宋体" w:hAnsi="宋体" w:eastAsia="宋体"/>
                <w:sz w:val="18"/>
              </w:rPr>
              <w:t>减排约束强度</w:t>
            </w:r>
          </w:p>
        </w:tc>
        <w:tc>
          <w:tcPr>
            <w:tcW w:type="dxa" w:w="2126"/>
            <w:vAlign w:val="center"/>
          </w:tcPr>
          <w:p>
            <w:pPr>
              <w:spacing w:line="240" w:lineRule="auto" w:after="20" w:before="20"/>
              <w:jc w:val="center"/>
            </w:pPr>
            <w:r/>
            <m:oMath>
              <m:r>
                <m:t>P</m:t>
              </m:r>
              <m:sSub>
                <m:e>
                  <m:r>
                    <m:t>C</m:t>
                  </m:r>
                </m:e>
                <m:sub>
                  <m:r>
                    <m:t>k</m:t>
                  </m:r>
                  <m:r>
                    <m:t>t</m:t>
                  </m:r>
                </m:sub>
              </m:sSub>
            </m:oMath>
          </w:p>
        </w:tc>
        <w:tc>
          <w:tcPr>
            <w:tcW w:type="dxa" w:w="2126"/>
            <w:vAlign w:val="center"/>
          </w:tcPr>
          <w:p>
            <w:pPr>
              <w:spacing w:line="240" w:lineRule="auto" w:after="20" w:before="20"/>
              <w:jc w:val="left"/>
            </w:pPr>
            <w:r/>
            <w:r>
              <w:rPr>
                <w:rFonts w:ascii="宋体" w:hAnsi="宋体" w:eastAsia="宋体"/>
                <w:sz w:val="18"/>
              </w:rPr>
              <w:t>双控指标分解、行业达峰方案、碳市场纳入等规制事件逐年赋值累积，标准化</w:t>
            </w:r>
          </w:p>
        </w:tc>
        <w:tc>
          <w:tcPr>
            <w:tcW w:type="dxa" w:w="2126"/>
            <w:vAlign w:val="center"/>
          </w:tcPr>
          <w:p>
            <w:pPr>
              <w:spacing w:line="240" w:lineRule="auto" w:after="20" w:before="20"/>
              <w:jc w:val="left"/>
            </w:pPr>
            <w:r/>
            <w:r>
              <w:rPr>
                <w:rFonts w:ascii="宋体" w:hAnsi="宋体" w:eastAsia="宋体"/>
                <w:sz w:val="18"/>
              </w:rPr>
              <w:t>中国政府网及各部委公开政策文本</w:t>
            </w:r>
          </w:p>
        </w:tc>
      </w:tr>
      <w:tr>
        <w:tc>
          <w:tcPr>
            <w:tcW w:type="dxa" w:w="2126"/>
            <w:vAlign w:val="center"/>
          </w:tcPr>
          <w:p>
            <w:pPr>
              <w:spacing w:line="240" w:lineRule="auto" w:after="20" w:before="20"/>
              <w:jc w:val="left"/>
            </w:pPr>
            <w:r/>
            <w:r>
              <w:rPr>
                <w:rFonts w:ascii="宋体" w:hAnsi="宋体" w:eastAsia="宋体"/>
                <w:sz w:val="18"/>
              </w:rPr>
              <w:t>CBAM压力</w:t>
            </w:r>
          </w:p>
        </w:tc>
        <w:tc>
          <w:tcPr>
            <w:tcW w:type="dxa" w:w="2126"/>
            <w:vAlign w:val="center"/>
          </w:tcPr>
          <w:p>
            <w:pPr>
              <w:spacing w:line="240" w:lineRule="auto" w:after="20" w:before="20"/>
              <w:jc w:val="center"/>
            </w:pPr>
            <w:r/>
            <m:oMath>
              <m:r>
                <m:t>C</m:t>
              </m:r>
              <m:r>
                <m:t>B</m:t>
              </m:r>
              <m:r>
                <m:t>A</m:t>
              </m:r>
              <m:sSub>
                <m:e>
                  <m:r>
                    <m:t>M</m:t>
                  </m:r>
                </m:e>
                <m:sub>
                  <m:r>
                    <m:t>k</m:t>
                  </m:r>
                  <m:r>
                    <m:t>t</m:t>
                  </m:r>
                </m:sub>
              </m:sSub>
            </m:oMath>
          </w:p>
        </w:tc>
        <w:tc>
          <w:tcPr>
            <w:tcW w:type="dxa" w:w="2126"/>
            <w:vAlign w:val="center"/>
          </w:tcPr>
          <w:p>
            <w:pPr>
              <w:spacing w:line="240" w:lineRule="auto" w:after="20" w:before="20"/>
              <w:jc w:val="left"/>
            </w:pPr>
            <w:r/>
            <w:r>
              <w:rPr>
                <w:rFonts w:ascii="宋体" w:hAnsi="宋体" w:eastAsia="宋体"/>
                <w:sz w:val="18"/>
              </w:rPr>
              <w:t>对欧出口覆盖产品占比×欧中碳价差×立法进程强度，标准化</w:t>
            </w:r>
          </w:p>
        </w:tc>
        <w:tc>
          <w:tcPr>
            <w:tcW w:type="dxa" w:w="2126"/>
            <w:vAlign w:val="center"/>
          </w:tcPr>
          <w:p>
            <w:pPr>
              <w:spacing w:line="240" w:lineRule="auto" w:after="20" w:before="20"/>
              <w:jc w:val="left"/>
            </w:pPr>
            <w:r/>
            <w:r>
              <w:rPr>
                <w:rFonts w:ascii="宋体" w:hAnsi="宋体" w:eastAsia="宋体"/>
                <w:sz w:val="18"/>
              </w:rPr>
              <w:t>海关总署、EUR-Lex、上海环境能源交易所、ESMA</w:t>
            </w:r>
          </w:p>
        </w:tc>
      </w:tr>
      <w:tr>
        <w:tc>
          <w:tcPr>
            <w:tcW w:type="dxa" w:w="2126"/>
            <w:vAlign w:val="center"/>
          </w:tcPr>
          <w:p>
            <w:pPr>
              <w:spacing w:line="240" w:lineRule="auto" w:after="20" w:before="20"/>
              <w:jc w:val="left"/>
            </w:pPr>
            <w:r/>
            <w:r>
              <w:rPr>
                <w:rFonts w:ascii="宋体" w:hAnsi="宋体" w:eastAsia="宋体"/>
                <w:sz w:val="18"/>
              </w:rPr>
              <w:t>行业碳排放量</w:t>
            </w:r>
          </w:p>
        </w:tc>
        <w:tc>
          <w:tcPr>
            <w:tcW w:type="dxa" w:w="2126"/>
            <w:vAlign w:val="center"/>
          </w:tcPr>
          <w:p>
            <w:pPr>
              <w:spacing w:line="240" w:lineRule="auto" w:after="20" w:before="20"/>
              <w:jc w:val="center"/>
            </w:pPr>
            <w:r/>
            <m:oMath>
              <m:sSub>
                <m:e>
                  <m:r>
                    <m:t>E</m:t>
                  </m:r>
                </m:e>
                <m:sub>
                  <m:r>
                    <m:t>k</m:t>
                  </m:r>
                  <m:r>
                    <m:t>t</m:t>
                  </m:r>
                </m:sub>
              </m:sSub>
            </m:oMath>
          </w:p>
        </w:tc>
        <w:tc>
          <w:tcPr>
            <w:tcW w:type="dxa" w:w="2126"/>
            <w:vAlign w:val="center"/>
          </w:tcPr>
          <w:p>
            <w:pPr>
              <w:spacing w:line="240" w:lineRule="auto" w:after="20" w:before="20"/>
              <w:jc w:val="left"/>
            </w:pPr>
            <w:r/>
            <w:r>
              <w:rPr>
                <w:rFonts w:ascii="宋体" w:hAnsi="宋体" w:eastAsia="宋体"/>
                <w:sz w:val="18"/>
              </w:rPr>
              <w:t>分部门二氧化碳排放清单，用于式(8-4)权重</w:t>
            </w:r>
          </w:p>
        </w:tc>
        <w:tc>
          <w:tcPr>
            <w:tcW w:type="dxa" w:w="2126"/>
            <w:vAlign w:val="center"/>
          </w:tcPr>
          <w:p>
            <w:pPr>
              <w:spacing w:line="240" w:lineRule="auto" w:after="20" w:before="20"/>
              <w:jc w:val="left"/>
            </w:pPr>
            <w:r/>
            <w:r>
              <w:rPr>
                <w:rFonts w:ascii="宋体" w:hAnsi="宋体" w:eastAsia="宋体"/>
                <w:sz w:val="18"/>
              </w:rPr>
              <w:t>CEADs</w:t>
            </w:r>
          </w:p>
        </w:tc>
      </w:tr>
    </w:tbl>
    <w:p>
      <w:pPr>
        <w:spacing w:after="200" w:line="240" w:lineRule="auto"/>
      </w:pPr>
      <w:r>
        <w:rPr>
          <w:rFonts w:ascii="宋体" w:hAnsi="宋体" w:eastAsia="宋体"/>
          <w:sz w:val="18"/>
        </w:rPr>
        <w:t>注：解释变量均经零均值—单位方差标准化；欧中碳价差取EU ETS配额年均价与全国碳市场年成交均价之差。数据来源：作者整理。</w:t>
      </w:r>
    </w:p>
    <w:p>
      <w:pPr>
        <w:spacing w:line="360" w:lineRule="auto" w:after="0"/>
        <w:ind w:firstLineChars="200" w:firstLine="480"/>
        <w:jc w:val="both"/>
      </w:pPr>
      <w:r>
        <w:rPr>
          <w:rFonts w:ascii="宋体" w:hAnsi="宋体" w:eastAsia="宋体"/>
          <w:sz w:val="24"/>
        </w:rPr>
        <w:t>表8.1的变量体系有两点值得强调。其一，需求指数的六类信息源全部是企业与市场“用脚投票”的显示性行为——投资、送检、融资、申报、提案、反映诉求——不含任何政策目标变量，从源头上保证了需求度量独立于“理想蓝图”；四个驱动变量中的PC虽然源自政策文本，但其角色是解释需求而非定义需求，8.4节的回归检验恰恰要考察行政约束在多大程度上转化为真实需求。其二，供给指数与第4、5章共用同一标准文本数据库，需求指数的行业口径与供给指数严格对齐，错配指数因而不受口径漂移的干扰。从描述性特征看，样本期内需求指数与供给指数同步上行，但需求在2020年后的抬升明显更陡，供给的追赶构成错配演化的主旋律——这正是下文测算要精确刻画的对象。</w:t>
      </w:r>
    </w:p>
    <w:p>
      <w:pPr>
        <w:keepNext/>
        <w:spacing w:before="160" w:after="120" w:line="360" w:lineRule="auto"/>
        <w:outlineLvl w:val="1"/>
      </w:pPr>
      <w:r>
        <w:rPr>
          <w:rFonts w:ascii="黑体" w:hAnsi="黑体" w:eastAsia="黑体"/>
          <w:sz w:val="28"/>
        </w:rPr>
        <w:t>8.4  需求驱动因素的面板回归</w:t>
      </w:r>
    </w:p>
    <w:p>
      <w:pPr>
        <w:keepNext/>
        <w:spacing w:before="160" w:after="120" w:line="360" w:lineRule="auto"/>
        <w:outlineLvl w:val="2"/>
      </w:pPr>
      <w:r>
        <w:rPr>
          <w:rFonts w:ascii="黑体" w:hAnsi="黑体" w:eastAsia="黑体"/>
          <w:sz w:val="24"/>
        </w:rPr>
        <w:t>8.4.1  计量模型设定</w:t>
      </w:r>
    </w:p>
    <w:p>
      <w:pPr>
        <w:spacing w:line="360" w:lineRule="auto" w:after="0"/>
        <w:ind w:firstLineChars="200" w:firstLine="480"/>
        <w:jc w:val="both"/>
      </w:pPr>
      <w:r>
        <w:rPr>
          <w:rFonts w:ascii="宋体" w:hAnsi="宋体" w:eastAsia="宋体"/>
          <w:sz w:val="24"/>
        </w:rPr>
        <w:t>将式(8-1)线性化为双向固定效应面板模型：</w:t>
      </w:r>
    </w:p>
    <w:p>
      <w:pPr>
        <w:tabs>
          <w:tab w:pos="4252" w:val="center"/>
          <w:tab w:pos="8504" w:val="right"/>
        </w:tabs>
        <w:spacing w:line="360" w:lineRule="auto" w:before="80" w:after="80"/>
      </w:pPr>
      <w:r>
        <w:tab/>
      </w:r>
      <m:oMath>
        <m:sSub>
          <m:e>
            <m:r>
              <m:t>D</m:t>
            </m:r>
          </m:e>
          <m:sub>
            <m:r>
              <m:t>k</m:t>
            </m:r>
            <m:r>
              <m:t>t</m:t>
            </m:r>
          </m:sub>
        </m:sSub>
        <m:r>
          <m:rPr>
            <m:sty m:val="p"/>
          </m:rPr>
          <m:t>=</m:t>
        </m:r>
        <m:sSub>
          <m:e>
            <m:r>
              <m:t>β</m:t>
            </m:r>
          </m:e>
          <m:sub>
            <m:r>
              <m:t>1</m:t>
            </m:r>
          </m:sub>
        </m:sSub>
        <m:sSub>
          <m:e>
            <m:r>
              <m:rPr>
                <m:sty m:val="p"/>
              </m:rPr>
              <m:t>C</m:t>
            </m:r>
            <m:r>
              <m:rPr>
                <m:sty m:val="p"/>
              </m:rPr>
              <m:t>I</m:t>
            </m:r>
          </m:e>
          <m:sub>
            <m:r>
              <m:t>k</m:t>
            </m:r>
            <m:r>
              <m:t>t</m:t>
            </m:r>
          </m:sub>
        </m:sSub>
        <m:r>
          <m:rPr>
            <m:sty m:val="p"/>
          </m:rPr>
          <m:t>+</m:t>
        </m:r>
        <m:sSub>
          <m:e>
            <m:r>
              <m:t>β</m:t>
            </m:r>
          </m:e>
          <m:sub>
            <m:r>
              <m:t>2</m:t>
            </m:r>
          </m:sub>
        </m:sSub>
        <m:sSub>
          <m:e>
            <m:r>
              <m:rPr>
                <m:sty m:val="p"/>
              </m:rPr>
              <m:t>G</m:t>
            </m:r>
            <m:r>
              <m:rPr>
                <m:sty m:val="p"/>
              </m:rPr>
              <m:t>T</m:t>
            </m:r>
          </m:e>
          <m:sub>
            <m:r>
              <m:t>k</m:t>
            </m:r>
            <m:r>
              <m:t>t</m:t>
            </m:r>
          </m:sub>
        </m:sSub>
        <m:r>
          <m:rPr>
            <m:sty m:val="p"/>
          </m:rPr>
          <m:t>+</m:t>
        </m:r>
        <m:sSub>
          <m:e>
            <m:r>
              <m:t>β</m:t>
            </m:r>
          </m:e>
          <m:sub>
            <m:r>
              <m:t>3</m:t>
            </m:r>
          </m:sub>
        </m:sSub>
        <m:sSub>
          <m:e>
            <m:r>
              <m:rPr>
                <m:sty m:val="p"/>
              </m:rPr>
              <m:t>P</m:t>
            </m:r>
            <m:r>
              <m:rPr>
                <m:sty m:val="p"/>
              </m:rPr>
              <m:t>C</m:t>
            </m:r>
          </m:e>
          <m:sub>
            <m:r>
              <m:t>k</m:t>
            </m:r>
            <m:r>
              <m:t>t</m:t>
            </m:r>
          </m:sub>
        </m:sSub>
        <m:r>
          <m:rPr>
            <m:sty m:val="p"/>
          </m:rPr>
          <m:t>+</m:t>
        </m:r>
        <m:sSub>
          <m:e>
            <m:r>
              <m:t>β</m:t>
            </m:r>
          </m:e>
          <m:sub>
            <m:r>
              <m:t>4</m:t>
            </m:r>
          </m:sub>
        </m:sSub>
        <m:sSub>
          <m:e>
            <m:r>
              <m:rPr>
                <m:sty m:val="p"/>
              </m:rPr>
              <m:t>C</m:t>
            </m:r>
            <m:r>
              <m:rPr>
                <m:sty m:val="p"/>
              </m:rPr>
              <m:t>B</m:t>
            </m:r>
            <m:r>
              <m:rPr>
                <m:sty m:val="p"/>
              </m:rPr>
              <m:t>A</m:t>
            </m:r>
            <m:r>
              <m:rPr>
                <m:sty m:val="p"/>
              </m:rPr>
              <m:t>M</m:t>
            </m:r>
          </m:e>
          <m:sub>
            <m:r>
              <m:t>k</m:t>
            </m:r>
            <m:r>
              <m:t>t</m:t>
            </m:r>
          </m:sub>
        </m:sSub>
        <m:r>
          <m:rPr>
            <m:sty m:val="p"/>
          </m:rPr>
          <m:t>+</m:t>
        </m:r>
        <m:sSub>
          <m:e>
            <m:r>
              <m:t>μ</m:t>
            </m:r>
          </m:e>
          <m:sub>
            <m:r>
              <m:t>k</m:t>
            </m:r>
          </m:sub>
        </m:sSub>
        <m:r>
          <m:rPr>
            <m:sty m:val="p"/>
          </m:rPr>
          <m:t>+</m:t>
        </m:r>
        <m:sSub>
          <m:e>
            <m:r>
              <m:t>λ</m:t>
            </m:r>
          </m:e>
          <m:sub>
            <m:r>
              <m:t>t</m:t>
            </m:r>
          </m:sub>
        </m:sSub>
        <m:r>
          <m:rPr>
            <m:sty m:val="p"/>
          </m:rPr>
          <m:t>+</m:t>
        </m:r>
        <m:sSub>
          <m:e>
            <m:r>
              <m:t>ε</m:t>
            </m:r>
          </m:e>
          <m:sub>
            <m:r>
              <m:t>k</m:t>
            </m:r>
            <m:r>
              <m:t>t</m:t>
            </m:r>
          </m:sub>
        </m:sSub>
      </m:oMath>
      <w:r>
        <w:tab/>
      </w:r>
      <w:r>
        <w:rPr>
          <w:rFonts w:ascii="Times New Roman" w:hAnsi="Times New Roman" w:eastAsia="宋体"/>
          <w:sz w:val="24"/>
        </w:rPr>
        <w:t>(8-5)</w:t>
      </w:r>
    </w:p>
    <w:p>
      <w:pPr>
        <w:spacing w:line="360" w:lineRule="auto" w:after="0"/>
        <w:jc w:val="both"/>
      </w:pPr>
      <w:r>
        <w:rPr>
          <w:rFonts w:ascii="宋体" w:hAnsi="宋体" w:eastAsia="宋体"/>
          <w:sz w:val="24"/>
        </w:rPr>
        <w:t>其中，</w:t>
      </w:r>
      <m:oMath>
        <m:sSub>
          <m:e>
            <m:r>
              <m:t>μ</m:t>
            </m:r>
          </m:e>
          <m:sub>
            <m:r>
              <m:t>k</m:t>
            </m:r>
          </m:sub>
        </m:sSub>
      </m:oMath>
      <w:r>
        <w:rPr>
          <w:rFonts w:ascii="宋体" w:hAnsi="宋体" w:eastAsia="宋体"/>
          <w:sz w:val="24"/>
        </w:rPr>
        <w:t>为行业固定效应，吸收工艺结构、要素密集度等不随时间变化的行业特征；</w:t>
      </w:r>
      <m:oMath>
        <m:sSub>
          <m:e>
            <m:r>
              <m:t>λ</m:t>
            </m:r>
          </m:e>
          <m:sub>
            <m:r>
              <m:t>t</m:t>
            </m:r>
          </m:sub>
        </m:sSub>
      </m:oMath>
      <w:r>
        <w:rPr>
          <w:rFonts w:ascii="宋体" w:hAnsi="宋体" w:eastAsia="宋体"/>
          <w:sz w:val="24"/>
        </w:rPr>
        <w:t>为年份固定效应，吸收宏观景气、政策大年等共同冲击；</w:t>
      </w:r>
      <m:oMath>
        <m:sSub>
          <m:e>
            <m:r>
              <m:t>ε</m:t>
            </m:r>
          </m:e>
          <m:sub>
            <m:r>
              <m:t>k</m:t>
            </m:r>
            <m:r>
              <m:t>t</m:t>
            </m:r>
          </m:sub>
        </m:sSub>
      </m:oMath>
      <w:r>
        <w:rPr>
          <w:rFonts w:ascii="宋体" w:hAnsi="宋体" w:eastAsia="宋体"/>
          <w:sz w:val="24"/>
        </w:rPr>
        <w:t>为随机扰动项。</w:t>
      </w:r>
    </w:p>
    <w:p>
      <w:pPr>
        <w:spacing w:line="360" w:lineRule="auto" w:after="0"/>
        <w:ind w:firstLineChars="200" w:firstLine="480"/>
        <w:jc w:val="both"/>
      </w:pPr>
      <w:r>
        <w:rPr>
          <w:rFonts w:ascii="宋体" w:hAnsi="宋体" w:eastAsia="宋体"/>
          <w:sz w:val="24"/>
        </w:rPr>
        <w:t>三点技术说明。第一，全部变量经标准化处理，系数</w:t>
      </w:r>
      <m:oMath>
        <m:r>
          <m:t>β</m:t>
        </m:r>
      </m:oMath>
      <w:r>
        <w:rPr>
          <w:rFonts w:ascii="宋体" w:hAnsi="宋体" w:eastAsia="宋体"/>
          <w:sz w:val="24"/>
        </w:rPr>
        <w:t>为标准化系数，含义是解释变量一个标准差的变化所引起的需求指数变化的标准差倍数，四个系数可以直接比较相对重要性。第二，行业维度仅有8个聚类，常规聚类稳健标准误在小聚类数下有偏，故采用野生聚类自助法进行推断，表8.2报告的显著性水平已按此校正。第三，需求指数由显示性行为合成，解释变量由压力与进程变量构成，两者信息源不同，同义反复问题可以排除；反向因果——标准需求反过来影响碳强度或转型进程——在逻辑上须经由标准供给与实施方能实现，且以滞后一期解释变量重新估计后主要结果保持稳健。</w:t>
      </w:r>
    </w:p>
    <w:p>
      <w:pPr>
        <w:keepNext/>
        <w:spacing w:before="160" w:after="120" w:line="360" w:lineRule="auto"/>
        <w:outlineLvl w:val="2"/>
      </w:pPr>
      <w:r>
        <w:rPr>
          <w:rFonts w:ascii="黑体" w:hAnsi="黑体" w:eastAsia="黑体"/>
          <w:sz w:val="24"/>
        </w:rPr>
        <w:t>8.4.2  回归结果与弹性解读</w:t>
      </w:r>
    </w:p>
    <w:p>
      <w:pPr>
        <w:spacing w:line="360" w:lineRule="auto" w:after="0"/>
        <w:ind w:firstLineChars="200" w:firstLine="480"/>
        <w:jc w:val="both"/>
      </w:pPr>
      <w:r>
        <w:rPr>
          <w:rFonts w:ascii="宋体" w:hAnsi="宋体" w:eastAsia="宋体"/>
          <w:sz w:val="24"/>
        </w:rPr>
        <w:t>表8.2报告估计结果。四个驱动因素的系数全部为正，其中碳排放系数、绿色转型进程与CBAM压力在1%水平上显著，减排约束在5%水平上显著；模型解释了需求指数变异的71%。这一结果构成需求内生化设定的直接经验支持：行业标准需求不是政策文件的镜像，而是可以由排放属性、转型进程与内外规制压力系统解释的内生变量，式(8-1)的四元结构得到数据的整体确认。</w:t>
      </w:r>
    </w:p>
    <w:p>
      <w:pPr>
        <w:keepNext/>
        <w:spacing w:before="160" w:after="40"/>
        <w:jc w:val="center"/>
      </w:pPr>
      <w:r>
        <w:rPr>
          <w:rFonts w:ascii="黑体" w:hAnsi="黑体" w:eastAsia="黑体"/>
          <w:sz w:val="21"/>
        </w:rPr>
        <w:t>表8.2  标准需求驱动因素的面板回归结果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解释变量</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预期符号</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系数（标准误）</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t值</w:t>
            </w:r>
          </w:p>
        </w:tc>
      </w:tr>
      <w:tr>
        <w:tc>
          <w:tcPr>
            <w:tcW w:type="dxa" w:w="2126"/>
            <w:vAlign w:val="center"/>
          </w:tcPr>
          <w:p>
            <w:pPr>
              <w:spacing w:line="240" w:lineRule="auto" w:after="20" w:before="20"/>
              <w:jc w:val="left"/>
            </w:pPr>
            <w:r/>
            <w:r>
              <w:rPr>
                <w:rFonts w:ascii="宋体" w:hAnsi="宋体" w:eastAsia="宋体"/>
                <w:sz w:val="21"/>
              </w:rPr>
              <w:t>碳排放系数（CI）</w:t>
            </w:r>
          </w:p>
        </w:tc>
        <w:tc>
          <w:tcPr>
            <w:tcW w:type="dxa" w:w="2126"/>
            <w:vAlign w:val="center"/>
          </w:tcPr>
          <w:p>
            <w:pPr>
              <w:spacing w:line="240" w:lineRule="auto" w:after="20" w:before="20"/>
              <w:jc w:val="center"/>
            </w:pPr>
            <w:r/>
            <w:r>
              <w:rPr>
                <w:rFonts w:ascii="宋体" w:hAnsi="宋体" w:eastAsia="宋体"/>
                <w:sz w:val="21"/>
              </w:rPr>
              <w:t>+</w:t>
            </w:r>
          </w:p>
        </w:tc>
        <w:tc>
          <w:tcPr>
            <w:tcW w:type="dxa" w:w="2126"/>
            <w:vAlign w:val="center"/>
          </w:tcPr>
          <w:p>
            <w:pPr>
              <w:spacing w:line="240" w:lineRule="auto" w:after="20" w:before="20"/>
              <w:jc w:val="center"/>
            </w:pPr>
            <w:r/>
            <w:r>
              <w:rPr>
                <w:rFonts w:ascii="宋体" w:hAnsi="宋体" w:eastAsia="宋体"/>
                <w:sz w:val="21"/>
              </w:rPr>
              <w:t>0.284***</w:t>
              <w:br/>
              <w:t>(0.061)</w:t>
            </w:r>
          </w:p>
        </w:tc>
        <w:tc>
          <w:tcPr>
            <w:tcW w:type="dxa" w:w="2126"/>
            <w:vAlign w:val="center"/>
          </w:tcPr>
          <w:p>
            <w:pPr>
              <w:spacing w:line="240" w:lineRule="auto" w:after="20" w:before="20"/>
              <w:jc w:val="center"/>
            </w:pPr>
            <w:r/>
            <w:r>
              <w:rPr>
                <w:rFonts w:ascii="宋体" w:hAnsi="宋体" w:eastAsia="宋体"/>
                <w:sz w:val="21"/>
              </w:rPr>
              <w:t>4.66</w:t>
            </w:r>
          </w:p>
        </w:tc>
      </w:tr>
      <w:tr>
        <w:tc>
          <w:tcPr>
            <w:tcW w:type="dxa" w:w="2126"/>
            <w:vAlign w:val="center"/>
          </w:tcPr>
          <w:p>
            <w:pPr>
              <w:spacing w:line="240" w:lineRule="auto" w:after="20" w:before="20"/>
              <w:jc w:val="left"/>
            </w:pPr>
            <w:r/>
            <w:r>
              <w:rPr>
                <w:rFonts w:ascii="宋体" w:hAnsi="宋体" w:eastAsia="宋体"/>
                <w:sz w:val="21"/>
              </w:rPr>
              <w:t>绿色转型进程（GT）</w:t>
            </w:r>
          </w:p>
        </w:tc>
        <w:tc>
          <w:tcPr>
            <w:tcW w:type="dxa" w:w="2126"/>
            <w:vAlign w:val="center"/>
          </w:tcPr>
          <w:p>
            <w:pPr>
              <w:spacing w:line="240" w:lineRule="auto" w:after="20" w:before="20"/>
              <w:jc w:val="center"/>
            </w:pPr>
            <w:r/>
            <w:r>
              <w:rPr>
                <w:rFonts w:ascii="宋体" w:hAnsi="宋体" w:eastAsia="宋体"/>
                <w:sz w:val="21"/>
              </w:rPr>
              <w:t>+</w:t>
            </w:r>
          </w:p>
        </w:tc>
        <w:tc>
          <w:tcPr>
            <w:tcW w:type="dxa" w:w="2126"/>
            <w:vAlign w:val="center"/>
          </w:tcPr>
          <w:p>
            <w:pPr>
              <w:spacing w:line="240" w:lineRule="auto" w:after="20" w:before="20"/>
              <w:jc w:val="center"/>
            </w:pPr>
            <w:r/>
            <w:r>
              <w:rPr>
                <w:rFonts w:ascii="宋体" w:hAnsi="宋体" w:eastAsia="宋体"/>
                <w:sz w:val="21"/>
              </w:rPr>
              <w:t>0.196***</w:t>
              <w:br/>
              <w:t>(0.052)</w:t>
            </w:r>
          </w:p>
        </w:tc>
        <w:tc>
          <w:tcPr>
            <w:tcW w:type="dxa" w:w="2126"/>
            <w:vAlign w:val="center"/>
          </w:tcPr>
          <w:p>
            <w:pPr>
              <w:spacing w:line="240" w:lineRule="auto" w:after="20" w:before="20"/>
              <w:jc w:val="center"/>
            </w:pPr>
            <w:r/>
            <w:r>
              <w:rPr>
                <w:rFonts w:ascii="宋体" w:hAnsi="宋体" w:eastAsia="宋体"/>
                <w:sz w:val="21"/>
              </w:rPr>
              <w:t>3.77</w:t>
            </w:r>
          </w:p>
        </w:tc>
      </w:tr>
      <w:tr>
        <w:tc>
          <w:tcPr>
            <w:tcW w:type="dxa" w:w="2126"/>
            <w:vAlign w:val="center"/>
          </w:tcPr>
          <w:p>
            <w:pPr>
              <w:spacing w:line="240" w:lineRule="auto" w:after="20" w:before="20"/>
              <w:jc w:val="left"/>
            </w:pPr>
            <w:r/>
            <w:r>
              <w:rPr>
                <w:rFonts w:ascii="宋体" w:hAnsi="宋体" w:eastAsia="宋体"/>
                <w:sz w:val="21"/>
              </w:rPr>
              <w:t>减排约束（PC）</w:t>
            </w:r>
          </w:p>
        </w:tc>
        <w:tc>
          <w:tcPr>
            <w:tcW w:type="dxa" w:w="2126"/>
            <w:vAlign w:val="center"/>
          </w:tcPr>
          <w:p>
            <w:pPr>
              <w:spacing w:line="240" w:lineRule="auto" w:after="20" w:before="20"/>
              <w:jc w:val="center"/>
            </w:pPr>
            <w:r/>
            <w:r>
              <w:rPr>
                <w:rFonts w:ascii="宋体" w:hAnsi="宋体" w:eastAsia="宋体"/>
                <w:sz w:val="21"/>
              </w:rPr>
              <w:t>+</w:t>
            </w:r>
          </w:p>
        </w:tc>
        <w:tc>
          <w:tcPr>
            <w:tcW w:type="dxa" w:w="2126"/>
            <w:vAlign w:val="center"/>
          </w:tcPr>
          <w:p>
            <w:pPr>
              <w:spacing w:line="240" w:lineRule="auto" w:after="20" w:before="20"/>
              <w:jc w:val="center"/>
            </w:pPr>
            <w:r/>
            <w:r>
              <w:rPr>
                <w:rFonts w:ascii="宋体" w:hAnsi="宋体" w:eastAsia="宋体"/>
                <w:sz w:val="21"/>
              </w:rPr>
              <w:t>0.152**</w:t>
              <w:br/>
              <w:t>(0.066)</w:t>
            </w:r>
          </w:p>
        </w:tc>
        <w:tc>
          <w:tcPr>
            <w:tcW w:type="dxa" w:w="2126"/>
            <w:vAlign w:val="center"/>
          </w:tcPr>
          <w:p>
            <w:pPr>
              <w:spacing w:line="240" w:lineRule="auto" w:after="20" w:before="20"/>
              <w:jc w:val="center"/>
            </w:pPr>
            <w:r/>
            <w:r>
              <w:rPr>
                <w:rFonts w:ascii="宋体" w:hAnsi="宋体" w:eastAsia="宋体"/>
                <w:sz w:val="21"/>
              </w:rPr>
              <w:t>2.30</w:t>
            </w:r>
          </w:p>
        </w:tc>
      </w:tr>
      <w:tr>
        <w:tc>
          <w:tcPr>
            <w:tcW w:type="dxa" w:w="2126"/>
            <w:vAlign w:val="center"/>
          </w:tcPr>
          <w:p>
            <w:pPr>
              <w:spacing w:line="240" w:lineRule="auto" w:after="20" w:before="20"/>
              <w:jc w:val="left"/>
            </w:pPr>
            <w:r/>
            <w:r>
              <w:rPr>
                <w:rFonts w:ascii="宋体" w:hAnsi="宋体" w:eastAsia="宋体"/>
                <w:sz w:val="21"/>
              </w:rPr>
              <w:t>CBAM压力（CBAM）</w:t>
            </w:r>
          </w:p>
        </w:tc>
        <w:tc>
          <w:tcPr>
            <w:tcW w:type="dxa" w:w="2126"/>
            <w:vAlign w:val="center"/>
          </w:tcPr>
          <w:p>
            <w:pPr>
              <w:spacing w:line="240" w:lineRule="auto" w:after="20" w:before="20"/>
              <w:jc w:val="center"/>
            </w:pPr>
            <w:r/>
            <w:r>
              <w:rPr>
                <w:rFonts w:ascii="宋体" w:hAnsi="宋体" w:eastAsia="宋体"/>
                <w:sz w:val="21"/>
              </w:rPr>
              <w:t>+</w:t>
            </w:r>
          </w:p>
        </w:tc>
        <w:tc>
          <w:tcPr>
            <w:tcW w:type="dxa" w:w="2126"/>
            <w:vAlign w:val="center"/>
          </w:tcPr>
          <w:p>
            <w:pPr>
              <w:spacing w:line="240" w:lineRule="auto" w:after="20" w:before="20"/>
              <w:jc w:val="center"/>
            </w:pPr>
            <w:r/>
            <w:r>
              <w:rPr>
                <w:rFonts w:ascii="宋体" w:hAnsi="宋体" w:eastAsia="宋体"/>
                <w:sz w:val="21"/>
              </w:rPr>
              <w:t>0.208***</w:t>
              <w:br/>
              <w:t>(0.057)</w:t>
            </w:r>
          </w:p>
        </w:tc>
        <w:tc>
          <w:tcPr>
            <w:tcW w:type="dxa" w:w="2126"/>
            <w:vAlign w:val="center"/>
          </w:tcPr>
          <w:p>
            <w:pPr>
              <w:spacing w:line="240" w:lineRule="auto" w:after="20" w:before="20"/>
              <w:jc w:val="center"/>
            </w:pPr>
            <w:r/>
            <w:r>
              <w:rPr>
                <w:rFonts w:ascii="宋体" w:hAnsi="宋体" w:eastAsia="宋体"/>
                <w:sz w:val="21"/>
              </w:rPr>
              <w:t>3.65</w:t>
            </w:r>
          </w:p>
        </w:tc>
      </w:tr>
      <w:tr>
        <w:tc>
          <w:tcPr>
            <w:tcW w:type="dxa" w:w="2126"/>
            <w:vAlign w:val="center"/>
          </w:tcPr>
          <w:p>
            <w:pPr>
              <w:spacing w:line="240" w:lineRule="auto" w:after="20" w:before="20"/>
              <w:jc w:val="left"/>
            </w:pPr>
            <w:r/>
            <w:r>
              <w:rPr>
                <w:rFonts w:ascii="宋体" w:hAnsi="宋体" w:eastAsia="宋体"/>
                <w:sz w:val="21"/>
              </w:rPr>
              <w:t>行业固定效应</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控制</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r>
              <w:rPr>
                <w:rFonts w:ascii="宋体" w:hAnsi="宋体" w:eastAsia="宋体"/>
                <w:sz w:val="21"/>
              </w:rPr>
              <w:t>年份固定效应</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控制</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r>
              <w:rPr>
                <w:rFonts w:ascii="宋体" w:hAnsi="宋体" w:eastAsia="宋体"/>
                <w:sz w:val="21"/>
              </w:rPr>
              <w:t>样本量</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88</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r>
              <w:rPr>
                <w:rFonts w:ascii="宋体" w:hAnsi="宋体" w:eastAsia="宋体"/>
                <w:sz w:val="21"/>
              </w:rPr>
              <w:t>R</w:t>
            </w:r>
            <w:r>
              <w:rPr>
                <w:rFonts w:ascii="宋体" w:hAnsi="宋体" w:eastAsia="宋体"/>
                <w:sz w:val="21"/>
                <w:vertAlign w:val="superscript"/>
              </w:rPr>
              <w:t>2</w:t>
            </w:r>
          </w:p>
        </w:tc>
        <w:tc>
          <w:tcPr>
            <w:tcW w:type="dxa" w:w="2126"/>
            <w:vAlign w:val="center"/>
          </w:tcPr>
          <w:p>
            <w:pPr>
              <w:spacing w:line="240" w:lineRule="auto" w:after="20" w:before="20"/>
              <w:jc w:val="center"/>
            </w:pPr>
            <w:r/>
          </w:p>
        </w:tc>
        <w:tc>
          <w:tcPr>
            <w:tcW w:type="dxa" w:w="2126"/>
            <w:vAlign w:val="center"/>
          </w:tcPr>
          <w:p>
            <w:pPr>
              <w:spacing w:line="240" w:lineRule="auto" w:after="20" w:before="20"/>
              <w:jc w:val="center"/>
            </w:pPr>
            <w:r/>
            <w:r>
              <w:rPr>
                <w:rFonts w:ascii="宋体" w:hAnsi="宋体" w:eastAsia="宋体"/>
                <w:sz w:val="21"/>
              </w:rPr>
              <w:t>0.71</w:t>
            </w:r>
          </w:p>
        </w:tc>
        <w:tc>
          <w:tcPr>
            <w:tcW w:type="dxa" w:w="2126"/>
            <w:vAlign w:val="center"/>
          </w:tcPr>
          <w:p>
            <w:pPr>
              <w:spacing w:line="240" w:lineRule="auto" w:after="20" w:before="20"/>
              <w:jc w:val="center"/>
            </w:pPr>
            <w:r/>
          </w:p>
        </w:tc>
      </w:tr>
    </w:tbl>
    <w:p>
      <w:pPr>
        <w:spacing w:after="200" w:line="240" w:lineRule="auto"/>
      </w:pPr>
      <w:r>
        <w:rPr>
          <w:rFonts w:ascii="宋体" w:hAnsi="宋体" w:eastAsia="宋体"/>
          <w:sz w:val="18"/>
        </w:rPr>
        <w:t>注：被解释变量为标准需求指数</w:t>
      </w:r>
      <m:oMath>
        <m:sSub>
          <m:e>
            <m:r>
              <m:t>D</m:t>
            </m:r>
          </m:e>
          <m:sub>
            <m:r>
              <m:t>k</m:t>
            </m:r>
            <m:r>
              <m:t>t</m:t>
            </m:r>
          </m:sub>
        </m:sSub>
      </m:oMath>
      <w:r>
        <w:rPr>
          <w:rFonts w:ascii="宋体" w:hAnsi="宋体" w:eastAsia="宋体"/>
          <w:sz w:val="18"/>
        </w:rPr>
        <w:t>；括号内为野生聚类自助标准误；*</w:t>
      </w:r>
      <w:r>
        <w:rPr>
          <w:rFonts w:ascii="宋体" w:hAnsi="宋体" w:eastAsia="宋体"/>
          <w:b/>
          <w:sz w:val="18"/>
        </w:rPr>
        <w:t>、</w:t>
      </w:r>
      <w:r>
        <w:rPr>
          <w:rFonts w:ascii="宋体" w:hAnsi="宋体" w:eastAsia="宋体"/>
          <w:sz w:val="18"/>
        </w:rPr>
        <w:t>分别表示在1%、5%的水平上显著；全部变量经零均值—单位方差标准化。数据来源：本书面板回归估计结果。</w:t>
      </w:r>
    </w:p>
    <w:p>
      <w:pPr>
        <w:spacing w:line="360" w:lineRule="auto" w:after="0"/>
        <w:ind w:firstLineChars="200" w:firstLine="480"/>
        <w:jc w:val="both"/>
      </w:pPr>
      <w:r>
        <w:rPr>
          <w:rFonts w:ascii="宋体" w:hAnsi="宋体" w:eastAsia="宋体"/>
          <w:sz w:val="24"/>
        </w:rPr>
        <w:t>碳排放系数的标准化系数为0.284，在1%水平上显著，于四因素中居首，单独贡献了四系数合计解释力的33.8%。其经济含义是：行业排放属性每提高一个标准差，标准需求指数上升0.284个标准差。排放属性是标准需求的“基本盘”——碳排放规模与强度决定了计量、监测、报告、核查义务的密度，也决定了行业被纳入碳市场、双控考核与国际规制的优先序。这一发现与第5章“碳排放核算标准居于体系枢纽”的结论互为印证：需求端排放属性主导，供给端核算标准先行，供需两侧在“核算优先”上的呼应，正是标准体系演化内生逻辑的体现。</w:t>
      </w:r>
    </w:p>
    <w:p>
      <w:pPr>
        <w:spacing w:line="360" w:lineRule="auto" w:after="0"/>
        <w:ind w:firstLineChars="200" w:firstLine="480"/>
        <w:jc w:val="both"/>
      </w:pPr>
      <w:r>
        <w:rPr>
          <w:rFonts w:ascii="宋体" w:hAnsi="宋体" w:eastAsia="宋体"/>
          <w:sz w:val="24"/>
        </w:rPr>
        <w:t>CBAM压力的系数为0.208，仅次于碳排放系数（相对贡献24.8%），且在1%水平上显著。一个欧盟单边规制变量对中国国内行业标准需求的解释力超过国内转型进程本身，是本章最富含义的发现之一：它以行业面板证据印证了“布鲁塞尔效应”的传导机制——欧盟凭借市场规模将其规制标准外部化，出口企业为保住市场准入而主动对标（Bradford，2020；刘梦佳和李志永，2025）。传导链条在样本期内清晰可见：2023年10月CBAM进入过渡期后，对欧出口企业即须按季度申报产品隐含排放，申报即需核算，核算即需标准；2026年正式征收后，缺乏可核证排放数据的企业将按默认值缴费，标准缺口直接转化为真金白银的关税负担——2026年第一季度CBAM证书价格为75.36欧元/吨。值得注意的是，这一压力还将持续抬升：2025年Omnibus简化改革以每年50吨的免税门槛豁免了约九成中小进口商，却仍保留约99%的隐含排放覆盖，规制重心恰恰锁定在本章样本所代表的大宗高碳出口行业（Bellora和Fontagné，2023；张兵兵等，2025）。</w:t>
      </w:r>
    </w:p>
    <w:p>
      <w:pPr>
        <w:spacing w:line="360" w:lineRule="auto" w:after="0"/>
        <w:ind w:firstLineChars="200" w:firstLine="480"/>
        <w:jc w:val="both"/>
      </w:pPr>
      <w:r>
        <w:rPr>
          <w:rFonts w:ascii="宋体" w:hAnsi="宋体" w:eastAsia="宋体"/>
          <w:sz w:val="24"/>
        </w:rPr>
        <w:t>绿色转型进程的系数为0.196，在1%水平上显著，表明需求的扩张不仅来自压力，也来自转型自身的深化：绿色投资、专利与能源替代每推进一个标准差，认证、评价与金融类标准需求随之上升约0.2个标准差，与派生需求的逻辑一致。减排约束的系数为0.152，显著性与量级均为四者中最低，这一“意料之外、情理之中”的结果值得细读：其一，行政约束的相当部分效力经由推高转型活动与排放约束的显性化而间接实现，已被CI与GT吸收，该系数度量的只是净效应；其二，年份固定效应吸收了全国统一的政策大年冲击，PC识别的是行业间的约束差异；其三，也是最重要的，它说明真实标准需求主要由产业的排放属性与转型行为驱动，行政指标的直接贡献居于次席——这恰恰反过来证明了以真实路径而非政策目标度量需求的必要性：若需求果真由政策目标定义，PC的系数不应最小。</w:t>
      </w:r>
    </w:p>
    <w:p>
      <w:pPr>
        <w:spacing w:line="360" w:lineRule="auto" w:after="0"/>
        <w:ind w:firstLineChars="200" w:firstLine="480"/>
        <w:jc w:val="both"/>
      </w:pPr>
      <w:r>
        <w:rPr>
          <w:rFonts w:ascii="宋体" w:hAnsi="宋体" w:eastAsia="宋体"/>
          <w:sz w:val="24"/>
        </w:rPr>
        <w:t>稳健性检验从四个方向展开：逐一剔除单个行业重新估计，系数排序不变，表明结果不由个别行业驱动；以滞后一期解释变量重新估计以缓解同期反向因果，主要系数量级基本不变，其思路与动态面板文献以两步系统广义矩估计缓解内生性的做法一致（蔡鑫宇，2025）；以行业增加值加权最小二乘重新估计，结论稳健；以需求指数的六个分项分别作被解释变量，CI与CBAM对核算与申报相关分项的解释力最强，GT对认证与金融分项的解释力最强，驱动因素与需求结构之间的“对口”关系进一步支持了机制解释。回归确立的需求函数不仅服务于本章错配测算的交叉验证，也为第9章预测“十五五”时期行业标准需求提供了参数基础。</w:t>
      </w:r>
    </w:p>
    <w:p>
      <w:pPr>
        <w:keepNext/>
        <w:spacing w:before="160" w:after="120" w:line="360" w:lineRule="auto"/>
        <w:outlineLvl w:val="1"/>
      </w:pPr>
      <w:r>
        <w:rPr>
          <w:rFonts w:ascii="黑体" w:hAnsi="黑体" w:eastAsia="黑体"/>
          <w:sz w:val="28"/>
        </w:rPr>
        <w:t>8.5  行业错配的测算结果</w:t>
      </w:r>
    </w:p>
    <w:p>
      <w:pPr>
        <w:keepNext/>
        <w:spacing w:before="160" w:after="120" w:line="360" w:lineRule="auto"/>
        <w:outlineLvl w:val="2"/>
      </w:pPr>
      <w:r>
        <w:rPr>
          <w:rFonts w:ascii="黑体" w:hAnsi="黑体" w:eastAsia="黑体"/>
          <w:sz w:val="24"/>
        </w:rPr>
        <w:t>8.5.1  总体格局：错配的持续收敛</w:t>
      </w:r>
    </w:p>
    <w:p>
      <w:pPr>
        <w:spacing w:line="360" w:lineRule="auto" w:after="0"/>
        <w:ind w:firstLineChars="200" w:firstLine="480"/>
        <w:jc w:val="both"/>
      </w:pPr>
      <w:r>
        <w:rPr>
          <w:rFonts w:ascii="宋体" w:hAnsi="宋体" w:eastAsia="宋体"/>
          <w:sz w:val="24"/>
        </w:rPr>
        <w:t>先看总量。按式(8-4)以碳排放加权的综合错配指数由2015年的0.51降至2020年的0.44，再降至2025年的0.35，十年间累计下降31.4%，年均下降约0.016。分阶段看，2015—2020年年均降幅为0.014，2020—2025年提高到0.018，“双碳”宣示后错配收敛明显提速。提速的供给面动因清晰可考：2022年10月九部门印发《建立健全碳达峰碳中和标准计量体系实施方案》，2023年4月十一部门发布《碳达峰碳中和标准体系建设指南》并提出到2025年制修订不少于1000项国家标准和行业标准，2024年8月的行动方案进一步部署当年发布70项碳核算、碳足迹等国家标准（国家标准化管理委员会等，2023）——政策化的供给放量在需求同样加速的背景下依然压低了错配，说明样本后半段供给增速超过了需求增速。</w:t>
      </w:r>
    </w:p>
    <w:p>
      <w:pPr>
        <w:spacing w:line="360" w:lineRule="auto" w:after="0"/>
        <w:ind w:firstLineChars="200" w:firstLine="480"/>
        <w:jc w:val="both"/>
      </w:pPr>
      <w:r>
        <w:rPr>
          <w:rFonts w:ascii="宋体" w:hAnsi="宋体" w:eastAsia="宋体"/>
          <w:sz w:val="24"/>
        </w:rPr>
        <w:t>综合指数的变动可进一步分解为行业错配变动与排放结构变动两部分：</w:t>
      </w:r>
    </w:p>
    <w:p>
      <w:pPr>
        <w:tabs>
          <w:tab w:pos="4252" w:val="center"/>
          <w:tab w:pos="8504" w:val="right"/>
        </w:tabs>
        <w:spacing w:line="360" w:lineRule="auto" w:before="80" w:after="80"/>
      </w:pPr>
      <w:r>
        <w:tab/>
      </w:r>
      <m:oMath>
        <m:r>
          <m:t>Δ</m:t>
        </m:r>
        <m:sSup>
          <m:e>
            <m:r>
              <m:rPr>
                <m:sty m:val="p"/>
              </m:rPr>
              <m:t>S</m:t>
            </m:r>
            <m:r>
              <m:rPr>
                <m:sty m:val="p"/>
              </m:rPr>
              <m:t>S</m:t>
            </m:r>
            <m:r>
              <m:rPr>
                <m:sty m:val="p"/>
              </m:rPr>
              <m:t>D</m:t>
            </m:r>
            <m:r>
              <m:rPr>
                <m:sty m:val="p"/>
              </m:rPr>
              <m:t>M</m:t>
            </m:r>
            <m:r>
              <m:rPr>
                <m:sty m:val="p"/>
              </m:rPr>
              <m:t>I</m:t>
            </m:r>
          </m:e>
          <m:sup>
            <m:r>
              <m:t>w</m:t>
            </m:r>
          </m:sup>
        </m:sSup>
        <m:r>
          <m:rPr>
            <m:sty m:val="p"/>
          </m:rPr>
          <m:t>=</m:t>
        </m:r>
        <m:nary>
          <m:naryPr>
            <m:chr m:val="∑"/>
            <m:limLoc m:val="undOvr"/>
            <m:subHide m:val="off"/>
            <m:supHide m:val="off"/>
          </m:naryPr>
          <m:sub>
            <m:r>
              <m:t>k</m:t>
            </m:r>
            <m:r>
              <m:rPr>
                <m:sty m:val="p"/>
              </m:rPr>
              <m:t>=</m:t>
            </m:r>
            <m:r>
              <m:t>1</m:t>
            </m:r>
          </m:sub>
          <m:sup>
            <m:r>
              <m:t>8</m:t>
            </m:r>
          </m:sup>
          <m:e>
            <m:sSub>
              <m:e>
                <m:acc>
                  <m:accPr>
                    <m:chr m:val="‾"/>
                  </m:accPr>
                  <m:e>
                    <m:r>
                      <m:t>w</m:t>
                    </m:r>
                  </m:e>
                </m:acc>
              </m:e>
              <m:sub>
                <m:r>
                  <m:t>k</m:t>
                </m:r>
              </m:sub>
            </m:sSub>
          </m:e>
        </m:nary>
        <m:r>
          <m:t> </m:t>
        </m:r>
        <m:r>
          <m:t>Δ</m:t>
        </m:r>
        <m:sSub>
          <m:e>
            <m:r>
              <m:rPr>
                <m:sty m:val="p"/>
              </m:rPr>
              <m:t>S</m:t>
            </m:r>
            <m:r>
              <m:rPr>
                <m:sty m:val="p"/>
              </m:rPr>
              <m:t>S</m:t>
            </m:r>
            <m:r>
              <m:rPr>
                <m:sty m:val="p"/>
              </m:rPr>
              <m:t>D</m:t>
            </m:r>
            <m:r>
              <m:rPr>
                <m:sty m:val="p"/>
              </m:rPr>
              <m:t>M</m:t>
            </m:r>
            <m:r>
              <m:rPr>
                <m:sty m:val="p"/>
              </m:rPr>
              <m:t>I</m:t>
            </m:r>
          </m:e>
          <m:sub>
            <m:r>
              <m:t>k</m:t>
            </m:r>
          </m:sub>
        </m:sSub>
        <m:r>
          <m:rPr>
            <m:sty m:val="p"/>
          </m:rPr>
          <m:t>+</m:t>
        </m:r>
        <m:nary>
          <m:naryPr>
            <m:chr m:val="∑"/>
            <m:limLoc m:val="undOvr"/>
            <m:subHide m:val="off"/>
            <m:supHide m:val="off"/>
          </m:naryPr>
          <m:sub>
            <m:r>
              <m:t>k</m:t>
            </m:r>
            <m:r>
              <m:rPr>
                <m:sty m:val="p"/>
              </m:rPr>
              <m:t>=</m:t>
            </m:r>
            <m:r>
              <m:t>1</m:t>
            </m:r>
          </m:sub>
          <m:sup>
            <m:r>
              <m:t>8</m:t>
            </m:r>
          </m:sup>
          <m:e>
            <m:r>
              <m:t>Δ</m:t>
            </m:r>
          </m:e>
        </m:nary>
        <m:sSub>
          <m:e>
            <m:r>
              <m:t>w</m:t>
            </m:r>
          </m:e>
          <m:sub>
            <m:r>
              <m:t>k</m:t>
            </m:r>
          </m:sub>
        </m:sSub>
        <m:r>
          <m:t> </m:t>
        </m:r>
        <m:sSub>
          <m:e>
            <m:bar>
              <m:barPr>
                <m:pos m:val="top"/>
              </m:barPr>
              <m:e>
                <m:r>
                  <m:rPr>
                    <m:sty m:val="p"/>
                  </m:rPr>
                  <m:t>S</m:t>
                </m:r>
                <m:r>
                  <m:rPr>
                    <m:sty m:val="p"/>
                  </m:rPr>
                  <m:t>S</m:t>
                </m:r>
                <m:r>
                  <m:rPr>
                    <m:sty m:val="p"/>
                  </m:rPr>
                  <m:t>D</m:t>
                </m:r>
                <m:r>
                  <m:rPr>
                    <m:sty m:val="p"/>
                  </m:rPr>
                  <m:t>M</m:t>
                </m:r>
                <m:r>
                  <m:rPr>
                    <m:sty m:val="p"/>
                  </m:rPr>
                  <m:t>I</m:t>
                </m:r>
              </m:e>
            </m:bar>
          </m:e>
          <m:sub>
            <m:r>
              <m:t>k</m:t>
            </m:r>
          </m:sub>
        </m:sSub>
      </m:oMath>
      <w:r>
        <w:tab/>
      </w:r>
      <w:r>
        <w:rPr>
          <w:rFonts w:ascii="Times New Roman" w:hAnsi="Times New Roman" w:eastAsia="宋体"/>
          <w:sz w:val="24"/>
        </w:rPr>
        <w:t>(8-6)</w:t>
      </w:r>
    </w:p>
    <w:p>
      <w:pPr>
        <w:spacing w:line="360" w:lineRule="auto" w:after="0"/>
        <w:jc w:val="both"/>
      </w:pPr>
      <w:r>
        <w:rPr>
          <w:rFonts w:ascii="宋体" w:hAnsi="宋体" w:eastAsia="宋体"/>
          <w:sz w:val="24"/>
        </w:rPr>
        <w:t>其中，右端第一项为强度效应，即各行业自身错配改善在平均排放结构下的贡献；第二项为结构效应，即排放份额向低（高）错配行业转移的贡献；上划线表示期内均值。</w:t>
      </w:r>
    </w:p>
    <w:p>
      <w:pPr>
        <w:spacing w:line="360" w:lineRule="auto" w:after="0"/>
        <w:ind w:firstLineChars="200" w:firstLine="480"/>
        <w:jc w:val="both"/>
      </w:pPr>
      <w:r>
        <w:rPr>
          <w:rFonts w:ascii="宋体" w:hAnsi="宋体" w:eastAsia="宋体"/>
          <w:sz w:val="24"/>
        </w:rPr>
        <w:t>分解显示强度效应占绝对主导，结构效应为小幅的同向补充——排放份额在样本期内向错配较低的电力行业集中（终端电气化推进的自然结果），略微加快了综合指数的下行。另一层信息藏在加权与不加权的对比之中：2015年加权综合指数（0.51）明显高于八行业简单平均（0.483），说明彼时排放权重越大的行业错配越严重，碳排放大户恰是标准缺口大户；到2025年两者已基本重合（0.35对0.356），这种“排放—缺口”正相关明显弱化，供给资源向高排放行业倾斜的再配置初见成效。</w:t>
      </w:r>
    </w:p>
    <w:p>
      <w:pPr>
        <w:spacing w:line="360" w:lineRule="auto" w:after="0"/>
        <w:ind w:firstLineChars="200" w:firstLine="480"/>
        <w:jc w:val="both"/>
      </w:pPr>
      <w:r>
        <w:rPr>
          <w:rFonts w:ascii="宋体" w:hAnsi="宋体" w:eastAsia="宋体"/>
          <w:sz w:val="24"/>
        </w:rPr>
        <w:t>图8.2以热力图形式呈现八行业、十一年的错配全景。由图8.2可见，颜色由左向右整体转浅，但转浅的节奏呈现清晰的“行业带”与“年份带”结构。行维度上，铝冶炼、钢铁、化肥构成贯穿始终的深色带，即便到2025年仍处于色阶上段；电力与纺织构成浅色带，与深色带之间的色差在十一年间清晰可辨、始终未消。列维度上，2020年与2023年前后出现两次明显的整体转浅：前者对应“双碳”宣示后供给放量的启动，后者对应《建设指南》发布与碳市场扩围预期下行业标准的集中出台。最深单元出现在2015年的铝冶炼（0.57），最浅单元为2025年的纺织（0.22），两端跨度直观勾勒出错配问题的行业分化之大。</w:t>
      </w:r>
    </w:p>
    <w:p>
      <w:pPr>
        <w:spacing w:before="120" w:after="40"/>
        <w:jc w:val="center"/>
      </w:pPr>
      <w:r>
        <w:drawing>
          <wp:inline xmlns:a="http://schemas.openxmlformats.org/drawingml/2006/main" xmlns:pic="http://schemas.openxmlformats.org/drawingml/2006/picture">
            <wp:extent cx="4860000" cy="2642459"/>
            <wp:docPr id="26" name="Picture 26"/>
            <wp:cNvGraphicFramePr>
              <a:graphicFrameLocks noChangeAspect="1"/>
            </wp:cNvGraphicFramePr>
            <a:graphic>
              <a:graphicData uri="http://schemas.openxmlformats.org/drawingml/2006/picture">
                <pic:pic>
                  <pic:nvPicPr>
                    <pic:cNvPr id="0" name="fig8_2.png"/>
                    <pic:cNvPicPr/>
                  </pic:nvPicPr>
                  <pic:blipFill>
                    <a:blip r:embed="rId34"/>
                    <a:stretch>
                      <a:fillRect/>
                    </a:stretch>
                  </pic:blipFill>
                  <pic:spPr>
                    <a:xfrm>
                      <a:off x="0" y="0"/>
                      <a:ext cx="4860000" cy="2642459"/>
                    </a:xfrm>
                    <a:prstGeom prst="rect"/>
                  </pic:spPr>
                </pic:pic>
              </a:graphicData>
            </a:graphic>
          </wp:inline>
        </w:drawing>
      </w:r>
    </w:p>
    <w:p>
      <w:pPr>
        <w:keepNext w:val="0"/>
        <w:spacing w:after="200"/>
        <w:jc w:val="center"/>
      </w:pPr>
      <w:r>
        <w:rPr>
          <w:rFonts w:ascii="黑体" w:hAnsi="黑体" w:eastAsia="黑体"/>
          <w:sz w:val="21"/>
        </w:rPr>
        <w:t>图8.2  八大高碳行业标准供需错配热力图（2015—2025）</w:t>
      </w:r>
    </w:p>
    <w:p>
      <w:pPr>
        <w:keepNext/>
        <w:spacing w:before="160" w:after="120" w:line="360" w:lineRule="auto"/>
        <w:outlineLvl w:val="2"/>
      </w:pPr>
      <w:r>
        <w:rPr>
          <w:rFonts w:ascii="黑体" w:hAnsi="黑体" w:eastAsia="黑体"/>
          <w:sz w:val="24"/>
        </w:rPr>
        <w:t>8.5.2  行业分化：排序刚性与梯度改善</w:t>
      </w:r>
    </w:p>
    <w:p>
      <w:pPr>
        <w:spacing w:line="360" w:lineRule="auto" w:after="0"/>
        <w:ind w:firstLineChars="200" w:firstLine="480"/>
        <w:jc w:val="both"/>
      </w:pPr>
      <w:r>
        <w:rPr>
          <w:rFonts w:ascii="宋体" w:hAnsi="宋体" w:eastAsia="宋体"/>
          <w:sz w:val="24"/>
        </w:rPr>
        <w:t>表8.3报告八行业隔年错配指数与十年相对降幅，行业按2025年错配水平降序排列，加权综合指数列于末行以资对照。</w:t>
      </w:r>
    </w:p>
    <w:p>
      <w:pPr>
        <w:keepNext/>
        <w:spacing w:before="160" w:after="40"/>
        <w:jc w:val="center"/>
      </w:pPr>
      <w:r>
        <w:rPr>
          <w:rFonts w:ascii="黑体" w:hAnsi="黑体" w:eastAsia="黑体"/>
          <w:sz w:val="21"/>
        </w:rPr>
        <w:t>表8.3  八大高碳行业标准供需错配指数测算结果（2015—2025）</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063"/>
        <w:gridCol w:w="1063"/>
        <w:gridCol w:w="1063"/>
        <w:gridCol w:w="1063"/>
        <w:gridCol w:w="1063"/>
        <w:gridCol w:w="1063"/>
        <w:gridCol w:w="1063"/>
        <w:gridCol w:w="1063"/>
      </w:tblGrid>
      <w:tr>
        <w:tc>
          <w:tcPr>
            <w:tcW w:type="dxa" w:w="1063"/>
            <w:tcBorders>
              <w:bottom w:val="single" w:sz="6" w:color="000000"/>
            </w:tcBorders>
            <w:vAlign w:val="center"/>
          </w:tcPr>
          <w:p>
            <w:pPr>
              <w:spacing w:line="240" w:lineRule="auto" w:after="20" w:before="20"/>
              <w:jc w:val="center"/>
            </w:pPr>
            <w:r/>
            <w:r>
              <w:rPr>
                <w:rFonts w:ascii="宋体" w:hAnsi="宋体" w:eastAsia="宋体"/>
                <w:b/>
                <w:sz w:val="18"/>
              </w:rPr>
              <w:t>行业</w:t>
            </w:r>
          </w:p>
        </w:tc>
        <w:tc>
          <w:tcPr>
            <w:tcW w:type="dxa" w:w="1063"/>
            <w:tcBorders>
              <w:bottom w:val="single" w:sz="6" w:color="000000"/>
            </w:tcBorders>
            <w:vAlign w:val="center"/>
          </w:tcPr>
          <w:p>
            <w:pPr>
              <w:spacing w:line="240" w:lineRule="auto" w:after="20" w:before="20"/>
              <w:jc w:val="center"/>
            </w:pPr>
            <w:r/>
            <w:r>
              <w:rPr>
                <w:rFonts w:ascii="宋体" w:hAnsi="宋体" w:eastAsia="宋体"/>
                <w:b/>
                <w:sz w:val="18"/>
              </w:rPr>
              <w:t>2015年</w:t>
            </w:r>
          </w:p>
        </w:tc>
        <w:tc>
          <w:tcPr>
            <w:tcW w:type="dxa" w:w="1063"/>
            <w:tcBorders>
              <w:bottom w:val="single" w:sz="6" w:color="000000"/>
            </w:tcBorders>
            <w:vAlign w:val="center"/>
          </w:tcPr>
          <w:p>
            <w:pPr>
              <w:spacing w:line="240" w:lineRule="auto" w:after="20" w:before="20"/>
              <w:jc w:val="center"/>
            </w:pPr>
            <w:r/>
            <w:r>
              <w:rPr>
                <w:rFonts w:ascii="宋体" w:hAnsi="宋体" w:eastAsia="宋体"/>
                <w:b/>
                <w:sz w:val="18"/>
              </w:rPr>
              <w:t>2017年</w:t>
            </w:r>
          </w:p>
        </w:tc>
        <w:tc>
          <w:tcPr>
            <w:tcW w:type="dxa" w:w="1063"/>
            <w:tcBorders>
              <w:bottom w:val="single" w:sz="6" w:color="000000"/>
            </w:tcBorders>
            <w:vAlign w:val="center"/>
          </w:tcPr>
          <w:p>
            <w:pPr>
              <w:spacing w:line="240" w:lineRule="auto" w:after="20" w:before="20"/>
              <w:jc w:val="center"/>
            </w:pPr>
            <w:r/>
            <w:r>
              <w:rPr>
                <w:rFonts w:ascii="宋体" w:hAnsi="宋体" w:eastAsia="宋体"/>
                <w:b/>
                <w:sz w:val="18"/>
              </w:rPr>
              <w:t>2019年</w:t>
            </w:r>
          </w:p>
        </w:tc>
        <w:tc>
          <w:tcPr>
            <w:tcW w:type="dxa" w:w="1063"/>
            <w:tcBorders>
              <w:bottom w:val="single" w:sz="6" w:color="000000"/>
            </w:tcBorders>
            <w:vAlign w:val="center"/>
          </w:tcPr>
          <w:p>
            <w:pPr>
              <w:spacing w:line="240" w:lineRule="auto" w:after="20" w:before="20"/>
              <w:jc w:val="center"/>
            </w:pPr>
            <w:r/>
            <w:r>
              <w:rPr>
                <w:rFonts w:ascii="宋体" w:hAnsi="宋体" w:eastAsia="宋体"/>
                <w:b/>
                <w:sz w:val="18"/>
              </w:rPr>
              <w:t>2021年</w:t>
            </w:r>
          </w:p>
        </w:tc>
        <w:tc>
          <w:tcPr>
            <w:tcW w:type="dxa" w:w="1063"/>
            <w:tcBorders>
              <w:bottom w:val="single" w:sz="6" w:color="000000"/>
            </w:tcBorders>
            <w:vAlign w:val="center"/>
          </w:tcPr>
          <w:p>
            <w:pPr>
              <w:spacing w:line="240" w:lineRule="auto" w:after="20" w:before="20"/>
              <w:jc w:val="center"/>
            </w:pPr>
            <w:r/>
            <w:r>
              <w:rPr>
                <w:rFonts w:ascii="宋体" w:hAnsi="宋体" w:eastAsia="宋体"/>
                <w:b/>
                <w:sz w:val="18"/>
              </w:rPr>
              <w:t>2023年</w:t>
            </w:r>
          </w:p>
        </w:tc>
        <w:tc>
          <w:tcPr>
            <w:tcW w:type="dxa" w:w="1063"/>
            <w:tcBorders>
              <w:bottom w:val="single" w:sz="6" w:color="000000"/>
            </w:tcBorders>
            <w:vAlign w:val="center"/>
          </w:tcPr>
          <w:p>
            <w:pPr>
              <w:spacing w:line="240" w:lineRule="auto" w:after="20" w:before="20"/>
              <w:jc w:val="center"/>
            </w:pPr>
            <w:r/>
            <w:r>
              <w:rPr>
                <w:rFonts w:ascii="宋体" w:hAnsi="宋体" w:eastAsia="宋体"/>
                <w:b/>
                <w:sz w:val="18"/>
              </w:rPr>
              <w:t>2025年</w:t>
            </w:r>
          </w:p>
        </w:tc>
        <w:tc>
          <w:tcPr>
            <w:tcW w:type="dxa" w:w="1063"/>
            <w:tcBorders>
              <w:bottom w:val="single" w:sz="6" w:color="000000"/>
            </w:tcBorders>
            <w:vAlign w:val="center"/>
          </w:tcPr>
          <w:p>
            <w:pPr>
              <w:spacing w:line="240" w:lineRule="auto" w:after="20" w:before="20"/>
              <w:jc w:val="center"/>
            </w:pPr>
            <w:r/>
            <w:r>
              <w:rPr>
                <w:rFonts w:ascii="宋体" w:hAnsi="宋体" w:eastAsia="宋体"/>
                <w:b/>
                <w:sz w:val="18"/>
              </w:rPr>
              <w:t>十年降幅</w:t>
            </w:r>
          </w:p>
        </w:tc>
      </w:tr>
      <w:tr>
        <w:tc>
          <w:tcPr>
            <w:tcW w:type="dxa" w:w="1063"/>
            <w:vAlign w:val="center"/>
          </w:tcPr>
          <w:p>
            <w:pPr>
              <w:spacing w:line="240" w:lineRule="auto" w:after="20" w:before="20"/>
              <w:jc w:val="left"/>
            </w:pPr>
            <w:r/>
            <w:r>
              <w:rPr>
                <w:rFonts w:ascii="宋体" w:hAnsi="宋体" w:eastAsia="宋体"/>
                <w:sz w:val="18"/>
              </w:rPr>
              <w:t>铝冶炼</w:t>
            </w:r>
          </w:p>
        </w:tc>
        <w:tc>
          <w:tcPr>
            <w:tcW w:type="dxa" w:w="1063"/>
            <w:vAlign w:val="center"/>
          </w:tcPr>
          <w:p>
            <w:pPr>
              <w:spacing w:line="240" w:lineRule="auto" w:after="20" w:before="20"/>
              <w:jc w:val="center"/>
            </w:pPr>
            <w:r/>
            <w:r>
              <w:rPr>
                <w:rFonts w:ascii="宋体" w:hAnsi="宋体" w:eastAsia="宋体"/>
                <w:sz w:val="18"/>
              </w:rPr>
              <w:t>0.570</w:t>
            </w:r>
          </w:p>
        </w:tc>
        <w:tc>
          <w:tcPr>
            <w:tcW w:type="dxa" w:w="1063"/>
            <w:vAlign w:val="center"/>
          </w:tcPr>
          <w:p>
            <w:pPr>
              <w:spacing w:line="240" w:lineRule="auto" w:after="20" w:before="20"/>
              <w:jc w:val="center"/>
            </w:pPr>
            <w:r/>
            <w:r>
              <w:rPr>
                <w:rFonts w:ascii="宋体" w:hAnsi="宋体" w:eastAsia="宋体"/>
                <w:sz w:val="18"/>
              </w:rPr>
              <w:t>0.542</w:t>
            </w:r>
          </w:p>
        </w:tc>
        <w:tc>
          <w:tcPr>
            <w:tcW w:type="dxa" w:w="1063"/>
            <w:vAlign w:val="center"/>
          </w:tcPr>
          <w:p>
            <w:pPr>
              <w:spacing w:line="240" w:lineRule="auto" w:after="20" w:before="20"/>
              <w:jc w:val="center"/>
            </w:pPr>
            <w:r/>
            <w:r>
              <w:rPr>
                <w:rFonts w:ascii="宋体" w:hAnsi="宋体" w:eastAsia="宋体"/>
                <w:sz w:val="18"/>
              </w:rPr>
              <w:t>0.529</w:t>
            </w:r>
          </w:p>
        </w:tc>
        <w:tc>
          <w:tcPr>
            <w:tcW w:type="dxa" w:w="1063"/>
            <w:vAlign w:val="center"/>
          </w:tcPr>
          <w:p>
            <w:pPr>
              <w:spacing w:line="240" w:lineRule="auto" w:after="20" w:before="20"/>
              <w:jc w:val="center"/>
            </w:pPr>
            <w:r/>
            <w:r>
              <w:rPr>
                <w:rFonts w:ascii="宋体" w:hAnsi="宋体" w:eastAsia="宋体"/>
                <w:sz w:val="18"/>
              </w:rPr>
              <w:t>0.503</w:t>
            </w:r>
          </w:p>
        </w:tc>
        <w:tc>
          <w:tcPr>
            <w:tcW w:type="dxa" w:w="1063"/>
            <w:vAlign w:val="center"/>
          </w:tcPr>
          <w:p>
            <w:pPr>
              <w:spacing w:line="240" w:lineRule="auto" w:after="20" w:before="20"/>
              <w:jc w:val="center"/>
            </w:pPr>
            <w:r/>
            <w:r>
              <w:rPr>
                <w:rFonts w:ascii="宋体" w:hAnsi="宋体" w:eastAsia="宋体"/>
                <w:sz w:val="18"/>
              </w:rPr>
              <w:t>0.482</w:t>
            </w:r>
          </w:p>
        </w:tc>
        <w:tc>
          <w:tcPr>
            <w:tcW w:type="dxa" w:w="1063"/>
            <w:vAlign w:val="center"/>
          </w:tcPr>
          <w:p>
            <w:pPr>
              <w:spacing w:line="240" w:lineRule="auto" w:after="20" w:before="20"/>
              <w:jc w:val="center"/>
            </w:pPr>
            <w:r/>
            <w:r>
              <w:rPr>
                <w:rFonts w:ascii="宋体" w:hAnsi="宋体" w:eastAsia="宋体"/>
                <w:sz w:val="18"/>
              </w:rPr>
              <w:t>0.450</w:t>
            </w:r>
          </w:p>
        </w:tc>
        <w:tc>
          <w:tcPr>
            <w:tcW w:type="dxa" w:w="1063"/>
            <w:vAlign w:val="center"/>
          </w:tcPr>
          <w:p>
            <w:pPr>
              <w:spacing w:line="240" w:lineRule="auto" w:after="20" w:before="20"/>
              <w:jc w:val="center"/>
            </w:pPr>
            <w:r/>
            <w:r>
              <w:rPr>
                <w:rFonts w:ascii="宋体" w:hAnsi="宋体" w:eastAsia="宋体"/>
                <w:sz w:val="18"/>
              </w:rPr>
              <w:t>21.1%</w:t>
            </w:r>
          </w:p>
        </w:tc>
      </w:tr>
      <w:tr>
        <w:tc>
          <w:tcPr>
            <w:tcW w:type="dxa" w:w="1063"/>
            <w:vAlign w:val="center"/>
          </w:tcPr>
          <w:p>
            <w:pPr>
              <w:spacing w:line="240" w:lineRule="auto" w:after="20" w:before="20"/>
              <w:jc w:val="left"/>
            </w:pPr>
            <w:r/>
            <w:r>
              <w:rPr>
                <w:rFonts w:ascii="宋体" w:hAnsi="宋体" w:eastAsia="宋体"/>
                <w:sz w:val="18"/>
              </w:rPr>
              <w:t>钢铁</w:t>
            </w:r>
          </w:p>
        </w:tc>
        <w:tc>
          <w:tcPr>
            <w:tcW w:type="dxa" w:w="1063"/>
            <w:vAlign w:val="center"/>
          </w:tcPr>
          <w:p>
            <w:pPr>
              <w:spacing w:line="240" w:lineRule="auto" w:after="20" w:before="20"/>
              <w:jc w:val="center"/>
            </w:pPr>
            <w:r/>
            <w:r>
              <w:rPr>
                <w:rFonts w:ascii="宋体" w:hAnsi="宋体" w:eastAsia="宋体"/>
                <w:sz w:val="18"/>
              </w:rPr>
              <w:t>0.550</w:t>
            </w:r>
          </w:p>
        </w:tc>
        <w:tc>
          <w:tcPr>
            <w:tcW w:type="dxa" w:w="1063"/>
            <w:vAlign w:val="center"/>
          </w:tcPr>
          <w:p>
            <w:pPr>
              <w:spacing w:line="240" w:lineRule="auto" w:after="20" w:before="20"/>
              <w:jc w:val="center"/>
            </w:pPr>
            <w:r/>
            <w:r>
              <w:rPr>
                <w:rFonts w:ascii="宋体" w:hAnsi="宋体" w:eastAsia="宋体"/>
                <w:sz w:val="18"/>
              </w:rPr>
              <w:t>0.507</w:t>
            </w:r>
          </w:p>
        </w:tc>
        <w:tc>
          <w:tcPr>
            <w:tcW w:type="dxa" w:w="1063"/>
            <w:vAlign w:val="center"/>
          </w:tcPr>
          <w:p>
            <w:pPr>
              <w:spacing w:line="240" w:lineRule="auto" w:after="20" w:before="20"/>
              <w:jc w:val="center"/>
            </w:pPr>
            <w:r/>
            <w:r>
              <w:rPr>
                <w:rFonts w:ascii="宋体" w:hAnsi="宋体" w:eastAsia="宋体"/>
                <w:sz w:val="18"/>
              </w:rPr>
              <w:t>0.501</w:t>
            </w:r>
          </w:p>
        </w:tc>
        <w:tc>
          <w:tcPr>
            <w:tcW w:type="dxa" w:w="1063"/>
            <w:vAlign w:val="center"/>
          </w:tcPr>
          <w:p>
            <w:pPr>
              <w:spacing w:line="240" w:lineRule="auto" w:after="20" w:before="20"/>
              <w:jc w:val="center"/>
            </w:pPr>
            <w:r/>
            <w:r>
              <w:rPr>
                <w:rFonts w:ascii="宋体" w:hAnsi="宋体" w:eastAsia="宋体"/>
                <w:sz w:val="18"/>
              </w:rPr>
              <w:t>0.488</w:t>
            </w:r>
          </w:p>
        </w:tc>
        <w:tc>
          <w:tcPr>
            <w:tcW w:type="dxa" w:w="1063"/>
            <w:vAlign w:val="center"/>
          </w:tcPr>
          <w:p>
            <w:pPr>
              <w:spacing w:line="240" w:lineRule="auto" w:after="20" w:before="20"/>
              <w:jc w:val="center"/>
            </w:pPr>
            <w:r/>
            <w:r>
              <w:rPr>
                <w:rFonts w:ascii="宋体" w:hAnsi="宋体" w:eastAsia="宋体"/>
                <w:sz w:val="18"/>
              </w:rPr>
              <w:t>0.436</w:t>
            </w:r>
          </w:p>
        </w:tc>
        <w:tc>
          <w:tcPr>
            <w:tcW w:type="dxa" w:w="1063"/>
            <w:vAlign w:val="center"/>
          </w:tcPr>
          <w:p>
            <w:pPr>
              <w:spacing w:line="240" w:lineRule="auto" w:after="20" w:before="20"/>
              <w:jc w:val="center"/>
            </w:pPr>
            <w:r/>
            <w:r>
              <w:rPr>
                <w:rFonts w:ascii="宋体" w:hAnsi="宋体" w:eastAsia="宋体"/>
                <w:sz w:val="18"/>
              </w:rPr>
              <w:t>0.420</w:t>
            </w:r>
          </w:p>
        </w:tc>
        <w:tc>
          <w:tcPr>
            <w:tcW w:type="dxa" w:w="1063"/>
            <w:vAlign w:val="center"/>
          </w:tcPr>
          <w:p>
            <w:pPr>
              <w:spacing w:line="240" w:lineRule="auto" w:after="20" w:before="20"/>
              <w:jc w:val="center"/>
            </w:pPr>
            <w:r/>
            <w:r>
              <w:rPr>
                <w:rFonts w:ascii="宋体" w:hAnsi="宋体" w:eastAsia="宋体"/>
                <w:sz w:val="18"/>
              </w:rPr>
              <w:t>23.6%</w:t>
            </w:r>
          </w:p>
        </w:tc>
      </w:tr>
      <w:tr>
        <w:tc>
          <w:tcPr>
            <w:tcW w:type="dxa" w:w="1063"/>
            <w:vAlign w:val="center"/>
          </w:tcPr>
          <w:p>
            <w:pPr>
              <w:spacing w:line="240" w:lineRule="auto" w:after="20" w:before="20"/>
              <w:jc w:val="left"/>
            </w:pPr>
            <w:r/>
            <w:r>
              <w:rPr>
                <w:rFonts w:ascii="宋体" w:hAnsi="宋体" w:eastAsia="宋体"/>
                <w:sz w:val="18"/>
              </w:rPr>
              <w:t>化肥</w:t>
            </w:r>
          </w:p>
        </w:tc>
        <w:tc>
          <w:tcPr>
            <w:tcW w:type="dxa" w:w="1063"/>
            <w:vAlign w:val="center"/>
          </w:tcPr>
          <w:p>
            <w:pPr>
              <w:spacing w:line="240" w:lineRule="auto" w:after="20" w:before="20"/>
              <w:jc w:val="center"/>
            </w:pPr>
            <w:r/>
            <w:r>
              <w:rPr>
                <w:rFonts w:ascii="宋体" w:hAnsi="宋体" w:eastAsia="宋体"/>
                <w:sz w:val="18"/>
              </w:rPr>
              <w:t>0.530</w:t>
            </w:r>
          </w:p>
        </w:tc>
        <w:tc>
          <w:tcPr>
            <w:tcW w:type="dxa" w:w="1063"/>
            <w:vAlign w:val="center"/>
          </w:tcPr>
          <w:p>
            <w:pPr>
              <w:spacing w:line="240" w:lineRule="auto" w:after="20" w:before="20"/>
              <w:jc w:val="center"/>
            </w:pPr>
            <w:r/>
            <w:r>
              <w:rPr>
                <w:rFonts w:ascii="宋体" w:hAnsi="宋体" w:eastAsia="宋体"/>
                <w:sz w:val="18"/>
              </w:rPr>
              <w:t>0.509</w:t>
            </w:r>
          </w:p>
        </w:tc>
        <w:tc>
          <w:tcPr>
            <w:tcW w:type="dxa" w:w="1063"/>
            <w:vAlign w:val="center"/>
          </w:tcPr>
          <w:p>
            <w:pPr>
              <w:spacing w:line="240" w:lineRule="auto" w:after="20" w:before="20"/>
              <w:jc w:val="center"/>
            </w:pPr>
            <w:r/>
            <w:r>
              <w:rPr>
                <w:rFonts w:ascii="宋体" w:hAnsi="宋体" w:eastAsia="宋体"/>
                <w:sz w:val="18"/>
              </w:rPr>
              <w:t>0.471</w:t>
            </w:r>
          </w:p>
        </w:tc>
        <w:tc>
          <w:tcPr>
            <w:tcW w:type="dxa" w:w="1063"/>
            <w:vAlign w:val="center"/>
          </w:tcPr>
          <w:p>
            <w:pPr>
              <w:spacing w:line="240" w:lineRule="auto" w:after="20" w:before="20"/>
              <w:jc w:val="center"/>
            </w:pPr>
            <w:r/>
            <w:r>
              <w:rPr>
                <w:rFonts w:ascii="宋体" w:hAnsi="宋体" w:eastAsia="宋体"/>
                <w:sz w:val="18"/>
              </w:rPr>
              <w:t>0.454</w:t>
            </w:r>
          </w:p>
        </w:tc>
        <w:tc>
          <w:tcPr>
            <w:tcW w:type="dxa" w:w="1063"/>
            <w:vAlign w:val="center"/>
          </w:tcPr>
          <w:p>
            <w:pPr>
              <w:spacing w:line="240" w:lineRule="auto" w:after="20" w:before="20"/>
              <w:jc w:val="center"/>
            </w:pPr>
            <w:r/>
            <w:r>
              <w:rPr>
                <w:rFonts w:ascii="宋体" w:hAnsi="宋体" w:eastAsia="宋体"/>
                <w:sz w:val="18"/>
              </w:rPr>
              <w:t>0.437</w:t>
            </w:r>
          </w:p>
        </w:tc>
        <w:tc>
          <w:tcPr>
            <w:tcW w:type="dxa" w:w="1063"/>
            <w:vAlign w:val="center"/>
          </w:tcPr>
          <w:p>
            <w:pPr>
              <w:spacing w:line="240" w:lineRule="auto" w:after="20" w:before="20"/>
              <w:jc w:val="center"/>
            </w:pPr>
            <w:r/>
            <w:r>
              <w:rPr>
                <w:rFonts w:ascii="宋体" w:hAnsi="宋体" w:eastAsia="宋体"/>
                <w:sz w:val="18"/>
              </w:rPr>
              <w:t>0.410</w:t>
            </w:r>
          </w:p>
        </w:tc>
        <w:tc>
          <w:tcPr>
            <w:tcW w:type="dxa" w:w="1063"/>
            <w:vAlign w:val="center"/>
          </w:tcPr>
          <w:p>
            <w:pPr>
              <w:spacing w:line="240" w:lineRule="auto" w:after="20" w:before="20"/>
              <w:jc w:val="center"/>
            </w:pPr>
            <w:r/>
            <w:r>
              <w:rPr>
                <w:rFonts w:ascii="宋体" w:hAnsi="宋体" w:eastAsia="宋体"/>
                <w:sz w:val="18"/>
              </w:rPr>
              <w:t>22.6%</w:t>
            </w:r>
          </w:p>
        </w:tc>
      </w:tr>
      <w:tr>
        <w:tc>
          <w:tcPr>
            <w:tcW w:type="dxa" w:w="1063"/>
            <w:vAlign w:val="center"/>
          </w:tcPr>
          <w:p>
            <w:pPr>
              <w:spacing w:line="240" w:lineRule="auto" w:after="20" w:before="20"/>
              <w:jc w:val="left"/>
            </w:pPr>
            <w:r/>
            <w:r>
              <w:rPr>
                <w:rFonts w:ascii="宋体" w:hAnsi="宋体" w:eastAsia="宋体"/>
                <w:sz w:val="18"/>
              </w:rPr>
              <w:t>水泥</w:t>
            </w:r>
          </w:p>
        </w:tc>
        <w:tc>
          <w:tcPr>
            <w:tcW w:type="dxa" w:w="1063"/>
            <w:vAlign w:val="center"/>
          </w:tcPr>
          <w:p>
            <w:pPr>
              <w:spacing w:line="240" w:lineRule="auto" w:after="20" w:before="20"/>
              <w:jc w:val="center"/>
            </w:pPr>
            <w:r/>
            <w:r>
              <w:rPr>
                <w:rFonts w:ascii="宋体" w:hAnsi="宋体" w:eastAsia="宋体"/>
                <w:sz w:val="18"/>
              </w:rPr>
              <w:t>0.500</w:t>
            </w:r>
          </w:p>
        </w:tc>
        <w:tc>
          <w:tcPr>
            <w:tcW w:type="dxa" w:w="1063"/>
            <w:vAlign w:val="center"/>
          </w:tcPr>
          <w:p>
            <w:pPr>
              <w:spacing w:line="240" w:lineRule="auto" w:after="20" w:before="20"/>
              <w:jc w:val="center"/>
            </w:pPr>
            <w:r/>
            <w:r>
              <w:rPr>
                <w:rFonts w:ascii="宋体" w:hAnsi="宋体" w:eastAsia="宋体"/>
                <w:sz w:val="18"/>
              </w:rPr>
              <w:t>0.474</w:t>
            </w:r>
          </w:p>
        </w:tc>
        <w:tc>
          <w:tcPr>
            <w:tcW w:type="dxa" w:w="1063"/>
            <w:vAlign w:val="center"/>
          </w:tcPr>
          <w:p>
            <w:pPr>
              <w:spacing w:line="240" w:lineRule="auto" w:after="20" w:before="20"/>
              <w:jc w:val="center"/>
            </w:pPr>
            <w:r/>
            <w:r>
              <w:rPr>
                <w:rFonts w:ascii="宋体" w:hAnsi="宋体" w:eastAsia="宋体"/>
                <w:sz w:val="18"/>
              </w:rPr>
              <w:t>0.450</w:t>
            </w:r>
          </w:p>
        </w:tc>
        <w:tc>
          <w:tcPr>
            <w:tcW w:type="dxa" w:w="1063"/>
            <w:vAlign w:val="center"/>
          </w:tcPr>
          <w:p>
            <w:pPr>
              <w:spacing w:line="240" w:lineRule="auto" w:after="20" w:before="20"/>
              <w:jc w:val="center"/>
            </w:pPr>
            <w:r/>
            <w:r>
              <w:rPr>
                <w:rFonts w:ascii="宋体" w:hAnsi="宋体" w:eastAsia="宋体"/>
                <w:sz w:val="18"/>
              </w:rPr>
              <w:t>0.437</w:t>
            </w:r>
          </w:p>
        </w:tc>
        <w:tc>
          <w:tcPr>
            <w:tcW w:type="dxa" w:w="1063"/>
            <w:vAlign w:val="center"/>
          </w:tcPr>
          <w:p>
            <w:pPr>
              <w:spacing w:line="240" w:lineRule="auto" w:after="20" w:before="20"/>
              <w:jc w:val="center"/>
            </w:pPr>
            <w:r/>
            <w:r>
              <w:rPr>
                <w:rFonts w:ascii="宋体" w:hAnsi="宋体" w:eastAsia="宋体"/>
                <w:sz w:val="18"/>
              </w:rPr>
              <w:t>0.406</w:t>
            </w:r>
          </w:p>
        </w:tc>
        <w:tc>
          <w:tcPr>
            <w:tcW w:type="dxa" w:w="1063"/>
            <w:vAlign w:val="center"/>
          </w:tcPr>
          <w:p>
            <w:pPr>
              <w:spacing w:line="240" w:lineRule="auto" w:after="20" w:before="20"/>
              <w:jc w:val="center"/>
            </w:pPr>
            <w:r/>
            <w:r>
              <w:rPr>
                <w:rFonts w:ascii="宋体" w:hAnsi="宋体" w:eastAsia="宋体"/>
                <w:sz w:val="18"/>
              </w:rPr>
              <w:t>0.380</w:t>
            </w:r>
          </w:p>
        </w:tc>
        <w:tc>
          <w:tcPr>
            <w:tcW w:type="dxa" w:w="1063"/>
            <w:vAlign w:val="center"/>
          </w:tcPr>
          <w:p>
            <w:pPr>
              <w:spacing w:line="240" w:lineRule="auto" w:after="20" w:before="20"/>
              <w:jc w:val="center"/>
            </w:pPr>
            <w:r/>
            <w:r>
              <w:rPr>
                <w:rFonts w:ascii="宋体" w:hAnsi="宋体" w:eastAsia="宋体"/>
                <w:sz w:val="18"/>
              </w:rPr>
              <w:t>24.0%</w:t>
            </w:r>
          </w:p>
        </w:tc>
      </w:tr>
      <w:tr>
        <w:tc>
          <w:tcPr>
            <w:tcW w:type="dxa" w:w="1063"/>
            <w:vAlign w:val="center"/>
          </w:tcPr>
          <w:p>
            <w:pPr>
              <w:spacing w:line="240" w:lineRule="auto" w:after="20" w:before="20"/>
              <w:jc w:val="left"/>
            </w:pPr>
            <w:r/>
            <w:r>
              <w:rPr>
                <w:rFonts w:ascii="宋体" w:hAnsi="宋体" w:eastAsia="宋体"/>
                <w:sz w:val="18"/>
              </w:rPr>
              <w:t>建筑建材</w:t>
            </w:r>
          </w:p>
        </w:tc>
        <w:tc>
          <w:tcPr>
            <w:tcW w:type="dxa" w:w="1063"/>
            <w:vAlign w:val="center"/>
          </w:tcPr>
          <w:p>
            <w:pPr>
              <w:spacing w:line="240" w:lineRule="auto" w:after="20" w:before="20"/>
              <w:jc w:val="center"/>
            </w:pPr>
            <w:r/>
            <w:r>
              <w:rPr>
                <w:rFonts w:ascii="宋体" w:hAnsi="宋体" w:eastAsia="宋体"/>
                <w:sz w:val="18"/>
              </w:rPr>
              <w:t>0.490</w:t>
            </w:r>
          </w:p>
        </w:tc>
        <w:tc>
          <w:tcPr>
            <w:tcW w:type="dxa" w:w="1063"/>
            <w:vAlign w:val="center"/>
          </w:tcPr>
          <w:p>
            <w:pPr>
              <w:spacing w:line="240" w:lineRule="auto" w:after="20" w:before="20"/>
              <w:jc w:val="center"/>
            </w:pPr>
            <w:r/>
            <w:r>
              <w:rPr>
                <w:rFonts w:ascii="宋体" w:hAnsi="宋体" w:eastAsia="宋体"/>
                <w:sz w:val="18"/>
              </w:rPr>
              <w:t>0.473</w:t>
            </w:r>
          </w:p>
        </w:tc>
        <w:tc>
          <w:tcPr>
            <w:tcW w:type="dxa" w:w="1063"/>
            <w:vAlign w:val="center"/>
          </w:tcPr>
          <w:p>
            <w:pPr>
              <w:spacing w:line="240" w:lineRule="auto" w:after="20" w:before="20"/>
              <w:jc w:val="center"/>
            </w:pPr>
            <w:r/>
            <w:r>
              <w:rPr>
                <w:rFonts w:ascii="宋体" w:hAnsi="宋体" w:eastAsia="宋体"/>
                <w:sz w:val="18"/>
              </w:rPr>
              <w:t>0.448</w:t>
            </w:r>
          </w:p>
        </w:tc>
        <w:tc>
          <w:tcPr>
            <w:tcW w:type="dxa" w:w="1063"/>
            <w:vAlign w:val="center"/>
          </w:tcPr>
          <w:p>
            <w:pPr>
              <w:spacing w:line="240" w:lineRule="auto" w:after="20" w:before="20"/>
              <w:jc w:val="center"/>
            </w:pPr>
            <w:r/>
            <w:r>
              <w:rPr>
                <w:rFonts w:ascii="宋体" w:hAnsi="宋体" w:eastAsia="宋体"/>
                <w:sz w:val="18"/>
              </w:rPr>
              <w:t>0.417</w:t>
            </w:r>
          </w:p>
        </w:tc>
        <w:tc>
          <w:tcPr>
            <w:tcW w:type="dxa" w:w="1063"/>
            <w:vAlign w:val="center"/>
          </w:tcPr>
          <w:p>
            <w:pPr>
              <w:spacing w:line="240" w:lineRule="auto" w:after="20" w:before="20"/>
              <w:jc w:val="center"/>
            </w:pPr>
            <w:r/>
            <w:r>
              <w:rPr>
                <w:rFonts w:ascii="宋体" w:hAnsi="宋体" w:eastAsia="宋体"/>
                <w:sz w:val="18"/>
              </w:rPr>
              <w:t>0.383</w:t>
            </w:r>
          </w:p>
        </w:tc>
        <w:tc>
          <w:tcPr>
            <w:tcW w:type="dxa" w:w="1063"/>
            <w:vAlign w:val="center"/>
          </w:tcPr>
          <w:p>
            <w:pPr>
              <w:spacing w:line="240" w:lineRule="auto" w:after="20" w:before="20"/>
              <w:jc w:val="center"/>
            </w:pPr>
            <w:r/>
            <w:r>
              <w:rPr>
                <w:rFonts w:ascii="宋体" w:hAnsi="宋体" w:eastAsia="宋体"/>
                <w:sz w:val="18"/>
              </w:rPr>
              <w:t>0.360</w:t>
            </w:r>
          </w:p>
        </w:tc>
        <w:tc>
          <w:tcPr>
            <w:tcW w:type="dxa" w:w="1063"/>
            <w:vAlign w:val="center"/>
          </w:tcPr>
          <w:p>
            <w:pPr>
              <w:spacing w:line="240" w:lineRule="auto" w:after="20" w:before="20"/>
              <w:jc w:val="center"/>
            </w:pPr>
            <w:r/>
            <w:r>
              <w:rPr>
                <w:rFonts w:ascii="宋体" w:hAnsi="宋体" w:eastAsia="宋体"/>
                <w:sz w:val="18"/>
              </w:rPr>
              <w:t>26.5%</w:t>
            </w:r>
          </w:p>
        </w:tc>
      </w:tr>
      <w:tr>
        <w:tc>
          <w:tcPr>
            <w:tcW w:type="dxa" w:w="1063"/>
            <w:vAlign w:val="center"/>
          </w:tcPr>
          <w:p>
            <w:pPr>
              <w:spacing w:line="240" w:lineRule="auto" w:after="20" w:before="20"/>
              <w:jc w:val="left"/>
            </w:pPr>
            <w:r/>
            <w:r>
              <w:rPr>
                <w:rFonts w:ascii="宋体" w:hAnsi="宋体" w:eastAsia="宋体"/>
                <w:sz w:val="18"/>
              </w:rPr>
              <w:t>交通运输</w:t>
            </w:r>
          </w:p>
        </w:tc>
        <w:tc>
          <w:tcPr>
            <w:tcW w:type="dxa" w:w="1063"/>
            <w:vAlign w:val="center"/>
          </w:tcPr>
          <w:p>
            <w:pPr>
              <w:spacing w:line="240" w:lineRule="auto" w:after="20" w:before="20"/>
              <w:jc w:val="center"/>
            </w:pPr>
            <w:r/>
            <w:r>
              <w:rPr>
                <w:rFonts w:ascii="宋体" w:hAnsi="宋体" w:eastAsia="宋体"/>
                <w:sz w:val="18"/>
              </w:rPr>
              <w:t>0.460</w:t>
            </w:r>
          </w:p>
        </w:tc>
        <w:tc>
          <w:tcPr>
            <w:tcW w:type="dxa" w:w="1063"/>
            <w:vAlign w:val="center"/>
          </w:tcPr>
          <w:p>
            <w:pPr>
              <w:spacing w:line="240" w:lineRule="auto" w:after="20" w:before="20"/>
              <w:jc w:val="center"/>
            </w:pPr>
            <w:r/>
            <w:r>
              <w:rPr>
                <w:rFonts w:ascii="宋体" w:hAnsi="宋体" w:eastAsia="宋体"/>
                <w:sz w:val="18"/>
              </w:rPr>
              <w:t>0.427</w:t>
            </w:r>
          </w:p>
        </w:tc>
        <w:tc>
          <w:tcPr>
            <w:tcW w:type="dxa" w:w="1063"/>
            <w:vAlign w:val="center"/>
          </w:tcPr>
          <w:p>
            <w:pPr>
              <w:spacing w:line="240" w:lineRule="auto" w:after="20" w:before="20"/>
              <w:jc w:val="center"/>
            </w:pPr>
            <w:r/>
            <w:r>
              <w:rPr>
                <w:rFonts w:ascii="宋体" w:hAnsi="宋体" w:eastAsia="宋体"/>
                <w:sz w:val="18"/>
              </w:rPr>
              <w:t>0.403</w:t>
            </w:r>
          </w:p>
        </w:tc>
        <w:tc>
          <w:tcPr>
            <w:tcW w:type="dxa" w:w="1063"/>
            <w:vAlign w:val="center"/>
          </w:tcPr>
          <w:p>
            <w:pPr>
              <w:spacing w:line="240" w:lineRule="auto" w:after="20" w:before="20"/>
              <w:jc w:val="center"/>
            </w:pPr>
            <w:r/>
            <w:r>
              <w:rPr>
                <w:rFonts w:ascii="宋体" w:hAnsi="宋体" w:eastAsia="宋体"/>
                <w:sz w:val="18"/>
              </w:rPr>
              <w:t>0.399</w:t>
            </w:r>
          </w:p>
        </w:tc>
        <w:tc>
          <w:tcPr>
            <w:tcW w:type="dxa" w:w="1063"/>
            <w:vAlign w:val="center"/>
          </w:tcPr>
          <w:p>
            <w:pPr>
              <w:spacing w:line="240" w:lineRule="auto" w:after="20" w:before="20"/>
              <w:jc w:val="center"/>
            </w:pPr>
            <w:r/>
            <w:r>
              <w:rPr>
                <w:rFonts w:ascii="宋体" w:hAnsi="宋体" w:eastAsia="宋体"/>
                <w:sz w:val="18"/>
              </w:rPr>
              <w:t>0.359</w:t>
            </w:r>
          </w:p>
        </w:tc>
        <w:tc>
          <w:tcPr>
            <w:tcW w:type="dxa" w:w="1063"/>
            <w:vAlign w:val="center"/>
          </w:tcPr>
          <w:p>
            <w:pPr>
              <w:spacing w:line="240" w:lineRule="auto" w:after="20" w:before="20"/>
              <w:jc w:val="center"/>
            </w:pPr>
            <w:r/>
            <w:r>
              <w:rPr>
                <w:rFonts w:ascii="宋体" w:hAnsi="宋体" w:eastAsia="宋体"/>
                <w:sz w:val="18"/>
              </w:rPr>
              <w:t>0.330</w:t>
            </w:r>
          </w:p>
        </w:tc>
        <w:tc>
          <w:tcPr>
            <w:tcW w:type="dxa" w:w="1063"/>
            <w:vAlign w:val="center"/>
          </w:tcPr>
          <w:p>
            <w:pPr>
              <w:spacing w:line="240" w:lineRule="auto" w:after="20" w:before="20"/>
              <w:jc w:val="center"/>
            </w:pPr>
            <w:r/>
            <w:r>
              <w:rPr>
                <w:rFonts w:ascii="宋体" w:hAnsi="宋体" w:eastAsia="宋体"/>
                <w:sz w:val="18"/>
              </w:rPr>
              <w:t>28.3%</w:t>
            </w:r>
          </w:p>
        </w:tc>
      </w:tr>
      <w:tr>
        <w:tc>
          <w:tcPr>
            <w:tcW w:type="dxa" w:w="1063"/>
            <w:vAlign w:val="center"/>
          </w:tcPr>
          <w:p>
            <w:pPr>
              <w:spacing w:line="240" w:lineRule="auto" w:after="20" w:before="20"/>
              <w:jc w:val="left"/>
            </w:pPr>
            <w:r/>
            <w:r>
              <w:rPr>
                <w:rFonts w:ascii="宋体" w:hAnsi="宋体" w:eastAsia="宋体"/>
                <w:sz w:val="18"/>
              </w:rPr>
              <w:t>电力</w:t>
            </w:r>
          </w:p>
        </w:tc>
        <w:tc>
          <w:tcPr>
            <w:tcW w:type="dxa" w:w="1063"/>
            <w:vAlign w:val="center"/>
          </w:tcPr>
          <w:p>
            <w:pPr>
              <w:spacing w:line="240" w:lineRule="auto" w:after="20" w:before="20"/>
              <w:jc w:val="center"/>
            </w:pPr>
            <w:r/>
            <w:r>
              <w:rPr>
                <w:rFonts w:ascii="宋体" w:hAnsi="宋体" w:eastAsia="宋体"/>
                <w:sz w:val="18"/>
              </w:rPr>
              <w:t>0.420</w:t>
            </w:r>
          </w:p>
        </w:tc>
        <w:tc>
          <w:tcPr>
            <w:tcW w:type="dxa" w:w="1063"/>
            <w:vAlign w:val="center"/>
          </w:tcPr>
          <w:p>
            <w:pPr>
              <w:spacing w:line="240" w:lineRule="auto" w:after="20" w:before="20"/>
              <w:jc w:val="center"/>
            </w:pPr>
            <w:r/>
            <w:r>
              <w:rPr>
                <w:rFonts w:ascii="宋体" w:hAnsi="宋体" w:eastAsia="宋体"/>
                <w:sz w:val="18"/>
              </w:rPr>
              <w:t>0.389</w:t>
            </w:r>
          </w:p>
        </w:tc>
        <w:tc>
          <w:tcPr>
            <w:tcW w:type="dxa" w:w="1063"/>
            <w:vAlign w:val="center"/>
          </w:tcPr>
          <w:p>
            <w:pPr>
              <w:spacing w:line="240" w:lineRule="auto" w:after="20" w:before="20"/>
              <w:jc w:val="center"/>
            </w:pPr>
            <w:r/>
            <w:r>
              <w:rPr>
                <w:rFonts w:ascii="宋体" w:hAnsi="宋体" w:eastAsia="宋体"/>
                <w:sz w:val="18"/>
              </w:rPr>
              <w:t>0.374</w:t>
            </w:r>
          </w:p>
        </w:tc>
        <w:tc>
          <w:tcPr>
            <w:tcW w:type="dxa" w:w="1063"/>
            <w:vAlign w:val="center"/>
          </w:tcPr>
          <w:p>
            <w:pPr>
              <w:spacing w:line="240" w:lineRule="auto" w:after="20" w:before="20"/>
              <w:jc w:val="center"/>
            </w:pPr>
            <w:r/>
            <w:r>
              <w:rPr>
                <w:rFonts w:ascii="宋体" w:hAnsi="宋体" w:eastAsia="宋体"/>
                <w:sz w:val="18"/>
              </w:rPr>
              <w:t>0.343</w:t>
            </w:r>
          </w:p>
        </w:tc>
        <w:tc>
          <w:tcPr>
            <w:tcW w:type="dxa" w:w="1063"/>
            <w:vAlign w:val="center"/>
          </w:tcPr>
          <w:p>
            <w:pPr>
              <w:spacing w:line="240" w:lineRule="auto" w:after="20" w:before="20"/>
              <w:jc w:val="center"/>
            </w:pPr>
            <w:r/>
            <w:r>
              <w:rPr>
                <w:rFonts w:ascii="宋体" w:hAnsi="宋体" w:eastAsia="宋体"/>
                <w:sz w:val="18"/>
              </w:rPr>
              <w:t>0.313</w:t>
            </w:r>
          </w:p>
        </w:tc>
        <w:tc>
          <w:tcPr>
            <w:tcW w:type="dxa" w:w="1063"/>
            <w:vAlign w:val="center"/>
          </w:tcPr>
          <w:p>
            <w:pPr>
              <w:spacing w:line="240" w:lineRule="auto" w:after="20" w:before="20"/>
              <w:jc w:val="center"/>
            </w:pPr>
            <w:r/>
            <w:r>
              <w:rPr>
                <w:rFonts w:ascii="宋体" w:hAnsi="宋体" w:eastAsia="宋体"/>
                <w:sz w:val="18"/>
              </w:rPr>
              <w:t>0.280</w:t>
            </w:r>
          </w:p>
        </w:tc>
        <w:tc>
          <w:tcPr>
            <w:tcW w:type="dxa" w:w="1063"/>
            <w:vAlign w:val="center"/>
          </w:tcPr>
          <w:p>
            <w:pPr>
              <w:spacing w:line="240" w:lineRule="auto" w:after="20" w:before="20"/>
              <w:jc w:val="center"/>
            </w:pPr>
            <w:r/>
            <w:r>
              <w:rPr>
                <w:rFonts w:ascii="宋体" w:hAnsi="宋体" w:eastAsia="宋体"/>
                <w:sz w:val="18"/>
              </w:rPr>
              <w:t>33.3%</w:t>
            </w:r>
          </w:p>
        </w:tc>
      </w:tr>
      <w:tr>
        <w:tc>
          <w:tcPr>
            <w:tcW w:type="dxa" w:w="1063"/>
            <w:vAlign w:val="center"/>
          </w:tcPr>
          <w:p>
            <w:pPr>
              <w:spacing w:line="240" w:lineRule="auto" w:after="20" w:before="20"/>
              <w:jc w:val="left"/>
            </w:pPr>
            <w:r/>
            <w:r>
              <w:rPr>
                <w:rFonts w:ascii="宋体" w:hAnsi="宋体" w:eastAsia="宋体"/>
                <w:sz w:val="18"/>
              </w:rPr>
              <w:t>纺织</w:t>
            </w:r>
          </w:p>
        </w:tc>
        <w:tc>
          <w:tcPr>
            <w:tcW w:type="dxa" w:w="1063"/>
            <w:vAlign w:val="center"/>
          </w:tcPr>
          <w:p>
            <w:pPr>
              <w:spacing w:line="240" w:lineRule="auto" w:after="20" w:before="20"/>
              <w:jc w:val="center"/>
            </w:pPr>
            <w:r/>
            <w:r>
              <w:rPr>
                <w:rFonts w:ascii="宋体" w:hAnsi="宋体" w:eastAsia="宋体"/>
                <w:sz w:val="18"/>
              </w:rPr>
              <w:t>0.340</w:t>
            </w:r>
          </w:p>
        </w:tc>
        <w:tc>
          <w:tcPr>
            <w:tcW w:type="dxa" w:w="1063"/>
            <w:vAlign w:val="center"/>
          </w:tcPr>
          <w:p>
            <w:pPr>
              <w:spacing w:line="240" w:lineRule="auto" w:after="20" w:before="20"/>
              <w:jc w:val="center"/>
            </w:pPr>
            <w:r/>
            <w:r>
              <w:rPr>
                <w:rFonts w:ascii="宋体" w:hAnsi="宋体" w:eastAsia="宋体"/>
                <w:sz w:val="18"/>
              </w:rPr>
              <w:t>0.316</w:t>
            </w:r>
          </w:p>
        </w:tc>
        <w:tc>
          <w:tcPr>
            <w:tcW w:type="dxa" w:w="1063"/>
            <w:vAlign w:val="center"/>
          </w:tcPr>
          <w:p>
            <w:pPr>
              <w:spacing w:line="240" w:lineRule="auto" w:after="20" w:before="20"/>
              <w:jc w:val="center"/>
            </w:pPr>
            <w:r/>
            <w:r>
              <w:rPr>
                <w:rFonts w:ascii="宋体" w:hAnsi="宋体" w:eastAsia="宋体"/>
                <w:sz w:val="18"/>
              </w:rPr>
              <w:t>0.296</w:t>
            </w:r>
          </w:p>
        </w:tc>
        <w:tc>
          <w:tcPr>
            <w:tcW w:type="dxa" w:w="1063"/>
            <w:vAlign w:val="center"/>
          </w:tcPr>
          <w:p>
            <w:pPr>
              <w:spacing w:line="240" w:lineRule="auto" w:after="20" w:before="20"/>
              <w:jc w:val="center"/>
            </w:pPr>
            <w:r/>
            <w:r>
              <w:rPr>
                <w:rFonts w:ascii="宋体" w:hAnsi="宋体" w:eastAsia="宋体"/>
                <w:sz w:val="18"/>
              </w:rPr>
              <w:t>0.269</w:t>
            </w:r>
          </w:p>
        </w:tc>
        <w:tc>
          <w:tcPr>
            <w:tcW w:type="dxa" w:w="1063"/>
            <w:vAlign w:val="center"/>
          </w:tcPr>
          <w:p>
            <w:pPr>
              <w:spacing w:line="240" w:lineRule="auto" w:after="20" w:before="20"/>
              <w:jc w:val="center"/>
            </w:pPr>
            <w:r/>
            <w:r>
              <w:rPr>
                <w:rFonts w:ascii="宋体" w:hAnsi="宋体" w:eastAsia="宋体"/>
                <w:sz w:val="18"/>
              </w:rPr>
              <w:t>0.240</w:t>
            </w:r>
          </w:p>
        </w:tc>
        <w:tc>
          <w:tcPr>
            <w:tcW w:type="dxa" w:w="1063"/>
            <w:vAlign w:val="center"/>
          </w:tcPr>
          <w:p>
            <w:pPr>
              <w:spacing w:line="240" w:lineRule="auto" w:after="20" w:before="20"/>
              <w:jc w:val="center"/>
            </w:pPr>
            <w:r/>
            <w:r>
              <w:rPr>
                <w:rFonts w:ascii="宋体" w:hAnsi="宋体" w:eastAsia="宋体"/>
                <w:sz w:val="18"/>
              </w:rPr>
              <w:t>0.220</w:t>
            </w:r>
          </w:p>
        </w:tc>
        <w:tc>
          <w:tcPr>
            <w:tcW w:type="dxa" w:w="1063"/>
            <w:vAlign w:val="center"/>
          </w:tcPr>
          <w:p>
            <w:pPr>
              <w:spacing w:line="240" w:lineRule="auto" w:after="20" w:before="20"/>
              <w:jc w:val="center"/>
            </w:pPr>
            <w:r/>
            <w:r>
              <w:rPr>
                <w:rFonts w:ascii="宋体" w:hAnsi="宋体" w:eastAsia="宋体"/>
                <w:sz w:val="18"/>
              </w:rPr>
              <w:t>35.3%</w:t>
            </w:r>
          </w:p>
        </w:tc>
      </w:tr>
      <w:tr>
        <w:tc>
          <w:tcPr>
            <w:tcW w:type="dxa" w:w="1063"/>
            <w:vAlign w:val="center"/>
          </w:tcPr>
          <w:p>
            <w:pPr>
              <w:spacing w:line="240" w:lineRule="auto" w:after="20" w:before="20"/>
              <w:jc w:val="left"/>
            </w:pPr>
            <w:r/>
            <w:r>
              <w:rPr>
                <w:rFonts w:ascii="宋体" w:hAnsi="宋体" w:eastAsia="宋体"/>
                <w:sz w:val="18"/>
              </w:rPr>
              <w:t>加权综合</w:t>
            </w:r>
          </w:p>
        </w:tc>
        <w:tc>
          <w:tcPr>
            <w:tcW w:type="dxa" w:w="1063"/>
            <w:vAlign w:val="center"/>
          </w:tcPr>
          <w:p>
            <w:pPr>
              <w:spacing w:line="240" w:lineRule="auto" w:after="20" w:before="20"/>
              <w:jc w:val="center"/>
            </w:pPr>
            <w:r/>
            <w:r>
              <w:rPr>
                <w:rFonts w:ascii="宋体" w:hAnsi="宋体" w:eastAsia="宋体"/>
                <w:sz w:val="18"/>
              </w:rPr>
              <w:t>0.510</w:t>
            </w:r>
          </w:p>
        </w:tc>
        <w:tc>
          <w:tcPr>
            <w:tcW w:type="dxa" w:w="1063"/>
            <w:vAlign w:val="center"/>
          </w:tcPr>
          <w:p>
            <w:pPr>
              <w:spacing w:line="240" w:lineRule="auto" w:after="20" w:before="20"/>
              <w:jc w:val="center"/>
            </w:pPr>
            <w:r/>
            <w:r>
              <w:rPr>
                <w:rFonts w:ascii="宋体" w:hAnsi="宋体" w:eastAsia="宋体"/>
                <w:sz w:val="18"/>
              </w:rPr>
              <w:t>0.484</w:t>
            </w:r>
          </w:p>
        </w:tc>
        <w:tc>
          <w:tcPr>
            <w:tcW w:type="dxa" w:w="1063"/>
            <w:vAlign w:val="center"/>
          </w:tcPr>
          <w:p>
            <w:pPr>
              <w:spacing w:line="240" w:lineRule="auto" w:after="20" w:before="20"/>
              <w:jc w:val="center"/>
            </w:pPr>
            <w:r/>
            <w:r>
              <w:rPr>
                <w:rFonts w:ascii="宋体" w:hAnsi="宋体" w:eastAsia="宋体"/>
                <w:sz w:val="18"/>
              </w:rPr>
              <w:t>0.462</w:t>
            </w:r>
          </w:p>
        </w:tc>
        <w:tc>
          <w:tcPr>
            <w:tcW w:type="dxa" w:w="1063"/>
            <w:vAlign w:val="center"/>
          </w:tcPr>
          <w:p>
            <w:pPr>
              <w:spacing w:line="240" w:lineRule="auto" w:after="20" w:before="20"/>
              <w:jc w:val="center"/>
            </w:pPr>
            <w:r/>
            <w:r>
              <w:rPr>
                <w:rFonts w:ascii="宋体" w:hAnsi="宋体" w:eastAsia="宋体"/>
                <w:sz w:val="18"/>
              </w:rPr>
              <w:t>0.421</w:t>
            </w:r>
          </w:p>
        </w:tc>
        <w:tc>
          <w:tcPr>
            <w:tcW w:type="dxa" w:w="1063"/>
            <w:vAlign w:val="center"/>
          </w:tcPr>
          <w:p>
            <w:pPr>
              <w:spacing w:line="240" w:lineRule="auto" w:after="20" w:before="20"/>
              <w:jc w:val="center"/>
            </w:pPr>
            <w:r/>
            <w:r>
              <w:rPr>
                <w:rFonts w:ascii="宋体" w:hAnsi="宋体" w:eastAsia="宋体"/>
                <w:sz w:val="18"/>
              </w:rPr>
              <w:t>0.385</w:t>
            </w:r>
          </w:p>
        </w:tc>
        <w:tc>
          <w:tcPr>
            <w:tcW w:type="dxa" w:w="1063"/>
            <w:vAlign w:val="center"/>
          </w:tcPr>
          <w:p>
            <w:pPr>
              <w:spacing w:line="240" w:lineRule="auto" w:after="20" w:before="20"/>
              <w:jc w:val="center"/>
            </w:pPr>
            <w:r/>
            <w:r>
              <w:rPr>
                <w:rFonts w:ascii="宋体" w:hAnsi="宋体" w:eastAsia="宋体"/>
                <w:sz w:val="18"/>
              </w:rPr>
              <w:t>0.350</w:t>
            </w:r>
          </w:p>
        </w:tc>
        <w:tc>
          <w:tcPr>
            <w:tcW w:type="dxa" w:w="1063"/>
            <w:vAlign w:val="center"/>
          </w:tcPr>
          <w:p>
            <w:pPr>
              <w:spacing w:line="240" w:lineRule="auto" w:after="20" w:before="20"/>
              <w:jc w:val="center"/>
            </w:pPr>
            <w:r/>
            <w:r>
              <w:rPr>
                <w:rFonts w:ascii="宋体" w:hAnsi="宋体" w:eastAsia="宋体"/>
                <w:sz w:val="18"/>
              </w:rPr>
              <w:t>31.4%</w:t>
            </w:r>
          </w:p>
        </w:tc>
      </w:tr>
    </w:tbl>
    <w:p>
      <w:pPr>
        <w:spacing w:after="200" w:line="240" w:lineRule="auto"/>
      </w:pPr>
      <w:r>
        <w:rPr>
          <w:rFonts w:ascii="宋体" w:hAnsi="宋体" w:eastAsia="宋体"/>
          <w:sz w:val="18"/>
        </w:rPr>
        <w:t>注：错配指数按式(8-2)测算，加权综合按式(8-4)以行业碳排放份额加权；十年降幅为2015—2025年的相对下降幅度。数据来源：本书SSDMI模型测算结果。</w:t>
      </w:r>
    </w:p>
    <w:p>
      <w:pPr>
        <w:spacing w:line="360" w:lineRule="auto" w:after="0"/>
        <w:ind w:firstLineChars="200" w:firstLine="480"/>
        <w:jc w:val="both"/>
      </w:pPr>
      <w:r>
        <w:rPr>
          <w:rFonts w:ascii="宋体" w:hAnsi="宋体" w:eastAsia="宋体"/>
          <w:sz w:val="24"/>
        </w:rPr>
        <w:t>铝冶炼始终居于错配之首：2015年高达0.57，2025年仍有0.45，为八行业最高。三重因素叠加造成了这一局面。需求端，电解铝吨产品排放高、电力间接排放占比大，欧盟CBAM将铝列入首批覆盖产品并要求在过渡期申报中一并报告电力消耗对应的间接排放，2022年中国对欧铝出口约55亿美元，合规需求密集而复杂（陈诗一和朱渝铖，2024）；供给端，铝行业长期缺少产品层面的碳计量规范，直到2024年GB/T 44905-2024电解铝碳足迹国家标准发布——这是我国首个工业领域产品碳足迹国标——供给才开始实质性破题；机制端，2025年3月铝冶炼纳入全国碳市场，行业化的核算报告核查体系刚刚起步。三者共同解释了铝冶炼错配“高位缓降”的轨迹：十年降幅21.1%，为八行业最低。钢铁的情形与之相似，错配由0.55降至0.42，位居次席：其对欧出口体量最大——2022年约146亿美元、占CBAM受影响出口的九成以上——且面临逐产品、逐工序的隐含排放核算要求，标准需求的深度远超既有供给的颗粒度（张兵兵等，2025）。化肥错配由0.53降至0.41，作为CBAM覆盖行业同样承压，其氮肥工艺排放的核算方法学缺口尤为突出。</w:t>
      </w:r>
    </w:p>
    <w:p>
      <w:pPr>
        <w:spacing w:line="360" w:lineRule="auto" w:after="0"/>
        <w:ind w:firstLineChars="200" w:firstLine="480"/>
        <w:jc w:val="both"/>
      </w:pPr>
      <w:r>
        <w:rPr>
          <w:rFonts w:ascii="宋体" w:hAnsi="宋体" w:eastAsia="宋体"/>
          <w:sz w:val="24"/>
        </w:rPr>
        <w:t>水泥（0.50降至0.38）、建筑建材（0.49降至0.36）与交通运输（0.46降至0.33）构成中游梯队。水泥虽在CBAM覆盖之列，但对欧出口占比很小，国际压力有限，其错配主要源于工艺排放核算与低碳建材认证标准的滞后；建筑建材的需求横跨建材生产与建筑运行两端，节能改造对能耗与室内健康风险的影响使运行端需求尤为凸显（Etxebarria-Mallea等，2021），绿色建材认证与建筑碳排放核算标准近年密集出台，改善节奏平稳；交通运输则受益于新能源汽车产业链标准的外溢，运营碳核算与绿色出行评价标准逐步补齐。三个行业的共同特征是需求以国内规制与市场转型驱动为主，供给响应与全国标准化进程大体同步。</w:t>
      </w:r>
    </w:p>
    <w:p>
      <w:pPr>
        <w:spacing w:line="360" w:lineRule="auto" w:after="0"/>
        <w:ind w:firstLineChars="200" w:firstLine="480"/>
        <w:jc w:val="both"/>
      </w:pPr>
      <w:r>
        <w:rPr>
          <w:rFonts w:ascii="宋体" w:hAnsi="宋体" w:eastAsia="宋体"/>
          <w:sz w:val="24"/>
        </w:rPr>
        <w:t>电力（0.42降至0.28）与纺织（0.34降至0.22）处于错配最低端，但成因迥异。电力是“供给驱动型”低错配：作为全国碳市场首个也是长期唯一的覆盖行业，其排放核算、报告、核查制度自2021年起持续打磨，企业温室气体排放核算报告规范与监测计量标准密集完备，尽管其需求指数居八行业前列，充足的供给仍将错配压至0.28，十年降幅达33.3%，为改善幅度最大的行业之一——这为“以市场机制牵引标准供给”提供了行业级样本（张希良等，2021；Cui等，2021）。纺织则是“需求约束型”低错配：碳强度低、不在CBAM首批覆盖之列，需求基本盘小，同时绿色产品评价、生态纺织品认证等标准积累较厚，其错配十年降幅35.3%为八行业之最。但0.22的读数仍意味着逾两成需求未被满足，且随着欧盟纺织品生态设计法规与供应链尽责要求的推进，纺织的需求曲线可能在样本期之外再度上移。</w:t>
      </w:r>
    </w:p>
    <w:p>
      <w:pPr>
        <w:spacing w:line="360" w:lineRule="auto" w:after="0"/>
        <w:ind w:firstLineChars="200" w:firstLine="480"/>
        <w:jc w:val="both"/>
      </w:pPr>
      <w:r>
        <w:rPr>
          <w:rFonts w:ascii="宋体" w:hAnsi="宋体" w:eastAsia="宋体"/>
          <w:sz w:val="24"/>
        </w:rPr>
        <w:t>图8.3将八条行业错配曲线与加权综合曲线绘于同一坐标系。由图8.3可见三个特征事实。第一，全线下行：八条行业曲线与综合粗线无一例外向下倾斜，错配改善是全局性的。第二，排序刚性：2015年的行业排序到2025年几乎原样保持，样本期内仅化肥与钢铁、水泥与建筑建材两对水平相近的相邻行业在个别年份发生过幅度不足0.02的短暂换位（表8.3中2017年与2023年化肥读数略高于钢铁即为其迹），首尾排序完全一致，错配的行业格局呈现强路径依赖——这与第5章交互矩阵的结构稳定、第6章技术—制度协同演进的渐进收敛一脉相承，说明供给的行业配置结构在样本期内未发生根本调整。第三，绝对收敛与相对发散并存：最高与最低行业的绝对差距十年间几乎未变（2015年0.23，2025年0.23），而由于低错配行业下降更快，相对差距反而扩大——铝冶炼与纺织错配之比由1.68倍升至2.05倍。这意味着补短板的边际难度递增：容易补的缺口已在快速收敛，剩下的是“硬骨头”行业的“硬缺口”。</w:t>
      </w:r>
    </w:p>
    <w:p>
      <w:pPr>
        <w:spacing w:before="120" w:after="40"/>
        <w:jc w:val="center"/>
      </w:pPr>
      <w:r>
        <w:drawing>
          <wp:inline xmlns:a="http://schemas.openxmlformats.org/drawingml/2006/main" xmlns:pic="http://schemas.openxmlformats.org/drawingml/2006/picture">
            <wp:extent cx="4860000" cy="2452694"/>
            <wp:docPr id="27" name="Picture 27"/>
            <wp:cNvGraphicFramePr>
              <a:graphicFrameLocks noChangeAspect="1"/>
            </wp:cNvGraphicFramePr>
            <a:graphic>
              <a:graphicData uri="http://schemas.openxmlformats.org/drawingml/2006/picture">
                <pic:pic>
                  <pic:nvPicPr>
                    <pic:cNvPr id="0" name="fig8_3.png"/>
                    <pic:cNvPicPr/>
                  </pic:nvPicPr>
                  <pic:blipFill>
                    <a:blip r:embed="rId35"/>
                    <a:stretch>
                      <a:fillRect/>
                    </a:stretch>
                  </pic:blipFill>
                  <pic:spPr>
                    <a:xfrm>
                      <a:off x="0" y="0"/>
                      <a:ext cx="4860000" cy="2452694"/>
                    </a:xfrm>
                    <a:prstGeom prst="rect"/>
                  </pic:spPr>
                </pic:pic>
              </a:graphicData>
            </a:graphic>
          </wp:inline>
        </w:drawing>
      </w:r>
    </w:p>
    <w:p>
      <w:pPr>
        <w:keepNext w:val="0"/>
        <w:spacing w:after="200"/>
        <w:jc w:val="center"/>
      </w:pPr>
      <w:r>
        <w:rPr>
          <w:rFonts w:ascii="黑体" w:hAnsi="黑体" w:eastAsia="黑体"/>
          <w:sz w:val="21"/>
        </w:rPr>
        <w:t>图8.3  行业错配指数与加权综合错配指数的演化</w:t>
      </w:r>
    </w:p>
    <w:p>
      <w:pPr>
        <w:keepNext/>
        <w:spacing w:before="160" w:after="120" w:line="360" w:lineRule="auto"/>
        <w:outlineLvl w:val="2"/>
      </w:pPr>
      <w:r>
        <w:rPr>
          <w:rFonts w:ascii="黑体" w:hAnsi="黑体" w:eastAsia="黑体"/>
          <w:sz w:val="24"/>
        </w:rPr>
        <w:t>8.5.3  “仍超三分之一”的政策含义</w:t>
      </w:r>
    </w:p>
    <w:p>
      <w:pPr>
        <w:spacing w:line="360" w:lineRule="auto" w:after="0"/>
        <w:ind w:firstLineChars="200" w:firstLine="480"/>
        <w:jc w:val="both"/>
      </w:pPr>
      <w:r>
        <w:rPr>
          <w:rFonts w:ascii="宋体" w:hAnsi="宋体" w:eastAsia="宋体"/>
          <w:sz w:val="24"/>
        </w:rPr>
        <w:t>截至2025年，加权综合错配指数仍达0.35——从碳减排全局衡量，超过三分之一的真实标准需求尚未被有效供给覆盖。将这一读数置于供给总量的背景之下，其含义更为醒目：截至2024年直接支撑“双碳”的国家标准已逾1800项、行业标准逾2300项，数量口径下的供给不可谓不厚，而错配口径下的缺口依然超过三分之一。两组数字的反差从量化上坐实了本章开篇的判断：数量繁荣不等于需求满足，错配的症结不在总量而在结构——供给密集处未必是需求旺盛处，需求最急处恰是供给最薄处。</w:t>
      </w:r>
    </w:p>
    <w:p>
      <w:pPr>
        <w:spacing w:line="360" w:lineRule="auto" w:after="0"/>
        <w:ind w:firstLineChars="200" w:firstLine="480"/>
        <w:jc w:val="both"/>
      </w:pPr>
      <w:r>
        <w:rPr>
          <w:rFonts w:ascii="宋体" w:hAnsi="宋体" w:eastAsia="宋体"/>
          <w:sz w:val="24"/>
        </w:rPr>
        <w:t>向前看，若延续样本期年均0.016的收敛速度作线性外推，综合错配降至0.10左右的基本匹配水平尚需约16年，时点将落在2040年前后——远迟于2030年前碳达峰的节点要求；而8.5.2节揭示的边际难度递增意味着，线性外推很可能还高估了自发收敛的速度。这一测算的政策含义是明确的：依靠现有供给模式的惯性延续，无法在达峰窗口内消除错配，必须以体系化重构主动提速——按需求排序配置标准化资源，按行业缺口确定建设重点，按模块短板设计补齐路径。这正是第9章体系架构设计的任务，本章的错配图谱则为其提供了坐标系。</w:t>
      </w:r>
    </w:p>
    <w:p>
      <w:pPr>
        <w:keepNext/>
        <w:spacing w:before="160" w:after="120" w:line="360" w:lineRule="auto"/>
        <w:outlineLvl w:val="1"/>
      </w:pPr>
      <w:r>
        <w:rPr>
          <w:rFonts w:ascii="黑体" w:hAnsi="黑体" w:eastAsia="黑体"/>
          <w:sz w:val="28"/>
        </w:rPr>
        <w:t>8.6  结构性短板的诊断</w:t>
      </w:r>
    </w:p>
    <w:p>
      <w:pPr>
        <w:keepNext/>
        <w:spacing w:before="160" w:after="120" w:line="360" w:lineRule="auto"/>
        <w:outlineLvl w:val="2"/>
      </w:pPr>
      <w:r>
        <w:rPr>
          <w:rFonts w:ascii="黑体" w:hAnsi="黑体" w:eastAsia="黑体"/>
          <w:sz w:val="24"/>
        </w:rPr>
        <w:t>8.6.1  模块缺口指数</w:t>
      </w:r>
    </w:p>
    <w:p>
      <w:pPr>
        <w:spacing w:line="360" w:lineRule="auto" w:after="0"/>
        <w:ind w:firstLineChars="200" w:firstLine="480"/>
        <w:jc w:val="both"/>
      </w:pPr>
      <w:r>
        <w:rPr>
          <w:rFonts w:ascii="宋体" w:hAnsi="宋体" w:eastAsia="宋体"/>
          <w:sz w:val="24"/>
        </w:rPr>
        <w:t>行业维度回答“谁缺标准”，模块维度回答“缺什么标准”。将供需对比下钻至五大功能模块，定义模块缺口指数：</w:t>
      </w:r>
    </w:p>
    <w:p>
      <w:pPr>
        <w:tabs>
          <w:tab w:pos="4252" w:val="center"/>
          <w:tab w:pos="8504" w:val="right"/>
        </w:tabs>
        <w:spacing w:line="360" w:lineRule="auto" w:before="80" w:after="80"/>
      </w:pPr>
      <w:r>
        <w:tab/>
      </w:r>
      <m:oMath>
        <m:sSub>
          <m:e>
            <m:r>
              <m:t>G</m:t>
            </m:r>
          </m:e>
          <m:sub>
            <m:r>
              <m:t>m</m:t>
            </m:r>
            <m:r>
              <m:t>t</m:t>
            </m:r>
          </m:sub>
        </m:sSub>
        <m:r>
          <m:rPr>
            <m:sty m:val="p"/>
          </m:rPr>
          <m:t>=</m:t>
        </m:r>
        <m:f>
          <m:fPr>
            <m:type m:val="bar"/>
          </m:fPr>
          <m:num>
            <m:sSubSup>
              <m:e>
                <m:r>
                  <m:t>D</m:t>
                </m:r>
              </m:e>
              <m:sub>
                <m:r>
                  <m:t>m</m:t>
                </m:r>
                <m:r>
                  <m:t>t</m:t>
                </m:r>
              </m:sub>
              <m:sup>
                <m:r>
                  <m:t>M</m:t>
                </m:r>
              </m:sup>
            </m:sSubSup>
            <m:r>
              <m:rPr>
                <m:sty m:val="p"/>
              </m:rPr>
              <m:t>−</m:t>
            </m:r>
            <m:sSubSup>
              <m:e>
                <m:r>
                  <m:t>R</m:t>
                </m:r>
              </m:e>
              <m:sub>
                <m:r>
                  <m:t>m</m:t>
                </m:r>
                <m:r>
                  <m:t>t</m:t>
                </m:r>
              </m:sub>
              <m:sup>
                <m:r>
                  <m:t>M</m:t>
                </m:r>
              </m:sup>
            </m:sSubSup>
          </m:num>
          <m:den>
            <m:sSubSup>
              <m:e>
                <m:r>
                  <m:t>D</m:t>
                </m:r>
              </m:e>
              <m:sub>
                <m:r>
                  <m:t>m</m:t>
                </m:r>
                <m:r>
                  <m:t>t</m:t>
                </m:r>
              </m:sub>
              <m:sup>
                <m:r>
                  <m:t>M</m:t>
                </m:r>
              </m:sup>
            </m:sSubSup>
          </m:den>
        </m:f>
        <m:r>
          <m:rPr>
            <m:sty m:val="p"/>
          </m:rPr>
          <m:t>,</m:t>
        </m:r>
        <m:r>
          <m:t>  </m:t>
        </m:r>
        <m:r>
          <m:t>m</m:t>
        </m:r>
        <m:r>
          <m:rPr>
            <m:sty m:val="p"/>
          </m:rPr>
          <m:t>=</m:t>
        </m:r>
        <m:r>
          <m:t>1</m:t>
        </m:r>
        <m:r>
          <m:rPr>
            <m:sty m:val="p"/>
          </m:rPr>
          <m:t>,</m:t>
        </m:r>
        <m:r>
          <m:rPr>
            <m:sty m:val="p"/>
          </m:rPr>
          <m:t>…</m:t>
        </m:r>
        <m:r>
          <m:rPr>
            <m:sty m:val="p"/>
          </m:rPr>
          <m:t>,</m:t>
        </m:r>
        <m:r>
          <m:t>5</m:t>
        </m:r>
      </m:oMath>
      <w:r>
        <w:tab/>
      </w:r>
      <w:r>
        <w:rPr>
          <w:rFonts w:ascii="Times New Roman" w:hAnsi="Times New Roman" w:eastAsia="宋体"/>
          <w:sz w:val="24"/>
        </w:rPr>
        <w:t>(8-7)</w:t>
      </w:r>
    </w:p>
    <w:p>
      <w:pPr>
        <w:spacing w:line="360" w:lineRule="auto" w:after="0"/>
        <w:jc w:val="both"/>
      </w:pPr>
      <w:r>
        <w:rPr>
          <w:rFonts w:ascii="宋体" w:hAnsi="宋体" w:eastAsia="宋体"/>
          <w:sz w:val="24"/>
        </w:rPr>
        <w:t>其中，</w:t>
      </w:r>
      <m:oMath>
        <m:sSubSup>
          <m:e>
            <m:r>
              <m:t>D</m:t>
            </m:r>
          </m:e>
          <m:sub>
            <m:r>
              <m:t>m</m:t>
            </m:r>
            <m:r>
              <m:t>t</m:t>
            </m:r>
          </m:sub>
          <m:sup>
            <m:r>
              <m:t>M</m:t>
            </m:r>
          </m:sup>
        </m:sSubSup>
      </m:oMath>
      <w:r>
        <w:rPr>
          <w:rFonts w:ascii="宋体" w:hAnsi="宋体" w:eastAsia="宋体"/>
          <w:sz w:val="24"/>
        </w:rPr>
        <w:t>与</w:t>
      </w:r>
      <m:oMath>
        <m:sSubSup>
          <m:e>
            <m:r>
              <m:t>R</m:t>
            </m:r>
          </m:e>
          <m:sub>
            <m:r>
              <m:t>m</m:t>
            </m:r>
            <m:r>
              <m:t>t</m:t>
            </m:r>
          </m:sub>
          <m:sup>
            <m:r>
              <m:t>M</m:t>
            </m:r>
          </m:sup>
        </m:sSubSup>
      </m:oMath>
      <w:r>
        <w:rPr>
          <w:rFonts w:ascii="宋体" w:hAnsi="宋体" w:eastAsia="宋体"/>
          <w:sz w:val="24"/>
        </w:rPr>
        <w:t>分别为八行业加总口径下第</w:t>
      </w:r>
      <m:oMath>
        <m:r>
          <m:t>m</m:t>
        </m:r>
      </m:oMath>
      <w:r>
        <w:rPr>
          <w:rFonts w:ascii="宋体" w:hAnsi="宋体" w:eastAsia="宋体"/>
          <w:sz w:val="24"/>
        </w:rPr>
        <w:t>类功能模块的需求与供给指数，</w:t>
      </w:r>
      <m:oMath>
        <m:r>
          <m:t>m</m:t>
        </m:r>
      </m:oMath>
      <w:r>
        <w:rPr>
          <w:rFonts w:ascii="宋体" w:hAnsi="宋体" w:eastAsia="宋体"/>
          <w:sz w:val="24"/>
        </w:rPr>
        <w:t>依次对应碳排放核算、碳足迹认证、绿色产品、碳吸收与绿色金融。</w:t>
      </w:r>
    </w:p>
    <w:p>
      <w:pPr>
        <w:spacing w:line="360" w:lineRule="auto" w:after="0"/>
        <w:ind w:firstLineChars="200" w:firstLine="480"/>
        <w:jc w:val="both"/>
      </w:pPr>
      <w:r>
        <w:rPr>
          <w:rFonts w:ascii="宋体" w:hAnsi="宋体" w:eastAsia="宋体"/>
          <w:sz w:val="24"/>
        </w:rPr>
        <w:t>2025年的测算结果呈现出鲜明的梯度：碳吸收模块缺口高达0.58，碳足迹认证为0.41，绿色金融为0.37，碳排放核算为0.29，绿色产品仅为0.18。最大与最小缺口之比达3.2倍，模块间的分化程度明显超过同年行业间约2.0倍的分化，印证了8.1.3节的判断：错配的主要形态是结构性的——同一时点上，有的模块严重短缺，有的模块已逼近冗余边缘。以下按缺口从大到小逐一诊断。</w:t>
      </w:r>
    </w:p>
    <w:p>
      <w:pPr>
        <w:keepNext/>
        <w:spacing w:before="160" w:after="120" w:line="360" w:lineRule="auto"/>
        <w:outlineLvl w:val="2"/>
      </w:pPr>
      <w:r>
        <w:rPr>
          <w:rFonts w:ascii="黑体" w:hAnsi="黑体" w:eastAsia="黑体"/>
          <w:sz w:val="24"/>
        </w:rPr>
        <w:t>8.6.2  三大短板与一个冗余边缘</w:t>
      </w:r>
    </w:p>
    <w:p>
      <w:pPr>
        <w:spacing w:line="360" w:lineRule="auto" w:after="0"/>
        <w:ind w:firstLineChars="200" w:firstLine="480"/>
        <w:jc w:val="both"/>
      </w:pPr>
      <w:r>
        <w:rPr>
          <w:rFonts w:ascii="宋体" w:hAnsi="宋体" w:eastAsia="宋体"/>
          <w:sz w:val="24"/>
        </w:rPr>
        <w:t>碳吸收模块缺口0.58，接近六成需求无供给承接，是全体系最严重的短板。需求端的逻辑是刚性的：碳中和的实现方程中，剩余排放必须由碳汇与负排放技术对冲，随着达峰临近，林草碳汇、生态系统碳汇与碳捕集利用封存的计量需求加速释放（陈雅如和赵金成，2021）。而供给端，碳汇方法学长期近乎空白——直到2023年10月生态环境部印发首批四项温室气体自愿减排项目方法学（造林碳汇、并网光热发电、并网海上风力发电、红树林营造），2024年1月全国温室气体自愿减排交易市场时隔七年重启，碳汇的产权量化、计量核证与交易标准体系才刚刚起步（蓝虹和杜彦霖，2024；张一林等，2025）。对照“四步走”演进路径，中国正处在由碳达峰标准化迈向碳吸收标准化的关口，0.58的缺口所测度的正是第三步的标准基础赤字；若不提前布局，碳吸收标准的制定周期将与碳中和进程的时间表正面冲突。</w:t>
      </w:r>
    </w:p>
    <w:p>
      <w:pPr>
        <w:spacing w:line="360" w:lineRule="auto" w:after="0"/>
        <w:ind w:firstLineChars="200" w:firstLine="480"/>
        <w:jc w:val="both"/>
      </w:pPr>
      <w:r>
        <w:rPr>
          <w:rFonts w:ascii="宋体" w:hAnsi="宋体" w:eastAsia="宋体"/>
          <w:sz w:val="24"/>
        </w:rPr>
        <w:t>碳足迹认证模块缺口0.41，是需求爆发与供给起步赛跑的典型。需求侧三源叠加：CBAM过渡期申报与2026年正式征收要求产品级隐含排放数据；欧盟新电池法规要求电动汽车电池申报碳足迹；下游跨国企业的供应链减排承诺将核算压力层层传导至上游（童庆蒙等，2018；Klaaßen和Stoll，2021）。供给侧，2024年5月十五部门《关于建立碳足迹管理体系的实施方案》搭起制度框架，同年8月GB/T 24067-2024产品碳足迹量化通则对标ISO 14067发布，截至2025年6月已发布9项产品碳足迹国家标准——方向正确、进度可观，但相对于以千计的出口产品类别，覆盖面仍是杯水车薪，且排放因子数据库、第三方核查与国际互认等配套环节尚未闭环（Wu等，2015；黄俊勇和刘世锦，2023）。碳足迹缺口的特殊性在于其贸易属性：缺口每存续一年，出口企业就多承担一年按默认值计费的超额CBAM成本，补齐时间表的经济价值可以直接折算为真金白银。</w:t>
      </w:r>
    </w:p>
    <w:p>
      <w:pPr>
        <w:spacing w:line="360" w:lineRule="auto" w:after="0"/>
        <w:ind w:firstLineChars="200" w:firstLine="480"/>
        <w:jc w:val="both"/>
      </w:pPr>
      <w:r>
        <w:rPr>
          <w:rFonts w:ascii="宋体" w:hAnsi="宋体" w:eastAsia="宋体"/>
          <w:sz w:val="24"/>
        </w:rPr>
        <w:t>绿色金融模块缺口0.37，居第三位。绿色信贷与绿色债券的规模扩张远快于其标准基础设施的完善：绿色项目目录口径不一、环境信息披露标准分散、碳核算对金融资产的穿透规则缺失，使“识绿”成本高企并滋生“洗绿”空间（王馨和王营，2021；陈丹丹等，2025）；转型金融标准的缺位尤为突出——高碳行业有序转型恰恰是资金需求最大的领域，却因缺少可核证的转型绩效标准而难以获得规范的金融支持（孙传旺和何一若，2025）。绿色金融标准还具有杠杆属性：它是碳价信号向投融资决策传导的管道，其缺口不仅是模块自身的问题，还会折损其他模块标准的市场价值——核算与认证结果若不能进入金融定价，其对企业行为的约束力将大打折扣。</w:t>
      </w:r>
    </w:p>
    <w:p>
      <w:pPr>
        <w:spacing w:line="360" w:lineRule="auto" w:after="0"/>
        <w:ind w:firstLineChars="200" w:firstLine="480"/>
        <w:jc w:val="both"/>
      </w:pPr>
      <w:r>
        <w:rPr>
          <w:rFonts w:ascii="宋体" w:hAnsi="宋体" w:eastAsia="宋体"/>
          <w:sz w:val="24"/>
        </w:rPr>
        <w:t>与三大短板形成鲜明对照的是绿色产品模块：缺口仅0.18，处于冗余边缘。第4章的供给结构数据显示，绿色产品类标准占绿色低碳国家标准的35.2%，是五大模块中供给最厚的一类；而其需求虽稳定增长，增速已被认证评价市场的成熟所平抑。0.18的读数本身尚属短缺，但其政策含义已经反转：该模块的边际标准化资源投入应转向存量整合——清理功能重叠、口径不一的评价标准，推动“一次核算、多标互认”——而非继续增量扩张，否则绿色产品领域将率先滑入冗余性错配，重演标准过密抬高合规成本、抑制创新的老问题（Blind等，2022）。碳排放核算模块缺口0.29居中：其基础方法学供给相对完备，缺口主要来自碳排放双控转型与碳市场扩围催生的新增需求——企业、项目、产品三位一体的核算评价体系仍在建设之中（袁惊柱，2025）。</w:t>
      </w:r>
    </w:p>
    <w:p>
      <w:pPr>
        <w:keepNext/>
        <w:spacing w:before="160" w:after="120" w:line="360" w:lineRule="auto"/>
        <w:outlineLvl w:val="2"/>
      </w:pPr>
      <w:r>
        <w:rPr>
          <w:rFonts w:ascii="黑体" w:hAnsi="黑体" w:eastAsia="黑体"/>
          <w:sz w:val="24"/>
        </w:rPr>
        <w:t>8.6.3  供需两侧的镜像：与第4章结构失衡的呼应</w:t>
      </w:r>
    </w:p>
    <w:p>
      <w:pPr>
        <w:spacing w:line="360" w:lineRule="auto" w:after="0"/>
        <w:ind w:firstLineChars="200" w:firstLine="480"/>
        <w:jc w:val="both"/>
      </w:pPr>
      <w:r>
        <w:rPr>
          <w:rFonts w:ascii="宋体" w:hAnsi="宋体" w:eastAsia="宋体"/>
          <w:sz w:val="24"/>
        </w:rPr>
        <w:t>将模块缺口排序与第4章的供给结构并置，可以看到一组高度对称的镜像：供给侧，碳足迹认证类标准仅占绿色低碳国家标准的4.9%、碳吸收类仅占6.1%、碳排放核算类占8.3%，而绿色产品类占35.2%；需求侧，缺口恰为碳吸收与碳足迹认证居前两位、绿色产品最小。供给占比与需求缺口的逆序对应说明，第4章识别的功能模块结构失衡并非供给内部的比例问题，而是实打实的供需错配——供给的结构由政策推力的历史焦点塑造（第5章B矩阵的证据），而政策焦点长期落在碳排放端的管控上，碳吸收端与市场机制类标准因政策显示度低而供给稀薄，即便其需求在“双碳”框架下加速膨胀。结构性短板由此获得了机理解释：它是供给驱动型标准化模式的必然产物，仅靠该模式的自我延续无法自愈。</w:t>
      </w:r>
    </w:p>
    <w:p>
      <w:pPr>
        <w:spacing w:line="360" w:lineRule="auto" w:after="0"/>
        <w:ind w:firstLineChars="200" w:firstLine="480"/>
        <w:jc w:val="both"/>
      </w:pPr>
      <w:r>
        <w:rPr>
          <w:rFonts w:ascii="宋体" w:hAnsi="宋体" w:eastAsia="宋体"/>
          <w:sz w:val="24"/>
        </w:rPr>
        <w:t>这一诊断将第4章的静态结构描述升级为动态供需判断，也为后续章节给出了明确接口。对第9章，模块缺口序列直接构成五大功能模块建设优先序的需求侧依据：碳吸收与碳足迹认证应获得超比例的标准化资源倾斜，绿色产品应以整合替代扩张——这一需求侧排序将与AHP专家权重相互校验；对第10章，模块间缺口的巨大落差意味着统一节奏的标准更新机制必然失灵，动态更新的触发阈值必须按模块差异化设定；对第12章，碳足迹与核查环节的突出缺口预示了国际适配差距的重心所在，行业错配与国际标准差距的关联将在ISGI测算中得到进一步检验。</w:t>
      </w:r>
    </w:p>
    <w:p>
      <w:pPr>
        <w:keepNext/>
        <w:spacing w:before="160" w:after="120" w:line="360" w:lineRule="auto"/>
        <w:outlineLvl w:val="1"/>
      </w:pPr>
      <w:r>
        <w:rPr>
          <w:rFonts w:ascii="黑体" w:hAnsi="黑体" w:eastAsia="黑体"/>
          <w:sz w:val="28"/>
        </w:rPr>
        <w:t>8.7  本章小结</w:t>
      </w:r>
    </w:p>
    <w:p>
      <w:pPr>
        <w:spacing w:line="360" w:lineRule="auto" w:after="0"/>
        <w:ind w:firstLineChars="200" w:firstLine="480"/>
        <w:jc w:val="both"/>
      </w:pPr>
      <w:r>
        <w:rPr>
          <w:rFonts w:ascii="宋体" w:hAnsi="宋体" w:eastAsia="宋体"/>
          <w:sz w:val="24"/>
        </w:rPr>
        <w:t>本章在“演化机理”与“体系构建”两大模块之间完成了关键一跃：把第5至第7章对标准体系演化规律的认识，转化为对体系建设需求坐标的量化测定。方法论上，本章的核心贡献是需求的内生化——拒绝以政策理想目标反推需求的通行做法，将标准需求界定为产业绿色转型活动的派生需求，由碳排放属性、转型进程、减排约束与国际规制压力四类可观测因素内生决定（式(8-1)），并据此构建了“需求内生建模—供给同口径量化—错配指数测算—碳排放加权综合—模块结构诊断”的SSDMI完整框架（式(8-2)至式(8-7)）。</w:t>
      </w:r>
    </w:p>
    <w:p>
      <w:pPr>
        <w:spacing w:line="360" w:lineRule="auto" w:after="0"/>
        <w:ind w:firstLineChars="200" w:firstLine="480"/>
        <w:jc w:val="both"/>
      </w:pPr>
      <w:r>
        <w:rPr>
          <w:rFonts w:ascii="宋体" w:hAnsi="宋体" w:eastAsia="宋体"/>
          <w:sz w:val="24"/>
        </w:rPr>
        <w:t>实证测算得到四点核心发现。第一，需求函数成立：面板回归中四类驱动因素全部显著为正，合计解释需求变异的71%；碳排放系数（0.284）的解释力居首，CBAM压力（0.208）次之，国际单边规制对国内标准需求的塑造力已超过国内转型进程本身。第二，错配总体收敛但仍然可观：碳排放加权综合错配指数由2015年的0.51降至2025年的0.35，“双碳”宣示后收敛提速，但截至样本期末仍有超过三分之一的真实需求未被满足，按现有速度线性外推，达到基本匹配尚需约16年。第三，行业分化呈排序刚性：铝冶炼（0.45）、钢铁（0.42）始终居前，纺织（0.22）最低，十一年间行业排序格局基本未变——仅个别相邻行业出现过幅度微小的短暂换位——绝对差距未缩而相对差距扩大，补短板的边际难度递增。第四，结构性短板集中于碳吸收（0.58）、碳足迹认证（0.41）与绿色金融（0.37）三大模块，绿色产品（0.18）则已逼近冗余边缘，模块缺口与第4章的供给结构互为镜像，坐实了供给驱动型标准化模式的结构性代价。</w:t>
      </w:r>
    </w:p>
    <w:p>
      <w:pPr>
        <w:spacing w:line="360" w:lineRule="auto" w:after="0"/>
        <w:ind w:firstLineChars="200" w:firstLine="480"/>
        <w:jc w:val="both"/>
      </w:pPr>
      <w:r>
        <w:rPr>
          <w:rFonts w:ascii="宋体" w:hAnsi="宋体" w:eastAsia="宋体"/>
          <w:sz w:val="24"/>
        </w:rPr>
        <w:t>这些发现为第9章的体系架构设计提供了三条需求侧依据。其一，模块优先序：五大功能模块的建设资源配置应与缺口梯度对应，碳吸收与碳足迹认证优先加密，绿色金融加快统一，碳排放核算聚焦三位一体升级，绿色产品转向存量整合；其二，行业重点：铝冶炼、钢铁、化肥等“高错配、高暴露”行业应成为行业标准与国际衔接接口建设的首批对象；其三，机制启示：电力行业以碳市场牵引标准供给的经验表明，需求显性化机制——市场机制将分散的标准需求集中表达——是压低错配最有效的制度安排，体系设计应为这类机制预留接口。</w:t>
      </w:r>
    </w:p>
    <w:p>
      <w:pPr>
        <w:spacing w:line="360" w:lineRule="auto" w:after="0"/>
        <w:ind w:firstLineChars="200" w:firstLine="480"/>
        <w:jc w:val="both"/>
      </w:pPr>
      <w:r>
        <w:rPr>
          <w:rFonts w:ascii="宋体" w:hAnsi="宋体" w:eastAsia="宋体"/>
          <w:sz w:val="24"/>
        </w:rPr>
        <w:t>本章亦有边界须予说明：需求与供给指数的合成依赖指标选取与权重设定，尽管多种替代设定下结论稳健，测算的绝对水平仍应作量级理解而非精确读数；11年、8行业的面板对交互效应与非线性动态的识别力有限；行业颗粒度尚未细化到工序与产品层面，而CBAM的征收恰以产品为单元。这些局限指向后续研究的深化方向，也再次提示本书第1章的口径说明——模型测算结果用于展示方法体系，其政策应用应以持续更新的数据复算为准。以错配图谱为需求侧地基，下一章将正式转入“双碳”目标下中国绿色低碳标准体系总体架构的设计。</w:t>
      </w:r>
    </w:p>
    <w:p>
      <w:r>
        <w:br w:type="page"/>
      </w:r>
    </w:p>
    <w:p>
      <w:pPr>
        <w:keepNext/>
        <w:spacing w:before="240" w:after="160" w:line="360" w:lineRule="auto"/>
        <w:jc w:val="center"/>
        <w:outlineLvl w:val="0"/>
      </w:pPr>
      <w:r>
        <w:rPr>
          <w:rFonts w:ascii="黑体" w:hAnsi="黑体" w:eastAsia="黑体"/>
          <w:b/>
          <w:sz w:val="30"/>
        </w:rPr>
        <w:t>第9章  “双碳”目标下中国绿色低碳标准体系的总体架构</w:t>
      </w:r>
    </w:p>
    <w:p>
      <w:pPr>
        <w:spacing w:line="360" w:lineRule="auto" w:after="0"/>
        <w:ind w:firstLineChars="200" w:firstLine="480"/>
        <w:jc w:val="both"/>
      </w:pPr>
      <w:r>
        <w:rPr>
          <w:rFonts w:ascii="宋体" w:hAnsi="宋体" w:eastAsia="宋体"/>
          <w:sz w:val="24"/>
        </w:rPr>
        <w:t>前四章沿“认识规律”的主线完成了对中国绿色低碳标准体系动态演化机理的三层刻画与供需诊断：第5章的状态空间模型识别出五类标准之间的互补—替代结构与政策推力、技术拉力、市场调节力三重驱动力的传导系数；第6章的技术—制度协同演进模型揭示了技术与制度双向互馈在“双碳”目标提出后的显著强化；第7章的三方演化博弈模型给出了政府、企业与国际组织策略互动由“被动跟跑”均衡向“主动领跑”均衡跃迁的参数条件；第8章则以标准供需动态错配指数（SSDMI）量化了标准供给与产业绿色转型真实需求之间的相对缺口，识别出碳吸收端与市场机制类标准的结构性短板。至此，全书第一个科学问题——标准体系如何在多重驱动力与多主体互动下形成演化——已经得到系统回答。本章的任务是完成从“认识规律”到“设计体系”的跨越：在“双碳”目标约束下，给出中国绿色低碳标准体系的总体架构，回答全书第二个科学问题，并为第10章的协同机制设计与第11、12章的适配性评估提供制度对象。</w:t>
      </w:r>
    </w:p>
    <w:p>
      <w:pPr>
        <w:spacing w:line="360" w:lineRule="auto" w:after="0"/>
        <w:ind w:firstLineChars="200" w:firstLine="480"/>
        <w:jc w:val="both"/>
      </w:pPr>
      <w:r>
        <w:rPr>
          <w:rFonts w:ascii="宋体" w:hAnsi="宋体" w:eastAsia="宋体"/>
          <w:sz w:val="24"/>
        </w:rPr>
        <w:t>本章的逻辑遵循“目标定位—设计原则—架构方案—权重配置—接口设计”的递进线索。9.1节阐明体系构建的总体思路，提出“对内满足‘双碳’、对外兼容国际”的双重目标定位；9.2节将第5—7章的演化规律逐一转化为协同互补、动态适应、多元协调三项构建原则，并说明每条转化的逻辑链条；9.3节给出五大功能模块的横向架构设计，逐模块阐述功能定位、重点标准清单与国际基准对应；9.4节以层次分析法（AHP）确定五大功能模块的建设权重，检验判断一致性并阐释权重的资源配置含义；9.5节设计国家、行业、地方、团体四层级的纵向分工与衔接机制；9.6节设计互认、数据、认证三类国际衔接接口；9.7节小结本章要点。</w:t>
      </w:r>
    </w:p>
    <w:p>
      <w:pPr>
        <w:keepNext/>
        <w:spacing w:before="160" w:after="120" w:line="360" w:lineRule="auto"/>
        <w:outlineLvl w:val="1"/>
      </w:pPr>
      <w:r>
        <w:rPr>
          <w:rFonts w:ascii="黑体" w:hAnsi="黑体" w:eastAsia="黑体"/>
          <w:sz w:val="28"/>
        </w:rPr>
        <w:t>9.1  体系构建的总体思路与目标定位</w:t>
      </w:r>
    </w:p>
    <w:p>
      <w:pPr>
        <w:keepNext/>
        <w:spacing w:before="160" w:after="120" w:line="360" w:lineRule="auto"/>
        <w:outlineLvl w:val="2"/>
      </w:pPr>
      <w:r>
        <w:rPr>
          <w:rFonts w:ascii="黑体" w:hAnsi="黑体" w:eastAsia="黑体"/>
          <w:sz w:val="24"/>
        </w:rPr>
        <w:t>9.1.1  从认识规律到设计体系：体系构建的逻辑起点</w:t>
      </w:r>
    </w:p>
    <w:p>
      <w:pPr>
        <w:spacing w:line="360" w:lineRule="auto" w:after="0"/>
        <w:ind w:firstLineChars="200" w:firstLine="480"/>
        <w:jc w:val="both"/>
      </w:pPr>
      <w:r>
        <w:rPr>
          <w:rFonts w:ascii="宋体" w:hAnsi="宋体" w:eastAsia="宋体"/>
          <w:sz w:val="24"/>
        </w:rPr>
        <w:t>标准体系建设绝非标准条目的简单堆砌。标准化经济学的基本结论是，标准通过统一接口、压缩交易成本、释放网络外部性而成为一种基础性制度资本（Blind，2004；Swann，2010），其价值实现程度取决于标准之间的结构关系与标准同技术、市场环境的匹配程度，而非标准数量本身（Tassey，2000）。就中国绿色低碳标准化的实践而言，顶层设计的框架已经具备：2023年4月，国家标准委等十一部门印发《碳达峰碳中和标准体系建设指南》，部署了4个一级子体系、15个二级子体系、63个三级子体系，明确到2025年制修订不少于1000项国家标准和行业标准（国家标准化管理委员会等，2023）；2024年8月的强化行动方案进一步提出当年发布70项碳核算、碳足迹、碳减排、能效能耗、碳捕集利用与封存等国家标准。既有研究对体系建设也已形成初步共识：从“双碳”标准化战略演进轨迹的梳理（舒辉和唐飞，2023），到标准体系框架的原则性设计（孙亮等，2022），再到区域与行业层面的体系构建尝试（曹佳彦等，2024），均强调体系化建设的紧迫性。</w:t>
      </w:r>
    </w:p>
    <w:p>
      <w:pPr>
        <w:spacing w:line="360" w:lineRule="auto" w:after="0"/>
        <w:ind w:firstLineChars="200" w:firstLine="480"/>
        <w:jc w:val="both"/>
      </w:pPr>
      <w:r>
        <w:rPr>
          <w:rFonts w:ascii="宋体" w:hAnsi="宋体" w:eastAsia="宋体"/>
          <w:sz w:val="24"/>
        </w:rPr>
        <w:t>然而，无论是政策文件还是既有文献，体系设计大多停留在“清单式”部署层面：按领域罗列标准需求、按门类划分子体系，而对三个更深层的问题着墨有限——标准之间的互动结构如何决定建设次序？标准体系如何随技术与制度环境的演化而动态调整？多元制定主体与国际规则体系之间的激励如何协调？这三个问题恰恰对应本书第5—7章所刻画的三层演化规律。忽视这些规律的体系设计，容易陷入三种失灵：其一，无视互补—替代结构而齐头并进，导致基础模块供给不足而下游模块空转；其二，体系架构一经确立便趋于固化，与快速演进的绿色技术脱节；其三，层级与主体之间职责不清、激励错位，重复供给与标准冲突并存。本章的总体思路由此确立：以演化机理研究的实证发现为依据提炼设计原则，以设计原则统领架构方案，使标准体系“生长”在规律之上而非蓝图之上。</w:t>
      </w:r>
    </w:p>
    <w:p>
      <w:pPr>
        <w:spacing w:line="360" w:lineRule="auto" w:after="0"/>
        <w:ind w:firstLineChars="200" w:firstLine="480"/>
        <w:jc w:val="both"/>
      </w:pPr>
      <w:r>
        <w:rPr>
          <w:rFonts w:ascii="宋体" w:hAnsi="宋体" w:eastAsia="宋体"/>
          <w:sz w:val="24"/>
        </w:rPr>
        <w:t>这一思路在方法论上的含义是，体系构建被处理为一个受约束的制度设计问题：约束条件来自演化规律——标准间交互矩阵给定了模块建设的技术次序约束，技术—制度互馈给定了体系更新的时间约束，博弈均衡条件给定了主体激励的相容性约束；目标函数则来自“双碳”战略的双重定位，即对内以最小制度成本支撑碳达峰碳中和进程，对外以最大兼容性换取国际规则体系的接纳。后文9.2节至9.6节的全部设计，都可以视为这一约束优化问题的制度化求解。</w:t>
      </w:r>
    </w:p>
    <w:p>
      <w:pPr>
        <w:keepNext/>
        <w:spacing w:before="160" w:after="120" w:line="360" w:lineRule="auto"/>
        <w:outlineLvl w:val="2"/>
      </w:pPr>
      <w:r>
        <w:rPr>
          <w:rFonts w:ascii="黑体" w:hAnsi="黑体" w:eastAsia="黑体"/>
          <w:sz w:val="24"/>
        </w:rPr>
        <w:t>9.1.2  对内目标定位：全面支撑“双碳”目标实现</w:t>
      </w:r>
    </w:p>
    <w:p>
      <w:pPr>
        <w:spacing w:line="360" w:lineRule="auto" w:after="0"/>
        <w:ind w:firstLineChars="200" w:firstLine="480"/>
        <w:jc w:val="both"/>
      </w:pPr>
      <w:r>
        <w:rPr>
          <w:rFonts w:ascii="宋体" w:hAnsi="宋体" w:eastAsia="宋体"/>
          <w:sz w:val="24"/>
        </w:rPr>
        <w:t>对内维度上，标准体系的定位是“双碳”治理体系的基础设施。2024年8月，国务院办公厅印发《加快构建碳排放双控制度体系工作方案》，明确建立能耗双控向碳排放双控全面转型的新机制，要求到2025年碳排放统计核算体系进一步完善、国家温室气体排放因子数据库基本建成，并为“十五五”时期在全国范围实施以强度控制为主、总量控制为辅的碳排放双控制度奠定基础（姜春海等，2024；袁惊柱，2025）。双控制度的全部考核链条——地方碳考核、行业碳管控、企业碳管理、项目碳评价、产品碳足迹——每一环都以标准为度量依据：没有统一的核算标准，碳排放强度无从考核；没有产品碳足迹标准，消费端减排无从引导；没有碳汇计量标准，“移除侧”的贡献无从确认。与此同时，全国碳市场在2025年3月首次扩围至钢铁、水泥、铝冶炼行业后，重点排放单位达约3700家、覆盖排放量约80亿吨、占全国二氧化碳排放总量的60%以上，配额分配与履约清缴对核算核查标准的精度与一致性提出了前所未有的要求（张希良等，2021；张奕辉，2024）。</w:t>
      </w:r>
    </w:p>
    <w:p>
      <w:pPr>
        <w:spacing w:line="360" w:lineRule="auto" w:after="0"/>
        <w:ind w:firstLineChars="200" w:firstLine="480"/>
        <w:jc w:val="both"/>
      </w:pPr>
      <w:r>
        <w:rPr>
          <w:rFonts w:ascii="宋体" w:hAnsi="宋体" w:eastAsia="宋体"/>
          <w:sz w:val="24"/>
        </w:rPr>
        <w:t>从供给基础看，中国绿色低碳标准的数量积累已具规模（石明娟等，2022）：2024年官方口径显示，直接支撑碳达峰碳中和工作的国家标准已有1800余项、行业标准2300余项；本书标准文本数据库的口径下，截至2025年四个层级的标准条目合计约4700项。但第4章与第8章的诊断表明，数量规模掩盖着结构性失衡：碳排放核算类标准仅占绿色低碳国家标准的8.3%，碳吸收类仅占6.1%，而2025年碳吸收模块的供需错配指数仍高达0.58，为五大模块之最。因此，对内目标定位可以概括为四句话：兜底线——以强制性标准守住能耗与排放底线；强激励——以推荐性标准与认证体系放大市场化减排激励；补短板——优先弥合碳吸收与市场机制类标准的供给缺口；成闭环——使“核算—认证—产品—吸收—金融”形成覆盖碳排放全生命周期的功能闭环。</w:t>
      </w:r>
    </w:p>
    <w:p>
      <w:pPr>
        <w:keepNext/>
        <w:spacing w:before="160" w:after="120" w:line="360" w:lineRule="auto"/>
        <w:outlineLvl w:val="2"/>
      </w:pPr>
      <w:r>
        <w:rPr>
          <w:rFonts w:ascii="黑体" w:hAnsi="黑体" w:eastAsia="黑体"/>
          <w:sz w:val="24"/>
        </w:rPr>
        <w:t>9.1.3  对外目标定位：与国际标准体系兼容互认</w:t>
      </w:r>
    </w:p>
    <w:p>
      <w:pPr>
        <w:spacing w:line="360" w:lineRule="auto" w:after="0"/>
        <w:ind w:firstLineChars="200" w:firstLine="480"/>
        <w:jc w:val="both"/>
      </w:pPr>
      <w:r>
        <w:rPr>
          <w:rFonts w:ascii="宋体" w:hAnsi="宋体" w:eastAsia="宋体"/>
          <w:sz w:val="24"/>
        </w:rPr>
        <w:t>对外维度上，标准体系的定位是国际绿色经贸规则的“转换接口”与规则话语权的载体。欧盟碳边境调节机制（CBAM）于2023年5月立法生效、同年10月进入过渡期，2026年1月1日起正式征收，覆盖水泥、钢铁、铝、化肥、电力、氢六类产品；以2022年口径计，中国对欧盟出口CBAM覆盖商品约205亿美元，其中钢铁约146亿美元、铝约55亿美元（陈诗一和朱渝铖，2024；杨茹凯，2025）。CBAM的深层机制正是“布鲁塞尔效应”的标准化版本：欧盟凭借市场规模把单边核算规则外溢为事实上的国际标准，出口方标准与之的差距直接转化为关税负担与核查成本（Bradford，2020；刘梦佳和李志永，2025）。绿色贸易壁垒对企业既可能产生倒逼升级的正向效应，也可能因成本挤压形成“陷阱效应”，方向取决于国内标准体系能否把外部规则压力转化为内部升级激励（陆婷和徐奇渊，2023）。</w:t>
      </w:r>
    </w:p>
    <w:p>
      <w:pPr>
        <w:spacing w:line="360" w:lineRule="auto" w:after="0"/>
        <w:ind w:firstLineChars="200" w:firstLine="480"/>
        <w:jc w:val="both"/>
      </w:pPr>
      <w:r>
        <w:rPr>
          <w:rFonts w:ascii="宋体" w:hAnsi="宋体" w:eastAsia="宋体"/>
          <w:sz w:val="24"/>
        </w:rPr>
        <w:t>中国参与国际标准治理的基础并不薄弱：截至2022年底，中国主导制定的ISO、IEC国际标准达1337项；按2023年披露口径，中国承担的国际标准组织技术机构秘书处达89个（侯俊军等，2025）。但在绿色低碳这一新兴规则领域，国际标准化的主导权仍集中于欧美主导的私营标准组织与区域规则体系（Büthe和Mattli，2011），中国总体上处于“跟随中争取承认”的爬坡阶段。因此，对外目标定位包含递进的三层：近期以“兼容”为主，确保核算、足迹、核查类标准与ISO、IEC及CBAM实施细则的技术等效，使中国数据、中国认证可被国际规则采信；中期以“互认”为要，通过双多边协议实现认证结果与标准文本的相互承认，降低重复认证成本；远期以“引领”为标，在碳吸收、新能源等中国具备产业优势的领域输出中国标准，参与乃至主导国际标准制定（王明涛等，2025）。需要强调的是，对内与对外两个定位并非并行的两张清单，而是同一体系的两个侧面：对内标准越统一、数据质量越高，对外互认的谈判筹码越足；对外接口越畅通，外部规则压力越能内化为国内标准升级的动力。这正是第7章博弈模型中互认收益与遵从激励相互强化机制的制度表达。</w:t>
      </w:r>
    </w:p>
    <w:p>
      <w:pPr>
        <w:keepNext/>
        <w:spacing w:before="160" w:after="120" w:line="360" w:lineRule="auto"/>
        <w:outlineLvl w:val="1"/>
      </w:pPr>
      <w:r>
        <w:rPr>
          <w:rFonts w:ascii="黑体" w:hAnsi="黑体" w:eastAsia="黑体"/>
          <w:sz w:val="28"/>
        </w:rPr>
        <w:t>9.2  三项构建原则的提炼</w:t>
      </w:r>
    </w:p>
    <w:p>
      <w:pPr>
        <w:spacing w:line="360" w:lineRule="auto" w:after="0"/>
        <w:ind w:firstLineChars="200" w:firstLine="480"/>
        <w:jc w:val="both"/>
      </w:pPr>
      <w:r>
        <w:rPr>
          <w:rFonts w:ascii="宋体" w:hAnsi="宋体" w:eastAsia="宋体"/>
          <w:sz w:val="24"/>
        </w:rPr>
        <w:t>设计原则是连接演化规律与架构方案的中间层。本节将第5—7章的三组核心实证发现逐一转化为体系构建原则，每条转化都遵循同一逻辑链条：实证规律（模型识别的稳健结构）→设计含义（规律对体系设计的约束或启示）→制度安排（原则在架构中的具体落点）。三项原则分别是源于标准间互补—替代关系的协同互补原则、源于技术—制度互馈机制的动态适应原则、源于多主体博弈激励相容要求的多元协调原则。</w:t>
      </w:r>
    </w:p>
    <w:p>
      <w:pPr>
        <w:keepNext/>
        <w:spacing w:before="160" w:after="120" w:line="360" w:lineRule="auto"/>
        <w:outlineLvl w:val="2"/>
      </w:pPr>
      <w:r>
        <w:rPr>
          <w:rFonts w:ascii="黑体" w:hAnsi="黑体" w:eastAsia="黑体"/>
          <w:sz w:val="24"/>
        </w:rPr>
        <w:t>9.2.1  协同互补原则：源于标准间互补—替代关系</w:t>
      </w:r>
    </w:p>
    <w:p>
      <w:pPr>
        <w:spacing w:line="360" w:lineRule="auto" w:after="0"/>
        <w:ind w:firstLineChars="200" w:firstLine="480"/>
        <w:jc w:val="both"/>
      </w:pPr>
      <w:r>
        <w:rPr>
          <w:rFonts w:ascii="宋体" w:hAnsi="宋体" w:eastAsia="宋体"/>
          <w:sz w:val="24"/>
        </w:rPr>
        <w:t>第一条转化线索始于第5章状态空间模型的交互矩阵</w:t>
      </w:r>
      <m:oMath>
        <m:r>
          <m:t>A</m:t>
        </m:r>
      </m:oMath>
      <w:r>
        <w:rPr>
          <w:rFonts w:ascii="宋体" w:hAnsi="宋体" w:eastAsia="宋体"/>
          <w:sz w:val="24"/>
        </w:rPr>
        <w:t>。估计结果显示，碳排放核算标准对碳足迹认证标准的交互系数达0.12，对绿色产品标准为0.08，对绿色金融标准为0.06，均显著为正——核算标准的完善会系统性地拉动下游模块的发展，是典型的“基础性互补”；碳足迹认证对绿色金融的交互系数为0.07，同样为正，表明认证信息是绿色金融定价的输入品。与之相对，碳足迹认证与绿色产品标准之间存在-0.05的替代关系：两类标准在功能上部分重叠（均以产品为对象刻画其绿色属性），无序扩张会相互挤占采标资源。矩阵对角元全部为负，则意味着每类标准自身存在边际效力递减，单一模块的孤军深入无法替代体系的整体推进。</w:t>
      </w:r>
    </w:p>
    <w:p>
      <w:pPr>
        <w:spacing w:line="360" w:lineRule="auto" w:after="0"/>
        <w:ind w:firstLineChars="200" w:firstLine="480"/>
        <w:jc w:val="both"/>
      </w:pPr>
      <w:r>
        <w:rPr>
          <w:rFonts w:ascii="宋体" w:hAnsi="宋体" w:eastAsia="宋体"/>
          <w:sz w:val="24"/>
        </w:rPr>
        <w:t>这一结构的设计含义有三。其一，建设次序上必须“底座先行”：碳排放核算模块位于互补网络的源头，其溢出系数最大，应在资源配置与时间安排上享有优先权——这与标准化经济学中基础技术标准（infratechnology）先行的结论一致（Tassey，2000），也与网络外部性文献关于接口标准决定互联收益的判断相呼应（Katz和Shapiro，1985；Farrell和Saloner，1985）。其二，功能重叠处必须“归并整合”：对存在替代关系的碳足迹认证与绿色产品评价类标准，应通过统一术语、共享核算模块与互采数据，把替代关系改造为分工关系，避免企业面对多套口径的重复认证。其三，模块之间必须“接口标准化”：互补效应的释放依赖模块间数据与结果的相互采信，因此体系设计要为“核算结果进入认证、认证结果进入金融”预置接口标准。标准间的协同互补不会自发实现，路径依赖与锁定效应完全可能使体系停滞在劣质均衡（David，1985；Arthur，1989），这正是需要以体系设计主动引导的原因。</w:t>
      </w:r>
    </w:p>
    <w:p>
      <w:pPr>
        <w:keepNext/>
        <w:spacing w:before="160" w:after="120" w:line="360" w:lineRule="auto"/>
        <w:outlineLvl w:val="2"/>
      </w:pPr>
      <w:r>
        <w:rPr>
          <w:rFonts w:ascii="黑体" w:hAnsi="黑体" w:eastAsia="黑体"/>
          <w:sz w:val="24"/>
        </w:rPr>
        <w:t>9.2.2  动态适应原则：源于技术—制度互馈机制</w:t>
      </w:r>
    </w:p>
    <w:p>
      <w:pPr>
        <w:spacing w:line="360" w:lineRule="auto" w:after="0"/>
        <w:ind w:firstLineChars="200" w:firstLine="480"/>
        <w:jc w:val="both"/>
      </w:pPr>
      <w:r>
        <w:rPr>
          <w:rFonts w:ascii="宋体" w:hAnsi="宋体" w:eastAsia="宋体"/>
          <w:sz w:val="24"/>
        </w:rPr>
        <w:t>第二条转化线索来自第6章的技术—制度协同演进模型。参数估计显示，“双碳”目标提出后，技术促进制度的互馈系数</w:t>
      </w:r>
      <m:oMath>
        <m:r>
          <m:t>α</m:t>
        </m:r>
      </m:oMath>
      <w:r>
        <w:rPr>
          <w:rFonts w:ascii="宋体" w:hAnsi="宋体" w:eastAsia="宋体"/>
          <w:sz w:val="24"/>
        </w:rPr>
        <w:t>由0.021升至0.058，制度促进技术的互馈系数</w:t>
      </w:r>
      <m:oMath>
        <m:r>
          <m:t>β</m:t>
        </m:r>
      </m:oMath>
      <w:r>
        <w:rPr>
          <w:rFonts w:ascii="宋体" w:hAnsi="宋体" w:eastAsia="宋体"/>
          <w:sz w:val="24"/>
        </w:rPr>
        <w:t>由0.018升至0.049，二者均放大至此前的约2.7—2.8倍，而摩擦阻尼</w:t>
      </w:r>
      <m:oMath>
        <m:r>
          <m:t>γ</m:t>
        </m:r>
      </m:oMath>
      <w:r>
        <w:rPr>
          <w:rFonts w:ascii="宋体" w:hAnsi="宋体" w:eastAsia="宋体"/>
          <w:sz w:val="24"/>
        </w:rPr>
        <w:t>由0.35降至0.28；标准体系综合指数中技术权重</w:t>
      </w:r>
      <m:oMath>
        <m:r>
          <m:t>ω</m:t>
        </m:r>
      </m:oMath>
      <w:r>
        <w:rPr>
          <w:rFonts w:ascii="宋体" w:hAnsi="宋体" w:eastAsia="宋体"/>
          <w:sz w:val="24"/>
        </w:rPr>
        <w:t>由0.42升至0.55，表明体系演化正从制度驱动为主转向技术驱动为主。互馈强化意味着标准与技术之间的“时滞成本”被同步放大：标准滞后于技术，则先进技术因缺乏依据而难以进入市场；标准超前于技术，则企业被迫为无法达到的要求支付合规成本。技术范式的演进本身具有阶段性与不确定性（Dosi，1982；Nelson和Winter，1982），绿色低碳领域尤甚——氢能、CCUS、新型储能的技术路线仍在快速迭代，任何“毕其功于一役”的静态标准清单都注定过时。</w:t>
      </w:r>
    </w:p>
    <w:p>
      <w:pPr>
        <w:spacing w:line="360" w:lineRule="auto" w:after="0"/>
        <w:ind w:firstLineChars="200" w:firstLine="480"/>
        <w:jc w:val="both"/>
      </w:pPr>
      <w:r>
        <w:rPr>
          <w:rFonts w:ascii="宋体" w:hAnsi="宋体" w:eastAsia="宋体"/>
          <w:sz w:val="24"/>
        </w:rPr>
        <w:t>由此得到动态适应原则的三项制度安排。第一，体系必须内置更新机制而非依赖外生修订：第10章将给出以技术—政策偏离度（TPD）为信号、以阈值触发修订的动态更新机制，本章的架构设计须为该机制预留制度接口，即每类标准都应绑定技术水平监测指标与复审周期。第二，标准弹性应分层配置：国家标准承担底线功能，宜稳不宜频；团体标准贴近技术前沿，宜快不宜死——层级结构本身就是应对不确定性的适应性装置，快速演进领域先以团体标准试错，技术成熟后再上升为国家标准。第三，指标设定应“区间化、可升级”：能耗限额、排放绩效等关键指标宜采用分级设定（如领跑值、准入值、限定值），使标准升级表现为档位切换而非文本重写，降低制度调整成本。标准与技术创新之间存在双向促进也存在相互约束（Blind，2004），动态适应原则的实质就是把这一对张力转化为可管理的制度节奏。</w:t>
      </w:r>
    </w:p>
    <w:p>
      <w:pPr>
        <w:keepNext/>
        <w:spacing w:before="160" w:after="120" w:line="360" w:lineRule="auto"/>
        <w:outlineLvl w:val="2"/>
      </w:pPr>
      <w:r>
        <w:rPr>
          <w:rFonts w:ascii="黑体" w:hAnsi="黑体" w:eastAsia="黑体"/>
          <w:sz w:val="24"/>
        </w:rPr>
        <w:t>9.2.3  多元协调原则：源于博弈激励相容要求</w:t>
      </w:r>
    </w:p>
    <w:p>
      <w:pPr>
        <w:spacing w:line="360" w:lineRule="auto" w:after="0"/>
        <w:ind w:firstLineChars="200" w:firstLine="480"/>
        <w:jc w:val="both"/>
      </w:pPr>
      <w:r>
        <w:rPr>
          <w:rFonts w:ascii="宋体" w:hAnsi="宋体" w:eastAsia="宋体"/>
          <w:sz w:val="24"/>
        </w:rPr>
        <w:t>第三条转化线索来自第7章的三方演化博弈模型。稳定性分析表明，体系能否从“被动跟跑”均衡（激励引导、被动观望、排斥壁垒）跃迁至“主动领跑”均衡（激励引导、积极响应、接纳衔接），取决于一组激励相容条件：在国际规则接纳中国标准（</w:t>
      </w:r>
      <m:oMath>
        <m:r>
          <m:t>z</m:t>
        </m:r>
        <m:r>
          <m:rPr>
            <m:sty m:val="p"/>
          </m:rPr>
          <m:t>=</m:t>
        </m:r>
        <m:r>
          <m:t>1</m:t>
        </m:r>
      </m:oMath>
      <w:r>
        <w:rPr>
          <w:rFonts w:ascii="宋体" w:hAnsi="宋体" w:eastAsia="宋体"/>
          <w:sz w:val="24"/>
        </w:rPr>
        <w:t>）时，企业积极响应只需国际激励强度满足</w:t>
      </w:r>
      <m:oMath>
        <m:r>
          <m:t>Δ</m:t>
        </m:r>
        <m:r>
          <m:t>T</m:t>
        </m:r>
        <m:r>
          <m:rPr>
            <m:sty m:val="p"/>
          </m:rPr>
          <m:t>+</m:t>
        </m:r>
        <m:r>
          <m:t>Δ</m:t>
        </m:r>
        <m:r>
          <m:t>M</m:t>
        </m:r>
      </m:oMath>
      <w:r>
        <w:rPr>
          <w:rFonts w:ascii="宋体" w:hAnsi="宋体" w:eastAsia="宋体"/>
          <w:sz w:val="24"/>
        </w:rPr>
        <w:t>大于0.4；而在国际规则排斥（</w:t>
      </w:r>
      <m:oMath>
        <m:r>
          <m:t>z</m:t>
        </m:r>
        <m:r>
          <m:rPr>
            <m:sty m:val="p"/>
          </m:rPr>
          <m:t>=</m:t>
        </m:r>
        <m:r>
          <m:t>0</m:t>
        </m:r>
      </m:oMath>
      <w:r>
        <w:rPr>
          <w:rFonts w:ascii="宋体" w:hAnsi="宋体" w:eastAsia="宋体"/>
          <w:sz w:val="24"/>
        </w:rPr>
        <w:t>）时，该临界值升至4.8，相差达12倍；政府由强制推行转向激励引导的临界企业响应率约为0.286。这组阈值的经济含义是：任何单一主体的最优策略都嵌套在其他主体的策略分布之中，标准体系的绩效不取决于任何一方的单独努力，而取决于三方激励的相容程度（Zhao等，2024）。</w:t>
      </w:r>
    </w:p>
    <w:p>
      <w:pPr>
        <w:spacing w:line="360" w:lineRule="auto" w:after="0"/>
        <w:ind w:firstLineChars="200" w:firstLine="480"/>
        <w:jc w:val="both"/>
      </w:pPr>
      <w:r>
        <w:rPr>
          <w:rFonts w:ascii="宋体" w:hAnsi="宋体" w:eastAsia="宋体"/>
          <w:sz w:val="24"/>
        </w:rPr>
        <w:t>多元协调原则据此落为三项制度安排。其一，制定主体的多元参与：标准起草应制度化地纳入行业协会、龙头企业、科研机构与认证机构，政府角色从“唯一供给者”转向“底线供给者+规则协调者”，这既是降低执法成本、提高标准适用性的需要，也是把企业信息优势内化进标准文本的需要。其二，强制与自愿工具的组合校准：强制性标准锚定底线、自愿性标准与认证放大激励，二者的边界应依据企业响应率动态调整——自愿减排市场与强制碳市场的协同研究表明，工具组合的设计直接决定减排激励的强度与分布（蓝虹和杜彦霖，2024；张一林等，2025），价格与税收机制的协调进路同样是实现“双碳”目标的重要制度杠杆（杨长进等，2021）。其三，国际协调的内生化：博弈阈值显示国际接纳能把企业响应门槛降低一个数量级，因此国际衔接不是体系建成后的附加环节，而应作为内生变量进入架构设计——这正是9.6节把接口设计单列一节的理据。</w:t>
      </w:r>
    </w:p>
    <w:p>
      <w:pPr>
        <w:spacing w:line="360" w:lineRule="auto" w:after="0"/>
        <w:ind w:firstLineChars="200" w:firstLine="480"/>
        <w:jc w:val="both"/>
      </w:pPr>
      <w:r>
        <w:rPr>
          <w:rFonts w:ascii="宋体" w:hAnsi="宋体" w:eastAsia="宋体"/>
          <w:sz w:val="24"/>
        </w:rPr>
        <w:t>综上，三项原则与三层演化规律一一对应：协同互补原则回答“先建什么、如何布局”，规定了体系的空间结构；动态适应原则回答“如何更新、以何节奏”，规定了体系的时间结构；多元协调原则回答“谁来供给、如何激励”，规定了体系的主体结构。空间、时间、主体三个维度叠加，构成9.3节至9.6节架构设计的完整坐标系。</w:t>
      </w:r>
    </w:p>
    <w:p>
      <w:pPr>
        <w:keepNext/>
        <w:spacing w:before="160" w:after="120" w:line="360" w:lineRule="auto"/>
        <w:outlineLvl w:val="1"/>
      </w:pPr>
      <w:r>
        <w:rPr>
          <w:rFonts w:ascii="黑体" w:hAnsi="黑体" w:eastAsia="黑体"/>
          <w:sz w:val="28"/>
        </w:rPr>
        <w:t>9.3  五大功能模块架构设计</w:t>
      </w:r>
    </w:p>
    <w:p>
      <w:pPr>
        <w:keepNext/>
        <w:spacing w:before="160" w:after="120" w:line="360" w:lineRule="auto"/>
        <w:outlineLvl w:val="2"/>
      </w:pPr>
      <w:r>
        <w:rPr>
          <w:rFonts w:ascii="黑体" w:hAnsi="黑体" w:eastAsia="黑体"/>
          <w:sz w:val="24"/>
        </w:rPr>
        <w:t>9.3.1  总体架构：功能模块、层级结构与国际接口的三维集成</w:t>
      </w:r>
    </w:p>
    <w:p>
      <w:pPr>
        <w:spacing w:line="360" w:lineRule="auto" w:after="0"/>
        <w:ind w:firstLineChars="200" w:firstLine="480"/>
        <w:jc w:val="both"/>
      </w:pPr>
      <w:r>
        <w:rPr>
          <w:rFonts w:ascii="宋体" w:hAnsi="宋体" w:eastAsia="宋体"/>
          <w:sz w:val="24"/>
        </w:rPr>
        <w:t>在三项原则统领下，本书提出的中国绿色低碳标准体系总体架构由三个维度集成：横向按碳排放全生命周期的管理功能划分为碳排放核算、碳足迹认证、绿色产品、碳吸收、绿色金融五大功能模块；纵向按标准化法定层级分为国家标准、行业标准、地方标准、团体标准四个层级；外向则通过互认、数据、认证三类接口与国际标准体系衔接。五大模块的划分逻辑源于“双碳”治理的功能链条：核算模块回答“排了多少”，是全部治理的数据起点；足迹模块回答“产品含碳几何”，把排放责任传导至产品与消费端；产品模块回答“如何生产更绿”，以准入与评价拉动供给侧转型；吸收模块回答“如何移除”，对应碳中和阶段的负排放需求；金融模块回答“钱从哪来”，以资金配置放大前四个模块的激励。总体架构如图9.1所示。</w:t>
      </w:r>
    </w:p>
    <w:p>
      <w:pPr>
        <w:spacing w:before="120" w:after="40"/>
        <w:jc w:val="center"/>
      </w:pPr>
      <w:r>
        <w:drawing>
          <wp:inline xmlns:a="http://schemas.openxmlformats.org/drawingml/2006/main" xmlns:pic="http://schemas.openxmlformats.org/drawingml/2006/picture">
            <wp:extent cx="4860000" cy="3395980"/>
            <wp:docPr id="28" name="Picture 28"/>
            <wp:cNvGraphicFramePr>
              <a:graphicFrameLocks noChangeAspect="1"/>
            </wp:cNvGraphicFramePr>
            <a:graphic>
              <a:graphicData uri="http://schemas.openxmlformats.org/drawingml/2006/picture">
                <pic:pic>
                  <pic:nvPicPr>
                    <pic:cNvPr id="0" name="fig9_1.png"/>
                    <pic:cNvPicPr/>
                  </pic:nvPicPr>
                  <pic:blipFill>
                    <a:blip r:embed="rId36"/>
                    <a:stretch>
                      <a:fillRect/>
                    </a:stretch>
                  </pic:blipFill>
                  <pic:spPr>
                    <a:xfrm>
                      <a:off x="0" y="0"/>
                      <a:ext cx="4860000" cy="3395980"/>
                    </a:xfrm>
                    <a:prstGeom prst="rect"/>
                  </pic:spPr>
                </pic:pic>
              </a:graphicData>
            </a:graphic>
          </wp:inline>
        </w:drawing>
      </w:r>
    </w:p>
    <w:p>
      <w:pPr>
        <w:keepNext w:val="0"/>
        <w:spacing w:after="200"/>
        <w:jc w:val="center"/>
      </w:pPr>
      <w:r>
        <w:rPr>
          <w:rFonts w:ascii="黑体" w:hAnsi="黑体" w:eastAsia="黑体"/>
          <w:sz w:val="21"/>
        </w:rPr>
        <w:t>图9.1  “双碳”目标下中国绿色低碳标准体系总体架构</w:t>
      </w:r>
    </w:p>
    <w:p>
      <w:pPr>
        <w:spacing w:line="360" w:lineRule="auto" w:after="0"/>
        <w:ind w:firstLineChars="200" w:firstLine="480"/>
        <w:jc w:val="both"/>
      </w:pPr>
      <w:r>
        <w:rPr>
          <w:rFonts w:ascii="宋体" w:hAnsi="宋体" w:eastAsia="宋体"/>
          <w:sz w:val="24"/>
        </w:rPr>
        <w:t>由图9.1可见，总体架构呈“五纵四横一外环”结构：五列对应五大功能模块，四行对应四个标准层级，外环为国际衔接接口；模块之间以箭头标示第5章识别的互补关系——核算模块居于最左，向足迹、产品、金融模块输出数据基础，足迹模块向金融模块输出认证信息，吸收模块与金融模块经由碳信用交易相互联通；架构底部标注三项构建原则，顶部对应“双碳”目标与国际认可双重定位。这一架构与《碳达峰碳中和标准体系建设指南》的子体系划分保持兼容——指南的基础通用、碳减排、碳清除、市场化机制四个一级子体系可分别映射入本架构的相应模块（国家标准化管理委员会等，2023）——但本架构的增量在于：以实证识别的模块间交互结构确定建设次序，以模块×层级的矩阵化分工消除职责模糊，以显性的国际接口设计取代隐含的国际对标要求。表9.1汇总了五大模块的功能定位、现有重点标准与国际基准对应，各模块的详细设计见后续各小节。</w:t>
      </w:r>
    </w:p>
    <w:p>
      <w:pPr>
        <w:keepNext/>
        <w:spacing w:before="160" w:after="40"/>
        <w:jc w:val="center"/>
      </w:pPr>
      <w:r>
        <w:rPr>
          <w:rFonts w:ascii="黑体" w:hAnsi="黑体" w:eastAsia="黑体"/>
          <w:sz w:val="21"/>
        </w:rPr>
        <w:t>表9.1  五大功能模块的功能定位与重点标准</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功能模块</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功能定位</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现有重点标准与制度基础</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国际基准对应</w:t>
            </w:r>
          </w:p>
        </w:tc>
      </w:tr>
      <w:tr>
        <w:tc>
          <w:tcPr>
            <w:tcW w:type="dxa" w:w="2126"/>
            <w:vAlign w:val="center"/>
          </w:tcPr>
          <w:p>
            <w:pPr>
              <w:spacing w:line="240" w:lineRule="auto" w:after="20" w:before="20"/>
              <w:jc w:val="left"/>
            </w:pPr>
            <w:r/>
            <w:r>
              <w:rPr>
                <w:rFonts w:ascii="宋体" w:hAnsi="宋体" w:eastAsia="宋体"/>
                <w:sz w:val="21"/>
              </w:rPr>
              <w:t>碳排放核算</w:t>
            </w:r>
          </w:p>
        </w:tc>
        <w:tc>
          <w:tcPr>
            <w:tcW w:type="dxa" w:w="2126"/>
            <w:vAlign w:val="center"/>
          </w:tcPr>
          <w:p>
            <w:pPr>
              <w:spacing w:line="240" w:lineRule="auto" w:after="20" w:before="20"/>
              <w:jc w:val="left"/>
            </w:pPr>
            <w:r/>
            <w:r>
              <w:rPr>
                <w:rFonts w:ascii="宋体" w:hAnsi="宋体" w:eastAsia="宋体"/>
                <w:sz w:val="21"/>
              </w:rPr>
              <w:t>体系的数据底座与“度量衡”：为双控考核、碳市场履约与其余模块提供可测量、可报告、可核查的排放数据</w:t>
            </w:r>
          </w:p>
        </w:tc>
        <w:tc>
          <w:tcPr>
            <w:tcW w:type="dxa" w:w="2126"/>
            <w:vAlign w:val="center"/>
          </w:tcPr>
          <w:p>
            <w:pPr>
              <w:spacing w:line="240" w:lineRule="auto" w:after="20" w:before="20"/>
              <w:jc w:val="left"/>
            </w:pPr>
            <w:r/>
            <w:r>
              <w:rPr>
                <w:rFonts w:ascii="宋体" w:hAnsi="宋体" w:eastAsia="宋体"/>
                <w:sz w:val="21"/>
              </w:rPr>
              <w:t>GB/T 32150《工业企业温室气体排放核算和报告通则》；GB/T 32151系列分行业温室气体排放核算与报告要求；企业—项目—产品三位一体核算评价体系（建设中）</w:t>
            </w:r>
          </w:p>
        </w:tc>
        <w:tc>
          <w:tcPr>
            <w:tcW w:type="dxa" w:w="2126"/>
            <w:vAlign w:val="center"/>
          </w:tcPr>
          <w:p>
            <w:pPr>
              <w:spacing w:line="240" w:lineRule="auto" w:after="20" w:before="20"/>
              <w:jc w:val="left"/>
            </w:pPr>
            <w:r/>
            <w:r>
              <w:rPr>
                <w:rFonts w:ascii="宋体" w:hAnsi="宋体" w:eastAsia="宋体"/>
                <w:sz w:val="21"/>
              </w:rPr>
              <w:t>ISO 14064系列；温室气体核算体系（GHG Protocol）；CBAM核算实施细则</w:t>
            </w:r>
          </w:p>
        </w:tc>
      </w:tr>
      <w:tr>
        <w:tc>
          <w:tcPr>
            <w:tcW w:type="dxa" w:w="2126"/>
            <w:vAlign w:val="center"/>
          </w:tcPr>
          <w:p>
            <w:pPr>
              <w:spacing w:line="240" w:lineRule="auto" w:after="20" w:before="20"/>
              <w:jc w:val="left"/>
            </w:pPr>
            <w:r/>
            <w:r>
              <w:rPr>
                <w:rFonts w:ascii="宋体" w:hAnsi="宋体" w:eastAsia="宋体"/>
                <w:sz w:val="21"/>
              </w:rPr>
              <w:t>碳足迹认证</w:t>
            </w:r>
          </w:p>
        </w:tc>
        <w:tc>
          <w:tcPr>
            <w:tcW w:type="dxa" w:w="2126"/>
            <w:vAlign w:val="center"/>
          </w:tcPr>
          <w:p>
            <w:pPr>
              <w:spacing w:line="240" w:lineRule="auto" w:after="20" w:before="20"/>
              <w:jc w:val="left"/>
            </w:pPr>
            <w:r/>
            <w:r>
              <w:rPr>
                <w:rFonts w:ascii="宋体" w:hAnsi="宋体" w:eastAsia="宋体"/>
                <w:sz w:val="21"/>
              </w:rPr>
              <w:t>产品全生命周期碳排放的量化、披露与认证：联通国内绿色消费与国际绿色贸易</w:t>
            </w:r>
          </w:p>
        </w:tc>
        <w:tc>
          <w:tcPr>
            <w:tcW w:type="dxa" w:w="2126"/>
            <w:vAlign w:val="center"/>
          </w:tcPr>
          <w:p>
            <w:pPr>
              <w:spacing w:line="240" w:lineRule="auto" w:after="20" w:before="20"/>
              <w:jc w:val="left"/>
            </w:pPr>
            <w:r/>
            <w:r>
              <w:rPr>
                <w:rFonts w:ascii="宋体" w:hAnsi="宋体" w:eastAsia="宋体"/>
                <w:sz w:val="21"/>
              </w:rPr>
              <w:t>GB/T 24067-2024《温室气体 产品碳足迹 量化要求和指南》；已发布的9项产品碳足迹国家标准（含GB/T 44905-2024电解铝）；《产品碳足迹核算标准编制工作指引》</w:t>
            </w:r>
          </w:p>
        </w:tc>
        <w:tc>
          <w:tcPr>
            <w:tcW w:type="dxa" w:w="2126"/>
            <w:vAlign w:val="center"/>
          </w:tcPr>
          <w:p>
            <w:pPr>
              <w:spacing w:line="240" w:lineRule="auto" w:after="20" w:before="20"/>
              <w:jc w:val="left"/>
            </w:pPr>
            <w:r/>
            <w:r>
              <w:rPr>
                <w:rFonts w:ascii="宋体" w:hAnsi="宋体" w:eastAsia="宋体"/>
                <w:sz w:val="21"/>
              </w:rPr>
              <w:t>ISO 14067；欧盟产品环境足迹（PEF）；PAS 2050</w:t>
            </w:r>
          </w:p>
        </w:tc>
      </w:tr>
      <w:tr>
        <w:tc>
          <w:tcPr>
            <w:tcW w:type="dxa" w:w="2126"/>
            <w:vAlign w:val="center"/>
          </w:tcPr>
          <w:p>
            <w:pPr>
              <w:spacing w:line="240" w:lineRule="auto" w:after="20" w:before="20"/>
              <w:jc w:val="left"/>
            </w:pPr>
            <w:r/>
            <w:r>
              <w:rPr>
                <w:rFonts w:ascii="宋体" w:hAnsi="宋体" w:eastAsia="宋体"/>
                <w:sz w:val="21"/>
              </w:rPr>
              <w:t>绿色产品</w:t>
            </w:r>
          </w:p>
        </w:tc>
        <w:tc>
          <w:tcPr>
            <w:tcW w:type="dxa" w:w="2126"/>
            <w:vAlign w:val="center"/>
          </w:tcPr>
          <w:p>
            <w:pPr>
              <w:spacing w:line="240" w:lineRule="auto" w:after="20" w:before="20"/>
              <w:jc w:val="left"/>
            </w:pPr>
            <w:r/>
            <w:r>
              <w:rPr>
                <w:rFonts w:ascii="宋体" w:hAnsi="宋体" w:eastAsia="宋体"/>
                <w:sz w:val="21"/>
              </w:rPr>
              <w:t>以准入与评价拉动终端产品绿色化：衔接绿色采购、绿色消费与出口合规</w:t>
            </w:r>
          </w:p>
        </w:tc>
        <w:tc>
          <w:tcPr>
            <w:tcW w:type="dxa" w:w="2126"/>
            <w:vAlign w:val="center"/>
          </w:tcPr>
          <w:p>
            <w:pPr>
              <w:spacing w:line="240" w:lineRule="auto" w:after="20" w:before="20"/>
              <w:jc w:val="left"/>
            </w:pPr>
            <w:r/>
            <w:r>
              <w:rPr>
                <w:rFonts w:ascii="宋体" w:hAnsi="宋体" w:eastAsia="宋体"/>
                <w:sz w:val="21"/>
              </w:rPr>
              <w:t>强制性能耗限额与能效标准；绿色设计产品评价类标准；碳标签与绿色建材认证（探索中）</w:t>
            </w:r>
          </w:p>
        </w:tc>
        <w:tc>
          <w:tcPr>
            <w:tcW w:type="dxa" w:w="2126"/>
            <w:vAlign w:val="center"/>
          </w:tcPr>
          <w:p>
            <w:pPr>
              <w:spacing w:line="240" w:lineRule="auto" w:after="20" w:before="20"/>
              <w:jc w:val="left"/>
            </w:pPr>
            <w:r/>
            <w:r>
              <w:rPr>
                <w:rFonts w:ascii="宋体" w:hAnsi="宋体" w:eastAsia="宋体"/>
                <w:sz w:val="21"/>
              </w:rPr>
              <w:t>欧盟生态设计框架；欧盟新电池法规（Regulation (EU) 2023/1542）</w:t>
            </w:r>
          </w:p>
        </w:tc>
      </w:tr>
      <w:tr>
        <w:tc>
          <w:tcPr>
            <w:tcW w:type="dxa" w:w="2126"/>
            <w:vAlign w:val="center"/>
          </w:tcPr>
          <w:p>
            <w:pPr>
              <w:spacing w:line="240" w:lineRule="auto" w:after="20" w:before="20"/>
              <w:jc w:val="left"/>
            </w:pPr>
            <w:r/>
            <w:r>
              <w:rPr>
                <w:rFonts w:ascii="宋体" w:hAnsi="宋体" w:eastAsia="宋体"/>
                <w:sz w:val="21"/>
              </w:rPr>
              <w:t>碳吸收</w:t>
            </w:r>
          </w:p>
        </w:tc>
        <w:tc>
          <w:tcPr>
            <w:tcW w:type="dxa" w:w="2126"/>
            <w:vAlign w:val="center"/>
          </w:tcPr>
          <w:p>
            <w:pPr>
              <w:spacing w:line="240" w:lineRule="auto" w:after="20" w:before="20"/>
              <w:jc w:val="left"/>
            </w:pPr>
            <w:r/>
            <w:r>
              <w:rPr>
                <w:rFonts w:ascii="宋体" w:hAnsi="宋体" w:eastAsia="宋体"/>
                <w:sz w:val="21"/>
              </w:rPr>
              <w:t>碳汇计量监测与负排放技术规范：支撑碳中和阶段的“移除侧”制度需求</w:t>
            </w:r>
          </w:p>
        </w:tc>
        <w:tc>
          <w:tcPr>
            <w:tcW w:type="dxa" w:w="2126"/>
            <w:vAlign w:val="center"/>
          </w:tcPr>
          <w:p>
            <w:pPr>
              <w:spacing w:line="240" w:lineRule="auto" w:after="20" w:before="20"/>
              <w:jc w:val="left"/>
            </w:pPr>
            <w:r/>
            <w:r>
              <w:rPr>
                <w:rFonts w:ascii="宋体" w:hAnsi="宋体" w:eastAsia="宋体"/>
                <w:sz w:val="21"/>
              </w:rPr>
              <w:t>CCER项目方法学（造林碳汇CCER-14-001-V01、红树林营造CCER-14-002-V01等）；林草碳汇计量监测技术规程；CCUS全流程标准（缺位待建）</w:t>
            </w:r>
          </w:p>
        </w:tc>
        <w:tc>
          <w:tcPr>
            <w:tcW w:type="dxa" w:w="2126"/>
            <w:vAlign w:val="center"/>
          </w:tcPr>
          <w:p>
            <w:pPr>
              <w:spacing w:line="240" w:lineRule="auto" w:after="20" w:before="20"/>
              <w:jc w:val="left"/>
            </w:pPr>
            <w:r/>
            <w:r>
              <w:rPr>
                <w:rFonts w:ascii="宋体" w:hAnsi="宋体" w:eastAsia="宋体"/>
                <w:sz w:val="21"/>
              </w:rPr>
              <w:t>ISO 14064-2；IPCC国家温室气体清单指南</w:t>
            </w:r>
          </w:p>
        </w:tc>
      </w:tr>
      <w:tr>
        <w:tc>
          <w:tcPr>
            <w:tcW w:type="dxa" w:w="2126"/>
            <w:vAlign w:val="center"/>
          </w:tcPr>
          <w:p>
            <w:pPr>
              <w:spacing w:line="240" w:lineRule="auto" w:after="20" w:before="20"/>
              <w:jc w:val="left"/>
            </w:pPr>
            <w:r/>
            <w:r>
              <w:rPr>
                <w:rFonts w:ascii="宋体" w:hAnsi="宋体" w:eastAsia="宋体"/>
                <w:sz w:val="21"/>
              </w:rPr>
              <w:t>绿色金融</w:t>
            </w:r>
          </w:p>
        </w:tc>
        <w:tc>
          <w:tcPr>
            <w:tcW w:type="dxa" w:w="2126"/>
            <w:vAlign w:val="center"/>
          </w:tcPr>
          <w:p>
            <w:pPr>
              <w:spacing w:line="240" w:lineRule="auto" w:after="20" w:before="20"/>
              <w:jc w:val="left"/>
            </w:pPr>
            <w:r/>
            <w:r>
              <w:rPr>
                <w:rFonts w:ascii="宋体" w:hAnsi="宋体" w:eastAsia="宋体"/>
                <w:sz w:val="21"/>
              </w:rPr>
              <w:t>以统一界定与披露标准引导资金配置：打通标准体系与金融资源的传导</w:t>
            </w:r>
          </w:p>
        </w:tc>
        <w:tc>
          <w:tcPr>
            <w:tcW w:type="dxa" w:w="2126"/>
            <w:vAlign w:val="center"/>
          </w:tcPr>
          <w:p>
            <w:pPr>
              <w:spacing w:line="240" w:lineRule="auto" w:after="20" w:before="20"/>
              <w:jc w:val="left"/>
            </w:pPr>
            <w:r/>
            <w:r>
              <w:rPr>
                <w:rFonts w:ascii="宋体" w:hAnsi="宋体" w:eastAsia="宋体"/>
                <w:sz w:val="21"/>
              </w:rPr>
              <w:t>绿色债券支持项目目录；绿色信贷统计与环境信息披露类标准；转型金融标准（研制中）</w:t>
            </w:r>
          </w:p>
        </w:tc>
        <w:tc>
          <w:tcPr>
            <w:tcW w:type="dxa" w:w="2126"/>
            <w:vAlign w:val="center"/>
          </w:tcPr>
          <w:p>
            <w:pPr>
              <w:spacing w:line="240" w:lineRule="auto" w:after="20" w:before="20"/>
              <w:jc w:val="left"/>
            </w:pPr>
            <w:r/>
            <w:r>
              <w:rPr>
                <w:rFonts w:ascii="宋体" w:hAnsi="宋体" w:eastAsia="宋体"/>
                <w:sz w:val="21"/>
              </w:rPr>
              <w:t>欧盟可持续金融分类目录；中欧《可持续金融共同分类目录》；ISSB可持续披露准则</w:t>
            </w:r>
          </w:p>
        </w:tc>
      </w:tr>
    </w:tbl>
    <w:p>
      <w:pPr>
        <w:spacing w:after="200" w:line="240" w:lineRule="auto"/>
      </w:pPr>
      <w:r>
        <w:rPr>
          <w:rFonts w:ascii="宋体" w:hAnsi="宋体" w:eastAsia="宋体"/>
          <w:sz w:val="18"/>
        </w:rPr>
        <w:t>注：现有重点标准按2025年底前公开发布口径整理；国际基准对应指功能等价或需重点衔接的国际标准与规则。资料来源：作者根据国家标准化管理委员会、生态环境部等公开文件整理。</w:t>
      </w:r>
    </w:p>
    <w:p>
      <w:pPr>
        <w:spacing w:line="360" w:lineRule="auto" w:after="0"/>
        <w:ind w:firstLineChars="200" w:firstLine="480"/>
        <w:jc w:val="both"/>
      </w:pPr>
      <w:r>
        <w:rPr>
          <w:rFonts w:ascii="宋体" w:hAnsi="宋体" w:eastAsia="宋体"/>
          <w:sz w:val="24"/>
        </w:rPr>
        <w:t>由表9.1可见，五大模块的制度基础呈明显的梯度差异：核算与产品模块已有成体系的国家标准支撑，足迹模块正处于通则确立后的快速补建期，而吸收模块的CCUS标准与金融模块的转型金融标准仍处于研制或缺位状态，这一梯度与第8章的错配诊断相互印证。同时，“国际基准对应”一栏显示，每一模块都存在明确的国际对标对象且多为ISO标准与欧盟规则并立，这意味着国际衔接不是个别模块的特殊问题而是全体系的共性约束，为9.6节按互认、数据、认证三类接口统一设计衔接机制提供了逐模块的锚点。</w:t>
      </w:r>
    </w:p>
    <w:p>
      <w:pPr>
        <w:keepNext/>
        <w:spacing w:before="160" w:after="120" w:line="360" w:lineRule="auto"/>
        <w:outlineLvl w:val="2"/>
      </w:pPr>
      <w:r>
        <w:rPr>
          <w:rFonts w:ascii="黑体" w:hAnsi="黑体" w:eastAsia="黑体"/>
          <w:sz w:val="24"/>
        </w:rPr>
        <w:t>9.3.2  碳排放核算模块：对标ISO 14064与CBAM核算规范</w:t>
      </w:r>
    </w:p>
    <w:p>
      <w:pPr>
        <w:spacing w:line="360" w:lineRule="auto" w:after="0"/>
        <w:ind w:firstLineChars="200" w:firstLine="480"/>
        <w:jc w:val="both"/>
      </w:pPr>
      <w:r>
        <w:rPr>
          <w:rFonts w:ascii="宋体" w:hAnsi="宋体" w:eastAsia="宋体"/>
          <w:sz w:val="24"/>
        </w:rPr>
        <w:t>碳排放核算模块的功能定位是全体系的数据底座。其标准供给已有相当基础（石明娟等，2022）：GB/T 32150确立了工业企业温室气体核算与报告的通则框架，GB/T 32151系列针对发电、钢铁、水泥、化工等重点行业给出分行业核算与报告要求，与全国碳市场重点排放单位的核算指南共同构成企业层面的核算依据；按2024年强化行动方案的部署，2024年发布70项碳核算、碳足迹等国家标准，基本实现重点行业企业碳排放核算标准全覆盖，2025年目标是形成企业、项目、产品三位一体的碳排放核算评价标准体系。国际对标维度上，该模块以ISO 14064系列为基准：ISO 14064-1对应组织层面核算、14064-2对应项目层面减排量化、14064-3对应核查，中国通则标准在总体框架上与之等效，但在范围三排放、数据质量管理与不确定性评估的技术细节上仍有差距（陈红敏，2011；He等，2022）。</w:t>
      </w:r>
    </w:p>
    <w:p>
      <w:pPr>
        <w:spacing w:line="360" w:lineRule="auto" w:after="0"/>
        <w:ind w:firstLineChars="200" w:firstLine="480"/>
        <w:jc w:val="both"/>
      </w:pPr>
      <w:r>
        <w:rPr>
          <w:rFonts w:ascii="宋体" w:hAnsi="宋体" w:eastAsia="宋体"/>
          <w:sz w:val="24"/>
        </w:rPr>
        <w:t>“十五五”期间该模块的建设重点有三。一是口径统一：企业核算（服务碳市场）、项目核算（服务CCER）与产品核算（服务碳足迹）目前分属不同文件体系，需以通则标准为纲统一术语、边界与排放因子引用规则，消除同一企业多套账本的现象。二是因子体系：依托国家温室气体排放因子数据库建设，将排放因子的遴选、更新与发布程序标准化，这是核算结果可比性的根基。三是CBAM适配：CBAM实施细则对隐含排放的核算边界、实测值与缺省值的适用条件、第三方核查程序均有专门规定，出口相关行业的核算标准须增设与之技术等效的条款，使企业一套核算既能满足国内履约又能支撑对欧申报（Cosbey等，2019；陈诗一和朱渝铖，2024）。核算标准的精度并非纯技术问题：核算口径的松紧直接改变配额资产的价值分布与减排激励的方向（张希良等，2021），这决定了该模块必须由国家标准兜底、保持最高的强制性与统一性。</w:t>
      </w:r>
    </w:p>
    <w:p>
      <w:pPr>
        <w:keepNext/>
        <w:spacing w:before="160" w:after="120" w:line="360" w:lineRule="auto"/>
        <w:outlineLvl w:val="2"/>
      </w:pPr>
      <w:r>
        <w:rPr>
          <w:rFonts w:ascii="黑体" w:hAnsi="黑体" w:eastAsia="黑体"/>
          <w:sz w:val="24"/>
        </w:rPr>
        <w:t>9.3.3  碳足迹认证模块：对标ISO 14067与欧盟PEF</w:t>
      </w:r>
    </w:p>
    <w:p>
      <w:pPr>
        <w:spacing w:line="360" w:lineRule="auto" w:after="0"/>
        <w:ind w:firstLineChars="200" w:firstLine="480"/>
        <w:jc w:val="both"/>
      </w:pPr>
      <w:r>
        <w:rPr>
          <w:rFonts w:ascii="宋体" w:hAnsi="宋体" w:eastAsia="宋体"/>
          <w:sz w:val="24"/>
        </w:rPr>
        <w:t>碳足迹认证模块把排放管理从组织延伸到产品，是绿色贸易与绿色消费的关键制度接口。国际上，产品碳足迹标准经历了从英国PAS 2050到ISO 14067的演进（冯相昭等，2010；Wu等，2015），生命周期评价方法构成其共同内核（童庆蒙等，2018）；欧盟则以产品环境足迹（PEF）规则统一了品类规则与背景数据库要求，并把碳足迹嵌入新电池法规等产品立法——按Regulation (EU) 2023/1542，电动汽车电池碳足迹申报义务原定2025年2月18日起适用，因方法学授权法案延迟而顺延。中国的追赶步伐在2024年后明显加快：2024年5月，生态环境部等15部门印发《关于建立碳足迹管理体系的实施方案》，清单式部署22项任务；2024年8月发布通则国家标准GB/T 24067-2024，对标ISO 14067；2024年12月印发《产品碳足迹核算标准编制工作指引》；截至2025年6月，已发布9项产品碳足迹核算国家标准，覆盖畜产品、电解铝、化学纤维、塑料制品等品类，其中GB/T 44905-2024（电解铝）为首个工业领域产品碳足迹国标；2025年1月还发布了2023年电力碳足迹因子数据，补齐了核算链条中最关键的背景数据之一。</w:t>
      </w:r>
    </w:p>
    <w:p>
      <w:pPr>
        <w:spacing w:line="360" w:lineRule="auto" w:after="0"/>
        <w:ind w:firstLineChars="200" w:firstLine="480"/>
        <w:jc w:val="both"/>
      </w:pPr>
      <w:r>
        <w:rPr>
          <w:rFonts w:ascii="宋体" w:hAnsi="宋体" w:eastAsia="宋体"/>
          <w:sz w:val="24"/>
        </w:rPr>
        <w:t>该模块的建设重点是“三库一标识”：扩品类——以出口暴露度与碳排放强度为序，优先制定钢铁、光伏、动力电池、纺织等外向型产品的碳足迹标准，逐步实现CBAM覆盖产品与“新三样”产品全覆盖；建数据库——产品碳足迹核算对背景数据库依赖极强，缺乏本土数据库时企业只能引用国外数据库的中国缺省值，往往系统性高估中国产品碳强度，企业层面碳足迹口径的国际不一致已被证明显著扭曲跨国比较（Klaaßen和Stoll，2021）；统一核算与认证规则——发展统一的碳标识认证制度，避免多头认证；促国际采信——推动GB/T 24067与ISO 14067的等效性声明及电力因子数据的国际互认。碳标签的国际经验表明，认证的价值最终取决于消费者与采购方对标签的信任及其跨境可携带性（黄俊勇和刘世锦，2023），这再次说明该模块的成败系于国际接口。</w:t>
      </w:r>
    </w:p>
    <w:p>
      <w:pPr>
        <w:keepNext/>
        <w:spacing w:before="160" w:after="120" w:line="360" w:lineRule="auto"/>
        <w:outlineLvl w:val="2"/>
      </w:pPr>
      <w:r>
        <w:rPr>
          <w:rFonts w:ascii="黑体" w:hAnsi="黑体" w:eastAsia="黑体"/>
          <w:sz w:val="24"/>
        </w:rPr>
        <w:t>9.3.4  绿色产品模块：从数量扩张转向质量升级</w:t>
      </w:r>
    </w:p>
    <w:p>
      <w:pPr>
        <w:spacing w:line="360" w:lineRule="auto" w:after="0"/>
        <w:ind w:firstLineChars="200" w:firstLine="480"/>
        <w:jc w:val="both"/>
      </w:pPr>
      <w:r>
        <w:rPr>
          <w:rFonts w:ascii="宋体" w:hAnsi="宋体" w:eastAsia="宋体"/>
          <w:sz w:val="24"/>
        </w:rPr>
        <w:t>绿色产品模块是当前供给规模最大的模块，2025年占绿色低碳国家标准的35.2%，涵盖能效能耗限额、绿色设计产品评价、绿色建材、绿色包装等门类，第8章测算其供需错配指数在五模块中最低（0.18）。但“数量充裕”不等于“质量适配”：其一，指标固化——部分能效限额标准的限定值多年未随技术进步上调，对落后产能的淘汰约束钝化，需按动态适应原则转为分级指标并绑定复审周期；其二，碎片化——绿色设计评价类标准按产品逐一制定、准则不一，需以通用准则统摄；其三，与碳足迹模块的替代性重叠——绿色产品评价与碳足迹认证在低碳属性上双重评价，应按协同互补原则把碳足迹核算结果作为绿色产品评价的采信输入，变重复认证为链式认证。标准对产业绩效的经验研究表明，标准的生产率效应经由质量信号与交易成本渠道实现，且与创新存在互补（Blind，2004；何凡等，2025），绿色产品标准升级的要义正在于恢复其信号强度。</w:t>
      </w:r>
    </w:p>
    <w:p>
      <w:pPr>
        <w:spacing w:line="360" w:lineRule="auto" w:after="0"/>
        <w:ind w:firstLineChars="200" w:firstLine="480"/>
        <w:jc w:val="both"/>
      </w:pPr>
      <w:r>
        <w:rPr>
          <w:rFonts w:ascii="宋体" w:hAnsi="宋体" w:eastAsia="宋体"/>
          <w:sz w:val="24"/>
        </w:rPr>
        <w:t>该模块的另一重要功能是承接国际产品立法的合规传导。欧盟生态设计框架与新电池法规把能效、碳足迹、再生材料比例等要求嵌入市场准入，中国出口产品的合规成本取决于国内标准与之的差距。因此绿色产品模块的建设重点包括：对标国际立法梳理重点出口产品的指标差距清单；在绿色设计评价中预置碳足迹、可回收性等国际通行维度，并将评价对象逐步扩展至生物基纤维、生物基聚合物等可再生可持续材料（Vinod等，2020）；以绿色采购清单与财政支持放大标准的需求侧拉力。</w:t>
      </w:r>
    </w:p>
    <w:p>
      <w:pPr>
        <w:keepNext/>
        <w:spacing w:before="160" w:after="120" w:line="360" w:lineRule="auto"/>
        <w:outlineLvl w:val="2"/>
      </w:pPr>
      <w:r>
        <w:rPr>
          <w:rFonts w:ascii="黑体" w:hAnsi="黑体" w:eastAsia="黑体"/>
          <w:sz w:val="24"/>
        </w:rPr>
        <w:t>9.3.5  碳吸收模块：补齐碳汇核算与负排放技术标准</w:t>
      </w:r>
    </w:p>
    <w:p>
      <w:pPr>
        <w:spacing w:line="360" w:lineRule="auto" w:after="0"/>
        <w:ind w:firstLineChars="200" w:firstLine="480"/>
        <w:jc w:val="both"/>
      </w:pPr>
      <w:r>
        <w:rPr>
          <w:rFonts w:ascii="宋体" w:hAnsi="宋体" w:eastAsia="宋体"/>
          <w:sz w:val="24"/>
        </w:rPr>
        <w:t>碳吸收模块是本架构最鲜明的“补短板”设计。诊断结果显示，该模块2025年仅占绿色低碳国家标准的6.1%，供需错配指数达0.58、居五模块之首，供给缺位与需求扩张的反差最为尖锐。需求扩张来自两方面：一是“四步走”路径的阶段性——中国采取“碳排放标准化→碳达峰标准化→碳吸收标准化→碳中和标准化”的演进路线，随着2030年前碳达峰的临近，标准化重心将系统性移向碳吸收端（舒辉和唐飞，2023）；二是市场机制的重启——全国温室气体自愿减排交易市场于2024年1月22日重启，首日成交37.53万吨、成交额2383.53万元，而2023年10月发布的首批方法学仅4项（造林碳汇、并网光热发电、并网海上风电、红树林营造），方法学供给成为碳信用供给的直接约束（蓝虹和杜彦霖，2024）。碳汇核算的特殊困难在于计量的不确定性：生物碳汇涉及基线情景、额外性、持久性与泄漏的判定，计量监测标准的严谨程度直接决定碳信用的环境完整性与市场信誉（陈雅如和赵金成，2021）。</w:t>
      </w:r>
    </w:p>
    <w:p>
      <w:pPr>
        <w:spacing w:line="360" w:lineRule="auto" w:after="0"/>
        <w:ind w:firstLineChars="200" w:firstLine="480"/>
        <w:jc w:val="both"/>
      </w:pPr>
      <w:r>
        <w:rPr>
          <w:rFonts w:ascii="宋体" w:hAnsi="宋体" w:eastAsia="宋体"/>
          <w:sz w:val="24"/>
        </w:rPr>
        <w:t>该模块的建设重点分“碳汇核算”与“负排放技术”两翼。碳汇一翼：建立森林、草原、湿地、海洋（蓝碳）分类型的碳汇计量监测标准序列，统一样地调查、遥感反演与模型估计的方法学；有序扩充CCER方法学并使其核算规则与ISO 14064-2项目级标准等效，为碳汇信用的国际采信创造条件。负排放一翼：CCUS已进入示范加速期——截至2023年底全国示范项目达107个，2024年捕集能力约600万吨/年——但捕集效率测定、管道输送、地质封存选址与泄漏监测尚无成体系的标准供给，需按“捕集—运输—封存—监测”全链条布局；生物质能碳捕集与封存（BECCS）、直接空气捕集（DAC）等前沿技术宜先以团体标准探路。碳吸收标准的完善还具有战略外溢价值：在全球碳中和规则尚未定型的窗口期，率先形成成体系的碳汇与负排放标准，是中国由标准跟随者转向规则塑造者的最现实切入点（郭晓娜等，2024）。</w:t>
      </w:r>
    </w:p>
    <w:p>
      <w:pPr>
        <w:keepNext/>
        <w:spacing w:before="160" w:after="120" w:line="360" w:lineRule="auto"/>
        <w:outlineLvl w:val="2"/>
      </w:pPr>
      <w:r>
        <w:rPr>
          <w:rFonts w:ascii="黑体" w:hAnsi="黑体" w:eastAsia="黑体"/>
          <w:sz w:val="24"/>
        </w:rPr>
        <w:t>9.3.6  绿色金融模块：衔接可持续金融分类</w:t>
      </w:r>
    </w:p>
    <w:p>
      <w:pPr>
        <w:spacing w:line="360" w:lineRule="auto" w:after="0"/>
        <w:ind w:firstLineChars="200" w:firstLine="480"/>
        <w:jc w:val="both"/>
      </w:pPr>
      <w:r>
        <w:rPr>
          <w:rFonts w:ascii="宋体" w:hAnsi="宋体" w:eastAsia="宋体"/>
          <w:sz w:val="24"/>
        </w:rPr>
        <w:t>绿色金融模块承担“以标准引导资金”的功能。其制度基础包括绿色债券支持项目目录、绿色信贷统计制度与环境信息披露要求，但与国际可持续金融标准体系相比，中国绿色金融统计与界定标准在口径统一性、披露强制性与第三方鉴证方面仍存在明显差距（陈丹丹等，2025）。该模块的枢纽地位由第5章的互补结构决定：核算模块（交互系数0.06）与足迹模块（0.07）共同向金融模块输出定价信息，绿色金融标准的质量决定了这些信息能否转化为资金价格信号。经验研究表明，金融发展与环境规制的协同是引导工业绿色技术创新方向的关键条件（熊灵等，2023），绿色信贷政策能够显著促进企业绿色创新与低碳转型，但其效力依赖于绿色项目界定的清晰度与信息披露的可信度（王馨和王营，2021；刘金科等，2024）——界定模糊会诱发“洗绿”，反噬整个激励链条。</w:t>
      </w:r>
    </w:p>
    <w:p>
      <w:pPr>
        <w:spacing w:line="360" w:lineRule="auto" w:after="0"/>
        <w:ind w:firstLineChars="200" w:firstLine="480"/>
        <w:jc w:val="both"/>
      </w:pPr>
      <w:r>
        <w:rPr>
          <w:rFonts w:ascii="宋体" w:hAnsi="宋体" w:eastAsia="宋体"/>
          <w:sz w:val="24"/>
        </w:rPr>
        <w:t>该模块的建设重点有四：统一界定——整合绿色债券、绿色信贷、绿色产业指导目录的口径，形成与中欧《可持续金融共同分类目录》兼容的统一绿色金融分类标准；衔接披露——使企业碳核算与碳足迹标准的输出直接满足金融机构环境信息披露与ISSB准则的输入要求，避免企业重复填报；发展转型金融标准——为高碳行业的达标改造提供可信的转型活动界定，扩大标准体系对“棕色转绿”过程的覆盖（孙传旺和何一若，2025）；规范碳金融产品——碳排放权法律属性的清晰界定是碳资产入市交易与担保融资的制度前提（张磊，2024），应在此基础上为碳质押、碳回购、碳远期等产品制定基础术语与风控标准，使碳市场的金融属性在标准约束下有序释放。跨国经验研究亦证实，绿色金融与可再生能源发展的联动是塑造可持续未来的重要动力（Cai和Aljofan，2025）：考虑到2024年中国清洁能源投资已超6250亿美元、居全球首位，绿色金融标准每提高一分口径统一性，所撬动的资金配置改善都是巨量的。</w:t>
      </w:r>
    </w:p>
    <w:p>
      <w:pPr>
        <w:keepNext/>
        <w:spacing w:before="160" w:after="120" w:line="360" w:lineRule="auto"/>
        <w:outlineLvl w:val="1"/>
      </w:pPr>
      <w:r>
        <w:rPr>
          <w:rFonts w:ascii="黑体" w:hAnsi="黑体" w:eastAsia="黑体"/>
          <w:sz w:val="28"/>
        </w:rPr>
        <w:t>9.4  功能模块权重的AHP确定</w:t>
      </w:r>
    </w:p>
    <w:p>
      <w:pPr>
        <w:keepNext/>
        <w:spacing w:before="160" w:after="120" w:line="360" w:lineRule="auto"/>
        <w:outlineLvl w:val="2"/>
      </w:pPr>
      <w:r>
        <w:rPr>
          <w:rFonts w:ascii="黑体" w:hAnsi="黑体" w:eastAsia="黑体"/>
          <w:sz w:val="24"/>
        </w:rPr>
        <w:t>9.4.1  方法选择与层次结构</w:t>
      </w:r>
    </w:p>
    <w:p>
      <w:pPr>
        <w:spacing w:line="360" w:lineRule="auto" w:after="0"/>
        <w:ind w:firstLineChars="200" w:firstLine="480"/>
        <w:jc w:val="both"/>
      </w:pPr>
      <w:r>
        <w:rPr>
          <w:rFonts w:ascii="宋体" w:hAnsi="宋体" w:eastAsia="宋体"/>
          <w:sz w:val="24"/>
        </w:rPr>
        <w:t>五大模块不可能齐头并进，标准化资源（立项指标、经费、专家工时）的配置需要一个可辩护的优先序。本书采用层次分析法（AHP）确定功能模块权重。选择AHP的理由有三：其一，模块建设优先序是典型的多准则决策问题，减排贡献、产业带动与国际衔接三重考量难以用单一量纲折算，AHP通过两两比较把多准则权衡分解为可操作的判断序列（Saaty，1980）；其二，标准建设优先序涉及大量尚未市场化的前瞻判断，专家知识是主要信息源，AHP与德尔菲法的结合能够在吸收专家判断的同时以一致性检验约束其随意性；其三，AHP权重具有明确的下游用途——既作为第10章系统动力学模型中标准化资源分配的参数，也作为第12章综合国际适配性指数（CIAI）中模块权重</w:t>
      </w:r>
      <m:oMath>
        <m:sSub>
          <m:e>
            <m:r>
              <m:t>π</m:t>
            </m:r>
          </m:e>
          <m:sub>
            <m:r>
              <m:t>k</m:t>
            </m:r>
          </m:sub>
        </m:sSub>
      </m:oMath>
      <w:r>
        <w:rPr>
          <w:rFonts w:ascii="宋体" w:hAnsi="宋体" w:eastAsia="宋体"/>
          <w:sz w:val="24"/>
        </w:rPr>
        <w:t>的取值来源，从而使“体系构建—协同仿真—适配评估”共用一套权重口径。</w:t>
      </w:r>
    </w:p>
    <w:p>
      <w:pPr>
        <w:spacing w:line="360" w:lineRule="auto" w:after="0"/>
        <w:ind w:firstLineChars="200" w:firstLine="480"/>
        <w:jc w:val="both"/>
      </w:pPr>
      <w:r>
        <w:rPr>
          <w:rFonts w:ascii="宋体" w:hAnsi="宋体" w:eastAsia="宋体"/>
          <w:sz w:val="24"/>
        </w:rPr>
        <w:t>层次结构设三层。目标层为“‘双碳’目标下绿色低碳标准体系功能模块建设优先序”。准则层设三项：碳减排贡献度（</w:t>
      </w:r>
      <m:oMath>
        <m:sSub>
          <m:e>
            <m:r>
              <m:t>C</m:t>
            </m:r>
          </m:e>
          <m:sub>
            <m:r>
              <m:t>1</m:t>
            </m:r>
          </m:sub>
        </m:sSub>
      </m:oMath>
      <w:r>
        <w:rPr>
          <w:rFonts w:ascii="宋体" w:hAnsi="宋体" w:eastAsia="宋体"/>
          <w:sz w:val="24"/>
        </w:rPr>
        <w:t>），衡量模块标准建设对碳达峰碳中和减排进程的直接与间接贡献；产业转型促进度（</w:t>
      </w:r>
      <m:oMath>
        <m:sSub>
          <m:e>
            <m:r>
              <m:t>C</m:t>
            </m:r>
          </m:e>
          <m:sub>
            <m:r>
              <m:t>2</m:t>
            </m:r>
          </m:sub>
        </m:sSub>
      </m:oMath>
      <w:r>
        <w:rPr>
          <w:rFonts w:ascii="宋体" w:hAnsi="宋体" w:eastAsia="宋体"/>
          <w:sz w:val="24"/>
        </w:rPr>
        <w:t>），衡量模块标准对产业绿色转型、绿色技术创新与新增长动能的促进作用；国际衔接兼容度（</w:t>
      </w:r>
      <m:oMath>
        <m:sSub>
          <m:e>
            <m:r>
              <m:t>C</m:t>
            </m:r>
          </m:e>
          <m:sub>
            <m:r>
              <m:t>3</m:t>
            </m:r>
          </m:sub>
        </m:sSub>
      </m:oMath>
      <w:r>
        <w:rPr>
          <w:rFonts w:ascii="宋体" w:hAnsi="宋体" w:eastAsia="宋体"/>
          <w:sz w:val="24"/>
        </w:rPr>
        <w:t>），衡量模块标准对国际互认、出口合规与规则话语权的支撑作用。三项准则分别对应“双碳”目标的减排本位、高质量发展的转型诉求与国际认可的外部约束，与9.1节的双重目标定位一致。方案层为五大功能模块。层次结构如图9.2所示。</w:t>
      </w:r>
    </w:p>
    <w:p>
      <w:pPr>
        <w:spacing w:before="120" w:after="40"/>
        <w:jc w:val="center"/>
      </w:pPr>
      <w:r>
        <w:drawing>
          <wp:inline xmlns:a="http://schemas.openxmlformats.org/drawingml/2006/main" xmlns:pic="http://schemas.openxmlformats.org/drawingml/2006/picture">
            <wp:extent cx="4500000" cy="3081451"/>
            <wp:docPr id="29" name="Picture 29"/>
            <wp:cNvGraphicFramePr>
              <a:graphicFrameLocks noChangeAspect="1"/>
            </wp:cNvGraphicFramePr>
            <a:graphic>
              <a:graphicData uri="http://schemas.openxmlformats.org/drawingml/2006/picture">
                <pic:pic>
                  <pic:nvPicPr>
                    <pic:cNvPr id="0" name="fig9_2.png"/>
                    <pic:cNvPicPr/>
                  </pic:nvPicPr>
                  <pic:blipFill>
                    <a:blip r:embed="rId37"/>
                    <a:stretch>
                      <a:fillRect/>
                    </a:stretch>
                  </pic:blipFill>
                  <pic:spPr>
                    <a:xfrm>
                      <a:off x="0" y="0"/>
                      <a:ext cx="4500000" cy="3081451"/>
                    </a:xfrm>
                    <a:prstGeom prst="rect"/>
                  </pic:spPr>
                </pic:pic>
              </a:graphicData>
            </a:graphic>
          </wp:inline>
        </w:drawing>
      </w:r>
    </w:p>
    <w:p>
      <w:pPr>
        <w:keepNext w:val="0"/>
        <w:spacing w:after="200"/>
        <w:jc w:val="center"/>
      </w:pPr>
      <w:r>
        <w:rPr>
          <w:rFonts w:ascii="黑体" w:hAnsi="黑体" w:eastAsia="黑体"/>
          <w:sz w:val="21"/>
        </w:rPr>
        <w:t>图9.2  功能模块权重确定的AHP层次结构</w:t>
      </w:r>
    </w:p>
    <w:p>
      <w:pPr>
        <w:spacing w:line="360" w:lineRule="auto" w:after="0"/>
        <w:ind w:firstLineChars="200" w:firstLine="480"/>
        <w:jc w:val="both"/>
      </w:pPr>
      <w:r>
        <w:rPr>
          <w:rFonts w:ascii="宋体" w:hAnsi="宋体" w:eastAsia="宋体"/>
          <w:sz w:val="24"/>
        </w:rPr>
        <w:t>由图9.2可见，目标层经由三项准则与五个方案形成3×5的完全连接结构：每一模块在每一准则下都接受独立评判，模块的综合权重是其在三项准则下局部权重的加权合成。这一结构的好处是把“碳吸收重要还是碳核算重要”这类笼统争论，分解为“在减排贡献维度谁更重要”“在国际衔接维度谁更重要”等更易达成专家共识的具体判断，判断粒度的细化本身就是共识质量的保障。</w:t>
      </w:r>
    </w:p>
    <w:p>
      <w:pPr>
        <w:keepNext/>
        <w:spacing w:before="160" w:after="120" w:line="360" w:lineRule="auto"/>
        <w:outlineLvl w:val="2"/>
      </w:pPr>
      <w:r>
        <w:rPr>
          <w:rFonts w:ascii="黑体" w:hAnsi="黑体" w:eastAsia="黑体"/>
          <w:sz w:val="24"/>
        </w:rPr>
        <w:t>9.4.2  判断矩阵构造与德尔菲专家咨询</w:t>
      </w:r>
    </w:p>
    <w:p>
      <w:pPr>
        <w:spacing w:line="360" w:lineRule="auto" w:after="0"/>
        <w:ind w:firstLineChars="200" w:firstLine="480"/>
        <w:jc w:val="both"/>
      </w:pPr>
      <w:r>
        <w:rPr>
          <w:rFonts w:ascii="宋体" w:hAnsi="宋体" w:eastAsia="宋体"/>
          <w:sz w:val="24"/>
        </w:rPr>
        <w:t>记某一层次待比较元素为</w:t>
      </w:r>
      <m:oMath>
        <m:r>
          <m:t>1</m:t>
        </m:r>
        <m:r>
          <m:rPr>
            <m:sty m:val="p"/>
          </m:rPr>
          <m:t>,</m:t>
        </m:r>
        <m:r>
          <m:t>2</m:t>
        </m:r>
        <m:r>
          <m:rPr>
            <m:sty m:val="p"/>
          </m:rPr>
          <m:t>,</m:t>
        </m:r>
        <m:r>
          <m:rPr>
            <m:sty m:val="p"/>
          </m:rPr>
          <m:t>…</m:t>
        </m:r>
        <m:r>
          <m:rPr>
            <m:sty m:val="p"/>
          </m:rPr>
          <m:t>,</m:t>
        </m:r>
        <m:r>
          <m:t>n</m:t>
        </m:r>
      </m:oMath>
      <w:r>
        <w:rPr>
          <w:rFonts w:ascii="宋体" w:hAnsi="宋体" w:eastAsia="宋体"/>
          <w:sz w:val="24"/>
        </w:rPr>
        <w:t>，专家以Saaty的1—9标度对元素</w:t>
      </w:r>
      <m:oMath>
        <m:r>
          <m:t>k</m:t>
        </m:r>
      </m:oMath>
      <w:r>
        <w:rPr>
          <w:rFonts w:ascii="宋体" w:hAnsi="宋体" w:eastAsia="宋体"/>
          <w:sz w:val="24"/>
        </w:rPr>
        <w:t>相对元素</w:t>
      </w:r>
      <m:oMath>
        <m:r>
          <m:t>l</m:t>
        </m:r>
      </m:oMath>
      <w:r>
        <w:rPr>
          <w:rFonts w:ascii="宋体" w:hAnsi="宋体" w:eastAsia="宋体"/>
          <w:sz w:val="24"/>
        </w:rPr>
        <w:t>的重要性给出判断</w:t>
      </w:r>
      <m:oMath>
        <m:sSub>
          <m:e>
            <m:r>
              <m:t>a</m:t>
            </m:r>
          </m:e>
          <m:sub>
            <m:r>
              <m:t>k</m:t>
            </m:r>
            <m:r>
              <m:t>l</m:t>
            </m:r>
          </m:sub>
        </m:sSub>
      </m:oMath>
      <w:r>
        <w:rPr>
          <w:rFonts w:ascii="宋体" w:hAnsi="宋体" w:eastAsia="宋体"/>
          <w:sz w:val="24"/>
        </w:rPr>
        <w:t>，构成判断矩阵：</w:t>
      </w:r>
    </w:p>
    <w:p>
      <w:pPr>
        <w:tabs>
          <w:tab w:pos="4252" w:val="center"/>
          <w:tab w:pos="8504" w:val="right"/>
        </w:tabs>
        <w:spacing w:line="360" w:lineRule="auto" w:before="80" w:after="80"/>
      </w:pPr>
      <w:r>
        <w:tab/>
      </w:r>
      <m:oMath>
        <m:sSub>
          <m:e>
            <m:r>
              <m:t>A</m:t>
            </m:r>
          </m:e>
          <m:sub>
            <m:r>
              <m:t>c</m:t>
            </m:r>
          </m:sub>
        </m:sSub>
        <m:r>
          <m:rPr>
            <m:sty m:val="p"/>
          </m:rPr>
          <m:t>=</m:t>
        </m:r>
        <m:sSub>
          <m:e>
            <m:d>
              <m:dPr>
                <m:begChr m:val="("/>
                <m:sepChr m:val=""/>
                <m:endChr m:val=")"/>
                <m:grow/>
              </m:dPr>
              <m:e>
                <m:sSub>
                  <m:e>
                    <m:r>
                      <m:t>a</m:t>
                    </m:r>
                  </m:e>
                  <m:sub>
                    <m:r>
                      <m:t>k</m:t>
                    </m:r>
                    <m:r>
                      <m:t>l</m:t>
                    </m:r>
                  </m:sub>
                </m:sSub>
              </m:e>
            </m:d>
          </m:e>
          <m:sub>
            <m:r>
              <m:t>n</m:t>
            </m:r>
            <m:r>
              <m:rPr>
                <m:sty m:val="p"/>
              </m:rPr>
              <m:t>×</m:t>
            </m:r>
            <m:r>
              <m:t>n</m:t>
            </m:r>
          </m:sub>
        </m:sSub>
        <m:r>
          <m:rPr>
            <m:sty m:val="p"/>
          </m:rPr>
          <m:t>,</m:t>
        </m:r>
        <m:r>
          <m:t>  </m:t>
        </m:r>
        <m:sSub>
          <m:e>
            <m:r>
              <m:t>a</m:t>
            </m:r>
          </m:e>
          <m:sub>
            <m:r>
              <m:t>k</m:t>
            </m:r>
            <m:r>
              <m:t>l</m:t>
            </m:r>
          </m:sub>
        </m:sSub>
        <m:r>
          <m:rPr>
            <m:sty m:val="p"/>
          </m:rPr>
          <m:t>&gt;</m:t>
        </m:r>
        <m:r>
          <m:t>0</m:t>
        </m:r>
        <m:r>
          <m:rPr>
            <m:sty m:val="p"/>
          </m:rPr>
          <m:t>,</m:t>
        </m:r>
        <m:r>
          <m:t> </m:t>
        </m:r>
        <m:sSub>
          <m:e>
            <m:r>
              <m:t>a</m:t>
            </m:r>
          </m:e>
          <m:sub>
            <m:r>
              <m:t>l</m:t>
            </m:r>
            <m:r>
              <m:t>k</m:t>
            </m:r>
          </m:sub>
        </m:sSub>
        <m:r>
          <m:rPr>
            <m:sty m:val="p"/>
          </m:rPr>
          <m:t>=</m:t>
        </m:r>
        <m:r>
          <m:t>1</m:t>
        </m:r>
        <m:r>
          <m:rPr>
            <m:sty m:val="p"/>
          </m:rPr>
          <m:t>/</m:t>
        </m:r>
        <m:sSub>
          <m:e>
            <m:r>
              <m:t>a</m:t>
            </m:r>
          </m:e>
          <m:sub>
            <m:r>
              <m:t>k</m:t>
            </m:r>
            <m:r>
              <m:t>l</m:t>
            </m:r>
          </m:sub>
        </m:sSub>
        <m:r>
          <m:rPr>
            <m:sty m:val="p"/>
          </m:rPr>
          <m:t>,</m:t>
        </m:r>
        <m:r>
          <m:t> </m:t>
        </m:r>
        <m:sSub>
          <m:e>
            <m:r>
              <m:t>a</m:t>
            </m:r>
          </m:e>
          <m:sub>
            <m:r>
              <m:t>k</m:t>
            </m:r>
            <m:r>
              <m:t>k</m:t>
            </m:r>
          </m:sub>
        </m:sSub>
        <m:r>
          <m:rPr>
            <m:sty m:val="p"/>
          </m:rPr>
          <m:t>=</m:t>
        </m:r>
        <m:r>
          <m:t>1</m:t>
        </m:r>
      </m:oMath>
      <w:r>
        <w:tab/>
      </w:r>
      <w:r>
        <w:rPr>
          <w:rFonts w:ascii="Times New Roman" w:hAnsi="Times New Roman" w:eastAsia="宋体"/>
          <w:sz w:val="24"/>
        </w:rPr>
        <w:t>(9-1)</w:t>
      </w:r>
    </w:p>
    <w:p>
      <w:pPr>
        <w:spacing w:line="360" w:lineRule="auto" w:after="0"/>
        <w:jc w:val="both"/>
      </w:pPr>
      <w:r>
        <w:rPr>
          <w:rFonts w:ascii="宋体" w:hAnsi="宋体" w:eastAsia="宋体"/>
          <w:sz w:val="24"/>
        </w:rPr>
        <w:t>其中，</w:t>
      </w:r>
      <m:oMath>
        <m:sSub>
          <m:e>
            <m:r>
              <m:t>a</m:t>
            </m:r>
          </m:e>
          <m:sub>
            <m:r>
              <m:t>k</m:t>
            </m:r>
            <m:r>
              <m:t>l</m:t>
            </m:r>
          </m:sub>
        </m:sSub>
        <m:r>
          <m:rPr>
            <m:sty m:val="p"/>
          </m:rPr>
          <m:t>=</m:t>
        </m:r>
        <m:r>
          <m:t>1</m:t>
        </m:r>
      </m:oMath>
      <w:r>
        <w:rPr>
          <w:rFonts w:ascii="宋体" w:hAnsi="宋体" w:eastAsia="宋体"/>
          <w:sz w:val="24"/>
        </w:rPr>
        <w:t>表示两元素同等重要，</w:t>
      </w:r>
      <m:oMath>
        <m:sSub>
          <m:e>
            <m:r>
              <m:t>a</m:t>
            </m:r>
          </m:e>
          <m:sub>
            <m:r>
              <m:t>k</m:t>
            </m:r>
            <m:r>
              <m:t>l</m:t>
            </m:r>
          </m:sub>
        </m:sSub>
        <m:r>
          <m:rPr>
            <m:sty m:val="p"/>
          </m:rPr>
          <m:t>=</m:t>
        </m:r>
        <m:r>
          <m:t>9</m:t>
        </m:r>
      </m:oMath>
      <w:r>
        <w:rPr>
          <w:rFonts w:ascii="宋体" w:hAnsi="宋体" w:eastAsia="宋体"/>
          <w:sz w:val="24"/>
        </w:rPr>
        <w:t>表示元素</w:t>
      </w:r>
      <m:oMath>
        <m:r>
          <m:t>k</m:t>
        </m:r>
      </m:oMath>
      <w:r>
        <w:rPr>
          <w:rFonts w:ascii="宋体" w:hAnsi="宋体" w:eastAsia="宋体"/>
          <w:sz w:val="24"/>
        </w:rPr>
        <w:t>相对元素</w:t>
      </w:r>
      <m:oMath>
        <m:r>
          <m:t>l</m:t>
        </m:r>
      </m:oMath>
      <w:r>
        <w:rPr>
          <w:rFonts w:ascii="宋体" w:hAnsi="宋体" w:eastAsia="宋体"/>
          <w:sz w:val="24"/>
        </w:rPr>
        <w:t>极端重要，偶数标度为相邻判断的折中。判断矩阵给定后，权重向量</w:t>
      </w:r>
      <m:oMath>
        <m:r>
          <m:t>w</m:t>
        </m:r>
        <m:r>
          <m:rPr>
            <m:sty m:val="p"/>
          </m:rPr>
          <m:t>=</m:t>
        </m:r>
        <m:sSup>
          <m:e>
            <m:d>
              <m:dPr>
                <m:begChr m:val="("/>
                <m:sepChr m:val=""/>
                <m:endChr m:val=")"/>
                <m:grow/>
              </m:dPr>
              <m:e>
                <m:sSub>
                  <m:e>
                    <m:r>
                      <m:t>w</m:t>
                    </m:r>
                  </m:e>
                  <m:sub>
                    <m:r>
                      <m:t>1</m:t>
                    </m:r>
                  </m:sub>
                </m:sSub>
                <m:r>
                  <m:rPr>
                    <m:sty m:val="p"/>
                  </m:rPr>
                  <m:t>,</m:t>
                </m:r>
                <m:r>
                  <m:rPr>
                    <m:sty m:val="p"/>
                  </m:rPr>
                  <m:t>…</m:t>
                </m:r>
                <m:r>
                  <m:rPr>
                    <m:sty m:val="p"/>
                  </m:rPr>
                  <m:t>,</m:t>
                </m:r>
                <m:sSub>
                  <m:e>
                    <m:r>
                      <m:t>w</m:t>
                    </m:r>
                  </m:e>
                  <m:sub>
                    <m:r>
                      <m:t>n</m:t>
                    </m:r>
                  </m:sub>
                </m:sSub>
              </m:e>
            </m:d>
          </m:e>
          <m:sup>
            <m:r>
              <m:rPr>
                <m:sty m:val="p"/>
              </m:rPr>
              <m:t>⊤</m:t>
            </m:r>
          </m:sup>
        </m:sSup>
      </m:oMath>
      <w:r>
        <w:rPr>
          <w:rFonts w:ascii="宋体" w:hAnsi="宋体" w:eastAsia="宋体"/>
          <w:sz w:val="24"/>
        </w:rPr>
        <w:t>由特征方程求解：</w:t>
      </w:r>
    </w:p>
    <w:p>
      <w:pPr>
        <w:tabs>
          <w:tab w:pos="4252" w:val="center"/>
          <w:tab w:pos="8504" w:val="right"/>
        </w:tabs>
        <w:spacing w:line="360" w:lineRule="auto" w:before="80" w:after="80"/>
      </w:pPr>
      <w:r>
        <w:tab/>
      </w:r>
      <m:oMath>
        <m:sSub>
          <m:e>
            <m:r>
              <m:t>A</m:t>
            </m:r>
          </m:e>
          <m:sub>
            <m:r>
              <m:t>c</m:t>
            </m:r>
          </m:sub>
        </m:sSub>
        <m:r>
          <m:t> </m:t>
        </m:r>
        <m:r>
          <m:t>w</m:t>
        </m:r>
        <m:r>
          <m:rPr>
            <m:sty m:val="p"/>
          </m:rPr>
          <m:t>=</m:t>
        </m:r>
        <m:sSub>
          <m:e>
            <m:r>
              <m:t>λ</m:t>
            </m:r>
          </m:e>
          <m:sub>
            <m:r>
              <m:rPr>
                <m:sty m:val="p"/>
              </m:rPr>
              <m:t>max</m:t>
            </m:r>
          </m:sub>
        </m:sSub>
        <m:r>
          <m:t> </m:t>
        </m:r>
        <m:r>
          <m:t>w</m:t>
        </m:r>
        <m:r>
          <m:rPr>
            <m:sty m:val="p"/>
          </m:rPr>
          <m:t>,</m:t>
        </m:r>
        <m:r>
          <m:t>  </m:t>
        </m:r>
        <m:nary>
          <m:naryPr>
            <m:chr m:val="∑"/>
            <m:limLoc m:val="undOvr"/>
            <m:subHide m:val="off"/>
            <m:supHide m:val="off"/>
          </m:naryPr>
          <m:sub>
            <m:r>
              <m:t>k</m:t>
            </m:r>
            <m:r>
              <m:rPr>
                <m:sty m:val="p"/>
              </m:rPr>
              <m:t>=</m:t>
            </m:r>
            <m:r>
              <m:t>1</m:t>
            </m:r>
          </m:sub>
          <m:sup>
            <m:r>
              <m:t>n</m:t>
            </m:r>
          </m:sup>
          <m:e>
            <m:sSub>
              <m:e>
                <m:r>
                  <m:t>w</m:t>
                </m:r>
              </m:e>
              <m:sub>
                <m:r>
                  <m:t>k</m:t>
                </m:r>
              </m:sub>
            </m:sSub>
          </m:e>
        </m:nary>
        <m:r>
          <m:rPr>
            <m:sty m:val="p"/>
          </m:rPr>
          <m:t>=</m:t>
        </m:r>
        <m:r>
          <m:t>1</m:t>
        </m:r>
      </m:oMath>
      <w:r>
        <w:tab/>
      </w:r>
      <w:r>
        <w:rPr>
          <w:rFonts w:ascii="Times New Roman" w:hAnsi="Times New Roman" w:eastAsia="宋体"/>
          <w:sz w:val="24"/>
        </w:rPr>
        <w:t>(9-2)</w:t>
      </w:r>
    </w:p>
    <w:p>
      <w:pPr>
        <w:spacing w:line="360" w:lineRule="auto" w:after="0"/>
        <w:jc w:val="both"/>
      </w:pPr>
      <w:r>
        <w:rPr>
          <w:rFonts w:ascii="宋体" w:hAnsi="宋体" w:eastAsia="宋体"/>
          <w:sz w:val="24"/>
        </w:rPr>
        <w:t>其中，</w:t>
      </w:r>
      <m:oMath>
        <m:sSub>
          <m:e>
            <m:r>
              <m:t>λ</m:t>
            </m:r>
          </m:e>
          <m:sub>
            <m:r>
              <m:rPr>
                <m:sty m:val="p"/>
              </m:rPr>
              <m:t>max</m:t>
            </m:r>
          </m:sub>
        </m:sSub>
      </m:oMath>
      <w:r>
        <w:rPr>
          <w:rFonts w:ascii="宋体" w:hAnsi="宋体" w:eastAsia="宋体"/>
          <w:sz w:val="24"/>
        </w:rPr>
        <w:t>为</w:t>
      </w:r>
      <m:oMath>
        <m:sSub>
          <m:e>
            <m:r>
              <m:t>A</m:t>
            </m:r>
          </m:e>
          <m:sub>
            <m:r>
              <m:t>c</m:t>
            </m:r>
          </m:sub>
        </m:sSub>
      </m:oMath>
      <w:r>
        <w:rPr>
          <w:rFonts w:ascii="宋体" w:hAnsi="宋体" w:eastAsia="宋体"/>
          <w:sz w:val="24"/>
        </w:rPr>
        <w:t>的最大特征根。实际计算采用与特征根法渐近等价的几何平均法：</w:t>
      </w:r>
    </w:p>
    <w:p>
      <w:pPr>
        <w:tabs>
          <w:tab w:pos="4252" w:val="center"/>
          <w:tab w:pos="8504" w:val="right"/>
        </w:tabs>
        <w:spacing w:line="360" w:lineRule="auto" w:before="80" w:after="80"/>
      </w:pPr>
      <w:r>
        <w:tab/>
      </w:r>
      <m:oMath>
        <m:sSub>
          <m:e>
            <m:r>
              <m:t>w</m:t>
            </m:r>
          </m:e>
          <m:sub>
            <m:r>
              <m:t>k</m:t>
            </m:r>
          </m:sub>
        </m:sSub>
        <m:r>
          <m:rPr>
            <m:sty m:val="p"/>
          </m:rPr>
          <m:t>=</m:t>
        </m:r>
        <m:sSup>
          <m:e>
            <m:d>
              <m:dPr>
                <m:begChr m:val="("/>
                <m:sepChr m:val=""/>
                <m:endChr m:val=")"/>
                <m:grow/>
              </m:dPr>
              <m:e>
                <m:nary>
                  <m:naryPr>
                    <m:chr m:val="∏"/>
                    <m:limLoc m:val="undOvr"/>
                    <m:subHide m:val="off"/>
                    <m:supHide m:val="off"/>
                  </m:naryPr>
                  <m:sub>
                    <m:r>
                      <m:t>l</m:t>
                    </m:r>
                    <m:r>
                      <m:rPr>
                        <m:sty m:val="p"/>
                      </m:rPr>
                      <m:t>=</m:t>
                    </m:r>
                    <m:r>
                      <m:t>1</m:t>
                    </m:r>
                  </m:sub>
                  <m:sup>
                    <m:r>
                      <m:t>n</m:t>
                    </m:r>
                  </m:sup>
                  <m:e>
                    <m:sSub>
                      <m:e>
                        <m:r>
                          <m:t>a</m:t>
                        </m:r>
                      </m:e>
                      <m:sub>
                        <m:r>
                          <m:t>k</m:t>
                        </m:r>
                        <m:r>
                          <m:t>l</m:t>
                        </m:r>
                      </m:sub>
                    </m:sSub>
                  </m:e>
                </m:nary>
              </m:e>
            </m:d>
          </m:e>
          <m:sup>
            <m:r>
              <m:t>1</m:t>
            </m:r>
            <m:r>
              <m:rPr>
                <m:sty m:val="p"/>
              </m:rPr>
              <m:t>/</m:t>
            </m:r>
            <m:r>
              <m:t>n</m:t>
            </m:r>
          </m:sup>
        </m:sSup>
        <m:r>
          <m:rPr>
            <m:sty m:val="p"/>
          </m:rPr>
          <m:t>/</m:t>
        </m:r>
        <m:nary>
          <m:naryPr>
            <m:chr m:val="∑"/>
            <m:limLoc m:val="undOvr"/>
            <m:subHide m:val="off"/>
            <m:supHide m:val="off"/>
          </m:naryPr>
          <m:sub>
            <m:r>
              <m:t>m</m:t>
            </m:r>
            <m:r>
              <m:rPr>
                <m:sty m:val="p"/>
              </m:rPr>
              <m:t>=</m:t>
            </m:r>
            <m:r>
              <m:t>1</m:t>
            </m:r>
          </m:sub>
          <m:sup>
            <m:r>
              <m:t>n</m:t>
            </m:r>
          </m:sup>
          <m:e>
            <m:sSup>
              <m:e>
                <m:d>
                  <m:dPr>
                    <m:begChr m:val="("/>
                    <m:sepChr m:val=""/>
                    <m:endChr m:val=")"/>
                    <m:grow/>
                  </m:dPr>
                  <m:e>
                    <m:nary>
                      <m:naryPr>
                        <m:chr m:val="∏"/>
                        <m:limLoc m:val="undOvr"/>
                        <m:subHide m:val="off"/>
                        <m:supHide m:val="off"/>
                      </m:naryPr>
                      <m:sub>
                        <m:r>
                          <m:t>l</m:t>
                        </m:r>
                        <m:r>
                          <m:rPr>
                            <m:sty m:val="p"/>
                          </m:rPr>
                          <m:t>=</m:t>
                        </m:r>
                        <m:r>
                          <m:t>1</m:t>
                        </m:r>
                      </m:sub>
                      <m:sup>
                        <m:r>
                          <m:t>n</m:t>
                        </m:r>
                      </m:sup>
                      <m:e>
                        <m:sSub>
                          <m:e>
                            <m:r>
                              <m:t>a</m:t>
                            </m:r>
                          </m:e>
                          <m:sub>
                            <m:r>
                              <m:t>m</m:t>
                            </m:r>
                            <m:r>
                              <m:t>l</m:t>
                            </m:r>
                          </m:sub>
                        </m:sSub>
                      </m:e>
                    </m:nary>
                  </m:e>
                </m:d>
              </m:e>
              <m:sup>
                <m:r>
                  <m:t>1</m:t>
                </m:r>
                <m:r>
                  <m:rPr>
                    <m:sty m:val="p"/>
                  </m:rPr>
                  <m:t>/</m:t>
                </m:r>
                <m:r>
                  <m:t>n</m:t>
                </m:r>
              </m:sup>
            </m:sSup>
          </m:e>
        </m:nary>
        <m:r>
          <m:rPr>
            <m:sty m:val="p"/>
          </m:rPr>
          <m:t>,</m:t>
        </m:r>
        <m:r>
          <m:t>  </m:t>
        </m:r>
        <m:r>
          <m:t>k</m:t>
        </m:r>
        <m:r>
          <m:rPr>
            <m:sty m:val="p"/>
          </m:rPr>
          <m:t>=</m:t>
        </m:r>
        <m:r>
          <m:t>1</m:t>
        </m:r>
        <m:r>
          <m:rPr>
            <m:sty m:val="p"/>
          </m:rPr>
          <m:t>,</m:t>
        </m:r>
        <m:r>
          <m:rPr>
            <m:sty m:val="p"/>
          </m:rPr>
          <m:t>…</m:t>
        </m:r>
        <m:r>
          <m:rPr>
            <m:sty m:val="p"/>
          </m:rPr>
          <m:t>,</m:t>
        </m:r>
        <m:r>
          <m:t>n</m:t>
        </m:r>
      </m:oMath>
      <w:r>
        <w:tab/>
      </w:r>
      <w:r>
        <w:rPr>
          <w:rFonts w:ascii="Times New Roman" w:hAnsi="Times New Roman" w:eastAsia="宋体"/>
          <w:sz w:val="24"/>
        </w:rPr>
        <w:t>(9-3)</w:t>
      </w:r>
    </w:p>
    <w:p>
      <w:pPr>
        <w:spacing w:line="360" w:lineRule="auto" w:after="0"/>
        <w:ind w:firstLineChars="200" w:firstLine="480"/>
        <w:jc w:val="both"/>
      </w:pPr>
      <w:r>
        <w:rPr>
          <w:rFonts w:ascii="宋体" w:hAnsi="宋体" w:eastAsia="宋体"/>
          <w:sz w:val="24"/>
        </w:rPr>
        <w:t>完全一致的判断矩阵应满足</w:t>
      </w:r>
      <m:oMath>
        <m:sSub>
          <m:e>
            <m:r>
              <m:t>a</m:t>
            </m:r>
          </m:e>
          <m:sub>
            <m:r>
              <m:t>k</m:t>
            </m:r>
            <m:r>
              <m:t>l</m:t>
            </m:r>
          </m:sub>
        </m:sSub>
        <m:r>
          <m:rPr>
            <m:sty m:val="p"/>
          </m:rPr>
          <m:t>=</m:t>
        </m:r>
        <m:sSub>
          <m:e>
            <m:r>
              <m:t>a</m:t>
            </m:r>
          </m:e>
          <m:sub>
            <m:r>
              <m:t>k</m:t>
            </m:r>
            <m:r>
              <m:t>m</m:t>
            </m:r>
          </m:sub>
        </m:sSub>
        <m:sSub>
          <m:e>
            <m:r>
              <m:t>a</m:t>
            </m:r>
          </m:e>
          <m:sub>
            <m:r>
              <m:t>m</m:t>
            </m:r>
            <m:r>
              <m:t>l</m:t>
            </m:r>
          </m:sub>
        </m:sSub>
      </m:oMath>
      <w:r>
        <w:rPr>
          <w:rFonts w:ascii="宋体" w:hAnsi="宋体" w:eastAsia="宋体"/>
          <w:sz w:val="24"/>
        </w:rPr>
        <w:t>，此时</w:t>
      </w:r>
      <m:oMath>
        <m:sSub>
          <m:e>
            <m:r>
              <m:t>λ</m:t>
            </m:r>
          </m:e>
          <m:sub>
            <m:r>
              <m:rPr>
                <m:sty m:val="p"/>
              </m:rPr>
              <m:t>max</m:t>
            </m:r>
          </m:sub>
        </m:sSub>
        <m:r>
          <m:rPr>
            <m:sty m:val="p"/>
          </m:rPr>
          <m:t>=</m:t>
        </m:r>
        <m:r>
          <m:t>n</m:t>
        </m:r>
      </m:oMath>
      <w:r>
        <w:rPr>
          <w:rFonts w:ascii="宋体" w:hAnsi="宋体" w:eastAsia="宋体"/>
          <w:sz w:val="24"/>
        </w:rPr>
        <w:t>；专家判断的现实偏差使</w:t>
      </w:r>
      <m:oMath>
        <m:sSub>
          <m:e>
            <m:r>
              <m:t>λ</m:t>
            </m:r>
          </m:e>
          <m:sub>
            <m:r>
              <m:rPr>
                <m:sty m:val="p"/>
              </m:rPr>
              <m:t>max</m:t>
            </m:r>
          </m:sub>
        </m:sSub>
        <m:r>
          <m:rPr>
            <m:sty m:val="p"/>
          </m:rPr>
          <m:t>&gt;</m:t>
        </m:r>
        <m:r>
          <m:t>n</m:t>
        </m:r>
      </m:oMath>
      <w:r>
        <w:rPr>
          <w:rFonts w:ascii="宋体" w:hAnsi="宋体" w:eastAsia="宋体"/>
          <w:sz w:val="24"/>
        </w:rPr>
        <w:t>，偏离幅度即一致性水平的度量。定义一致性指标与一致性比率：</w:t>
      </w:r>
    </w:p>
    <w:p>
      <w:pPr>
        <w:tabs>
          <w:tab w:pos="4252" w:val="center"/>
          <w:tab w:pos="8504" w:val="right"/>
        </w:tabs>
        <w:spacing w:line="360" w:lineRule="auto" w:before="80" w:after="80"/>
      </w:pPr>
      <w:r>
        <w:tab/>
      </w:r>
      <m:oMath>
        <m:r>
          <m:rPr>
            <m:sty m:val="p"/>
          </m:rPr>
          <m:t>C</m:t>
        </m:r>
        <m:r>
          <m:rPr>
            <m:sty m:val="p"/>
          </m:rPr>
          <m:t>I</m:t>
        </m:r>
        <m:r>
          <m:rPr>
            <m:sty m:val="p"/>
          </m:rPr>
          <m:t>=</m:t>
        </m:r>
        <m:f>
          <m:fPr>
            <m:type m:val="bar"/>
          </m:fPr>
          <m:num>
            <m:sSub>
              <m:e>
                <m:r>
                  <m:t>λ</m:t>
                </m:r>
              </m:e>
              <m:sub>
                <m:r>
                  <m:rPr>
                    <m:sty m:val="p"/>
                  </m:rPr>
                  <m:t>max</m:t>
                </m:r>
              </m:sub>
            </m:sSub>
            <m:r>
              <m:rPr>
                <m:sty m:val="p"/>
              </m:rPr>
              <m:t>−</m:t>
            </m:r>
            <m:r>
              <m:t>n</m:t>
            </m:r>
          </m:num>
          <m:den>
            <m:r>
              <m:t>n</m:t>
            </m:r>
            <m:r>
              <m:rPr>
                <m:sty m:val="p"/>
              </m:rPr>
              <m:t>−</m:t>
            </m:r>
            <m:r>
              <m:t>1</m:t>
            </m:r>
          </m:den>
        </m:f>
        <m:r>
          <m:rPr>
            <m:sty m:val="p"/>
          </m:rPr>
          <m:t>,</m:t>
        </m:r>
        <m:r>
          <m:t>  </m:t>
        </m:r>
        <m:r>
          <m:rPr>
            <m:sty m:val="p"/>
          </m:rPr>
          <m:t>C</m:t>
        </m:r>
        <m:r>
          <m:rPr>
            <m:sty m:val="p"/>
          </m:rPr>
          <m:t>R</m:t>
        </m:r>
        <m:r>
          <m:rPr>
            <m:sty m:val="p"/>
          </m:rPr>
          <m:t>=</m:t>
        </m:r>
        <m:f>
          <m:fPr>
            <m:type m:val="bar"/>
          </m:fPr>
          <m:num>
            <m:r>
              <m:rPr>
                <m:sty m:val="p"/>
              </m:rPr>
              <m:t>C</m:t>
            </m:r>
            <m:r>
              <m:rPr>
                <m:sty m:val="p"/>
              </m:rPr>
              <m:t>I</m:t>
            </m:r>
          </m:num>
          <m:den>
            <m:r>
              <m:rPr>
                <m:sty m:val="p"/>
              </m:rPr>
              <m:t>R</m:t>
            </m:r>
            <m:r>
              <m:rPr>
                <m:sty m:val="p"/>
              </m:rPr>
              <m:t>I</m:t>
            </m:r>
          </m:den>
        </m:f>
      </m:oMath>
      <w:r>
        <w:tab/>
      </w:r>
      <w:r>
        <w:rPr>
          <w:rFonts w:ascii="Times New Roman" w:hAnsi="Times New Roman" w:eastAsia="宋体"/>
          <w:sz w:val="24"/>
        </w:rPr>
        <w:t>(9-4)</w:t>
      </w:r>
    </w:p>
    <w:p>
      <w:pPr>
        <w:spacing w:line="360" w:lineRule="auto" w:after="0"/>
        <w:jc w:val="both"/>
      </w:pPr>
      <w:r>
        <w:rPr>
          <w:rFonts w:ascii="宋体" w:hAnsi="宋体" w:eastAsia="宋体"/>
          <w:sz w:val="24"/>
        </w:rPr>
        <w:t>其中，RI为同阶随机判断矩阵的平均一致性指标（</w:t>
      </w:r>
      <m:oMath>
        <m:r>
          <m:t>n</m:t>
        </m:r>
        <m:r>
          <m:rPr>
            <m:sty m:val="p"/>
          </m:rPr>
          <m:t>=</m:t>
        </m:r>
        <m:r>
          <m:t>3</m:t>
        </m:r>
      </m:oMath>
      <w:r>
        <w:rPr>
          <w:rFonts w:ascii="宋体" w:hAnsi="宋体" w:eastAsia="宋体"/>
          <w:sz w:val="24"/>
        </w:rPr>
        <w:t>时取0.58，</w:t>
      </w:r>
      <m:oMath>
        <m:r>
          <m:t>n</m:t>
        </m:r>
        <m:r>
          <m:rPr>
            <m:sty m:val="p"/>
          </m:rPr>
          <m:t>=</m:t>
        </m:r>
        <m:r>
          <m:t>5</m:t>
        </m:r>
      </m:oMath>
      <w:r>
        <w:rPr>
          <w:rFonts w:ascii="宋体" w:hAnsi="宋体" w:eastAsia="宋体"/>
          <w:sz w:val="24"/>
        </w:rPr>
        <w:t>时取1.12）。判断可接受的标准为CR&lt;0.1，否则须请专家复核修正判断。方案层在三项准则下分别构造判断矩阵并求局部权重</w:t>
      </w:r>
      <m:oMath>
        <m:sSub>
          <m:e>
            <m:r>
              <m:t>w</m:t>
            </m:r>
          </m:e>
          <m:sub>
            <m:r>
              <m:t>k</m:t>
            </m:r>
            <m:r>
              <m:t>c</m:t>
            </m:r>
          </m:sub>
        </m:sSub>
      </m:oMath>
      <w:r>
        <w:rPr>
          <w:rFonts w:ascii="宋体" w:hAnsi="宋体" w:eastAsia="宋体"/>
          <w:sz w:val="24"/>
        </w:rPr>
        <w:t>后，模块</w:t>
      </w:r>
      <m:oMath>
        <m:r>
          <m:t>k</m:t>
        </m:r>
      </m:oMath>
      <w:r>
        <w:rPr>
          <w:rFonts w:ascii="宋体" w:hAnsi="宋体" w:eastAsia="宋体"/>
          <w:sz w:val="24"/>
        </w:rPr>
        <w:t>的综合权重按层次合成原理加权：</w:t>
      </w:r>
    </w:p>
    <w:p>
      <w:pPr>
        <w:tabs>
          <w:tab w:pos="4252" w:val="center"/>
          <w:tab w:pos="8504" w:val="right"/>
        </w:tabs>
        <w:spacing w:line="360" w:lineRule="auto" w:before="80" w:after="80"/>
      </w:pPr>
      <w:r>
        <w:tab/>
      </w:r>
      <m:oMath>
        <m:sSub>
          <m:e>
            <m:r>
              <m:t>π</m:t>
            </m:r>
          </m:e>
          <m:sub>
            <m:r>
              <m:t>k</m:t>
            </m:r>
          </m:sub>
        </m:sSub>
        <m:r>
          <m:rPr>
            <m:sty m:val="p"/>
          </m:rPr>
          <m:t>=</m:t>
        </m:r>
        <m:nary>
          <m:naryPr>
            <m:chr m:val="∑"/>
            <m:limLoc m:val="undOvr"/>
            <m:subHide m:val="off"/>
            <m:supHide m:val="off"/>
          </m:naryPr>
          <m:sub>
            <m:r>
              <m:t>c</m:t>
            </m:r>
            <m:r>
              <m:rPr>
                <m:sty m:val="p"/>
              </m:rPr>
              <m:t>=</m:t>
            </m:r>
            <m:r>
              <m:t>1</m:t>
            </m:r>
          </m:sub>
          <m:sup>
            <m:r>
              <m:t>3</m:t>
            </m:r>
          </m:sup>
          <m:e>
            <m:sSub>
              <m:e>
                <m:r>
                  <m:t>θ</m:t>
                </m:r>
              </m:e>
              <m:sub>
                <m:r>
                  <m:t>c</m:t>
                </m:r>
              </m:sub>
            </m:sSub>
          </m:e>
        </m:nary>
        <m:r>
          <m:t> </m:t>
        </m:r>
        <m:sSub>
          <m:e>
            <m:r>
              <m:t>w</m:t>
            </m:r>
          </m:e>
          <m:sub>
            <m:r>
              <m:t>k</m:t>
            </m:r>
            <m:r>
              <m:t>c</m:t>
            </m:r>
          </m:sub>
        </m:sSub>
        <m:r>
          <m:rPr>
            <m:sty m:val="p"/>
          </m:rPr>
          <m:t>,</m:t>
        </m:r>
        <m:r>
          <m:t>  </m:t>
        </m:r>
        <m:nary>
          <m:naryPr>
            <m:chr m:val="∑"/>
            <m:limLoc m:val="undOvr"/>
            <m:subHide m:val="off"/>
            <m:supHide m:val="off"/>
          </m:naryPr>
          <m:sub>
            <m:r>
              <m:t>k</m:t>
            </m:r>
            <m:r>
              <m:rPr>
                <m:sty m:val="p"/>
              </m:rPr>
              <m:t>=</m:t>
            </m:r>
            <m:r>
              <m:t>1</m:t>
            </m:r>
          </m:sub>
          <m:sup>
            <m:r>
              <m:t>5</m:t>
            </m:r>
          </m:sup>
          <m:e>
            <m:sSub>
              <m:e>
                <m:r>
                  <m:t>π</m:t>
                </m:r>
              </m:e>
              <m:sub>
                <m:r>
                  <m:t>k</m:t>
                </m:r>
              </m:sub>
            </m:sSub>
          </m:e>
        </m:nary>
        <m:r>
          <m:rPr>
            <m:sty m:val="p"/>
          </m:rPr>
          <m:t>=</m:t>
        </m:r>
        <m:r>
          <m:t>1</m:t>
        </m:r>
      </m:oMath>
      <w:r>
        <w:tab/>
      </w:r>
      <w:r>
        <w:rPr>
          <w:rFonts w:ascii="Times New Roman" w:hAnsi="Times New Roman" w:eastAsia="宋体"/>
          <w:sz w:val="24"/>
        </w:rPr>
        <w:t>(9-5)</w:t>
      </w:r>
    </w:p>
    <w:p>
      <w:pPr>
        <w:spacing w:line="360" w:lineRule="auto" w:after="0"/>
        <w:jc w:val="both"/>
      </w:pPr>
      <w:r>
        <w:rPr>
          <w:rFonts w:ascii="宋体" w:hAnsi="宋体" w:eastAsia="宋体"/>
          <w:sz w:val="24"/>
        </w:rPr>
        <w:t>其中，</w:t>
      </w:r>
      <m:oMath>
        <m:sSub>
          <m:e>
            <m:r>
              <m:t>θ</m:t>
            </m:r>
          </m:e>
          <m:sub>
            <m:r>
              <m:t>c</m:t>
            </m:r>
          </m:sub>
        </m:sSub>
      </m:oMath>
      <w:r>
        <w:rPr>
          <w:rFonts w:ascii="宋体" w:hAnsi="宋体" w:eastAsia="宋体"/>
          <w:sz w:val="24"/>
        </w:rPr>
        <w:t>为准则</w:t>
      </w:r>
      <m:oMath>
        <m:r>
          <m:t>c</m:t>
        </m:r>
      </m:oMath>
      <w:r>
        <w:rPr>
          <w:rFonts w:ascii="宋体" w:hAnsi="宋体" w:eastAsia="宋体"/>
          <w:sz w:val="24"/>
        </w:rPr>
        <w:t>的权重，</w:t>
      </w:r>
      <m:oMath>
        <m:sSub>
          <m:e>
            <m:r>
              <m:t>w</m:t>
            </m:r>
          </m:e>
          <m:sub>
            <m:r>
              <m:t>k</m:t>
            </m:r>
            <m:r>
              <m:t>c</m:t>
            </m:r>
          </m:sub>
        </m:sSub>
      </m:oMath>
      <w:r>
        <w:rPr>
          <w:rFonts w:ascii="宋体" w:hAnsi="宋体" w:eastAsia="宋体"/>
          <w:sz w:val="24"/>
        </w:rPr>
        <w:t>为模块</w:t>
      </w:r>
      <m:oMath>
        <m:r>
          <m:t>k</m:t>
        </m:r>
      </m:oMath>
      <w:r>
        <w:rPr>
          <w:rFonts w:ascii="宋体" w:hAnsi="宋体" w:eastAsia="宋体"/>
          <w:sz w:val="24"/>
        </w:rPr>
        <w:t>在准则</w:t>
      </w:r>
      <m:oMath>
        <m:r>
          <m:t>c</m:t>
        </m:r>
      </m:oMath>
      <w:r>
        <w:rPr>
          <w:rFonts w:ascii="宋体" w:hAnsi="宋体" w:eastAsia="宋体"/>
          <w:sz w:val="24"/>
        </w:rPr>
        <w:t>下的局部权重，</w:t>
      </w:r>
      <m:oMath>
        <m:sSub>
          <m:e>
            <m:r>
              <m:t>π</m:t>
            </m:r>
          </m:e>
          <m:sub>
            <m:r>
              <m:t>k</m:t>
            </m:r>
          </m:sub>
        </m:sSub>
      </m:oMath>
      <w:r>
        <w:rPr>
          <w:rFonts w:ascii="宋体" w:hAnsi="宋体" w:eastAsia="宋体"/>
          <w:sz w:val="24"/>
        </w:rPr>
        <w:t>即模块综合权重，其记号与第12章CIAI指数的模块权重一致。</w:t>
      </w:r>
    </w:p>
    <w:p>
      <w:pPr>
        <w:spacing w:line="360" w:lineRule="auto" w:after="0"/>
        <w:ind w:firstLineChars="200" w:firstLine="480"/>
        <w:jc w:val="both"/>
      </w:pPr>
      <w:r>
        <w:rPr>
          <w:rFonts w:ascii="宋体" w:hAnsi="宋体" w:eastAsia="宋体"/>
          <w:sz w:val="24"/>
        </w:rPr>
        <w:t>专家判断经两轮德尔菲程序采集。共邀请26位专家，覆盖标准化管理部门、行业协会、重点排放行业龙头企业、认证核查机构与高校科研院所五类背景，兼顾标准供给方、使用方与第三方视角。第一轮以背对背问卷采集判断矩阵并反馈群体分布（几何平均值与四分位区间），第二轮请偏离群体中位判断较远的专家在知悉群体意见后复核修正。两轮之后，专家判断的肯德尔协调系数达到0.73，经卡方检验在1%水平上显著，表明专家意见已收敛到可接受的一致程度；群体判断矩阵取26位专家第二轮判断的几何平均集结。</w:t>
      </w:r>
    </w:p>
    <w:p>
      <w:pPr>
        <w:keepNext/>
        <w:spacing w:before="160" w:after="120" w:line="360" w:lineRule="auto"/>
        <w:outlineLvl w:val="2"/>
      </w:pPr>
      <w:r>
        <w:rPr>
          <w:rFonts w:ascii="黑体" w:hAnsi="黑体" w:eastAsia="黑体"/>
          <w:sz w:val="24"/>
        </w:rPr>
        <w:t>9.4.3  权重结果与一致性检验</w:t>
      </w:r>
    </w:p>
    <w:p>
      <w:pPr>
        <w:spacing w:line="360" w:lineRule="auto" w:after="0"/>
        <w:ind w:firstLineChars="200" w:firstLine="480"/>
        <w:jc w:val="both"/>
      </w:pPr>
      <w:r>
        <w:rPr>
          <w:rFonts w:ascii="宋体" w:hAnsi="宋体" w:eastAsia="宋体"/>
          <w:sz w:val="24"/>
        </w:rPr>
        <w:t>表9.2报告准则层集结判断矩阵与各层权重结果。准则层中，碳减排贡献度权重为0.462，产业转型促进度为0.301，国际衔接兼容度为0.237；最大特征根</w:t>
      </w:r>
      <m:oMath>
        <m:sSub>
          <m:e>
            <m:r>
              <m:t>λ</m:t>
            </m:r>
          </m:e>
          <m:sub>
            <m:r>
              <m:rPr>
                <m:sty m:val="p"/>
              </m:rPr>
              <m:t>max</m:t>
            </m:r>
          </m:sub>
        </m:sSub>
      </m:oMath>
      <w:r>
        <w:rPr>
          <w:rFonts w:ascii="宋体" w:hAnsi="宋体" w:eastAsia="宋体"/>
          <w:sz w:val="24"/>
        </w:rPr>
        <w:t>为3.036，按式(9-4)计算的一致性比率CR为0.032，远低于0.1的临界值，判断一致性良好。准则排序表明专家群体把减排本位置于首位，同时给予国际衔接接近四分之一的权重——这与“对内满足、对外兼容”的双重定位吻合，也印证国际维度已内化为中国标准化决策的常规考量而非附加项。</w:t>
      </w:r>
    </w:p>
    <w:p>
      <w:pPr>
        <w:keepNext/>
        <w:spacing w:before="160" w:after="40"/>
        <w:jc w:val="center"/>
      </w:pPr>
      <w:r>
        <w:rPr>
          <w:rFonts w:ascii="黑体" w:hAnsi="黑体" w:eastAsia="黑体"/>
          <w:sz w:val="21"/>
        </w:rPr>
        <w:t>表9.2  准则层判断矩阵与各层权重结果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元素</w:t>
            </w:r>
          </w:p>
        </w:tc>
        <w:tc>
          <w:tcPr>
            <w:tcW w:type="dxa" w:w="1417"/>
            <w:tcBorders>
              <w:bottom w:val="single" w:sz="6" w:color="000000"/>
            </w:tcBorders>
            <w:vAlign w:val="center"/>
          </w:tcPr>
          <w:p>
            <w:pPr>
              <w:spacing w:line="240" w:lineRule="auto" w:after="20" w:before="20"/>
              <w:jc w:val="center"/>
            </w:pPr>
            <w:r/>
            <m:oMath>
              <m:sSub>
                <m:e>
                  <m:r>
                    <m:t>C</m:t>
                  </m:r>
                </m:e>
                <m:sub>
                  <m:r>
                    <m:t>1</m:t>
                  </m:r>
                </m:sub>
              </m:sSub>
            </m:oMath>
          </w:p>
        </w:tc>
        <w:tc>
          <w:tcPr>
            <w:tcW w:type="dxa" w:w="1417"/>
            <w:tcBorders>
              <w:bottom w:val="single" w:sz="6" w:color="000000"/>
            </w:tcBorders>
            <w:vAlign w:val="center"/>
          </w:tcPr>
          <w:p>
            <w:pPr>
              <w:spacing w:line="240" w:lineRule="auto" w:after="20" w:before="20"/>
              <w:jc w:val="center"/>
            </w:pPr>
            <w:r/>
            <m:oMath>
              <m:sSub>
                <m:e>
                  <m:r>
                    <m:t>C</m:t>
                  </m:r>
                </m:e>
                <m:sub>
                  <m:r>
                    <m:t>2</m:t>
                  </m:r>
                </m:sub>
              </m:sSub>
            </m:oMath>
          </w:p>
        </w:tc>
        <w:tc>
          <w:tcPr>
            <w:tcW w:type="dxa" w:w="1417"/>
            <w:tcBorders>
              <w:bottom w:val="single" w:sz="6" w:color="000000"/>
            </w:tcBorders>
            <w:vAlign w:val="center"/>
          </w:tcPr>
          <w:p>
            <w:pPr>
              <w:spacing w:line="240" w:lineRule="auto" w:after="20" w:before="20"/>
              <w:jc w:val="center"/>
            </w:pPr>
            <w:r/>
            <m:oMath>
              <m:sSub>
                <m:e>
                  <m:r>
                    <m:t>C</m:t>
                  </m:r>
                </m:e>
                <m:sub>
                  <m:r>
                    <m:t>3</m:t>
                  </m:r>
                </m:sub>
              </m:sSub>
            </m:oMath>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权重</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排序／检验</w:t>
            </w:r>
          </w:p>
        </w:tc>
      </w:tr>
      <w:tr>
        <w:tc>
          <w:tcPr>
            <w:tcW w:type="dxa" w:w="1417"/>
            <w:vAlign w:val="center"/>
          </w:tcPr>
          <w:p>
            <w:pPr>
              <w:spacing w:line="240" w:lineRule="auto" w:after="20" w:before="20"/>
              <w:jc w:val="left"/>
            </w:pPr>
            <w:r/>
            <m:oMath>
              <m:sSub>
                <m:e>
                  <m:r>
                    <m:t>C</m:t>
                  </m:r>
                </m:e>
                <m:sub>
                  <m:r>
                    <m:t>1</m:t>
                  </m:r>
                </m:sub>
              </m:sSub>
            </m:oMath>
            <w:r>
              <w:rPr>
                <w:rFonts w:ascii="宋体" w:hAnsi="宋体" w:eastAsia="宋体"/>
                <w:sz w:val="21"/>
              </w:rPr>
              <w:t xml:space="preserve">　碳减排贡献度</w:t>
            </w:r>
          </w:p>
        </w:tc>
        <w:tc>
          <w:tcPr>
            <w:tcW w:type="dxa" w:w="1417"/>
            <w:vAlign w:val="center"/>
          </w:tcPr>
          <w:p>
            <w:pPr>
              <w:spacing w:line="240" w:lineRule="auto" w:after="20" w:before="20"/>
              <w:jc w:val="center"/>
            </w:pPr>
            <w:r/>
            <w:r>
              <w:rPr>
                <w:rFonts w:ascii="宋体" w:hAnsi="宋体" w:eastAsia="宋体"/>
                <w:sz w:val="21"/>
              </w:rPr>
              <w:t>1.00</w:t>
            </w:r>
          </w:p>
        </w:tc>
        <w:tc>
          <w:tcPr>
            <w:tcW w:type="dxa" w:w="1417"/>
            <w:vAlign w:val="center"/>
          </w:tcPr>
          <w:p>
            <w:pPr>
              <w:spacing w:line="240" w:lineRule="auto" w:after="20" w:before="20"/>
              <w:jc w:val="center"/>
            </w:pPr>
            <w:r/>
            <w:r>
              <w:rPr>
                <w:rFonts w:ascii="宋体" w:hAnsi="宋体" w:eastAsia="宋体"/>
                <w:sz w:val="21"/>
              </w:rPr>
              <w:t>1.53</w:t>
            </w:r>
          </w:p>
        </w:tc>
        <w:tc>
          <w:tcPr>
            <w:tcW w:type="dxa" w:w="1417"/>
            <w:vAlign w:val="center"/>
          </w:tcPr>
          <w:p>
            <w:pPr>
              <w:spacing w:line="240" w:lineRule="auto" w:after="20" w:before="20"/>
              <w:jc w:val="center"/>
            </w:pPr>
            <w:r/>
            <w:r>
              <w:rPr>
                <w:rFonts w:ascii="宋体" w:hAnsi="宋体" w:eastAsia="宋体"/>
                <w:sz w:val="21"/>
              </w:rPr>
              <w:t>1.95</w:t>
            </w:r>
          </w:p>
        </w:tc>
        <w:tc>
          <w:tcPr>
            <w:tcW w:type="dxa" w:w="1417"/>
            <w:vAlign w:val="center"/>
          </w:tcPr>
          <w:p>
            <w:pPr>
              <w:spacing w:line="240" w:lineRule="auto" w:after="20" w:before="20"/>
              <w:jc w:val="center"/>
            </w:pPr>
            <w:r/>
            <w:r>
              <w:rPr>
                <w:rFonts w:ascii="宋体" w:hAnsi="宋体" w:eastAsia="宋体"/>
                <w:sz w:val="21"/>
              </w:rPr>
              <w:t>0.462</w:t>
            </w:r>
          </w:p>
        </w:tc>
        <w:tc>
          <w:tcPr>
            <w:tcW w:type="dxa" w:w="1417"/>
            <w:vAlign w:val="center"/>
          </w:tcPr>
          <w:p>
            <w:pPr>
              <w:spacing w:line="240" w:lineRule="auto" w:after="20" w:before="20"/>
              <w:jc w:val="center"/>
            </w:pPr>
            <w:r/>
            <w:r>
              <w:rPr>
                <w:rFonts w:ascii="宋体" w:hAnsi="宋体" w:eastAsia="宋体"/>
                <w:sz w:val="21"/>
              </w:rPr>
              <w:t>1</w:t>
            </w:r>
          </w:p>
        </w:tc>
      </w:tr>
      <w:tr>
        <w:tc>
          <w:tcPr>
            <w:tcW w:type="dxa" w:w="1417"/>
            <w:vAlign w:val="center"/>
          </w:tcPr>
          <w:p>
            <w:pPr>
              <w:spacing w:line="240" w:lineRule="auto" w:after="20" w:before="20"/>
              <w:jc w:val="left"/>
            </w:pPr>
            <w:r/>
            <m:oMath>
              <m:sSub>
                <m:e>
                  <m:r>
                    <m:t>C</m:t>
                  </m:r>
                </m:e>
                <m:sub>
                  <m:r>
                    <m:t>2</m:t>
                  </m:r>
                </m:sub>
              </m:sSub>
            </m:oMath>
            <w:r>
              <w:rPr>
                <w:rFonts w:ascii="宋体" w:hAnsi="宋体" w:eastAsia="宋体"/>
                <w:sz w:val="21"/>
              </w:rPr>
              <w:t xml:space="preserve">　产业转型促进度</w:t>
            </w:r>
          </w:p>
        </w:tc>
        <w:tc>
          <w:tcPr>
            <w:tcW w:type="dxa" w:w="1417"/>
            <w:vAlign w:val="center"/>
          </w:tcPr>
          <w:p>
            <w:pPr>
              <w:spacing w:line="240" w:lineRule="auto" w:after="20" w:before="20"/>
              <w:jc w:val="center"/>
            </w:pPr>
            <w:r/>
            <w:r>
              <w:rPr>
                <w:rFonts w:ascii="宋体" w:hAnsi="宋体" w:eastAsia="宋体"/>
                <w:sz w:val="21"/>
              </w:rPr>
              <w:t>0.65</w:t>
            </w:r>
          </w:p>
        </w:tc>
        <w:tc>
          <w:tcPr>
            <w:tcW w:type="dxa" w:w="1417"/>
            <w:vAlign w:val="center"/>
          </w:tcPr>
          <w:p>
            <w:pPr>
              <w:spacing w:line="240" w:lineRule="auto" w:after="20" w:before="20"/>
              <w:jc w:val="center"/>
            </w:pPr>
            <w:r/>
            <w:r>
              <w:rPr>
                <w:rFonts w:ascii="宋体" w:hAnsi="宋体" w:eastAsia="宋体"/>
                <w:sz w:val="21"/>
              </w:rPr>
              <w:t>1.00</w:t>
            </w:r>
          </w:p>
        </w:tc>
        <w:tc>
          <w:tcPr>
            <w:tcW w:type="dxa" w:w="1417"/>
            <w:vAlign w:val="center"/>
          </w:tcPr>
          <w:p>
            <w:pPr>
              <w:spacing w:line="240" w:lineRule="auto" w:after="20" w:before="20"/>
              <w:jc w:val="center"/>
            </w:pPr>
            <w:r/>
            <w:r>
              <w:rPr>
                <w:rFonts w:ascii="宋体" w:hAnsi="宋体" w:eastAsia="宋体"/>
                <w:sz w:val="21"/>
              </w:rPr>
              <w:t>1.27</w:t>
            </w:r>
          </w:p>
        </w:tc>
        <w:tc>
          <w:tcPr>
            <w:tcW w:type="dxa" w:w="1417"/>
            <w:vAlign w:val="center"/>
          </w:tcPr>
          <w:p>
            <w:pPr>
              <w:spacing w:line="240" w:lineRule="auto" w:after="20" w:before="20"/>
              <w:jc w:val="center"/>
            </w:pPr>
            <w:r/>
            <w:r>
              <w:rPr>
                <w:rFonts w:ascii="宋体" w:hAnsi="宋体" w:eastAsia="宋体"/>
                <w:sz w:val="21"/>
              </w:rPr>
              <w:t>0.301</w:t>
            </w:r>
          </w:p>
        </w:tc>
        <w:tc>
          <w:tcPr>
            <w:tcW w:type="dxa" w:w="1417"/>
            <w:vAlign w:val="center"/>
          </w:tcPr>
          <w:p>
            <w:pPr>
              <w:spacing w:line="240" w:lineRule="auto" w:after="20" w:before="20"/>
              <w:jc w:val="center"/>
            </w:pPr>
            <w:r/>
            <w:r>
              <w:rPr>
                <w:rFonts w:ascii="宋体" w:hAnsi="宋体" w:eastAsia="宋体"/>
                <w:sz w:val="21"/>
              </w:rPr>
              <w:t>2</w:t>
            </w:r>
          </w:p>
        </w:tc>
      </w:tr>
      <w:tr>
        <w:tc>
          <w:tcPr>
            <w:tcW w:type="dxa" w:w="1417"/>
            <w:vAlign w:val="center"/>
          </w:tcPr>
          <w:p>
            <w:pPr>
              <w:spacing w:line="240" w:lineRule="auto" w:after="20" w:before="20"/>
              <w:jc w:val="left"/>
            </w:pPr>
            <w:r/>
            <m:oMath>
              <m:sSub>
                <m:e>
                  <m:r>
                    <m:t>C</m:t>
                  </m:r>
                </m:e>
                <m:sub>
                  <m:r>
                    <m:t>3</m:t>
                  </m:r>
                </m:sub>
              </m:sSub>
            </m:oMath>
            <w:r>
              <w:rPr>
                <w:rFonts w:ascii="宋体" w:hAnsi="宋体" w:eastAsia="宋体"/>
                <w:sz w:val="21"/>
              </w:rPr>
              <w:t xml:space="preserve">　国际衔接兼容度</w:t>
            </w:r>
          </w:p>
        </w:tc>
        <w:tc>
          <w:tcPr>
            <w:tcW w:type="dxa" w:w="1417"/>
            <w:vAlign w:val="center"/>
          </w:tcPr>
          <w:p>
            <w:pPr>
              <w:spacing w:line="240" w:lineRule="auto" w:after="20" w:before="20"/>
              <w:jc w:val="center"/>
            </w:pPr>
            <w:r/>
            <w:r>
              <w:rPr>
                <w:rFonts w:ascii="宋体" w:hAnsi="宋体" w:eastAsia="宋体"/>
                <w:sz w:val="21"/>
              </w:rPr>
              <w:t>0.51</w:t>
            </w:r>
          </w:p>
        </w:tc>
        <w:tc>
          <w:tcPr>
            <w:tcW w:type="dxa" w:w="1417"/>
            <w:vAlign w:val="center"/>
          </w:tcPr>
          <w:p>
            <w:pPr>
              <w:spacing w:line="240" w:lineRule="auto" w:after="20" w:before="20"/>
              <w:jc w:val="center"/>
            </w:pPr>
            <w:r/>
            <w:r>
              <w:rPr>
                <w:rFonts w:ascii="宋体" w:hAnsi="宋体" w:eastAsia="宋体"/>
                <w:sz w:val="21"/>
              </w:rPr>
              <w:t>0.79</w:t>
            </w:r>
          </w:p>
        </w:tc>
        <w:tc>
          <w:tcPr>
            <w:tcW w:type="dxa" w:w="1417"/>
            <w:vAlign w:val="center"/>
          </w:tcPr>
          <w:p>
            <w:pPr>
              <w:spacing w:line="240" w:lineRule="auto" w:after="20" w:before="20"/>
              <w:jc w:val="center"/>
            </w:pPr>
            <w:r/>
            <w:r>
              <w:rPr>
                <w:rFonts w:ascii="宋体" w:hAnsi="宋体" w:eastAsia="宋体"/>
                <w:sz w:val="21"/>
              </w:rPr>
              <w:t>1.00</w:t>
            </w:r>
          </w:p>
        </w:tc>
        <w:tc>
          <w:tcPr>
            <w:tcW w:type="dxa" w:w="1417"/>
            <w:vAlign w:val="center"/>
          </w:tcPr>
          <w:p>
            <w:pPr>
              <w:spacing w:line="240" w:lineRule="auto" w:after="20" w:before="20"/>
              <w:jc w:val="center"/>
            </w:pPr>
            <w:r/>
            <w:r>
              <w:rPr>
                <w:rFonts w:ascii="宋体" w:hAnsi="宋体" w:eastAsia="宋体"/>
                <w:sz w:val="21"/>
              </w:rPr>
              <w:t>0.237</w:t>
            </w:r>
          </w:p>
        </w:tc>
        <w:tc>
          <w:tcPr>
            <w:tcW w:type="dxa" w:w="1417"/>
            <w:vAlign w:val="center"/>
          </w:tcPr>
          <w:p>
            <w:pPr>
              <w:spacing w:line="240" w:lineRule="auto" w:after="20" w:before="20"/>
              <w:jc w:val="center"/>
            </w:pPr>
            <w:r/>
            <w:r>
              <w:rPr>
                <w:rFonts w:ascii="宋体" w:hAnsi="宋体" w:eastAsia="宋体"/>
                <w:sz w:val="21"/>
              </w:rPr>
              <w:t>3</w:t>
            </w:r>
          </w:p>
        </w:tc>
      </w:tr>
      <w:tr>
        <w:tc>
          <w:tcPr>
            <w:tcW w:type="dxa" w:w="1417"/>
            <w:vAlign w:val="center"/>
          </w:tcPr>
          <w:p>
            <w:pPr>
              <w:spacing w:line="240" w:lineRule="auto" w:after="20" w:before="20"/>
              <w:jc w:val="left"/>
            </w:pPr>
            <w:r/>
            <w:r>
              <w:rPr>
                <w:rFonts w:ascii="宋体" w:hAnsi="宋体" w:eastAsia="宋体"/>
                <w:sz w:val="21"/>
              </w:rPr>
              <w:t>一致性检验</w:t>
            </w:r>
          </w:p>
        </w:tc>
        <w:tc>
          <w:tcPr>
            <w:tcW w:type="dxa" w:w="1417"/>
            <w:vAlign w:val="center"/>
          </w:tcPr>
          <w:p>
            <w:pPr>
              <w:spacing w:line="240" w:lineRule="auto" w:after="20" w:before="20"/>
              <w:jc w:val="center"/>
            </w:pPr>
            <w:r/>
            <m:oMath>
              <m:sSub>
                <m:e>
                  <m:r>
                    <m:t>λ</m:t>
                  </m:r>
                </m:e>
                <m:sub>
                  <m:r>
                    <m:rPr>
                      <m:sty m:val="p"/>
                    </m:rPr>
                    <m:t>max</m:t>
                  </m:r>
                </m:sub>
              </m:sSub>
            </m:oMath>
            <w:r>
              <w:rPr>
                <w:rFonts w:ascii="宋体" w:hAnsi="宋体" w:eastAsia="宋体"/>
                <w:sz w:val="21"/>
              </w:rPr>
              <w:t>=3.036</w:t>
            </w:r>
          </w:p>
        </w:tc>
        <w:tc>
          <w:tcPr>
            <w:tcW w:type="dxa" w:w="1417"/>
            <w:vAlign w:val="center"/>
          </w:tcPr>
          <w:p>
            <w:pPr>
              <w:spacing w:line="240" w:lineRule="auto" w:after="20" w:before="20"/>
              <w:jc w:val="center"/>
            </w:pPr>
            <w:r/>
            <w:r>
              <w:rPr>
                <w:rFonts w:ascii="宋体" w:hAnsi="宋体" w:eastAsia="宋体"/>
                <w:sz w:val="21"/>
              </w:rPr>
              <w:t>CI=0.018</w:t>
            </w:r>
          </w:p>
        </w:tc>
        <w:tc>
          <w:tcPr>
            <w:tcW w:type="dxa" w:w="1417"/>
            <w:vAlign w:val="center"/>
          </w:tcPr>
          <w:p>
            <w:pPr>
              <w:spacing w:line="240" w:lineRule="auto" w:after="20" w:before="20"/>
              <w:jc w:val="center"/>
            </w:pPr>
            <w:r/>
            <w:r>
              <w:rPr>
                <w:rFonts w:ascii="宋体" w:hAnsi="宋体" w:eastAsia="宋体"/>
                <w:sz w:val="21"/>
              </w:rPr>
              <w:t>RI=0.58</w:t>
            </w:r>
          </w:p>
        </w:tc>
        <w:tc>
          <w:tcPr>
            <w:tcW w:type="dxa" w:w="1417"/>
            <w:vAlign w:val="center"/>
          </w:tcPr>
          <w:p>
            <w:pPr>
              <w:spacing w:line="240" w:lineRule="auto" w:after="20" w:before="20"/>
              <w:jc w:val="center"/>
            </w:pPr>
            <w:r/>
            <w:r>
              <w:rPr>
                <w:rFonts w:ascii="宋体" w:hAnsi="宋体" w:eastAsia="宋体"/>
                <w:sz w:val="21"/>
              </w:rPr>
              <w:t>CR=0.032</w:t>
            </w:r>
          </w:p>
        </w:tc>
        <w:tc>
          <w:tcPr>
            <w:tcW w:type="dxa" w:w="1417"/>
            <w:vAlign w:val="center"/>
          </w:tcPr>
          <w:p>
            <w:pPr>
              <w:spacing w:line="240" w:lineRule="auto" w:after="20" w:before="20"/>
              <w:jc w:val="center"/>
            </w:pPr>
            <w:r/>
            <w:r>
              <w:rPr>
                <w:rFonts w:ascii="宋体" w:hAnsi="宋体" w:eastAsia="宋体"/>
                <w:sz w:val="21"/>
              </w:rPr>
              <w:t>通过</w:t>
            </w:r>
          </w:p>
        </w:tc>
      </w:tr>
      <w:tr>
        <w:tc>
          <w:tcPr>
            <w:tcW w:type="dxa" w:w="1417"/>
            <w:vAlign w:val="center"/>
          </w:tcPr>
          <w:p>
            <w:pPr>
              <w:spacing w:line="240" w:lineRule="auto" w:after="20" w:before="20"/>
              <w:jc w:val="left"/>
            </w:pPr>
            <w:r/>
            <w:r>
              <w:rPr>
                <w:rFonts w:ascii="宋体" w:hAnsi="宋体" w:eastAsia="宋体"/>
                <w:sz w:val="21"/>
              </w:rPr>
              <w:t>方案层综合权重</w:t>
            </w:r>
            <m:oMath>
              <m:sSub>
                <m:e>
                  <m:r>
                    <m:t>π</m:t>
                  </m:r>
                </m:e>
                <m:sub>
                  <m:r>
                    <m:t>k</m:t>
                  </m:r>
                </m:sub>
              </m:sSub>
            </m:oMath>
          </w:p>
        </w:tc>
        <w:tc>
          <w:tcPr>
            <w:tcW w:type="dxa" w:w="1417"/>
            <w:vAlign w:val="center"/>
          </w:tcPr>
          <w:p>
            <w:pPr>
              <w:spacing w:line="240" w:lineRule="auto" w:after="20" w:before="20"/>
              <w:jc w:val="center"/>
            </w:pPr>
            <w:r/>
            <w:r>
              <w:rPr>
                <w:rFonts w:ascii="宋体" w:hAnsi="宋体" w:eastAsia="宋体"/>
                <w:sz w:val="21"/>
              </w:rPr>
              <w:t>核算 0.286</w:t>
            </w:r>
          </w:p>
        </w:tc>
        <w:tc>
          <w:tcPr>
            <w:tcW w:type="dxa" w:w="1417"/>
            <w:vAlign w:val="center"/>
          </w:tcPr>
          <w:p>
            <w:pPr>
              <w:spacing w:line="240" w:lineRule="auto" w:after="20" w:before="20"/>
              <w:jc w:val="center"/>
            </w:pPr>
            <w:r/>
            <w:r>
              <w:rPr>
                <w:rFonts w:ascii="宋体" w:hAnsi="宋体" w:eastAsia="宋体"/>
                <w:sz w:val="21"/>
              </w:rPr>
              <w:t>足迹 0.223</w:t>
            </w:r>
          </w:p>
        </w:tc>
        <w:tc>
          <w:tcPr>
            <w:tcW w:type="dxa" w:w="1417"/>
            <w:vAlign w:val="center"/>
          </w:tcPr>
          <w:p>
            <w:pPr>
              <w:spacing w:line="240" w:lineRule="auto" w:after="20" w:before="20"/>
              <w:jc w:val="center"/>
            </w:pPr>
            <w:r/>
            <w:r>
              <w:rPr>
                <w:rFonts w:ascii="宋体" w:hAnsi="宋体" w:eastAsia="宋体"/>
                <w:sz w:val="21"/>
              </w:rPr>
              <w:t>吸收 0.186</w:t>
            </w:r>
          </w:p>
        </w:tc>
        <w:tc>
          <w:tcPr>
            <w:tcW w:type="dxa" w:w="1417"/>
            <w:vAlign w:val="center"/>
          </w:tcPr>
          <w:p>
            <w:pPr>
              <w:spacing w:line="240" w:lineRule="auto" w:after="20" w:before="20"/>
              <w:jc w:val="center"/>
            </w:pPr>
            <w:r/>
            <w:r>
              <w:rPr>
                <w:rFonts w:ascii="宋体" w:hAnsi="宋体" w:eastAsia="宋体"/>
                <w:sz w:val="21"/>
              </w:rPr>
              <w:t>产品 0.164</w:t>
            </w:r>
          </w:p>
        </w:tc>
        <w:tc>
          <w:tcPr>
            <w:tcW w:type="dxa" w:w="1417"/>
            <w:vAlign w:val="center"/>
          </w:tcPr>
          <w:p>
            <w:pPr>
              <w:spacing w:line="240" w:lineRule="auto" w:after="20" w:before="20"/>
              <w:jc w:val="center"/>
            </w:pPr>
            <w:r/>
            <w:r>
              <w:rPr>
                <w:rFonts w:ascii="宋体" w:hAnsi="宋体" w:eastAsia="宋体"/>
                <w:sz w:val="21"/>
              </w:rPr>
              <w:t>金融 0.141</w:t>
            </w:r>
          </w:p>
        </w:tc>
      </w:tr>
    </w:tbl>
    <w:p>
      <w:pPr>
        <w:spacing w:after="200" w:line="240" w:lineRule="auto"/>
      </w:pPr>
      <w:r>
        <w:rPr>
          <w:rFonts w:ascii="宋体" w:hAnsi="宋体" w:eastAsia="宋体"/>
          <w:sz w:val="18"/>
        </w:rPr>
        <w:t>注：判断矩阵为26位专家第二轮判断的几何平均集结值（保留两位小数，故按表中数值复算的权重与CR同表列结果存在末位舍入差异）；方案层五个判断矩阵的综合一致性比率CR=0.047&lt;0.1。数据来源：作者依据两轮德尔菲专家咨询测算。</w:t>
      </w:r>
    </w:p>
    <w:p>
      <w:pPr>
        <w:spacing w:line="360" w:lineRule="auto" w:after="0"/>
        <w:ind w:firstLineChars="200" w:firstLine="480"/>
        <w:jc w:val="both"/>
      </w:pPr>
      <w:r>
        <w:rPr>
          <w:rFonts w:ascii="宋体" w:hAnsi="宋体" w:eastAsia="宋体"/>
          <w:sz w:val="24"/>
        </w:rPr>
        <w:t>方案层的综合权重排序为：碳排放核算（0.286）＞碳足迹认证（0.223）＞碳吸收（0.186）＞绿色产品（0.164）＞绿色金融（0.141），方案层判断矩阵的综合一致性比率为0.047，通过检验。权重结构与准则权重的对照见图9.3。</w:t>
      </w:r>
    </w:p>
    <w:p>
      <w:pPr>
        <w:spacing w:before="120" w:after="40"/>
        <w:jc w:val="center"/>
      </w:pPr>
      <w:r>
        <w:drawing>
          <wp:inline xmlns:a="http://schemas.openxmlformats.org/drawingml/2006/main" xmlns:pic="http://schemas.openxmlformats.org/drawingml/2006/picture">
            <wp:extent cx="4860000" cy="2256803"/>
            <wp:docPr id="30" name="Picture 30"/>
            <wp:cNvGraphicFramePr>
              <a:graphicFrameLocks noChangeAspect="1"/>
            </wp:cNvGraphicFramePr>
            <a:graphic>
              <a:graphicData uri="http://schemas.openxmlformats.org/drawingml/2006/picture">
                <pic:pic>
                  <pic:nvPicPr>
                    <pic:cNvPr id="0" name="fig9_3.png"/>
                    <pic:cNvPicPr/>
                  </pic:nvPicPr>
                  <pic:blipFill>
                    <a:blip r:embed="rId38"/>
                    <a:stretch>
                      <a:fillRect/>
                    </a:stretch>
                  </pic:blipFill>
                  <pic:spPr>
                    <a:xfrm>
                      <a:off x="0" y="0"/>
                      <a:ext cx="4860000" cy="2256803"/>
                    </a:xfrm>
                    <a:prstGeom prst="rect"/>
                  </pic:spPr>
                </pic:pic>
              </a:graphicData>
            </a:graphic>
          </wp:inline>
        </w:drawing>
      </w:r>
    </w:p>
    <w:p>
      <w:pPr>
        <w:keepNext w:val="0"/>
        <w:spacing w:after="200"/>
        <w:jc w:val="center"/>
      </w:pPr>
      <w:r>
        <w:rPr>
          <w:rFonts w:ascii="黑体" w:hAnsi="黑体" w:eastAsia="黑体"/>
          <w:sz w:val="21"/>
        </w:rPr>
        <w:t>图9.3  五大功能模块的AHP权重与准则权重</w:t>
      </w:r>
    </w:p>
    <w:p>
      <w:pPr>
        <w:spacing w:line="360" w:lineRule="auto" w:after="0"/>
        <w:ind w:firstLineChars="200" w:firstLine="480"/>
        <w:jc w:val="both"/>
      </w:pPr>
      <w:r>
        <w:rPr>
          <w:rFonts w:ascii="宋体" w:hAnsi="宋体" w:eastAsia="宋体"/>
          <w:sz w:val="24"/>
        </w:rPr>
        <w:t>由图9.3可见，左面板的准则权重呈“减排为主、转型居中、国际托底”的阶梯分布，右面板的模块权重则呈现明显的“基础优先”特征：碳排放核算以近三成的权重居首，且其领先幅度在三项准则下均稳健——在减排贡献维度它是双控考核与碳市场的计量前提，在产业转型维度它是企业碳管理能力的起点，在国际衔接维度它是CBAM申报与互认谈判的技术基础。碳足迹认证紧随其后，主要由国际衔接维度的高分驱动，与其作为绿色贸易接口的定位一致。专家权重排序与第5章交互矩阵识别的“核算居互补网络源头”的实证结构相互印证：两条完全独立的证据链——历史数据的计量识别与专家群体的前瞻判断——收敛于同一优先序，显著增强了架构设计的可信度。</w:t>
      </w:r>
    </w:p>
    <w:p>
      <w:pPr>
        <w:keepNext/>
        <w:spacing w:before="160" w:after="120" w:line="360" w:lineRule="auto"/>
        <w:outlineLvl w:val="2"/>
      </w:pPr>
      <w:r>
        <w:rPr>
          <w:rFonts w:ascii="黑体" w:hAnsi="黑体" w:eastAsia="黑体"/>
          <w:sz w:val="24"/>
        </w:rPr>
        <w:t>9.4.4  权重的资源配置含义与分模块建设重点</w:t>
      </w:r>
    </w:p>
    <w:p>
      <w:pPr>
        <w:spacing w:line="360" w:lineRule="auto" w:after="0"/>
        <w:ind w:firstLineChars="200" w:firstLine="480"/>
        <w:jc w:val="both"/>
      </w:pPr>
      <w:r>
        <w:rPr>
          <w:rFonts w:ascii="宋体" w:hAnsi="宋体" w:eastAsia="宋体"/>
          <w:sz w:val="24"/>
        </w:rPr>
        <w:t>权重的资源配置含义可通过“配置强度系数”透视，即模块AHP权重与其2025年国家标准供给占比之比：该系数大于1表明应然重要性超过实然供给，需要增量倾斜。测算结果显示，碳足迹认证的配置强度系数高达4.55（权重0.223对占比4.9%），碳排放核算为3.45，碳吸收为3.05——尤其值得注意的是，碳吸收0.186的权重约为其当前供给占比6.1%的三倍，专家判断的应然地位远高于现实供给，与第8章SSDMI识别的最大错配（0.58）交叉印证了“补短板优先”的资源配置方向。相反，绿色产品模块配置强度系数仅为0.47，其35.2%的供给占比远超0.164的权重，表明该模块的任务不是数量扩张而是9.3.4节所述的清理整合与指标升级；绿色金融的系数为1.62，属于温和倾斜区间。</w:t>
      </w:r>
    </w:p>
    <w:p>
      <w:pPr>
        <w:spacing w:line="360" w:lineRule="auto" w:after="0"/>
        <w:ind w:firstLineChars="200" w:firstLine="480"/>
        <w:jc w:val="both"/>
      </w:pPr>
      <w:r>
        <w:rPr>
          <w:rFonts w:ascii="宋体" w:hAnsi="宋体" w:eastAsia="宋体"/>
          <w:sz w:val="24"/>
        </w:rPr>
        <w:t>综合AHP权重、供给占比与供需错配三组证据，表9.3给出分模块的“十五五”建设重点清单。清单的逻辑是“权重定盘子、缺口定次序、模块定内容”：标准化资源总盘子按AHP权重在模块间配置，各模块内部再按错配程度排定项目次序，具体建设内容承接9.3节的模块设计。</w:t>
      </w:r>
    </w:p>
    <w:p>
      <w:pPr>
        <w:keepNext/>
        <w:spacing w:before="160" w:after="40"/>
        <w:jc w:val="center"/>
      </w:pPr>
      <w:r>
        <w:rPr>
          <w:rFonts w:ascii="黑体" w:hAnsi="黑体" w:eastAsia="黑体"/>
          <w:sz w:val="21"/>
        </w:rPr>
        <w:t>表9.3  五大功能模块的建设重点清单</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功能模块</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AHP权重</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2025年国标供给占比</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配置强度系数</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2025年供需错配</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“十五五”建设重点</w:t>
            </w:r>
          </w:p>
        </w:tc>
      </w:tr>
      <w:tr>
        <w:tc>
          <w:tcPr>
            <w:tcW w:type="dxa" w:w="1417"/>
            <w:vAlign w:val="center"/>
          </w:tcPr>
          <w:p>
            <w:pPr>
              <w:spacing w:line="240" w:lineRule="auto" w:after="20" w:before="20"/>
              <w:jc w:val="left"/>
            </w:pPr>
            <w:r/>
            <w:r>
              <w:rPr>
                <w:rFonts w:ascii="宋体" w:hAnsi="宋体" w:eastAsia="宋体"/>
                <w:sz w:val="21"/>
              </w:rPr>
              <w:t>碳排放核算</w:t>
            </w:r>
          </w:p>
        </w:tc>
        <w:tc>
          <w:tcPr>
            <w:tcW w:type="dxa" w:w="1417"/>
            <w:vAlign w:val="center"/>
          </w:tcPr>
          <w:p>
            <w:pPr>
              <w:spacing w:line="240" w:lineRule="auto" w:after="20" w:before="20"/>
              <w:jc w:val="center"/>
            </w:pPr>
            <w:r/>
            <w:r>
              <w:rPr>
                <w:rFonts w:ascii="宋体" w:hAnsi="宋体" w:eastAsia="宋体"/>
                <w:sz w:val="21"/>
              </w:rPr>
              <w:t>0.286</w:t>
            </w:r>
          </w:p>
        </w:tc>
        <w:tc>
          <w:tcPr>
            <w:tcW w:type="dxa" w:w="1417"/>
            <w:vAlign w:val="center"/>
          </w:tcPr>
          <w:p>
            <w:pPr>
              <w:spacing w:line="240" w:lineRule="auto" w:after="20" w:before="20"/>
              <w:jc w:val="center"/>
            </w:pPr>
            <w:r/>
            <w:r>
              <w:rPr>
                <w:rFonts w:ascii="宋体" w:hAnsi="宋体" w:eastAsia="宋体"/>
                <w:sz w:val="21"/>
              </w:rPr>
              <w:t>8.3%</w:t>
            </w:r>
          </w:p>
        </w:tc>
        <w:tc>
          <w:tcPr>
            <w:tcW w:type="dxa" w:w="1417"/>
            <w:vAlign w:val="center"/>
          </w:tcPr>
          <w:p>
            <w:pPr>
              <w:spacing w:line="240" w:lineRule="auto" w:after="20" w:before="20"/>
              <w:jc w:val="center"/>
            </w:pPr>
            <w:r/>
            <w:r>
              <w:rPr>
                <w:rFonts w:ascii="宋体" w:hAnsi="宋体" w:eastAsia="宋体"/>
                <w:sz w:val="21"/>
              </w:rPr>
              <w:t>3.45</w:t>
            </w:r>
          </w:p>
        </w:tc>
        <w:tc>
          <w:tcPr>
            <w:tcW w:type="dxa" w:w="1417"/>
            <w:vAlign w:val="center"/>
          </w:tcPr>
          <w:p>
            <w:pPr>
              <w:spacing w:line="240" w:lineRule="auto" w:after="20" w:before="20"/>
              <w:jc w:val="center"/>
            </w:pPr>
            <w:r/>
            <w:r>
              <w:rPr>
                <w:rFonts w:ascii="宋体" w:hAnsi="宋体" w:eastAsia="宋体"/>
                <w:sz w:val="21"/>
              </w:rPr>
              <w:t>0.29</w:t>
            </w:r>
          </w:p>
        </w:tc>
        <w:tc>
          <w:tcPr>
            <w:tcW w:type="dxa" w:w="1417"/>
            <w:vAlign w:val="center"/>
          </w:tcPr>
          <w:p>
            <w:pPr>
              <w:spacing w:line="240" w:lineRule="auto" w:after="20" w:before="20"/>
              <w:jc w:val="left"/>
            </w:pPr>
            <w:r/>
            <w:r>
              <w:rPr>
                <w:rFonts w:ascii="宋体" w:hAnsi="宋体" w:eastAsia="宋体"/>
                <w:sz w:val="21"/>
              </w:rPr>
              <w:t>重点行业核算标准全覆盖；企业—项目—产品三位一体口径统一；排放因子库常态化更新与CBAM核算条款适配</w:t>
            </w:r>
          </w:p>
        </w:tc>
      </w:tr>
      <w:tr>
        <w:tc>
          <w:tcPr>
            <w:tcW w:type="dxa" w:w="1417"/>
            <w:vAlign w:val="center"/>
          </w:tcPr>
          <w:p>
            <w:pPr>
              <w:spacing w:line="240" w:lineRule="auto" w:after="20" w:before="20"/>
              <w:jc w:val="left"/>
            </w:pPr>
            <w:r/>
            <w:r>
              <w:rPr>
                <w:rFonts w:ascii="宋体" w:hAnsi="宋体" w:eastAsia="宋体"/>
                <w:sz w:val="21"/>
              </w:rPr>
              <w:t>碳足迹认证</w:t>
            </w:r>
          </w:p>
        </w:tc>
        <w:tc>
          <w:tcPr>
            <w:tcW w:type="dxa" w:w="1417"/>
            <w:vAlign w:val="center"/>
          </w:tcPr>
          <w:p>
            <w:pPr>
              <w:spacing w:line="240" w:lineRule="auto" w:after="20" w:before="20"/>
              <w:jc w:val="center"/>
            </w:pPr>
            <w:r/>
            <w:r>
              <w:rPr>
                <w:rFonts w:ascii="宋体" w:hAnsi="宋体" w:eastAsia="宋体"/>
                <w:sz w:val="21"/>
              </w:rPr>
              <w:t>0.223</w:t>
            </w:r>
          </w:p>
        </w:tc>
        <w:tc>
          <w:tcPr>
            <w:tcW w:type="dxa" w:w="1417"/>
            <w:vAlign w:val="center"/>
          </w:tcPr>
          <w:p>
            <w:pPr>
              <w:spacing w:line="240" w:lineRule="auto" w:after="20" w:before="20"/>
              <w:jc w:val="center"/>
            </w:pPr>
            <w:r/>
            <w:r>
              <w:rPr>
                <w:rFonts w:ascii="宋体" w:hAnsi="宋体" w:eastAsia="宋体"/>
                <w:sz w:val="21"/>
              </w:rPr>
              <w:t>4.9%</w:t>
            </w:r>
          </w:p>
        </w:tc>
        <w:tc>
          <w:tcPr>
            <w:tcW w:type="dxa" w:w="1417"/>
            <w:vAlign w:val="center"/>
          </w:tcPr>
          <w:p>
            <w:pPr>
              <w:spacing w:line="240" w:lineRule="auto" w:after="20" w:before="20"/>
              <w:jc w:val="center"/>
            </w:pPr>
            <w:r/>
            <w:r>
              <w:rPr>
                <w:rFonts w:ascii="宋体" w:hAnsi="宋体" w:eastAsia="宋体"/>
                <w:sz w:val="21"/>
              </w:rPr>
              <w:t>4.55</w:t>
            </w:r>
          </w:p>
        </w:tc>
        <w:tc>
          <w:tcPr>
            <w:tcW w:type="dxa" w:w="1417"/>
            <w:vAlign w:val="center"/>
          </w:tcPr>
          <w:p>
            <w:pPr>
              <w:spacing w:line="240" w:lineRule="auto" w:after="20" w:before="20"/>
              <w:jc w:val="center"/>
            </w:pPr>
            <w:r/>
            <w:r>
              <w:rPr>
                <w:rFonts w:ascii="宋体" w:hAnsi="宋体" w:eastAsia="宋体"/>
                <w:sz w:val="21"/>
              </w:rPr>
              <w:t>0.41</w:t>
            </w:r>
          </w:p>
        </w:tc>
        <w:tc>
          <w:tcPr>
            <w:tcW w:type="dxa" w:w="1417"/>
            <w:vAlign w:val="center"/>
          </w:tcPr>
          <w:p>
            <w:pPr>
              <w:spacing w:line="240" w:lineRule="auto" w:after="20" w:before="20"/>
              <w:jc w:val="left"/>
            </w:pPr>
            <w:r/>
            <w:r>
              <w:rPr>
                <w:rFonts w:ascii="宋体" w:hAnsi="宋体" w:eastAsia="宋体"/>
                <w:sz w:val="21"/>
              </w:rPr>
              <w:t>扩大产品碳足迹国标品类覆盖；建设本土背景数据库与因子体系；统一碳标识认证制度并推动国际采信</w:t>
            </w:r>
          </w:p>
        </w:tc>
      </w:tr>
      <w:tr>
        <w:tc>
          <w:tcPr>
            <w:tcW w:type="dxa" w:w="1417"/>
            <w:vAlign w:val="center"/>
          </w:tcPr>
          <w:p>
            <w:pPr>
              <w:spacing w:line="240" w:lineRule="auto" w:after="20" w:before="20"/>
              <w:jc w:val="left"/>
            </w:pPr>
            <w:r/>
            <w:r>
              <w:rPr>
                <w:rFonts w:ascii="宋体" w:hAnsi="宋体" w:eastAsia="宋体"/>
                <w:sz w:val="21"/>
              </w:rPr>
              <w:t>碳吸收</w:t>
            </w:r>
          </w:p>
        </w:tc>
        <w:tc>
          <w:tcPr>
            <w:tcW w:type="dxa" w:w="1417"/>
            <w:vAlign w:val="center"/>
          </w:tcPr>
          <w:p>
            <w:pPr>
              <w:spacing w:line="240" w:lineRule="auto" w:after="20" w:before="20"/>
              <w:jc w:val="center"/>
            </w:pPr>
            <w:r/>
            <w:r>
              <w:rPr>
                <w:rFonts w:ascii="宋体" w:hAnsi="宋体" w:eastAsia="宋体"/>
                <w:sz w:val="21"/>
              </w:rPr>
              <w:t>0.186</w:t>
            </w:r>
          </w:p>
        </w:tc>
        <w:tc>
          <w:tcPr>
            <w:tcW w:type="dxa" w:w="1417"/>
            <w:vAlign w:val="center"/>
          </w:tcPr>
          <w:p>
            <w:pPr>
              <w:spacing w:line="240" w:lineRule="auto" w:after="20" w:before="20"/>
              <w:jc w:val="center"/>
            </w:pPr>
            <w:r/>
            <w:r>
              <w:rPr>
                <w:rFonts w:ascii="宋体" w:hAnsi="宋体" w:eastAsia="宋体"/>
                <w:sz w:val="21"/>
              </w:rPr>
              <w:t>6.1%</w:t>
            </w:r>
          </w:p>
        </w:tc>
        <w:tc>
          <w:tcPr>
            <w:tcW w:type="dxa" w:w="1417"/>
            <w:vAlign w:val="center"/>
          </w:tcPr>
          <w:p>
            <w:pPr>
              <w:spacing w:line="240" w:lineRule="auto" w:after="20" w:before="20"/>
              <w:jc w:val="center"/>
            </w:pPr>
            <w:r/>
            <w:r>
              <w:rPr>
                <w:rFonts w:ascii="宋体" w:hAnsi="宋体" w:eastAsia="宋体"/>
                <w:sz w:val="21"/>
              </w:rPr>
              <w:t>3.05</w:t>
            </w:r>
          </w:p>
        </w:tc>
        <w:tc>
          <w:tcPr>
            <w:tcW w:type="dxa" w:w="1417"/>
            <w:vAlign w:val="center"/>
          </w:tcPr>
          <w:p>
            <w:pPr>
              <w:spacing w:line="240" w:lineRule="auto" w:after="20" w:before="20"/>
              <w:jc w:val="center"/>
            </w:pPr>
            <w:r/>
            <w:r>
              <w:rPr>
                <w:rFonts w:ascii="宋体" w:hAnsi="宋体" w:eastAsia="宋体"/>
                <w:sz w:val="21"/>
              </w:rPr>
              <w:t>0.58</w:t>
            </w:r>
          </w:p>
        </w:tc>
        <w:tc>
          <w:tcPr>
            <w:tcW w:type="dxa" w:w="1417"/>
            <w:vAlign w:val="center"/>
          </w:tcPr>
          <w:p>
            <w:pPr>
              <w:spacing w:line="240" w:lineRule="auto" w:after="20" w:before="20"/>
              <w:jc w:val="left"/>
            </w:pPr>
            <w:r/>
            <w:r>
              <w:rPr>
                <w:rFonts w:ascii="宋体" w:hAnsi="宋体" w:eastAsia="宋体"/>
                <w:sz w:val="21"/>
              </w:rPr>
              <w:t>分类型碳汇计量监测标准序列；有序扩充CCER方法学；CCUS捕集—运输—封存—监测全链条标准</w:t>
            </w:r>
          </w:p>
        </w:tc>
      </w:tr>
      <w:tr>
        <w:tc>
          <w:tcPr>
            <w:tcW w:type="dxa" w:w="1417"/>
            <w:vAlign w:val="center"/>
          </w:tcPr>
          <w:p>
            <w:pPr>
              <w:spacing w:line="240" w:lineRule="auto" w:after="20" w:before="20"/>
              <w:jc w:val="left"/>
            </w:pPr>
            <w:r/>
            <w:r>
              <w:rPr>
                <w:rFonts w:ascii="宋体" w:hAnsi="宋体" w:eastAsia="宋体"/>
                <w:sz w:val="21"/>
              </w:rPr>
              <w:t>绿色产品</w:t>
            </w:r>
          </w:p>
        </w:tc>
        <w:tc>
          <w:tcPr>
            <w:tcW w:type="dxa" w:w="1417"/>
            <w:vAlign w:val="center"/>
          </w:tcPr>
          <w:p>
            <w:pPr>
              <w:spacing w:line="240" w:lineRule="auto" w:after="20" w:before="20"/>
              <w:jc w:val="center"/>
            </w:pPr>
            <w:r/>
            <w:r>
              <w:rPr>
                <w:rFonts w:ascii="宋体" w:hAnsi="宋体" w:eastAsia="宋体"/>
                <w:sz w:val="21"/>
              </w:rPr>
              <w:t>0.164</w:t>
            </w:r>
          </w:p>
        </w:tc>
        <w:tc>
          <w:tcPr>
            <w:tcW w:type="dxa" w:w="1417"/>
            <w:vAlign w:val="center"/>
          </w:tcPr>
          <w:p>
            <w:pPr>
              <w:spacing w:line="240" w:lineRule="auto" w:after="20" w:before="20"/>
              <w:jc w:val="center"/>
            </w:pPr>
            <w:r/>
            <w:r>
              <w:rPr>
                <w:rFonts w:ascii="宋体" w:hAnsi="宋体" w:eastAsia="宋体"/>
                <w:sz w:val="21"/>
              </w:rPr>
              <w:t>35.2%</w:t>
            </w:r>
          </w:p>
        </w:tc>
        <w:tc>
          <w:tcPr>
            <w:tcW w:type="dxa" w:w="1417"/>
            <w:vAlign w:val="center"/>
          </w:tcPr>
          <w:p>
            <w:pPr>
              <w:spacing w:line="240" w:lineRule="auto" w:after="20" w:before="20"/>
              <w:jc w:val="center"/>
            </w:pPr>
            <w:r/>
            <w:r>
              <w:rPr>
                <w:rFonts w:ascii="宋体" w:hAnsi="宋体" w:eastAsia="宋体"/>
                <w:sz w:val="21"/>
              </w:rPr>
              <w:t>0.47</w:t>
            </w:r>
          </w:p>
        </w:tc>
        <w:tc>
          <w:tcPr>
            <w:tcW w:type="dxa" w:w="1417"/>
            <w:vAlign w:val="center"/>
          </w:tcPr>
          <w:p>
            <w:pPr>
              <w:spacing w:line="240" w:lineRule="auto" w:after="20" w:before="20"/>
              <w:jc w:val="center"/>
            </w:pPr>
            <w:r/>
            <w:r>
              <w:rPr>
                <w:rFonts w:ascii="宋体" w:hAnsi="宋体" w:eastAsia="宋体"/>
                <w:sz w:val="21"/>
              </w:rPr>
              <w:t>0.18</w:t>
            </w:r>
          </w:p>
        </w:tc>
        <w:tc>
          <w:tcPr>
            <w:tcW w:type="dxa" w:w="1417"/>
            <w:vAlign w:val="center"/>
          </w:tcPr>
          <w:p>
            <w:pPr>
              <w:spacing w:line="240" w:lineRule="auto" w:after="20" w:before="20"/>
              <w:jc w:val="left"/>
            </w:pPr>
            <w:r/>
            <w:r>
              <w:rPr>
                <w:rFonts w:ascii="宋体" w:hAnsi="宋体" w:eastAsia="宋体"/>
                <w:sz w:val="21"/>
              </w:rPr>
              <w:t>存量标准清理整合；能效能耗限额分级升级；绿色设计评价与碳足迹认证链式衔接</w:t>
            </w:r>
          </w:p>
        </w:tc>
      </w:tr>
      <w:tr>
        <w:tc>
          <w:tcPr>
            <w:tcW w:type="dxa" w:w="1417"/>
            <w:vAlign w:val="center"/>
          </w:tcPr>
          <w:p>
            <w:pPr>
              <w:spacing w:line="240" w:lineRule="auto" w:after="20" w:before="20"/>
              <w:jc w:val="left"/>
            </w:pPr>
            <w:r/>
            <w:r>
              <w:rPr>
                <w:rFonts w:ascii="宋体" w:hAnsi="宋体" w:eastAsia="宋体"/>
                <w:sz w:val="21"/>
              </w:rPr>
              <w:t>绿色金融</w:t>
            </w:r>
          </w:p>
        </w:tc>
        <w:tc>
          <w:tcPr>
            <w:tcW w:type="dxa" w:w="1417"/>
            <w:vAlign w:val="center"/>
          </w:tcPr>
          <w:p>
            <w:pPr>
              <w:spacing w:line="240" w:lineRule="auto" w:after="20" w:before="20"/>
              <w:jc w:val="center"/>
            </w:pPr>
            <w:r/>
            <w:r>
              <w:rPr>
                <w:rFonts w:ascii="宋体" w:hAnsi="宋体" w:eastAsia="宋体"/>
                <w:sz w:val="21"/>
              </w:rPr>
              <w:t>0.141</w:t>
            </w:r>
          </w:p>
        </w:tc>
        <w:tc>
          <w:tcPr>
            <w:tcW w:type="dxa" w:w="1417"/>
            <w:vAlign w:val="center"/>
          </w:tcPr>
          <w:p>
            <w:pPr>
              <w:spacing w:line="240" w:lineRule="auto" w:after="20" w:before="20"/>
              <w:jc w:val="center"/>
            </w:pPr>
            <w:r/>
            <w:r>
              <w:rPr>
                <w:rFonts w:ascii="宋体" w:hAnsi="宋体" w:eastAsia="宋体"/>
                <w:sz w:val="21"/>
              </w:rPr>
              <w:t>8.7%</w:t>
            </w:r>
          </w:p>
        </w:tc>
        <w:tc>
          <w:tcPr>
            <w:tcW w:type="dxa" w:w="1417"/>
            <w:vAlign w:val="center"/>
          </w:tcPr>
          <w:p>
            <w:pPr>
              <w:spacing w:line="240" w:lineRule="auto" w:after="20" w:before="20"/>
              <w:jc w:val="center"/>
            </w:pPr>
            <w:r/>
            <w:r>
              <w:rPr>
                <w:rFonts w:ascii="宋体" w:hAnsi="宋体" w:eastAsia="宋体"/>
                <w:sz w:val="21"/>
              </w:rPr>
              <w:t>1.62</w:t>
            </w:r>
          </w:p>
        </w:tc>
        <w:tc>
          <w:tcPr>
            <w:tcW w:type="dxa" w:w="1417"/>
            <w:vAlign w:val="center"/>
          </w:tcPr>
          <w:p>
            <w:pPr>
              <w:spacing w:line="240" w:lineRule="auto" w:after="20" w:before="20"/>
              <w:jc w:val="center"/>
            </w:pPr>
            <w:r/>
            <w:r>
              <w:rPr>
                <w:rFonts w:ascii="宋体" w:hAnsi="宋体" w:eastAsia="宋体"/>
                <w:sz w:val="21"/>
              </w:rPr>
              <w:t>0.37</w:t>
            </w:r>
          </w:p>
        </w:tc>
        <w:tc>
          <w:tcPr>
            <w:tcW w:type="dxa" w:w="1417"/>
            <w:vAlign w:val="center"/>
          </w:tcPr>
          <w:p>
            <w:pPr>
              <w:spacing w:line="240" w:lineRule="auto" w:after="20" w:before="20"/>
              <w:jc w:val="left"/>
            </w:pPr>
            <w:r/>
            <w:r>
              <w:rPr>
                <w:rFonts w:ascii="宋体" w:hAnsi="宋体" w:eastAsia="宋体"/>
                <w:sz w:val="21"/>
              </w:rPr>
              <w:t>统一绿色金融界定与统计口径；披露标准与核算、足迹模块贯通；转型金融与碳金融产品标准</w:t>
            </w:r>
          </w:p>
        </w:tc>
      </w:tr>
    </w:tbl>
    <w:p>
      <w:pPr>
        <w:spacing w:after="200" w:line="240" w:lineRule="auto"/>
      </w:pPr>
      <w:r>
        <w:rPr>
          <w:rFonts w:ascii="宋体" w:hAnsi="宋体" w:eastAsia="宋体"/>
          <w:sz w:val="18"/>
        </w:rPr>
        <w:t>注：AHP权重取自表9.2；供给占比为绿色低碳国家标准分模块占比（第4章口径）；配置强度系数=AHP权重÷供给占比；供需错配为第8章SSDMI分模块指数（2025年）。数据来源：作者依据第4、8章测算结果与本章AHP结果整理。</w:t>
      </w:r>
    </w:p>
    <w:p>
      <w:pPr>
        <w:spacing w:line="360" w:lineRule="auto" w:after="0"/>
        <w:ind w:firstLineChars="200" w:firstLine="480"/>
        <w:jc w:val="both"/>
      </w:pPr>
      <w:r>
        <w:rPr>
          <w:rFonts w:ascii="宋体" w:hAnsi="宋体" w:eastAsia="宋体"/>
          <w:sz w:val="24"/>
        </w:rPr>
        <w:t>需要说明权重结果的两点边界。其一，权重刻画的是“十五五”窗口期的建设优先序而非永恒排序：随着核算底座趋于完备与碳达峰节点临近，碳吸收模块的相对权重预期将持续上移，第10章的动态更新机制正是为权重的滚动修订预留的制度通道。其二，权重针对标准化资源的增量配置，不应被误读为模块存量价值的排序——绿色产品模块权重靠后，恰恰因为其存量已经充裕，边际资源应投向短板。</w:t>
      </w:r>
    </w:p>
    <w:p>
      <w:pPr>
        <w:keepNext/>
        <w:spacing w:before="160" w:after="120" w:line="360" w:lineRule="auto"/>
        <w:outlineLvl w:val="1"/>
      </w:pPr>
      <w:r>
        <w:rPr>
          <w:rFonts w:ascii="黑体" w:hAnsi="黑体" w:eastAsia="黑体"/>
          <w:sz w:val="28"/>
        </w:rPr>
        <w:t>9.5  纵向层级分工与衔接机制</w:t>
      </w:r>
    </w:p>
    <w:p>
      <w:pPr>
        <w:keepNext/>
        <w:spacing w:before="160" w:after="120" w:line="360" w:lineRule="auto"/>
        <w:outlineLvl w:val="2"/>
      </w:pPr>
      <w:r>
        <w:rPr>
          <w:rFonts w:ascii="黑体" w:hAnsi="黑体" w:eastAsia="黑体"/>
          <w:sz w:val="24"/>
        </w:rPr>
        <w:t>9.5.1  四层级的功能分工：国家兜底、行业细化、地方先行、团体创新</w:t>
      </w:r>
    </w:p>
    <w:p>
      <w:pPr>
        <w:spacing w:line="360" w:lineRule="auto" w:after="0"/>
        <w:ind w:firstLineChars="200" w:firstLine="480"/>
        <w:jc w:val="both"/>
      </w:pPr>
      <w:r>
        <w:rPr>
          <w:rFonts w:ascii="宋体" w:hAnsi="宋体" w:eastAsia="宋体"/>
          <w:sz w:val="24"/>
        </w:rPr>
        <w:t>横向模块架构与9.4节的权重配置，最终须落到纵向层级分工上才能运转。截至2025年，本书数据库口径下的绿色低碳标准存量为：国家标准1210项、行业标准850项、地方标准2210项、团体标准430项。四个层级在法律效力、制定周期与知识来源上各具比较优势，体系设计的要义是使层级定位与比较优势匹配：国家兜底——国家标准承担基础通用与强制底线功能，供给术语、核算通则、能耗限额等全局公共品，追求最大统一性与稳定性；行业细化——行业标准把通则参数化到行业工艺情境，供给分行业核算细则、绩效分级等专业规范；地方先行——地方标准利用地区禀赋与政策试点空间先行先试，为国家标准积累实施经验，如粤港澳、长三角围绕产业园区与近零碳试点的地方探索（曹佳彦等，2024）；团体创新——团体标准以最短的制定周期贴近技术前沿，在氢能、储能、CCUS等新兴领域抢先供给，成熟后向上转化。这一分工与9.2.2节提出的动态适应原则内在一致：层级越高越强调稳定，层级越低越强调灵敏，体系整体因而兼得秩序与弹性。</w:t>
      </w:r>
    </w:p>
    <w:p>
      <w:pPr>
        <w:spacing w:line="360" w:lineRule="auto" w:after="0"/>
        <w:ind w:firstLineChars="200" w:firstLine="480"/>
        <w:jc w:val="both"/>
      </w:pPr>
      <w:r>
        <w:rPr>
          <w:rFonts w:ascii="宋体" w:hAnsi="宋体" w:eastAsia="宋体"/>
          <w:sz w:val="24"/>
        </w:rPr>
        <w:t>由图9.4可见，四层级构成“金字塔+循环流”的复合结构：金字塔自上而下是国家、行业、地方、团体四层，越向上强制性与统一性越强，越向下灵敏性与多样性越强；循环流则由两条通道构成——下行通道是国家标准的底线要求经行业细化、地方实施而层层落地，上行通道是团体标准与地方标准中经实践检验的先进规范经采信评估转化为行业标准乃至国家标准。图中双向箭头强调，层级结构不是单向的行政发包，而是知识在不同制度速度层之间的循环装置：前沿知识在低层级快速编码，经筛选后在高层级固化为公共规则。</w:t>
      </w:r>
    </w:p>
    <w:p>
      <w:pPr>
        <w:spacing w:before="120" w:after="40"/>
        <w:jc w:val="center"/>
      </w:pPr>
      <w:r>
        <w:drawing>
          <wp:inline xmlns:a="http://schemas.openxmlformats.org/drawingml/2006/main" xmlns:pic="http://schemas.openxmlformats.org/drawingml/2006/picture">
            <wp:extent cx="4860000" cy="3660188"/>
            <wp:docPr id="31" name="Picture 31"/>
            <wp:cNvGraphicFramePr>
              <a:graphicFrameLocks noChangeAspect="1"/>
            </wp:cNvGraphicFramePr>
            <a:graphic>
              <a:graphicData uri="http://schemas.openxmlformats.org/drawingml/2006/picture">
                <pic:pic>
                  <pic:nvPicPr>
                    <pic:cNvPr id="0" name="fig9_4.png"/>
                    <pic:cNvPicPr/>
                  </pic:nvPicPr>
                  <pic:blipFill>
                    <a:blip r:embed="rId39"/>
                    <a:stretch>
                      <a:fillRect/>
                    </a:stretch>
                  </pic:blipFill>
                  <pic:spPr>
                    <a:xfrm>
                      <a:off x="0" y="0"/>
                      <a:ext cx="4860000" cy="3660188"/>
                    </a:xfrm>
                    <a:prstGeom prst="rect"/>
                  </pic:spPr>
                </pic:pic>
              </a:graphicData>
            </a:graphic>
          </wp:inline>
        </w:drawing>
      </w:r>
    </w:p>
    <w:p>
      <w:pPr>
        <w:keepNext w:val="0"/>
        <w:spacing w:after="200"/>
        <w:jc w:val="center"/>
      </w:pPr>
      <w:r>
        <w:rPr>
          <w:rFonts w:ascii="黑体" w:hAnsi="黑体" w:eastAsia="黑体"/>
          <w:sz w:val="21"/>
        </w:rPr>
        <w:t>图9.4  四层级标准的分工定位与衔接逻辑</w:t>
      </w:r>
    </w:p>
    <w:p>
      <w:pPr>
        <w:keepNext/>
        <w:spacing w:before="160" w:after="120" w:line="360" w:lineRule="auto"/>
        <w:outlineLvl w:val="2"/>
      </w:pPr>
      <w:r>
        <w:rPr>
          <w:rFonts w:ascii="黑体" w:hAnsi="黑体" w:eastAsia="黑体"/>
          <w:sz w:val="24"/>
        </w:rPr>
        <w:t>9.5.2  层级间衔接机制设计</w:t>
      </w:r>
    </w:p>
    <w:p>
      <w:pPr>
        <w:spacing w:line="360" w:lineRule="auto" w:after="0"/>
        <w:ind w:firstLineChars="200" w:firstLine="480"/>
        <w:jc w:val="both"/>
      </w:pPr>
      <w:r>
        <w:rPr>
          <w:rFonts w:ascii="宋体" w:hAnsi="宋体" w:eastAsia="宋体"/>
          <w:sz w:val="24"/>
        </w:rPr>
        <w:t>层级分工必须辅以衔接机制，否则将退化为四套并行体系。本书设计四项衔接机制。第一，采信转化机制：建立团体标准、地方标准向行业标准、国家标准转化的常态化评估通道，明确转化的技术条件（实施年限、采标企业覆盖面、指标先进性）与程序时限，使“团体创新—国家吸纳”的上行通道制度化；对采信转化的团体标准原起草方给予署名与后续修订参与权，保护创新激励。第二，底线约束机制：地方标准、团体标准的技术要求不得低于强制性国家标准底线，地方可加严但须同步开展与国家标准的一致性声明与备案审查，防止以“绿色”名义形成事实上的地方市场分割——绿色低碳标准若各自为政，反而会抬高要素与产品跨区流动的制度成本。第三，版本联动机制：上位标准修订时，援引该标准的下位标准须在规定时限内完成一致性复核，避免“上改下不改”的版本断层；这要求建立全体系的标准引用关系图谱，使任何修订的波及范围可被快速定位。第四，缺位补位机制：对碳吸收等国家标准暂时缺位的领域，明确以团体标准或地方标准临时补位的适用规则与过渡期安排，并把补位标准纳入国家标准立项的优先清单。</w:t>
      </w:r>
    </w:p>
    <w:p>
      <w:pPr>
        <w:spacing w:line="360" w:lineRule="auto" w:after="0"/>
        <w:ind w:firstLineChars="200" w:firstLine="480"/>
        <w:jc w:val="both"/>
      </w:pPr>
      <w:r>
        <w:rPr>
          <w:rFonts w:ascii="宋体" w:hAnsi="宋体" w:eastAsia="宋体"/>
          <w:sz w:val="24"/>
        </w:rPr>
        <w:t>衔接机制的深层逻辑仍是激励相容。第7章的博弈分析表明，政府由强制推行转向激励引导的临界企业响应率约为0.286；四层级衔接机制的功能之一，正是通过团体标准的参与激励与采信通道提高企业响应率，使体系更快越过这一临界值，进入“激励引导+积极响应”的低成本治理均衡。国际经验同样支持这一设计方向：标准协调程度的提升能够显著促进伙伴间贸易与企业出口决策的调整（侯俊军等，2025；王明涛等，2025），而国内层级间的一致性正是对外协调可信度的前提。</w:t>
      </w:r>
    </w:p>
    <w:p>
      <w:pPr>
        <w:keepNext/>
        <w:spacing w:before="160" w:after="120" w:line="360" w:lineRule="auto"/>
        <w:outlineLvl w:val="1"/>
      </w:pPr>
      <w:r>
        <w:rPr>
          <w:rFonts w:ascii="黑体" w:hAnsi="黑体" w:eastAsia="黑体"/>
          <w:sz w:val="28"/>
        </w:rPr>
        <w:t>9.6  国际衔接接口设计</w:t>
      </w:r>
    </w:p>
    <w:p>
      <w:pPr>
        <w:spacing w:line="360" w:lineRule="auto" w:after="0"/>
        <w:ind w:firstLineChars="200" w:firstLine="480"/>
        <w:jc w:val="both"/>
      </w:pPr>
      <w:r>
        <w:rPr>
          <w:rFonts w:ascii="宋体" w:hAnsi="宋体" w:eastAsia="宋体"/>
          <w:sz w:val="24"/>
        </w:rPr>
        <w:t>9.1.3节的定位分析与9.4节权重结果（国际衔接兼容度占准则权重近四分之一）共同要求，把国际衔接从“事后对标”升格为“架构内生”。本节设计互认、数据、认证三类接口，分别解决“标准文本是否等效”“数据能否跨境采信”“合格评定结果是否互认”三个层层递进的问题。三类接口对应第7章博弈模型中</w:t>
      </w:r>
      <m:oMath>
        <m:r>
          <m:t>Δ</m:t>
        </m:r>
        <m:r>
          <m:t>T</m:t>
        </m:r>
      </m:oMath>
      <w:r>
        <w:rPr>
          <w:rFonts w:ascii="宋体" w:hAnsi="宋体" w:eastAsia="宋体"/>
          <w:sz w:val="24"/>
        </w:rPr>
        <w:t>（碳关税减免）与</w:t>
      </w:r>
      <m:oMath>
        <m:r>
          <m:t>Δ</m:t>
        </m:r>
        <m:r>
          <m:t>M</m:t>
        </m:r>
      </m:oMath>
      <w:r>
        <w:rPr>
          <w:rFonts w:ascii="宋体" w:hAnsi="宋体" w:eastAsia="宋体"/>
          <w:sz w:val="24"/>
        </w:rPr>
        <w:t>（竞争力提升）两个关键杠杆的制度载体：接口越畅通，国际激励向国内企业的传导越充分，体系越容易越过“领跑均衡”的跃迁阈值。</w:t>
      </w:r>
    </w:p>
    <w:p>
      <w:pPr>
        <w:keepNext/>
        <w:spacing w:before="160" w:after="120" w:line="360" w:lineRule="auto"/>
        <w:outlineLvl w:val="2"/>
      </w:pPr>
      <w:r>
        <w:rPr>
          <w:rFonts w:ascii="黑体" w:hAnsi="黑体" w:eastAsia="黑体"/>
          <w:sz w:val="24"/>
        </w:rPr>
        <w:t>9.6.1  互认接口：标准文本与规则的等效衔接</w:t>
      </w:r>
    </w:p>
    <w:p>
      <w:pPr>
        <w:spacing w:line="360" w:lineRule="auto" w:after="0"/>
        <w:ind w:firstLineChars="200" w:firstLine="480"/>
        <w:jc w:val="both"/>
      </w:pPr>
      <w:r>
        <w:rPr>
          <w:rFonts w:ascii="宋体" w:hAnsi="宋体" w:eastAsia="宋体"/>
          <w:sz w:val="24"/>
        </w:rPr>
        <w:t>互认接口处理标准文本层面的技术等效。设计要点有三。一是采标策略的分类管理：对ISO 14064、ISO 14067等成熟国际标准，以等同采用或修改采用方式快速转化，并发布中外文对照版与技术差异声明，使等效性可核查——GB/T 24067-2024对标ISO 14067的做法即为范例（Wu等，2015）；对PEF、CBAM实施细则等区域性规则，不宜整体采用，而应逐条识别其与国内标准的技术差异，在国内标准中增设可选择适用的“出口合规附录”。二是差异清单的动态维护：由标准化主管部门会同行业协会维护中外标准差异的权威清单，按第12章八维度框架（核算边界、排放因子、生命周期范围、第三方核查、数据质量、行业覆盖、更新频率、市场衔接）逐维标注差距，作为标准修订立项的输入。三是互认谈判的标准供给：在中欧、中国—东盟等双多边机制下推动核算与足迹标准的互认安排，谈判筹码正是国内标准的统一性与严谨性（Cima和Esty，2024；侯俊军等，2025）。互认的本质是规则层面的贸易自由化：经验研究显示，自愿性国际标准协调能够显著降低出口的固定成本与不确定性（王明涛等，2025）。</w:t>
      </w:r>
    </w:p>
    <w:p>
      <w:pPr>
        <w:keepNext/>
        <w:spacing w:before="160" w:after="120" w:line="360" w:lineRule="auto"/>
        <w:outlineLvl w:val="2"/>
      </w:pPr>
      <w:r>
        <w:rPr>
          <w:rFonts w:ascii="黑体" w:hAnsi="黑体" w:eastAsia="黑体"/>
          <w:sz w:val="24"/>
        </w:rPr>
        <w:t>9.6.2  数据接口：因子库与核算数据的跨境采信</w:t>
      </w:r>
    </w:p>
    <w:p>
      <w:pPr>
        <w:spacing w:line="360" w:lineRule="auto" w:after="0"/>
        <w:ind w:firstLineChars="200" w:firstLine="480"/>
        <w:jc w:val="both"/>
      </w:pPr>
      <w:r>
        <w:rPr>
          <w:rFonts w:ascii="宋体" w:hAnsi="宋体" w:eastAsia="宋体"/>
          <w:sz w:val="24"/>
        </w:rPr>
        <w:t>数据接口处理核算数据的跨境流动与采信，是三类接口中技术密度最高的一环。CBAM过渡期的实践已经暴露了数据接口缺失的代价：中国出口企业若无法提供符合欧方核算规则的实测排放数据，将被适用基于第三国最差绩效设定的缺省值，隐含排放被系统性高估（Mehling等，2019；Cosbey等，2019）。数据接口的设计要点包括：其一，因子库的权威化与国际化——加快国家温室气体排放因子数据库建设（按碳排放双控工作方案，2025年基本建成），以官方口径发布分行业、分区域排放因子并建立年度更新制度；2025年1月发布的2023年电力碳足迹因子迈出了关键一步，下一步是推动该因子体系获得欧方核算规则的采信，扭转中国出口产品被以他方缺省值计价的被动局面。其二，数据质量分级与可追溯规范——制定核算数据的计量器具配置、在线监测、台账留存与抽样核验标准，使“中国数据”具备可核查的质量凭证；其三，跨境报送的格式标准——针对CBAM季度申报与正式期年度申报的数据结构，制定与欧方模板兼容的国内报送格式标准，降低企业的多头填报成本。数据接口的战略意义超出合规本身：谁的因子库被国际规则采信，谁就在事实上掌握了产品碳强度的“定价权”（刘梦佳和李志永，2025）。</w:t>
      </w:r>
    </w:p>
    <w:p>
      <w:pPr>
        <w:keepNext/>
        <w:spacing w:before="160" w:after="120" w:line="360" w:lineRule="auto"/>
        <w:outlineLvl w:val="2"/>
      </w:pPr>
      <w:r>
        <w:rPr>
          <w:rFonts w:ascii="黑体" w:hAnsi="黑体" w:eastAsia="黑体"/>
          <w:sz w:val="24"/>
        </w:rPr>
        <w:t>9.6.3  认证接口：合格评定结果的相互承认</w:t>
      </w:r>
    </w:p>
    <w:p>
      <w:pPr>
        <w:spacing w:line="360" w:lineRule="auto" w:after="0"/>
        <w:ind w:firstLineChars="200" w:firstLine="480"/>
        <w:jc w:val="both"/>
      </w:pPr>
      <w:r>
        <w:rPr>
          <w:rFonts w:ascii="宋体" w:hAnsi="宋体" w:eastAsia="宋体"/>
          <w:sz w:val="24"/>
        </w:rPr>
        <w:t>认证接口处理合格评定与核查结果的互认。CBAM正式实施期的制度安排凸显其紧迫性：2026年1月1日起，仅“授权CBAM申报人”可进口覆盖商品并购买CBAM证书，证书价格与EU ETS拍卖价挂钩——欧委会公布的2026年第一季度证书价格为75.36欧元/吨；2025年10月生效的简化改革以每年50吨的单一质量门槛取代原豁免规则，虽豁免约90%的进口商，但仍覆盖约99%的隐含排放，中国钢铁、铝等大宗出口的实质负担并未减轻（陈诗一和朱渝铖，2024；杨茹凯，2025）。认证接口的设计要点有三：其一，核查机构的资质对接——按ISO 14064-3与欧方核查条例的要求升级国内第三方核查机构的资质标准与质量控制规范，争取中国核查机构进入欧方认可名录，使核查服务不必整体外包；其二，认证结果的互认协议——以重点行业为突破口推动碳足迹认证结果的双边互认，将9.3.3节的碳标识认证制度与国际主要绿色标识体系桥接（黄俊勇和刘世锦，2023）；其三，绿色电力等环境权益凭证的跨境追认——出口产品碳足迹核算中绿电、绿证能否抵扣，直接影响中国产品的碳强度计价，需要以标准明确绿证的核发、追踪与注销规则并推动国际采信（Bjørn等，2022）。</w:t>
      </w:r>
    </w:p>
    <w:p>
      <w:pPr>
        <w:spacing w:line="360" w:lineRule="auto" w:after="0"/>
        <w:ind w:firstLineChars="200" w:firstLine="480"/>
        <w:jc w:val="both"/>
      </w:pPr>
      <w:r>
        <w:rPr>
          <w:rFonts w:ascii="宋体" w:hAnsi="宋体" w:eastAsia="宋体"/>
          <w:sz w:val="24"/>
        </w:rPr>
        <w:t>三类接口的组合逻辑可以概括为“文本等效为前提、数据采信为核心、结果互认为出口”。它们并非平行推进：没有文本等效，数据采信无从谈起；没有数据质量凭证，结果互认缺乏基础。从博弈论视角看，接口建设是中国以可核查的制度承诺换取国际接纳概率上升的信号投资——第7章模拟显示，一旦国际激励经接口传导使</w:t>
      </w:r>
      <m:oMath>
        <m:r>
          <m:t>Δ</m:t>
        </m:r>
        <m:r>
          <m:t>T</m:t>
        </m:r>
        <m:r>
          <m:rPr>
            <m:sty m:val="p"/>
          </m:rPr>
          <m:t>+</m:t>
        </m:r>
        <m:r>
          <m:t>Δ</m:t>
        </m:r>
        <m:r>
          <m:t>M</m:t>
        </m:r>
      </m:oMath>
      <w:r>
        <w:rPr>
          <w:rFonts w:ascii="宋体" w:hAnsi="宋体" w:eastAsia="宋体"/>
          <w:sz w:val="24"/>
        </w:rPr>
        <w:t>越过阈值，企业响应与国际接纳将形成自我强化的正反馈，体系收敛于“主动领跑”均衡。接口设计因此是整个架构中杠杆率最高的部分。</w:t>
      </w:r>
    </w:p>
    <w:p>
      <w:pPr>
        <w:keepNext/>
        <w:spacing w:before="160" w:after="120" w:line="360" w:lineRule="auto"/>
        <w:outlineLvl w:val="1"/>
      </w:pPr>
      <w:r>
        <w:rPr>
          <w:rFonts w:ascii="黑体" w:hAnsi="黑体" w:eastAsia="黑体"/>
          <w:sz w:val="28"/>
        </w:rPr>
        <w:t>9.7  本章小结</w:t>
      </w:r>
    </w:p>
    <w:p>
      <w:pPr>
        <w:spacing w:line="360" w:lineRule="auto" w:after="0"/>
        <w:ind w:firstLineChars="200" w:firstLine="480"/>
        <w:jc w:val="both"/>
      </w:pPr>
      <w:r>
        <w:rPr>
          <w:rFonts w:ascii="宋体" w:hAnsi="宋体" w:eastAsia="宋体"/>
          <w:sz w:val="24"/>
        </w:rPr>
        <w:t>本章完成了全书从“认识规律”到“设计体系”的关键一跃，给出了“双碳”目标下中国绿色低碳标准体系的总体架构。核心工作与结论如下。第一，确立了“对内满足‘双碳’、对外兼容国际”的双重目标定位：对内以“兜底线、强激励、补短板、成闭环”支撑碳排放双控与碳市场扩围，对外以“兼容—互认—引领”的三步递进回应CBAM等国际规则压力，并论证了两个定位互为条件的统一性。第二，将第5—7章的演化规律逐一转化为三项构建原则：源于标准间互补—替代关系的协同互补原则规定了“底座先行、归并整合、接口标准化”的空间结构，源于技术—制度互馈强化的动态适应原则规定了“内置更新、分层弹性、指标分级”的时间结构，源于博弈激励相容要求的多元协调原则规定了“多元参与、工具组合、国际内生”的主体结构。</w:t>
      </w:r>
    </w:p>
    <w:p>
      <w:pPr>
        <w:spacing w:line="360" w:lineRule="auto" w:after="0"/>
        <w:ind w:firstLineChars="200" w:firstLine="480"/>
        <w:jc w:val="both"/>
      </w:pPr>
      <w:r>
        <w:rPr>
          <w:rFonts w:ascii="宋体" w:hAnsi="宋体" w:eastAsia="宋体"/>
          <w:sz w:val="24"/>
        </w:rPr>
        <w:t>第三，设计了五大功能模块的横向架构：碳排放核算模块对标ISO 14064与CBAM核算规范，以GB/T 32150通则与GB/T 32151系列为基础走向企业—项目—产品三位一体；碳足迹认证模块对标ISO 14067与欧盟PEF，以GB/T 24067-2024与9项产品碳足迹国标为起点扩品类、建数据库；绿色产品模块从数量扩张转向清理整合与指标升级；碳吸收模块作为最突出的短板，沿碳汇核算与负排放技术两翼补齐标准供给；绿色金融模块衔接可持续金融分类，打通标准与资金的传导。</w:t>
      </w:r>
    </w:p>
    <w:p>
      <w:pPr>
        <w:spacing w:line="360" w:lineRule="auto" w:after="0"/>
        <w:ind w:firstLineChars="200" w:firstLine="480"/>
        <w:jc w:val="both"/>
      </w:pPr>
      <w:r>
        <w:rPr>
          <w:rFonts w:ascii="宋体" w:hAnsi="宋体" w:eastAsia="宋体"/>
          <w:sz w:val="24"/>
        </w:rPr>
        <w:t>第四，以AHP方法确定了五大模块的建设权重。经两轮德尔菲咨询26位专家、肯德尔协调系数0.73的判断集结，得到综合权重排序：碳排放核算0.286＞碳足迹认证0.223＞碳吸收0.186＞绿色产品0.164＞绿色金融0.141，准则层与方案层一致性比率分别为0.032与0.047，均通过检验；专家前瞻判断与第5章计量识别的互补结构相互印证。权重的资源配置含义在于：碳吸收权重约为其当前供给占比的三倍，与SSDMI最大错配交叉印证了补短板的优先序；碳足迹认证的配置强度系数居五模块之首，是增量资源的第一投向；绿色产品模块则应以整合升级替代数量扩张。第五，确立了国家兜底、行业细化、地方先行、团体创新的四层级分工，并配套采信转化、底线约束、版本联动、缺位补位四项衔接机制，使层级结构成为兼得秩序与弹性的适应性装置。第六，设计了互认、数据、认证三类国际衔接接口，指明其作为碳关税减免与竞争力提升杠杆制度载体的战略功能。</w:t>
      </w:r>
    </w:p>
    <w:p>
      <w:pPr>
        <w:spacing w:line="360" w:lineRule="auto" w:after="0"/>
        <w:ind w:firstLineChars="200" w:firstLine="480"/>
        <w:jc w:val="both"/>
      </w:pPr>
      <w:r>
        <w:rPr>
          <w:rFonts w:ascii="宋体" w:hAnsi="宋体" w:eastAsia="宋体"/>
          <w:sz w:val="24"/>
        </w:rPr>
        <w:t>本章给出的是体系的静态架构与资源配置蓝图，而架构的生命力在于运行机制：五大模块之间的协同效应如何在标准存量的动态积累中实现？技术进步与政策调整引致的标准老化如何触发及时更新？这些问题需要把本章的架构置于时间维度中考察。下一章将以系统动力学方法构建标准体系的存量—流量模型，把第5章的交互矩阵转化为模块间溢出矩阵，仿真不同建设情景下体系的演化路径，并设计以技术—政策偏离度为信号的动态更新触发机制，从而为本章架构装上“自我调节的引擎”。</w:t>
      </w:r>
    </w:p>
    <w:p>
      <w:r>
        <w:br w:type="page"/>
      </w:r>
    </w:p>
    <w:p>
      <w:pPr>
        <w:keepNext/>
        <w:spacing w:before="240" w:after="160" w:line="360" w:lineRule="auto"/>
        <w:jc w:val="center"/>
        <w:outlineLvl w:val="0"/>
      </w:pPr>
      <w:r>
        <w:rPr>
          <w:rFonts w:ascii="黑体" w:hAnsi="黑体" w:eastAsia="黑体"/>
          <w:b/>
          <w:sz w:val="30"/>
        </w:rPr>
        <w:t>第10章  标准体系的协同效应与动态更新机制</w:t>
      </w:r>
    </w:p>
    <w:p>
      <w:pPr>
        <w:spacing w:line="360" w:lineRule="auto" w:after="0"/>
        <w:ind w:firstLineChars="200" w:firstLine="480"/>
        <w:jc w:val="both"/>
      </w:pPr>
      <w:r>
        <w:rPr>
          <w:rFonts w:ascii="宋体" w:hAnsi="宋体" w:eastAsia="宋体"/>
          <w:sz w:val="24"/>
        </w:rPr>
        <w:t>第9章以协同互补、动态适应、多元协调三项原则为纲，给出了“双碳”目标下中国绿色低碳标准体系“五大功能模块×四个层级”的总体架构，并以层次分析法确定了模块建设的优先序。然而，架构设计本质上是一张静态蓝图：它回答了标准体系“应当由哪些部分组成、各部分孰轻孰重”，却尚未回答两个同样关键的动态问题。其一，模块之间的互补关系如何转化为现实的协同效应？第5章的估计表明，碳排放核算标准对碳足迹认证、绿色产品与绿色金融标准存在显著的正向溢出，但溢出通道能否打通、放大到何种程度，取决于体系运行中的制度安排而非蓝图本身——互补是潜在红利，协同才是现实收益。其二，标准的技术参数如何跟上技术与政策的快速迭代？标准一经发布便开始老化，若无制度化的更新机制，再完善的架构也会在数年之内蜕变为滞后于现实的“过期地图”，甚至反向保护落后产能。</w:t>
      </w:r>
    </w:p>
    <w:p>
      <w:pPr>
        <w:spacing w:line="360" w:lineRule="auto" w:after="0"/>
        <w:ind w:firstLineChars="200" w:firstLine="480"/>
        <w:jc w:val="both"/>
      </w:pPr>
      <w:r>
        <w:rPr>
          <w:rFonts w:ascii="宋体" w:hAnsi="宋体" w:eastAsia="宋体"/>
          <w:sz w:val="24"/>
        </w:rPr>
        <w:t>为回答上述两个问题，本章将静态架构置于系统动力学框架之下（Forrester，1961），把标准体系刻画为由存量、流量与反馈回路构成的动态系统：以标准存量的积分方程承载数量演化，以溢出矩阵Φ承载模块间协同——其取值直接衔接第5章交互矩阵A的估计结果，以技术—政策偏离度TPD承载参数老化与更新触发，并以第9章AHP权重合成体系综合效能指数。在此基础上，本章完成三项任务：一是仿真基准、协同优化与更新滞后三种情景下2026—2035年标准存量与体系效能的演化路径，为“协同增效”提供定量证据；二是从修订成本与滞后损失的权衡出发，推导并数值确定动态更新的最优触发阈值；三是将触发机制落实为修订程序、快速通道与退出机制等制度安排。本章结构如下：10.1节阐明从静态架构走向动态体系的必要性；10.2节构建系统动力学模型；10.3节开展三情景仿真；10.4节设计动态更新触发机制；10.5节讨论制度化安排；10.6节总结全章。</w:t>
      </w:r>
    </w:p>
    <w:p>
      <w:pPr>
        <w:keepNext/>
        <w:spacing w:before="160" w:after="120" w:line="360" w:lineRule="auto"/>
        <w:outlineLvl w:val="1"/>
      </w:pPr>
      <w:r>
        <w:rPr>
          <w:rFonts w:ascii="黑体" w:hAnsi="黑体" w:eastAsia="黑体"/>
          <w:sz w:val="28"/>
        </w:rPr>
        <w:t>10.1  从静态架构到动态体系：为什么需要协同与更新机制</w:t>
      </w:r>
    </w:p>
    <w:p>
      <w:pPr>
        <w:keepNext/>
        <w:spacing w:before="160" w:after="120" w:line="360" w:lineRule="auto"/>
        <w:outlineLvl w:val="2"/>
      </w:pPr>
      <w:r>
        <w:rPr>
          <w:rFonts w:ascii="黑体" w:hAnsi="黑体" w:eastAsia="黑体"/>
          <w:sz w:val="24"/>
        </w:rPr>
        <w:t>10.1.1  标准滞后的三重漂移：“十三五”参数的教训</w:t>
      </w:r>
    </w:p>
    <w:p>
      <w:pPr>
        <w:spacing w:line="360" w:lineRule="auto" w:after="0"/>
        <w:ind w:firstLineChars="200" w:firstLine="480"/>
        <w:jc w:val="both"/>
      </w:pPr>
      <w:r>
        <w:rPr>
          <w:rFonts w:ascii="宋体" w:hAnsi="宋体" w:eastAsia="宋体"/>
          <w:sz w:val="24"/>
        </w:rPr>
        <w:t>标准滞后是指标准的技术参数、规制基准或衔接规则落后于其所规范对象的现实状态，导致标准的引领功能退化甚至逆转。观察“双碳”目标提出以来标准体系的运行，标准滞后集中表现为三重漂移（孙亮等，2022；舒辉和唐飞，2023）：技术进步快于参数更新造成的“参数漂移”、政策目标转换造成的“基准漂移”与国际规则迭代造成的“规则漂移”。三者的共同根源，是标准体系缺乏与外部环境变化速度相匹配的动态调整机制，其教训在“十三五”时期设定参数的一批标准上表现得最为集中。</w:t>
      </w:r>
    </w:p>
    <w:p>
      <w:pPr>
        <w:spacing w:line="360" w:lineRule="auto" w:after="0"/>
        <w:ind w:firstLineChars="200" w:firstLine="480"/>
        <w:jc w:val="both"/>
      </w:pPr>
      <w:r>
        <w:rPr>
          <w:rFonts w:ascii="宋体" w:hAnsi="宋体" w:eastAsia="宋体"/>
          <w:sz w:val="24"/>
        </w:rPr>
        <w:t>先看参数漂移。我国现行绿色低碳标准中，相当一部分能耗限额、能效与排放控制类标准的技术参数成形于“十三五”时期（2016—2020年），限定值与准入值按当时的行业平均水平或国内先进水平设定。然而2020年以后，绿色技术进入前所未有的快速迭代期：国家知识产权局统计显示，2016—2022年我国绿色低碳发明专利授权量由每年2.5万件增至4.2万件、累计达20.6万件，2024年绿色低碳专利申请公开量达12.0万件、同比增长18.9%，截至2024年底有效量已达28.3万件；从产业端看，全国太阳能发电装机2024年底达8.87亿千瓦、同比增长45.2%，2025年6月底更突破11亿千瓦。当技术前沿以两位数的年均速度推进，而标准复审依照《标准化法》一般不超过五年的周期机械执行时，以“十三五”技术水平为锚的参数便迅速丧失先进性：本应发挥“拉高线”作用的标杆值退化为“地板值”，先进企业早已越过而落后企业亦无压力，标准的技术引领与优胜劣汰功能同时失效（Dosi，1982；Blind，2004）。这正是诱致创新理论所警示的情形：规制信号一旦僵化，其引导技术进步方向的功能便随之衰减（Popp，2002）。</w:t>
      </w:r>
    </w:p>
    <w:p>
      <w:pPr>
        <w:spacing w:line="360" w:lineRule="auto" w:after="0"/>
        <w:ind w:firstLineChars="200" w:firstLine="480"/>
        <w:jc w:val="both"/>
      </w:pPr>
      <w:r>
        <w:rPr>
          <w:rFonts w:ascii="宋体" w:hAnsi="宋体" w:eastAsia="宋体"/>
          <w:sz w:val="24"/>
        </w:rPr>
        <w:t>再看基准漂移。“十三五”时期的绿色低碳标准群总体上围绕能耗双控制度构建，以单位产品能耗、能效等级为核心规制参数。2023年7月，中央全面深化改革委员会第二次会议审议通过《关于推动能耗双控逐步转向碳排放双控的意见》；2024年8月，国务院办公厅印发《加快构建碳排放双控制度体系工作方案》，明确“十五五”时期实施以强度控制为主、总量控制为辅的碳排放双控制度。这一制度转型使既有标准群的规制基准与新的政策目标出现系统性错位：能耗与碳排放并非一一对应——用能结构调整、绿电替代与间接排放核算都会造成“能”与“碳”的分离，以能耗为锚的参数体系无法直接支撑以碳为对象的考核、管控与评价制度（姜春海等，2024；袁惊柱，2025）。基准漂移的化解不是零散修订所能完成的，它要求围绕碳排放核算、产品碳足迹重构参数基准，将标准群整体“换锚”，这正是2024年8月《关于进一步强化碳达峰碳中和标准计量体系建设行动方案（2024—2025年）》部署当年发布70项碳核算、碳足迹等国家标准、基本实现重点行业企业碳排放核算标准全覆盖的政策背景。</w:t>
      </w:r>
    </w:p>
    <w:p>
      <w:pPr>
        <w:spacing w:line="360" w:lineRule="auto" w:after="0"/>
        <w:ind w:firstLineChars="200" w:firstLine="480"/>
        <w:jc w:val="both"/>
      </w:pPr>
      <w:r>
        <w:rPr>
          <w:rFonts w:ascii="宋体" w:hAnsi="宋体" w:eastAsia="宋体"/>
          <w:sz w:val="24"/>
        </w:rPr>
        <w:t>最后看规则漂移。国际绿色规则的迭代速度同样远超传统标准修订节奏。欧盟碳边境调节机制2023年5月立法生效、同年10月进入过渡期，2026年1月1日起正式征收，五年之内走完从提案到落地的全程；且规则本身仍在持续变动——2025年10月生效的修正条例以每年50吨的单一质量门槛取代原豁免安排，豁免约90%的进口商而仍覆盖约99%的隐含排放，CBAM证书价格与欧盟碳市场拍卖价挂钩，2026年第一季度为75.36欧元/吨（Bradford，2020；陈诗一和朱渝铖，2024）。规则输出方以“条例—实施法案—授权法案”的多层立法机器持续细化技术规范，规则接受方若仍按部就班地依传统周期修订衔接标准，将始终慢半拍，出口企业不得不承受双重核算、重复认证的合规成本（张兵兵等，2025）。布鲁塞尔效应的实质，正是以规则更新速度构筑的动态壁垒（刘梦佳和李志永，2025）。</w:t>
      </w:r>
    </w:p>
    <w:p>
      <w:pPr>
        <w:spacing w:line="360" w:lineRule="auto" w:after="0"/>
        <w:ind w:firstLineChars="200" w:firstLine="480"/>
        <w:jc w:val="both"/>
      </w:pPr>
      <w:r>
        <w:rPr>
          <w:rFonts w:ascii="宋体" w:hAnsi="宋体" w:eastAsia="宋体"/>
          <w:sz w:val="24"/>
        </w:rPr>
        <w:t>三重漂移叠加于一个快速膨胀的存量之上，使更新压力呈加速积累之势。直接支撑碳达峰碳中和的国家标准已由2022年初的800余项增至2024年的1800余项，行业标准由700余项增至2300余项；《碳达峰碳中和标准体系建设指南》还要求到2025年制修订不少于1000项国家标准和行业标准（石明娟等，2022；国家标准化管理委员会等，2023）。存量越大，复审、修订与实施监督的负担越重，若更新机制不升级，新增供给与存量维护将相互挤压。第12章的国际比较将进一步显示，在八个评估维度中，我国标准与国际通行标准在更新频率维度的差距指数达0.28，更新节奏已构成国际适配的明显短板。总之，“十三五”参数的教训表明：标准体系的竞争力不仅取决于某一时点的架构完备性，更取决于其随技术、政策与国际规则同步进化的能力——这正是本章为第9章静态架构补装“动态引擎”的现实理由。</w:t>
      </w:r>
    </w:p>
    <w:p>
      <w:pPr>
        <w:keepNext/>
        <w:spacing w:before="160" w:after="120" w:line="360" w:lineRule="auto"/>
        <w:outlineLvl w:val="2"/>
      </w:pPr>
      <w:r>
        <w:rPr>
          <w:rFonts w:ascii="黑体" w:hAnsi="黑体" w:eastAsia="黑体"/>
          <w:sz w:val="24"/>
        </w:rPr>
        <w:t>10.1.2  从互补关系到协同效应：为什么协同需要机制</w:t>
      </w:r>
    </w:p>
    <w:p>
      <w:pPr>
        <w:spacing w:line="360" w:lineRule="auto" w:after="0"/>
        <w:ind w:firstLineChars="200" w:firstLine="480"/>
        <w:jc w:val="both"/>
      </w:pPr>
      <w:r>
        <w:rPr>
          <w:rFonts w:ascii="宋体" w:hAnsi="宋体" w:eastAsia="宋体"/>
          <w:sz w:val="24"/>
        </w:rPr>
        <w:t>转向协同的必要性。第5章的估计已经给出标准间互补关系的系统证据：碳排放核算状态对碳足迹认证、绿色产品与绿色金融方程的交互系数分别为0.12、0.08与0.06，碳足迹认证对绿色金融的系数为0.07，构成“核算→足迹→金融”的传导链条。但互补关系只是技术与功能层面的潜在联系，能否兑现为现实的协同效应，取决于运行机制：五大功能模块分属不同归口部门与标准化技术委员会，若各自立项、口径不一、进度失调，方法学共享与数据底座复用的通道便会淤塞，互补甚至退化为重复建设与规则冲突——碳核算口径的分歧曾使企业碳账本难以在认证与金融场景间复用（陈红敏，2011；Klaaßen和Stoll，2021），自愿减排与强制履约市场的衔接也长期受制于方法学互认的缺失（蓝虹和杜彦霖，2024；张一林等，2025）。政策协同研究同样表明，工具之间的配合方式对总体效果的影响不亚于单项工具的强度（吴茵茵等，2021；Hu等，2024）。</w:t>
      </w:r>
    </w:p>
    <w:p>
      <w:pPr>
        <w:spacing w:line="360" w:lineRule="auto" w:after="0"/>
        <w:ind w:firstLineChars="200" w:firstLine="480"/>
        <w:jc w:val="both"/>
      </w:pPr>
      <w:r>
        <w:rPr>
          <w:rFonts w:ascii="宋体" w:hAnsi="宋体" w:eastAsia="宋体"/>
          <w:sz w:val="24"/>
        </w:rPr>
        <w:t>协同与更新并非两项孤立的机制，而是动态体系的一体两面：协同放大“数量—结构”维度的存量红利，更新守住“质量—时效”维度的参数底线；二者又互为条件——溢出通道的打通以口径统一、版本兼容为前提，若各模块更新节奏失调，上游标准修订而下游引用滞后，版本错配将割断互补链条；反过来，协同形成的方法学共享又能摊薄修订成本、加快更新速度。因此，协同与更新必须在统一的动态框架内联合设计、联合校准。能够同时容纳存量积累、跨模块溢出、参数老化与阈值触发的分析工具，正是系统动力学，下面转入模型构建。</w:t>
      </w:r>
    </w:p>
    <w:p>
      <w:pPr>
        <w:keepNext/>
        <w:spacing w:before="160" w:after="120" w:line="360" w:lineRule="auto"/>
        <w:outlineLvl w:val="1"/>
      </w:pPr>
      <w:r>
        <w:rPr>
          <w:rFonts w:ascii="黑体" w:hAnsi="黑体" w:eastAsia="黑体"/>
          <w:sz w:val="28"/>
        </w:rPr>
        <w:t>10.2  标准体系运行的系统动力学建模</w:t>
      </w:r>
    </w:p>
    <w:p>
      <w:pPr>
        <w:keepNext/>
        <w:spacing w:before="160" w:after="120" w:line="360" w:lineRule="auto"/>
        <w:outlineLvl w:val="2"/>
      </w:pPr>
      <w:r>
        <w:rPr>
          <w:rFonts w:ascii="黑体" w:hAnsi="黑体" w:eastAsia="黑体"/>
          <w:sz w:val="24"/>
        </w:rPr>
        <w:t>10.2.1  方法选择与因果回路结构</w:t>
      </w:r>
    </w:p>
    <w:p>
      <w:pPr>
        <w:spacing w:line="360" w:lineRule="auto" w:after="0"/>
        <w:ind w:firstLineChars="200" w:firstLine="480"/>
        <w:jc w:val="both"/>
      </w:pPr>
      <w:r>
        <w:rPr>
          <w:rFonts w:ascii="宋体" w:hAnsi="宋体" w:eastAsia="宋体"/>
          <w:sz w:val="24"/>
        </w:rPr>
        <w:t>本书前几章的模型各有分工：第5章的状态空间模型识别标准间交互与驱动传导的平均结构，第6章的协同演进模型刻画技术与制度的双向互馈，第7章的演化博弈模型解析多主体策略互动。这些模型共同揭示了演化机理，但均不适合直接承担“机制设计实验室”的任务——政策设计需要在一个可操作的仿真平台上，检验协同安排与更新规则的不同组合对体系中长期绩效的影响。系统动力学正是为此类问题而生的方法（Forrester，1961）：它以存量—流量结构刻画系统状态的积累过程，以因果回路刻画变量间的反馈关系，允许阈值触发、资源约束等非线性与政策开关，特别适于对复杂社会经济系统进行情景推演。标准体系恰是典型的复杂反馈系统——标准存量塑造技术与市场环境，环境变化再反过来改写标准需求，既有研究已从共演化视角刻画了这一闭环（Zhu等，2022；Zhao等，2024）。就与第5章的关系而言，A矩阵给出的是线性框架下标准间交互的平均强度，本章则将其嵌入含反馈回路、阈值触发与资源约束的非线性结构之中：线性估计提供经验骨架，系统动力学为其接上制度肌肉。</w:t>
      </w:r>
    </w:p>
    <w:p>
      <w:pPr>
        <w:spacing w:line="360" w:lineRule="auto" w:after="0"/>
        <w:ind w:firstLineChars="200" w:firstLine="480"/>
        <w:jc w:val="both"/>
      </w:pPr>
      <w:r>
        <w:rPr>
          <w:rFonts w:ascii="宋体" w:hAnsi="宋体" w:eastAsia="宋体"/>
          <w:sz w:val="24"/>
        </w:rPr>
        <w:t>图10.1给出模型的因果回路结构。由图10.1可见，体系运行由两条正反馈回路与一条负反馈回路主导。正反馈回路R1（核算→认证→产品）刻画“计量基础设施”的自我强化：碳排放核算标准完善提升企业碳数据的可得性与可信度，降低碳足迹认证的边际成本、推动认证扩面；认证结果支撑绿色产品标识与市场溢价，激励更多企业开展碳盘查与信息披露；数据积累反过来充实排放因子库与方法学库，为核算标准的迭代升级提供素材。这条回路的微观基础是标准的网络外部性——采纳者越多，标准的信息价值与兼容价值越大（Katz和Shapiro，1985；Farrell和Saloner，1985），而核算标准作为基础设施型标准，其扩散对下游标准具有典型的使能作用（Tassey，2000；黄俊勇和刘世锦，2023）。</w:t>
      </w:r>
    </w:p>
    <w:p>
      <w:pPr>
        <w:spacing w:before="120" w:after="40"/>
        <w:jc w:val="center"/>
      </w:pPr>
      <w:r>
        <w:drawing>
          <wp:inline xmlns:a="http://schemas.openxmlformats.org/drawingml/2006/main" xmlns:pic="http://schemas.openxmlformats.org/drawingml/2006/picture">
            <wp:extent cx="4860000" cy="3302535"/>
            <wp:docPr id="32" name="Picture 32"/>
            <wp:cNvGraphicFramePr>
              <a:graphicFrameLocks noChangeAspect="1"/>
            </wp:cNvGraphicFramePr>
            <a:graphic>
              <a:graphicData uri="http://schemas.openxmlformats.org/drawingml/2006/picture">
                <pic:pic>
                  <pic:nvPicPr>
                    <pic:cNvPr id="0" name="fig10_1.png"/>
                    <pic:cNvPicPr/>
                  </pic:nvPicPr>
                  <pic:blipFill>
                    <a:blip r:embed="rId40"/>
                    <a:stretch>
                      <a:fillRect/>
                    </a:stretch>
                  </pic:blipFill>
                  <pic:spPr>
                    <a:xfrm>
                      <a:off x="0" y="0"/>
                      <a:ext cx="4860000" cy="3302535"/>
                    </a:xfrm>
                    <a:prstGeom prst="rect"/>
                  </pic:spPr>
                </pic:pic>
              </a:graphicData>
            </a:graphic>
          </wp:inline>
        </w:drawing>
      </w:r>
    </w:p>
    <w:p>
      <w:pPr>
        <w:keepNext w:val="0"/>
        <w:spacing w:after="200"/>
        <w:jc w:val="center"/>
      </w:pPr>
      <w:r>
        <w:rPr>
          <w:rFonts w:ascii="黑体" w:hAnsi="黑体" w:eastAsia="黑体"/>
          <w:sz w:val="21"/>
        </w:rPr>
        <w:t>图10.1  标准体系的系统动力学因果回路图</w:t>
      </w:r>
    </w:p>
    <w:p>
      <w:pPr>
        <w:spacing w:line="360" w:lineRule="auto" w:after="0"/>
        <w:ind w:firstLineChars="200" w:firstLine="480"/>
        <w:jc w:val="both"/>
      </w:pPr>
      <w:r>
        <w:rPr>
          <w:rFonts w:ascii="宋体" w:hAnsi="宋体" w:eastAsia="宋体"/>
          <w:sz w:val="24"/>
        </w:rPr>
        <w:t>正反馈回路R2（金融→市场→技术）刻画“资金—技术”的循环加速：绿色金融标准统一绿色资产的识别口径，降低金融机构的甄别成本，推动绿色信贷、绿色债券扩容（王馨和王营，2021；陈丹丹等，2025）；资金流向绿色技术研发与产业化，加快技术进步（Acemoglu等，2012）；技术前沿抬升引致新的核算、认证与产品标准需求，碳市场扩围与碳金融产品创新又对标准提出更高要求，反哺金融标准自身的细化（张希良等，2021；赵思琦等，2023）。负反馈回路B1（资源约束）则为扩张设置边界：标准制定与实施资源有限，存量扩张推高复审修订与实施监督负担，挤占新增制定资源，使增量随存量上升而放缓；企业端的合规承载力同样有限，标准密度过高会抬升综合合规成本、抑制采纳意愿。两条正反馈解释了2020年以来标准供给的加速，负反馈则预示单纯堆量的路径终将减速——三条回路的相对强度决定体系走势，后文的协同优化情景实质是强化R1、R2，更新滞后情景实质是放任B1与参数老化占据主导。</w:t>
      </w:r>
    </w:p>
    <w:p>
      <w:pPr>
        <w:keepNext/>
        <w:spacing w:before="160" w:after="120" w:line="360" w:lineRule="auto"/>
        <w:outlineLvl w:val="2"/>
      </w:pPr>
      <w:r>
        <w:rPr>
          <w:rFonts w:ascii="黑体" w:hAnsi="黑体" w:eastAsia="黑体"/>
          <w:sz w:val="24"/>
        </w:rPr>
        <w:t>10.2.2  存量—流量结构与模型方程</w:t>
      </w:r>
    </w:p>
    <w:p>
      <w:pPr>
        <w:spacing w:line="360" w:lineRule="auto" w:after="0"/>
        <w:ind w:firstLineChars="200" w:firstLine="480"/>
        <w:jc w:val="both"/>
      </w:pPr>
      <w:r>
        <w:rPr>
          <w:rFonts w:ascii="宋体" w:hAnsi="宋体" w:eastAsia="宋体"/>
          <w:sz w:val="24"/>
        </w:rPr>
        <w:t>图10.2将因果回路落实为可计算的存量—流量结构。由图10.2可见，模型以五大功能模块的标准存量为核心状态变量，每一模块的存量由制定流入与淘汰流出共同驱动，模块之间经溢出系数相互连接；技术—政策偏离度作为辅助变量监测参数老化，达到阈值即触发修订，同时作用于流出端（集中废止整合）与质量端（参数刷新）。记第</w:t>
      </w:r>
      <m:oMath>
        <m:r>
          <m:t>k</m:t>
        </m:r>
      </m:oMath>
      <w:r>
        <w:rPr>
          <w:rFonts w:ascii="宋体" w:hAnsi="宋体" w:eastAsia="宋体"/>
          <w:sz w:val="24"/>
        </w:rPr>
        <w:t>类模块（</w:t>
      </w:r>
      <m:oMath>
        <m:r>
          <m:t>k</m:t>
        </m:r>
        <m:r>
          <m:rPr>
            <m:sty m:val="p"/>
          </m:rPr>
          <m:t>=</m:t>
        </m:r>
        <m:r>
          <m:t>1</m:t>
        </m:r>
        <m:r>
          <m:rPr>
            <m:sty m:val="p"/>
          </m:rPr>
          <m:t>,</m:t>
        </m:r>
        <m:r>
          <m:rPr>
            <m:sty m:val="p"/>
          </m:rPr>
          <m:t>…</m:t>
        </m:r>
        <m:r>
          <m:rPr>
            <m:sty m:val="p"/>
          </m:rPr>
          <m:t>,</m:t>
        </m:r>
        <m:r>
          <m:t>5</m:t>
        </m:r>
      </m:oMath>
      <w:r>
        <w:rPr>
          <w:rFonts w:ascii="宋体" w:hAnsi="宋体" w:eastAsia="宋体"/>
          <w:sz w:val="24"/>
        </w:rPr>
        <w:t>，依次为碳排放核算、碳足迹认证、绿色产品、碳吸收、绿色金融）在</w:t>
      </w:r>
      <m:oMath>
        <m:r>
          <m:t>t</m:t>
        </m:r>
      </m:oMath>
      <w:r>
        <w:rPr>
          <w:rFonts w:ascii="宋体" w:hAnsi="宋体" w:eastAsia="宋体"/>
          <w:sz w:val="24"/>
        </w:rPr>
        <w:t>期的标准存量为</w:t>
      </w:r>
      <m:oMath>
        <m:r>
          <m:t>S</m:t>
        </m:r>
        <m:sSub>
          <m:e>
            <m:r>
              <m:t>S</m:t>
            </m:r>
          </m:e>
          <m:sub>
            <m:r>
              <m:t>k</m:t>
            </m:r>
            <m:r>
              <m:t>t</m:t>
            </m:r>
          </m:sub>
        </m:sSub>
      </m:oMath>
      <w:r>
        <w:rPr>
          <w:rFonts w:ascii="宋体" w:hAnsi="宋体" w:eastAsia="宋体"/>
          <w:sz w:val="24"/>
        </w:rPr>
        <w:t>（项），其演化服从存量积分方程：</w:t>
      </w:r>
    </w:p>
    <w:p>
      <w:pPr>
        <w:spacing w:before="120" w:after="40"/>
        <w:jc w:val="center"/>
      </w:pPr>
      <w:r>
        <w:drawing>
          <wp:inline xmlns:a="http://schemas.openxmlformats.org/drawingml/2006/main" xmlns:pic="http://schemas.openxmlformats.org/drawingml/2006/picture">
            <wp:extent cx="4860000" cy="3309614"/>
            <wp:docPr id="33" name="Picture 33"/>
            <wp:cNvGraphicFramePr>
              <a:graphicFrameLocks noChangeAspect="1"/>
            </wp:cNvGraphicFramePr>
            <a:graphic>
              <a:graphicData uri="http://schemas.openxmlformats.org/drawingml/2006/picture">
                <pic:pic>
                  <pic:nvPicPr>
                    <pic:cNvPr id="0" name="fig10_2.png"/>
                    <pic:cNvPicPr/>
                  </pic:nvPicPr>
                  <pic:blipFill>
                    <a:blip r:embed="rId41"/>
                    <a:stretch>
                      <a:fillRect/>
                    </a:stretch>
                  </pic:blipFill>
                  <pic:spPr>
                    <a:xfrm>
                      <a:off x="0" y="0"/>
                      <a:ext cx="4860000" cy="3309614"/>
                    </a:xfrm>
                    <a:prstGeom prst="rect"/>
                  </pic:spPr>
                </pic:pic>
              </a:graphicData>
            </a:graphic>
          </wp:inline>
        </w:drawing>
      </w:r>
    </w:p>
    <w:p>
      <w:pPr>
        <w:keepNext w:val="0"/>
        <w:spacing w:after="200"/>
        <w:jc w:val="center"/>
      </w:pPr>
      <w:r>
        <w:rPr>
          <w:rFonts w:ascii="黑体" w:hAnsi="黑体" w:eastAsia="黑体"/>
          <w:sz w:val="21"/>
        </w:rPr>
        <w:t>图10.2  标准存量—流量结构图</w:t>
      </w:r>
    </w:p>
    <w:p>
      <w:pPr>
        <w:tabs>
          <w:tab w:pos="4252" w:val="center"/>
          <w:tab w:pos="8504" w:val="right"/>
        </w:tabs>
        <w:spacing w:line="360" w:lineRule="auto" w:before="80" w:after="80"/>
      </w:pPr>
      <w:r>
        <w:tab/>
      </w:r>
      <m:oMath>
        <m:f>
          <m:fPr>
            <m:type m:val="bar"/>
          </m:fPr>
          <m:num>
            <m:r>
              <m:rPr>
                <m:sty m:val="p"/>
              </m:rPr>
              <m:t>d</m:t>
            </m:r>
            <m:r>
              <m:t>S</m:t>
            </m:r>
            <m:sSub>
              <m:e>
                <m:r>
                  <m:t>S</m:t>
                </m:r>
              </m:e>
              <m:sub>
                <m:r>
                  <m:t>k</m:t>
                </m:r>
                <m:r>
                  <m:t>t</m:t>
                </m:r>
              </m:sub>
            </m:sSub>
          </m:num>
          <m:den>
            <m:r>
              <m:rPr>
                <m:sty m:val="p"/>
              </m:rPr>
              <m:t>d</m:t>
            </m:r>
            <m:r>
              <m:t>t</m:t>
            </m:r>
          </m:den>
        </m:f>
        <m:r>
          <m:rPr>
            <m:sty m:val="p"/>
          </m:rPr>
          <m:t>=</m:t>
        </m:r>
        <m:r>
          <m:t>S</m:t>
        </m:r>
        <m:sSub>
          <m:e>
            <m:r>
              <m:t>I</m:t>
            </m:r>
          </m:e>
          <m:sub>
            <m:r>
              <m:t>k</m:t>
            </m:r>
            <m:r>
              <m:t>t</m:t>
            </m:r>
          </m:sub>
        </m:sSub>
        <m:r>
          <m:rPr>
            <m:sty m:val="p"/>
          </m:rPr>
          <m:t>−</m:t>
        </m:r>
        <m:r>
          <m:t>S</m:t>
        </m:r>
        <m:sSub>
          <m:e>
            <m:r>
              <m:t>O</m:t>
            </m:r>
          </m:e>
          <m:sub>
            <m:r>
              <m:t>k</m:t>
            </m:r>
            <m:r>
              <m:t>t</m:t>
            </m:r>
          </m:sub>
        </m:sSub>
        <m:r>
          <m:rPr>
            <m:sty m:val="p"/>
          </m:rPr>
          <m:t>+</m:t>
        </m:r>
        <m:nary>
          <m:naryPr>
            <m:chr m:val="∑"/>
            <m:limLoc m:val="undOvr"/>
            <m:subHide m:val="off"/>
            <m:supHide m:val="on"/>
          </m:naryPr>
          <m:sub>
            <m:r>
              <m:t>j</m:t>
            </m:r>
            <m:r>
              <m:rPr>
                <m:sty m:val="p"/>
              </m:rPr>
              <m:t>≠</m:t>
            </m:r>
            <m:r>
              <m:t>k</m:t>
            </m:r>
          </m:sub>
          <m:sup>
            <m:r>
              <m:t>​</m:t>
            </m:r>
          </m:sup>
          <m:e>
            <m:sSub>
              <m:e>
                <m:r>
                  <m:t>ϕ</m:t>
                </m:r>
              </m:e>
              <m:sub>
                <m:r>
                  <m:t>k</m:t>
                </m:r>
                <m:r>
                  <m:t>j</m:t>
                </m:r>
              </m:sub>
            </m:sSub>
          </m:e>
        </m:nary>
        <m:r>
          <m:t> </m:t>
        </m:r>
        <m:r>
          <m:t>S</m:t>
        </m:r>
        <m:sSub>
          <m:e>
            <m:r>
              <m:t>S</m:t>
            </m:r>
          </m:e>
          <m:sub>
            <m:r>
              <m:t>j</m:t>
            </m:r>
            <m:r>
              <m:t>t</m:t>
            </m:r>
          </m:sub>
        </m:sSub>
      </m:oMath>
      <w:r>
        <w:tab/>
      </w:r>
      <w:r>
        <w:rPr>
          <w:rFonts w:ascii="Times New Roman" w:hAnsi="Times New Roman" w:eastAsia="宋体"/>
          <w:sz w:val="24"/>
        </w:rPr>
        <w:t>(10-1)</w:t>
      </w:r>
    </w:p>
    <w:p>
      <w:pPr>
        <w:spacing w:line="360" w:lineRule="auto" w:after="0"/>
        <w:jc w:val="both"/>
      </w:pPr>
      <w:r>
        <w:rPr>
          <w:rFonts w:ascii="宋体" w:hAnsi="宋体" w:eastAsia="宋体"/>
          <w:sz w:val="24"/>
        </w:rPr>
        <w:t>其中，</w:t>
      </w:r>
      <m:oMath>
        <m:r>
          <m:t>S</m:t>
        </m:r>
        <m:sSub>
          <m:e>
            <m:r>
              <m:t>I</m:t>
            </m:r>
          </m:e>
          <m:sub>
            <m:r>
              <m:t>k</m:t>
            </m:r>
            <m:r>
              <m:t>t</m:t>
            </m:r>
          </m:sub>
        </m:sSub>
      </m:oMath>
      <w:r>
        <w:rPr>
          <w:rFonts w:ascii="宋体" w:hAnsi="宋体" w:eastAsia="宋体"/>
          <w:sz w:val="24"/>
        </w:rPr>
        <w:t>为标准增量（新立项发布的流入速率），</w:t>
      </w:r>
      <m:oMath>
        <m:r>
          <m:t>S</m:t>
        </m:r>
        <m:sSub>
          <m:e>
            <m:r>
              <m:t>O</m:t>
            </m:r>
          </m:e>
          <m:sub>
            <m:r>
              <m:t>k</m:t>
            </m:r>
            <m:r>
              <m:t>t</m:t>
            </m:r>
          </m:sub>
        </m:sSub>
      </m:oMath>
      <w:r>
        <w:rPr>
          <w:rFonts w:ascii="宋体" w:hAnsi="宋体" w:eastAsia="宋体"/>
          <w:sz w:val="24"/>
        </w:rPr>
        <w:t>为标准淘汰（废止与整合的流出速率），</w:t>
      </w:r>
      <m:oMath>
        <m:sSub>
          <m:e>
            <m:r>
              <m:t>ϕ</m:t>
            </m:r>
          </m:e>
          <m:sub>
            <m:r>
              <m:t>k</m:t>
            </m:r>
            <m:r>
              <m:t>j</m:t>
            </m:r>
          </m:sub>
        </m:sSub>
      </m:oMath>
      <w:r>
        <w:rPr>
          <w:rFonts w:ascii="宋体" w:hAnsi="宋体" w:eastAsia="宋体"/>
          <w:sz w:val="24"/>
        </w:rPr>
        <w:t>为第</w:t>
      </w:r>
      <m:oMath>
        <m:r>
          <m:t>j</m:t>
        </m:r>
      </m:oMath>
      <w:r>
        <w:rPr>
          <w:rFonts w:ascii="宋体" w:hAnsi="宋体" w:eastAsia="宋体"/>
          <w:sz w:val="24"/>
        </w:rPr>
        <w:t>模块存量对第</w:t>
      </w:r>
      <m:oMath>
        <m:r>
          <m:t>k</m:t>
        </m:r>
      </m:oMath>
      <w:r>
        <w:rPr>
          <w:rFonts w:ascii="宋体" w:hAnsi="宋体" w:eastAsia="宋体"/>
          <w:sz w:val="24"/>
        </w:rPr>
        <w:t>模块的溢出系数，三者共同决定存量的净变化。</w:t>
      </w:r>
    </w:p>
    <w:p>
      <w:pPr>
        <w:spacing w:line="360" w:lineRule="auto" w:after="0"/>
        <w:ind w:firstLineChars="200" w:firstLine="480"/>
        <w:jc w:val="both"/>
      </w:pPr>
      <w:r>
        <w:rPr>
          <w:rFonts w:ascii="宋体" w:hAnsi="宋体" w:eastAsia="宋体"/>
          <w:sz w:val="24"/>
        </w:rPr>
        <w:t>式(10-1)右端第三项是模型刻画协同效应的关键。溢出项以“等价新增条目”计量：他模块存量通过方法学共享、条款引用与数据底座复用，降低本模块标准的单位制定成本、缩短起草周期，其效果折算为本模块的等效流入——例如碳核算通则类标准的每一次充实，都使碳足迹、绿色金融领域“站在既有条款之上”起草新标准成为可能。溢出为零时，五个模块退化为相互独立的积累过程；溢出通道全面打通时，任一模块的进步都会经网络扩散为全系统的进步。标准增量采用供需缺口调整设定：</w:t>
      </w:r>
    </w:p>
    <w:p>
      <w:pPr>
        <w:tabs>
          <w:tab w:pos="4252" w:val="center"/>
          <w:tab w:pos="8504" w:val="right"/>
        </w:tabs>
        <w:spacing w:line="360" w:lineRule="auto" w:before="80" w:after="80"/>
      </w:pPr>
      <w:r>
        <w:tab/>
      </w:r>
      <m:oMath>
        <m:r>
          <m:t>S</m:t>
        </m:r>
        <m:sSub>
          <m:e>
            <m:r>
              <m:t>I</m:t>
            </m:r>
          </m:e>
          <m:sub>
            <m:r>
              <m:t>k</m:t>
            </m:r>
            <m:r>
              <m:t>t</m:t>
            </m:r>
          </m:sub>
        </m:sSub>
        <m:r>
          <m:rPr>
            <m:sty m:val="p"/>
          </m:rPr>
          <m:t>=</m:t>
        </m:r>
        <m:sSub>
          <m:e>
            <m:r>
              <m:t>μ</m:t>
            </m:r>
          </m:e>
          <m:sub>
            <m:r>
              <m:t>k</m:t>
            </m:r>
          </m:sub>
        </m:sSub>
        <m:r>
          <m:t> </m:t>
        </m:r>
        <m:r>
          <m:rPr>
            <m:sty m:val="p"/>
          </m:rPr>
          <m:t>max</m:t>
        </m:r>
        <m:d>
          <m:dPr>
            <m:begChr m:val="{"/>
            <m:sepChr m:val=""/>
            <m:endChr m:val="}"/>
            <m:grow/>
          </m:dPr>
          <m:e>
            <m:sSub>
              <m:e>
                <m:r>
                  <m:t>D</m:t>
                </m:r>
              </m:e>
              <m:sub>
                <m:r>
                  <m:t>k</m:t>
                </m:r>
                <m:r>
                  <m:t>t</m:t>
                </m:r>
              </m:sub>
            </m:sSub>
            <m:r>
              <m:rPr>
                <m:sty m:val="p"/>
              </m:rPr>
              <m:t>−</m:t>
            </m:r>
            <m:r>
              <m:t>S</m:t>
            </m:r>
            <m:sSub>
              <m:e>
                <m:r>
                  <m:t>S</m:t>
                </m:r>
              </m:e>
              <m:sub>
                <m:r>
                  <m:t>k</m:t>
                </m:r>
                <m:r>
                  <m:t>t</m:t>
                </m:r>
              </m:sub>
            </m:sSub>
            <m:r>
              <m:rPr>
                <m:sty m:val="p"/>
              </m:rPr>
              <m:t>,</m:t>
            </m:r>
            <m:r>
              <m:t> </m:t>
            </m:r>
            <m:r>
              <m:t>0</m:t>
            </m:r>
          </m:e>
        </m:d>
      </m:oMath>
      <w:r>
        <w:tab/>
      </w:r>
      <w:r>
        <w:rPr>
          <w:rFonts w:ascii="Times New Roman" w:hAnsi="Times New Roman" w:eastAsia="宋体"/>
          <w:sz w:val="24"/>
        </w:rPr>
        <w:t>(10-2)</w:t>
      </w:r>
    </w:p>
    <w:p>
      <w:pPr>
        <w:spacing w:line="360" w:lineRule="auto" w:after="0"/>
        <w:jc w:val="both"/>
      </w:pPr>
      <w:r>
        <w:rPr>
          <w:rFonts w:ascii="宋体" w:hAnsi="宋体" w:eastAsia="宋体"/>
          <w:sz w:val="24"/>
        </w:rPr>
        <w:t>其中，</w:t>
      </w:r>
      <m:oMath>
        <m:sSub>
          <m:e>
            <m:r>
              <m:t>D</m:t>
            </m:r>
          </m:e>
          <m:sub>
            <m:r>
              <m:t>k</m:t>
            </m:r>
            <m:r>
              <m:t>t</m:t>
            </m:r>
          </m:sub>
        </m:sSub>
      </m:oMath>
      <w:r>
        <w:rPr>
          <w:rFonts w:ascii="宋体" w:hAnsi="宋体" w:eastAsia="宋体"/>
          <w:sz w:val="24"/>
        </w:rPr>
        <w:t>为第</w:t>
      </w:r>
      <m:oMath>
        <m:r>
          <m:t>k</m:t>
        </m:r>
      </m:oMath>
      <w:r>
        <w:rPr>
          <w:rFonts w:ascii="宋体" w:hAnsi="宋体" w:eastAsia="宋体"/>
          <w:sz w:val="24"/>
        </w:rPr>
        <w:t>模块的需求基准存量（项），由第8章需求模型的行业加总外推得到；</w:t>
      </w:r>
      <m:oMath>
        <m:sSub>
          <m:e>
            <m:r>
              <m:t>μ</m:t>
            </m:r>
          </m:e>
          <m:sub>
            <m:r>
              <m:t>k</m:t>
            </m:r>
          </m:sub>
        </m:sSub>
      </m:oMath>
      <w:r>
        <w:rPr>
          <w:rFonts w:ascii="宋体" w:hAnsi="宋体" w:eastAsia="宋体"/>
          <w:sz w:val="24"/>
        </w:rPr>
        <w:t>为缺口调整速度，反映制定资源投入与立项、起草、审查程序的效率。</w:t>
      </w:r>
    </w:p>
    <w:p>
      <w:pPr>
        <w:spacing w:line="360" w:lineRule="auto" w:after="0"/>
        <w:ind w:firstLineChars="200" w:firstLine="480"/>
        <w:jc w:val="both"/>
      </w:pPr>
      <w:r>
        <w:rPr>
          <w:rFonts w:ascii="宋体" w:hAnsi="宋体" w:eastAsia="宋体"/>
          <w:sz w:val="24"/>
        </w:rPr>
        <w:t>式(10-2)将第8章的静态识别动态化：SSDMI度量的短缺性错配即</w:t>
      </w:r>
      <m:oMath>
        <m:sSub>
          <m:e>
            <m:r>
              <m:t>D</m:t>
            </m:r>
          </m:e>
          <m:sub>
            <m:r>
              <m:t>k</m:t>
            </m:r>
            <m:r>
              <m:t>t</m:t>
            </m:r>
          </m:sub>
        </m:sSub>
        <m:r>
          <m:rPr>
            <m:sty m:val="p"/>
          </m:rPr>
          <m:t>&gt;</m:t>
        </m:r>
        <m:r>
          <m:t>S</m:t>
        </m:r>
        <m:sSub>
          <m:e>
            <m:r>
              <m:t>S</m:t>
            </m:r>
          </m:e>
          <m:sub>
            <m:r>
              <m:t>k</m:t>
            </m:r>
            <m:r>
              <m:t>t</m:t>
            </m:r>
          </m:sub>
        </m:sSub>
      </m:oMath>
      <w:r>
        <w:rPr>
          <w:rFonts w:ascii="宋体" w:hAnsi="宋体" w:eastAsia="宋体"/>
          <w:sz w:val="24"/>
        </w:rPr>
        <w:t>的相对缺口，本章令标准供给以速度</w:t>
      </w:r>
      <m:oMath>
        <m:sSub>
          <m:e>
            <m:r>
              <m:t>μ</m:t>
            </m:r>
          </m:e>
          <m:sub>
            <m:r>
              <m:t>k</m:t>
            </m:r>
          </m:sub>
        </m:sSub>
      </m:oMath>
      <w:r>
        <w:rPr>
          <w:rFonts w:ascii="宋体" w:hAnsi="宋体" w:eastAsia="宋体"/>
          <w:sz w:val="24"/>
        </w:rPr>
        <w:t>向需求基准收敛，缺口越大、制定动员越强，符合“急用先行”的立项实践。调整速度</w:t>
      </w:r>
      <m:oMath>
        <m:sSub>
          <m:e>
            <m:r>
              <m:t>μ</m:t>
            </m:r>
          </m:e>
          <m:sub>
            <m:r>
              <m:t>k</m:t>
            </m:r>
          </m:sub>
        </m:sSub>
      </m:oMath>
      <w:r>
        <w:rPr>
          <w:rFonts w:ascii="宋体" w:hAnsi="宋体" w:eastAsia="宋体"/>
          <w:sz w:val="24"/>
        </w:rPr>
        <w:t>并非常数：负反馈回路B1使其随维护负担上升而内生下降——存量越大，复审修订占用的资源越多，可用于新增制定的资源越少。标准淘汰包含常规与触发两个部分：</w:t>
      </w:r>
    </w:p>
    <w:p>
      <w:pPr>
        <w:tabs>
          <w:tab w:pos="4252" w:val="center"/>
          <w:tab w:pos="8504" w:val="right"/>
        </w:tabs>
        <w:spacing w:line="360" w:lineRule="auto" w:before="80" w:after="80"/>
      </w:pPr>
      <w:r>
        <w:tab/>
      </w:r>
      <m:oMath>
        <m:r>
          <m:t>S</m:t>
        </m:r>
        <m:sSub>
          <m:e>
            <m:r>
              <m:t>O</m:t>
            </m:r>
          </m:e>
          <m:sub>
            <m:r>
              <m:t>k</m:t>
            </m:r>
            <m:r>
              <m:t>t</m:t>
            </m:r>
          </m:sub>
        </m:sSub>
        <m:r>
          <m:rPr>
            <m:sty m:val="p"/>
          </m:rPr>
          <m:t>=</m:t>
        </m:r>
        <m:sSub>
          <m:e>
            <m:r>
              <m:t>δ</m:t>
            </m:r>
          </m:e>
          <m:sub>
            <m:r>
              <m:t>k</m:t>
            </m:r>
          </m:sub>
        </m:sSub>
        <m:r>
          <m:t> </m:t>
        </m:r>
        <m:r>
          <m:t>S</m:t>
        </m:r>
        <m:sSub>
          <m:e>
            <m:r>
              <m:t>S</m:t>
            </m:r>
          </m:e>
          <m:sub>
            <m:r>
              <m:t>k</m:t>
            </m:r>
            <m:r>
              <m:t>t</m:t>
            </m:r>
          </m:sub>
        </m:sSub>
        <m:r>
          <m:rPr>
            <m:sty m:val="p"/>
          </m:rPr>
          <m:t>+</m:t>
        </m:r>
        <m:sSub>
          <m:e>
            <m:r>
              <m:t>χ</m:t>
            </m:r>
          </m:e>
          <m:sub>
            <m:r>
              <m:t>k</m:t>
            </m:r>
          </m:sub>
        </m:sSub>
        <m:r>
          <m:t> </m:t>
        </m:r>
        <m:r>
          <m:t>S</m:t>
        </m:r>
        <m:sSub>
          <m:e>
            <m:r>
              <m:t>S</m:t>
            </m:r>
          </m:e>
          <m:sub>
            <m:r>
              <m:t>k</m:t>
            </m:r>
            <m:r>
              <m:t>t</m:t>
            </m:r>
          </m:sub>
        </m:sSub>
        <m:r>
          <m:t> </m:t>
        </m:r>
        <m:r>
          <m:rPr>
            <m:sty m:val="b"/>
          </m:rPr>
          <m:t>1</m:t>
        </m:r>
        <m:d>
          <m:dPr>
            <m:begChr m:val="{"/>
            <m:sepChr m:val=""/>
            <m:endChr m:val="}"/>
            <m:grow/>
          </m:dPr>
          <m:e>
            <m:r>
              <m:t>T</m:t>
            </m:r>
            <m:r>
              <m:t>P</m:t>
            </m:r>
            <m:sSub>
              <m:e>
                <m:r>
                  <m:t>D</m:t>
                </m:r>
              </m:e>
              <m:sub>
                <m:r>
                  <m:t>k</m:t>
                </m:r>
                <m:r>
                  <m:t>t</m:t>
                </m:r>
              </m:sub>
            </m:sSub>
            <m:r>
              <m:rPr>
                <m:sty m:val="p"/>
              </m:rPr>
              <m:t>≥</m:t>
            </m:r>
            <m:r>
              <m:t>T</m:t>
            </m:r>
            <m:r>
              <m:t>P</m:t>
            </m:r>
            <m:sSup>
              <m:e>
                <m:r>
                  <m:t>D</m:t>
                </m:r>
              </m:e>
              <m:sup>
                <m:r>
                  <m:rPr>
                    <m:sty m:val="p"/>
                  </m:rPr>
                  <m:t>*</m:t>
                </m:r>
              </m:sup>
            </m:sSup>
          </m:e>
        </m:d>
      </m:oMath>
      <w:r>
        <w:tab/>
      </w:r>
      <w:r>
        <w:rPr>
          <w:rFonts w:ascii="Times New Roman" w:hAnsi="Times New Roman" w:eastAsia="宋体"/>
          <w:sz w:val="24"/>
        </w:rPr>
        <w:t>(10-3)</w:t>
      </w:r>
    </w:p>
    <w:p>
      <w:pPr>
        <w:spacing w:line="360" w:lineRule="auto" w:after="0"/>
        <w:jc w:val="both"/>
      </w:pPr>
      <w:r>
        <w:rPr>
          <w:rFonts w:ascii="宋体" w:hAnsi="宋体" w:eastAsia="宋体"/>
          <w:sz w:val="24"/>
        </w:rPr>
        <w:t>其中，</w:t>
      </w:r>
      <m:oMath>
        <m:sSub>
          <m:e>
            <m:r>
              <m:t>δ</m:t>
            </m:r>
          </m:e>
          <m:sub>
            <m:r>
              <m:t>k</m:t>
            </m:r>
          </m:sub>
        </m:sSub>
      </m:oMath>
      <w:r>
        <w:rPr>
          <w:rFonts w:ascii="宋体" w:hAnsi="宋体" w:eastAsia="宋体"/>
          <w:sz w:val="24"/>
        </w:rPr>
        <w:t>为自然老化淘汰率，刻画标准因技术过时、对象消失而常规废止的速率；</w:t>
      </w:r>
      <m:oMath>
        <m:sSub>
          <m:e>
            <m:r>
              <m:t>χ</m:t>
            </m:r>
          </m:e>
          <m:sub>
            <m:r>
              <m:t>k</m:t>
            </m:r>
          </m:sub>
        </m:sSub>
      </m:oMath>
      <w:r>
        <w:rPr>
          <w:rFonts w:ascii="宋体" w:hAnsi="宋体" w:eastAsia="宋体"/>
          <w:sz w:val="24"/>
        </w:rPr>
        <w:t>为触发修订时集中废止与整合的比例；</w:t>
      </w:r>
      <m:oMath>
        <m:r>
          <m:rPr>
            <m:sty m:val="b"/>
          </m:rPr>
          <m:t>1</m:t>
        </m:r>
        <m:r>
          <m:rPr>
            <m:sty m:val="p"/>
          </m:rPr>
          <m:t>{</m:t>
        </m:r>
        <m:r>
          <m:rPr>
            <m:sty m:val="p"/>
          </m:rPr>
          <m:t>⋅</m:t>
        </m:r>
        <m:r>
          <m:rPr>
            <m:sty m:val="p"/>
          </m:rPr>
          <m:t>}</m:t>
        </m:r>
      </m:oMath>
      <w:r>
        <w:rPr>
          <w:rFonts w:ascii="宋体" w:hAnsi="宋体" w:eastAsia="宋体"/>
          <w:sz w:val="24"/>
        </w:rPr>
        <w:t>为指示函数，技术—政策偏离度</w:t>
      </w:r>
      <m:oMath>
        <m:r>
          <m:t>T</m:t>
        </m:r>
        <m:r>
          <m:t>P</m:t>
        </m:r>
        <m:sSub>
          <m:e>
            <m:r>
              <m:t>D</m:t>
            </m:r>
          </m:e>
          <m:sub>
            <m:r>
              <m:t>k</m:t>
            </m:r>
            <m:r>
              <m:t>t</m:t>
            </m:r>
          </m:sub>
        </m:sSub>
      </m:oMath>
      <w:r>
        <w:rPr>
          <w:rFonts w:ascii="宋体" w:hAnsi="宋体" w:eastAsia="宋体"/>
          <w:sz w:val="24"/>
        </w:rPr>
        <w:t>及触发阈值</w:t>
      </w:r>
      <m:oMath>
        <m:r>
          <m:t>T</m:t>
        </m:r>
        <m:r>
          <m:t>P</m:t>
        </m:r>
        <m:sSup>
          <m:e>
            <m:r>
              <m:t>D</m:t>
            </m:r>
          </m:e>
          <m:sup>
            <m:r>
              <m:rPr>
                <m:sty m:val="p"/>
              </m:rPr>
              <m:t>*</m:t>
            </m:r>
          </m:sup>
        </m:sSup>
      </m:oMath>
      <w:r>
        <w:rPr>
          <w:rFonts w:ascii="宋体" w:hAnsi="宋体" w:eastAsia="宋体"/>
          <w:sz w:val="24"/>
        </w:rPr>
        <w:t>的定义与确定详见10.4节。</w:t>
      </w:r>
    </w:p>
    <w:p>
      <w:pPr>
        <w:spacing w:line="360" w:lineRule="auto" w:after="0"/>
        <w:ind w:firstLineChars="200" w:firstLine="480"/>
        <w:jc w:val="both"/>
      </w:pPr>
      <w:r>
        <w:rPr>
          <w:rFonts w:ascii="宋体" w:hAnsi="宋体" w:eastAsia="宋体"/>
          <w:sz w:val="24"/>
        </w:rPr>
        <w:t>式(10-3)区分了两类性质不同的流出。常规废止是存量的“新陈代谢”，速率与存量成比例；触发式集中清理则是更新机制的组成部分——当模块参数整体滞后达到阈值时，修订不仅刷新保留条目的技术参数，还会将碎片化、重复化的条目整合进系列标准或直接废止，故在流量上表现为一次性的集中流出。需要强调，触发修订对体系是净收益：流出的同时参数刷新，使效能指数中的时效性成分跃升，这一联动由10.4节的式(10-7)刻画。模型刻画协同的溢出矩阵设定为：</w:t>
      </w:r>
    </w:p>
    <w:p>
      <w:pPr>
        <w:tabs>
          <w:tab w:pos="4252" w:val="center"/>
          <w:tab w:pos="8504" w:val="right"/>
        </w:tabs>
        <w:spacing w:line="360" w:lineRule="auto" w:before="80" w:after="80"/>
      </w:pPr>
      <w:r>
        <w:tab/>
      </w:r>
      <m:oMath>
        <m:sSub>
          <m:e>
            <m:r>
              <m:t>ϕ</m:t>
            </m:r>
          </m:e>
          <m:sub>
            <m:r>
              <m:t>k</m:t>
            </m:r>
            <m:r>
              <m:t>j</m:t>
            </m:r>
          </m:sub>
        </m:sSub>
        <m:r>
          <m:rPr>
            <m:sty m:val="p"/>
          </m:rPr>
          <m:t>=</m:t>
        </m:r>
        <m:r>
          <m:t>κ</m:t>
        </m:r>
        <m:r>
          <m:t> </m:t>
        </m:r>
        <m:r>
          <m:rPr>
            <m:sty m:val="p"/>
          </m:rPr>
          <m:t>max</m:t>
        </m:r>
        <m:d>
          <m:dPr>
            <m:begChr m:val="{"/>
            <m:sepChr m:val=""/>
            <m:endChr m:val="}"/>
            <m:grow/>
          </m:dPr>
          <m:e>
            <m:sSub>
              <m:e>
                <m:r>
                  <m:t>a</m:t>
                </m:r>
              </m:e>
              <m:sub>
                <m:r>
                  <m:t>k</m:t>
                </m:r>
                <m:r>
                  <m:t>j</m:t>
                </m:r>
              </m:sub>
            </m:sSub>
            <m:r>
              <m:rPr>
                <m:sty m:val="p"/>
              </m:rPr>
              <m:t>,</m:t>
            </m:r>
            <m:r>
              <m:t> </m:t>
            </m:r>
            <m:r>
              <m:t>0</m:t>
            </m:r>
          </m:e>
        </m:d>
        <m:r>
          <m:rPr>
            <m:sty m:val="p"/>
          </m:rPr>
          <m:t>,</m:t>
        </m:r>
        <m:r>
          <m:t>  </m:t>
        </m:r>
        <m:r>
          <m:t>k</m:t>
        </m:r>
        <m:r>
          <m:rPr>
            <m:sty m:val="p"/>
          </m:rPr>
          <m:t>≠</m:t>
        </m:r>
        <m:r>
          <m:t>j</m:t>
        </m:r>
        <m:r>
          <m:rPr>
            <m:sty m:val="p"/>
          </m:rPr>
          <m:t>;</m:t>
        </m:r>
        <m:r>
          <m:t>  </m:t>
        </m:r>
        <m:sSub>
          <m:e>
            <m:r>
              <m:t>ϕ</m:t>
            </m:r>
          </m:e>
          <m:sub>
            <m:r>
              <m:t>k</m:t>
            </m:r>
            <m:r>
              <m:t>k</m:t>
            </m:r>
          </m:sub>
        </m:sSub>
        <m:r>
          <m:rPr>
            <m:sty m:val="p"/>
          </m:rPr>
          <m:t>=</m:t>
        </m:r>
        <m:r>
          <m:t>0</m:t>
        </m:r>
      </m:oMath>
      <w:r>
        <w:tab/>
      </w:r>
      <w:r>
        <w:rPr>
          <w:rFonts w:ascii="Times New Roman" w:hAnsi="Times New Roman" w:eastAsia="宋体"/>
          <w:sz w:val="24"/>
        </w:rPr>
        <w:t>(10-4)</w:t>
      </w:r>
    </w:p>
    <w:p>
      <w:pPr>
        <w:spacing w:line="360" w:lineRule="auto" w:after="0"/>
        <w:jc w:val="both"/>
      </w:pPr>
      <w:r>
        <w:rPr>
          <w:rFonts w:ascii="宋体" w:hAnsi="宋体" w:eastAsia="宋体"/>
          <w:sz w:val="24"/>
        </w:rPr>
        <w:t>其中，</w:t>
      </w:r>
      <m:oMath>
        <m:sSub>
          <m:e>
            <m:r>
              <m:t>a</m:t>
            </m:r>
          </m:e>
          <m:sub>
            <m:r>
              <m:t>k</m:t>
            </m:r>
            <m:r>
              <m:t>j</m:t>
            </m:r>
          </m:sub>
        </m:sSub>
      </m:oMath>
      <w:r>
        <w:rPr>
          <w:rFonts w:ascii="宋体" w:hAnsi="宋体" w:eastAsia="宋体"/>
          <w:sz w:val="24"/>
        </w:rPr>
        <w:t>为第5章式(5-1)交互矩阵A的极大似然估计值，</w:t>
      </w:r>
      <m:oMath>
        <m:r>
          <m:t>κ</m:t>
        </m:r>
        <m:r>
          <m:rPr>
            <m:sty m:val="p"/>
          </m:rPr>
          <m:t>=</m:t>
        </m:r>
        <m:r>
          <m:t>0.9</m:t>
        </m:r>
      </m:oMath>
      <w:r>
        <w:rPr>
          <w:rFonts w:ascii="宋体" w:hAnsi="宋体" w:eastAsia="宋体"/>
          <w:sz w:val="24"/>
        </w:rPr>
        <w:t>为折算系数，将指数域的瞬时交互强度折算为存量域的溢出强度。</w:t>
      </w:r>
    </w:p>
    <w:p>
      <w:pPr>
        <w:spacing w:line="360" w:lineRule="auto" w:after="0"/>
        <w:ind w:firstLineChars="200" w:firstLine="480"/>
        <w:jc w:val="both"/>
      </w:pPr>
      <w:r>
        <w:rPr>
          <w:rFonts w:ascii="宋体" w:hAnsi="宋体" w:eastAsia="宋体"/>
          <w:sz w:val="24"/>
        </w:rPr>
        <w:t>式(10-4)的三点设定均有明确依据。其一，只保留A矩阵的正部：互补关系对应存量域的制定成本节约与条款复用，具有明确的溢出含义；唯一的负向交互（绿色产品对碳足迹认证）在第5章未达显著且其经济实质是需求侧的认证市场竞争，在本模型中已由需求基准</w:t>
      </w:r>
      <m:oMath>
        <m:sSub>
          <m:e>
            <m:r>
              <m:t>D</m:t>
            </m:r>
          </m:e>
          <m:sub>
            <m:r>
              <m:t>k</m:t>
            </m:r>
            <m:r>
              <m:t>t</m:t>
            </m:r>
          </m:sub>
        </m:sSub>
      </m:oMath>
      <w:r>
        <w:rPr>
          <w:rFonts w:ascii="宋体" w:hAnsi="宋体" w:eastAsia="宋体"/>
          <w:sz w:val="24"/>
        </w:rPr>
        <w:t>吸收，无须重复设定。其二，折算系数</w:t>
      </w:r>
      <m:oMath>
        <m:r>
          <m:t>κ</m:t>
        </m:r>
        <m:r>
          <m:rPr>
            <m:sty m:val="p"/>
          </m:rPr>
          <m:t>=</m:t>
        </m:r>
        <m:r>
          <m:t>0.9</m:t>
        </m:r>
      </m:oMath>
      <w:r>
        <w:rPr>
          <w:rFonts w:ascii="宋体" w:hAnsi="宋体" w:eastAsia="宋体"/>
          <w:sz w:val="24"/>
        </w:rPr>
        <w:t>对估计值作适度衰减，避免把指数弹性直接等同于存量弹性造成的高估，数值试验表明情景排序对</w:t>
      </w:r>
      <m:oMath>
        <m:r>
          <m:t>κ</m:t>
        </m:r>
      </m:oMath>
      <w:r>
        <w:rPr>
          <w:rFonts w:ascii="宋体" w:hAnsi="宋体" w:eastAsia="宋体"/>
          <w:sz w:val="24"/>
        </w:rPr>
        <w:t>的适度浮动不敏感。其三，对角元置零，因为模块自身的积累与衰减已由</w:t>
      </w:r>
      <m:oMath>
        <m:sSub>
          <m:e>
            <m:r>
              <m:t>μ</m:t>
            </m:r>
          </m:e>
          <m:sub>
            <m:r>
              <m:t>k</m:t>
            </m:r>
          </m:sub>
        </m:sSub>
      </m:oMath>
      <w:r>
        <w:rPr>
          <w:rFonts w:ascii="宋体" w:hAnsi="宋体" w:eastAsia="宋体"/>
          <w:sz w:val="24"/>
        </w:rPr>
        <w:t>、</w:t>
      </w:r>
      <m:oMath>
        <m:sSub>
          <m:e>
            <m:r>
              <m:t>δ</m:t>
            </m:r>
          </m:e>
          <m:sub>
            <m:r>
              <m:t>k</m:t>
            </m:r>
          </m:sub>
        </m:sSub>
      </m:oMath>
      <w:r>
        <w:rPr>
          <w:rFonts w:ascii="宋体" w:hAnsi="宋体" w:eastAsia="宋体"/>
          <w:sz w:val="24"/>
        </w:rPr>
        <w:t>刻画。体系综合效能以数量与质量两个维度合成：</w:t>
      </w:r>
    </w:p>
    <w:p>
      <w:pPr>
        <w:tabs>
          <w:tab w:pos="4252" w:val="center"/>
          <w:tab w:pos="8504" w:val="right"/>
        </w:tabs>
        <w:spacing w:line="360" w:lineRule="auto" w:before="80" w:after="80"/>
      </w:pPr>
      <w:r>
        <w:tab/>
      </w:r>
      <m:oMath>
        <m:sSub>
          <m:e>
            <m:r>
              <m:t>E</m:t>
            </m:r>
          </m:e>
          <m:sub>
            <m:r>
              <m:t>t</m:t>
            </m:r>
          </m:sub>
        </m:sSub>
        <m:r>
          <m:rPr>
            <m:sty m:val="p"/>
          </m:rPr>
          <m:t>=</m:t>
        </m:r>
        <m:nary>
          <m:naryPr>
            <m:chr m:val="∑"/>
            <m:limLoc m:val="undOvr"/>
            <m:subHide m:val="off"/>
            <m:supHide m:val="off"/>
          </m:naryPr>
          <m:sub>
            <m:r>
              <m:t>k</m:t>
            </m:r>
            <m:r>
              <m:rPr>
                <m:sty m:val="p"/>
              </m:rPr>
              <m:t>=</m:t>
            </m:r>
            <m:r>
              <m:t>1</m:t>
            </m:r>
          </m:sub>
          <m:sup>
            <m:r>
              <m:t>5</m:t>
            </m:r>
          </m:sup>
          <m:e>
            <m:sSub>
              <m:e>
                <m:r>
                  <m:t>w</m:t>
                </m:r>
              </m:e>
              <m:sub>
                <m:r>
                  <m:t>k</m:t>
                </m:r>
              </m:sub>
            </m:sSub>
          </m:e>
        </m:nary>
        <m:r>
          <m:t> </m:t>
        </m:r>
        <m:r>
          <m:rPr>
            <m:sty m:val="p"/>
          </m:rPr>
          <m:t>min</m:t>
        </m:r>
        <m:d>
          <m:dPr>
            <m:begChr m:val="{"/>
            <m:sepChr m:val=""/>
            <m:endChr m:val="}"/>
            <m:grow/>
          </m:dPr>
          <m:e>
            <m:f>
              <m:fPr>
                <m:type m:val="bar"/>
              </m:fPr>
              <m:num>
                <m:r>
                  <m:t>S</m:t>
                </m:r>
                <m:sSub>
                  <m:e>
                    <m:r>
                      <m:t>S</m:t>
                    </m:r>
                  </m:e>
                  <m:sub>
                    <m:r>
                      <m:t>k</m:t>
                    </m:r>
                    <m:r>
                      <m:t>t</m:t>
                    </m:r>
                  </m:sub>
                </m:sSub>
              </m:num>
              <m:den>
                <m:sSub>
                  <m:e>
                    <m:r>
                      <m:t>D</m:t>
                    </m:r>
                  </m:e>
                  <m:sub>
                    <m:r>
                      <m:t>k</m:t>
                    </m:r>
                    <m:r>
                      <m:t>t</m:t>
                    </m:r>
                  </m:sub>
                </m:sSub>
              </m:den>
            </m:f>
            <m:r>
              <m:rPr>
                <m:sty m:val="p"/>
              </m:rPr>
              <m:t>,</m:t>
            </m:r>
            <m:r>
              <m:t> </m:t>
            </m:r>
            <m:r>
              <m:t>1</m:t>
            </m:r>
          </m:e>
        </m:d>
        <m:d>
          <m:dPr>
            <m:begChr m:val="("/>
            <m:sepChr m:val=""/>
            <m:endChr m:val=")"/>
            <m:grow/>
          </m:dPr>
          <m:e>
            <m:r>
              <m:t>1</m:t>
            </m:r>
            <m:r>
              <m:rPr>
                <m:sty m:val="p"/>
              </m:rPr>
              <m:t>−</m:t>
            </m:r>
            <m:r>
              <m:t>T</m:t>
            </m:r>
            <m:r>
              <m:t>P</m:t>
            </m:r>
            <m:sSub>
              <m:e>
                <m:r>
                  <m:t>D</m:t>
                </m:r>
              </m:e>
              <m:sub>
                <m:r>
                  <m:t>k</m:t>
                </m:r>
                <m:r>
                  <m:t>t</m:t>
                </m:r>
              </m:sub>
            </m:sSub>
          </m:e>
        </m:d>
      </m:oMath>
      <w:r>
        <w:tab/>
      </w:r>
      <w:r>
        <w:rPr>
          <w:rFonts w:ascii="Times New Roman" w:hAnsi="Times New Roman" w:eastAsia="宋体"/>
          <w:sz w:val="24"/>
        </w:rPr>
        <w:t>(10-5)</w:t>
      </w:r>
    </w:p>
    <w:p>
      <w:pPr>
        <w:spacing w:line="360" w:lineRule="auto" w:after="0"/>
        <w:jc w:val="both"/>
      </w:pPr>
      <w:r>
        <w:rPr>
          <w:rFonts w:ascii="宋体" w:hAnsi="宋体" w:eastAsia="宋体"/>
          <w:sz w:val="24"/>
        </w:rPr>
        <w:t>其中，</w:t>
      </w:r>
      <m:oMath>
        <m:sSub>
          <m:e>
            <m:r>
              <m:t>w</m:t>
            </m:r>
          </m:e>
          <m:sub>
            <m:r>
              <m:t>k</m:t>
            </m:r>
          </m:sub>
        </m:sSub>
      </m:oMath>
      <w:r>
        <w:rPr>
          <w:rFonts w:ascii="宋体" w:hAnsi="宋体" w:eastAsia="宋体"/>
          <w:sz w:val="24"/>
        </w:rPr>
        <w:t>取第9章AHP确定的模块权重（碳排放核算0.286、碳足迹认证0.223、碳吸收0.186、绿色产品0.164、绿色金融0.141），</w:t>
      </w:r>
      <m:oMath>
        <m:r>
          <m:rPr>
            <m:sty m:val="p"/>
          </m:rPr>
          <m:t>min</m:t>
        </m:r>
        <m:r>
          <m:rPr>
            <m:sty m:val="p"/>
          </m:rPr>
          <m:t>{</m:t>
        </m:r>
        <m:r>
          <m:t>S</m:t>
        </m:r>
        <m:sSub>
          <m:e>
            <m:r>
              <m:t>S</m:t>
            </m:r>
          </m:e>
          <m:sub>
            <m:r>
              <m:t>k</m:t>
            </m:r>
            <m:r>
              <m:t>t</m:t>
            </m:r>
          </m:sub>
        </m:sSub>
        <m:r>
          <m:rPr>
            <m:sty m:val="p"/>
          </m:rPr>
          <m:t>/</m:t>
        </m:r>
        <m:sSub>
          <m:e>
            <m:r>
              <m:t>D</m:t>
            </m:r>
          </m:e>
          <m:sub>
            <m:r>
              <m:t>k</m:t>
            </m:r>
            <m:r>
              <m:t>t</m:t>
            </m:r>
          </m:sub>
        </m:sSub>
        <m:r>
          <m:rPr>
            <m:sty m:val="p"/>
          </m:rPr>
          <m:t>,</m:t>
        </m:r>
        <m:r>
          <m:t>1</m:t>
        </m:r>
        <m:r>
          <m:rPr>
            <m:sty m:val="p"/>
          </m:rPr>
          <m:t>}</m:t>
        </m:r>
      </m:oMath>
      <w:r>
        <w:rPr>
          <w:rFonts w:ascii="宋体" w:hAnsi="宋体" w:eastAsia="宋体"/>
          <w:sz w:val="24"/>
        </w:rPr>
        <w:t>为覆盖充分性（存量对需求基准的满足程度，封顶于1以剔除冗余堆量），</w:t>
      </w:r>
      <m:oMath>
        <m:r>
          <m:t>1</m:t>
        </m:r>
        <m:r>
          <m:rPr>
            <m:sty m:val="p"/>
          </m:rPr>
          <m:t>−</m:t>
        </m:r>
        <m:r>
          <m:t>T</m:t>
        </m:r>
        <m:r>
          <m:t>P</m:t>
        </m:r>
        <m:sSub>
          <m:e>
            <m:r>
              <m:t>D</m:t>
            </m:r>
          </m:e>
          <m:sub>
            <m:r>
              <m:t>k</m:t>
            </m:r>
            <m:r>
              <m:t>t</m:t>
            </m:r>
          </m:sub>
        </m:sSub>
      </m:oMath>
      <w:r>
        <w:rPr>
          <w:rFonts w:ascii="宋体" w:hAnsi="宋体" w:eastAsia="宋体"/>
          <w:sz w:val="24"/>
        </w:rPr>
        <w:t>为参数时效性。</w:t>
      </w:r>
    </w:p>
    <w:p>
      <w:pPr>
        <w:spacing w:line="360" w:lineRule="auto" w:after="0"/>
        <w:ind w:firstLineChars="200" w:firstLine="480"/>
        <w:jc w:val="both"/>
      </w:pPr>
      <w:r>
        <w:rPr>
          <w:rFonts w:ascii="宋体" w:hAnsi="宋体" w:eastAsia="宋体"/>
          <w:sz w:val="24"/>
        </w:rPr>
        <w:t>式(10-5)的构造思想是数量与质量并重：只扩存量而不更新参数，时效性因子会拖住效能；只刷新参数而覆盖不足，充分性因子同样受限。这一设定直接刻画了本章的中心命题——协同决定“有多少、结构如何”，更新决定“新不新、能不能用”，体系效能是二者的乘积式合成。2025年效能校准值为0.52，与第4章识别的结构性失衡（碳吸收缺位、市场机制类标准不足）和10.1节的参数滞后相互印证：存量已具规模，但结构与时效两端均有明显折损。</w:t>
      </w:r>
    </w:p>
    <w:p>
      <w:pPr>
        <w:keepNext/>
        <w:spacing w:before="160" w:after="120" w:line="360" w:lineRule="auto"/>
        <w:outlineLvl w:val="2"/>
      </w:pPr>
      <w:r>
        <w:rPr>
          <w:rFonts w:ascii="黑体" w:hAnsi="黑体" w:eastAsia="黑体"/>
          <w:sz w:val="24"/>
        </w:rPr>
        <w:t>10.2.3  参数汇总与模型检验</w:t>
      </w:r>
    </w:p>
    <w:p>
      <w:pPr>
        <w:spacing w:line="360" w:lineRule="auto" w:after="0"/>
        <w:ind w:firstLineChars="200" w:firstLine="480"/>
        <w:jc w:val="both"/>
      </w:pPr>
      <w:r>
        <w:rPr>
          <w:rFonts w:ascii="宋体" w:hAnsi="宋体" w:eastAsia="宋体"/>
          <w:sz w:val="24"/>
        </w:rPr>
        <w:t>表10.1汇总了模型的全部方程与参数，其中Φ矩阵的结构值得专门解读。按列观察溢出源：碳排放核算列的溢出合计达0.28，远高于其余各列（碳足迹认证0.13、绿色金融0.09、绿色产品与碳吸收仅0.02），最强的单一通道为核算对碳足迹认证的0.11与核算对绿色产品的0.07——第5章识别的“枢纽—孤岛”结构在存量域完整保留：核算模块是体系协同的总开关，碳吸收模块则几乎游离于溢出网络之外。这一结构含义直接进入情景设计：协同优化的核心就是保障枢纽通道畅通、并为孤岛模块补建接口。</w:t>
      </w:r>
    </w:p>
    <w:p>
      <w:pPr>
        <w:keepNext/>
        <w:spacing w:before="160" w:after="40"/>
        <w:jc w:val="center"/>
      </w:pPr>
      <w:r>
        <w:rPr>
          <w:rFonts w:ascii="黑体" w:hAnsi="黑体" w:eastAsia="黑体"/>
          <w:sz w:val="21"/>
        </w:rPr>
        <w:t>表10.1  系统动力学模型的主要方程与参数设定</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835"/>
        <w:gridCol w:w="2835"/>
        <w:gridCol w:w="2835"/>
      </w:tblGrid>
      <w:tr>
        <w:tc>
          <w:tcPr>
            <w:tcW w:type="dxa" w:w="2835"/>
            <w:tcBorders>
              <w:bottom w:val="single" w:sz="6" w:color="000000"/>
            </w:tcBorders>
            <w:vAlign w:val="center"/>
          </w:tcPr>
          <w:p>
            <w:pPr>
              <w:spacing w:line="240" w:lineRule="auto" w:after="20" w:before="20"/>
              <w:jc w:val="center"/>
            </w:pPr>
            <w:r/>
            <w:r>
              <w:rPr>
                <w:rFonts w:ascii="宋体" w:hAnsi="宋体" w:eastAsia="宋体"/>
                <w:b/>
                <w:sz w:val="18"/>
              </w:rPr>
              <w:t>模型要素</w:t>
            </w:r>
          </w:p>
        </w:tc>
        <w:tc>
          <w:tcPr>
            <w:tcW w:type="dxa" w:w="2835"/>
            <w:tcBorders>
              <w:bottom w:val="single" w:sz="6" w:color="000000"/>
            </w:tcBorders>
            <w:vAlign w:val="center"/>
          </w:tcPr>
          <w:p>
            <w:pPr>
              <w:spacing w:line="240" w:lineRule="auto" w:after="20" w:before="20"/>
              <w:jc w:val="center"/>
            </w:pPr>
            <w:r/>
            <w:r>
              <w:rPr>
                <w:rFonts w:ascii="宋体" w:hAnsi="宋体" w:eastAsia="宋体"/>
                <w:b/>
                <w:sz w:val="18"/>
              </w:rPr>
              <w:t>方程或取值</w:t>
            </w:r>
          </w:p>
        </w:tc>
        <w:tc>
          <w:tcPr>
            <w:tcW w:type="dxa" w:w="2835"/>
            <w:tcBorders>
              <w:bottom w:val="single" w:sz="6" w:color="000000"/>
            </w:tcBorders>
            <w:vAlign w:val="center"/>
          </w:tcPr>
          <w:p>
            <w:pPr>
              <w:spacing w:line="240" w:lineRule="auto" w:after="20" w:before="20"/>
              <w:jc w:val="center"/>
            </w:pPr>
            <w:r/>
            <w:r>
              <w:rPr>
                <w:rFonts w:ascii="宋体" w:hAnsi="宋体" w:eastAsia="宋体"/>
                <w:b/>
                <w:sz w:val="18"/>
              </w:rPr>
              <w:t>校准依据与说明</w:t>
            </w:r>
          </w:p>
        </w:tc>
      </w:tr>
      <w:tr>
        <w:tc>
          <w:tcPr>
            <w:tcW w:type="dxa" w:w="2835"/>
            <w:vAlign w:val="center"/>
          </w:tcPr>
          <w:p>
            <w:pPr>
              <w:spacing w:line="240" w:lineRule="auto" w:after="20" w:before="20"/>
              <w:jc w:val="left"/>
            </w:pPr>
            <w:r/>
            <w:r>
              <w:rPr>
                <w:rFonts w:ascii="宋体" w:hAnsi="宋体" w:eastAsia="宋体"/>
                <w:sz w:val="18"/>
              </w:rPr>
              <w:t>标准存量</w:t>
            </w:r>
            <m:oMath>
              <m:r>
                <m:t>S</m:t>
              </m:r>
              <m:sSub>
                <m:e>
                  <m:r>
                    <m:t>S</m:t>
                  </m:r>
                </m:e>
                <m:sub>
                  <m:r>
                    <m:t>k</m:t>
                  </m:r>
                  <m:r>
                    <m:t>t</m:t>
                  </m:r>
                </m:sub>
              </m:sSub>
            </m:oMath>
          </w:p>
        </w:tc>
        <w:tc>
          <w:tcPr>
            <w:tcW w:type="dxa" w:w="2835"/>
            <w:vAlign w:val="center"/>
          </w:tcPr>
          <w:p>
            <w:pPr>
              <w:spacing w:line="240" w:lineRule="auto" w:after="20" w:before="20"/>
              <w:jc w:val="left"/>
            </w:pPr>
            <w:r/>
            <w:r>
              <w:rPr>
                <w:rFonts w:ascii="宋体" w:hAnsi="宋体" w:eastAsia="宋体"/>
                <w:sz w:val="18"/>
              </w:rPr>
              <w:t>式(10-1)：流入—流出—溢出的存量积分</w:t>
            </w:r>
          </w:p>
        </w:tc>
        <w:tc>
          <w:tcPr>
            <w:tcW w:type="dxa" w:w="2835"/>
            <w:vAlign w:val="center"/>
          </w:tcPr>
          <w:p>
            <w:pPr>
              <w:spacing w:line="240" w:lineRule="auto" w:after="20" w:before="20"/>
              <w:jc w:val="left"/>
            </w:pPr>
            <w:r/>
            <w:r>
              <w:rPr>
                <w:rFonts w:ascii="宋体" w:hAnsi="宋体" w:eastAsia="宋体"/>
                <w:sz w:val="18"/>
              </w:rPr>
              <w:t>2025年五模块合计初值2450项，按第4章标准文本数据库口径校准</w:t>
            </w:r>
          </w:p>
        </w:tc>
      </w:tr>
      <w:tr>
        <w:tc>
          <w:tcPr>
            <w:tcW w:type="dxa" w:w="2835"/>
            <w:vAlign w:val="center"/>
          </w:tcPr>
          <w:p>
            <w:pPr>
              <w:spacing w:line="240" w:lineRule="auto" w:after="20" w:before="20"/>
              <w:jc w:val="left"/>
            </w:pPr>
            <w:r/>
            <w:r>
              <w:rPr>
                <w:rFonts w:ascii="宋体" w:hAnsi="宋体" w:eastAsia="宋体"/>
                <w:sz w:val="18"/>
              </w:rPr>
              <w:t>标准增量</w:t>
            </w:r>
            <m:oMath>
              <m:r>
                <m:t>S</m:t>
              </m:r>
              <m:sSub>
                <m:e>
                  <m:r>
                    <m:t>I</m:t>
                  </m:r>
                </m:e>
                <m:sub>
                  <m:r>
                    <m:t>k</m:t>
                  </m:r>
                  <m:r>
                    <m:t>t</m:t>
                  </m:r>
                </m:sub>
              </m:sSub>
            </m:oMath>
          </w:p>
        </w:tc>
        <w:tc>
          <w:tcPr>
            <w:tcW w:type="dxa" w:w="2835"/>
            <w:vAlign w:val="center"/>
          </w:tcPr>
          <w:p>
            <w:pPr>
              <w:spacing w:line="240" w:lineRule="auto" w:after="20" w:before="20"/>
              <w:jc w:val="left"/>
            </w:pPr>
            <w:r/>
            <w:r>
              <w:rPr>
                <w:rFonts w:ascii="宋体" w:hAnsi="宋体" w:eastAsia="宋体"/>
                <w:sz w:val="18"/>
              </w:rPr>
              <w:t>式(10-2)：供需缺口调整</w:t>
            </w:r>
          </w:p>
        </w:tc>
        <w:tc>
          <w:tcPr>
            <w:tcW w:type="dxa" w:w="2835"/>
            <w:vAlign w:val="center"/>
          </w:tcPr>
          <w:p>
            <w:pPr>
              <w:spacing w:line="240" w:lineRule="auto" w:after="20" w:before="20"/>
              <w:jc w:val="left"/>
            </w:pPr>
            <w:r/>
            <w:r>
              <w:rPr>
                <w:rFonts w:ascii="宋体" w:hAnsi="宋体" w:eastAsia="宋体"/>
                <w:sz w:val="18"/>
              </w:rPr>
              <w:t>需求基准</w:t>
            </w:r>
            <m:oMath>
              <m:sSub>
                <m:e>
                  <m:r>
                    <m:t>D</m:t>
                  </m:r>
                </m:e>
                <m:sub>
                  <m:r>
                    <m:t>k</m:t>
                  </m:r>
                  <m:r>
                    <m:t>t</m:t>
                  </m:r>
                </m:sub>
              </m:sSub>
            </m:oMath>
            <w:r>
              <w:rPr>
                <w:rFonts w:ascii="宋体" w:hAnsi="宋体" w:eastAsia="宋体"/>
                <w:sz w:val="18"/>
              </w:rPr>
              <w:t>由第8章需求模型外推；调整速度</w:t>
            </w:r>
            <m:oMath>
              <m:sSub>
                <m:e>
                  <m:r>
                    <m:t>μ</m:t>
                  </m:r>
                </m:e>
                <m:sub>
                  <m:r>
                    <m:t>k</m:t>
                  </m:r>
                </m:sub>
              </m:sSub>
            </m:oMath>
            <w:r>
              <w:rPr>
                <w:rFonts w:ascii="宋体" w:hAnsi="宋体" w:eastAsia="宋体"/>
                <w:sz w:val="18"/>
              </w:rPr>
              <w:t>按2015—2025年各模块年度发布量拟合</w:t>
            </w:r>
          </w:p>
        </w:tc>
      </w:tr>
      <w:tr>
        <w:tc>
          <w:tcPr>
            <w:tcW w:type="dxa" w:w="2835"/>
            <w:vAlign w:val="center"/>
          </w:tcPr>
          <w:p>
            <w:pPr>
              <w:spacing w:line="240" w:lineRule="auto" w:after="20" w:before="20"/>
              <w:jc w:val="left"/>
            </w:pPr>
            <w:r/>
            <w:r>
              <w:rPr>
                <w:rFonts w:ascii="宋体" w:hAnsi="宋体" w:eastAsia="宋体"/>
                <w:sz w:val="18"/>
              </w:rPr>
              <w:t>标准淘汰</w:t>
            </w:r>
            <m:oMath>
              <m:r>
                <m:t>S</m:t>
              </m:r>
              <m:sSub>
                <m:e>
                  <m:r>
                    <m:t>O</m:t>
                  </m:r>
                </m:e>
                <m:sub>
                  <m:r>
                    <m:t>k</m:t>
                  </m:r>
                  <m:r>
                    <m:t>t</m:t>
                  </m:r>
                </m:sub>
              </m:sSub>
            </m:oMath>
          </w:p>
        </w:tc>
        <w:tc>
          <w:tcPr>
            <w:tcW w:type="dxa" w:w="2835"/>
            <w:vAlign w:val="center"/>
          </w:tcPr>
          <w:p>
            <w:pPr>
              <w:spacing w:line="240" w:lineRule="auto" w:after="20" w:before="20"/>
              <w:jc w:val="left"/>
            </w:pPr>
            <w:r/>
            <w:r>
              <w:rPr>
                <w:rFonts w:ascii="宋体" w:hAnsi="宋体" w:eastAsia="宋体"/>
                <w:sz w:val="18"/>
              </w:rPr>
              <w:t>式(10-3)：自然老化＋触发集中整合</w:t>
            </w:r>
          </w:p>
        </w:tc>
        <w:tc>
          <w:tcPr>
            <w:tcW w:type="dxa" w:w="2835"/>
            <w:vAlign w:val="center"/>
          </w:tcPr>
          <w:p>
            <w:pPr>
              <w:spacing w:line="240" w:lineRule="auto" w:after="20" w:before="20"/>
              <w:jc w:val="left"/>
            </w:pPr>
            <w:r/>
            <w:r>
              <w:rPr>
                <w:rFonts w:ascii="宋体" w:hAnsi="宋体" w:eastAsia="宋体"/>
                <w:sz w:val="18"/>
              </w:rPr>
              <w:t>老化率</w:t>
            </w:r>
            <m:oMath>
              <m:sSub>
                <m:e>
                  <m:r>
                    <m:t>δ</m:t>
                  </m:r>
                </m:e>
                <m:sub>
                  <m:r>
                    <m:t>k</m:t>
                  </m:r>
                </m:sub>
              </m:sSub>
            </m:oMath>
            <w:r>
              <w:rPr>
                <w:rFonts w:ascii="宋体" w:hAnsi="宋体" w:eastAsia="宋体"/>
                <w:sz w:val="18"/>
              </w:rPr>
              <w:t>按历史废止记录校准；整合份额</w:t>
            </w:r>
            <m:oMath>
              <m:sSub>
                <m:e>
                  <m:r>
                    <m:t>χ</m:t>
                  </m:r>
                </m:e>
                <m:sub>
                  <m:r>
                    <m:t>k</m:t>
                  </m:r>
                </m:sub>
              </m:sSub>
            </m:oMath>
            <w:r>
              <w:rPr>
                <w:rFonts w:ascii="宋体" w:hAnsi="宋体" w:eastAsia="宋体"/>
                <w:sz w:val="18"/>
              </w:rPr>
              <w:t>据复审实践设定</w:t>
            </w:r>
          </w:p>
        </w:tc>
      </w:tr>
      <w:tr>
        <w:tc>
          <w:tcPr>
            <w:tcW w:type="dxa" w:w="2835"/>
            <w:vAlign w:val="center"/>
          </w:tcPr>
          <w:p>
            <w:pPr>
              <w:spacing w:line="240" w:lineRule="auto" w:after="20" w:before="20"/>
              <w:jc w:val="left"/>
            </w:pPr>
            <w:r/>
            <w:r>
              <w:rPr>
                <w:rFonts w:ascii="宋体" w:hAnsi="宋体" w:eastAsia="宋体"/>
                <w:sz w:val="18"/>
              </w:rPr>
              <w:t>溢出矩阵</w:t>
            </w:r>
            <m:oMath>
              <m:r>
                <m:t>Φ</m:t>
              </m:r>
            </m:oMath>
          </w:p>
        </w:tc>
        <w:tc>
          <w:tcPr>
            <w:tcW w:type="dxa" w:w="2835"/>
            <w:vAlign w:val="center"/>
          </w:tcPr>
          <w:p>
            <w:pPr>
              <w:spacing w:line="240" w:lineRule="auto" w:after="20" w:before="20"/>
              <w:jc w:val="left"/>
            </w:pPr>
            <w:r/>
            <w:r>
              <w:rPr>
                <w:rFonts w:ascii="宋体" w:hAnsi="宋体" w:eastAsia="宋体"/>
                <w:sz w:val="18"/>
              </w:rPr>
              <w:t>式(10-4)：</w:t>
            </w:r>
            <m:oMath>
              <m:sSub>
                <m:e>
                  <m:r>
                    <m:t>ϕ</m:t>
                  </m:r>
                </m:e>
                <m:sub>
                  <m:r>
                    <m:t>k</m:t>
                  </m:r>
                  <m:r>
                    <m:t>j</m:t>
                  </m:r>
                </m:sub>
              </m:sSub>
              <m:r>
                <m:rPr>
                  <m:sty m:val="p"/>
                </m:rPr>
                <m:t>=</m:t>
              </m:r>
              <m:r>
                <m:t>κ</m:t>
              </m:r>
              <m:r>
                <m:rPr>
                  <m:sty m:val="p"/>
                </m:rPr>
                <m:t>max</m:t>
              </m:r>
              <m:r>
                <m:rPr>
                  <m:sty m:val="p"/>
                </m:rPr>
                <m:t>{</m:t>
              </m:r>
              <m:sSub>
                <m:e>
                  <m:r>
                    <m:t>a</m:t>
                  </m:r>
                </m:e>
                <m:sub>
                  <m:r>
                    <m:t>k</m:t>
                  </m:r>
                  <m:r>
                    <m:t>j</m:t>
                  </m:r>
                </m:sub>
              </m:sSub>
              <m:r>
                <m:rPr>
                  <m:sty m:val="p"/>
                </m:rPr>
                <m:t>,</m:t>
              </m:r>
              <m:r>
                <m:t>0</m:t>
              </m:r>
              <m:r>
                <m:rPr>
                  <m:sty m:val="p"/>
                </m:rPr>
                <m:t>}</m:t>
              </m:r>
            </m:oMath>
            <w:r>
              <w:rPr>
                <w:rFonts w:ascii="宋体" w:hAnsi="宋体" w:eastAsia="宋体"/>
                <w:sz w:val="18"/>
              </w:rPr>
              <w:t>，</w:t>
            </w:r>
            <m:oMath>
              <m:r>
                <m:t>κ</m:t>
              </m:r>
              <m:r>
                <m:rPr>
                  <m:sty m:val="p"/>
                </m:rPr>
                <m:t>=</m:t>
              </m:r>
              <m:r>
                <m:t>0.9</m:t>
              </m:r>
            </m:oMath>
          </w:p>
        </w:tc>
        <w:tc>
          <w:tcPr>
            <w:tcW w:type="dxa" w:w="2835"/>
            <w:vAlign w:val="center"/>
          </w:tcPr>
          <w:p>
            <w:pPr>
              <w:spacing w:line="240" w:lineRule="auto" w:after="20" w:before="20"/>
              <w:jc w:val="left"/>
            </w:pPr>
            <w:r/>
            <w:r>
              <w:rPr>
                <w:rFonts w:ascii="宋体" w:hAnsi="宋体" w:eastAsia="宋体"/>
                <w:sz w:val="18"/>
              </w:rPr>
              <w:t>第5章A矩阵估计结果的正部，对角置零</w:t>
            </w:r>
          </w:p>
        </w:tc>
      </w:tr>
      <w:tr>
        <w:tc>
          <w:tcPr>
            <w:tcW w:type="dxa" w:w="2835"/>
            <w:vAlign w:val="center"/>
          </w:tcPr>
          <w:p>
            <w:pPr>
              <w:spacing w:line="240" w:lineRule="auto" w:after="20" w:before="20"/>
              <w:jc w:val="left"/>
            </w:pPr>
            <w:r/>
            <m:oMath>
              <m:r>
                <m:t>Φ</m:t>
              </m:r>
            </m:oMath>
            <w:r>
              <w:rPr>
                <w:rFonts w:ascii="宋体" w:hAnsi="宋体" w:eastAsia="宋体"/>
                <w:sz w:val="18"/>
              </w:rPr>
              <w:t>矩阵取值（列序：核算、足迹、产品、吸收、金融）</w:t>
            </w:r>
          </w:p>
        </w:tc>
        <w:tc>
          <w:tcPr>
            <w:tcW w:type="dxa" w:w="2835"/>
            <w:vAlign w:val="center"/>
          </w:tcPr>
          <w:p>
            <w:pPr>
              <w:spacing w:line="240" w:lineRule="auto" w:after="20" w:before="20"/>
              <w:jc w:val="left"/>
            </w:pPr>
            <w:r/>
            <w:r>
              <w:rPr>
                <w:rFonts w:ascii="宋体" w:hAnsi="宋体" w:eastAsia="宋体"/>
                <w:sz w:val="18"/>
              </w:rPr>
              <w:t>核算行：0.00　0.04　0.02　0.00　0.03</w:t>
              <w:br/>
              <w:t>足迹行：0.11　0.00　0.00　0.00　0.02</w:t>
              <w:br/>
              <w:t>产品行：0.07　0.03　0.00　0.00　0.00</w:t>
              <w:br/>
              <w:t>吸收行：0.05　0.00　0.00　0.00　0.04</w:t>
              <w:br/>
              <w:t>金融行：0.05　0.06　0.00　0.02　0.00</w:t>
            </w:r>
          </w:p>
        </w:tc>
        <w:tc>
          <w:tcPr>
            <w:tcW w:type="dxa" w:w="2835"/>
            <w:vAlign w:val="center"/>
          </w:tcPr>
          <w:p>
            <w:pPr>
              <w:spacing w:line="240" w:lineRule="auto" w:after="20" w:before="20"/>
              <w:jc w:val="left"/>
            </w:pPr>
            <w:r/>
            <w:r>
              <w:rPr>
                <w:rFonts w:ascii="宋体" w:hAnsi="宋体" w:eastAsia="宋体"/>
                <w:sz w:val="18"/>
              </w:rPr>
              <w:t>行=受溢出模块，列=溢出源；列和依次为0.28、0.13、0.02、0.02、0.09</w:t>
            </w:r>
          </w:p>
        </w:tc>
      </w:tr>
      <w:tr>
        <w:tc>
          <w:tcPr>
            <w:tcW w:type="dxa" w:w="2835"/>
            <w:vAlign w:val="center"/>
          </w:tcPr>
          <w:p>
            <w:pPr>
              <w:spacing w:line="240" w:lineRule="auto" w:after="20" w:before="20"/>
              <w:jc w:val="left"/>
            </w:pPr>
            <w:r/>
            <w:r>
              <w:rPr>
                <w:rFonts w:ascii="宋体" w:hAnsi="宋体" w:eastAsia="宋体"/>
                <w:sz w:val="18"/>
              </w:rPr>
              <w:t>偏离度</w:t>
            </w:r>
            <m:oMath>
              <m:r>
                <m:t>T</m:t>
              </m:r>
              <m:r>
                <m:t>P</m:t>
              </m:r>
              <m:sSub>
                <m:e>
                  <m:r>
                    <m:t>D</m:t>
                  </m:r>
                </m:e>
                <m:sub>
                  <m:r>
                    <m:t>k</m:t>
                  </m:r>
                  <m:r>
                    <m:t>t</m:t>
                  </m:r>
                </m:sub>
              </m:sSub>
            </m:oMath>
          </w:p>
        </w:tc>
        <w:tc>
          <w:tcPr>
            <w:tcW w:type="dxa" w:w="2835"/>
            <w:vAlign w:val="center"/>
          </w:tcPr>
          <w:p>
            <w:pPr>
              <w:spacing w:line="240" w:lineRule="auto" w:after="20" w:before="20"/>
              <w:jc w:val="left"/>
            </w:pPr>
            <w:r/>
            <w:r>
              <w:rPr>
                <w:rFonts w:ascii="宋体" w:hAnsi="宋体" w:eastAsia="宋体"/>
                <w:sz w:val="18"/>
              </w:rPr>
              <w:t>式(10-6)：</w:t>
            </w:r>
            <m:oMath>
              <m:d>
                <m:dPr>
                  <m:begChr m:val="("/>
                  <m:sepChr m:val=""/>
                  <m:endChr m:val=")"/>
                  <m:grow/>
                </m:dPr>
                <m:e>
                  <m:r>
                    <m:t>T</m:t>
                  </m:r>
                  <m:sSub>
                    <m:e>
                      <m:r>
                        <m:t>L</m:t>
                      </m:r>
                    </m:e>
                    <m:sub>
                      <m:r>
                        <m:t>k</m:t>
                      </m:r>
                      <m:r>
                        <m:t>t</m:t>
                      </m:r>
                    </m:sub>
                  </m:sSub>
                  <m:r>
                    <m:rPr>
                      <m:sty m:val="p"/>
                    </m:rPr>
                    <m:t>−</m:t>
                  </m:r>
                  <m:r>
                    <m:t>S</m:t>
                  </m:r>
                  <m:sSub>
                    <m:e>
                      <m:r>
                        <m:t>L</m:t>
                      </m:r>
                    </m:e>
                    <m:sub>
                      <m:r>
                        <m:t>k</m:t>
                      </m:r>
                      <m:r>
                        <m:t>t</m:t>
                      </m:r>
                    </m:sub>
                  </m:sSub>
                </m:e>
              </m:d>
              <m:r>
                <m:rPr>
                  <m:sty m:val="p"/>
                </m:rPr>
                <m:t>/</m:t>
              </m:r>
              <m:r>
                <m:t>T</m:t>
              </m:r>
              <m:sSub>
                <m:e>
                  <m:r>
                    <m:t>L</m:t>
                  </m:r>
                </m:e>
                <m:sub>
                  <m:r>
                    <m:t>k</m:t>
                  </m:r>
                  <m:r>
                    <m:t>t</m:t>
                  </m:r>
                </m:sub>
              </m:sSub>
            </m:oMath>
          </w:p>
        </w:tc>
        <w:tc>
          <w:tcPr>
            <w:tcW w:type="dxa" w:w="2835"/>
            <w:vAlign w:val="center"/>
          </w:tcPr>
          <w:p>
            <w:pPr>
              <w:spacing w:line="240" w:lineRule="auto" w:after="20" w:before="20"/>
              <w:jc w:val="left"/>
            </w:pPr>
            <w:r/>
            <w:r>
              <w:rPr>
                <w:rFonts w:ascii="宋体" w:hAnsi="宋体" w:eastAsia="宋体"/>
                <w:sz w:val="18"/>
              </w:rPr>
              <w:t>BAT基准</w:t>
            </w:r>
            <m:oMath>
              <m:r>
                <m:t>T</m:t>
              </m:r>
              <m:sSub>
                <m:e>
                  <m:r>
                    <m:t>L</m:t>
                  </m:r>
                </m:e>
                <m:sub>
                  <m:r>
                    <m:t>k</m:t>
                  </m:r>
                  <m:r>
                    <m:t>t</m:t>
                  </m:r>
                </m:sub>
              </m:sSub>
            </m:oMath>
            <w:r>
              <w:rPr>
                <w:rFonts w:ascii="宋体" w:hAnsi="宋体" w:eastAsia="宋体"/>
                <w:sz w:val="18"/>
              </w:rPr>
              <w:t>由专利前沿、领跑者绩效与国际标准参数合成（10.4节）</w:t>
            </w:r>
          </w:p>
        </w:tc>
      </w:tr>
      <w:tr>
        <w:tc>
          <w:tcPr>
            <w:tcW w:type="dxa" w:w="2835"/>
            <w:vAlign w:val="center"/>
          </w:tcPr>
          <w:p>
            <w:pPr>
              <w:spacing w:line="240" w:lineRule="auto" w:after="20" w:before="20"/>
              <w:jc w:val="left"/>
            </w:pPr>
            <w:r/>
            <w:r>
              <w:rPr>
                <w:rFonts w:ascii="宋体" w:hAnsi="宋体" w:eastAsia="宋体"/>
                <w:sz w:val="18"/>
              </w:rPr>
              <w:t>触发阈值</w:t>
            </w:r>
            <m:oMath>
              <m:r>
                <m:t>T</m:t>
              </m:r>
              <m:r>
                <m:t>P</m:t>
              </m:r>
              <m:sSup>
                <m:e>
                  <m:r>
                    <m:t>D</m:t>
                  </m:r>
                </m:e>
                <m:sup>
                  <m:r>
                    <m:rPr>
                      <m:sty m:val="p"/>
                    </m:rPr>
                    <m:t>*</m:t>
                  </m:r>
                </m:sup>
              </m:sSup>
            </m:oMath>
          </w:p>
        </w:tc>
        <w:tc>
          <w:tcPr>
            <w:tcW w:type="dxa" w:w="2835"/>
            <w:vAlign w:val="center"/>
          </w:tcPr>
          <w:p>
            <w:pPr>
              <w:spacing w:line="240" w:lineRule="auto" w:after="20" w:before="20"/>
              <w:jc w:val="left"/>
            </w:pPr>
            <w:r/>
            <w:r>
              <w:rPr>
                <w:rFonts w:ascii="宋体" w:hAnsi="宋体" w:eastAsia="宋体"/>
                <w:sz w:val="18"/>
              </w:rPr>
              <w:t>0.30</w:t>
            </w:r>
          </w:p>
        </w:tc>
        <w:tc>
          <w:tcPr>
            <w:tcW w:type="dxa" w:w="2835"/>
            <w:vAlign w:val="center"/>
          </w:tcPr>
          <w:p>
            <w:pPr>
              <w:spacing w:line="240" w:lineRule="auto" w:after="20" w:before="20"/>
              <w:jc w:val="left"/>
            </w:pPr>
            <w:r/>
            <w:r>
              <w:rPr>
                <w:rFonts w:ascii="宋体" w:hAnsi="宋体" w:eastAsia="宋体"/>
                <w:sz w:val="18"/>
              </w:rPr>
              <w:t>10.4节阈值网格搜索确定</w:t>
            </w:r>
          </w:p>
        </w:tc>
      </w:tr>
      <w:tr>
        <w:tc>
          <w:tcPr>
            <w:tcW w:type="dxa" w:w="2835"/>
            <w:vAlign w:val="center"/>
          </w:tcPr>
          <w:p>
            <w:pPr>
              <w:spacing w:line="240" w:lineRule="auto" w:after="20" w:before="20"/>
              <w:jc w:val="left"/>
            </w:pPr>
            <w:r/>
            <w:r>
              <w:rPr>
                <w:rFonts w:ascii="宋体" w:hAnsi="宋体" w:eastAsia="宋体"/>
                <w:sz w:val="18"/>
              </w:rPr>
              <w:t>体系效能</w:t>
            </w:r>
            <m:oMath>
              <m:sSub>
                <m:e>
                  <m:r>
                    <m:t>E</m:t>
                  </m:r>
                </m:e>
                <m:sub>
                  <m:r>
                    <m:t>t</m:t>
                  </m:r>
                </m:sub>
              </m:sSub>
            </m:oMath>
          </w:p>
        </w:tc>
        <w:tc>
          <w:tcPr>
            <w:tcW w:type="dxa" w:w="2835"/>
            <w:vAlign w:val="center"/>
          </w:tcPr>
          <w:p>
            <w:pPr>
              <w:spacing w:line="240" w:lineRule="auto" w:after="20" w:before="20"/>
              <w:jc w:val="left"/>
            </w:pPr>
            <w:r/>
            <w:r>
              <w:rPr>
                <w:rFonts w:ascii="宋体" w:hAnsi="宋体" w:eastAsia="宋体"/>
                <w:sz w:val="18"/>
              </w:rPr>
              <w:t>式(10-5)：覆盖充分性×参数时效性加权</w:t>
            </w:r>
          </w:p>
        </w:tc>
        <w:tc>
          <w:tcPr>
            <w:tcW w:type="dxa" w:w="2835"/>
            <w:vAlign w:val="center"/>
          </w:tcPr>
          <w:p>
            <w:pPr>
              <w:spacing w:line="240" w:lineRule="auto" w:after="20" w:before="20"/>
              <w:jc w:val="left"/>
            </w:pPr>
            <w:r/>
            <w:r>
              <w:rPr>
                <w:rFonts w:ascii="宋体" w:hAnsi="宋体" w:eastAsia="宋体"/>
                <w:sz w:val="18"/>
              </w:rPr>
              <w:t>权重</w:t>
            </w:r>
            <m:oMath>
              <m:sSub>
                <m:e>
                  <m:r>
                    <m:t>w</m:t>
                  </m:r>
                </m:e>
                <m:sub>
                  <m:r>
                    <m:t>k</m:t>
                  </m:r>
                </m:sub>
              </m:sSub>
            </m:oMath>
            <w:r>
              <w:rPr>
                <w:rFonts w:ascii="宋体" w:hAnsi="宋体" w:eastAsia="宋体"/>
                <w:sz w:val="18"/>
              </w:rPr>
              <w:t>取第9章AHP结果；2025年校准值0.52</w:t>
            </w:r>
          </w:p>
        </w:tc>
      </w:tr>
      <w:tr>
        <w:tc>
          <w:tcPr>
            <w:tcW w:type="dxa" w:w="2835"/>
            <w:vAlign w:val="center"/>
          </w:tcPr>
          <w:p>
            <w:pPr>
              <w:spacing w:line="240" w:lineRule="auto" w:after="20" w:before="20"/>
              <w:jc w:val="left"/>
            </w:pPr>
            <w:r/>
            <w:r>
              <w:rPr>
                <w:rFonts w:ascii="宋体" w:hAnsi="宋体" w:eastAsia="宋体"/>
                <w:sz w:val="18"/>
              </w:rPr>
              <w:t>仿真设置</w:t>
            </w:r>
          </w:p>
        </w:tc>
        <w:tc>
          <w:tcPr>
            <w:tcW w:type="dxa" w:w="2835"/>
            <w:vAlign w:val="center"/>
          </w:tcPr>
          <w:p>
            <w:pPr>
              <w:spacing w:line="240" w:lineRule="auto" w:after="20" w:before="20"/>
              <w:jc w:val="left"/>
            </w:pPr>
            <w:r/>
            <w:r>
              <w:rPr>
                <w:rFonts w:ascii="宋体" w:hAnsi="宋体" w:eastAsia="宋体"/>
                <w:sz w:val="18"/>
              </w:rPr>
              <w:t>2026—2035年，步长0.25年，四阶龙格—库塔积分</w:t>
            </w:r>
          </w:p>
        </w:tc>
        <w:tc>
          <w:tcPr>
            <w:tcW w:type="dxa" w:w="2835"/>
            <w:vAlign w:val="center"/>
          </w:tcPr>
          <w:p>
            <w:pPr>
              <w:spacing w:line="240" w:lineRule="auto" w:after="20" w:before="20"/>
              <w:jc w:val="left"/>
            </w:pPr>
            <w:r/>
            <w:r>
              <w:rPr>
                <w:rFonts w:ascii="宋体" w:hAnsi="宋体" w:eastAsia="宋体"/>
                <w:sz w:val="18"/>
              </w:rPr>
              <w:t>初值与外生路径取2025年末口径</w:t>
            </w:r>
          </w:p>
        </w:tc>
      </w:tr>
    </w:tbl>
    <w:p>
      <w:pPr>
        <w:spacing w:after="200" w:line="240" w:lineRule="auto"/>
      </w:pPr>
      <w:r>
        <w:rPr>
          <w:rFonts w:ascii="宋体" w:hAnsi="宋体" w:eastAsia="宋体"/>
          <w:sz w:val="18"/>
        </w:rPr>
        <w:t>注：Φ矩阵元素为第5章交互矩阵A正部乘以折算系数0.9并保留两位小数；模型在Vensim风格的存量—流量框架下以Python数值实现。数据来源：本书系统动力学模型设定与校准结果。</w:t>
      </w:r>
    </w:p>
    <w:p>
      <w:pPr>
        <w:spacing w:line="360" w:lineRule="auto" w:after="0"/>
        <w:ind w:firstLineChars="200" w:firstLine="480"/>
        <w:jc w:val="both"/>
      </w:pPr>
      <w:r>
        <w:rPr>
          <w:rFonts w:ascii="宋体" w:hAnsi="宋体" w:eastAsia="宋体"/>
          <w:sz w:val="24"/>
        </w:rPr>
        <w:t>模型有效性经三类检验。一是历史回溯检验：以2015年为起点、按实际政策路径仿真至2025年，五模块存量轨迹与标准文本数据库的实际记录高度吻合，总量与结构的拟合偏差处于可接受范围。二是极端条件检验：令需求基准归零，存量沿老化路径单调衰减；令溢出矩阵置零，体系退化为五个独立的缺口调整过程，行为均符合逻辑预期。三是灵敏度检验：对</w:t>
      </w:r>
      <m:oMath>
        <m:r>
          <m:t>κ</m:t>
        </m:r>
      </m:oMath>
      <w:r>
        <w:rPr>
          <w:rFonts w:ascii="宋体" w:hAnsi="宋体" w:eastAsia="宋体"/>
          <w:sz w:val="24"/>
        </w:rPr>
        <w:t>、</w:t>
      </w:r>
      <m:oMath>
        <m:sSub>
          <m:e>
            <m:r>
              <m:t>δ</m:t>
            </m:r>
          </m:e>
          <m:sub>
            <m:r>
              <m:t>k</m:t>
            </m:r>
          </m:sub>
        </m:sSub>
      </m:oMath>
      <w:r>
        <w:rPr>
          <w:rFonts w:ascii="宋体" w:hAnsi="宋体" w:eastAsia="宋体"/>
          <w:sz w:val="24"/>
        </w:rPr>
        <w:t>、</w:t>
      </w:r>
      <m:oMath>
        <m:sSub>
          <m:e>
            <m:r>
              <m:t>μ</m:t>
            </m:r>
          </m:e>
          <m:sub>
            <m:r>
              <m:t>k</m:t>
            </m:r>
          </m:sub>
        </m:sSub>
      </m:oMath>
      <w:r>
        <w:rPr>
          <w:rFonts w:ascii="宋体" w:hAnsi="宋体" w:eastAsia="宋体"/>
          <w:sz w:val="24"/>
        </w:rPr>
        <w:t>在合理区间内扰动，三情景的相对排序与阈值网格的倒U形态保持稳健，表明后文结论不依赖个别参数的精确取值。</w:t>
      </w:r>
    </w:p>
    <w:p>
      <w:pPr>
        <w:keepNext/>
        <w:spacing w:before="160" w:after="120" w:line="360" w:lineRule="auto"/>
        <w:outlineLvl w:val="1"/>
      </w:pPr>
      <w:r>
        <w:rPr>
          <w:rFonts w:ascii="黑体" w:hAnsi="黑体" w:eastAsia="黑体"/>
          <w:sz w:val="28"/>
        </w:rPr>
        <w:t>10.3  协同效应的仿真分析：三情景比较</w:t>
      </w:r>
    </w:p>
    <w:p>
      <w:pPr>
        <w:keepNext/>
        <w:spacing w:before="160" w:after="120" w:line="360" w:lineRule="auto"/>
        <w:outlineLvl w:val="2"/>
      </w:pPr>
      <w:r>
        <w:rPr>
          <w:rFonts w:ascii="黑体" w:hAnsi="黑体" w:eastAsia="黑体"/>
          <w:sz w:val="24"/>
        </w:rPr>
        <w:t>10.3.1  情景设定</w:t>
      </w:r>
    </w:p>
    <w:p>
      <w:pPr>
        <w:spacing w:line="360" w:lineRule="auto" w:after="0"/>
        <w:ind w:firstLineChars="200" w:firstLine="480"/>
        <w:jc w:val="both"/>
      </w:pPr>
      <w:r>
        <w:rPr>
          <w:rFonts w:ascii="宋体" w:hAnsi="宋体" w:eastAsia="宋体"/>
          <w:sz w:val="24"/>
        </w:rPr>
        <w:t>情景设计遵循“同投入、异机制”原则：三个情景中各模块标准化资源的总投入路径完全相同，差异仅在协同与更新的制度参数，从而将仿真结果的分化干净地归因于机制本身。基准情景延续现行安排：溢出通道部分打通（跨模块协调依个案进行，Φ按估计值的中性水平生效），更新以固定周期复审为主、触发机制部分生效。协同优化情景实施本章设计的完整机制：跨模块联合立项与口径统一使Φ全部通道充分生效，方法学共享摊薄制定成本使</w:t>
      </w:r>
      <m:oMath>
        <m:sSub>
          <m:e>
            <m:r>
              <m:t>μ</m:t>
            </m:r>
          </m:e>
          <m:sub>
            <m:r>
              <m:t>k</m:t>
            </m:r>
          </m:sub>
        </m:sSub>
      </m:oMath>
      <w:r>
        <w:rPr>
          <w:rFonts w:ascii="宋体" w:hAnsi="宋体" w:eastAsia="宋体"/>
          <w:sz w:val="24"/>
        </w:rPr>
        <w:t>相应提升，TPD监测与</w:t>
      </w:r>
      <m:oMath>
        <m:r>
          <m:t>T</m:t>
        </m:r>
        <m:r>
          <m:t>P</m:t>
        </m:r>
        <m:sSup>
          <m:e>
            <m:r>
              <m:t>D</m:t>
            </m:r>
          </m:e>
          <m:sup>
            <m:r>
              <m:rPr>
                <m:sty m:val="p"/>
              </m:rPr>
              <m:t>*</m:t>
            </m:r>
          </m:sup>
        </m:sSup>
        <m:r>
          <m:rPr>
            <m:sty m:val="p"/>
          </m:rPr>
          <m:t>=</m:t>
        </m:r>
        <m:r>
          <m:t>0.30</m:t>
        </m:r>
      </m:oMath>
      <w:r>
        <w:rPr>
          <w:rFonts w:ascii="宋体" w:hAnsi="宋体" w:eastAsia="宋体"/>
          <w:sz w:val="24"/>
        </w:rPr>
        <w:t>触发更新全面实施，快速通道与退出机制同步运转。更新滞后情景刻画机制缺位的反事实：复审普遍拖延、触发机制缺位，参数老化持续累积，口径分歧使溢出通道弱化。三情景的关键设定与仿真结果汇总于表10.2。</w:t>
      </w:r>
    </w:p>
    <w:p>
      <w:pPr>
        <w:keepNext/>
        <w:spacing w:before="160" w:after="40"/>
        <w:jc w:val="center"/>
      </w:pPr>
      <w:r>
        <w:rPr>
          <w:rFonts w:ascii="黑体" w:hAnsi="黑体" w:eastAsia="黑体"/>
          <w:sz w:val="21"/>
        </w:rPr>
        <w:t>表10.2  系统动力学仿真的情景设定与主要结果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Borders>
              <w:bottom w:val="single" w:sz="6" w:color="000000"/>
            </w:tcBorders>
            <w:vAlign w:val="center"/>
          </w:tcPr>
          <w:p>
            <w:pPr>
              <w:spacing w:line="240" w:lineRule="auto" w:after="20" w:before="20"/>
              <w:jc w:val="center"/>
            </w:pPr>
            <w:r/>
            <w:r>
              <w:rPr>
                <w:rFonts w:ascii="宋体" w:hAnsi="宋体" w:eastAsia="宋体"/>
                <w:b/>
                <w:sz w:val="18"/>
              </w:rPr>
              <w:t>情景</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关键机制设定</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2030年存量（项）</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2035年存量（项）</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2030年效能</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2035年效能</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存量年均增速</w:t>
            </w:r>
          </w:p>
        </w:tc>
      </w:tr>
      <w:tr>
        <w:tc>
          <w:tcPr>
            <w:tcW w:type="dxa" w:w="1215"/>
            <w:vAlign w:val="center"/>
          </w:tcPr>
          <w:p>
            <w:pPr>
              <w:spacing w:line="240" w:lineRule="auto" w:after="20" w:before="20"/>
              <w:jc w:val="left"/>
            </w:pPr>
            <w:r/>
            <w:r>
              <w:rPr>
                <w:rFonts w:ascii="宋体" w:hAnsi="宋体" w:eastAsia="宋体"/>
                <w:sz w:val="18"/>
              </w:rPr>
              <w:t>基准情景</w:t>
            </w:r>
          </w:p>
        </w:tc>
        <w:tc>
          <w:tcPr>
            <w:tcW w:type="dxa" w:w="1215"/>
            <w:vAlign w:val="center"/>
          </w:tcPr>
          <w:p>
            <w:pPr>
              <w:spacing w:line="240" w:lineRule="auto" w:after="20" w:before="20"/>
              <w:jc w:val="left"/>
            </w:pPr>
            <w:r/>
            <w:r>
              <w:rPr>
                <w:rFonts w:ascii="宋体" w:hAnsi="宋体" w:eastAsia="宋体"/>
                <w:sz w:val="18"/>
              </w:rPr>
              <w:t>现行安排延续：溢出部分打通，固定周期复审为主</w:t>
            </w:r>
          </w:p>
        </w:tc>
        <w:tc>
          <w:tcPr>
            <w:tcW w:type="dxa" w:w="1215"/>
            <w:vAlign w:val="center"/>
          </w:tcPr>
          <w:p>
            <w:pPr>
              <w:spacing w:line="240" w:lineRule="auto" w:after="20" w:before="20"/>
              <w:jc w:val="center"/>
            </w:pPr>
            <w:r/>
            <w:r>
              <w:rPr>
                <w:rFonts w:ascii="宋体" w:hAnsi="宋体" w:eastAsia="宋体"/>
                <w:sz w:val="18"/>
              </w:rPr>
              <w:t>2660</w:t>
            </w:r>
          </w:p>
        </w:tc>
        <w:tc>
          <w:tcPr>
            <w:tcW w:type="dxa" w:w="1215"/>
            <w:vAlign w:val="center"/>
          </w:tcPr>
          <w:p>
            <w:pPr>
              <w:spacing w:line="240" w:lineRule="auto" w:after="20" w:before="20"/>
              <w:jc w:val="center"/>
            </w:pPr>
            <w:r/>
            <w:r>
              <w:rPr>
                <w:rFonts w:ascii="宋体" w:hAnsi="宋体" w:eastAsia="宋体"/>
                <w:sz w:val="18"/>
              </w:rPr>
              <w:t>2850</w:t>
            </w:r>
          </w:p>
        </w:tc>
        <w:tc>
          <w:tcPr>
            <w:tcW w:type="dxa" w:w="1215"/>
            <w:vAlign w:val="center"/>
          </w:tcPr>
          <w:p>
            <w:pPr>
              <w:spacing w:line="240" w:lineRule="auto" w:after="20" w:before="20"/>
              <w:jc w:val="center"/>
            </w:pPr>
            <w:r/>
            <w:r>
              <w:rPr>
                <w:rFonts w:ascii="宋体" w:hAnsi="宋体" w:eastAsia="宋体"/>
                <w:sz w:val="18"/>
              </w:rPr>
              <w:t>0.63</w:t>
            </w:r>
          </w:p>
        </w:tc>
        <w:tc>
          <w:tcPr>
            <w:tcW w:type="dxa" w:w="1215"/>
            <w:vAlign w:val="center"/>
          </w:tcPr>
          <w:p>
            <w:pPr>
              <w:spacing w:line="240" w:lineRule="auto" w:after="20" w:before="20"/>
              <w:jc w:val="center"/>
            </w:pPr>
            <w:r/>
            <w:r>
              <w:rPr>
                <w:rFonts w:ascii="宋体" w:hAnsi="宋体" w:eastAsia="宋体"/>
                <w:sz w:val="18"/>
              </w:rPr>
              <w:t>0.71</w:t>
            </w:r>
          </w:p>
        </w:tc>
        <w:tc>
          <w:tcPr>
            <w:tcW w:type="dxa" w:w="1215"/>
            <w:vAlign w:val="center"/>
          </w:tcPr>
          <w:p>
            <w:pPr>
              <w:spacing w:line="240" w:lineRule="auto" w:after="20" w:before="20"/>
              <w:jc w:val="center"/>
            </w:pPr>
            <w:r/>
            <w:r>
              <w:rPr>
                <w:rFonts w:ascii="宋体" w:hAnsi="宋体" w:eastAsia="宋体"/>
                <w:sz w:val="18"/>
              </w:rPr>
              <w:t>1.5%</w:t>
            </w:r>
          </w:p>
        </w:tc>
      </w:tr>
      <w:tr>
        <w:tc>
          <w:tcPr>
            <w:tcW w:type="dxa" w:w="1215"/>
            <w:vAlign w:val="center"/>
          </w:tcPr>
          <w:p>
            <w:pPr>
              <w:spacing w:line="240" w:lineRule="auto" w:after="20" w:before="20"/>
              <w:jc w:val="left"/>
            </w:pPr>
            <w:r/>
            <w:r>
              <w:rPr>
                <w:rFonts w:ascii="宋体" w:hAnsi="宋体" w:eastAsia="宋体"/>
                <w:sz w:val="18"/>
              </w:rPr>
              <w:t>协同优化情景</w:t>
            </w:r>
          </w:p>
        </w:tc>
        <w:tc>
          <w:tcPr>
            <w:tcW w:type="dxa" w:w="1215"/>
            <w:vAlign w:val="center"/>
          </w:tcPr>
          <w:p>
            <w:pPr>
              <w:spacing w:line="240" w:lineRule="auto" w:after="20" w:before="20"/>
              <w:jc w:val="left"/>
            </w:pPr>
            <w:r/>
            <w:r>
              <w:rPr>
                <w:rFonts w:ascii="宋体" w:hAnsi="宋体" w:eastAsia="宋体"/>
                <w:sz w:val="18"/>
              </w:rPr>
              <w:t>溢出通道全面打通，TPD*=0.30触发更新，联合立项与快速通道</w:t>
            </w:r>
          </w:p>
        </w:tc>
        <w:tc>
          <w:tcPr>
            <w:tcW w:type="dxa" w:w="1215"/>
            <w:vAlign w:val="center"/>
          </w:tcPr>
          <w:p>
            <w:pPr>
              <w:spacing w:line="240" w:lineRule="auto" w:after="20" w:before="20"/>
              <w:jc w:val="center"/>
            </w:pPr>
            <w:r/>
            <w:r>
              <w:rPr>
                <w:rFonts w:ascii="宋体" w:hAnsi="宋体" w:eastAsia="宋体"/>
                <w:sz w:val="18"/>
              </w:rPr>
              <w:t>2930</w:t>
            </w:r>
          </w:p>
        </w:tc>
        <w:tc>
          <w:tcPr>
            <w:tcW w:type="dxa" w:w="1215"/>
            <w:vAlign w:val="center"/>
          </w:tcPr>
          <w:p>
            <w:pPr>
              <w:spacing w:line="240" w:lineRule="auto" w:after="20" w:before="20"/>
              <w:jc w:val="center"/>
            </w:pPr>
            <w:r/>
            <w:r>
              <w:rPr>
                <w:rFonts w:ascii="宋体" w:hAnsi="宋体" w:eastAsia="宋体"/>
                <w:sz w:val="18"/>
              </w:rPr>
              <w:t>3420</w:t>
            </w:r>
          </w:p>
        </w:tc>
        <w:tc>
          <w:tcPr>
            <w:tcW w:type="dxa" w:w="1215"/>
            <w:vAlign w:val="center"/>
          </w:tcPr>
          <w:p>
            <w:pPr>
              <w:spacing w:line="240" w:lineRule="auto" w:after="20" w:before="20"/>
              <w:jc w:val="center"/>
            </w:pPr>
            <w:r/>
            <w:r>
              <w:rPr>
                <w:rFonts w:ascii="宋体" w:hAnsi="宋体" w:eastAsia="宋体"/>
                <w:sz w:val="18"/>
              </w:rPr>
              <w:t>0.70</w:t>
            </w:r>
          </w:p>
        </w:tc>
        <w:tc>
          <w:tcPr>
            <w:tcW w:type="dxa" w:w="1215"/>
            <w:vAlign w:val="center"/>
          </w:tcPr>
          <w:p>
            <w:pPr>
              <w:spacing w:line="240" w:lineRule="auto" w:after="20" w:before="20"/>
              <w:jc w:val="center"/>
            </w:pPr>
            <w:r/>
            <w:r>
              <w:rPr>
                <w:rFonts w:ascii="宋体" w:hAnsi="宋体" w:eastAsia="宋体"/>
                <w:sz w:val="18"/>
              </w:rPr>
              <w:t>0.83</w:t>
            </w:r>
          </w:p>
        </w:tc>
        <w:tc>
          <w:tcPr>
            <w:tcW w:type="dxa" w:w="1215"/>
            <w:vAlign w:val="center"/>
          </w:tcPr>
          <w:p>
            <w:pPr>
              <w:spacing w:line="240" w:lineRule="auto" w:after="20" w:before="20"/>
              <w:jc w:val="center"/>
            </w:pPr>
            <w:r/>
            <w:r>
              <w:rPr>
                <w:rFonts w:ascii="宋体" w:hAnsi="宋体" w:eastAsia="宋体"/>
                <w:sz w:val="18"/>
              </w:rPr>
              <w:t>3.4%</w:t>
            </w:r>
          </w:p>
        </w:tc>
      </w:tr>
      <w:tr>
        <w:tc>
          <w:tcPr>
            <w:tcW w:type="dxa" w:w="1215"/>
            <w:vAlign w:val="center"/>
          </w:tcPr>
          <w:p>
            <w:pPr>
              <w:spacing w:line="240" w:lineRule="auto" w:after="20" w:before="20"/>
              <w:jc w:val="left"/>
            </w:pPr>
            <w:r/>
            <w:r>
              <w:rPr>
                <w:rFonts w:ascii="宋体" w:hAnsi="宋体" w:eastAsia="宋体"/>
                <w:sz w:val="18"/>
              </w:rPr>
              <w:t>更新滞后情景</w:t>
            </w:r>
          </w:p>
        </w:tc>
        <w:tc>
          <w:tcPr>
            <w:tcW w:type="dxa" w:w="1215"/>
            <w:vAlign w:val="center"/>
          </w:tcPr>
          <w:p>
            <w:pPr>
              <w:spacing w:line="240" w:lineRule="auto" w:after="20" w:before="20"/>
              <w:jc w:val="left"/>
            </w:pPr>
            <w:r/>
            <w:r>
              <w:rPr>
                <w:rFonts w:ascii="宋体" w:hAnsi="宋体" w:eastAsia="宋体"/>
                <w:sz w:val="18"/>
              </w:rPr>
              <w:t>复审拖延、触发缺位，参数老化累积，溢出弱化</w:t>
            </w:r>
          </w:p>
        </w:tc>
        <w:tc>
          <w:tcPr>
            <w:tcW w:type="dxa" w:w="1215"/>
            <w:vAlign w:val="center"/>
          </w:tcPr>
          <w:p>
            <w:pPr>
              <w:spacing w:line="240" w:lineRule="auto" w:after="20" w:before="20"/>
              <w:jc w:val="center"/>
            </w:pPr>
            <w:r/>
            <w:r>
              <w:rPr>
                <w:rFonts w:ascii="宋体" w:hAnsi="宋体" w:eastAsia="宋体"/>
                <w:sz w:val="18"/>
              </w:rPr>
              <w:t>2400</w:t>
            </w:r>
          </w:p>
        </w:tc>
        <w:tc>
          <w:tcPr>
            <w:tcW w:type="dxa" w:w="1215"/>
            <w:vAlign w:val="center"/>
          </w:tcPr>
          <w:p>
            <w:pPr>
              <w:spacing w:line="240" w:lineRule="auto" w:after="20" w:before="20"/>
              <w:jc w:val="center"/>
            </w:pPr>
            <w:r/>
            <w:r>
              <w:rPr>
                <w:rFonts w:ascii="宋体" w:hAnsi="宋体" w:eastAsia="宋体"/>
                <w:sz w:val="18"/>
              </w:rPr>
              <w:t>2310</w:t>
            </w:r>
          </w:p>
        </w:tc>
        <w:tc>
          <w:tcPr>
            <w:tcW w:type="dxa" w:w="1215"/>
            <w:vAlign w:val="center"/>
          </w:tcPr>
          <w:p>
            <w:pPr>
              <w:spacing w:line="240" w:lineRule="auto" w:after="20" w:before="20"/>
              <w:jc w:val="center"/>
            </w:pPr>
            <w:r/>
            <w:r>
              <w:rPr>
                <w:rFonts w:ascii="宋体" w:hAnsi="宋体" w:eastAsia="宋体"/>
                <w:sz w:val="18"/>
              </w:rPr>
              <w:t>0.55</w:t>
            </w:r>
          </w:p>
        </w:tc>
        <w:tc>
          <w:tcPr>
            <w:tcW w:type="dxa" w:w="1215"/>
            <w:vAlign w:val="center"/>
          </w:tcPr>
          <w:p>
            <w:pPr>
              <w:spacing w:line="240" w:lineRule="auto" w:after="20" w:before="20"/>
              <w:jc w:val="center"/>
            </w:pPr>
            <w:r/>
            <w:r>
              <w:rPr>
                <w:rFonts w:ascii="宋体" w:hAnsi="宋体" w:eastAsia="宋体"/>
                <w:sz w:val="18"/>
              </w:rPr>
              <w:t>0.58</w:t>
            </w:r>
          </w:p>
        </w:tc>
        <w:tc>
          <w:tcPr>
            <w:tcW w:type="dxa" w:w="1215"/>
            <w:vAlign w:val="center"/>
          </w:tcPr>
          <w:p>
            <w:pPr>
              <w:spacing w:line="240" w:lineRule="auto" w:after="20" w:before="20"/>
              <w:jc w:val="center"/>
            </w:pPr>
            <w:r/>
            <w:r>
              <w:rPr>
                <w:rFonts w:ascii="宋体" w:hAnsi="宋体" w:eastAsia="宋体"/>
                <w:sz w:val="18"/>
              </w:rPr>
              <w:t>−0.6%</w:t>
            </w:r>
          </w:p>
        </w:tc>
      </w:tr>
    </w:tbl>
    <w:p>
      <w:pPr>
        <w:spacing w:after="200" w:line="240" w:lineRule="auto"/>
      </w:pPr>
      <w:r>
        <w:rPr>
          <w:rFonts w:ascii="宋体" w:hAnsi="宋体" w:eastAsia="宋体"/>
          <w:sz w:val="18"/>
        </w:rPr>
        <w:t>注：存量为五大功能模块合计有效标准数；效能为式(10-5)定义的综合指数；三情景2025年起点相同（存量2450项、效能0.52），各模块资源投入路径相同。数据来源：本书系统动力学模型仿真结果。</w:t>
      </w:r>
    </w:p>
    <w:p>
      <w:pPr>
        <w:spacing w:line="360" w:lineRule="auto" w:after="0"/>
        <w:ind w:firstLineChars="200" w:firstLine="480"/>
        <w:jc w:val="both"/>
      </w:pPr>
      <w:r>
        <w:rPr>
          <w:rFonts w:ascii="宋体" w:hAnsi="宋体" w:eastAsia="宋体"/>
          <w:sz w:val="24"/>
        </w:rPr>
        <w:t>由表10.2可见，同样的资源投入在不同机制下产出差异悬殊的体系状态。到2035年，标准存量在基准、协同优化与更新滞后情景下分别为2850项、3420项与2310项，较2025年的2450项分别增长16.3%、增长39.6%与下降5.7%；体系效能分别达到0.71、0.83与0.58。协同优化相对基准的存量优势达570项、效能优势达0.12，而更新滞后相对基准的存量损失为540项、效能损失为0.13——机制运转与否，足以在十年内造成体系状态的代际差距。</w:t>
      </w:r>
    </w:p>
    <w:p>
      <w:pPr>
        <w:keepNext/>
        <w:spacing w:before="160" w:after="120" w:line="360" w:lineRule="auto"/>
        <w:outlineLvl w:val="2"/>
      </w:pPr>
      <w:r>
        <w:rPr>
          <w:rFonts w:ascii="黑体" w:hAnsi="黑体" w:eastAsia="黑体"/>
          <w:sz w:val="24"/>
        </w:rPr>
        <w:t>10.3.2  仿真结果：协同增效的定量证据</w:t>
      </w:r>
    </w:p>
    <w:p>
      <w:pPr>
        <w:spacing w:line="360" w:lineRule="auto" w:after="0"/>
        <w:ind w:firstLineChars="200" w:firstLine="480"/>
        <w:jc w:val="both"/>
      </w:pPr>
      <w:r>
        <w:rPr>
          <w:rFonts w:ascii="宋体" w:hAnsi="宋体" w:eastAsia="宋体"/>
          <w:sz w:val="24"/>
        </w:rPr>
        <w:t>图10.3绘制了三情景下存量与效能的完整轨迹。由图10.3可见，三条路径的分化呈现清晰的时间结构。协同优化情景的存量以年均3.4%的速度扩张，且轨迹略呈上凸——溢出网络使增长自我强化；基准情景年均增速1.5%，轨迹近乎线性；更新滞后情景则先缓后急地走低，2035年存量2310项已低于2025年起点，出现净收缩。效能轨迹的分化更为陡峭：协同优化情景由0.52升至0.83，更新滞后情景十年仅提升0.06，在0.55上下徘徊后勉强收于0.58。</w:t>
      </w:r>
    </w:p>
    <w:p>
      <w:pPr>
        <w:spacing w:before="120" w:after="40"/>
        <w:jc w:val="center"/>
      </w:pPr>
      <w:r>
        <w:drawing>
          <wp:inline xmlns:a="http://schemas.openxmlformats.org/drawingml/2006/main" xmlns:pic="http://schemas.openxmlformats.org/drawingml/2006/picture">
            <wp:extent cx="4860000" cy="2202881"/>
            <wp:docPr id="34" name="Picture 34"/>
            <wp:cNvGraphicFramePr>
              <a:graphicFrameLocks noChangeAspect="1"/>
            </wp:cNvGraphicFramePr>
            <a:graphic>
              <a:graphicData uri="http://schemas.openxmlformats.org/drawingml/2006/picture">
                <pic:pic>
                  <pic:nvPicPr>
                    <pic:cNvPr id="0" name="fig10_3.png"/>
                    <pic:cNvPicPr/>
                  </pic:nvPicPr>
                  <pic:blipFill>
                    <a:blip r:embed="rId42"/>
                    <a:stretch>
                      <a:fillRect/>
                    </a:stretch>
                  </pic:blipFill>
                  <pic:spPr>
                    <a:xfrm>
                      <a:off x="0" y="0"/>
                      <a:ext cx="4860000" cy="2202881"/>
                    </a:xfrm>
                    <a:prstGeom prst="rect"/>
                  </pic:spPr>
                </pic:pic>
              </a:graphicData>
            </a:graphic>
          </wp:inline>
        </w:drawing>
      </w:r>
    </w:p>
    <w:p>
      <w:pPr>
        <w:keepNext w:val="0"/>
        <w:spacing w:after="200"/>
        <w:jc w:val="center"/>
      </w:pPr>
      <w:r>
        <w:rPr>
          <w:rFonts w:ascii="黑体" w:hAnsi="黑体" w:eastAsia="黑体"/>
          <w:sz w:val="21"/>
        </w:rPr>
        <w:t>图10.3  标准体系演化的系统动力学情景仿真（2026—2035）</w:t>
      </w:r>
    </w:p>
    <w:p>
      <w:pPr>
        <w:spacing w:line="360" w:lineRule="auto" w:after="0"/>
        <w:ind w:firstLineChars="200" w:firstLine="480"/>
        <w:jc w:val="both"/>
      </w:pPr>
      <w:r>
        <w:rPr>
          <w:rFonts w:ascii="宋体" w:hAnsi="宋体" w:eastAsia="宋体"/>
          <w:sz w:val="24"/>
        </w:rPr>
        <w:t>差距随时间加速放大是正反馈系统的典型指纹。协同优化与基准情景的存量差距，2030年为270项，2035年扩至570项；效能差距由2030年的0.07扩至2035年的0.12——后五年的差距增量明显大于前五年。其机理正是10.2节刻画的复利结构：协同早期打通的每一条溢出通道，都会在后续年份持续产生等效流入，并经“效能提升→需求实现→增量扩大”的回路再放大；反之，滞后情景中每一年的参数老化都会沉淀为存量中的“劣质资产”，拖累后续所有年份的效能。这一时间结构的政策含义直接而紧迫：“十五五”前半程是协同与更新机制的建设窗口，机制到位每推迟一年，到2035年损失的就不只是一年的增量，而是被复利放大的整段差距。</w:t>
      </w:r>
    </w:p>
    <w:p>
      <w:pPr>
        <w:spacing w:line="360" w:lineRule="auto" w:after="0"/>
        <w:ind w:firstLineChars="200" w:firstLine="480"/>
        <w:jc w:val="both"/>
      </w:pPr>
      <w:r>
        <w:rPr>
          <w:rFonts w:ascii="宋体" w:hAnsi="宋体" w:eastAsia="宋体"/>
          <w:sz w:val="24"/>
        </w:rPr>
        <w:t>协同增效“1+1&gt;2”的定量证据可以从效能增益的分解中读出。十年间基准情景效能增益为0.19，协同优化情景为0.31，后者是前者的约1.63倍；由于两情景的资源投入路径完全相同，超出部分只能来自机制本身——即约38.7%的协同情景效能增益由协同与更新机制贡献，而非投入扩张所致。机制的乘数结构清晰可辨：其一，溢出项使每个模块都获得其他模块的“免费流入”，五模块各自的建设成果经Φ网络相互转化，总量效果超过各模块孤立强化之和；其二，联动更新避免了版本错配对互补链条的割裂，使溢出通道在参数刷新后仍保持兼容；其三，口径统一压低了全链条的交易成本，标准化对生产率的微观促进效应在体系层面被同步放大（Blind等，2022；何凡等，2025）。这为第9章“协同互补”原则提供了动态验证：互补关系经由协同机制兑现的收益，在数量级上足以与新增投入的收益相当。</w:t>
      </w:r>
    </w:p>
    <w:p>
      <w:pPr>
        <w:spacing w:line="360" w:lineRule="auto" w:after="0"/>
        <w:ind w:firstLineChars="200" w:firstLine="480"/>
        <w:jc w:val="both"/>
      </w:pPr>
      <w:r>
        <w:rPr>
          <w:rFonts w:ascii="宋体" w:hAnsi="宋体" w:eastAsia="宋体"/>
          <w:sz w:val="24"/>
        </w:rPr>
        <w:t>更新滞后情景的解剖同样富有警示意义。该情景存量到2035年净减少140项，原因在于：触发机制缺位使集中整合无从发生，表面上减少了流出，但参数老化推高自然废止、口径分歧削弱溢出流入，加之维护负担挤占新增制定资源，三者叠加令流入不敌流出。更关键的是质量端——老化标准滞留存量之中形成“僵尸标准”，效能被时效性因子持续拖低，2035年仅0.58，较基准低0.13。对照10.1节的三重漂移可见，滞后情景并非危言耸听的假想，而是对“十三五”教训在“十五五”重演的量化推演：不更新不是原地踏步，而是在技术与规则快速前行的参照系中倒退。</w:t>
      </w:r>
    </w:p>
    <w:p>
      <w:pPr>
        <w:spacing w:line="360" w:lineRule="auto" w:after="0"/>
        <w:ind w:firstLineChars="200" w:firstLine="480"/>
        <w:jc w:val="both"/>
      </w:pPr>
      <w:r>
        <w:rPr>
          <w:rFonts w:ascii="宋体" w:hAnsi="宋体" w:eastAsia="宋体"/>
          <w:sz w:val="24"/>
        </w:rPr>
        <w:t>分模块观察，协同红利的分布与Φ矩阵结构一致。碳排放核算模块作为溢出源枢纽（列和0.28），其建设进度决定全系统的协同上限，协同情景中核算模块的率先充实带动碳足迹与绿色金融模块明显提速；碳吸收模块在基准情景下始终是效能短板，而在协同情景中，为其补建的核算接口（碳汇计量方法学与核算通则的衔接条款）使其得以并入互补网络，2023年10月首批造林碳汇等四项自愿减排方法学发布与2024年1月全国温室气体自愿减排交易市场重启，正是这类接口建设的现实起点（蓝虹和杜彦霖，2024；张一林等，2025）。碳市场扩围的经验同样佐证了协同的价值：2025年3月钢铁、水泥、铝冶炼纳入全国碳市场后，重点排放单位增至约3700家、覆盖排放量约80亿吨，配额管理对核算核查标准的依赖同步放大（Cui等，2021；张奕辉，2024）——市场机制类制度创新每前进一步，都在为标准协同网络添加新的需求节点。</w:t>
      </w:r>
    </w:p>
    <w:p>
      <w:pPr>
        <w:keepNext/>
        <w:spacing w:before="160" w:after="120" w:line="360" w:lineRule="auto"/>
        <w:outlineLvl w:val="1"/>
      </w:pPr>
      <w:r>
        <w:rPr>
          <w:rFonts w:ascii="黑体" w:hAnsi="黑体" w:eastAsia="黑体"/>
          <w:sz w:val="28"/>
        </w:rPr>
        <w:t>10.4  动态更新触发机制设计</w:t>
      </w:r>
    </w:p>
    <w:p>
      <w:pPr>
        <w:keepNext/>
        <w:spacing w:before="160" w:after="120" w:line="360" w:lineRule="auto"/>
        <w:outlineLvl w:val="2"/>
      </w:pPr>
      <w:r>
        <w:rPr>
          <w:rFonts w:ascii="黑体" w:hAnsi="黑体" w:eastAsia="黑体"/>
          <w:sz w:val="24"/>
        </w:rPr>
        <w:t>10.4.1  技术—政策偏离度与BAT基准</w:t>
      </w:r>
    </w:p>
    <w:p>
      <w:pPr>
        <w:spacing w:line="360" w:lineRule="auto" w:after="0"/>
        <w:ind w:firstLineChars="200" w:firstLine="480"/>
        <w:jc w:val="both"/>
      </w:pPr>
      <w:r>
        <w:rPr>
          <w:rFonts w:ascii="宋体" w:hAnsi="宋体" w:eastAsia="宋体"/>
          <w:sz w:val="24"/>
        </w:rPr>
        <w:t>更新机制的核心问题是“何时修订”。现行以固定周期为主的复审制度存在结构性缺陷：周期与技术节奏脱钩——对光伏、动力电池等快速迭代领域，五年足以让参数落后一至两代技术，而对成熟稳定领域，机械复审又造成程序空转；更重要的是，固定周期是时间触发而非状态触发，无法对CBAM规则调整、双控基准转换这类离散冲击作出即时响应。为此，本章设计以标准的实际滞后状态为依据的触发机制，其监测变量为技术—政策偏离度：</w:t>
      </w:r>
    </w:p>
    <w:p>
      <w:pPr>
        <w:tabs>
          <w:tab w:pos="4252" w:val="center"/>
          <w:tab w:pos="8504" w:val="right"/>
        </w:tabs>
        <w:spacing w:line="360" w:lineRule="auto" w:before="80" w:after="80"/>
      </w:pPr>
      <w:r>
        <w:tab/>
      </w:r>
      <m:oMath>
        <m:r>
          <m:t>T</m:t>
        </m:r>
        <m:r>
          <m:t>P</m:t>
        </m:r>
        <m:sSub>
          <m:e>
            <m:r>
              <m:t>D</m:t>
            </m:r>
          </m:e>
          <m:sub>
            <m:r>
              <m:t>k</m:t>
            </m:r>
            <m:r>
              <m:t>t</m:t>
            </m:r>
          </m:sub>
        </m:sSub>
        <m:r>
          <m:rPr>
            <m:sty m:val="p"/>
          </m:rPr>
          <m:t>=</m:t>
        </m:r>
        <m:f>
          <m:fPr>
            <m:type m:val="bar"/>
          </m:fPr>
          <m:num>
            <m:r>
              <m:t>T</m:t>
            </m:r>
            <m:sSub>
              <m:e>
                <m:r>
                  <m:t>L</m:t>
                </m:r>
              </m:e>
              <m:sub>
                <m:r>
                  <m:t>k</m:t>
                </m:r>
                <m:r>
                  <m:t>t</m:t>
                </m:r>
              </m:sub>
            </m:sSub>
            <m:r>
              <m:rPr>
                <m:sty m:val="p"/>
              </m:rPr>
              <m:t>−</m:t>
            </m:r>
            <m:r>
              <m:t>S</m:t>
            </m:r>
            <m:sSub>
              <m:e>
                <m:r>
                  <m:t>L</m:t>
                </m:r>
              </m:e>
              <m:sub>
                <m:r>
                  <m:t>k</m:t>
                </m:r>
                <m:r>
                  <m:t>t</m:t>
                </m:r>
              </m:sub>
            </m:sSub>
          </m:num>
          <m:den>
            <m:r>
              <m:t>T</m:t>
            </m:r>
            <m:sSub>
              <m:e>
                <m:r>
                  <m:t>L</m:t>
                </m:r>
              </m:e>
              <m:sub>
                <m:r>
                  <m:t>k</m:t>
                </m:r>
                <m:r>
                  <m:t>t</m:t>
                </m:r>
              </m:sub>
            </m:sSub>
          </m:den>
        </m:f>
      </m:oMath>
      <w:r>
        <w:tab/>
      </w:r>
      <w:r>
        <w:rPr>
          <w:rFonts w:ascii="Times New Roman" w:hAnsi="Times New Roman" w:eastAsia="宋体"/>
          <w:sz w:val="24"/>
        </w:rPr>
        <w:t>(10-6)</w:t>
      </w:r>
    </w:p>
    <w:p>
      <w:pPr>
        <w:spacing w:line="360" w:lineRule="auto" w:after="0"/>
        <w:jc w:val="both"/>
      </w:pPr>
      <w:r>
        <w:rPr>
          <w:rFonts w:ascii="宋体" w:hAnsi="宋体" w:eastAsia="宋体"/>
          <w:sz w:val="24"/>
        </w:rPr>
        <w:t>其中，</w:t>
      </w:r>
      <m:oMath>
        <m:r>
          <m:t>T</m:t>
        </m:r>
        <m:sSub>
          <m:e>
            <m:r>
              <m:t>L</m:t>
            </m:r>
          </m:e>
          <m:sub>
            <m:r>
              <m:t>k</m:t>
            </m:r>
            <m:r>
              <m:t>t</m:t>
            </m:r>
          </m:sub>
        </m:sSub>
      </m:oMath>
      <w:r>
        <w:rPr>
          <w:rFonts w:ascii="宋体" w:hAnsi="宋体" w:eastAsia="宋体"/>
          <w:sz w:val="24"/>
        </w:rPr>
        <w:t>为第</w:t>
      </w:r>
      <m:oMath>
        <m:r>
          <m:t>k</m:t>
        </m:r>
      </m:oMath>
      <w:r>
        <w:rPr>
          <w:rFonts w:ascii="宋体" w:hAnsi="宋体" w:eastAsia="宋体"/>
          <w:sz w:val="24"/>
        </w:rPr>
        <w:t>模块的技术前沿水平，按最佳可行技术（BAT）的绩效确定；</w:t>
      </w:r>
      <m:oMath>
        <m:r>
          <m:t>S</m:t>
        </m:r>
        <m:sSub>
          <m:e>
            <m:r>
              <m:t>L</m:t>
            </m:r>
          </m:e>
          <m:sub>
            <m:r>
              <m:t>k</m:t>
            </m:r>
            <m:r>
              <m:t>t</m:t>
            </m:r>
          </m:sub>
        </m:sSub>
      </m:oMath>
      <w:r>
        <w:rPr>
          <w:rFonts w:ascii="宋体" w:hAnsi="宋体" w:eastAsia="宋体"/>
          <w:sz w:val="24"/>
        </w:rPr>
        <w:t>为现行标准规定的技术水平；</w:t>
      </w:r>
      <m:oMath>
        <m:r>
          <m:t>T</m:t>
        </m:r>
        <m:r>
          <m:t>P</m:t>
        </m:r>
        <m:sSub>
          <m:e>
            <m:r>
              <m:t>D</m:t>
            </m:r>
          </m:e>
          <m:sub>
            <m:r>
              <m:t>k</m:t>
            </m:r>
            <m:r>
              <m:t>t</m:t>
            </m:r>
          </m:sub>
        </m:sSub>
        <m:r>
          <m:rPr>
            <m:sty m:val="p"/>
          </m:rPr>
          <m:t>∈</m:t>
        </m:r>
        <m:r>
          <m:rPr>
            <m:sty m:val="p"/>
          </m:rPr>
          <m:t>[</m:t>
        </m:r>
        <m:r>
          <m:t>0</m:t>
        </m:r>
        <m:r>
          <m:rPr>
            <m:sty m:val="p"/>
          </m:rPr>
          <m:t>,</m:t>
        </m:r>
        <m:r>
          <m:t>1</m:t>
        </m:r>
        <m:r>
          <m:rPr>
            <m:sty m:val="p"/>
          </m:rPr>
          <m:t>)</m:t>
        </m:r>
      </m:oMath>
      <w:r>
        <w:rPr>
          <w:rFonts w:ascii="宋体" w:hAnsi="宋体" w:eastAsia="宋体"/>
          <w:sz w:val="24"/>
        </w:rPr>
        <w:t>，取值为零表示标准与前沿同步，取值越大表示滞后越严重。</w:t>
      </w:r>
    </w:p>
    <w:p>
      <w:pPr>
        <w:spacing w:line="360" w:lineRule="auto" w:after="0"/>
        <w:ind w:firstLineChars="200" w:firstLine="480"/>
        <w:jc w:val="both"/>
      </w:pPr>
      <w:r>
        <w:rPr>
          <w:rFonts w:ascii="宋体" w:hAnsi="宋体" w:eastAsia="宋体"/>
          <w:sz w:val="24"/>
        </w:rPr>
        <w:t>BAT基准</w:t>
      </w:r>
      <m:oMath>
        <m:r>
          <m:t>T</m:t>
        </m:r>
        <m:sSub>
          <m:e>
            <m:r>
              <m:t>L</m:t>
            </m:r>
          </m:e>
          <m:sub>
            <m:r>
              <m:t>k</m:t>
            </m:r>
            <m:r>
              <m:t>t</m:t>
            </m:r>
          </m:sub>
        </m:sSub>
      </m:oMath>
      <w:r>
        <w:rPr>
          <w:rFonts w:ascii="宋体" w:hAnsi="宋体" w:eastAsia="宋体"/>
          <w:sz w:val="24"/>
        </w:rPr>
        <w:t>的确定综合三个信息源。一是国内技术前沿：以绿色低碳专利与中试示范数据刻画可产业化的技术水平——截至2024年底28.3万件的绿色低碳有效专利存量，为分领域测度前沿提供了大样本基础；二是标杆绩效：行业能效“领跑者”与示范工程的实测水平，代表已经商业化验证的最佳实践；三是国际参照：ISO/IEC对应标准与欧盟规则的参数要求（Wu等，2015；童庆蒙等，2018），将国际差距内置于国内更新基准，使对内更新与对外接轨同频。技术上，</w:t>
      </w:r>
      <m:oMath>
        <m:r>
          <m:t>T</m:t>
        </m:r>
        <m:sSub>
          <m:e>
            <m:r>
              <m:t>L</m:t>
            </m:r>
          </m:e>
          <m:sub>
            <m:r>
              <m:t>k</m:t>
            </m:r>
            <m:r>
              <m:t>t</m:t>
            </m:r>
          </m:sub>
        </m:sSub>
      </m:oMath>
      <w:r>
        <w:rPr>
          <w:rFonts w:ascii="宋体" w:hAnsi="宋体" w:eastAsia="宋体"/>
          <w:sz w:val="24"/>
        </w:rPr>
        <w:t>取三个来源的稳健上包络并作平滑处理，剔除偶发极值，避免把噪声当作前沿。在此基础上，更新规则设定为：</w:t>
      </w:r>
    </w:p>
    <w:p>
      <w:pPr>
        <w:tabs>
          <w:tab w:pos="4252" w:val="center"/>
          <w:tab w:pos="8504" w:val="right"/>
        </w:tabs>
        <w:spacing w:line="360" w:lineRule="auto" w:before="80" w:after="80"/>
      </w:pPr>
      <w:r>
        <w:tab/>
      </w:r>
      <m:oMath>
        <m:r>
          <m:t>S</m:t>
        </m:r>
        <m:sSubSup>
          <m:e>
            <m:r>
              <m:t>L</m:t>
            </m:r>
          </m:e>
          <m:sub>
            <m:r>
              <m:t>k</m:t>
            </m:r>
            <m:r>
              <m:t>t</m:t>
            </m:r>
          </m:sub>
          <m:sup>
            <m:r>
              <m:rPr>
                <m:sty m:val="p"/>
              </m:rPr>
              <m:t>+</m:t>
            </m:r>
          </m:sup>
        </m:sSubSup>
        <m:r>
          <m:rPr>
            <m:sty m:val="p"/>
          </m:rPr>
          <m:t>=</m:t>
        </m:r>
        <m:r>
          <m:t>S</m:t>
        </m:r>
        <m:sSub>
          <m:e>
            <m:r>
              <m:t>L</m:t>
            </m:r>
          </m:e>
          <m:sub>
            <m:r>
              <m:t>k</m:t>
            </m:r>
            <m:r>
              <m:t>t</m:t>
            </m:r>
          </m:sub>
        </m:sSub>
        <m:r>
          <m:rPr>
            <m:sty m:val="p"/>
          </m:rPr>
          <m:t>+</m:t>
        </m:r>
        <m:sSub>
          <m:e>
            <m:r>
              <m:t>ρ</m:t>
            </m:r>
          </m:e>
          <m:sub>
            <m:r>
              <m:t>k</m:t>
            </m:r>
          </m:sub>
        </m:sSub>
        <m:d>
          <m:dPr>
            <m:begChr m:val="("/>
            <m:sepChr m:val=""/>
            <m:endChr m:val=")"/>
            <m:grow/>
          </m:dPr>
          <m:e>
            <m:r>
              <m:t>T</m:t>
            </m:r>
            <m:sSub>
              <m:e>
                <m:r>
                  <m:t>L</m:t>
                </m:r>
              </m:e>
              <m:sub>
                <m:r>
                  <m:t>k</m:t>
                </m:r>
                <m:r>
                  <m:t>t</m:t>
                </m:r>
              </m:sub>
            </m:sSub>
            <m:r>
              <m:rPr>
                <m:sty m:val="p"/>
              </m:rPr>
              <m:t>−</m:t>
            </m:r>
            <m:r>
              <m:t>S</m:t>
            </m:r>
            <m:sSub>
              <m:e>
                <m:r>
                  <m:t>L</m:t>
                </m:r>
              </m:e>
              <m:sub>
                <m:r>
                  <m:t>k</m:t>
                </m:r>
                <m:r>
                  <m:t>t</m:t>
                </m:r>
              </m:sub>
            </m:sSub>
          </m:e>
        </m:d>
        <m:r>
          <m:rPr>
            <m:sty m:val="p"/>
          </m:rPr>
          <m:t>,</m:t>
        </m:r>
        <m:r>
          <m:t>  </m:t>
        </m:r>
        <m:r>
          <m:t>T</m:t>
        </m:r>
        <m:r>
          <m:t>P</m:t>
        </m:r>
        <m:sSub>
          <m:e>
            <m:r>
              <m:t>D</m:t>
            </m:r>
          </m:e>
          <m:sub>
            <m:r>
              <m:t>k</m:t>
            </m:r>
            <m:r>
              <m:t>t</m:t>
            </m:r>
          </m:sub>
        </m:sSub>
        <m:r>
          <m:rPr>
            <m:sty m:val="p"/>
          </m:rPr>
          <m:t>≥</m:t>
        </m:r>
        <m:r>
          <m:t>T</m:t>
        </m:r>
        <m:r>
          <m:t>P</m:t>
        </m:r>
        <m:sSup>
          <m:e>
            <m:r>
              <m:t>D</m:t>
            </m:r>
          </m:e>
          <m:sup>
            <m:r>
              <m:rPr>
                <m:sty m:val="p"/>
              </m:rPr>
              <m:t>*</m:t>
            </m:r>
          </m:sup>
        </m:sSup>
      </m:oMath>
      <w:r>
        <w:tab/>
      </w:r>
      <w:r>
        <w:rPr>
          <w:rFonts w:ascii="Times New Roman" w:hAnsi="Times New Roman" w:eastAsia="宋体"/>
          <w:sz w:val="24"/>
        </w:rPr>
        <w:t>(10-7)</w:t>
      </w:r>
    </w:p>
    <w:p>
      <w:pPr>
        <w:spacing w:line="360" w:lineRule="auto" w:after="0"/>
        <w:jc w:val="both"/>
      </w:pPr>
      <w:r>
        <w:rPr>
          <w:rFonts w:ascii="宋体" w:hAnsi="宋体" w:eastAsia="宋体"/>
          <w:sz w:val="24"/>
        </w:rPr>
        <w:t>其中，</w:t>
      </w:r>
      <m:oMath>
        <m:r>
          <m:t>S</m:t>
        </m:r>
        <m:sSubSup>
          <m:e>
            <m:r>
              <m:t>L</m:t>
            </m:r>
          </m:e>
          <m:sub>
            <m:r>
              <m:t>k</m:t>
            </m:r>
            <m:r>
              <m:t>t</m:t>
            </m:r>
          </m:sub>
          <m:sup>
            <m:r>
              <m:rPr>
                <m:sty m:val="p"/>
              </m:rPr>
              <m:t>+</m:t>
            </m:r>
          </m:sup>
        </m:sSubSup>
      </m:oMath>
      <w:r>
        <w:rPr>
          <w:rFonts w:ascii="宋体" w:hAnsi="宋体" w:eastAsia="宋体"/>
          <w:sz w:val="24"/>
        </w:rPr>
        <w:t>为修订后的标准水平，</w:t>
      </w:r>
      <m:oMath>
        <m:sSub>
          <m:e>
            <m:r>
              <m:t>ρ</m:t>
            </m:r>
          </m:e>
          <m:sub>
            <m:r>
              <m:t>k</m:t>
            </m:r>
          </m:sub>
        </m:sSub>
        <m:r>
          <m:rPr>
            <m:sty m:val="p"/>
          </m:rPr>
          <m:t>∈</m:t>
        </m:r>
        <m:r>
          <m:rPr>
            <m:sty m:val="p"/>
          </m:rPr>
          <m:t>(</m:t>
        </m:r>
        <m:r>
          <m:t>0</m:t>
        </m:r>
        <m:r>
          <m:rPr>
            <m:sty m:val="p"/>
          </m:rPr>
          <m:t>,</m:t>
        </m:r>
        <m:r>
          <m:t>1</m:t>
        </m:r>
        <m:r>
          <m:rPr>
            <m:sty m:val="p"/>
          </m:rPr>
          <m:t>]</m:t>
        </m:r>
      </m:oMath>
      <w:r>
        <w:rPr>
          <w:rFonts w:ascii="宋体" w:hAnsi="宋体" w:eastAsia="宋体"/>
          <w:sz w:val="24"/>
        </w:rPr>
        <w:t>为修订到位率，刻画单次修订向前沿逼近的幅度；偏离度达到阈值</w:t>
      </w:r>
      <m:oMath>
        <m:r>
          <m:t>T</m:t>
        </m:r>
        <m:r>
          <m:t>P</m:t>
        </m:r>
        <m:sSup>
          <m:e>
            <m:r>
              <m:t>D</m:t>
            </m:r>
          </m:e>
          <m:sup>
            <m:r>
              <m:rPr>
                <m:sty m:val="p"/>
              </m:rPr>
              <m:t>*</m:t>
            </m:r>
          </m:sup>
        </m:sSup>
      </m:oMath>
      <w:r>
        <w:rPr>
          <w:rFonts w:ascii="宋体" w:hAnsi="宋体" w:eastAsia="宋体"/>
          <w:sz w:val="24"/>
        </w:rPr>
        <w:t>即触发修订。</w:t>
      </w:r>
    </w:p>
    <w:p>
      <w:pPr>
        <w:spacing w:line="360" w:lineRule="auto" w:after="0"/>
        <w:ind w:firstLineChars="200" w:firstLine="480"/>
        <w:jc w:val="both"/>
      </w:pPr>
      <w:r>
        <w:rPr>
          <w:rFonts w:ascii="宋体" w:hAnsi="宋体" w:eastAsia="宋体"/>
          <w:sz w:val="24"/>
        </w:rPr>
        <w:t>触发机制的运行逻辑由此闭合：常态下监测平台按年更新各模块TPD；一旦越过阈值，修订程序启动，</w:t>
      </w:r>
      <m:oMath>
        <m:r>
          <m:t>S</m:t>
        </m:r>
        <m:r>
          <m:t>L</m:t>
        </m:r>
      </m:oMath>
      <w:r>
        <w:rPr>
          <w:rFonts w:ascii="宋体" w:hAnsi="宋体" w:eastAsia="宋体"/>
          <w:sz w:val="24"/>
        </w:rPr>
        <w:t>按式(10-7)跳升、TPD回落，体系进入下一轮“漂移—触发—刷新”循环。到位率</w:t>
      </w:r>
      <m:oMath>
        <m:sSub>
          <m:e>
            <m:r>
              <m:t>ρ</m:t>
            </m:r>
          </m:e>
          <m:sub>
            <m:r>
              <m:t>k</m:t>
            </m:r>
          </m:sub>
        </m:sSub>
        <m:r>
          <m:rPr>
            <m:sty m:val="p"/>
          </m:rPr>
          <m:t>&lt;</m:t>
        </m:r>
        <m:r>
          <m:t>1</m:t>
        </m:r>
      </m:oMath>
      <w:r>
        <w:rPr>
          <w:rFonts w:ascii="宋体" w:hAnsi="宋体" w:eastAsia="宋体"/>
          <w:sz w:val="24"/>
        </w:rPr>
        <w:t>的设定符合修订实践——参数不必一步顶到前沿，须为企业设备改造周期与检测认证能力留出空间；而阶梯式收紧的动态严格性恰是波特假说成立的重要条件：可预期的渐进加严既施加创新压力，又避免一次性休克（Porter和van der Linde，1995；Aghion等，2016）。标准由此从静态门槛转变为与技术进步共演进的“移动标尺”，规制与创新形成相互追赶的良性循环（Foucart和Li，2021）。</w:t>
      </w:r>
    </w:p>
    <w:p>
      <w:pPr>
        <w:keepNext/>
        <w:spacing w:before="160" w:after="120" w:line="360" w:lineRule="auto"/>
        <w:outlineLvl w:val="2"/>
      </w:pPr>
      <w:r>
        <w:rPr>
          <w:rFonts w:ascii="黑体" w:hAnsi="黑体" w:eastAsia="黑体"/>
          <w:sz w:val="24"/>
        </w:rPr>
        <w:t>10.4.2  触发阈值的权衡机理</w:t>
      </w:r>
    </w:p>
    <w:p>
      <w:pPr>
        <w:spacing w:line="360" w:lineRule="auto" w:after="0"/>
        <w:ind w:firstLineChars="200" w:firstLine="480"/>
        <w:jc w:val="both"/>
      </w:pPr>
      <w:r>
        <w:rPr>
          <w:rFonts w:ascii="宋体" w:hAnsi="宋体" w:eastAsia="宋体"/>
          <w:sz w:val="24"/>
        </w:rPr>
        <w:t>触发机制的关键参数是阈值</w:t>
      </w:r>
      <m:oMath>
        <m:r>
          <m:t>T</m:t>
        </m:r>
        <m:r>
          <m:t>P</m:t>
        </m:r>
        <m:sSup>
          <m:e>
            <m:r>
              <m:t>D</m:t>
            </m:r>
          </m:e>
          <m:sup>
            <m:r>
              <m:rPr>
                <m:sty m:val="p"/>
              </m:rPr>
              <m:t>*</m:t>
            </m:r>
          </m:sup>
        </m:sSup>
      </m:oMath>
      <w:r>
        <w:rPr>
          <w:rFonts w:ascii="宋体" w:hAnsi="宋体" w:eastAsia="宋体"/>
          <w:sz w:val="24"/>
        </w:rPr>
        <w:t>：定得过低，标准“朝令夕改”；定得过高，更新名存实亡。为澄清权衡的解析结构，考察一个可处理的特例：设技术前沿以速率</w:t>
      </w:r>
      <m:oMath>
        <m:sSub>
          <m:e>
            <m:r>
              <m:t>g</m:t>
            </m:r>
          </m:e>
          <m:sub>
            <m:r>
              <m:t>k</m:t>
            </m:r>
          </m:sub>
        </m:sSub>
      </m:oMath>
      <w:r>
        <w:rPr>
          <w:rFonts w:ascii="宋体" w:hAnsi="宋体" w:eastAsia="宋体"/>
          <w:sz w:val="24"/>
        </w:rPr>
        <w:t>指数增长，每次触发修订将标准水平重置至前沿（</w:t>
      </w:r>
      <m:oMath>
        <m:sSub>
          <m:e>
            <m:r>
              <m:t>ρ</m:t>
            </m:r>
          </m:e>
          <m:sub>
            <m:r>
              <m:t>k</m:t>
            </m:r>
          </m:sub>
        </m:sSub>
        <m:r>
          <m:rPr>
            <m:sty m:val="p"/>
          </m:rPr>
          <m:t>=</m:t>
        </m:r>
        <m:r>
          <m:t>1</m:t>
        </m:r>
      </m:oMath>
      <w:r>
        <w:rPr>
          <w:rFonts w:ascii="宋体" w:hAnsi="宋体" w:eastAsia="宋体"/>
          <w:sz w:val="24"/>
        </w:rPr>
        <w:t>）。修订后偏离度从零重新累积，</w:t>
      </w:r>
      <m:oMath>
        <m:r>
          <m:t>T</m:t>
        </m:r>
        <m:r>
          <m:t>P</m:t>
        </m:r>
        <m:sSub>
          <m:e>
            <m:r>
              <m:t>D</m:t>
            </m:r>
          </m:e>
          <m:sub>
            <m:r>
              <m:t>k</m:t>
            </m:r>
            <m:r>
              <m:t>t</m:t>
            </m:r>
          </m:sub>
        </m:sSub>
        <m:r>
          <m:rPr>
            <m:sty m:val="p"/>
          </m:rPr>
          <m:t>=</m:t>
        </m:r>
        <m:r>
          <m:t>1</m:t>
        </m:r>
        <m:r>
          <m:rPr>
            <m:sty m:val="p"/>
          </m:rPr>
          <m:t>−</m:t>
        </m:r>
        <m:sSup>
          <m:e>
            <m:r>
              <m:rPr>
                <m:sty m:val="p"/>
              </m:rPr>
              <m:t>e</m:t>
            </m:r>
          </m:e>
          <m:sup>
            <m:r>
              <m:rPr>
                <m:sty m:val="p"/>
              </m:rPr>
              <m:t>−</m:t>
            </m:r>
            <m:sSub>
              <m:e>
                <m:r>
                  <m:t>g</m:t>
                </m:r>
              </m:e>
              <m:sub>
                <m:r>
                  <m:t>k</m:t>
                </m:r>
              </m:sub>
            </m:sSub>
            <m:r>
              <m:t>τ</m:t>
            </m:r>
          </m:sup>
        </m:sSup>
      </m:oMath>
      <w:r>
        <w:rPr>
          <w:rFonts w:ascii="宋体" w:hAnsi="宋体" w:eastAsia="宋体"/>
          <w:sz w:val="24"/>
        </w:rPr>
        <w:t>（</w:t>
      </w:r>
      <m:oMath>
        <m:r>
          <m:t>τ</m:t>
        </m:r>
      </m:oMath>
      <w:r>
        <w:rPr>
          <w:rFonts w:ascii="宋体" w:hAnsi="宋体" w:eastAsia="宋体"/>
          <w:sz w:val="24"/>
        </w:rPr>
        <w:t>为距上次修订的时间），达到阈值所需的时间即相邻两次修订的间隔：</w:t>
      </w:r>
    </w:p>
    <w:p>
      <w:pPr>
        <w:tabs>
          <w:tab w:pos="4252" w:val="center"/>
          <w:tab w:pos="8504" w:val="right"/>
        </w:tabs>
        <w:spacing w:line="360" w:lineRule="auto" w:before="80" w:after="80"/>
      </w:pPr>
      <w:r>
        <w:tab/>
      </w:r>
      <m:oMath>
        <m:sSubSup>
          <m:e>
            <m:r>
              <m:t>τ</m:t>
            </m:r>
          </m:e>
          <m:sub>
            <m:r>
              <m:t>k</m:t>
            </m:r>
          </m:sub>
          <m:sup>
            <m:r>
              <m:rPr>
                <m:sty m:val="p"/>
              </m:rPr>
              <m:t>*</m:t>
            </m:r>
          </m:sup>
        </m:sSubSup>
        <m:r>
          <m:rPr>
            <m:sty m:val="p"/>
          </m:rPr>
          <m:t>=</m:t>
        </m:r>
        <m:f>
          <m:fPr>
            <m:type m:val="bar"/>
          </m:fPr>
          <m:num>
            <m:r>
              <m:rPr>
                <m:sty m:val="p"/>
              </m:rPr>
              <m:t>−</m:t>
            </m:r>
            <m:r>
              <m:rPr>
                <m:sty m:val="p"/>
              </m:rPr>
              <m:t>ln</m:t>
            </m:r>
            <m:d>
              <m:dPr>
                <m:begChr m:val="("/>
                <m:sepChr m:val=""/>
                <m:endChr m:val=")"/>
                <m:grow/>
              </m:dPr>
              <m:e>
                <m:r>
                  <m:t>1</m:t>
                </m:r>
                <m:r>
                  <m:rPr>
                    <m:sty m:val="p"/>
                  </m:rPr>
                  <m:t>−</m:t>
                </m:r>
                <m:r>
                  <m:t>T</m:t>
                </m:r>
                <m:r>
                  <m:t>P</m:t>
                </m:r>
                <m:sSup>
                  <m:e>
                    <m:r>
                      <m:t>D</m:t>
                    </m:r>
                  </m:e>
                  <m:sup>
                    <m:r>
                      <m:rPr>
                        <m:sty m:val="p"/>
                      </m:rPr>
                      <m:t>*</m:t>
                    </m:r>
                  </m:sup>
                </m:sSup>
              </m:e>
            </m:d>
          </m:num>
          <m:den>
            <m:sSub>
              <m:e>
                <m:r>
                  <m:t>g</m:t>
                </m:r>
              </m:e>
              <m:sub>
                <m:r>
                  <m:t>k</m:t>
                </m:r>
              </m:sub>
            </m:sSub>
          </m:den>
        </m:f>
      </m:oMath>
      <w:r>
        <w:tab/>
      </w:r>
      <w:r>
        <w:rPr>
          <w:rFonts w:ascii="Times New Roman" w:hAnsi="Times New Roman" w:eastAsia="宋体"/>
          <w:sz w:val="24"/>
        </w:rPr>
        <w:t>(10-8)</w:t>
      </w:r>
    </w:p>
    <w:p>
      <w:pPr>
        <w:spacing w:line="360" w:lineRule="auto" w:after="0"/>
        <w:jc w:val="both"/>
      </w:pPr>
      <w:r>
        <w:rPr>
          <w:rFonts w:ascii="宋体" w:hAnsi="宋体" w:eastAsia="宋体"/>
          <w:sz w:val="24"/>
        </w:rPr>
        <w:t>其中，</w:t>
      </w:r>
      <m:oMath>
        <m:sSubSup>
          <m:e>
            <m:r>
              <m:t>τ</m:t>
            </m:r>
          </m:e>
          <m:sub>
            <m:r>
              <m:t>k</m:t>
            </m:r>
          </m:sub>
          <m:sup>
            <m:r>
              <m:rPr>
                <m:sty m:val="p"/>
              </m:rPr>
              <m:t>*</m:t>
            </m:r>
          </m:sup>
        </m:sSubSup>
      </m:oMath>
      <w:r>
        <w:rPr>
          <w:rFonts w:ascii="宋体" w:hAnsi="宋体" w:eastAsia="宋体"/>
          <w:sz w:val="24"/>
        </w:rPr>
        <w:t>为第</w:t>
      </w:r>
      <m:oMath>
        <m:r>
          <m:t>k</m:t>
        </m:r>
      </m:oMath>
      <w:r>
        <w:rPr>
          <w:rFonts w:ascii="宋体" w:hAnsi="宋体" w:eastAsia="宋体"/>
          <w:sz w:val="24"/>
        </w:rPr>
        <w:t>模块的隐含修订周期，随阈值提高而延长、随技术增速加快而缩短。</w:t>
      </w:r>
    </w:p>
    <w:p>
      <w:pPr>
        <w:spacing w:line="360" w:lineRule="auto" w:after="0"/>
        <w:ind w:firstLineChars="200" w:firstLine="480"/>
        <w:jc w:val="both"/>
      </w:pPr>
      <w:r>
        <w:rPr>
          <w:rFonts w:ascii="宋体" w:hAnsi="宋体" w:eastAsia="宋体"/>
          <w:sz w:val="24"/>
        </w:rPr>
        <w:t>以第6章估计的技术增长率代入可得量化参照：“双碳”后技术水平年均增速为0.118，对应</w:t>
      </w:r>
      <m:oMath>
        <m:r>
          <m:t>T</m:t>
        </m:r>
        <m:r>
          <m:t>P</m:t>
        </m:r>
        <m:sSup>
          <m:e>
            <m:r>
              <m:t>D</m:t>
            </m:r>
          </m:e>
          <m:sup>
            <m:r>
              <m:rPr>
                <m:sty m:val="p"/>
              </m:rPr>
              <m:t>*</m:t>
            </m:r>
          </m:sup>
        </m:sSup>
        <m:r>
          <m:rPr>
            <m:sty m:val="p"/>
          </m:rPr>
          <m:t>=</m:t>
        </m:r>
        <m:r>
          <m:t>0.30</m:t>
        </m:r>
      </m:oMath>
      <w:r>
        <w:rPr>
          <w:rFonts w:ascii="宋体" w:hAnsi="宋体" w:eastAsia="宋体"/>
          <w:sz w:val="24"/>
        </w:rPr>
        <w:t>的隐含修订周期约3.0年；“双碳”前增速0.082对应约4.3年。若阈值取0.20，周期缩短至约1.9年；取0.40则延长至约4.3年。可见0.30阈值下的修订节奏与《标准化法》五年复审上限相容而更为进取，且技术加速期自动加密修订——状态触发机制内生地实现了“快领域快修、慢领域慢修”。进一步，将单位时间的机制总成本写为修订成本与滞后损失之和：</w:t>
      </w:r>
    </w:p>
    <w:p>
      <w:pPr>
        <w:tabs>
          <w:tab w:pos="4252" w:val="center"/>
          <w:tab w:pos="8504" w:val="right"/>
        </w:tabs>
        <w:spacing w:line="360" w:lineRule="auto" w:before="80" w:after="80"/>
      </w:pPr>
      <w:r>
        <w:tab/>
      </w:r>
      <m:oMath>
        <m:r>
          <m:t>Ω</m:t>
        </m:r>
        <m:d>
          <m:dPr>
            <m:begChr m:val="("/>
            <m:sepChr m:val=""/>
            <m:endChr m:val=")"/>
            <m:grow/>
          </m:dPr>
          <m:e>
            <m:r>
              <m:t>T</m:t>
            </m:r>
            <m:r>
              <m:t>P</m:t>
            </m:r>
            <m:sSup>
              <m:e>
                <m:r>
                  <m:t>D</m:t>
                </m:r>
              </m:e>
              <m:sup>
                <m:r>
                  <m:rPr>
                    <m:sty m:val="p"/>
                  </m:rPr>
                  <m:t>*</m:t>
                </m:r>
              </m:sup>
            </m:sSup>
          </m:e>
        </m:d>
        <m:r>
          <m:rPr>
            <m:sty m:val="p"/>
          </m:rPr>
          <m:t>=</m:t>
        </m:r>
        <m:sSub>
          <m:e>
            <m:r>
              <m:t>c</m:t>
            </m:r>
          </m:e>
          <m:sub>
            <m:r>
              <m:t>R</m:t>
            </m:r>
          </m:sub>
        </m:sSub>
        <m:r>
          <m:t> </m:t>
        </m:r>
        <m:f>
          <m:fPr>
            <m:type m:val="bar"/>
          </m:fPr>
          <m:num>
            <m:sSub>
              <m:e>
                <m:r>
                  <m:t>g</m:t>
                </m:r>
              </m:e>
              <m:sub>
                <m:r>
                  <m:t>k</m:t>
                </m:r>
              </m:sub>
            </m:sSub>
          </m:num>
          <m:den>
            <m:r>
              <m:rPr>
                <m:sty m:val="p"/>
              </m:rPr>
              <m:t>−</m:t>
            </m:r>
            <m:r>
              <m:rPr>
                <m:sty m:val="p"/>
              </m:rPr>
              <m:t>ln</m:t>
            </m:r>
            <m:d>
              <m:dPr>
                <m:begChr m:val="("/>
                <m:sepChr m:val=""/>
                <m:endChr m:val=")"/>
                <m:grow/>
              </m:dPr>
              <m:e>
                <m:r>
                  <m:t>1</m:t>
                </m:r>
                <m:r>
                  <m:rPr>
                    <m:sty m:val="p"/>
                  </m:rPr>
                  <m:t>−</m:t>
                </m:r>
                <m:r>
                  <m:t>T</m:t>
                </m:r>
                <m:r>
                  <m:t>P</m:t>
                </m:r>
                <m:sSup>
                  <m:e>
                    <m:r>
                      <m:t>D</m:t>
                    </m:r>
                  </m:e>
                  <m:sup>
                    <m:r>
                      <m:rPr>
                        <m:sty m:val="p"/>
                      </m:rPr>
                      <m:t>*</m:t>
                    </m:r>
                  </m:sup>
                </m:sSup>
              </m:e>
            </m:d>
          </m:den>
        </m:f>
        <m:r>
          <m:rPr>
            <m:sty m:val="p"/>
          </m:rPr>
          <m:t>+</m:t>
        </m:r>
        <m:sSub>
          <m:e>
            <m:r>
              <m:t>c</m:t>
            </m:r>
          </m:e>
          <m:sub>
            <m:r>
              <m:t>L</m:t>
            </m:r>
          </m:sub>
        </m:sSub>
        <m:d>
          <m:dPr>
            <m:begChr m:val="["/>
            <m:sepChr m:val=""/>
            <m:endChr m:val="]"/>
            <m:grow/>
          </m:dPr>
          <m:e>
            <m:r>
              <m:t>1</m:t>
            </m:r>
            <m:r>
              <m:rPr>
                <m:sty m:val="p"/>
              </m:rPr>
              <m:t>−</m:t>
            </m:r>
            <m:f>
              <m:fPr>
                <m:type m:val="bar"/>
              </m:fPr>
              <m:num>
                <m:r>
                  <m:t>T</m:t>
                </m:r>
                <m:r>
                  <m:t>P</m:t>
                </m:r>
                <m:sSup>
                  <m:e>
                    <m:r>
                      <m:t>D</m:t>
                    </m:r>
                  </m:e>
                  <m:sup>
                    <m:r>
                      <m:rPr>
                        <m:sty m:val="p"/>
                      </m:rPr>
                      <m:t>*</m:t>
                    </m:r>
                  </m:sup>
                </m:sSup>
              </m:num>
              <m:den>
                <m:r>
                  <m:rPr>
                    <m:sty m:val="p"/>
                  </m:rPr>
                  <m:t>−</m:t>
                </m:r>
                <m:r>
                  <m:rPr>
                    <m:sty m:val="p"/>
                  </m:rPr>
                  <m:t>ln</m:t>
                </m:r>
                <m:d>
                  <m:dPr>
                    <m:begChr m:val="("/>
                    <m:sepChr m:val=""/>
                    <m:endChr m:val=")"/>
                    <m:grow/>
                  </m:dPr>
                  <m:e>
                    <m:r>
                      <m:t>1</m:t>
                    </m:r>
                    <m:r>
                      <m:rPr>
                        <m:sty m:val="p"/>
                      </m:rPr>
                      <m:t>−</m:t>
                    </m:r>
                    <m:r>
                      <m:t>T</m:t>
                    </m:r>
                    <m:r>
                      <m:t>P</m:t>
                    </m:r>
                    <m:sSup>
                      <m:e>
                        <m:r>
                          <m:t>D</m:t>
                        </m:r>
                      </m:e>
                      <m:sup>
                        <m:r>
                          <m:rPr>
                            <m:sty m:val="p"/>
                          </m:rPr>
                          <m:t>*</m:t>
                        </m:r>
                      </m:sup>
                    </m:sSup>
                  </m:e>
                </m:d>
              </m:den>
            </m:f>
          </m:e>
        </m:d>
      </m:oMath>
      <w:r>
        <w:tab/>
      </w:r>
      <w:r>
        <w:rPr>
          <w:rFonts w:ascii="Times New Roman" w:hAnsi="Times New Roman" w:eastAsia="宋体"/>
          <w:sz w:val="24"/>
        </w:rPr>
        <w:t>(10-9)</w:t>
      </w:r>
    </w:p>
    <w:p>
      <w:pPr>
        <w:spacing w:line="360" w:lineRule="auto" w:after="0"/>
        <w:jc w:val="both"/>
      </w:pPr>
      <w:r>
        <w:rPr>
          <w:rFonts w:ascii="宋体" w:hAnsi="宋体" w:eastAsia="宋体"/>
          <w:sz w:val="24"/>
        </w:rPr>
        <w:t>其中，</w:t>
      </w:r>
      <m:oMath>
        <m:sSub>
          <m:e>
            <m:r>
              <m:t>c</m:t>
            </m:r>
          </m:e>
          <m:sub>
            <m:r>
              <m:t>R</m:t>
            </m:r>
          </m:sub>
        </m:sSub>
      </m:oMath>
      <w:r>
        <w:rPr>
          <w:rFonts w:ascii="宋体" w:hAnsi="宋体" w:eastAsia="宋体"/>
          <w:sz w:val="24"/>
        </w:rPr>
        <w:t>为单次修订的直接成本与摩擦成本（程序开支、企业合规调整、预期扰动），第一项等于修订频率</w:t>
      </w:r>
      <m:oMath>
        <m:r>
          <m:t>1</m:t>
        </m:r>
        <m:r>
          <m:rPr>
            <m:sty m:val="p"/>
          </m:rPr>
          <m:t>/</m:t>
        </m:r>
        <m:sSubSup>
          <m:e>
            <m:r>
              <m:t>τ</m:t>
            </m:r>
          </m:e>
          <m:sub>
            <m:r>
              <m:t>k</m:t>
            </m:r>
          </m:sub>
          <m:sup>
            <m:r>
              <m:rPr>
                <m:sty m:val="p"/>
              </m:rPr>
              <m:t>*</m:t>
            </m:r>
          </m:sup>
        </m:sSubSup>
      </m:oMath>
      <w:r>
        <w:rPr>
          <w:rFonts w:ascii="宋体" w:hAnsi="宋体" w:eastAsia="宋体"/>
          <w:sz w:val="24"/>
        </w:rPr>
        <w:t>乘以单次成本；</w:t>
      </w:r>
      <m:oMath>
        <m:sSub>
          <m:e>
            <m:r>
              <m:t>c</m:t>
            </m:r>
          </m:e>
          <m:sub>
            <m:r>
              <m:t>L</m:t>
            </m:r>
          </m:sub>
        </m:sSub>
      </m:oMath>
      <w:r>
        <w:rPr>
          <w:rFonts w:ascii="宋体" w:hAnsi="宋体" w:eastAsia="宋体"/>
          <w:sz w:val="24"/>
        </w:rPr>
        <w:t>为单位平均偏离度的滞后损失，方括号内为一个修订周期内偏离度的时间平均值。</w:t>
      </w:r>
    </w:p>
    <w:p>
      <w:pPr>
        <w:spacing w:line="360" w:lineRule="auto" w:after="0"/>
        <w:ind w:firstLineChars="200" w:firstLine="480"/>
        <w:jc w:val="both"/>
      </w:pPr>
      <w:r>
        <w:rPr>
          <w:rFonts w:ascii="宋体" w:hAnsi="宋体" w:eastAsia="宋体"/>
          <w:sz w:val="24"/>
        </w:rPr>
        <w:t>式(10-9)的两端行为揭示了倒U形效能的来源。当</w:t>
      </w:r>
      <m:oMath>
        <m:r>
          <m:t>T</m:t>
        </m:r>
        <m:r>
          <m:t>P</m:t>
        </m:r>
        <m:sSup>
          <m:e>
            <m:r>
              <m:t>D</m:t>
            </m:r>
          </m:e>
          <m:sup>
            <m:r>
              <m:rPr>
                <m:sty m:val="p"/>
              </m:rPr>
              <m:t>*</m:t>
            </m:r>
          </m:sup>
        </m:sSup>
        <m:r>
          <m:rPr>
            <m:sty m:val="p"/>
          </m:rPr>
          <m:t>→</m:t>
        </m:r>
        <m:r>
          <m:t>0</m:t>
        </m:r>
      </m:oMath>
      <w:r>
        <w:rPr>
          <w:rFonts w:ascii="宋体" w:hAnsi="宋体" w:eastAsia="宋体"/>
          <w:sz w:val="24"/>
        </w:rPr>
        <w:t>时，修订频率发散，第一项无界：标准频繁变动不仅直接耗费制定资源，更破坏制度最重要的预期稳定功能——企业面对朝令夕改的参数将推迟绿色投资、压缩合规响应，这正是制度经济学强调稳定性价值的情形（Nelson和Winter，1982；North，1990）。当</w:t>
      </w:r>
      <m:oMath>
        <m:r>
          <m:t>T</m:t>
        </m:r>
        <m:r>
          <m:t>P</m:t>
        </m:r>
        <m:sSup>
          <m:e>
            <m:r>
              <m:t>D</m:t>
            </m:r>
          </m:e>
          <m:sup>
            <m:r>
              <m:rPr>
                <m:sty m:val="p"/>
              </m:rPr>
              <m:t>*</m:t>
            </m:r>
          </m:sup>
        </m:sSup>
        <m:r>
          <m:rPr>
            <m:sty m:val="p"/>
          </m:rPr>
          <m:t>→</m:t>
        </m:r>
        <m:r>
          <m:t>1</m:t>
        </m:r>
      </m:oMath>
      <w:r>
        <w:rPr>
          <w:rFonts w:ascii="宋体" w:hAnsi="宋体" w:eastAsia="宋体"/>
          <w:sz w:val="24"/>
        </w:rPr>
        <w:t>时，修订近乎停摆，周期内平均偏离度趋近于1：标准先进性丧失、供需错配扩大，国际差距同步累积，出口企业被迫承担双重核算与重复认证的滞后损失（陆婷和徐奇渊，2023；陈诗一和朱渝铖，2024）。一降一升之间，</w:t>
      </w:r>
      <m:oMath>
        <m:r>
          <m:t>Ω</m:t>
        </m:r>
      </m:oMath>
      <w:r>
        <w:rPr>
          <w:rFonts w:ascii="宋体" w:hAnsi="宋体" w:eastAsia="宋体"/>
          <w:sz w:val="24"/>
        </w:rPr>
        <w:t>在内点取得唯一最小值，对应的体系效能呈倒U形。就本章校准而言，</w:t>
      </w:r>
      <m:oMath>
        <m:r>
          <m:t>T</m:t>
        </m:r>
        <m:r>
          <m:t>P</m:t>
        </m:r>
        <m:sSup>
          <m:e>
            <m:r>
              <m:t>D</m:t>
            </m:r>
          </m:e>
          <m:sup>
            <m:r>
              <m:rPr>
                <m:sty m:val="p"/>
              </m:rPr>
              <m:t>*</m:t>
            </m:r>
          </m:sup>
        </m:sSup>
        <m:r>
          <m:rPr>
            <m:sty m:val="p"/>
          </m:rPr>
          <m:t>=</m:t>
        </m:r>
        <m:r>
          <m:t>0.30</m:t>
        </m:r>
      </m:oMath>
      <w:r>
        <w:rPr>
          <w:rFonts w:ascii="宋体" w:hAnsi="宋体" w:eastAsia="宋体"/>
          <w:sz w:val="24"/>
        </w:rPr>
        <w:t>下周期内平均偏离度约为0.159，即体系在整个循环中平均仅偏离前沿一成半左右——阈值控制的是峰值滞后，实际平均滞后约为峰值的一半。</w:t>
      </w:r>
    </w:p>
    <w:p>
      <w:pPr>
        <w:keepNext/>
        <w:spacing w:before="160" w:after="120" w:line="360" w:lineRule="auto"/>
        <w:outlineLvl w:val="2"/>
      </w:pPr>
      <w:r>
        <w:rPr>
          <w:rFonts w:ascii="黑体" w:hAnsi="黑体" w:eastAsia="黑体"/>
          <w:sz w:val="24"/>
        </w:rPr>
        <w:t>10.4.3  阈值网格搜索：TPD*=0.30的确定</w:t>
      </w:r>
    </w:p>
    <w:p>
      <w:pPr>
        <w:spacing w:line="360" w:lineRule="auto" w:after="0"/>
        <w:ind w:firstLineChars="200" w:firstLine="480"/>
        <w:jc w:val="both"/>
      </w:pPr>
      <w:r>
        <w:rPr>
          <w:rFonts w:ascii="宋体" w:hAnsi="宋体" w:eastAsia="宋体"/>
          <w:sz w:val="24"/>
        </w:rPr>
        <w:t>解析特例证明了内点最优阈值的存在性，但其具体位置还取决于溢出网络、资源约束与需求反馈等解析框架未纳入的因素，须在完整系统动力学模型内数值确定。做法是：在协同优化情景的其他参数保持不变的前提下，令</w:t>
      </w:r>
      <m:oMath>
        <m:r>
          <m:t>T</m:t>
        </m:r>
        <m:r>
          <m:t>P</m:t>
        </m:r>
        <m:sSup>
          <m:e>
            <m:r>
              <m:t>D</m:t>
            </m:r>
          </m:e>
          <m:sup>
            <m:r>
              <m:rPr>
                <m:sty m:val="p"/>
              </m:rPr>
              <m:t>*</m:t>
            </m:r>
          </m:sup>
        </m:sSup>
      </m:oMath>
      <w:r>
        <w:rPr>
          <w:rFonts w:ascii="宋体" w:hAnsi="宋体" w:eastAsia="宋体"/>
          <w:sz w:val="24"/>
        </w:rPr>
        <w:t>在0.20—0.40区间按0.05步长取值，分别仿真至2035年，以体系综合效能为评价准则。结果绘于图10.4。</w:t>
      </w:r>
    </w:p>
    <w:p>
      <w:pPr>
        <w:spacing w:before="120" w:after="40"/>
        <w:jc w:val="center"/>
      </w:pPr>
      <w:r>
        <w:drawing>
          <wp:inline xmlns:a="http://schemas.openxmlformats.org/drawingml/2006/main" xmlns:pic="http://schemas.openxmlformats.org/drawingml/2006/picture">
            <wp:extent cx="4680000" cy="2959942"/>
            <wp:docPr id="35" name="Picture 35"/>
            <wp:cNvGraphicFramePr>
              <a:graphicFrameLocks noChangeAspect="1"/>
            </wp:cNvGraphicFramePr>
            <a:graphic>
              <a:graphicData uri="http://schemas.openxmlformats.org/drawingml/2006/picture">
                <pic:pic>
                  <pic:nvPicPr>
                    <pic:cNvPr id="0" name="fig10_4.png"/>
                    <pic:cNvPicPr/>
                  </pic:nvPicPr>
                  <pic:blipFill>
                    <a:blip r:embed="rId43"/>
                    <a:stretch>
                      <a:fillRect/>
                    </a:stretch>
                  </pic:blipFill>
                  <pic:spPr>
                    <a:xfrm>
                      <a:off x="0" y="0"/>
                      <a:ext cx="4680000" cy="2959942"/>
                    </a:xfrm>
                    <a:prstGeom prst="rect"/>
                  </pic:spPr>
                </pic:pic>
              </a:graphicData>
            </a:graphic>
          </wp:inline>
        </w:drawing>
      </w:r>
    </w:p>
    <w:p>
      <w:pPr>
        <w:keepNext w:val="0"/>
        <w:spacing w:after="200"/>
        <w:jc w:val="center"/>
      </w:pPr>
      <w:r>
        <w:rPr>
          <w:rFonts w:ascii="黑体" w:hAnsi="黑体" w:eastAsia="黑体"/>
          <w:sz w:val="21"/>
        </w:rPr>
        <w:t>图10.4  动态更新触发阈值TPD*的确定</w:t>
      </w:r>
    </w:p>
    <w:p>
      <w:pPr>
        <w:spacing w:line="360" w:lineRule="auto" w:after="0"/>
        <w:ind w:firstLineChars="200" w:firstLine="480"/>
        <w:jc w:val="both"/>
      </w:pPr>
      <w:r>
        <w:rPr>
          <w:rFonts w:ascii="宋体" w:hAnsi="宋体" w:eastAsia="宋体"/>
          <w:sz w:val="24"/>
        </w:rPr>
        <w:t>由图10.4可见，2035年体系效能随阈值呈清晰的倒U形：阈值取0.20、0.25、0.30、0.35、0.40时，效能分别为0.71、0.78、0.84、0.79与0.72，峰值0.84出现在</w:t>
      </w:r>
      <m:oMath>
        <m:r>
          <m:t>T</m:t>
        </m:r>
        <m:r>
          <m:t>P</m:t>
        </m:r>
        <m:sSup>
          <m:e>
            <m:r>
              <m:t>D</m:t>
            </m:r>
          </m:e>
          <m:sup>
            <m:r>
              <m:rPr>
                <m:sty m:val="p"/>
              </m:rPr>
              <m:t>*</m:t>
            </m:r>
          </m:sup>
        </m:sSup>
        <m:r>
          <m:rPr>
            <m:sty m:val="p"/>
          </m:rPr>
          <m:t>=</m:t>
        </m:r>
        <m:r>
          <m:t>0.30</m:t>
        </m:r>
      </m:oMath>
      <w:r>
        <w:rPr>
          <w:rFonts w:ascii="宋体" w:hAnsi="宋体" w:eastAsia="宋体"/>
          <w:sz w:val="24"/>
        </w:rPr>
        <w:t>处。两端的效能损失量级相当：阈值过紧（0.20）损失0.13，过松（0.40）损失0.12——曲线近似对称，说明在本章校准下修订成本与滞后损失的边际权重大体相当，“宁紧勿松”或“宁松勿紧”的单边直觉都不成立。尤其值得注意的是损失的量级：阈值失当造成的效能折损（约0.13）与协同优化相对基准的全部效能增益（0.12）相当，即一个错误的阈值足以吞噬协同机制的全部红利——协同与更新必须联合校准，再次得到验证。</w:t>
      </w:r>
    </w:p>
    <w:p>
      <w:pPr>
        <w:spacing w:line="360" w:lineRule="auto" w:after="0"/>
        <w:ind w:firstLineChars="200" w:firstLine="480"/>
        <w:jc w:val="both"/>
      </w:pPr>
      <w:r>
        <w:rPr>
          <w:rFonts w:ascii="宋体" w:hAnsi="宋体" w:eastAsia="宋体"/>
          <w:sz w:val="24"/>
        </w:rPr>
        <w:t>据此确定</w:t>
      </w:r>
      <m:oMath>
        <m:r>
          <m:t>T</m:t>
        </m:r>
        <m:r>
          <m:t>P</m:t>
        </m:r>
        <m:sSup>
          <m:e>
            <m:r>
              <m:t>D</m:t>
            </m:r>
          </m:e>
          <m:sup>
            <m:r>
              <m:rPr>
                <m:sty m:val="p"/>
              </m:rPr>
              <m:t>*</m:t>
            </m:r>
          </m:sup>
        </m:sSup>
        <m:r>
          <m:rPr>
            <m:sty m:val="p"/>
          </m:rPr>
          <m:t>=</m:t>
        </m:r>
        <m:r>
          <m:t>0.30</m:t>
        </m:r>
      </m:oMath>
      <w:r>
        <w:rPr>
          <w:rFonts w:ascii="宋体" w:hAnsi="宋体" w:eastAsia="宋体"/>
          <w:sz w:val="24"/>
        </w:rPr>
        <w:t>为触发阈值的基准取值，并作三点补充。其一，统一阈值不等于统一节奏：由式(10-8)，同一阈值下技术快变模块自动触发更频繁、慢变模块自动放缓，差异化修订周期由状态内生实现，无须人为分设阈值，这是TPD机制优于固定周期制的关键性质。其二，对方法学不确定性大的碳吸收模块，宜辅以周期下限约束，避免前沿测度噪声导致过度触发；技术上还可要求连续两期越阈方启动修订，以滤除BAT测度的短期毛刺。其三，阈值本身也应动态复评——当监测发现技术增速、修订成本结构发生趋势性变化时（例如数字化起草工具大幅压低</w:t>
      </w:r>
      <m:oMath>
        <m:sSub>
          <m:e>
            <m:r>
              <m:t>c</m:t>
            </m:r>
          </m:e>
          <m:sub>
            <m:r>
              <m:t>R</m:t>
            </m:r>
          </m:sub>
        </m:sSub>
      </m:oMath>
      <w:r>
        <w:rPr>
          <w:rFonts w:ascii="宋体" w:hAnsi="宋体" w:eastAsia="宋体"/>
          <w:sz w:val="24"/>
        </w:rPr>
        <w:t>），应按式(10-9)的逻辑重新校准阈值，使触发机制自身也处于更新之中。</w:t>
      </w:r>
    </w:p>
    <w:p>
      <w:pPr>
        <w:keepNext/>
        <w:spacing w:before="160" w:after="120" w:line="360" w:lineRule="auto"/>
        <w:outlineLvl w:val="1"/>
      </w:pPr>
      <w:r>
        <w:rPr>
          <w:rFonts w:ascii="黑体" w:hAnsi="黑体" w:eastAsia="黑体"/>
          <w:sz w:val="28"/>
        </w:rPr>
        <w:t>10.5  更新机制的制度化安排</w:t>
      </w:r>
    </w:p>
    <w:p>
      <w:pPr>
        <w:keepNext/>
        <w:spacing w:before="160" w:after="120" w:line="360" w:lineRule="auto"/>
        <w:outlineLvl w:val="2"/>
      </w:pPr>
      <w:r>
        <w:rPr>
          <w:rFonts w:ascii="黑体" w:hAnsi="黑体" w:eastAsia="黑体"/>
          <w:sz w:val="24"/>
        </w:rPr>
        <w:t>10.5.1  常规修订程序：从固定周期复审到监测触发闭环</w:t>
      </w:r>
    </w:p>
    <w:p>
      <w:pPr>
        <w:spacing w:line="360" w:lineRule="auto" w:after="0"/>
        <w:ind w:firstLineChars="200" w:firstLine="480"/>
        <w:jc w:val="both"/>
      </w:pPr>
      <w:r>
        <w:rPr>
          <w:rFonts w:ascii="宋体" w:hAnsi="宋体" w:eastAsia="宋体"/>
          <w:sz w:val="24"/>
        </w:rPr>
        <w:t>触发机制要落地，首先须将现行“定期复审”改造为“常态监测—状态评估—触发修订—实施反馈”的闭环程序。基础设施是TPD监测平台：依托本书构建的标准文本数据库与建设中的国家温室气体排放因子数据库，对五大模块标准的关键技术参数建立结构化台账，按年比对BAT基准，发布模块与重点标准的TPD清单，作为修订立项的量化依据。程序上，将TPD监测嵌入《碳达峰碳中和标准体系建设指南》确立的“三级子体系”管理框架（国家标准化管理委员会等，2023），修订立项由“申报制”转向“申报＋触发”双轨：越阈标准自动进入立项快审，不再受制于零散申报的偶然性。配套两项程序优化可显著降低单次修订成本：一是修订窗口合并，同模块内相互引用的标准打包修订、同步发布，从源头避免版本错配对互补链条的割裂；二是参数分层，将框架性条款与技术参数分离，参数以附录或数据表形式发布，附录修订适用简化程序——由式(10-9)的逻辑，</w:t>
      </w:r>
      <m:oMath>
        <m:sSub>
          <m:e>
            <m:r>
              <m:t>c</m:t>
            </m:r>
          </m:e>
          <m:sub>
            <m:r>
              <m:t>R</m:t>
            </m:r>
          </m:sub>
        </m:sSub>
      </m:oMath>
      <w:r>
        <w:rPr>
          <w:rFonts w:ascii="宋体" w:hAnsi="宋体" w:eastAsia="宋体"/>
          <w:sz w:val="24"/>
        </w:rPr>
        <w:t>的下降会使最优阈值内生下移，体系对技术变化的响应更敏捷。</w:t>
      </w:r>
    </w:p>
    <w:p>
      <w:pPr>
        <w:keepNext/>
        <w:spacing w:before="160" w:after="120" w:line="360" w:lineRule="auto"/>
        <w:outlineLvl w:val="2"/>
      </w:pPr>
      <w:r>
        <w:rPr>
          <w:rFonts w:ascii="黑体" w:hAnsi="黑体" w:eastAsia="黑体"/>
          <w:sz w:val="24"/>
        </w:rPr>
        <w:t>10.5.2  快速通道：应对规则漂移与技术突变</w:t>
      </w:r>
    </w:p>
    <w:p>
      <w:pPr>
        <w:spacing w:line="360" w:lineRule="auto" w:after="0"/>
        <w:ind w:firstLineChars="200" w:firstLine="480"/>
        <w:jc w:val="both"/>
      </w:pPr>
      <w:r>
        <w:rPr>
          <w:rFonts w:ascii="宋体" w:hAnsi="宋体" w:eastAsia="宋体"/>
          <w:sz w:val="24"/>
        </w:rPr>
        <w:t>常规程序之外，须为两类冲击设置快速通道。一类是国际规则的重大变动，如CBAM进入正式征收期、实施细则调整、欧盟新电池法规碳足迹申报义务落地等，此类冲击时点明确、影响面广，等不起常规周期；另一类是颠覆性技术突破使既有参数瞬间过时。快速通道的要点是程序并行与时限约束：立项、起草、征求意见、审查环节由串行改并行，压缩总时长。近年碳足迹领域的实践已证明集中攻关模式可行：2024年5月《关于建立碳足迹管理体系的实施方案》印发后，同年8月即发布对标ISO 14067的核算通则国家标准GB/T 24067-2024，截至2025年6月已发布9项产品碳足迹国家标准，其中电解铝标准成为首个工业领域产品碳足迹国标；温室气体自愿减排领域，2023年10月首批4项方法学发布后三个月市场即告重启。这类“任务驱动、限时供给”的经验应从运动式安排制度化为常设快速通道，并与国际标准组织的制定进程联动，以参与国际协调降低事后衔接成本（王明涛等，2025；侯俊军等，2025）。</w:t>
      </w:r>
    </w:p>
    <w:p>
      <w:pPr>
        <w:spacing w:line="360" w:lineRule="auto" w:after="0"/>
        <w:ind w:firstLineChars="200" w:firstLine="480"/>
        <w:jc w:val="both"/>
      </w:pPr>
      <w:r>
        <w:rPr>
          <w:rFonts w:ascii="宋体" w:hAnsi="宋体" w:eastAsia="宋体"/>
          <w:sz w:val="24"/>
        </w:rPr>
        <w:t>快速通道的另一支撑是四层级分工下的团体标准先行转化机制。第9章已界定“国家兜底、行业细化、地方先行、团体创新”的层级分工：团体标准程序灵活、贴近前沿，适合充当新领域的“侦察兵”，在氢能、负排放技术、碳金融产品等标准空白地带先行供给；经实施检验成熟后，通过转化评估上升为行业标准或国家标准。转化评估应设置明确要件——实施效果证据、必要专利许可安排、与体系口径的一致性审查，防止把碎片化口径带入国家体系。地方层面的先行试点（如产业园区绿色低碳标准体系的探索（曹佳彦等，2024））同理纳入转化轨道，使四个层级在动态更新中各司其职、梯次接力。</w:t>
      </w:r>
    </w:p>
    <w:p>
      <w:pPr>
        <w:keepNext/>
        <w:spacing w:before="160" w:after="120" w:line="360" w:lineRule="auto"/>
        <w:outlineLvl w:val="2"/>
      </w:pPr>
      <w:r>
        <w:rPr>
          <w:rFonts w:ascii="黑体" w:hAnsi="黑体" w:eastAsia="黑体"/>
          <w:sz w:val="24"/>
        </w:rPr>
        <w:t>10.5.3  退出机制：废止、整合与过渡安排</w:t>
      </w:r>
    </w:p>
    <w:p>
      <w:pPr>
        <w:spacing w:line="360" w:lineRule="auto" w:after="0"/>
        <w:ind w:firstLineChars="200" w:firstLine="480"/>
        <w:jc w:val="both"/>
      </w:pPr>
      <w:r>
        <w:rPr>
          <w:rFonts w:ascii="宋体" w:hAnsi="宋体" w:eastAsia="宋体"/>
          <w:sz w:val="24"/>
        </w:rPr>
        <w:t>退出是更新的另一半。仿真已经表明，滞后情景中“僵尸标准”滞留是效能被拖至0.58的重要原因；不退出的存量不是资产而是负债——过时标准占用编号与归口资源、扰乱引用网络、向市场发出错误信号。退出机制应明确三类情形：其一，长期越阈且无修订价值的标准直接废止；其二，规制对象已消失或被上位标准覆盖的标准随复审注销；其三，碎片化、重复化的标准以整合方式退出——并入系列标准或被新版吸收，这也是式(10-3)中触发式集中整合的制度对应。退出必须配套过渡安排：设置新旧版本并行期，明确既有认证结果、检测报告在过渡期内的效力与转换规则，避免“合规悬崖”；对涉及贸易与金融合同引用的标准，过渡期安排还应与监管部门及主要贸易伙伴沟通衔接。退出决定与TPD监测、效能评估联动，使“有生有灭、新陈代谢”成为体系常态而非例外。</w:t>
      </w:r>
    </w:p>
    <w:p>
      <w:pPr>
        <w:keepNext/>
        <w:spacing w:before="160" w:after="120" w:line="360" w:lineRule="auto"/>
        <w:outlineLvl w:val="2"/>
      </w:pPr>
      <w:r>
        <w:rPr>
          <w:rFonts w:ascii="黑体" w:hAnsi="黑体" w:eastAsia="黑体"/>
          <w:sz w:val="24"/>
        </w:rPr>
        <w:t>10.5.4  保障机制：组织、数据与国际衔接</w:t>
      </w:r>
    </w:p>
    <w:p>
      <w:pPr>
        <w:spacing w:line="360" w:lineRule="auto" w:after="0"/>
        <w:ind w:firstLineChars="200" w:firstLine="480"/>
        <w:jc w:val="both"/>
      </w:pPr>
      <w:r>
        <w:rPr>
          <w:rFonts w:ascii="宋体" w:hAnsi="宋体" w:eastAsia="宋体"/>
          <w:sz w:val="24"/>
        </w:rPr>
        <w:t>制度化安排最终依托三重保障。组织上，跨模块协同需要跨标准化技术委员会的常设联席机制，对接口标准（如碳汇计量与核算通则的衔接条款、碳足迹与绿色金融披露的取数规则）明确联合归口，避免“三不管”与“多头管”并存；制度互补性理论提示，单项安排的效力依赖于配套安排的耦合（Aoki，2001），联席机制正是让修订程序、快速通道与退出机制相互咬合的组织粘合剂。数据上，TPD监测平台、标准文本数据库与排放因子数据库须常态化维护，数据质量决定触发机制的可信度。国际衔接上，应动态跟踪ISO/IEC与欧盟规则的更新节奏，将第12章测算的国际标准差距指数纳入BAT基准的国际参照分量，使国内更新与国际接轨同频共振（刘梦佳和李志永，2025；侯俊军等，2025）；同时，第11章的执行效率评估与第12章的适配性评估结果应制度化地回流为修订立项依据——至此，本书“动态演化机理→体系构建→适配性评估→反馈优化”的闭环在机制层面得以落地。</w:t>
      </w:r>
    </w:p>
    <w:p>
      <w:pPr>
        <w:keepNext/>
        <w:spacing w:before="160" w:after="120" w:line="360" w:lineRule="auto"/>
        <w:outlineLvl w:val="1"/>
      </w:pPr>
      <w:r>
        <w:rPr>
          <w:rFonts w:ascii="黑体" w:hAnsi="黑体" w:eastAsia="黑体"/>
          <w:sz w:val="28"/>
        </w:rPr>
        <w:t>10.6  本章小结</w:t>
      </w:r>
    </w:p>
    <w:p>
      <w:pPr>
        <w:spacing w:line="360" w:lineRule="auto" w:after="0"/>
        <w:ind w:firstLineChars="200" w:firstLine="480"/>
        <w:jc w:val="both"/>
      </w:pPr>
      <w:r>
        <w:rPr>
          <w:rFonts w:ascii="宋体" w:hAnsi="宋体" w:eastAsia="宋体"/>
          <w:sz w:val="24"/>
        </w:rPr>
        <w:t>本章为第9章的静态架构装配了动态运行机制。方法上，本章将标准体系置于系统动力学框架：以两条正反馈回路（核算→认证→产品、金融→市场→技术）与一条资源约束负反馈回路刻画体系运行的反馈结构；以存量积分方程(10-1)至效能方程(10-5)构成可计算的存量—流量模型，其中溢出矩阵Φ按式(10-4)直接衔接第5章交互矩阵A的估计结果，需求基准衔接第8章的错配测算，效能权重衔接第9章的AHP结果，实现了全书模型链条的贯通。</w:t>
      </w:r>
    </w:p>
    <w:p>
      <w:pPr>
        <w:spacing w:line="360" w:lineRule="auto" w:after="0"/>
        <w:ind w:firstLineChars="200" w:firstLine="480"/>
        <w:jc w:val="both"/>
      </w:pPr>
      <w:r>
        <w:rPr>
          <w:rFonts w:ascii="宋体" w:hAnsi="宋体" w:eastAsia="宋体"/>
          <w:sz w:val="24"/>
        </w:rPr>
        <w:t>仿真结果为协同增效提供了定量证据。在资源投入路径完全相同的设定下，到2035年，基准、协同优化与更新滞后情景的标准存量分别为2850项、3420项与2310项，体系效能分别为0.71、0.83与0.58；协同优化情景的效能增益约为基准的1.63倍，其中约38.7%来自协同与更新机制本身，“1+1&gt;2”的协同红利在数量级上足以与投入扩张的收益相当。更新滞后情景则出现存量净收缩与效能徘徊，印证“不更新即倒退”的判断；差距随时间加速放大的复利结构，凸显了“十五五”前半程作为机制建设窗口期的紧迫性。</w:t>
      </w:r>
    </w:p>
    <w:p>
      <w:pPr>
        <w:spacing w:line="360" w:lineRule="auto" w:after="0"/>
        <w:ind w:firstLineChars="200" w:firstLine="480"/>
        <w:jc w:val="both"/>
      </w:pPr>
      <w:r>
        <w:rPr>
          <w:rFonts w:ascii="宋体" w:hAnsi="宋体" w:eastAsia="宋体"/>
          <w:sz w:val="24"/>
        </w:rPr>
        <w:t>动态更新机制的设计落脚于技术—政策偏离度的触发规则。以BAT为基准定义偏离度（式(10-6)），修订成本与滞后损失的权衡（式(10-9)）决定了最优触发阈值位于内点；阈值网格搜索显示体系效能在0.20—0.40区间呈倒U形，峰值0.84对应</w:t>
      </w:r>
      <m:oMath>
        <m:r>
          <m:t>T</m:t>
        </m:r>
        <m:r>
          <m:t>P</m:t>
        </m:r>
        <m:sSup>
          <m:e>
            <m:r>
              <m:t>D</m:t>
            </m:r>
          </m:e>
          <m:sup>
            <m:r>
              <m:rPr>
                <m:sty m:val="p"/>
              </m:rPr>
              <m:t>*</m:t>
            </m:r>
          </m:sup>
        </m:sSup>
        <m:r>
          <m:rPr>
            <m:sty m:val="p"/>
          </m:rPr>
          <m:t>=</m:t>
        </m:r>
        <m:r>
          <m:t>0.30</m:t>
        </m:r>
      </m:oMath>
      <w:r>
        <w:rPr>
          <w:rFonts w:ascii="宋体" w:hAnsi="宋体" w:eastAsia="宋体"/>
          <w:sz w:val="24"/>
        </w:rPr>
        <w:t>，在“双碳”后的技术增速下隐含约3.0年的修订周期；阈值失当的效能损失与协同机制的全部红利相当，故协同与更新必须联合校准。制度化层面，本章提出了“监测—评估—触发—反馈”的常规修订闭环、应对规则漂移与技术突变的快速通道、防止僵尸标准滞留的退出机制，以及组织、数据与国际衔接三重保障。</w:t>
      </w:r>
    </w:p>
    <w:p>
      <w:pPr>
        <w:spacing w:line="360" w:lineRule="auto" w:after="0"/>
        <w:ind w:firstLineChars="200" w:firstLine="480"/>
        <w:jc w:val="both"/>
      </w:pPr>
      <w:r>
        <w:rPr>
          <w:rFonts w:ascii="宋体" w:hAnsi="宋体" w:eastAsia="宋体"/>
          <w:sz w:val="24"/>
        </w:rPr>
        <w:t>至此，本书完成了从演化机理认识（第5—7章）、需求识别（第8章）到体系架构（第9章）与运行机制（本章）的完整构建。体系设计得好不好，最终要以运行绩效检验：标准执行的效率如何、政策效能在哪些环节损耗、与国际标准的差距还有多大？下一章将转入适配性评估模块，以随机前沿分析度量标准执行效率与政策有效性损失，为“评估→反馈→优化”闭环提供对内维度的经验证据。</w:t>
      </w:r>
    </w:p>
    <w:p>
      <w:r>
        <w:br w:type="page"/>
      </w:r>
    </w:p>
    <w:p>
      <w:pPr>
        <w:keepNext/>
        <w:spacing w:before="240" w:after="160" w:line="360" w:lineRule="auto"/>
        <w:jc w:val="center"/>
        <w:outlineLvl w:val="0"/>
      </w:pPr>
      <w:r>
        <w:rPr>
          <w:rFonts w:ascii="黑体" w:hAnsi="黑体" w:eastAsia="黑体"/>
          <w:b/>
          <w:sz w:val="30"/>
        </w:rPr>
        <w:t>第11章  政策适配性评估：标准执行效率与政策效能损耗</w:t>
      </w:r>
    </w:p>
    <w:p>
      <w:pPr>
        <w:spacing w:line="360" w:lineRule="auto" w:after="0"/>
        <w:ind w:firstLineChars="200" w:firstLine="480"/>
        <w:jc w:val="both"/>
      </w:pPr>
      <w:r>
        <w:rPr>
          <w:rFonts w:ascii="宋体" w:hAnsi="宋体" w:eastAsia="宋体"/>
          <w:sz w:val="24"/>
        </w:rPr>
        <w:t>第5章至第7章以三个理论模型厘清了中国绿色低碳标准体系的动态演化机理，第8章至第10章完成了以供需错配识别为起点、总体架构设计为核心、协同效应与动态更新机制为保障的体系构建任务。至此，全书研究主线进入第三个模块——适配性评估。评估之所以必不可少，源于一个朴素而严峻的事实：标准的生命力在于实施。一套在文本上堪称完备的标准体系，如果在执行环节层层折损，其对“双碳”目标的实际贡献就会远低于设计预期；反过来，只有把执行状况量化清楚，体系构建才能获得靶向优化的依据。按照本书“动态演化机理—体系构建—适配性评估—反馈优化”的三位一体闭环，适配性评估承担着“评价效果”与“反馈优化”的双重职能，其结论要回流至第9章的架构设计与第10章的更新机制，构成闭环的最后一段。</w:t>
      </w:r>
    </w:p>
    <w:p>
      <w:pPr>
        <w:spacing w:line="360" w:lineRule="auto" w:after="0"/>
        <w:ind w:firstLineChars="200" w:firstLine="480"/>
        <w:jc w:val="both"/>
      </w:pPr>
      <w:r>
        <w:rPr>
          <w:rFonts w:ascii="宋体" w:hAnsi="宋体" w:eastAsia="宋体"/>
          <w:sz w:val="24"/>
        </w:rPr>
        <w:t>适配性评估包含对内与对外两个面向：对内评估标准体系与国内“双碳”政策目标的匹配程度，即政策适配性；对外评估中国标准与国际通行标准的接轨程度，即国际适配性。本章处理前者，第12章处理后者。本章的核心概念是标准执行效率与政策有效性损失：前者度量标准体系对“双碳”目标的实际贡献占潜在贡献的比例，后者为其补数。方法上，本章采用Battese和Coelli，1995提出的随机前沿一步法模型，将执行效率的测算与效率决定因素的识别纳入同一极大似然框架，并以Oaxaca-Blinder反事实分解将政策有效性损失拆解为供给不足、激励不完善与协调失灵三个来源。本章结构安排如下：11.1节阐述政策适配性的评估逻辑；11.2节给出SFA模型的完整设定与似然函数推导；11.3节说明数据与变量；11.4节报告估计结果并逐一解读；11.5节刻画执行效率的时空格局；11.6节实施损耗的三源分解并提炼靶向政策含义；11.7节总结全章。</w:t>
      </w:r>
    </w:p>
    <w:p>
      <w:pPr>
        <w:keepNext/>
        <w:spacing w:before="160" w:after="120" w:line="360" w:lineRule="auto"/>
        <w:outlineLvl w:val="1"/>
      </w:pPr>
      <w:r>
        <w:rPr>
          <w:rFonts w:ascii="黑体" w:hAnsi="黑体" w:eastAsia="黑体"/>
          <w:sz w:val="28"/>
        </w:rPr>
        <w:t>11.1  政策适配性的评估逻辑</w:t>
      </w:r>
    </w:p>
    <w:p>
      <w:pPr>
        <w:keepNext/>
        <w:spacing w:before="160" w:after="120" w:line="360" w:lineRule="auto"/>
        <w:outlineLvl w:val="2"/>
      </w:pPr>
      <w:r>
        <w:rPr>
          <w:rFonts w:ascii="黑体" w:hAnsi="黑体" w:eastAsia="黑体"/>
          <w:sz w:val="24"/>
        </w:rPr>
        <w:t>11.1.1  从“有没有标准”到“标准行不行”：评估对象的转换</w:t>
      </w:r>
    </w:p>
    <w:p>
      <w:pPr>
        <w:spacing w:line="360" w:lineRule="auto" w:after="0"/>
        <w:ind w:firstLineChars="200" w:firstLine="480"/>
        <w:jc w:val="both"/>
      </w:pPr>
      <w:r>
        <w:rPr>
          <w:rFonts w:ascii="宋体" w:hAnsi="宋体" w:eastAsia="宋体"/>
          <w:sz w:val="24"/>
        </w:rPr>
        <w:t>前两个模块的分析对象是标准体系“本身”——标准间如何交互、体系如何构架、模块如何协同；适配性评估的对象则是标准体系“运行的结果”。这一转换在理论上有深厚依据。制度经济学早已指出，制度由正式规则、非正式约束与实施机制三部分构成，规则的激励功能能否兑现，最终取决于实施机制的强弱（North，1990）。标准是典型的正式规则：技术指标写得再严密，若企业不遵循、监管不到位、配套不衔接，“书架上的标准”就无法变成“车间里的标准”。标准化经济学的经验研究同样表明，标准对创新与生产率的促进效应并非自动实现，而是以有效实施与企业吸收能力为前提（Swann，2010；Blind等，2017）。因此，评估标准体系对“双碳”目标的贡献，不能停留在“有没有标准”的供给清点，必须进入“标准行不行”的执行考察。</w:t>
      </w:r>
    </w:p>
    <w:p>
      <w:pPr>
        <w:spacing w:line="360" w:lineRule="auto" w:after="0"/>
        <w:ind w:firstLineChars="200" w:firstLine="480"/>
        <w:jc w:val="both"/>
      </w:pPr>
      <w:r>
        <w:rPr>
          <w:rFonts w:ascii="宋体" w:hAnsi="宋体" w:eastAsia="宋体"/>
          <w:sz w:val="24"/>
        </w:rPr>
        <w:t>这一转换对当下中国尤具现实紧迫性。从数量看，中国绿色低碳标准建设已实现快速赶超：截至2024年，直接支撑碳达峰碳中和工作的国家标准已有1800余项、行业标准2300余项；《碳达峰碳中和标准体系建设指南》更提出到2025年制修订不少于1000项国家标准和行业标准的目标（国家标准化管理委员会等，2023）。但既有研究反复提示，我国标准化工作长期存在“重制定、轻实施”的结构性偏差，标准实施监督与实施效果评估是全链条中最薄弱的环节（孙亮等，2022；石明娟等，2022）。对“双碳”政策体系的文本分析也发现，能力建设与执行保障类工具的配置明显滞后于目标设定类工具（周成和钱再见，2022）。数量繁荣与效能存疑并存，意味着标准体系对“双碳”目标的实际贡献存在一个未知但可能相当可观的折扣。把这个折扣测出来、把折扣的来源找出来，正是本章的任务。</w:t>
      </w:r>
    </w:p>
    <w:p>
      <w:pPr>
        <w:spacing w:line="360" w:lineRule="auto" w:after="0"/>
        <w:ind w:firstLineChars="200" w:firstLine="480"/>
        <w:jc w:val="both"/>
      </w:pPr>
      <w:r>
        <w:rPr>
          <w:rFonts w:ascii="宋体" w:hAnsi="宋体" w:eastAsia="宋体"/>
          <w:sz w:val="24"/>
        </w:rPr>
        <w:t>政策层面对此已有自觉。2022年10月，市场监管总局等九部门印发《建立健全碳达峰碳中和标准计量体系实施方案》，将标准实施应用与监督评估列为体系建设的关键环节；2023年4月发布的《碳达峰碳中和标准体系建设指南》在部署4个一级子体系、15个二级子体系、63个三级子体系的同时，明确要求提升标准与国际的一致性程度和实施效果。政策要求的落点，恰是学术研究的空白点：标准实施效果如何度量、执行低效源自何处，尚缺乏系统的量化框架。本章以随机前沿分析填补这一空白，为“十五五”时期标准实施评估制度的建立提供方法储备。</w:t>
      </w:r>
    </w:p>
    <w:p>
      <w:pPr>
        <w:keepNext/>
        <w:spacing w:before="160" w:after="120" w:line="360" w:lineRule="auto"/>
        <w:outlineLvl w:val="2"/>
      </w:pPr>
      <w:r>
        <w:rPr>
          <w:rFonts w:ascii="黑体" w:hAnsi="黑体" w:eastAsia="黑体"/>
          <w:sz w:val="24"/>
        </w:rPr>
        <w:t>11.1.2  执行效率：实际贡献与潜在贡献之比</w:t>
      </w:r>
    </w:p>
    <w:p>
      <w:pPr>
        <w:spacing w:line="360" w:lineRule="auto" w:after="0"/>
        <w:ind w:firstLineChars="200" w:firstLine="480"/>
        <w:jc w:val="both"/>
      </w:pPr>
      <w:r>
        <w:rPr>
          <w:rFonts w:ascii="宋体" w:hAnsi="宋体" w:eastAsia="宋体"/>
          <w:sz w:val="24"/>
        </w:rPr>
        <w:t>本章将政策适配性操作化为标准执行效率。其定义为：在给定标准执行资源投入的条件下，标准体系对“双碳”目标的实际贡献与潜在贡献之比。分子是观测到的减排绩效，分母是同等投入在最优执行状态下可实现的绩效上限——即“最佳实践前沿”。记省份</w:t>
      </w:r>
      <m:oMath>
        <m:r>
          <m:t>i</m:t>
        </m:r>
      </m:oMath>
      <w:r>
        <w:rPr>
          <w:rFonts w:ascii="宋体" w:hAnsi="宋体" w:eastAsia="宋体"/>
          <w:sz w:val="24"/>
        </w:rPr>
        <w:t>第</w:t>
      </w:r>
      <m:oMath>
        <m:r>
          <m:t>t</m:t>
        </m:r>
      </m:oMath>
      <w:r>
        <w:rPr>
          <w:rFonts w:ascii="宋体" w:hAnsi="宋体" w:eastAsia="宋体"/>
          <w:sz w:val="24"/>
        </w:rPr>
        <w:t>年的实际绩效为</w:t>
      </w:r>
      <m:oMath>
        <m:sSub>
          <m:e>
            <m:r>
              <m:t>Y</m:t>
            </m:r>
          </m:e>
          <m:sub>
            <m:r>
              <m:t>i</m:t>
            </m:r>
            <m:r>
              <m:t>t</m:t>
            </m:r>
          </m:sub>
        </m:sSub>
      </m:oMath>
      <w:r>
        <w:rPr>
          <w:rFonts w:ascii="宋体" w:hAnsi="宋体" w:eastAsia="宋体"/>
          <w:sz w:val="24"/>
        </w:rPr>
        <w:t>、前沿绩效为</w:t>
      </w:r>
      <m:oMath>
        <m:sSubSup>
          <m:e>
            <m:r>
              <m:t>Y</m:t>
            </m:r>
          </m:e>
          <m:sub>
            <m:r>
              <m:t>i</m:t>
            </m:r>
            <m:r>
              <m:t>t</m:t>
            </m:r>
          </m:sub>
          <m:sup>
            <m:r>
              <m:rPr>
                <m:sty m:val="p"/>
              </m:rPr>
              <m:t>*</m:t>
            </m:r>
          </m:sup>
        </m:sSubSup>
      </m:oMath>
      <w:r>
        <w:rPr>
          <w:rFonts w:ascii="宋体" w:hAnsi="宋体" w:eastAsia="宋体"/>
          <w:sz w:val="24"/>
        </w:rPr>
        <w:t>，则执行效率</w:t>
      </w:r>
      <m:oMath>
        <m:r>
          <m:t>T</m:t>
        </m:r>
        <m:sSub>
          <m:e>
            <m:r>
              <m:t>E</m:t>
            </m:r>
          </m:e>
          <m:sub>
            <m:r>
              <m:t>i</m:t>
            </m:r>
            <m:r>
              <m:t>t</m:t>
            </m:r>
          </m:sub>
        </m:sSub>
        <m:r>
          <m:rPr>
            <m:sty m:val="p"/>
          </m:rPr>
          <m:t>=</m:t>
        </m:r>
        <m:sSub>
          <m:e>
            <m:r>
              <m:t>Y</m:t>
            </m:r>
          </m:e>
          <m:sub>
            <m:r>
              <m:t>i</m:t>
            </m:r>
            <m:r>
              <m:t>t</m:t>
            </m:r>
          </m:sub>
        </m:sSub>
        <m:r>
          <m:rPr>
            <m:sty m:val="p"/>
          </m:rPr>
          <m:t>/</m:t>
        </m:r>
        <m:sSubSup>
          <m:e>
            <m:r>
              <m:t>Y</m:t>
            </m:r>
          </m:e>
          <m:sub>
            <m:r>
              <m:t>i</m:t>
            </m:r>
            <m:r>
              <m:t>t</m:t>
            </m:r>
          </m:sub>
          <m:sup>
            <m:r>
              <m:rPr>
                <m:sty m:val="p"/>
              </m:rPr>
              <m:t>*</m:t>
            </m:r>
          </m:sup>
        </m:sSubSup>
        <m:r>
          <m:rPr>
            <m:sty m:val="p"/>
          </m:rPr>
          <m:t>∈</m:t>
        </m:r>
        <m:r>
          <m:rPr>
            <m:sty m:val="p"/>
          </m:rPr>
          <m:t>(</m:t>
        </m:r>
        <m:r>
          <m:t>0</m:t>
        </m:r>
        <m:r>
          <m:rPr>
            <m:sty m:val="p"/>
          </m:rPr>
          <m:t>,</m:t>
        </m:r>
        <m:r>
          <m:t>1</m:t>
        </m:r>
        <m:r>
          <m:rPr>
            <m:sty m:val="p"/>
          </m:rPr>
          <m:t>]</m:t>
        </m:r>
      </m:oMath>
      <w:r>
        <w:rPr>
          <w:rFonts w:ascii="宋体" w:hAnsi="宋体" w:eastAsia="宋体"/>
          <w:sz w:val="24"/>
        </w:rPr>
        <w:t>，政策有效性损失</w:t>
      </w:r>
      <m:oMath>
        <m:r>
          <m:t>P</m:t>
        </m:r>
        <m:r>
          <m:t>E</m:t>
        </m:r>
        <m:sSub>
          <m:e>
            <m:r>
              <m:t>L</m:t>
            </m:r>
          </m:e>
          <m:sub>
            <m:r>
              <m:t>i</m:t>
            </m:r>
            <m:r>
              <m:t>t</m:t>
            </m:r>
          </m:sub>
        </m:sSub>
        <m:r>
          <m:rPr>
            <m:sty m:val="p"/>
          </m:rPr>
          <m:t>=</m:t>
        </m:r>
        <m:r>
          <m:t>1</m:t>
        </m:r>
        <m:r>
          <m:rPr>
            <m:sty m:val="p"/>
          </m:rPr>
          <m:t>−</m:t>
        </m:r>
        <m:r>
          <m:t>T</m:t>
        </m:r>
        <m:sSub>
          <m:e>
            <m:r>
              <m:t>E</m:t>
            </m:r>
          </m:e>
          <m:sub>
            <m:r>
              <m:t>i</m:t>
            </m:r>
            <m:r>
              <m:t>t</m:t>
            </m:r>
          </m:sub>
        </m:sSub>
      </m:oMath>
      <w:r>
        <w:rPr>
          <w:rFonts w:ascii="宋体" w:hAnsi="宋体" w:eastAsia="宋体"/>
          <w:sz w:val="24"/>
        </w:rPr>
        <w:t>。这一定义包含三层含义。其一，效率是相对概念：基准不是无摩擦的理想极限，而是样本中最优实践所界定的可行前沿，因而“效率不足”意味着确实存在做得更好的现实标杆，评估结论天然具有可学习性。其二，损失是可加总概念：PEL度量潜在贡献中被执行环节耗散的份额，可在省份、区域与全国层面比较加总，为资源配置提供量化依据。其三，效率是可解释概念：执行效率的高低本身可以建模，其决定因素的识别使评估从“打分”走向“归因”。</w:t>
      </w:r>
    </w:p>
    <w:p>
      <w:pPr>
        <w:spacing w:line="360" w:lineRule="auto" w:after="0"/>
        <w:ind w:firstLineChars="200" w:firstLine="480"/>
        <w:jc w:val="both"/>
      </w:pPr>
      <w:r>
        <w:rPr>
          <w:rFonts w:ascii="宋体" w:hAnsi="宋体" w:eastAsia="宋体"/>
          <w:sz w:val="24"/>
        </w:rPr>
        <w:t>将执行置于分析中心，也与政策评估文献的最新进展相呼应。对全球碳定价机制的系统评价显示，其实际减排幅度普遍低于事前模拟所预期的设计效力（Green，2021；Döbbeling-Hildebrandt等，2024）；跨国比较进一步表明，实施能力与治理质量是碳定价绩效差异的首要解释变量（Narassimhan等，2018）。就中国经验而言，碳交易试点的减排效果高度依赖配额分配、履约执法等执行细节，市场机制须与行政推动协同方能奏效（Cui等，2021；吴茵茵等，2021）；标准化领域的微观证据同样显示，物流标准的实施显著提升了企业全要素生产率，而效应大小取决于实施深度（何凡等，2025）。这些研究共同指向一个结论：政策工具的纸面设计与实际效果之间存在系统性落差，执行是其中最关键的调节变量。本章把“执行”从背景条件提升为研究对象，正是对这一共识的回应。</w:t>
      </w:r>
    </w:p>
    <w:p>
      <w:pPr>
        <w:keepNext/>
        <w:spacing w:before="160" w:after="120" w:line="360" w:lineRule="auto"/>
        <w:outlineLvl w:val="2"/>
      </w:pPr>
      <w:r>
        <w:rPr>
          <w:rFonts w:ascii="黑体" w:hAnsi="黑体" w:eastAsia="黑体"/>
          <w:sz w:val="24"/>
        </w:rPr>
        <w:t>11.1.3  方法选择：随机前沿分析与一步法估计</w:t>
      </w:r>
    </w:p>
    <w:p>
      <w:pPr>
        <w:spacing w:line="360" w:lineRule="auto" w:after="0"/>
        <w:ind w:firstLineChars="200" w:firstLine="480"/>
        <w:jc w:val="both"/>
      </w:pPr>
      <w:r>
        <w:rPr>
          <w:rFonts w:ascii="宋体" w:hAnsi="宋体" w:eastAsia="宋体"/>
          <w:sz w:val="24"/>
        </w:rPr>
        <w:t>执行效率度量的技术难点在于潜在贡献不可直接观测，必须借助前沿方法从数据中估计绩效上限。可选方法有两大类：数据包络分析（DEA）与随机前沿分析（SFA）。DEA以线性规划包络样本点，无需设定函数形式，但其确定性前沿把实际绩效对前沿的全部偏离都归为无效率；省级减排绩效受气候波动、能源市场冲击与统计测量误差的扰动显著，确定性方法会将这些随机因素误记入执行低效，导致系统性高估。SFA由Aigner等，1977开创，以复合误差结构把随机噪声与无效率分离，且以极大似然估计支持严格的统计推断，更适合本章情境。</w:t>
      </w:r>
    </w:p>
    <w:p>
      <w:pPr>
        <w:spacing w:line="360" w:lineRule="auto" w:after="0"/>
        <w:ind w:firstLineChars="200" w:firstLine="480"/>
        <w:jc w:val="both"/>
      </w:pPr>
      <w:r>
        <w:rPr>
          <w:rFonts w:ascii="宋体" w:hAnsi="宋体" w:eastAsia="宋体"/>
          <w:sz w:val="24"/>
        </w:rPr>
        <w:t>在SFA框架内，本章采用Battese和Coelli，1995提出的一步法面板模型（下称BC95模型）。此前通行的两步法先估计前沿并预测效率得分，再将得分对决定因素回归，存在内在的逻辑矛盾：第一步假定无效率项独立同分布，第二步却假定其均值随解释变量变化，两个假设互不相容，由此产生的估计偏误已被大量蒙特卡罗证据证实。BC95模型将效率决定因素直接嵌入无效率分布的位置参数，前沿参数与效率决定参数在同一似然函数中一次性估计，从根本上消除了两步法偏误，并天然适配面板数据。本章的政策有效性损失分解，也正是建立在BC95均值方程的参数结构之上。</w:t>
      </w:r>
    </w:p>
    <w:p>
      <w:pPr>
        <w:spacing w:line="360" w:lineRule="auto" w:after="0"/>
        <w:ind w:firstLineChars="200" w:firstLine="480"/>
        <w:jc w:val="both"/>
      </w:pPr>
      <w:r>
        <w:rPr>
          <w:rFonts w:ascii="宋体" w:hAnsi="宋体" w:eastAsia="宋体"/>
          <w:sz w:val="24"/>
        </w:rPr>
        <w:t>图11.1给出本章分析框架的完整逻辑。由图11.1可见，框架由四个环节构成：其一，投入环节，标准供给量、监管经费与执法人员三类执行资源进入随机前沿模型，界定给定投入下的绩效前沿；其二，效率环节，实际绩效对前沿的单侧偏离经复合误差分解识别为无效率项，并转换为执行效率TE；其三，损耗环节，政策有效性损失PEL=1−TE度量潜在贡献的耗散份额；其四，归因环节，标准完整性、激励强度与协调效率三个决定因素经效率均值方程进入无效率项，Oaxaca-Blinder分解据此将PEL拆解为供给不足、激励不完善与协调失灵三源。框架尾端的反馈箭头表明，分解结果将回流至第9—10章的体系优化与第14章的政策建议，实现“评估—反馈”闭环。这一框架把抽象的“政策适配性”翻译为一条可估计、可检验、可分解的实证链条，以下各节依次展开。</w:t>
      </w:r>
    </w:p>
    <w:p>
      <w:pPr>
        <w:spacing w:before="120" w:after="40"/>
        <w:jc w:val="center"/>
      </w:pPr>
      <w:r>
        <w:drawing>
          <wp:inline xmlns:a="http://schemas.openxmlformats.org/drawingml/2006/main" xmlns:pic="http://schemas.openxmlformats.org/drawingml/2006/picture">
            <wp:extent cx="4860000" cy="3528291"/>
            <wp:docPr id="36" name="Picture 36"/>
            <wp:cNvGraphicFramePr>
              <a:graphicFrameLocks noChangeAspect="1"/>
            </wp:cNvGraphicFramePr>
            <a:graphic>
              <a:graphicData uri="http://schemas.openxmlformats.org/drawingml/2006/picture">
                <pic:pic>
                  <pic:nvPicPr>
                    <pic:cNvPr id="0" name="fig11_1.png"/>
                    <pic:cNvPicPr/>
                  </pic:nvPicPr>
                  <pic:blipFill>
                    <a:blip r:embed="rId44"/>
                    <a:stretch>
                      <a:fillRect/>
                    </a:stretch>
                  </pic:blipFill>
                  <pic:spPr>
                    <a:xfrm>
                      <a:off x="0" y="0"/>
                      <a:ext cx="4860000" cy="3528291"/>
                    </a:xfrm>
                    <a:prstGeom prst="rect"/>
                  </pic:spPr>
                </pic:pic>
              </a:graphicData>
            </a:graphic>
          </wp:inline>
        </w:drawing>
      </w:r>
    </w:p>
    <w:p>
      <w:pPr>
        <w:keepNext w:val="0"/>
        <w:spacing w:after="200"/>
        <w:jc w:val="center"/>
      </w:pPr>
      <w:r>
        <w:rPr>
          <w:rFonts w:ascii="黑体" w:hAnsi="黑体" w:eastAsia="黑体"/>
          <w:sz w:val="21"/>
        </w:rPr>
        <w:t>图11.1  政策适配性评估的SFA-PEL分析框架</w:t>
      </w:r>
    </w:p>
    <w:p>
      <w:pPr>
        <w:keepNext/>
        <w:spacing w:before="160" w:after="120" w:line="360" w:lineRule="auto"/>
        <w:outlineLvl w:val="1"/>
      </w:pPr>
      <w:r>
        <w:rPr>
          <w:rFonts w:ascii="黑体" w:hAnsi="黑体" w:eastAsia="黑体"/>
          <w:sz w:val="28"/>
        </w:rPr>
        <w:t>11.2  SFA模型设定</w:t>
      </w:r>
    </w:p>
    <w:p>
      <w:pPr>
        <w:keepNext/>
        <w:spacing w:before="160" w:after="120" w:line="360" w:lineRule="auto"/>
        <w:outlineLvl w:val="2"/>
      </w:pPr>
      <w:r>
        <w:rPr>
          <w:rFonts w:ascii="黑体" w:hAnsi="黑体" w:eastAsia="黑体"/>
          <w:sz w:val="24"/>
        </w:rPr>
        <w:t>11.2.1  减排绩效的随机前沿方程</w:t>
      </w:r>
    </w:p>
    <w:p>
      <w:pPr>
        <w:spacing w:line="360" w:lineRule="auto" w:after="0"/>
        <w:ind w:firstLineChars="200" w:firstLine="480"/>
        <w:jc w:val="both"/>
      </w:pPr>
      <w:r>
        <w:rPr>
          <w:rFonts w:ascii="宋体" w:hAnsi="宋体" w:eastAsia="宋体"/>
          <w:sz w:val="24"/>
        </w:rPr>
        <w:t>考察</w:t>
      </w:r>
      <m:oMath>
        <m:r>
          <m:t>i</m:t>
        </m:r>
        <m:r>
          <m:rPr>
            <m:sty m:val="p"/>
          </m:rPr>
          <m:t>=</m:t>
        </m:r>
        <m:r>
          <m:t>1</m:t>
        </m:r>
        <m:r>
          <m:rPr>
            <m:sty m:val="p"/>
          </m:rPr>
          <m:t>,</m:t>
        </m:r>
        <m:r>
          <m:t>2</m:t>
        </m:r>
        <m:r>
          <m:rPr>
            <m:sty m:val="p"/>
          </m:rPr>
          <m:t>,</m:t>
        </m:r>
        <m:r>
          <m:rPr>
            <m:sty m:val="p"/>
          </m:rPr>
          <m:t>…</m:t>
        </m:r>
        <m:r>
          <m:rPr>
            <m:sty m:val="p"/>
          </m:rPr>
          <m:t>,</m:t>
        </m:r>
        <m:r>
          <m:t>30</m:t>
        </m:r>
      </m:oMath>
      <w:r>
        <w:rPr>
          <w:rFonts w:ascii="宋体" w:hAnsi="宋体" w:eastAsia="宋体"/>
          <w:sz w:val="24"/>
        </w:rPr>
        <w:t>个省份、</w:t>
      </w:r>
      <m:oMath>
        <m:r>
          <m:t>t</m:t>
        </m:r>
        <m:r>
          <m:rPr>
            <m:sty m:val="p"/>
          </m:rPr>
          <m:t>=</m:t>
        </m:r>
        <m:r>
          <m:t>2010</m:t>
        </m:r>
        <m:r>
          <m:rPr>
            <m:sty m:val="p"/>
          </m:rPr>
          <m:t>,</m:t>
        </m:r>
        <m:r>
          <m:t>2011</m:t>
        </m:r>
        <m:r>
          <m:rPr>
            <m:sty m:val="p"/>
          </m:rPr>
          <m:t>,</m:t>
        </m:r>
        <m:r>
          <m:rPr>
            <m:sty m:val="p"/>
          </m:rPr>
          <m:t>…</m:t>
        </m:r>
        <m:r>
          <m:rPr>
            <m:sty m:val="p"/>
          </m:rPr>
          <m:t>,</m:t>
        </m:r>
        <m:r>
          <m:t>2025</m:t>
        </m:r>
      </m:oMath>
      <w:r>
        <w:rPr>
          <w:rFonts w:ascii="宋体" w:hAnsi="宋体" w:eastAsia="宋体"/>
          <w:sz w:val="24"/>
        </w:rPr>
        <w:t>年的面板。产出为减排绩效</w:t>
      </w:r>
      <m:oMath>
        <m:sSub>
          <m:e>
            <m:r>
              <m:t>Y</m:t>
            </m:r>
          </m:e>
          <m:sub>
            <m:r>
              <m:t>i</m:t>
            </m:r>
            <m:r>
              <m:t>t</m:t>
            </m:r>
          </m:sub>
        </m:sSub>
      </m:oMath>
      <w:r>
        <w:rPr>
          <w:rFonts w:ascii="宋体" w:hAnsi="宋体" w:eastAsia="宋体"/>
          <w:sz w:val="24"/>
        </w:rPr>
        <w:t>，投入为三类标准执行资源：标准供给量</w:t>
      </w:r>
      <m:oMath>
        <m:sSub>
          <m:e>
            <m:r>
              <m:t>X</m:t>
            </m:r>
          </m:e>
          <m:sub>
            <m:r>
              <m:t>1</m:t>
            </m:r>
            <m:r>
              <m:rPr>
                <m:sty m:val="p"/>
              </m:rPr>
              <m:t>,</m:t>
            </m:r>
            <m:r>
              <m:t>i</m:t>
            </m:r>
            <m:r>
              <m:t>t</m:t>
            </m:r>
          </m:sub>
        </m:sSub>
      </m:oMath>
      <w:r>
        <w:rPr>
          <w:rFonts w:ascii="宋体" w:hAnsi="宋体" w:eastAsia="宋体"/>
          <w:sz w:val="24"/>
        </w:rPr>
        <w:t>、监管经费</w:t>
      </w:r>
      <m:oMath>
        <m:sSub>
          <m:e>
            <m:r>
              <m:t>X</m:t>
            </m:r>
          </m:e>
          <m:sub>
            <m:r>
              <m:t>2</m:t>
            </m:r>
            <m:r>
              <m:rPr>
                <m:sty m:val="p"/>
              </m:rPr>
              <m:t>,</m:t>
            </m:r>
            <m:r>
              <m:t>i</m:t>
            </m:r>
            <m:r>
              <m:t>t</m:t>
            </m:r>
          </m:sub>
        </m:sSub>
      </m:oMath>
      <w:r>
        <w:rPr>
          <w:rFonts w:ascii="宋体" w:hAnsi="宋体" w:eastAsia="宋体"/>
          <w:sz w:val="24"/>
        </w:rPr>
        <w:t>与执法人员</w:t>
      </w:r>
      <m:oMath>
        <m:sSub>
          <m:e>
            <m:r>
              <m:t>X</m:t>
            </m:r>
          </m:e>
          <m:sub>
            <m:r>
              <m:t>3</m:t>
            </m:r>
            <m:r>
              <m:rPr>
                <m:sty m:val="p"/>
              </m:rPr>
              <m:t>,</m:t>
            </m:r>
            <m:r>
              <m:t>i</m:t>
            </m:r>
            <m:r>
              <m:t>t</m:t>
            </m:r>
          </m:sub>
        </m:sSub>
      </m:oMath>
      <w:r>
        <w:rPr>
          <w:rFonts w:ascii="宋体" w:hAnsi="宋体" w:eastAsia="宋体"/>
          <w:sz w:val="24"/>
        </w:rPr>
        <w:t>。设定对数线性形式的随机前沿生产函数：</w:t>
      </w:r>
    </w:p>
    <w:p>
      <w:pPr>
        <w:tabs>
          <w:tab w:pos="4252" w:val="center"/>
          <w:tab w:pos="8504" w:val="right"/>
        </w:tabs>
        <w:spacing w:line="360" w:lineRule="auto" w:before="80" w:after="80"/>
      </w:pPr>
      <w:r>
        <w:tab/>
      </w:r>
      <m:oMath>
        <m:r>
          <m:rPr>
            <m:sty m:val="p"/>
          </m:rPr>
          <m:t>ln</m:t>
        </m:r>
        <m:sSub>
          <m:e>
            <m:r>
              <m:t>Y</m:t>
            </m:r>
          </m:e>
          <m:sub>
            <m:r>
              <m:t>i</m:t>
            </m:r>
            <m:r>
              <m:t>t</m:t>
            </m:r>
          </m:sub>
        </m:sSub>
        <m:r>
          <m:rPr>
            <m:sty m:val="p"/>
          </m:rPr>
          <m:t>=</m:t>
        </m:r>
        <m:sSub>
          <m:e>
            <m:r>
              <m:t>β</m:t>
            </m:r>
          </m:e>
          <m:sub>
            <m:r>
              <m:t>0</m:t>
            </m:r>
          </m:sub>
        </m:sSub>
        <m:r>
          <m:rPr>
            <m:sty m:val="p"/>
          </m:rPr>
          <m:t>+</m:t>
        </m:r>
        <m:sSub>
          <m:e>
            <m:r>
              <m:t>β</m:t>
            </m:r>
          </m:e>
          <m:sub>
            <m:r>
              <m:t>1</m:t>
            </m:r>
          </m:sub>
        </m:sSub>
        <m:r>
          <m:rPr>
            <m:sty m:val="p"/>
          </m:rPr>
          <m:t>ln</m:t>
        </m:r>
        <m:sSub>
          <m:e>
            <m:r>
              <m:t>X</m:t>
            </m:r>
          </m:e>
          <m:sub>
            <m:r>
              <m:t>1</m:t>
            </m:r>
            <m:r>
              <m:rPr>
                <m:sty m:val="p"/>
              </m:rPr>
              <m:t>,</m:t>
            </m:r>
            <m:r>
              <m:t>i</m:t>
            </m:r>
            <m:r>
              <m:t>t</m:t>
            </m:r>
          </m:sub>
        </m:sSub>
        <m:r>
          <m:rPr>
            <m:sty m:val="p"/>
          </m:rPr>
          <m:t>+</m:t>
        </m:r>
        <m:sSub>
          <m:e>
            <m:r>
              <m:t>β</m:t>
            </m:r>
          </m:e>
          <m:sub>
            <m:r>
              <m:t>2</m:t>
            </m:r>
          </m:sub>
        </m:sSub>
        <m:r>
          <m:rPr>
            <m:sty m:val="p"/>
          </m:rPr>
          <m:t>ln</m:t>
        </m:r>
        <m:sSub>
          <m:e>
            <m:r>
              <m:t>X</m:t>
            </m:r>
          </m:e>
          <m:sub>
            <m:r>
              <m:t>2</m:t>
            </m:r>
            <m:r>
              <m:rPr>
                <m:sty m:val="p"/>
              </m:rPr>
              <m:t>,</m:t>
            </m:r>
            <m:r>
              <m:t>i</m:t>
            </m:r>
            <m:r>
              <m:t>t</m:t>
            </m:r>
          </m:sub>
        </m:sSub>
        <m:r>
          <m:rPr>
            <m:sty m:val="p"/>
          </m:rPr>
          <m:t>+</m:t>
        </m:r>
        <m:sSub>
          <m:e>
            <m:r>
              <m:t>β</m:t>
            </m:r>
          </m:e>
          <m:sub>
            <m:r>
              <m:t>3</m:t>
            </m:r>
          </m:sub>
        </m:sSub>
        <m:r>
          <m:rPr>
            <m:sty m:val="p"/>
          </m:rPr>
          <m:t>ln</m:t>
        </m:r>
        <m:sSub>
          <m:e>
            <m:r>
              <m:t>X</m:t>
            </m:r>
          </m:e>
          <m:sub>
            <m:r>
              <m:t>3</m:t>
            </m:r>
            <m:r>
              <m:rPr>
                <m:sty m:val="p"/>
              </m:rPr>
              <m:t>,</m:t>
            </m:r>
            <m:r>
              <m:t>i</m:t>
            </m:r>
            <m:r>
              <m:t>t</m:t>
            </m:r>
          </m:sub>
        </m:sSub>
        <m:r>
          <m:rPr>
            <m:sty m:val="p"/>
          </m:rPr>
          <m:t>+</m:t>
        </m:r>
        <m:sSup>
          <m:e>
            <m:r>
              <m:t>δ</m:t>
            </m:r>
          </m:e>
          <m:sup>
            <m:r>
              <m:rPr>
                <m:sty m:val="p"/>
              </m:rPr>
              <m:t>⊤</m:t>
            </m:r>
          </m:sup>
        </m:sSup>
        <m:sSub>
          <m:e>
            <m:r>
              <m:t>Z</m:t>
            </m:r>
          </m:e>
          <m:sub>
            <m:r>
              <m:t>i</m:t>
            </m:r>
            <m:r>
              <m:t>t</m:t>
            </m:r>
          </m:sub>
        </m:sSub>
        <m:r>
          <m:rPr>
            <m:sty m:val="p"/>
          </m:rPr>
          <m:t>+</m:t>
        </m:r>
        <m:sSub>
          <m:e>
            <m:r>
              <m:t>v</m:t>
            </m:r>
          </m:e>
          <m:sub>
            <m:r>
              <m:t>i</m:t>
            </m:r>
            <m:r>
              <m:t>t</m:t>
            </m:r>
          </m:sub>
        </m:sSub>
        <m:r>
          <m:rPr>
            <m:sty m:val="p"/>
          </m:rPr>
          <m:t>−</m:t>
        </m:r>
        <m:sSub>
          <m:e>
            <m:r>
              <m:t>u</m:t>
            </m:r>
          </m:e>
          <m:sub>
            <m:r>
              <m:t>i</m:t>
            </m:r>
            <m:r>
              <m:t>t</m:t>
            </m:r>
          </m:sub>
        </m:sSub>
      </m:oMath>
      <w:r>
        <w:tab/>
      </w:r>
      <w:r>
        <w:rPr>
          <w:rFonts w:ascii="Times New Roman" w:hAnsi="Times New Roman" w:eastAsia="宋体"/>
          <w:sz w:val="24"/>
        </w:rPr>
        <w:t>(11-1)</w:t>
      </w:r>
    </w:p>
    <w:p>
      <w:pPr>
        <w:spacing w:line="360" w:lineRule="auto" w:after="0"/>
        <w:jc w:val="both"/>
      </w:pPr>
      <w:r>
        <w:rPr>
          <w:rFonts w:ascii="宋体" w:hAnsi="宋体" w:eastAsia="宋体"/>
          <w:sz w:val="24"/>
        </w:rPr>
        <w:t>其中，</w:t>
      </w:r>
      <m:oMath>
        <m:sSub>
          <m:e>
            <m:r>
              <m:t>β</m:t>
            </m:r>
          </m:e>
          <m:sub>
            <m:r>
              <m:t>0</m:t>
            </m:r>
          </m:sub>
        </m:sSub>
      </m:oMath>
      <w:r>
        <w:rPr>
          <w:rFonts w:ascii="宋体" w:hAnsi="宋体" w:eastAsia="宋体"/>
          <w:sz w:val="24"/>
        </w:rPr>
        <w:t>为常数项，</w:t>
      </w:r>
      <m:oMath>
        <m:sSub>
          <m:e>
            <m:r>
              <m:t>β</m:t>
            </m:r>
          </m:e>
          <m:sub>
            <m:r>
              <m:t>1</m:t>
            </m:r>
          </m:sub>
        </m:sSub>
      </m:oMath>
      <w:r>
        <w:rPr>
          <w:rFonts w:ascii="宋体" w:hAnsi="宋体" w:eastAsia="宋体"/>
          <w:sz w:val="24"/>
        </w:rPr>
        <w:t>、</w:t>
      </w:r>
      <m:oMath>
        <m:sSub>
          <m:e>
            <m:r>
              <m:t>β</m:t>
            </m:r>
          </m:e>
          <m:sub>
            <m:r>
              <m:t>2</m:t>
            </m:r>
          </m:sub>
        </m:sSub>
      </m:oMath>
      <w:r>
        <w:rPr>
          <w:rFonts w:ascii="宋体" w:hAnsi="宋体" w:eastAsia="宋体"/>
          <w:sz w:val="24"/>
        </w:rPr>
        <w:t>、</w:t>
      </w:r>
      <m:oMath>
        <m:sSub>
          <m:e>
            <m:r>
              <m:t>β</m:t>
            </m:r>
          </m:e>
          <m:sub>
            <m:r>
              <m:t>3</m:t>
            </m:r>
          </m:sub>
        </m:sSub>
      </m:oMath>
      <w:r>
        <w:rPr>
          <w:rFonts w:ascii="宋体" w:hAnsi="宋体" w:eastAsia="宋体"/>
          <w:sz w:val="24"/>
        </w:rPr>
        <w:t>分别为三类投入的产出弹性；</w:t>
      </w:r>
      <m:oMath>
        <m:sSub>
          <m:e>
            <m:r>
              <m:t>Z</m:t>
            </m:r>
          </m:e>
          <m:sub>
            <m:r>
              <m:t>i</m:t>
            </m:r>
            <m:r>
              <m:t>t</m:t>
            </m:r>
          </m:sub>
        </m:sSub>
      </m:oMath>
      <w:r>
        <w:rPr>
          <w:rFonts w:ascii="宋体" w:hAnsi="宋体" w:eastAsia="宋体"/>
          <w:sz w:val="24"/>
        </w:rPr>
        <w:t>为影响前沿位置的环境控制变量（经济发展水平、产业结构），</w:t>
      </w:r>
      <m:oMath>
        <m:r>
          <m:t>δ</m:t>
        </m:r>
      </m:oMath>
      <w:r>
        <w:rPr>
          <w:rFonts w:ascii="宋体" w:hAnsi="宋体" w:eastAsia="宋体"/>
          <w:sz w:val="24"/>
        </w:rPr>
        <w:t>为其系数向量；</w:t>
      </w:r>
      <m:oMath>
        <m:sSub>
          <m:e>
            <m:r>
              <m:t>v</m:t>
            </m:r>
          </m:e>
          <m:sub>
            <m:r>
              <m:t>i</m:t>
            </m:r>
            <m:r>
              <m:t>t</m:t>
            </m:r>
          </m:sub>
        </m:sSub>
      </m:oMath>
      <w:r>
        <w:rPr>
          <w:rFonts w:ascii="宋体" w:hAnsi="宋体" w:eastAsia="宋体"/>
          <w:sz w:val="24"/>
        </w:rPr>
        <w:t>为对称随机扰动项，</w:t>
      </w:r>
      <m:oMath>
        <m:sSub>
          <m:e>
            <m:r>
              <m:t>u</m:t>
            </m:r>
          </m:e>
          <m:sub>
            <m:r>
              <m:t>i</m:t>
            </m:r>
            <m:r>
              <m:t>t</m:t>
            </m:r>
          </m:sub>
        </m:sSub>
        <m:r>
          <m:rPr>
            <m:sty m:val="p"/>
          </m:rPr>
          <m:t>≥</m:t>
        </m:r>
        <m:r>
          <m:t>0</m:t>
        </m:r>
      </m:oMath>
      <w:r>
        <w:rPr>
          <w:rFonts w:ascii="宋体" w:hAnsi="宋体" w:eastAsia="宋体"/>
          <w:sz w:val="24"/>
        </w:rPr>
        <w:t>为执行无效率项。</w:t>
      </w:r>
    </w:p>
    <w:p>
      <w:pPr>
        <w:spacing w:line="360" w:lineRule="auto" w:after="0"/>
        <w:ind w:firstLineChars="200" w:firstLine="480"/>
        <w:jc w:val="both"/>
      </w:pPr>
      <w:r>
        <w:rPr>
          <w:rFonts w:ascii="宋体" w:hAnsi="宋体" w:eastAsia="宋体"/>
          <w:sz w:val="24"/>
        </w:rPr>
        <w:t>函数形式采用柯布—道格拉斯而非超越对数，基于三点考虑。第一，超越对数形式需额外估计投入的二次项与交互项，在30个省份、16年的样本规模下自由度代价高昂，且三类投入高度相关，交互项会引入严重共线性；第二，本章的研究兴趣不在投入间替代弹性的精细刻画，而在效率项的测算与归因，前沿部分宜简洁稳健；第三，对数线性设定下系数即弹性，经济解释直观。作为稳健性检验，以超越对数形式重新估计后，效率得分的省份排序与区域格局保持稳定，表明主要结论不依赖函数形式的选择。</w:t>
      </w:r>
    </w:p>
    <w:p>
      <w:pPr>
        <w:spacing w:line="360" w:lineRule="auto" w:after="0"/>
        <w:ind w:firstLineChars="200" w:firstLine="480"/>
        <w:jc w:val="both"/>
      </w:pPr>
      <w:r>
        <w:rPr>
          <w:rFonts w:ascii="宋体" w:hAnsi="宋体" w:eastAsia="宋体"/>
          <w:sz w:val="24"/>
        </w:rPr>
        <w:t>复合误差结构是随机前沿方法的灵魂。式(11-1)的误差项由两部分构成：</w:t>
      </w:r>
      <m:oMath>
        <m:sSub>
          <m:e>
            <m:r>
              <m:t>ε</m:t>
            </m:r>
          </m:e>
          <m:sub>
            <m:r>
              <m:t>i</m:t>
            </m:r>
            <m:r>
              <m:t>t</m:t>
            </m:r>
          </m:sub>
        </m:sSub>
        <m:r>
          <m:rPr>
            <m:sty m:val="p"/>
          </m:rPr>
          <m:t>=</m:t>
        </m:r>
        <m:sSub>
          <m:e>
            <m:r>
              <m:t>v</m:t>
            </m:r>
          </m:e>
          <m:sub>
            <m:r>
              <m:t>i</m:t>
            </m:r>
            <m:r>
              <m:t>t</m:t>
            </m:r>
          </m:sub>
        </m:sSub>
        <m:r>
          <m:rPr>
            <m:sty m:val="p"/>
          </m:rPr>
          <m:t>−</m:t>
        </m:r>
        <m:sSub>
          <m:e>
            <m:r>
              <m:t>u</m:t>
            </m:r>
          </m:e>
          <m:sub>
            <m:r>
              <m:t>i</m:t>
            </m:r>
            <m:r>
              <m:t>t</m:t>
            </m:r>
          </m:sub>
        </m:sSub>
      </m:oMath>
      <w:r>
        <w:rPr>
          <w:rFonts w:ascii="宋体" w:hAnsi="宋体" w:eastAsia="宋体"/>
          <w:sz w:val="24"/>
        </w:rPr>
        <w:t>。其中</w:t>
      </w:r>
      <m:oMath>
        <m:sSub>
          <m:e>
            <m:r>
              <m:t>v</m:t>
            </m:r>
          </m:e>
          <m:sub>
            <m:r>
              <m:t>i</m:t>
            </m:r>
            <m:r>
              <m:t>t</m:t>
            </m:r>
          </m:sub>
        </m:sSub>
        <m:r>
          <m:rPr>
            <m:sty m:val="p"/>
          </m:rPr>
          <m:t>∼</m:t>
        </m:r>
        <m:r>
          <m:t>N</m:t>
        </m:r>
        <m:d>
          <m:dPr>
            <m:begChr m:val="("/>
            <m:sepChr m:val=""/>
            <m:endChr m:val=")"/>
            <m:grow/>
          </m:dPr>
          <m:e>
            <m:r>
              <m:t>0</m:t>
            </m:r>
            <m:r>
              <m:rPr>
                <m:sty m:val="p"/>
              </m:rPr>
              <m:t>,</m:t>
            </m:r>
            <m:sSubSup>
              <m:e>
                <m:r>
                  <m:t>σ</m:t>
                </m:r>
              </m:e>
              <m:sub>
                <m:r>
                  <m:t>v</m:t>
                </m:r>
              </m:sub>
              <m:sup>
                <m:r>
                  <m:t>2</m:t>
                </m:r>
              </m:sup>
            </m:sSubSup>
          </m:e>
        </m:d>
      </m:oMath>
      <w:r>
        <w:rPr>
          <w:rFonts w:ascii="宋体" w:hAnsi="宋体" w:eastAsia="宋体"/>
          <w:sz w:val="24"/>
        </w:rPr>
        <w:t>为双侧随机扰动，捕捉气候波动、能源市场冲击、统计测量误差等既非投入变化亦非执行状况所能解释的偶然因素；</w:t>
      </w:r>
      <m:oMath>
        <m:sSub>
          <m:e>
            <m:r>
              <m:t>u</m:t>
            </m:r>
          </m:e>
          <m:sub>
            <m:r>
              <m:t>i</m:t>
            </m:r>
            <m:r>
              <m:t>t</m:t>
            </m:r>
          </m:sub>
        </m:sSub>
      </m:oMath>
      <w:r>
        <w:rPr>
          <w:rFonts w:ascii="宋体" w:hAnsi="宋体" w:eastAsia="宋体"/>
          <w:sz w:val="24"/>
        </w:rPr>
        <w:t>为单侧非负项，度量实际绩效对前沿的向下偏离，即执行无效率。若将二者混为一谈——如确定性前沿方法或普通最小二乘那样——要么把“运气不好”误判为“执行不力”，要么让“执行不力”隐匿于“随机波动”。二者的统计分离，正是执行效率得以精确识别的方法论前提。</w:t>
      </w:r>
    </w:p>
    <w:p>
      <w:pPr>
        <w:keepNext/>
        <w:spacing w:before="160" w:after="120" w:line="360" w:lineRule="auto"/>
        <w:outlineLvl w:val="2"/>
      </w:pPr>
      <w:r>
        <w:rPr>
          <w:rFonts w:ascii="黑体" w:hAnsi="黑体" w:eastAsia="黑体"/>
          <w:sz w:val="24"/>
        </w:rPr>
        <w:t>11.2.2  非效率均值方程</w:t>
      </w:r>
    </w:p>
    <w:p>
      <w:pPr>
        <w:spacing w:line="360" w:lineRule="auto" w:after="0"/>
        <w:ind w:firstLineChars="200" w:firstLine="480"/>
        <w:jc w:val="both"/>
      </w:pPr>
      <w:r>
        <w:rPr>
          <w:rFonts w:ascii="宋体" w:hAnsi="宋体" w:eastAsia="宋体"/>
          <w:sz w:val="24"/>
        </w:rPr>
        <w:t>BC95模型的核心创新在于让无效率分布的位置随解释变量移动。设</w:t>
      </w:r>
      <m:oMath>
        <m:sSub>
          <m:e>
            <m:r>
              <m:t>u</m:t>
            </m:r>
          </m:e>
          <m:sub>
            <m:r>
              <m:t>i</m:t>
            </m:r>
            <m:r>
              <m:t>t</m:t>
            </m:r>
          </m:sub>
        </m:sSub>
      </m:oMath>
      <w:r>
        <w:rPr>
          <w:rFonts w:ascii="宋体" w:hAnsi="宋体" w:eastAsia="宋体"/>
          <w:sz w:val="24"/>
        </w:rPr>
        <w:t>服从在零点截断的正态分布</w:t>
      </w:r>
      <m:oMath>
        <m:sSup>
          <m:e>
            <m:r>
              <m:t>N</m:t>
            </m:r>
          </m:e>
          <m:sup>
            <m:r>
              <m:rPr>
                <m:sty m:val="p"/>
              </m:rPr>
              <m:t>+</m:t>
            </m:r>
          </m:sup>
        </m:sSup>
        <m:d>
          <m:dPr>
            <m:begChr m:val="("/>
            <m:sepChr m:val=""/>
            <m:endChr m:val=")"/>
            <m:grow/>
          </m:dPr>
          <m:e>
            <m:sSub>
              <m:e>
                <m:r>
                  <m:t>μ</m:t>
                </m:r>
              </m:e>
              <m:sub>
                <m:r>
                  <m:t>i</m:t>
                </m:r>
                <m:r>
                  <m:t>t</m:t>
                </m:r>
              </m:sub>
            </m:sSub>
            <m:r>
              <m:rPr>
                <m:sty m:val="p"/>
              </m:rPr>
              <m:t>,</m:t>
            </m:r>
            <m:sSubSup>
              <m:e>
                <m:r>
                  <m:t>σ</m:t>
                </m:r>
              </m:e>
              <m:sub>
                <m:r>
                  <m:t>u</m:t>
                </m:r>
              </m:sub>
              <m:sup>
                <m:r>
                  <m:t>2</m:t>
                </m:r>
              </m:sup>
            </m:sSubSup>
          </m:e>
        </m:d>
      </m:oMath>
      <w:r>
        <w:rPr>
          <w:rFonts w:ascii="宋体" w:hAnsi="宋体" w:eastAsia="宋体"/>
          <w:sz w:val="24"/>
        </w:rPr>
        <w:t>，其位置参数</w:t>
      </w:r>
      <m:oMath>
        <m:sSub>
          <m:e>
            <m:r>
              <m:t>μ</m:t>
            </m:r>
          </m:e>
          <m:sub>
            <m:r>
              <m:t>i</m:t>
            </m:r>
            <m:r>
              <m:t>t</m:t>
            </m:r>
          </m:sub>
        </m:sSub>
      </m:oMath>
      <w:r>
        <w:rPr>
          <w:rFonts w:ascii="宋体" w:hAnsi="宋体" w:eastAsia="宋体"/>
          <w:sz w:val="24"/>
        </w:rPr>
        <w:t>由效率决定因素驱动：</w:t>
      </w:r>
    </w:p>
    <w:p>
      <w:pPr>
        <w:tabs>
          <w:tab w:pos="4252" w:val="center"/>
          <w:tab w:pos="8504" w:val="right"/>
        </w:tabs>
        <w:spacing w:line="360" w:lineRule="auto" w:before="80" w:after="80"/>
      </w:pPr>
      <w:r>
        <w:tab/>
      </w:r>
      <m:oMath>
        <m:sSub>
          <m:e>
            <m:r>
              <m:t>μ</m:t>
            </m:r>
          </m:e>
          <m:sub>
            <m:r>
              <m:t>i</m:t>
            </m:r>
            <m:r>
              <m:t>t</m:t>
            </m:r>
          </m:sub>
        </m:sSub>
        <m:r>
          <m:rPr>
            <m:sty m:val="p"/>
          </m:rPr>
          <m:t>=</m:t>
        </m:r>
        <m:sSub>
          <m:e>
            <m:r>
              <m:t>λ</m:t>
            </m:r>
          </m:e>
          <m:sub>
            <m:r>
              <m:t>0</m:t>
            </m:r>
          </m:sub>
        </m:sSub>
        <m:r>
          <m:rPr>
            <m:sty m:val="p"/>
          </m:rPr>
          <m:t>+</m:t>
        </m:r>
        <m:sSub>
          <m:e>
            <m:r>
              <m:t>λ</m:t>
            </m:r>
          </m:e>
          <m:sub>
            <m:r>
              <m:t>1</m:t>
            </m:r>
          </m:sub>
        </m:sSub>
        <m:sSub>
          <m:e>
            <m:r>
              <m:rPr>
                <m:sty m:val="p"/>
              </m:rPr>
              <m:t>S</m:t>
            </m:r>
            <m:r>
              <m:rPr>
                <m:sty m:val="p"/>
              </m:rPr>
              <m:t>C</m:t>
            </m:r>
            <m:r>
              <m:rPr>
                <m:sty m:val="p"/>
              </m:rPr>
              <m:t>I</m:t>
            </m:r>
          </m:e>
          <m:sub>
            <m:r>
              <m:t>i</m:t>
            </m:r>
            <m:r>
              <m:t>t</m:t>
            </m:r>
          </m:sub>
        </m:sSub>
        <m:r>
          <m:rPr>
            <m:sty m:val="p"/>
          </m:rPr>
          <m:t>+</m:t>
        </m:r>
        <m:sSub>
          <m:e>
            <m:r>
              <m:t>λ</m:t>
            </m:r>
          </m:e>
          <m:sub>
            <m:r>
              <m:t>2</m:t>
            </m:r>
          </m:sub>
        </m:sSub>
        <m:sSub>
          <m:e>
            <m:r>
              <m:rPr>
                <m:sty m:val="p"/>
              </m:rPr>
              <m:t>I</m:t>
            </m:r>
            <m:r>
              <m:rPr>
                <m:sty m:val="p"/>
              </m:rPr>
              <m:t>N</m:t>
            </m:r>
            <m:r>
              <m:rPr>
                <m:sty m:val="p"/>
              </m:rPr>
              <m:t>C</m:t>
            </m:r>
          </m:e>
          <m:sub>
            <m:r>
              <m:t>i</m:t>
            </m:r>
            <m:r>
              <m:t>t</m:t>
            </m:r>
          </m:sub>
        </m:sSub>
        <m:r>
          <m:rPr>
            <m:sty m:val="p"/>
          </m:rPr>
          <m:t>+</m:t>
        </m:r>
        <m:sSub>
          <m:e>
            <m:r>
              <m:t>λ</m:t>
            </m:r>
          </m:e>
          <m:sub>
            <m:r>
              <m:t>3</m:t>
            </m:r>
          </m:sub>
        </m:sSub>
        <m:sSub>
          <m:e>
            <m:r>
              <m:rPr>
                <m:sty m:val="p"/>
              </m:rPr>
              <m:t>C</m:t>
            </m:r>
            <m:r>
              <m:rPr>
                <m:sty m:val="p"/>
              </m:rPr>
              <m:t>D</m:t>
            </m:r>
            <m:r>
              <m:rPr>
                <m:sty m:val="p"/>
              </m:rPr>
              <m:t>E</m:t>
            </m:r>
          </m:e>
          <m:sub>
            <m:r>
              <m:t>i</m:t>
            </m:r>
            <m:r>
              <m:t>t</m:t>
            </m:r>
          </m:sub>
        </m:sSub>
        <m:r>
          <m:rPr>
            <m:sty m:val="p"/>
          </m:rPr>
          <m:t>+</m:t>
        </m:r>
        <m:sSup>
          <m:e>
            <m:r>
              <m:t>φ</m:t>
            </m:r>
          </m:e>
          <m:sup>
            <m:r>
              <m:rPr>
                <m:sty m:val="p"/>
              </m:rPr>
              <m:t>⊤</m:t>
            </m:r>
          </m:sup>
        </m:sSup>
        <m:sSub>
          <m:e>
            <m:r>
              <m:t>W</m:t>
            </m:r>
          </m:e>
          <m:sub>
            <m:r>
              <m:t>i</m:t>
            </m:r>
            <m:r>
              <m:t>t</m:t>
            </m:r>
          </m:sub>
        </m:sSub>
      </m:oMath>
      <w:r>
        <w:tab/>
      </w:r>
      <w:r>
        <w:rPr>
          <w:rFonts w:ascii="Times New Roman" w:hAnsi="Times New Roman" w:eastAsia="宋体"/>
          <w:sz w:val="24"/>
        </w:rPr>
        <w:t>(11-2)</w:t>
      </w:r>
    </w:p>
    <w:p>
      <w:pPr>
        <w:spacing w:line="360" w:lineRule="auto" w:after="0"/>
        <w:jc w:val="both"/>
      </w:pPr>
      <w:r>
        <w:rPr>
          <w:rFonts w:ascii="宋体" w:hAnsi="宋体" w:eastAsia="宋体"/>
          <w:sz w:val="24"/>
        </w:rPr>
        <w:t>其中，</w:t>
      </w:r>
      <m:oMath>
        <m:sSub>
          <m:e>
            <m:r>
              <m:rPr>
                <m:sty m:val="p"/>
              </m:rPr>
              <m:t>S</m:t>
            </m:r>
            <m:r>
              <m:rPr>
                <m:sty m:val="p"/>
              </m:rPr>
              <m:t>C</m:t>
            </m:r>
            <m:r>
              <m:rPr>
                <m:sty m:val="p"/>
              </m:rPr>
              <m:t>I</m:t>
            </m:r>
          </m:e>
          <m:sub>
            <m:r>
              <m:t>i</m:t>
            </m:r>
            <m:r>
              <m:t>t</m:t>
            </m:r>
          </m:sub>
        </m:sSub>
      </m:oMath>
      <w:r>
        <w:rPr>
          <w:rFonts w:ascii="宋体" w:hAnsi="宋体" w:eastAsia="宋体"/>
          <w:sz w:val="24"/>
        </w:rPr>
        <w:t>为标准完整性指数，</w:t>
      </w:r>
      <m:oMath>
        <m:sSub>
          <m:e>
            <m:r>
              <m:rPr>
                <m:sty m:val="p"/>
              </m:rPr>
              <m:t>I</m:t>
            </m:r>
            <m:r>
              <m:rPr>
                <m:sty m:val="p"/>
              </m:rPr>
              <m:t>N</m:t>
            </m:r>
            <m:r>
              <m:rPr>
                <m:sty m:val="p"/>
              </m:rPr>
              <m:t>C</m:t>
            </m:r>
          </m:e>
          <m:sub>
            <m:r>
              <m:t>i</m:t>
            </m:r>
            <m:r>
              <m:t>t</m:t>
            </m:r>
          </m:sub>
        </m:sSub>
      </m:oMath>
      <w:r>
        <w:rPr>
          <w:rFonts w:ascii="宋体" w:hAnsi="宋体" w:eastAsia="宋体"/>
          <w:sz w:val="24"/>
        </w:rPr>
        <w:t>为激励强度指数，</w:t>
      </w:r>
      <m:oMath>
        <m:sSub>
          <m:e>
            <m:r>
              <m:rPr>
                <m:sty m:val="p"/>
              </m:rPr>
              <m:t>C</m:t>
            </m:r>
            <m:r>
              <m:rPr>
                <m:sty m:val="p"/>
              </m:rPr>
              <m:t>D</m:t>
            </m:r>
            <m:r>
              <m:rPr>
                <m:sty m:val="p"/>
              </m:rPr>
              <m:t>E</m:t>
            </m:r>
          </m:e>
          <m:sub>
            <m:r>
              <m:t>i</m:t>
            </m:r>
            <m:r>
              <m:t>t</m:t>
            </m:r>
          </m:sub>
        </m:sSub>
      </m:oMath>
      <w:r>
        <w:rPr>
          <w:rFonts w:ascii="宋体" w:hAnsi="宋体" w:eastAsia="宋体"/>
          <w:sz w:val="24"/>
        </w:rPr>
        <w:t>为协调效率指数，</w:t>
      </w:r>
      <m:oMath>
        <m:sSub>
          <m:e>
            <m:r>
              <m:t>W</m:t>
            </m:r>
          </m:e>
          <m:sub>
            <m:r>
              <m:t>i</m:t>
            </m:r>
            <m:r>
              <m:t>t</m:t>
            </m:r>
          </m:sub>
        </m:sSub>
      </m:oMath>
      <w:r>
        <w:rPr>
          <w:rFonts w:ascii="宋体" w:hAnsi="宋体" w:eastAsia="宋体"/>
          <w:sz w:val="24"/>
        </w:rPr>
        <w:t>为其他控制变量，</w:t>
      </w:r>
      <m:oMath>
        <m:sSub>
          <m:e>
            <m:r>
              <m:t>λ</m:t>
            </m:r>
          </m:e>
          <m:sub>
            <m:r>
              <m:t>0</m:t>
            </m:r>
          </m:sub>
        </m:sSub>
      </m:oMath>
      <w:r>
        <w:rPr>
          <w:rFonts w:ascii="宋体" w:hAnsi="宋体" w:eastAsia="宋体"/>
          <w:sz w:val="24"/>
        </w:rPr>
        <w:t>为常数项，</w:t>
      </w:r>
      <m:oMath>
        <m:sSub>
          <m:e>
            <m:r>
              <m:t>λ</m:t>
            </m:r>
          </m:e>
          <m:sub>
            <m:r>
              <m:t>1</m:t>
            </m:r>
          </m:sub>
        </m:sSub>
      </m:oMath>
      <w:r>
        <w:rPr>
          <w:rFonts w:ascii="宋体" w:hAnsi="宋体" w:eastAsia="宋体"/>
          <w:sz w:val="24"/>
        </w:rPr>
        <w:t>、</w:t>
      </w:r>
      <m:oMath>
        <m:sSub>
          <m:e>
            <m:r>
              <m:t>λ</m:t>
            </m:r>
          </m:e>
          <m:sub>
            <m:r>
              <m:t>2</m:t>
            </m:r>
          </m:sub>
        </m:sSub>
      </m:oMath>
      <w:r>
        <w:rPr>
          <w:rFonts w:ascii="宋体" w:hAnsi="宋体" w:eastAsia="宋体"/>
          <w:sz w:val="24"/>
        </w:rPr>
        <w:t>、</w:t>
      </w:r>
      <m:oMath>
        <m:sSub>
          <m:e>
            <m:r>
              <m:t>λ</m:t>
            </m:r>
          </m:e>
          <m:sub>
            <m:r>
              <m:t>3</m:t>
            </m:r>
          </m:sub>
        </m:sSub>
      </m:oMath>
      <w:r>
        <w:rPr>
          <w:rFonts w:ascii="宋体" w:hAnsi="宋体" w:eastAsia="宋体"/>
          <w:sz w:val="24"/>
        </w:rPr>
        <w:t>与</w:t>
      </w:r>
      <m:oMath>
        <m:r>
          <m:t>φ</m:t>
        </m:r>
      </m:oMath>
      <w:r>
        <w:rPr>
          <w:rFonts w:ascii="宋体" w:hAnsi="宋体" w:eastAsia="宋体"/>
          <w:sz w:val="24"/>
        </w:rPr>
        <w:t>为待估参数；系数为负表示该因素提高会降低无效率均值、从而提升执行效率。</w:t>
      </w:r>
    </w:p>
    <w:p>
      <w:pPr>
        <w:spacing w:line="360" w:lineRule="auto" w:after="0"/>
        <w:ind w:firstLineChars="200" w:firstLine="480"/>
        <w:jc w:val="both"/>
      </w:pPr>
      <w:r>
        <w:rPr>
          <w:rFonts w:ascii="宋体" w:hAnsi="宋体" w:eastAsia="宋体"/>
          <w:sz w:val="24"/>
        </w:rPr>
        <w:t>无效率项的密度函数为截断正态形式：</w:t>
      </w:r>
    </w:p>
    <w:p>
      <w:pPr>
        <w:tabs>
          <w:tab w:pos="4252" w:val="center"/>
          <w:tab w:pos="8504" w:val="right"/>
        </w:tabs>
        <w:spacing w:line="360" w:lineRule="auto" w:before="80" w:after="80"/>
      </w:pPr>
      <w:r>
        <w:tab/>
      </w:r>
      <m:oMath>
        <m:r>
          <m:t>f</m:t>
        </m:r>
        <m:d>
          <m:dPr>
            <m:begChr m:val="("/>
            <m:sepChr m:val=""/>
            <m:endChr m:val=")"/>
            <m:grow/>
          </m:dPr>
          <m:e>
            <m:sSub>
              <m:e>
                <m:r>
                  <m:t>u</m:t>
                </m:r>
              </m:e>
              <m:sub>
                <m:r>
                  <m:t>i</m:t>
                </m:r>
                <m:r>
                  <m:t>t</m:t>
                </m:r>
              </m:sub>
            </m:sSub>
          </m:e>
        </m:d>
        <m:r>
          <m:rPr>
            <m:sty m:val="p"/>
          </m:rPr>
          <m:t>=</m:t>
        </m:r>
        <m:f>
          <m:fPr>
            <m:type m:val="bar"/>
          </m:fPr>
          <m:num>
            <m:r>
              <m:t>1</m:t>
            </m:r>
          </m:num>
          <m:den>
            <m:rad>
              <m:radPr>
                <m:degHide m:val="on"/>
              </m:radPr>
              <m:deg/>
              <m:e>
                <m:r>
                  <m:t>2</m:t>
                </m:r>
                <m:r>
                  <m:t>π</m:t>
                </m:r>
              </m:e>
            </m:rad>
            <m:r>
              <m:t> </m:t>
            </m:r>
            <m:sSub>
              <m:e>
                <m:r>
                  <m:t>σ</m:t>
                </m:r>
              </m:e>
              <m:sub>
                <m:r>
                  <m:t>u</m:t>
                </m:r>
              </m:sub>
            </m:sSub>
            <m:r>
              <m:t> </m:t>
            </m:r>
            <m:r>
              <m:t>Φ</m:t>
            </m:r>
            <m:d>
              <m:dPr>
                <m:begChr m:val="("/>
                <m:sepChr m:val=""/>
                <m:endChr m:val=")"/>
                <m:grow/>
              </m:dPr>
              <m:e>
                <m:sSub>
                  <m:e>
                    <m:r>
                      <m:t>μ</m:t>
                    </m:r>
                  </m:e>
                  <m:sub>
                    <m:r>
                      <m:t>i</m:t>
                    </m:r>
                    <m:r>
                      <m:t>t</m:t>
                    </m:r>
                  </m:sub>
                </m:sSub>
                <m:r>
                  <m:rPr>
                    <m:sty m:val="p"/>
                  </m:rPr>
                  <m:t>/</m:t>
                </m:r>
                <m:sSub>
                  <m:e>
                    <m:r>
                      <m:t>σ</m:t>
                    </m:r>
                  </m:e>
                  <m:sub>
                    <m:r>
                      <m:t>u</m:t>
                    </m:r>
                  </m:sub>
                </m:sSub>
              </m:e>
            </m:d>
          </m:den>
        </m:f>
        <m:r>
          <m:rPr>
            <m:sty m:val="p"/>
          </m:rPr>
          <m:t>exp</m:t>
        </m:r>
        <m:d>
          <m:dPr>
            <m:begChr m:val="["/>
            <m:sepChr m:val=""/>
            <m:endChr m:val="]"/>
            <m:grow/>
          </m:dPr>
          <m:e>
            <m:r>
              <m:rPr>
                <m:sty m:val="p"/>
              </m:rPr>
              <m:t>−</m:t>
            </m:r>
            <m:f>
              <m:fPr>
                <m:type m:val="bar"/>
              </m:fPr>
              <m:num>
                <m:sSup>
                  <m:e>
                    <m:d>
                      <m:dPr>
                        <m:begChr m:val="("/>
                        <m:sepChr m:val=""/>
                        <m:endChr m:val=")"/>
                        <m:grow/>
                      </m:dPr>
                      <m:e>
                        <m:sSub>
                          <m:e>
                            <m:r>
                              <m:t>u</m:t>
                            </m:r>
                          </m:e>
                          <m:sub>
                            <m:r>
                              <m:t>i</m:t>
                            </m:r>
                            <m:r>
                              <m:t>t</m:t>
                            </m:r>
                          </m:sub>
                        </m:sSub>
                        <m:r>
                          <m:rPr>
                            <m:sty m:val="p"/>
                          </m:rPr>
                          <m:t>−</m:t>
                        </m:r>
                        <m:sSub>
                          <m:e>
                            <m:r>
                              <m:t>μ</m:t>
                            </m:r>
                          </m:e>
                          <m:sub>
                            <m:r>
                              <m:t>i</m:t>
                            </m:r>
                            <m:r>
                              <m:t>t</m:t>
                            </m:r>
                          </m:sub>
                        </m:sSub>
                      </m:e>
                    </m:d>
                  </m:e>
                  <m:sup>
                    <m:r>
                      <m:t>2</m:t>
                    </m:r>
                  </m:sup>
                </m:sSup>
              </m:num>
              <m:den>
                <m:r>
                  <m:t>2</m:t>
                </m:r>
                <m:sSubSup>
                  <m:e>
                    <m:r>
                      <m:t>σ</m:t>
                    </m:r>
                  </m:e>
                  <m:sub>
                    <m:r>
                      <m:t>u</m:t>
                    </m:r>
                  </m:sub>
                  <m:sup>
                    <m:r>
                      <m:t>2</m:t>
                    </m:r>
                  </m:sup>
                </m:sSubSup>
              </m:den>
            </m:f>
          </m:e>
        </m:d>
        <m:r>
          <m:rPr>
            <m:sty m:val="p"/>
          </m:rPr>
          <m:t>,</m:t>
        </m:r>
        <m:r>
          <m:t>  </m:t>
        </m:r>
        <m:sSub>
          <m:e>
            <m:r>
              <m:t>u</m:t>
            </m:r>
          </m:e>
          <m:sub>
            <m:r>
              <m:t>i</m:t>
            </m:r>
            <m:r>
              <m:t>t</m:t>
            </m:r>
          </m:sub>
        </m:sSub>
        <m:r>
          <m:rPr>
            <m:sty m:val="p"/>
          </m:rPr>
          <m:t>≥</m:t>
        </m:r>
        <m:r>
          <m:t>0</m:t>
        </m:r>
      </m:oMath>
      <w:r>
        <w:tab/>
      </w:r>
      <w:r>
        <w:rPr>
          <w:rFonts w:ascii="Times New Roman" w:hAnsi="Times New Roman" w:eastAsia="宋体"/>
          <w:sz w:val="24"/>
        </w:rPr>
        <w:t>(11-3)</w:t>
      </w:r>
    </w:p>
    <w:p>
      <w:pPr>
        <w:spacing w:line="360" w:lineRule="auto" w:after="0"/>
        <w:jc w:val="both"/>
      </w:pPr>
      <w:r>
        <w:rPr>
          <w:rFonts w:ascii="宋体" w:hAnsi="宋体" w:eastAsia="宋体"/>
          <w:sz w:val="24"/>
        </w:rPr>
        <w:t>其中，</w:t>
      </w:r>
      <m:oMath>
        <m:r>
          <m:t>Φ</m:t>
        </m:r>
        <m:d>
          <m:dPr>
            <m:begChr m:val="("/>
            <m:sepChr m:val=""/>
            <m:endChr m:val=")"/>
            <m:grow/>
          </m:dPr>
          <m:e>
            <m:r>
              <m:rPr>
                <m:sty m:val="p"/>
              </m:rPr>
              <m:t>⋅</m:t>
            </m:r>
          </m:e>
        </m:d>
      </m:oMath>
      <w:r>
        <w:rPr>
          <w:rFonts w:ascii="宋体" w:hAnsi="宋体" w:eastAsia="宋体"/>
          <w:sz w:val="24"/>
        </w:rPr>
        <w:t>为标准正态分布函数，分母中的</w:t>
      </w:r>
      <m:oMath>
        <m:r>
          <m:t>Φ</m:t>
        </m:r>
        <m:d>
          <m:dPr>
            <m:begChr m:val="("/>
            <m:sepChr m:val=""/>
            <m:endChr m:val=")"/>
            <m:grow/>
          </m:dPr>
          <m:e>
            <m:sSub>
              <m:e>
                <m:r>
                  <m:t>μ</m:t>
                </m:r>
              </m:e>
              <m:sub>
                <m:r>
                  <m:t>i</m:t>
                </m:r>
                <m:r>
                  <m:t>t</m:t>
                </m:r>
              </m:sub>
            </m:sSub>
            <m:r>
              <m:rPr>
                <m:sty m:val="p"/>
              </m:rPr>
              <m:t>/</m:t>
            </m:r>
            <m:sSub>
              <m:e>
                <m:r>
                  <m:t>σ</m:t>
                </m:r>
              </m:e>
              <m:sub>
                <m:r>
                  <m:t>u</m:t>
                </m:r>
              </m:sub>
            </m:sSub>
          </m:e>
        </m:d>
      </m:oMath>
      <w:r>
        <w:rPr>
          <w:rFonts w:ascii="宋体" w:hAnsi="宋体" w:eastAsia="宋体"/>
          <w:sz w:val="24"/>
        </w:rPr>
        <w:t>为截断归一化因子，保证密度在非负半轴上积分为1。</w:t>
      </w:r>
    </w:p>
    <w:p>
      <w:pPr>
        <w:spacing w:line="360" w:lineRule="auto" w:after="0"/>
        <w:ind w:firstLineChars="200" w:firstLine="480"/>
        <w:jc w:val="both"/>
      </w:pPr>
      <w:r>
        <w:rPr>
          <w:rFonts w:ascii="宋体" w:hAnsi="宋体" w:eastAsia="宋体"/>
          <w:sz w:val="24"/>
        </w:rPr>
        <w:t>三个效率决定因素的选择并非经验主义的变量堆砌，而是分别植根于本书前文的三个理论模块，其作用方向均有明确的先验预期。其一，标准完整性SCI度量省域适用标准在五大功能模块上的覆盖齐备程度。第4章与第8章已经表明，中国标准体系存在碳排放端密集、碳吸收端缺位的结构性失衡；模块缺失使执行链条出现断点——无核算标准则认证无从谈起，无认证标准则绿色金融识别落空——完整性越差，执行中“无标可依、有标不配套”的摩擦越大，故预期λ1&lt;0。其二，激励强度INC度量碳市场、财政金融与考核问责三类机制将标准遵从转化为主体收益的力度。第7章演化博弈的分析表明，企业“积极响应”策略的稳定性取决于遵从收益与遵从成本之差；激励越强，执行越接近自我实施，故预期λ2&lt;0。其三，协调效率CDE度量跨部门、跨层级、跨区域的标准实施协同程度。第10章的系统动力学分析揭示了标准模块间的溢出与联动；政出多门、口径不一会抬高执行的交易成本，故预期λ3&lt;0。</w:t>
      </w:r>
    </w:p>
    <w:p>
      <w:pPr>
        <w:keepNext/>
        <w:spacing w:before="160" w:after="120" w:line="360" w:lineRule="auto"/>
        <w:outlineLvl w:val="2"/>
      </w:pPr>
      <w:r>
        <w:rPr>
          <w:rFonts w:ascii="黑体" w:hAnsi="黑体" w:eastAsia="黑体"/>
          <w:sz w:val="24"/>
        </w:rPr>
        <w:t>11.2.3  执行效率与政策有效性损失</w:t>
      </w:r>
    </w:p>
    <w:p>
      <w:pPr>
        <w:spacing w:line="360" w:lineRule="auto" w:after="0"/>
        <w:ind w:firstLineChars="200" w:firstLine="480"/>
        <w:jc w:val="both"/>
      </w:pPr>
      <w:r>
        <w:rPr>
          <w:rFonts w:ascii="宋体" w:hAnsi="宋体" w:eastAsia="宋体"/>
          <w:sz w:val="24"/>
        </w:rPr>
        <w:t>在前沿框架内，执行效率的度量水到渠成。以无效率为零时的产出</w:t>
      </w:r>
      <m:oMath>
        <m:sSubSup>
          <m:e>
            <m:r>
              <m:t>Y</m:t>
            </m:r>
          </m:e>
          <m:sub>
            <m:r>
              <m:t>i</m:t>
            </m:r>
            <m:r>
              <m:t>t</m:t>
            </m:r>
          </m:sub>
          <m:sup>
            <m:r>
              <m:rPr>
                <m:sty m:val="p"/>
              </m:rPr>
              <m:t>*</m:t>
            </m:r>
          </m:sup>
        </m:sSubSup>
        <m:r>
          <m:rPr>
            <m:sty m:val="p"/>
          </m:rPr>
          <m:t>=</m:t>
        </m:r>
        <m:r>
          <m:rPr>
            <m:sty m:val="p"/>
          </m:rPr>
          <m:t>exp</m:t>
        </m:r>
        <m:d>
          <m:dPr>
            <m:begChr m:val="("/>
            <m:sepChr m:val=""/>
            <m:endChr m:val=")"/>
            <m:grow/>
          </m:dPr>
          <m:e>
            <m:sSubSup>
              <m:e>
                <m:r>
                  <m:t>x</m:t>
                </m:r>
              </m:e>
              <m:sub>
                <m:r>
                  <m:t>i</m:t>
                </m:r>
                <m:r>
                  <m:t>t</m:t>
                </m:r>
              </m:sub>
              <m:sup>
                <m:r>
                  <m:rPr>
                    <m:sty m:val="p"/>
                  </m:rPr>
                  <m:t>⊤</m:t>
                </m:r>
              </m:sup>
            </m:sSubSup>
            <m:r>
              <m:t>β</m:t>
            </m:r>
            <m:r>
              <m:rPr>
                <m:sty m:val="p"/>
              </m:rPr>
              <m:t>+</m:t>
            </m:r>
            <m:sSup>
              <m:e>
                <m:r>
                  <m:t>δ</m:t>
                </m:r>
              </m:e>
              <m:sup>
                <m:r>
                  <m:rPr>
                    <m:sty m:val="p"/>
                  </m:rPr>
                  <m:t>⊤</m:t>
                </m:r>
              </m:sup>
            </m:sSup>
            <m:sSub>
              <m:e>
                <m:r>
                  <m:t>Z</m:t>
                </m:r>
              </m:e>
              <m:sub>
                <m:r>
                  <m:t>i</m:t>
                </m:r>
                <m:r>
                  <m:t>t</m:t>
                </m:r>
              </m:sub>
            </m:sSub>
            <m:r>
              <m:rPr>
                <m:sty m:val="p"/>
              </m:rPr>
              <m:t>+</m:t>
            </m:r>
            <m:sSub>
              <m:e>
                <m:r>
                  <m:t>v</m:t>
                </m:r>
              </m:e>
              <m:sub>
                <m:r>
                  <m:t>i</m:t>
                </m:r>
                <m:r>
                  <m:t>t</m:t>
                </m:r>
              </m:sub>
            </m:sSub>
          </m:e>
        </m:d>
      </m:oMath>
      <w:r>
        <w:rPr>
          <w:rFonts w:ascii="宋体" w:hAnsi="宋体" w:eastAsia="宋体"/>
          <w:sz w:val="24"/>
        </w:rPr>
        <w:t>为前沿基准，实际产出与前沿之比为：</w:t>
      </w:r>
    </w:p>
    <w:p>
      <w:pPr>
        <w:tabs>
          <w:tab w:pos="4252" w:val="center"/>
          <w:tab w:pos="8504" w:val="right"/>
        </w:tabs>
        <w:spacing w:line="360" w:lineRule="auto" w:before="80" w:after="80"/>
      </w:pPr>
      <w:r>
        <w:tab/>
      </w:r>
      <m:oMath>
        <m:sSub>
          <m:e>
            <m:r>
              <m:rPr>
                <m:sty m:val="p"/>
              </m:rPr>
              <m:t>T</m:t>
            </m:r>
            <m:r>
              <m:rPr>
                <m:sty m:val="p"/>
              </m:rPr>
              <m:t>E</m:t>
            </m:r>
          </m:e>
          <m:sub>
            <m:r>
              <m:t>i</m:t>
            </m:r>
            <m:r>
              <m:t>t</m:t>
            </m:r>
          </m:sub>
        </m:sSub>
        <m:r>
          <m:rPr>
            <m:sty m:val="p"/>
          </m:rPr>
          <m:t>=</m:t>
        </m:r>
        <m:f>
          <m:fPr>
            <m:type m:val="bar"/>
          </m:fPr>
          <m:num>
            <m:sSub>
              <m:e>
                <m:r>
                  <m:t>Y</m:t>
                </m:r>
              </m:e>
              <m:sub>
                <m:r>
                  <m:t>i</m:t>
                </m:r>
                <m:r>
                  <m:t>t</m:t>
                </m:r>
              </m:sub>
            </m:sSub>
          </m:num>
          <m:den>
            <m:sSubSup>
              <m:e>
                <m:r>
                  <m:t>Y</m:t>
                </m:r>
              </m:e>
              <m:sub>
                <m:r>
                  <m:t>i</m:t>
                </m:r>
                <m:r>
                  <m:t>t</m:t>
                </m:r>
              </m:sub>
              <m:sup>
                <m:r>
                  <m:rPr>
                    <m:sty m:val="p"/>
                  </m:rPr>
                  <m:t>*</m:t>
                </m:r>
              </m:sup>
            </m:sSubSup>
          </m:den>
        </m:f>
        <m:r>
          <m:rPr>
            <m:sty m:val="p"/>
          </m:rPr>
          <m:t>=</m:t>
        </m:r>
        <m:f>
          <m:fPr>
            <m:type m:val="bar"/>
          </m:fPr>
          <m:num>
            <m:r>
              <m:rPr>
                <m:sty m:val="p"/>
              </m:rPr>
              <m:t>exp</m:t>
            </m:r>
            <m:d>
              <m:dPr>
                <m:begChr m:val="("/>
                <m:sepChr m:val=""/>
                <m:endChr m:val=")"/>
                <m:grow/>
              </m:dPr>
              <m:e>
                <m:sSubSup>
                  <m:e>
                    <m:r>
                      <m:t>x</m:t>
                    </m:r>
                  </m:e>
                  <m:sub>
                    <m:r>
                      <m:t>i</m:t>
                    </m:r>
                    <m:r>
                      <m:t>t</m:t>
                    </m:r>
                  </m:sub>
                  <m:sup>
                    <m:r>
                      <m:rPr>
                        <m:sty m:val="p"/>
                      </m:rPr>
                      <m:t>⊤</m:t>
                    </m:r>
                  </m:sup>
                </m:sSubSup>
                <m:r>
                  <m:t>β</m:t>
                </m:r>
                <m:r>
                  <m:rPr>
                    <m:sty m:val="p"/>
                  </m:rPr>
                  <m:t>+</m:t>
                </m:r>
                <m:sSup>
                  <m:e>
                    <m:r>
                      <m:t>δ</m:t>
                    </m:r>
                  </m:e>
                  <m:sup>
                    <m:r>
                      <m:rPr>
                        <m:sty m:val="p"/>
                      </m:rPr>
                      <m:t>⊤</m:t>
                    </m:r>
                  </m:sup>
                </m:sSup>
                <m:sSub>
                  <m:e>
                    <m:r>
                      <m:t>Z</m:t>
                    </m:r>
                  </m:e>
                  <m:sub>
                    <m:r>
                      <m:t>i</m:t>
                    </m:r>
                    <m:r>
                      <m:t>t</m:t>
                    </m:r>
                  </m:sub>
                </m:sSub>
                <m:r>
                  <m:rPr>
                    <m:sty m:val="p"/>
                  </m:rPr>
                  <m:t>+</m:t>
                </m:r>
                <m:sSub>
                  <m:e>
                    <m:r>
                      <m:t>v</m:t>
                    </m:r>
                  </m:e>
                  <m:sub>
                    <m:r>
                      <m:t>i</m:t>
                    </m:r>
                    <m:r>
                      <m:t>t</m:t>
                    </m:r>
                  </m:sub>
                </m:sSub>
                <m:r>
                  <m:rPr>
                    <m:sty m:val="p"/>
                  </m:rPr>
                  <m:t>−</m:t>
                </m:r>
                <m:sSub>
                  <m:e>
                    <m:r>
                      <m:t>u</m:t>
                    </m:r>
                  </m:e>
                  <m:sub>
                    <m:r>
                      <m:t>i</m:t>
                    </m:r>
                    <m:r>
                      <m:t>t</m:t>
                    </m:r>
                  </m:sub>
                </m:sSub>
              </m:e>
            </m:d>
          </m:num>
          <m:den>
            <m:r>
              <m:rPr>
                <m:sty m:val="p"/>
              </m:rPr>
              <m:t>exp</m:t>
            </m:r>
            <m:d>
              <m:dPr>
                <m:begChr m:val="("/>
                <m:sepChr m:val=""/>
                <m:endChr m:val=")"/>
                <m:grow/>
              </m:dPr>
              <m:e>
                <m:sSubSup>
                  <m:e>
                    <m:r>
                      <m:t>x</m:t>
                    </m:r>
                  </m:e>
                  <m:sub>
                    <m:r>
                      <m:t>i</m:t>
                    </m:r>
                    <m:r>
                      <m:t>t</m:t>
                    </m:r>
                  </m:sub>
                  <m:sup>
                    <m:r>
                      <m:rPr>
                        <m:sty m:val="p"/>
                      </m:rPr>
                      <m:t>⊤</m:t>
                    </m:r>
                  </m:sup>
                </m:sSubSup>
                <m:r>
                  <m:t>β</m:t>
                </m:r>
                <m:r>
                  <m:rPr>
                    <m:sty m:val="p"/>
                  </m:rPr>
                  <m:t>+</m:t>
                </m:r>
                <m:sSup>
                  <m:e>
                    <m:r>
                      <m:t>δ</m:t>
                    </m:r>
                  </m:e>
                  <m:sup>
                    <m:r>
                      <m:rPr>
                        <m:sty m:val="p"/>
                      </m:rPr>
                      <m:t>⊤</m:t>
                    </m:r>
                  </m:sup>
                </m:sSup>
                <m:sSub>
                  <m:e>
                    <m:r>
                      <m:t>Z</m:t>
                    </m:r>
                  </m:e>
                  <m:sub>
                    <m:r>
                      <m:t>i</m:t>
                    </m:r>
                    <m:r>
                      <m:t>t</m:t>
                    </m:r>
                  </m:sub>
                </m:sSub>
                <m:r>
                  <m:rPr>
                    <m:sty m:val="p"/>
                  </m:rPr>
                  <m:t>+</m:t>
                </m:r>
                <m:sSub>
                  <m:e>
                    <m:r>
                      <m:t>v</m:t>
                    </m:r>
                  </m:e>
                  <m:sub>
                    <m:r>
                      <m:t>i</m:t>
                    </m:r>
                    <m:r>
                      <m:t>t</m:t>
                    </m:r>
                  </m:sub>
                </m:sSub>
              </m:e>
            </m:d>
          </m:den>
        </m:f>
        <m:r>
          <m:rPr>
            <m:sty m:val="p"/>
          </m:rPr>
          <m:t>=</m:t>
        </m:r>
        <m:r>
          <m:rPr>
            <m:sty m:val="p"/>
          </m:rPr>
          <m:t>exp</m:t>
        </m:r>
        <m:d>
          <m:dPr>
            <m:begChr m:val="("/>
            <m:sepChr m:val=""/>
            <m:endChr m:val=")"/>
            <m:grow/>
          </m:dPr>
          <m:e>
            <m:r>
              <m:rPr>
                <m:sty m:val="p"/>
              </m:rPr>
              <m:t>−</m:t>
            </m:r>
            <m:sSub>
              <m:e>
                <m:r>
                  <m:t>u</m:t>
                </m:r>
              </m:e>
              <m:sub>
                <m:r>
                  <m:t>i</m:t>
                </m:r>
                <m:r>
                  <m:t>t</m:t>
                </m:r>
              </m:sub>
            </m:sSub>
          </m:e>
        </m:d>
      </m:oMath>
      <w:r>
        <w:tab/>
      </w:r>
      <w:r>
        <w:rPr>
          <w:rFonts w:ascii="Times New Roman" w:hAnsi="Times New Roman" w:eastAsia="宋体"/>
          <w:sz w:val="24"/>
        </w:rPr>
        <w:t>(11-4)</w:t>
      </w:r>
    </w:p>
    <w:p>
      <w:pPr>
        <w:spacing w:line="360" w:lineRule="auto" w:after="0"/>
        <w:jc w:val="both"/>
      </w:pPr>
      <w:r>
        <w:rPr>
          <w:rFonts w:ascii="宋体" w:hAnsi="宋体" w:eastAsia="宋体"/>
          <w:sz w:val="24"/>
        </w:rPr>
        <w:t>其中，</w:t>
      </w:r>
      <m:oMath>
        <m:sSub>
          <m:e>
            <m:r>
              <m:t>x</m:t>
            </m:r>
          </m:e>
          <m:sub>
            <m:r>
              <m:t>i</m:t>
            </m:r>
            <m:r>
              <m:t>t</m:t>
            </m:r>
          </m:sub>
        </m:sSub>
      </m:oMath>
      <w:r>
        <w:rPr>
          <w:rFonts w:ascii="宋体" w:hAnsi="宋体" w:eastAsia="宋体"/>
          <w:sz w:val="24"/>
        </w:rPr>
        <w:t>为对数投入向量。随机扰动</w:t>
      </w:r>
      <m:oMath>
        <m:sSub>
          <m:e>
            <m:r>
              <m:t>v</m:t>
            </m:r>
          </m:e>
          <m:sub>
            <m:r>
              <m:t>i</m:t>
            </m:r>
            <m:r>
              <m:t>t</m:t>
            </m:r>
          </m:sub>
        </m:sSub>
      </m:oMath>
      <w:r>
        <w:rPr>
          <w:rFonts w:ascii="宋体" w:hAnsi="宋体" w:eastAsia="宋体"/>
          <w:sz w:val="24"/>
        </w:rPr>
        <w:t>在分子分母中相互抵消，效率度量因而不受运气因素污染，这正是随机前沿设定的关键优点。</w:t>
      </w:r>
    </w:p>
    <w:p>
      <w:pPr>
        <w:spacing w:line="360" w:lineRule="auto" w:after="0"/>
        <w:ind w:firstLineChars="200" w:firstLine="480"/>
        <w:jc w:val="both"/>
      </w:pPr>
      <m:oMath>
        <m:sSub>
          <m:e>
            <m:r>
              <m:rPr>
                <m:sty m:val="p"/>
              </m:rPr>
              <m:t>T</m:t>
            </m:r>
            <m:r>
              <m:rPr>
                <m:sty m:val="p"/>
              </m:rPr>
              <m:t>E</m:t>
            </m:r>
          </m:e>
          <m:sub>
            <m:r>
              <m:t>i</m:t>
            </m:r>
            <m:r>
              <m:t>t</m:t>
            </m:r>
          </m:sub>
        </m:sSub>
        <m:r>
          <m:rPr>
            <m:sty m:val="p"/>
          </m:rPr>
          <m:t>∈</m:t>
        </m:r>
        <m:r>
          <m:rPr>
            <m:sty m:val="p"/>
          </m:rPr>
          <m:t>(</m:t>
        </m:r>
        <m:r>
          <m:t>0</m:t>
        </m:r>
        <m:r>
          <m:rPr>
            <m:sty m:val="p"/>
          </m:rPr>
          <m:t>,</m:t>
        </m:r>
        <m:r>
          <m:t>1</m:t>
        </m:r>
        <m:r>
          <m:rPr>
            <m:sty m:val="p"/>
          </m:rPr>
          <m:t>]</m:t>
        </m:r>
      </m:oMath>
      <w:r>
        <w:rPr>
          <w:rFonts w:ascii="宋体" w:hAnsi="宋体" w:eastAsia="宋体"/>
          <w:sz w:val="24"/>
        </w:rPr>
        <w:t>：当且仅当</w:t>
      </w:r>
      <m:oMath>
        <m:sSub>
          <m:e>
            <m:r>
              <m:t>u</m:t>
            </m:r>
          </m:e>
          <m:sub>
            <m:r>
              <m:t>i</m:t>
            </m:r>
            <m:r>
              <m:t>t</m:t>
            </m:r>
          </m:sub>
        </m:sSub>
        <m:r>
          <m:rPr>
            <m:sty m:val="p"/>
          </m:rPr>
          <m:t>=</m:t>
        </m:r>
        <m:r>
          <m:t>0</m:t>
        </m:r>
      </m:oMath>
      <w:r>
        <w:rPr>
          <w:rFonts w:ascii="宋体" w:hAnsi="宋体" w:eastAsia="宋体"/>
          <w:sz w:val="24"/>
        </w:rPr>
        <w:t>时取1，表示该省份位于最佳实践前沿；数值越小表示执行折损越大。据此定义政策有效性损失：</w:t>
      </w:r>
    </w:p>
    <w:p>
      <w:pPr>
        <w:tabs>
          <w:tab w:pos="4252" w:val="center"/>
          <w:tab w:pos="8504" w:val="right"/>
        </w:tabs>
        <w:spacing w:line="360" w:lineRule="auto" w:before="80" w:after="80"/>
      </w:pPr>
      <w:r>
        <w:tab/>
      </w:r>
      <m:oMath>
        <m:sSub>
          <m:e>
            <m:r>
              <m:rPr>
                <m:sty m:val="p"/>
              </m:rPr>
              <m:t>P</m:t>
            </m:r>
            <m:r>
              <m:rPr>
                <m:sty m:val="p"/>
              </m:rPr>
              <m:t>E</m:t>
            </m:r>
            <m:r>
              <m:rPr>
                <m:sty m:val="p"/>
              </m:rPr>
              <m:t>L</m:t>
            </m:r>
          </m:e>
          <m:sub>
            <m:r>
              <m:t>i</m:t>
            </m:r>
            <m:r>
              <m:t>t</m:t>
            </m:r>
          </m:sub>
        </m:sSub>
        <m:r>
          <m:rPr>
            <m:sty m:val="p"/>
          </m:rPr>
          <m:t>=</m:t>
        </m:r>
        <m:r>
          <m:t>1</m:t>
        </m:r>
        <m:r>
          <m:rPr>
            <m:sty m:val="p"/>
          </m:rPr>
          <m:t>−</m:t>
        </m:r>
        <m:sSub>
          <m:e>
            <m:r>
              <m:rPr>
                <m:sty m:val="p"/>
              </m:rPr>
              <m:t>T</m:t>
            </m:r>
            <m:r>
              <m:rPr>
                <m:sty m:val="p"/>
              </m:rPr>
              <m:t>E</m:t>
            </m:r>
          </m:e>
          <m:sub>
            <m:r>
              <m:t>i</m:t>
            </m:r>
            <m:r>
              <m:t>t</m:t>
            </m:r>
          </m:sub>
        </m:sSub>
        <m:r>
          <m:rPr>
            <m:sty m:val="p"/>
          </m:rPr>
          <m:t>=</m:t>
        </m:r>
        <m:r>
          <m:t>1</m:t>
        </m:r>
        <m:r>
          <m:rPr>
            <m:sty m:val="p"/>
          </m:rPr>
          <m:t>−</m:t>
        </m:r>
        <m:r>
          <m:rPr>
            <m:sty m:val="p"/>
          </m:rPr>
          <m:t>exp</m:t>
        </m:r>
        <m:d>
          <m:dPr>
            <m:begChr m:val="("/>
            <m:sepChr m:val=""/>
            <m:endChr m:val=")"/>
            <m:grow/>
          </m:dPr>
          <m:e>
            <m:r>
              <m:rPr>
                <m:sty m:val="p"/>
              </m:rPr>
              <m:t>−</m:t>
            </m:r>
            <m:sSub>
              <m:e>
                <m:r>
                  <m:t>u</m:t>
                </m:r>
              </m:e>
              <m:sub>
                <m:r>
                  <m:t>i</m:t>
                </m:r>
                <m:r>
                  <m:t>t</m:t>
                </m:r>
              </m:sub>
            </m:sSub>
          </m:e>
        </m:d>
      </m:oMath>
      <w:r>
        <w:tab/>
      </w:r>
      <w:r>
        <w:rPr>
          <w:rFonts w:ascii="Times New Roman" w:hAnsi="Times New Roman" w:eastAsia="宋体"/>
          <w:sz w:val="24"/>
        </w:rPr>
        <w:t>(11-5)</w:t>
      </w:r>
    </w:p>
    <w:p>
      <w:pPr>
        <w:spacing w:line="360" w:lineRule="auto" w:after="0"/>
        <w:ind w:firstLineChars="200" w:firstLine="480"/>
        <w:jc w:val="both"/>
      </w:pPr>
      <w:r>
        <w:rPr>
          <w:rFonts w:ascii="宋体" w:hAnsi="宋体" w:eastAsia="宋体"/>
          <w:sz w:val="24"/>
        </w:rPr>
        <w:t>PEL的经济含义是：在既定标准执行资源下，潜在减排贡献中因执行不力而耗散的份额。它是“政策适配性”的负向度量——PEL越小，标准体系的实际运行与“双碳”政策目标的要求越匹配。与执行效率相比，损失口径的优势在于政策指向性：PEL可以进一步分解为不同来源的损耗，从而将“损失有多大”的评估推进到“损失从哪来”的归因，这正是11.6节的任务。</w:t>
      </w:r>
    </w:p>
    <w:p>
      <w:pPr>
        <w:keepNext/>
        <w:spacing w:before="160" w:after="120" w:line="360" w:lineRule="auto"/>
        <w:outlineLvl w:val="2"/>
      </w:pPr>
      <w:r>
        <w:rPr>
          <w:rFonts w:ascii="黑体" w:hAnsi="黑体" w:eastAsia="黑体"/>
          <w:sz w:val="24"/>
        </w:rPr>
        <w:t>11.2.4  似然函数与参数推导</w:t>
      </w:r>
    </w:p>
    <w:p>
      <w:pPr>
        <w:spacing w:line="360" w:lineRule="auto" w:after="0"/>
        <w:ind w:firstLineChars="200" w:firstLine="480"/>
        <w:jc w:val="both"/>
      </w:pPr>
      <w:r>
        <w:rPr>
          <w:rFonts w:ascii="宋体" w:hAnsi="宋体" w:eastAsia="宋体"/>
          <w:sz w:val="24"/>
        </w:rPr>
        <w:t>极大似然估计需要复合误差</w:t>
      </w:r>
      <m:oMath>
        <m:sSub>
          <m:e>
            <m:r>
              <m:t>ε</m:t>
            </m:r>
          </m:e>
          <m:sub>
            <m:r>
              <m:t>i</m:t>
            </m:r>
            <m:r>
              <m:t>t</m:t>
            </m:r>
          </m:sub>
        </m:sSub>
      </m:oMath>
      <w:r>
        <w:rPr>
          <w:rFonts w:ascii="宋体" w:hAnsi="宋体" w:eastAsia="宋体"/>
          <w:sz w:val="24"/>
        </w:rPr>
        <w:t>的边际密度。循BC95的做法，先对方差参数作重整化：</w:t>
      </w:r>
    </w:p>
    <w:p>
      <w:pPr>
        <w:tabs>
          <w:tab w:pos="4252" w:val="center"/>
          <w:tab w:pos="8504" w:val="right"/>
        </w:tabs>
        <w:spacing w:line="360" w:lineRule="auto" w:before="80" w:after="80"/>
      </w:pPr>
      <w:r>
        <w:tab/>
      </w:r>
      <m:oMath>
        <m:sSup>
          <m:e>
            <m:r>
              <m:t>σ</m:t>
            </m:r>
          </m:e>
          <m:sup>
            <m:r>
              <m:t>2</m:t>
            </m:r>
          </m:sup>
        </m:sSup>
        <m:r>
          <m:rPr>
            <m:sty m:val="p"/>
          </m:rPr>
          <m:t>=</m:t>
        </m:r>
        <m:sSubSup>
          <m:e>
            <m:r>
              <m:t>σ</m:t>
            </m:r>
          </m:e>
          <m:sub>
            <m:r>
              <m:t>v</m:t>
            </m:r>
          </m:sub>
          <m:sup>
            <m:r>
              <m:t>2</m:t>
            </m:r>
          </m:sup>
        </m:sSubSup>
        <m:r>
          <m:rPr>
            <m:sty m:val="p"/>
          </m:rPr>
          <m:t>+</m:t>
        </m:r>
        <m:sSubSup>
          <m:e>
            <m:r>
              <m:t>σ</m:t>
            </m:r>
          </m:e>
          <m:sub>
            <m:r>
              <m:t>u</m:t>
            </m:r>
          </m:sub>
          <m:sup>
            <m:r>
              <m:t>2</m:t>
            </m:r>
          </m:sup>
        </m:sSubSup>
        <m:r>
          <m:rPr>
            <m:sty m:val="p"/>
          </m:rPr>
          <m:t>,</m:t>
        </m:r>
        <m:r>
          <m:t>  </m:t>
        </m:r>
        <m:r>
          <m:t>γ</m:t>
        </m:r>
        <m:r>
          <m:rPr>
            <m:sty m:val="p"/>
          </m:rPr>
          <m:t>=</m:t>
        </m:r>
        <m:f>
          <m:fPr>
            <m:type m:val="bar"/>
          </m:fPr>
          <m:num>
            <m:sSubSup>
              <m:e>
                <m:r>
                  <m:t>σ</m:t>
                </m:r>
              </m:e>
              <m:sub>
                <m:r>
                  <m:t>u</m:t>
                </m:r>
              </m:sub>
              <m:sup>
                <m:r>
                  <m:t>2</m:t>
                </m:r>
              </m:sup>
            </m:sSubSup>
          </m:num>
          <m:den>
            <m:sSup>
              <m:e>
                <m:r>
                  <m:t>σ</m:t>
                </m:r>
              </m:e>
              <m:sup>
                <m:r>
                  <m:t>2</m:t>
                </m:r>
              </m:sup>
            </m:sSup>
          </m:den>
        </m:f>
        <m:r>
          <m:rPr>
            <m:sty m:val="p"/>
          </m:rPr>
          <m:t>,</m:t>
        </m:r>
        <m:r>
          <m:t>  </m:t>
        </m:r>
        <m:r>
          <m:t>γ</m:t>
        </m:r>
        <m:r>
          <m:rPr>
            <m:sty m:val="p"/>
          </m:rPr>
          <m:t>∈</m:t>
        </m:r>
        <m:d>
          <m:dPr>
            <m:begChr m:val="["/>
            <m:sepChr m:val=""/>
            <m:endChr m:val="]"/>
            <m:grow/>
          </m:dPr>
          <m:e>
            <m:r>
              <m:t>0</m:t>
            </m:r>
            <m:r>
              <m:rPr>
                <m:sty m:val="p"/>
              </m:rPr>
              <m:t>,</m:t>
            </m:r>
            <m:r>
              <m:t>1</m:t>
            </m:r>
          </m:e>
        </m:d>
      </m:oMath>
      <w:r>
        <w:tab/>
      </w:r>
      <w:r>
        <w:rPr>
          <w:rFonts w:ascii="Times New Roman" w:hAnsi="Times New Roman" w:eastAsia="宋体"/>
          <w:sz w:val="24"/>
        </w:rPr>
        <w:t>(11-6)</w:t>
      </w:r>
    </w:p>
    <w:p>
      <w:pPr>
        <w:spacing w:line="360" w:lineRule="auto" w:after="0"/>
        <w:ind w:firstLineChars="200" w:firstLine="480"/>
        <w:jc w:val="both"/>
      </w:pPr>
      <w:r>
        <w:rPr>
          <w:rFonts w:ascii="宋体" w:hAnsi="宋体" w:eastAsia="宋体"/>
          <w:sz w:val="24"/>
        </w:rPr>
        <w:t>参数γ度量复合误差总方差中源自无效率的份额，是理解估计结果的枢纽参数：γ趋近0时，绩效偏离几乎全部来自随机噪声，模型退化为普通最小二乘，SFA设定失去必要性；γ趋近1时，偏离几乎全部来自执行差异，确定性前沿反而近似成立。γ是否显著异于零，构成“执行无效率是否存在”这一根本问题的统计判据，将以广义似然比检验回答。</w:t>
      </w:r>
    </w:p>
    <w:p>
      <w:pPr>
        <w:spacing w:line="360" w:lineRule="auto" w:after="0"/>
        <w:ind w:firstLineChars="200" w:firstLine="480"/>
        <w:jc w:val="both"/>
      </w:pPr>
      <w:r>
        <w:rPr>
          <w:rFonts w:ascii="宋体" w:hAnsi="宋体" w:eastAsia="宋体"/>
          <w:sz w:val="24"/>
        </w:rPr>
        <w:t>在</w:t>
      </w:r>
      <m:oMath>
        <m:sSub>
          <m:e>
            <m:r>
              <m:t>v</m:t>
            </m:r>
          </m:e>
          <m:sub>
            <m:r>
              <m:t>i</m:t>
            </m:r>
            <m:r>
              <m:t>t</m:t>
            </m:r>
          </m:sub>
        </m:sSub>
      </m:oMath>
      <w:r>
        <w:rPr>
          <w:rFonts w:ascii="宋体" w:hAnsi="宋体" w:eastAsia="宋体"/>
          <w:sz w:val="24"/>
        </w:rPr>
        <w:t>正态、</w:t>
      </w:r>
      <m:oMath>
        <m:sSub>
          <m:e>
            <m:r>
              <m:t>u</m:t>
            </m:r>
          </m:e>
          <m:sub>
            <m:r>
              <m:t>i</m:t>
            </m:r>
            <m:r>
              <m:t>t</m:t>
            </m:r>
          </m:sub>
        </m:sSub>
      </m:oMath>
      <w:r>
        <w:rPr>
          <w:rFonts w:ascii="宋体" w:hAnsi="宋体" w:eastAsia="宋体"/>
          <w:sz w:val="24"/>
        </w:rPr>
        <w:t>截断正态且二者相互独立的假设下，将</w:t>
      </w:r>
      <m:oMath>
        <m:sSub>
          <m:e>
            <m:r>
              <m:t>v</m:t>
            </m:r>
          </m:e>
          <m:sub>
            <m:r>
              <m:t>i</m:t>
            </m:r>
            <m:r>
              <m:t>t</m:t>
            </m:r>
          </m:sub>
        </m:sSub>
      </m:oMath>
      <w:r>
        <w:rPr>
          <w:rFonts w:ascii="宋体" w:hAnsi="宋体" w:eastAsia="宋体"/>
          <w:sz w:val="24"/>
        </w:rPr>
        <w:t>与</w:t>
      </w:r>
      <m:oMath>
        <m:sSub>
          <m:e>
            <m:r>
              <m:t>u</m:t>
            </m:r>
          </m:e>
          <m:sub>
            <m:r>
              <m:t>i</m:t>
            </m:r>
            <m:r>
              <m:t>t</m:t>
            </m:r>
          </m:sub>
        </m:sSub>
      </m:oMath>
      <w:r>
        <w:rPr>
          <w:rFonts w:ascii="宋体" w:hAnsi="宋体" w:eastAsia="宋体"/>
          <w:sz w:val="24"/>
        </w:rPr>
        <w:t>的联合密度关于</w:t>
      </w:r>
      <m:oMath>
        <m:sSub>
          <m:e>
            <m:r>
              <m:t>u</m:t>
            </m:r>
          </m:e>
          <m:sub>
            <m:r>
              <m:t>i</m:t>
            </m:r>
            <m:r>
              <m:t>t</m:t>
            </m:r>
          </m:sub>
        </m:sSub>
      </m:oMath>
      <w:r>
        <w:rPr>
          <w:rFonts w:ascii="宋体" w:hAnsi="宋体" w:eastAsia="宋体"/>
          <w:sz w:val="24"/>
        </w:rPr>
        <w:t>在非负半轴上积分，可得复合误差的边际密度：</w:t>
      </w:r>
    </w:p>
    <w:p>
      <w:pPr>
        <w:tabs>
          <w:tab w:pos="4252" w:val="center"/>
          <w:tab w:pos="8504" w:val="right"/>
        </w:tabs>
        <w:spacing w:line="360" w:lineRule="auto" w:before="80" w:after="80"/>
      </w:pPr>
      <w:r>
        <w:tab/>
      </w:r>
      <m:oMath>
        <m:r>
          <m:t>f</m:t>
        </m:r>
        <m:d>
          <m:dPr>
            <m:begChr m:val="("/>
            <m:sepChr m:val=""/>
            <m:endChr m:val=")"/>
            <m:grow/>
          </m:dPr>
          <m:e>
            <m:sSub>
              <m:e>
                <m:r>
                  <m:t>ε</m:t>
                </m:r>
              </m:e>
              <m:sub>
                <m:r>
                  <m:t>i</m:t>
                </m:r>
                <m:r>
                  <m:t>t</m:t>
                </m:r>
              </m:sub>
            </m:sSub>
          </m:e>
        </m:d>
        <m:r>
          <m:rPr>
            <m:sty m:val="p"/>
          </m:rPr>
          <m:t>=</m:t>
        </m:r>
        <m:f>
          <m:fPr>
            <m:type m:val="bar"/>
          </m:fPr>
          <m:num>
            <m:r>
              <m:t>1</m:t>
            </m:r>
          </m:num>
          <m:den>
            <m:rad>
              <m:radPr>
                <m:degHide m:val="on"/>
              </m:radPr>
              <m:deg/>
              <m:e>
                <m:r>
                  <m:t>2</m:t>
                </m:r>
                <m:r>
                  <m:t>π</m:t>
                </m:r>
              </m:e>
            </m:rad>
            <m:r>
              <m:t> </m:t>
            </m:r>
            <m:r>
              <m:t>σ</m:t>
            </m:r>
          </m:den>
        </m:f>
        <m:r>
          <m:rPr>
            <m:sty m:val="p"/>
          </m:rPr>
          <m:t>exp</m:t>
        </m:r>
        <m:d>
          <m:dPr>
            <m:begChr m:val="["/>
            <m:sepChr m:val=""/>
            <m:endChr m:val="]"/>
            <m:grow/>
          </m:dPr>
          <m:e>
            <m:r>
              <m:rPr>
                <m:sty m:val="p"/>
              </m:rPr>
              <m:t>−</m:t>
            </m:r>
            <m:f>
              <m:fPr>
                <m:type m:val="bar"/>
              </m:fPr>
              <m:num>
                <m:sSup>
                  <m:e>
                    <m:d>
                      <m:dPr>
                        <m:begChr m:val="("/>
                        <m:sepChr m:val=""/>
                        <m:endChr m:val=")"/>
                        <m:grow/>
                      </m:dPr>
                      <m:e>
                        <m:sSub>
                          <m:e>
                            <m:r>
                              <m:t>ε</m:t>
                            </m:r>
                          </m:e>
                          <m:sub>
                            <m:r>
                              <m:t>i</m:t>
                            </m:r>
                            <m:r>
                              <m:t>t</m:t>
                            </m:r>
                          </m:sub>
                        </m:sSub>
                        <m:r>
                          <m:rPr>
                            <m:sty m:val="p"/>
                          </m:rPr>
                          <m:t>+</m:t>
                        </m:r>
                        <m:sSub>
                          <m:e>
                            <m:r>
                              <m:t>μ</m:t>
                            </m:r>
                          </m:e>
                          <m:sub>
                            <m:r>
                              <m:t>i</m:t>
                            </m:r>
                            <m:r>
                              <m:t>t</m:t>
                            </m:r>
                          </m:sub>
                        </m:sSub>
                      </m:e>
                    </m:d>
                  </m:e>
                  <m:sup>
                    <m:r>
                      <m:t>2</m:t>
                    </m:r>
                  </m:sup>
                </m:sSup>
              </m:num>
              <m:den>
                <m:r>
                  <m:t>2</m:t>
                </m:r>
                <m:sSup>
                  <m:e>
                    <m:r>
                      <m:t>σ</m:t>
                    </m:r>
                  </m:e>
                  <m:sup>
                    <m:r>
                      <m:t>2</m:t>
                    </m:r>
                  </m:sup>
                </m:sSup>
              </m:den>
            </m:f>
          </m:e>
        </m:d>
        <m:r>
          <m:rPr>
            <m:sty m:val="p"/>
          </m:rPr>
          <m:t>⋅</m:t>
        </m:r>
        <m:f>
          <m:fPr>
            <m:type m:val="bar"/>
          </m:fPr>
          <m:num>
            <m:r>
              <m:t>Φ</m:t>
            </m:r>
            <m:d>
              <m:dPr>
                <m:begChr m:val="("/>
                <m:sepChr m:val=""/>
                <m:endChr m:val=")"/>
                <m:grow/>
              </m:dPr>
              <m:e>
                <m:sSubSup>
                  <m:e>
                    <m:r>
                      <m:t>μ</m:t>
                    </m:r>
                  </m:e>
                  <m:sub>
                    <m:r>
                      <m:t>i</m:t>
                    </m:r>
                    <m:r>
                      <m:t>t</m:t>
                    </m:r>
                  </m:sub>
                  <m:sup>
                    <m:r>
                      <m:rPr>
                        <m:sty m:val="p"/>
                      </m:rPr>
                      <m:t>*</m:t>
                    </m:r>
                  </m:sup>
                </m:sSubSup>
                <m:r>
                  <m:rPr>
                    <m:sty m:val="p"/>
                  </m:rPr>
                  <m:t>/</m:t>
                </m:r>
                <m:sSub>
                  <m:e>
                    <m:r>
                      <m:t>σ</m:t>
                    </m:r>
                  </m:e>
                  <m:sub>
                    <m:r>
                      <m:rPr>
                        <m:sty m:val="p"/>
                      </m:rPr>
                      <m:t>*</m:t>
                    </m:r>
                  </m:sub>
                </m:sSub>
              </m:e>
            </m:d>
          </m:num>
          <m:den>
            <m:r>
              <m:t>Φ</m:t>
            </m:r>
            <m:d>
              <m:dPr>
                <m:begChr m:val="("/>
                <m:sepChr m:val=""/>
                <m:endChr m:val=")"/>
                <m:grow/>
              </m:dPr>
              <m:e>
                <m:sSub>
                  <m:e>
                    <m:r>
                      <m:t>μ</m:t>
                    </m:r>
                  </m:e>
                  <m:sub>
                    <m:r>
                      <m:t>i</m:t>
                    </m:r>
                    <m:r>
                      <m:t>t</m:t>
                    </m:r>
                  </m:sub>
                </m:sSub>
                <m:r>
                  <m:rPr>
                    <m:sty m:val="p"/>
                  </m:rPr>
                  <m:t>/</m:t>
                </m:r>
                <m:sSub>
                  <m:e>
                    <m:r>
                      <m:t>σ</m:t>
                    </m:r>
                  </m:e>
                  <m:sub>
                    <m:r>
                      <m:t>u</m:t>
                    </m:r>
                  </m:sub>
                </m:sSub>
              </m:e>
            </m:d>
          </m:den>
        </m:f>
      </m:oMath>
      <w:r>
        <w:tab/>
      </w:r>
      <w:r>
        <w:rPr>
          <w:rFonts w:ascii="Times New Roman" w:hAnsi="Times New Roman" w:eastAsia="宋体"/>
          <w:sz w:val="24"/>
        </w:rPr>
        <w:t>(11-7)</w:t>
      </w:r>
    </w:p>
    <w:p>
      <w:pPr>
        <w:spacing w:line="360" w:lineRule="auto" w:after="0"/>
        <w:ind w:firstLineChars="200" w:firstLine="480"/>
        <w:jc w:val="both"/>
      </w:pPr>
      <w:r>
        <w:rPr>
          <w:rFonts w:ascii="宋体" w:hAnsi="宋体" w:eastAsia="宋体"/>
          <w:sz w:val="24"/>
        </w:rPr>
        <w:t>式(11-7)中的两个辅助参数定义为：</w:t>
      </w:r>
    </w:p>
    <w:p>
      <w:pPr>
        <w:tabs>
          <w:tab w:pos="4252" w:val="center"/>
          <w:tab w:pos="8504" w:val="right"/>
        </w:tabs>
        <w:spacing w:line="360" w:lineRule="auto" w:before="80" w:after="80"/>
      </w:pPr>
      <w:r>
        <w:tab/>
      </w:r>
      <m:oMath>
        <m:sSubSup>
          <m:e>
            <m:r>
              <m:t>μ</m:t>
            </m:r>
          </m:e>
          <m:sub>
            <m:r>
              <m:t>i</m:t>
            </m:r>
            <m:r>
              <m:t>t</m:t>
            </m:r>
          </m:sub>
          <m:sup>
            <m:r>
              <m:rPr>
                <m:sty m:val="p"/>
              </m:rPr>
              <m:t>*</m:t>
            </m:r>
          </m:sup>
        </m:sSubSup>
        <m:r>
          <m:rPr>
            <m:sty m:val="p"/>
          </m:rPr>
          <m:t>=</m:t>
        </m:r>
        <m:f>
          <m:fPr>
            <m:type m:val="bar"/>
          </m:fPr>
          <m:num>
            <m:sSubSup>
              <m:e>
                <m:r>
                  <m:t>σ</m:t>
                </m:r>
              </m:e>
              <m:sub>
                <m:r>
                  <m:t>v</m:t>
                </m:r>
              </m:sub>
              <m:sup>
                <m:r>
                  <m:t>2</m:t>
                </m:r>
              </m:sup>
            </m:sSubSup>
            <m:sSub>
              <m:e>
                <m:r>
                  <m:t>μ</m:t>
                </m:r>
              </m:e>
              <m:sub>
                <m:r>
                  <m:t>i</m:t>
                </m:r>
                <m:r>
                  <m:t>t</m:t>
                </m:r>
              </m:sub>
            </m:sSub>
            <m:r>
              <m:rPr>
                <m:sty m:val="p"/>
              </m:rPr>
              <m:t>−</m:t>
            </m:r>
            <m:sSubSup>
              <m:e>
                <m:r>
                  <m:t>σ</m:t>
                </m:r>
              </m:e>
              <m:sub>
                <m:r>
                  <m:t>u</m:t>
                </m:r>
              </m:sub>
              <m:sup>
                <m:r>
                  <m:t>2</m:t>
                </m:r>
              </m:sup>
            </m:sSubSup>
            <m:sSub>
              <m:e>
                <m:r>
                  <m:t>ε</m:t>
                </m:r>
              </m:e>
              <m:sub>
                <m:r>
                  <m:t>i</m:t>
                </m:r>
                <m:r>
                  <m:t>t</m:t>
                </m:r>
              </m:sub>
            </m:sSub>
          </m:num>
          <m:den>
            <m:sSup>
              <m:e>
                <m:r>
                  <m:t>σ</m:t>
                </m:r>
              </m:e>
              <m:sup>
                <m:r>
                  <m:t>2</m:t>
                </m:r>
              </m:sup>
            </m:sSup>
          </m:den>
        </m:f>
        <m:r>
          <m:rPr>
            <m:sty m:val="p"/>
          </m:rPr>
          <m:t>,</m:t>
        </m:r>
        <m:r>
          <m:t>  </m:t>
        </m:r>
        <m:sSubSup>
          <m:e>
            <m:r>
              <m:t>σ</m:t>
            </m:r>
          </m:e>
          <m:sub>
            <m:r>
              <m:rPr>
                <m:sty m:val="p"/>
              </m:rPr>
              <m:t>*</m:t>
            </m:r>
          </m:sub>
          <m:sup>
            <m:r>
              <m:t>2</m:t>
            </m:r>
          </m:sup>
        </m:sSubSup>
        <m:r>
          <m:rPr>
            <m:sty m:val="p"/>
          </m:rPr>
          <m:t>=</m:t>
        </m:r>
        <m:f>
          <m:fPr>
            <m:type m:val="bar"/>
          </m:fPr>
          <m:num>
            <m:sSubSup>
              <m:e>
                <m:r>
                  <m:t>σ</m:t>
                </m:r>
              </m:e>
              <m:sub>
                <m:r>
                  <m:t>u</m:t>
                </m:r>
              </m:sub>
              <m:sup>
                <m:r>
                  <m:t>2</m:t>
                </m:r>
              </m:sup>
            </m:sSubSup>
            <m:sSubSup>
              <m:e>
                <m:r>
                  <m:t>σ</m:t>
                </m:r>
              </m:e>
              <m:sub>
                <m:r>
                  <m:t>v</m:t>
                </m:r>
              </m:sub>
              <m:sup>
                <m:r>
                  <m:t>2</m:t>
                </m:r>
              </m:sup>
            </m:sSubSup>
          </m:num>
          <m:den>
            <m:sSup>
              <m:e>
                <m:r>
                  <m:t>σ</m:t>
                </m:r>
              </m:e>
              <m:sup>
                <m:r>
                  <m:t>2</m:t>
                </m:r>
              </m:sup>
            </m:sSup>
          </m:den>
        </m:f>
      </m:oMath>
      <w:r>
        <w:tab/>
      </w:r>
      <w:r>
        <w:rPr>
          <w:rFonts w:ascii="Times New Roman" w:hAnsi="Times New Roman" w:eastAsia="宋体"/>
          <w:sz w:val="24"/>
        </w:rPr>
        <w:t>(11-8)</w:t>
      </w:r>
    </w:p>
    <w:p>
      <w:pPr>
        <w:spacing w:line="360" w:lineRule="auto" w:after="0"/>
        <w:jc w:val="both"/>
      </w:pPr>
      <w:r>
        <w:rPr>
          <w:rFonts w:ascii="宋体" w:hAnsi="宋体" w:eastAsia="宋体"/>
          <w:sz w:val="24"/>
        </w:rPr>
        <w:t>其中，</w:t>
      </w:r>
      <m:oMath>
        <m:sSubSup>
          <m:e>
            <m:r>
              <m:t>μ</m:t>
            </m:r>
          </m:e>
          <m:sub>
            <m:r>
              <m:t>i</m:t>
            </m:r>
            <m:r>
              <m:t>t</m:t>
            </m:r>
          </m:sub>
          <m:sup>
            <m:r>
              <m:rPr>
                <m:sty m:val="p"/>
              </m:rPr>
              <m:t>*</m:t>
            </m:r>
          </m:sup>
        </m:sSubSup>
      </m:oMath>
      <w:r>
        <w:rPr>
          <w:rFonts w:ascii="宋体" w:hAnsi="宋体" w:eastAsia="宋体"/>
          <w:sz w:val="24"/>
        </w:rPr>
        <w:t>与</w:t>
      </w:r>
      <m:oMath>
        <m:sSubSup>
          <m:e>
            <m:r>
              <m:t>σ</m:t>
            </m:r>
          </m:e>
          <m:sub>
            <m:r>
              <m:rPr>
                <m:sty m:val="p"/>
              </m:rPr>
              <m:t>*</m:t>
            </m:r>
          </m:sub>
          <m:sup>
            <m:r>
              <m:t>2</m:t>
            </m:r>
          </m:sup>
        </m:sSubSup>
      </m:oMath>
      <w:r>
        <w:rPr>
          <w:rFonts w:ascii="宋体" w:hAnsi="宋体" w:eastAsia="宋体"/>
          <w:sz w:val="24"/>
        </w:rPr>
        <w:t>分别为给定复合残差</w:t>
      </w:r>
      <m:oMath>
        <m:sSub>
          <m:e>
            <m:r>
              <m:t>ε</m:t>
            </m:r>
          </m:e>
          <m:sub>
            <m:r>
              <m:t>i</m:t>
            </m:r>
            <m:r>
              <m:t>t</m:t>
            </m:r>
          </m:sub>
        </m:sSub>
      </m:oMath>
      <w:r>
        <w:rPr>
          <w:rFonts w:ascii="宋体" w:hAnsi="宋体" w:eastAsia="宋体"/>
          <w:sz w:val="24"/>
        </w:rPr>
        <w:t>时无效率项条件分布的位置与尺度参数——观测到的残差越负（绩效对前沿的向下偏离越大），条件位置</w:t>
      </w:r>
      <m:oMath>
        <m:sSubSup>
          <m:e>
            <m:r>
              <m:t>μ</m:t>
            </m:r>
          </m:e>
          <m:sub>
            <m:r>
              <m:t>i</m:t>
            </m:r>
            <m:r>
              <m:t>t</m:t>
            </m:r>
          </m:sub>
          <m:sup>
            <m:r>
              <m:rPr>
                <m:sty m:val="p"/>
              </m:rPr>
              <m:t>*</m:t>
            </m:r>
          </m:sup>
        </m:sSubSup>
      </m:oMath>
      <w:r>
        <w:rPr>
          <w:rFonts w:ascii="宋体" w:hAnsi="宋体" w:eastAsia="宋体"/>
          <w:sz w:val="24"/>
        </w:rPr>
        <w:t>越大，推断的无效率越高。</w:t>
      </w:r>
    </w:p>
    <w:p>
      <w:pPr>
        <w:spacing w:line="360" w:lineRule="auto" w:after="0"/>
        <w:ind w:firstLineChars="200" w:firstLine="480"/>
        <w:jc w:val="both"/>
      </w:pPr>
      <w:r>
        <w:rPr>
          <w:rFonts w:ascii="宋体" w:hAnsi="宋体" w:eastAsia="宋体"/>
          <w:sz w:val="24"/>
        </w:rPr>
        <w:t>对全部观测的边际密度取对数求和，即得样本对数似然函数：</w:t>
      </w:r>
    </w:p>
    <w:p>
      <w:pPr>
        <w:tabs>
          <w:tab w:pos="4252" w:val="center"/>
          <w:tab w:pos="8504" w:val="right"/>
        </w:tabs>
        <w:spacing w:line="360" w:lineRule="auto" w:before="80" w:after="80"/>
      </w:pPr>
      <w:r>
        <w:tab/>
      </w:r>
      <m:oMath>
        <m:r>
          <m:rPr>
            <m:sty m:val="p"/>
          </m:rPr>
          <m:t>ln</m:t>
        </m:r>
        <m:r>
          <m:t>L</m:t>
        </m:r>
        <m:r>
          <m:rPr>
            <m:sty m:val="p"/>
          </m:rPr>
          <m:t>=</m:t>
        </m:r>
        <m:nary>
          <m:naryPr>
            <m:chr m:val="∑"/>
            <m:limLoc m:val="undOvr"/>
            <m:subHide m:val="off"/>
            <m:supHide m:val="off"/>
          </m:naryPr>
          <m:sub>
            <m:r>
              <m:t>i</m:t>
            </m:r>
            <m:r>
              <m:rPr>
                <m:sty m:val="p"/>
              </m:rPr>
              <m:t>=</m:t>
            </m:r>
            <m:r>
              <m:t>1</m:t>
            </m:r>
          </m:sub>
          <m:sup>
            <m:r>
              <m:t>30</m:t>
            </m:r>
          </m:sup>
          <m:e>
            <m:nary>
              <m:naryPr>
                <m:chr m:val="∑"/>
                <m:limLoc m:val="undOvr"/>
                <m:subHide m:val="off"/>
                <m:supHide m:val="off"/>
              </m:naryPr>
              <m:sub>
                <m:r>
                  <m:t>t</m:t>
                </m:r>
                <m:r>
                  <m:rPr>
                    <m:sty m:val="p"/>
                  </m:rPr>
                  <m:t>=</m:t>
                </m:r>
                <m:r>
                  <m:t>1</m:t>
                </m:r>
              </m:sub>
              <m:sup>
                <m:r>
                  <m:t>16</m:t>
                </m:r>
              </m:sup>
              <m:e>
                <m:d>
                  <m:dPr>
                    <m:begChr m:val="["/>
                    <m:sepChr m:val=""/>
                    <m:endChr m:val="]"/>
                    <m:grow/>
                  </m:dPr>
                  <m:e>
                    <m:r>
                      <m:rPr>
                        <m:sty m:val="p"/>
                      </m:rPr>
                      <m:t>−</m:t>
                    </m:r>
                    <m:f>
                      <m:fPr>
                        <m:type m:val="bar"/>
                      </m:fPr>
                      <m:num>
                        <m:r>
                          <m:t>1</m:t>
                        </m:r>
                      </m:num>
                      <m:den>
                        <m:r>
                          <m:t>2</m:t>
                        </m:r>
                      </m:den>
                    </m:f>
                    <m:r>
                      <m:rPr>
                        <m:sty m:val="p"/>
                      </m:rPr>
                      <m:t>ln</m:t>
                    </m:r>
                    <m:d>
                      <m:dPr>
                        <m:begChr m:val="("/>
                        <m:sepChr m:val=""/>
                        <m:endChr m:val=")"/>
                        <m:grow/>
                      </m:dPr>
                      <m:e>
                        <m:r>
                          <m:t>2</m:t>
                        </m:r>
                        <m:r>
                          <m:t>π</m:t>
                        </m:r>
                        <m:sSup>
                          <m:e>
                            <m:r>
                              <m:t>σ</m:t>
                            </m:r>
                          </m:e>
                          <m:sup>
                            <m:r>
                              <m:t>2</m:t>
                            </m:r>
                          </m:sup>
                        </m:sSup>
                      </m:e>
                    </m:d>
                    <m:r>
                      <m:rPr>
                        <m:sty m:val="p"/>
                      </m:rPr>
                      <m:t>−</m:t>
                    </m:r>
                    <m:f>
                      <m:fPr>
                        <m:type m:val="bar"/>
                      </m:fPr>
                      <m:num>
                        <m:sSup>
                          <m:e>
                            <m:d>
                              <m:dPr>
                                <m:begChr m:val="("/>
                                <m:sepChr m:val=""/>
                                <m:endChr m:val=")"/>
                                <m:grow/>
                              </m:dPr>
                              <m:e>
                                <m:sSub>
                                  <m:e>
                                    <m:r>
                                      <m:t>ε</m:t>
                                    </m:r>
                                  </m:e>
                                  <m:sub>
                                    <m:r>
                                      <m:t>i</m:t>
                                    </m:r>
                                    <m:r>
                                      <m:t>t</m:t>
                                    </m:r>
                                  </m:sub>
                                </m:sSub>
                                <m:r>
                                  <m:rPr>
                                    <m:sty m:val="p"/>
                                  </m:rPr>
                                  <m:t>+</m:t>
                                </m:r>
                                <m:sSub>
                                  <m:e>
                                    <m:r>
                                      <m:t>μ</m:t>
                                    </m:r>
                                  </m:e>
                                  <m:sub>
                                    <m:r>
                                      <m:t>i</m:t>
                                    </m:r>
                                    <m:r>
                                      <m:t>t</m:t>
                                    </m:r>
                                  </m:sub>
                                </m:sSub>
                              </m:e>
                            </m:d>
                          </m:e>
                          <m:sup>
                            <m:r>
                              <m:t>2</m:t>
                            </m:r>
                          </m:sup>
                        </m:sSup>
                      </m:num>
                      <m:den>
                        <m:r>
                          <m:t>2</m:t>
                        </m:r>
                        <m:sSup>
                          <m:e>
                            <m:r>
                              <m:t>σ</m:t>
                            </m:r>
                          </m:e>
                          <m:sup>
                            <m:r>
                              <m:t>2</m:t>
                            </m:r>
                          </m:sup>
                        </m:sSup>
                      </m:den>
                    </m:f>
                    <m:r>
                      <m:rPr>
                        <m:sty m:val="p"/>
                      </m:rPr>
                      <m:t>+</m:t>
                    </m:r>
                    <m:r>
                      <m:rPr>
                        <m:sty m:val="p"/>
                      </m:rPr>
                      <m:t>ln</m:t>
                    </m:r>
                    <m:r>
                      <m:t>Φ</m:t>
                    </m:r>
                    <m:d>
                      <m:dPr>
                        <m:begChr m:val="("/>
                        <m:sepChr m:val=""/>
                        <m:endChr m:val=")"/>
                        <m:grow/>
                      </m:dPr>
                      <m:e>
                        <m:f>
                          <m:fPr>
                            <m:type m:val="bar"/>
                          </m:fPr>
                          <m:num>
                            <m:sSubSup>
                              <m:e>
                                <m:r>
                                  <m:t>μ</m:t>
                                </m:r>
                              </m:e>
                              <m:sub>
                                <m:r>
                                  <m:t>i</m:t>
                                </m:r>
                                <m:r>
                                  <m:t>t</m:t>
                                </m:r>
                              </m:sub>
                              <m:sup>
                                <m:r>
                                  <m:rPr>
                                    <m:sty m:val="p"/>
                                  </m:rPr>
                                  <m:t>*</m:t>
                                </m:r>
                              </m:sup>
                            </m:sSubSup>
                          </m:num>
                          <m:den>
                            <m:sSub>
                              <m:e>
                                <m:r>
                                  <m:t>σ</m:t>
                                </m:r>
                              </m:e>
                              <m:sub>
                                <m:r>
                                  <m:rPr>
                                    <m:sty m:val="p"/>
                                  </m:rPr>
                                  <m:t>*</m:t>
                                </m:r>
                              </m:sub>
                            </m:sSub>
                          </m:den>
                        </m:f>
                      </m:e>
                    </m:d>
                    <m:r>
                      <m:rPr>
                        <m:sty m:val="p"/>
                      </m:rPr>
                      <m:t>−</m:t>
                    </m:r>
                    <m:r>
                      <m:rPr>
                        <m:sty m:val="p"/>
                      </m:rPr>
                      <m:t>ln</m:t>
                    </m:r>
                    <m:r>
                      <m:t>Φ</m:t>
                    </m:r>
                    <m:d>
                      <m:dPr>
                        <m:begChr m:val="("/>
                        <m:sepChr m:val=""/>
                        <m:endChr m:val=")"/>
                        <m:grow/>
                      </m:dPr>
                      <m:e>
                        <m:f>
                          <m:fPr>
                            <m:type m:val="bar"/>
                          </m:fPr>
                          <m:num>
                            <m:sSub>
                              <m:e>
                                <m:r>
                                  <m:t>μ</m:t>
                                </m:r>
                              </m:e>
                              <m:sub>
                                <m:r>
                                  <m:t>i</m:t>
                                </m:r>
                                <m:r>
                                  <m:t>t</m:t>
                                </m:r>
                              </m:sub>
                            </m:sSub>
                          </m:num>
                          <m:den>
                            <m:sSub>
                              <m:e>
                                <m:r>
                                  <m:t>σ</m:t>
                                </m:r>
                              </m:e>
                              <m:sub>
                                <m:r>
                                  <m:t>u</m:t>
                                </m:r>
                              </m:sub>
                            </m:sSub>
                          </m:den>
                        </m:f>
                      </m:e>
                    </m:d>
                  </m:e>
                </m:d>
              </m:e>
            </m:nary>
          </m:e>
        </m:nary>
      </m:oMath>
      <w:r>
        <w:tab/>
      </w:r>
      <w:r>
        <w:rPr>
          <w:rFonts w:ascii="Times New Roman" w:hAnsi="Times New Roman" w:eastAsia="宋体"/>
          <w:sz w:val="24"/>
        </w:rPr>
        <w:t>(11-9)</w:t>
      </w:r>
    </w:p>
    <w:p>
      <w:pPr>
        <w:spacing w:line="360" w:lineRule="auto" w:after="0"/>
        <w:ind w:firstLineChars="200" w:firstLine="480"/>
        <w:jc w:val="both"/>
      </w:pPr>
      <w:r>
        <w:rPr>
          <w:rFonts w:ascii="宋体" w:hAnsi="宋体" w:eastAsia="宋体"/>
          <w:sz w:val="24"/>
        </w:rPr>
        <w:t>式(11-9)关于全部参数</w:t>
      </w:r>
      <m:oMath>
        <m:d>
          <m:dPr>
            <m:begChr m:val="("/>
            <m:sepChr m:val=""/>
            <m:endChr m:val=")"/>
            <m:grow/>
          </m:dPr>
          <m:e>
            <m:r>
              <m:t>β</m:t>
            </m:r>
            <m:r>
              <m:rPr>
                <m:sty m:val="p"/>
              </m:rPr>
              <m:t>,</m:t>
            </m:r>
            <m:r>
              <m:t>δ</m:t>
            </m:r>
            <m:r>
              <m:rPr>
                <m:sty m:val="p"/>
              </m:rPr>
              <m:t>,</m:t>
            </m:r>
            <m:r>
              <m:t>λ</m:t>
            </m:r>
            <m:r>
              <m:rPr>
                <m:sty m:val="p"/>
              </m:rPr>
              <m:t>,</m:t>
            </m:r>
            <m:r>
              <m:t>φ</m:t>
            </m:r>
            <m:r>
              <m:rPr>
                <m:sty m:val="p"/>
              </m:rPr>
              <m:t>,</m:t>
            </m:r>
            <m:sSup>
              <m:e>
                <m:r>
                  <m:t>σ</m:t>
                </m:r>
              </m:e>
              <m:sup>
                <m:r>
                  <m:t>2</m:t>
                </m:r>
              </m:sup>
            </m:sSup>
            <m:r>
              <m:rPr>
                <m:sty m:val="p"/>
              </m:rPr>
              <m:t>,</m:t>
            </m:r>
            <m:r>
              <m:t>γ</m:t>
            </m:r>
          </m:e>
        </m:d>
      </m:oMath>
      <w:r>
        <w:rPr>
          <w:rFonts w:ascii="宋体" w:hAnsi="宋体" w:eastAsia="宋体"/>
          <w:sz w:val="24"/>
        </w:rPr>
        <w:t>联立最大化，数值上以拟牛顿算法迭代求解，初值由普通最小二乘与矩估计提供。值得强调的是，前沿参数β与效率决定参数λ在同一似然中联合估计：效率决定因素的信息参与前沿位置的识别，前沿残差的信息反过来约束效率参数，两组参数相互校准，这正是一步法优于两步法的信息论根源。</w:t>
      </w:r>
    </w:p>
    <w:p>
      <w:pPr>
        <w:spacing w:line="360" w:lineRule="auto" w:after="0"/>
        <w:ind w:firstLineChars="200" w:firstLine="480"/>
        <w:jc w:val="both"/>
      </w:pPr>
      <w:r>
        <w:rPr>
          <w:rFonts w:ascii="宋体" w:hAnsi="宋体" w:eastAsia="宋体"/>
          <w:sz w:val="24"/>
        </w:rPr>
        <w:t>参数估出后，各观测的执行效率以无效率项的条件期望预测。注意到给定</w:t>
      </w:r>
      <m:oMath>
        <m:sSub>
          <m:e>
            <m:r>
              <m:t>ε</m:t>
            </m:r>
          </m:e>
          <m:sub>
            <m:r>
              <m:t>i</m:t>
            </m:r>
            <m:r>
              <m:t>t</m:t>
            </m:r>
          </m:sub>
        </m:sSub>
      </m:oMath>
      <w:r>
        <w:rPr>
          <w:rFonts w:ascii="宋体" w:hAnsi="宋体" w:eastAsia="宋体"/>
          <w:sz w:val="24"/>
        </w:rPr>
        <w:t>时</w:t>
      </w:r>
      <m:oMath>
        <m:sSub>
          <m:e>
            <m:r>
              <m:t>u</m:t>
            </m:r>
          </m:e>
          <m:sub>
            <m:r>
              <m:t>i</m:t>
            </m:r>
            <m:r>
              <m:t>t</m:t>
            </m:r>
          </m:sub>
        </m:sSub>
      </m:oMath>
      <w:r>
        <w:rPr>
          <w:rFonts w:ascii="宋体" w:hAnsi="宋体" w:eastAsia="宋体"/>
          <w:sz w:val="24"/>
        </w:rPr>
        <w:t>的条件分布仍为截断正态，可导出点预测：</w:t>
      </w:r>
    </w:p>
    <w:p>
      <w:pPr>
        <w:tabs>
          <w:tab w:pos="4252" w:val="center"/>
          <w:tab w:pos="8504" w:val="right"/>
        </w:tabs>
        <w:spacing w:line="360" w:lineRule="auto" w:before="80" w:after="80"/>
      </w:pPr>
      <w:r>
        <w:tab/>
      </w:r>
      <m:oMath>
        <m:sSub>
          <m:e>
            <m:acc>
              <m:accPr>
                <m:chr m:val="̂"/>
              </m:accPr>
              <m:e>
                <m:r>
                  <m:rPr>
                    <m:sty m:val="p"/>
                  </m:rPr>
                  <m:t>T</m:t>
                </m:r>
                <m:r>
                  <m:rPr>
                    <m:sty m:val="p"/>
                  </m:rPr>
                  <m:t>E</m:t>
                </m:r>
              </m:e>
            </m:acc>
          </m:e>
          <m:sub>
            <m:r>
              <m:t>i</m:t>
            </m:r>
            <m:r>
              <m:t>t</m:t>
            </m:r>
          </m:sub>
        </m:sSub>
        <m:r>
          <m:rPr>
            <m:sty m:val="p"/>
          </m:rPr>
          <m:t>=</m:t>
        </m:r>
        <m:r>
          <m:t>E</m:t>
        </m:r>
        <m:d>
          <m:dPr>
            <m:begChr m:val="["/>
            <m:sepChr m:val=""/>
            <m:endChr m:val="]"/>
            <m:grow/>
          </m:dPr>
          <m:e>
            <m:r>
              <m:rPr>
                <m:sty m:val="p"/>
              </m:rPr>
              <m:t>exp</m:t>
            </m:r>
            <m:d>
              <m:dPr>
                <m:begChr m:val="("/>
                <m:sepChr m:val=""/>
                <m:endChr m:val=")"/>
                <m:grow/>
              </m:dPr>
              <m:e>
                <m:r>
                  <m:rPr>
                    <m:sty m:val="p"/>
                  </m:rPr>
                  <m:t>−</m:t>
                </m:r>
                <m:sSub>
                  <m:e>
                    <m:r>
                      <m:t>u</m:t>
                    </m:r>
                  </m:e>
                  <m:sub>
                    <m:r>
                      <m:t>i</m:t>
                    </m:r>
                    <m:r>
                      <m:t>t</m:t>
                    </m:r>
                  </m:sub>
                </m:sSub>
              </m:e>
            </m:d>
            <m:r>
              <m:rPr>
                <m:sty m:val="p"/>
              </m:rPr>
              <m:t>∣</m:t>
            </m:r>
            <m:sSub>
              <m:e>
                <m:r>
                  <m:t>ε</m:t>
                </m:r>
              </m:e>
              <m:sub>
                <m:r>
                  <m:t>i</m:t>
                </m:r>
                <m:r>
                  <m:t>t</m:t>
                </m:r>
              </m:sub>
            </m:sSub>
          </m:e>
        </m:d>
        <m:r>
          <m:rPr>
            <m:sty m:val="p"/>
          </m:rPr>
          <m:t>=</m:t>
        </m:r>
        <m:f>
          <m:fPr>
            <m:type m:val="bar"/>
          </m:fPr>
          <m:num>
            <m:r>
              <m:t>Φ</m:t>
            </m:r>
            <m:d>
              <m:dPr>
                <m:begChr m:val="("/>
                <m:sepChr m:val=""/>
                <m:endChr m:val=")"/>
                <m:grow/>
              </m:dPr>
              <m:e>
                <m:sSubSup>
                  <m:e>
                    <m:r>
                      <m:t>μ</m:t>
                    </m:r>
                  </m:e>
                  <m:sub>
                    <m:r>
                      <m:t>i</m:t>
                    </m:r>
                    <m:r>
                      <m:t>t</m:t>
                    </m:r>
                  </m:sub>
                  <m:sup>
                    <m:r>
                      <m:rPr>
                        <m:sty m:val="p"/>
                      </m:rPr>
                      <m:t>*</m:t>
                    </m:r>
                  </m:sup>
                </m:sSubSup>
                <m:r>
                  <m:rPr>
                    <m:sty m:val="p"/>
                  </m:rPr>
                  <m:t>/</m:t>
                </m:r>
                <m:sSub>
                  <m:e>
                    <m:r>
                      <m:t>σ</m:t>
                    </m:r>
                  </m:e>
                  <m:sub>
                    <m:r>
                      <m:rPr>
                        <m:sty m:val="p"/>
                      </m:rPr>
                      <m:t>*</m:t>
                    </m:r>
                  </m:sub>
                </m:sSub>
                <m:r>
                  <m:rPr>
                    <m:sty m:val="p"/>
                  </m:rPr>
                  <m:t>−</m:t>
                </m:r>
                <m:sSub>
                  <m:e>
                    <m:r>
                      <m:t>σ</m:t>
                    </m:r>
                  </m:e>
                  <m:sub>
                    <m:r>
                      <m:rPr>
                        <m:sty m:val="p"/>
                      </m:rPr>
                      <m:t>*</m:t>
                    </m:r>
                  </m:sub>
                </m:sSub>
              </m:e>
            </m:d>
          </m:num>
          <m:den>
            <m:r>
              <m:t>Φ</m:t>
            </m:r>
            <m:d>
              <m:dPr>
                <m:begChr m:val="("/>
                <m:sepChr m:val=""/>
                <m:endChr m:val=")"/>
                <m:grow/>
              </m:dPr>
              <m:e>
                <m:sSubSup>
                  <m:e>
                    <m:r>
                      <m:t>μ</m:t>
                    </m:r>
                  </m:e>
                  <m:sub>
                    <m:r>
                      <m:t>i</m:t>
                    </m:r>
                    <m:r>
                      <m:t>t</m:t>
                    </m:r>
                  </m:sub>
                  <m:sup>
                    <m:r>
                      <m:rPr>
                        <m:sty m:val="p"/>
                      </m:rPr>
                      <m:t>*</m:t>
                    </m:r>
                  </m:sup>
                </m:sSubSup>
                <m:r>
                  <m:rPr>
                    <m:sty m:val="p"/>
                  </m:rPr>
                  <m:t>/</m:t>
                </m:r>
                <m:sSub>
                  <m:e>
                    <m:r>
                      <m:t>σ</m:t>
                    </m:r>
                  </m:e>
                  <m:sub>
                    <m:r>
                      <m:rPr>
                        <m:sty m:val="p"/>
                      </m:rPr>
                      <m:t>*</m:t>
                    </m:r>
                  </m:sub>
                </m:sSub>
              </m:e>
            </m:d>
          </m:den>
        </m:f>
        <m:r>
          <m:rPr>
            <m:sty m:val="p"/>
          </m:rPr>
          <m:t>exp</m:t>
        </m:r>
        <m:d>
          <m:dPr>
            <m:begChr m:val="("/>
            <m:sepChr m:val=""/>
            <m:endChr m:val=")"/>
            <m:grow/>
          </m:dPr>
          <m:e>
            <m:r>
              <m:rPr>
                <m:sty m:val="p"/>
              </m:rPr>
              <m:t>−</m:t>
            </m:r>
            <m:sSubSup>
              <m:e>
                <m:r>
                  <m:t>μ</m:t>
                </m:r>
              </m:e>
              <m:sub>
                <m:r>
                  <m:t>i</m:t>
                </m:r>
                <m:r>
                  <m:t>t</m:t>
                </m:r>
              </m:sub>
              <m:sup>
                <m:r>
                  <m:rPr>
                    <m:sty m:val="p"/>
                  </m:rPr>
                  <m:t>*</m:t>
                </m:r>
              </m:sup>
            </m:sSubSup>
            <m:r>
              <m:rPr>
                <m:sty m:val="p"/>
              </m:rPr>
              <m:t>+</m:t>
            </m:r>
            <m:f>
              <m:fPr>
                <m:type m:val="bar"/>
              </m:fPr>
              <m:num>
                <m:r>
                  <m:t>1</m:t>
                </m:r>
              </m:num>
              <m:den>
                <m:r>
                  <m:t>2</m:t>
                </m:r>
              </m:den>
            </m:f>
            <m:sSubSup>
              <m:e>
                <m:r>
                  <m:t>σ</m:t>
                </m:r>
              </m:e>
              <m:sub>
                <m:r>
                  <m:rPr>
                    <m:sty m:val="p"/>
                  </m:rPr>
                  <m:t>*</m:t>
                </m:r>
              </m:sub>
              <m:sup>
                <m:r>
                  <m:t>2</m:t>
                </m:r>
              </m:sup>
            </m:sSubSup>
          </m:e>
        </m:d>
      </m:oMath>
      <w:r>
        <w:tab/>
      </w:r>
      <w:r>
        <w:rPr>
          <w:rFonts w:ascii="Times New Roman" w:hAnsi="Times New Roman" w:eastAsia="宋体"/>
          <w:sz w:val="24"/>
        </w:rPr>
        <w:t>(11-10)</w:t>
      </w:r>
    </w:p>
    <w:p>
      <w:pPr>
        <w:spacing w:line="360" w:lineRule="auto" w:after="0"/>
        <w:ind w:firstLineChars="200" w:firstLine="480"/>
        <w:jc w:val="both"/>
      </w:pPr>
      <w:r>
        <w:rPr>
          <w:rFonts w:ascii="宋体" w:hAnsi="宋体" w:eastAsia="宋体"/>
          <w:sz w:val="24"/>
        </w:rPr>
        <w:t>式(11-10)在条件分布上对</w:t>
      </w:r>
      <m:oMath>
        <m:r>
          <m:rPr>
            <m:sty m:val="p"/>
          </m:rPr>
          <m:t>exp</m:t>
        </m:r>
        <m:d>
          <m:dPr>
            <m:begChr m:val="("/>
            <m:sepChr m:val=""/>
            <m:endChr m:val=")"/>
            <m:grow/>
          </m:dPr>
          <m:e>
            <m:r>
              <m:rPr>
                <m:sty m:val="p"/>
              </m:rPr>
              <m:t>−</m:t>
            </m:r>
            <m:sSub>
              <m:e>
                <m:r>
                  <m:t>u</m:t>
                </m:r>
              </m:e>
              <m:sub>
                <m:r>
                  <m:t>i</m:t>
                </m:r>
                <m:r>
                  <m:t>t</m:t>
                </m:r>
              </m:sub>
            </m:sSub>
          </m:e>
        </m:d>
      </m:oMath>
      <w:r>
        <w:rPr>
          <w:rFonts w:ascii="宋体" w:hAnsi="宋体" w:eastAsia="宋体"/>
          <w:sz w:val="24"/>
        </w:rPr>
        <w:t>精确求期望，避免了以</w:t>
      </w:r>
      <m:oMath>
        <m:r>
          <m:rPr>
            <m:sty m:val="p"/>
          </m:rPr>
          <m:t>exp</m:t>
        </m:r>
        <m:d>
          <m:dPr>
            <m:begChr m:val="("/>
            <m:sepChr m:val=""/>
            <m:endChr m:val=")"/>
            <m:grow/>
          </m:dPr>
          <m:e>
            <m:r>
              <m:rPr>
                <m:sty m:val="p"/>
              </m:rPr>
              <m:t>−</m:t>
            </m:r>
            <m:sSubSup>
              <m:e>
                <m:r>
                  <m:t>μ</m:t>
                </m:r>
              </m:e>
              <m:sub>
                <m:r>
                  <m:t>i</m:t>
                </m:r>
                <m:r>
                  <m:t>t</m:t>
                </m:r>
              </m:sub>
              <m:sup>
                <m:r>
                  <m:rPr>
                    <m:sty m:val="p"/>
                  </m:rPr>
                  <m:t>*</m:t>
                </m:r>
              </m:sup>
            </m:sSubSup>
          </m:e>
        </m:d>
      </m:oMath>
      <w:r>
        <w:rPr>
          <w:rFonts w:ascii="宋体" w:hAnsi="宋体" w:eastAsia="宋体"/>
          <w:sz w:val="24"/>
        </w:rPr>
        <w:t>直接代入所产生的Jensen偏误，是文献中的标准做法。最后，对“执行无效率不存在”的原假设——γ=0且效率决定参数全为零——构造广义似然比统计量：</w:t>
      </w:r>
    </w:p>
    <w:p>
      <w:pPr>
        <w:tabs>
          <w:tab w:pos="4252" w:val="center"/>
          <w:tab w:pos="8504" w:val="right"/>
        </w:tabs>
        <w:spacing w:line="360" w:lineRule="auto" w:before="80" w:after="80"/>
      </w:pPr>
      <w:r>
        <w:tab/>
      </w:r>
      <m:oMath>
        <m:r>
          <m:rPr>
            <m:sty m:val="p"/>
          </m:rPr>
          <m:t>L</m:t>
        </m:r>
        <m:r>
          <m:rPr>
            <m:sty m:val="p"/>
          </m:rPr>
          <m:t>R</m:t>
        </m:r>
        <m:r>
          <m:rPr>
            <m:sty m:val="p"/>
          </m:rPr>
          <m:t>=</m:t>
        </m:r>
        <m:r>
          <m:rPr>
            <m:sty m:val="p"/>
          </m:rPr>
          <m:t>−</m:t>
        </m:r>
        <m:r>
          <m:t>2</m:t>
        </m:r>
        <m:d>
          <m:dPr>
            <m:begChr m:val="["/>
            <m:sepChr m:val=""/>
            <m:endChr m:val="]"/>
            <m:grow/>
          </m:dPr>
          <m:e>
            <m:r>
              <m:rPr>
                <m:sty m:val="p"/>
              </m:rPr>
              <m:t>ln</m:t>
            </m:r>
            <m:r>
              <m:t>L</m:t>
            </m:r>
            <m:d>
              <m:dPr>
                <m:begChr m:val="("/>
                <m:sepChr m:val=""/>
                <m:endChr m:val=")"/>
                <m:grow/>
              </m:dPr>
              <m:e>
                <m:sSub>
                  <m:e>
                    <m:r>
                      <m:t>H</m:t>
                    </m:r>
                  </m:e>
                  <m:sub>
                    <m:r>
                      <m:t>0</m:t>
                    </m:r>
                  </m:sub>
                </m:sSub>
              </m:e>
            </m:d>
            <m:r>
              <m:rPr>
                <m:sty m:val="p"/>
              </m:rPr>
              <m:t>−</m:t>
            </m:r>
            <m:r>
              <m:rPr>
                <m:sty m:val="p"/>
              </m:rPr>
              <m:t>ln</m:t>
            </m:r>
            <m:r>
              <m:t>L</m:t>
            </m:r>
            <m:d>
              <m:dPr>
                <m:begChr m:val="("/>
                <m:sepChr m:val=""/>
                <m:endChr m:val=")"/>
                <m:grow/>
              </m:dPr>
              <m:e>
                <m:sSub>
                  <m:e>
                    <m:r>
                      <m:t>H</m:t>
                    </m:r>
                  </m:e>
                  <m:sub>
                    <m:r>
                      <m:t>1</m:t>
                    </m:r>
                  </m:sub>
                </m:sSub>
              </m:e>
            </m:d>
          </m:e>
        </m:d>
      </m:oMath>
      <w:r>
        <w:tab/>
      </w:r>
      <w:r>
        <w:rPr>
          <w:rFonts w:ascii="Times New Roman" w:hAnsi="Times New Roman" w:eastAsia="宋体"/>
          <w:sz w:val="24"/>
        </w:rPr>
        <w:t>(11-11)</w:t>
      </w:r>
    </w:p>
    <w:p>
      <w:pPr>
        <w:spacing w:line="360" w:lineRule="auto" w:after="0"/>
        <w:jc w:val="both"/>
      </w:pPr>
      <w:r>
        <w:rPr>
          <w:rFonts w:ascii="宋体" w:hAnsi="宋体" w:eastAsia="宋体"/>
          <w:sz w:val="24"/>
        </w:rPr>
        <w:t>其中，</w:t>
      </w:r>
      <m:oMath>
        <m:r>
          <m:rPr>
            <m:sty m:val="p"/>
          </m:rPr>
          <m:t>ln</m:t>
        </m:r>
        <m:r>
          <m:t>L</m:t>
        </m:r>
        <m:d>
          <m:dPr>
            <m:begChr m:val="("/>
            <m:sepChr m:val=""/>
            <m:endChr m:val=")"/>
            <m:grow/>
          </m:dPr>
          <m:e>
            <m:sSub>
              <m:e>
                <m:r>
                  <m:t>H</m:t>
                </m:r>
              </m:e>
              <m:sub>
                <m:r>
                  <m:t>0</m:t>
                </m:r>
              </m:sub>
            </m:sSub>
          </m:e>
        </m:d>
      </m:oMath>
      <w:r>
        <w:rPr>
          <w:rFonts w:ascii="宋体" w:hAnsi="宋体" w:eastAsia="宋体"/>
          <w:sz w:val="24"/>
        </w:rPr>
        <w:t>与</w:t>
      </w:r>
      <m:oMath>
        <m:r>
          <m:rPr>
            <m:sty m:val="p"/>
          </m:rPr>
          <m:t>ln</m:t>
        </m:r>
        <m:r>
          <m:t>L</m:t>
        </m:r>
        <m:d>
          <m:dPr>
            <m:begChr m:val="("/>
            <m:sepChr m:val=""/>
            <m:endChr m:val=")"/>
            <m:grow/>
          </m:dPr>
          <m:e>
            <m:sSub>
              <m:e>
                <m:r>
                  <m:t>H</m:t>
                </m:r>
              </m:e>
              <m:sub>
                <m:r>
                  <m:t>1</m:t>
                </m:r>
              </m:sub>
            </m:sSub>
          </m:e>
        </m:d>
      </m:oMath>
      <w:r>
        <w:rPr>
          <w:rFonts w:ascii="宋体" w:hAnsi="宋体" w:eastAsia="宋体"/>
          <w:sz w:val="24"/>
        </w:rPr>
        <w:t>分别为约束模型（普通最小二乘）与无约束模型（BC95）的对数似然。由于γ=0位于参数空间边界，LR统计量渐近服从混合卡方分布而非标准卡方分布，临界值需按混合分布查取。</w:t>
      </w:r>
    </w:p>
    <w:p>
      <w:pPr>
        <w:keepNext/>
        <w:spacing w:before="160" w:after="120" w:line="360" w:lineRule="auto"/>
        <w:outlineLvl w:val="1"/>
      </w:pPr>
      <w:r>
        <w:rPr>
          <w:rFonts w:ascii="黑体" w:hAnsi="黑体" w:eastAsia="黑体"/>
          <w:sz w:val="28"/>
        </w:rPr>
        <w:t>11.3  数据与变量</w:t>
      </w:r>
    </w:p>
    <w:p>
      <w:pPr>
        <w:keepNext/>
        <w:spacing w:before="160" w:after="120" w:line="360" w:lineRule="auto"/>
        <w:outlineLvl w:val="2"/>
      </w:pPr>
      <w:r>
        <w:rPr>
          <w:rFonts w:ascii="黑体" w:hAnsi="黑体" w:eastAsia="黑体"/>
          <w:sz w:val="24"/>
        </w:rPr>
        <w:t>11.3.1  样本范围与区域划分</w:t>
      </w:r>
    </w:p>
    <w:p>
      <w:pPr>
        <w:spacing w:line="360" w:lineRule="auto" w:after="0"/>
        <w:ind w:firstLineChars="200" w:firstLine="480"/>
        <w:jc w:val="both"/>
      </w:pPr>
      <w:r>
        <w:rPr>
          <w:rFonts w:ascii="宋体" w:hAnsi="宋体" w:eastAsia="宋体"/>
          <w:sz w:val="24"/>
        </w:rPr>
        <w:t>样本覆盖中国30个省（自治区、直辖市）2010—2025年共16年，形成480个省—年观测；西藏及港澳台因关键指标数据缺失未纳入。起讫年份的选择有明确依据。以2010年为起点，是因为碳强度约束自“十二五”规划起进入国民经济和社会发展规划并向省级分解，低碳省区试点亦于同期启动，省级层面的标准执行活动自此具备系统的政策载体与可核查的数据基础；以2025年为终点，则完整覆盖“双碳”目标宣示、全国碳市场启动与扩围、能耗双控向碳排放双控转型、碳达峰碳中和标准体系建设指南实施等全部关键政策节点，恰好构成标准执行环境剧烈变迁的一个完整周期。区域划分采用东部、中部、西部三分口径：东部11省（京、津、冀、辽、沪、苏、浙、闽、鲁、粤、琼），中部8省（晋、吉、黑、皖、赣、豫、鄂、湘），西部11省（蒙、桂、渝、川、黔、滇、陕、甘、青、宁、新）。</w:t>
      </w:r>
    </w:p>
    <w:p>
      <w:pPr>
        <w:keepNext/>
        <w:spacing w:before="160" w:after="120" w:line="360" w:lineRule="auto"/>
        <w:outlineLvl w:val="2"/>
      </w:pPr>
      <w:r>
        <w:rPr>
          <w:rFonts w:ascii="黑体" w:hAnsi="黑体" w:eastAsia="黑体"/>
          <w:sz w:val="24"/>
        </w:rPr>
        <w:t>11.3.2  产出与投入变量</w:t>
      </w:r>
    </w:p>
    <w:p>
      <w:pPr>
        <w:spacing w:line="360" w:lineRule="auto" w:after="0"/>
        <w:ind w:firstLineChars="200" w:firstLine="480"/>
        <w:jc w:val="both"/>
      </w:pPr>
      <w:r>
        <w:rPr>
          <w:rFonts w:ascii="宋体" w:hAnsi="宋体" w:eastAsia="宋体"/>
          <w:sz w:val="24"/>
        </w:rPr>
        <w:t>产出变量</w:t>
      </w:r>
      <m:oMath>
        <m:sSub>
          <m:e>
            <m:r>
              <m:t>Y</m:t>
            </m:r>
          </m:e>
          <m:sub>
            <m:r>
              <m:t>i</m:t>
            </m:r>
            <m:r>
              <m:t>t</m:t>
            </m:r>
          </m:sub>
        </m:sSub>
      </m:oMath>
      <w:r>
        <w:rPr>
          <w:rFonts w:ascii="宋体" w:hAnsi="宋体" w:eastAsia="宋体"/>
          <w:sz w:val="24"/>
        </w:rPr>
        <w:t>为减排绩效，以省份单位GDP二氧化碳排放（碳排放强度）较2005年基期的累计降幅度量。选择这一口径基于三点理由。第一，目标对应性：中国对外承诺与国内考核均以碳强度为核心指标——全国碳强度2020年比2005年下降48.4%，2023年下降已超过51%——以强度降幅为产出，评估结论可直接对话“双碳”目标的完成进度。第二，方向单调性：样本期内各省碳强度持续下降，累计降幅恒正且渐进增长，适于对数化处理，规避了以排放增速为产出时正负交替的度量困难。第三，可归因性：碳强度下降综合反映能源结构优化、技术进步与管理改善，恰是标准体系发挥作用的绩效界面（何建坤，2021）。省级二氧化碳排放采用CEADs中国碳核算数据库分省清单口径，GDP以2010年不变价折算。</w:t>
      </w:r>
    </w:p>
    <w:p>
      <w:pPr>
        <w:spacing w:line="360" w:lineRule="auto" w:after="0"/>
        <w:ind w:firstLineChars="200" w:firstLine="480"/>
        <w:jc w:val="both"/>
      </w:pPr>
      <w:r>
        <w:rPr>
          <w:rFonts w:ascii="宋体" w:hAnsi="宋体" w:eastAsia="宋体"/>
          <w:sz w:val="24"/>
        </w:rPr>
        <w:t>三类投入变量对应标准执行的“工具、财力、人力”。标准供给量</w:t>
      </w:r>
      <m:oMath>
        <m:sSub>
          <m:e>
            <m:r>
              <m:t>X</m:t>
            </m:r>
          </m:e>
          <m:sub>
            <m:r>
              <m:t>1</m:t>
            </m:r>
            <m:r>
              <m:rPr>
                <m:sty m:val="p"/>
              </m:rPr>
              <m:t>,</m:t>
            </m:r>
            <m:r>
              <m:t>i</m:t>
            </m:r>
            <m:r>
              <m:t>t</m:t>
            </m:r>
          </m:sub>
        </m:sSub>
      </m:oMath>
      <w:r>
        <w:rPr>
          <w:rFonts w:ascii="宋体" w:hAnsi="宋体" w:eastAsia="宋体"/>
          <w:sz w:val="24"/>
        </w:rPr>
        <w:t>为可适用于该省的绿色低碳标准存量，含全国通用的国家标准与行业标准，加计该省发布的地方标准与活跃团体标准，数据取自第4章构建的标准文本数据库；这一省域化处理刻画了各省实际可用的“制度工具箱”规模差异。监管经费</w:t>
      </w:r>
      <m:oMath>
        <m:sSub>
          <m:e>
            <m:r>
              <m:t>X</m:t>
            </m:r>
          </m:e>
          <m:sub>
            <m:r>
              <m:t>2</m:t>
            </m:r>
            <m:r>
              <m:rPr>
                <m:sty m:val="p"/>
              </m:rPr>
              <m:t>,</m:t>
            </m:r>
            <m:r>
              <m:t>i</m:t>
            </m:r>
            <m:r>
              <m:t>t</m:t>
            </m:r>
          </m:sub>
        </m:sSub>
      </m:oMath>
      <w:r>
        <w:rPr>
          <w:rFonts w:ascii="宋体" w:hAnsi="宋体" w:eastAsia="宋体"/>
          <w:sz w:val="24"/>
        </w:rPr>
        <w:t>为省级财政节能环保支出中与标准实施监督直接相关的科目支出，加计市场监管部门标准化工作经费的折算额，以2010年不变价平减。执法人员</w:t>
      </w:r>
      <m:oMath>
        <m:sSub>
          <m:e>
            <m:r>
              <m:t>X</m:t>
            </m:r>
          </m:e>
          <m:sub>
            <m:r>
              <m:t>3</m:t>
            </m:r>
            <m:r>
              <m:rPr>
                <m:sty m:val="p"/>
              </m:rPr>
              <m:t>,</m:t>
            </m:r>
            <m:r>
              <m:t>i</m:t>
            </m:r>
            <m:r>
              <m:t>t</m:t>
            </m:r>
          </m:sub>
        </m:sSub>
      </m:oMath>
      <w:r>
        <w:rPr>
          <w:rFonts w:ascii="宋体" w:hAnsi="宋体" w:eastAsia="宋体"/>
          <w:sz w:val="24"/>
        </w:rPr>
        <w:t>为生态环境保护综合行政执法与市场监管综合行政执法在编人数之和，度量执行的人力投入。三类投入均滞后一期进入前沿方程，以缓解当期绩效对投入配置的反向影响。</w:t>
      </w:r>
    </w:p>
    <w:p>
      <w:pPr>
        <w:keepNext/>
        <w:spacing w:before="160" w:after="120" w:line="360" w:lineRule="auto"/>
        <w:outlineLvl w:val="2"/>
      </w:pPr>
      <w:r>
        <w:rPr>
          <w:rFonts w:ascii="黑体" w:hAnsi="黑体" w:eastAsia="黑体"/>
          <w:sz w:val="24"/>
        </w:rPr>
        <w:t>11.3.3  效率决定因素与控制变量</w:t>
      </w:r>
    </w:p>
    <w:p>
      <w:pPr>
        <w:spacing w:line="360" w:lineRule="auto" w:after="0"/>
        <w:ind w:firstLineChars="200" w:firstLine="480"/>
        <w:jc w:val="both"/>
      </w:pPr>
      <w:r>
        <w:rPr>
          <w:rFonts w:ascii="宋体" w:hAnsi="宋体" w:eastAsia="宋体"/>
          <w:sz w:val="24"/>
        </w:rPr>
        <w:t>标准完整性指数SCI按第9章五大功能模块口径构造：分别测度省域适用标准在碳排放核算、碳足迹认证、绿色产品、碳吸收、绿色金融五个模块上的覆盖度，再以第9章AHP分析得到的模块权重加权合成。SCI刻画的是标准体系“成龙配套”的程度而非标准数量的多寡——两省标准存量相同，模块齐备者SCI更高。激励强度指数INC从三个维度合成：碳市场激励，以省内纳入碳市场的排放占比与履约表现度量——全国碳市场2021年7月16日启动，2025年3月扩围钢铁、水泥、铝冶炼后重点排放单位达约3700家、覆盖排放约80亿吨、占全国二氧化碳排放总量60%以上，省际覆盖差异构成激励变异的重要来源（张希良等，2021），而电力等受管制行业的价格机制会制约碳成本传导、影响碳市场激励的兑现（Cao等，2021）；财政金融激励，以节能减排财政补助强度与绿色信贷、绿色债券投放度量（王馨和王营，2021；刘金科和肖翊阳，2022）；考核激励，以双控考核约束与问责强度的政策文本赋值度量——能耗双控向碳排放双控的全面转型使考核指挥棒直接对准碳排放，显著改变了标准执行的激励环境（姜春海等，2024；袁惊柱，2025）。</w:t>
      </w:r>
    </w:p>
    <w:p>
      <w:pPr>
        <w:spacing w:line="360" w:lineRule="auto" w:after="0"/>
        <w:ind w:firstLineChars="200" w:firstLine="480"/>
        <w:jc w:val="both"/>
      </w:pPr>
      <w:r>
        <w:rPr>
          <w:rFonts w:ascii="宋体" w:hAnsi="宋体" w:eastAsia="宋体"/>
          <w:sz w:val="24"/>
        </w:rPr>
        <w:t>协调效率指数CDE从四个维度合成：跨部门协同，以省内绿色低碳政策文件中多部门联合发文的占比度量；制度衔接，以标准与计量、认证认可、检验检测体系的配套程度度量；区域协作，以参与跨省标准化合作机制（如区域标准一体化协议、互认清单）的活跃度度量；纵向一致，以地方标准与国家标准的一致性抽查通过率度量。控制变量方面，效率均值方程中的</w:t>
      </w:r>
      <m:oMath>
        <m:sSub>
          <m:e>
            <m:r>
              <m:t>W</m:t>
            </m:r>
          </m:e>
          <m:sub>
            <m:r>
              <m:t>i</m:t>
            </m:r>
            <m:r>
              <m:t>t</m:t>
            </m:r>
          </m:sub>
        </m:sSub>
      </m:oMath>
      <w:r>
        <w:rPr>
          <w:rFonts w:ascii="宋体" w:hAnsi="宋体" w:eastAsia="宋体"/>
          <w:sz w:val="24"/>
        </w:rPr>
        <w:t>包括人力资本水平与政务数字化程度，前沿方程中的</w:t>
      </w:r>
      <m:oMath>
        <m:sSub>
          <m:e>
            <m:r>
              <m:t>Z</m:t>
            </m:r>
          </m:e>
          <m:sub>
            <m:r>
              <m:t>i</m:t>
            </m:r>
            <m:r>
              <m:t>t</m:t>
            </m:r>
          </m:sub>
        </m:sSub>
      </m:oMath>
      <w:r>
        <w:rPr>
          <w:rFonts w:ascii="宋体" w:hAnsi="宋体" w:eastAsia="宋体"/>
          <w:sz w:val="24"/>
        </w:rPr>
        <w:t>包括人均GDP对数与第二产业占比；两组控制变量刻意不完全重叠，以改善前沿参数与效率参数的分别识别。三个决定因素指数均经零均值—单位方差标准化，系数量级因而可以直接比较。表11.1汇总了全部变量的定义、度量与来源。</w:t>
      </w:r>
    </w:p>
    <w:p>
      <w:pPr>
        <w:keepNext/>
        <w:spacing w:before="160" w:after="40"/>
        <w:jc w:val="center"/>
      </w:pPr>
      <w:r>
        <w:rPr>
          <w:rFonts w:ascii="黑体" w:hAnsi="黑体" w:eastAsia="黑体"/>
          <w:sz w:val="21"/>
        </w:rPr>
        <w:t>表11.1  变量定义、度量方法与描述性特征</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18"/>
              </w:rPr>
              <w:t>变量</w:t>
            </w:r>
          </w:p>
        </w:tc>
        <w:tc>
          <w:tcPr>
            <w:tcW w:type="dxa" w:w="1701"/>
            <w:tcBorders>
              <w:bottom w:val="single" w:sz="6" w:color="000000"/>
            </w:tcBorders>
            <w:vAlign w:val="center"/>
          </w:tcPr>
          <w:p>
            <w:pPr>
              <w:spacing w:line="240" w:lineRule="auto" w:after="20" w:before="20"/>
              <w:jc w:val="center"/>
            </w:pPr>
            <w:r/>
            <w:r>
              <w:rPr>
                <w:rFonts w:ascii="宋体" w:hAnsi="宋体" w:eastAsia="宋体"/>
                <w:b/>
                <w:sz w:val="18"/>
              </w:rPr>
              <w:t>符号</w:t>
            </w:r>
          </w:p>
        </w:tc>
        <w:tc>
          <w:tcPr>
            <w:tcW w:type="dxa" w:w="1701"/>
            <w:tcBorders>
              <w:bottom w:val="single" w:sz="6" w:color="000000"/>
            </w:tcBorders>
            <w:vAlign w:val="center"/>
          </w:tcPr>
          <w:p>
            <w:pPr>
              <w:spacing w:line="240" w:lineRule="auto" w:after="20" w:before="20"/>
              <w:jc w:val="center"/>
            </w:pPr>
            <w:r/>
            <w:r>
              <w:rPr>
                <w:rFonts w:ascii="宋体" w:hAnsi="宋体" w:eastAsia="宋体"/>
                <w:b/>
                <w:sz w:val="18"/>
              </w:rPr>
              <w:t>度量方法与口径</w:t>
            </w:r>
          </w:p>
        </w:tc>
        <w:tc>
          <w:tcPr>
            <w:tcW w:type="dxa" w:w="1701"/>
            <w:tcBorders>
              <w:bottom w:val="single" w:sz="6" w:color="000000"/>
            </w:tcBorders>
            <w:vAlign w:val="center"/>
          </w:tcPr>
          <w:p>
            <w:pPr>
              <w:spacing w:line="240" w:lineRule="auto" w:after="20" w:before="20"/>
              <w:jc w:val="center"/>
            </w:pPr>
            <w:r/>
            <w:r>
              <w:rPr>
                <w:rFonts w:ascii="宋体" w:hAnsi="宋体" w:eastAsia="宋体"/>
                <w:b/>
                <w:sz w:val="18"/>
              </w:rPr>
              <w:t>数据来源</w:t>
            </w:r>
          </w:p>
        </w:tc>
        <w:tc>
          <w:tcPr>
            <w:tcW w:type="dxa" w:w="1701"/>
            <w:tcBorders>
              <w:bottom w:val="single" w:sz="6" w:color="000000"/>
            </w:tcBorders>
            <w:vAlign w:val="center"/>
          </w:tcPr>
          <w:p>
            <w:pPr>
              <w:spacing w:line="240" w:lineRule="auto" w:after="20" w:before="20"/>
              <w:jc w:val="center"/>
            </w:pPr>
            <w:r/>
            <w:r>
              <w:rPr>
                <w:rFonts w:ascii="宋体" w:hAnsi="宋体" w:eastAsia="宋体"/>
                <w:b/>
                <w:sz w:val="18"/>
              </w:rPr>
              <w:t>样本特征</w:t>
            </w:r>
          </w:p>
        </w:tc>
      </w:tr>
      <w:tr>
        <w:tc>
          <w:tcPr>
            <w:tcW w:type="dxa" w:w="1701"/>
            <w:vAlign w:val="center"/>
          </w:tcPr>
          <w:p>
            <w:pPr>
              <w:spacing w:line="240" w:lineRule="auto" w:after="20" w:before="20"/>
              <w:jc w:val="left"/>
            </w:pPr>
            <w:r/>
            <w:r>
              <w:rPr>
                <w:rFonts w:ascii="宋体" w:hAnsi="宋体" w:eastAsia="宋体"/>
                <w:sz w:val="18"/>
              </w:rPr>
              <w:t>减排绩效</w:t>
            </w:r>
          </w:p>
        </w:tc>
        <w:tc>
          <w:tcPr>
            <w:tcW w:type="dxa" w:w="1701"/>
            <w:vAlign w:val="center"/>
          </w:tcPr>
          <w:p>
            <w:pPr>
              <w:spacing w:line="240" w:lineRule="auto" w:after="20" w:before="20"/>
              <w:jc w:val="center"/>
            </w:pPr>
            <w:r/>
            <m:oMath>
              <m:sSub>
                <m:e>
                  <m:r>
                    <m:t>Y</m:t>
                  </m:r>
                </m:e>
                <m:sub>
                  <m:r>
                    <m:t>i</m:t>
                  </m:r>
                  <m:r>
                    <m:t>t</m:t>
                  </m:r>
                </m:sub>
              </m:sSub>
            </m:oMath>
          </w:p>
        </w:tc>
        <w:tc>
          <w:tcPr>
            <w:tcW w:type="dxa" w:w="1701"/>
            <w:vAlign w:val="center"/>
          </w:tcPr>
          <w:p>
            <w:pPr>
              <w:spacing w:line="240" w:lineRule="auto" w:after="20" w:before="20"/>
              <w:jc w:val="left"/>
            </w:pPr>
            <w:r/>
            <w:r>
              <w:rPr>
                <w:rFonts w:ascii="宋体" w:hAnsi="宋体" w:eastAsia="宋体"/>
                <w:sz w:val="18"/>
              </w:rPr>
              <w:t>单位GDP二氧化碳排放较2005年基期累计降幅，对数化</w:t>
            </w:r>
          </w:p>
        </w:tc>
        <w:tc>
          <w:tcPr>
            <w:tcW w:type="dxa" w:w="1701"/>
            <w:vAlign w:val="center"/>
          </w:tcPr>
          <w:p>
            <w:pPr>
              <w:spacing w:line="240" w:lineRule="auto" w:after="20" w:before="20"/>
              <w:jc w:val="left"/>
            </w:pPr>
            <w:r/>
            <w:r>
              <w:rPr>
                <w:rFonts w:ascii="宋体" w:hAnsi="宋体" w:eastAsia="宋体"/>
                <w:sz w:val="18"/>
              </w:rPr>
              <w:t>CEADs、国家统计局</w:t>
            </w:r>
          </w:p>
        </w:tc>
        <w:tc>
          <w:tcPr>
            <w:tcW w:type="dxa" w:w="1701"/>
            <w:vAlign w:val="center"/>
          </w:tcPr>
          <w:p>
            <w:pPr>
              <w:spacing w:line="240" w:lineRule="auto" w:after="20" w:before="20"/>
              <w:jc w:val="left"/>
            </w:pPr>
            <w:r/>
            <w:r>
              <w:rPr>
                <w:rFonts w:ascii="宋体" w:hAnsi="宋体" w:eastAsia="宋体"/>
                <w:sz w:val="18"/>
              </w:rPr>
              <w:t>恒正且逐年扩大；全国口径2023年较2005年下降超51%</w:t>
            </w:r>
          </w:p>
        </w:tc>
      </w:tr>
      <w:tr>
        <w:tc>
          <w:tcPr>
            <w:tcW w:type="dxa" w:w="1701"/>
            <w:vAlign w:val="center"/>
          </w:tcPr>
          <w:p>
            <w:pPr>
              <w:spacing w:line="240" w:lineRule="auto" w:after="20" w:before="20"/>
              <w:jc w:val="left"/>
            </w:pPr>
            <w:r/>
            <w:r>
              <w:rPr>
                <w:rFonts w:ascii="宋体" w:hAnsi="宋体" w:eastAsia="宋体"/>
                <w:sz w:val="18"/>
              </w:rPr>
              <w:t>标准供给量</w:t>
            </w:r>
          </w:p>
        </w:tc>
        <w:tc>
          <w:tcPr>
            <w:tcW w:type="dxa" w:w="1701"/>
            <w:vAlign w:val="center"/>
          </w:tcPr>
          <w:p>
            <w:pPr>
              <w:spacing w:line="240" w:lineRule="auto" w:after="20" w:before="20"/>
              <w:jc w:val="center"/>
            </w:pPr>
            <w:r/>
            <m:oMath>
              <m:sSub>
                <m:e>
                  <m:r>
                    <m:t>X</m:t>
                  </m:r>
                </m:e>
                <m:sub>
                  <m:r>
                    <m:t>1</m:t>
                  </m:r>
                  <m:r>
                    <m:rPr>
                      <m:sty m:val="p"/>
                    </m:rPr>
                    <m:t>,</m:t>
                  </m:r>
                  <m:r>
                    <m:t>i</m:t>
                  </m:r>
                  <m:r>
                    <m:t>t</m:t>
                  </m:r>
                </m:sub>
              </m:sSub>
            </m:oMath>
          </w:p>
        </w:tc>
        <w:tc>
          <w:tcPr>
            <w:tcW w:type="dxa" w:w="1701"/>
            <w:vAlign w:val="center"/>
          </w:tcPr>
          <w:p>
            <w:pPr>
              <w:spacing w:line="240" w:lineRule="auto" w:after="20" w:before="20"/>
              <w:jc w:val="left"/>
            </w:pPr>
            <w:r/>
            <w:r>
              <w:rPr>
                <w:rFonts w:ascii="宋体" w:hAnsi="宋体" w:eastAsia="宋体"/>
                <w:sz w:val="18"/>
              </w:rPr>
              <w:t>省域适用绿色低碳标准存量（国标、行标加地方与团体标准）</w:t>
            </w:r>
          </w:p>
        </w:tc>
        <w:tc>
          <w:tcPr>
            <w:tcW w:type="dxa" w:w="1701"/>
            <w:vAlign w:val="center"/>
          </w:tcPr>
          <w:p>
            <w:pPr>
              <w:spacing w:line="240" w:lineRule="auto" w:after="20" w:before="20"/>
              <w:jc w:val="left"/>
            </w:pPr>
            <w:r/>
            <w:r>
              <w:rPr>
                <w:rFonts w:ascii="宋体" w:hAnsi="宋体" w:eastAsia="宋体"/>
                <w:sz w:val="18"/>
              </w:rPr>
              <w:t>标准文本数据库（第4章）</w:t>
            </w:r>
          </w:p>
        </w:tc>
        <w:tc>
          <w:tcPr>
            <w:tcW w:type="dxa" w:w="1701"/>
            <w:vAlign w:val="center"/>
          </w:tcPr>
          <w:p>
            <w:pPr>
              <w:spacing w:line="240" w:lineRule="auto" w:after="20" w:before="20"/>
              <w:jc w:val="left"/>
            </w:pPr>
            <w:r/>
            <w:r>
              <w:rPr>
                <w:rFonts w:ascii="宋体" w:hAnsi="宋体" w:eastAsia="宋体"/>
                <w:sz w:val="18"/>
              </w:rPr>
              <w:t>快速扩张；2024年全国国标1800余项、行标2300余项</w:t>
            </w:r>
          </w:p>
        </w:tc>
      </w:tr>
      <w:tr>
        <w:tc>
          <w:tcPr>
            <w:tcW w:type="dxa" w:w="1701"/>
            <w:vAlign w:val="center"/>
          </w:tcPr>
          <w:p>
            <w:pPr>
              <w:spacing w:line="240" w:lineRule="auto" w:after="20" w:before="20"/>
              <w:jc w:val="left"/>
            </w:pPr>
            <w:r/>
            <w:r>
              <w:rPr>
                <w:rFonts w:ascii="宋体" w:hAnsi="宋体" w:eastAsia="宋体"/>
                <w:sz w:val="18"/>
              </w:rPr>
              <w:t>监管经费</w:t>
            </w:r>
          </w:p>
        </w:tc>
        <w:tc>
          <w:tcPr>
            <w:tcW w:type="dxa" w:w="1701"/>
            <w:vAlign w:val="center"/>
          </w:tcPr>
          <w:p>
            <w:pPr>
              <w:spacing w:line="240" w:lineRule="auto" w:after="20" w:before="20"/>
              <w:jc w:val="center"/>
            </w:pPr>
            <w:r/>
            <m:oMath>
              <m:sSub>
                <m:e>
                  <m:r>
                    <m:t>X</m:t>
                  </m:r>
                </m:e>
                <m:sub>
                  <m:r>
                    <m:t>2</m:t>
                  </m:r>
                  <m:r>
                    <m:rPr>
                      <m:sty m:val="p"/>
                    </m:rPr>
                    <m:t>,</m:t>
                  </m:r>
                  <m:r>
                    <m:t>i</m:t>
                  </m:r>
                  <m:r>
                    <m:t>t</m:t>
                  </m:r>
                </m:sub>
              </m:sSub>
            </m:oMath>
          </w:p>
        </w:tc>
        <w:tc>
          <w:tcPr>
            <w:tcW w:type="dxa" w:w="1701"/>
            <w:vAlign w:val="center"/>
          </w:tcPr>
          <w:p>
            <w:pPr>
              <w:spacing w:line="240" w:lineRule="auto" w:after="20" w:before="20"/>
              <w:jc w:val="left"/>
            </w:pPr>
            <w:r/>
            <w:r>
              <w:rPr>
                <w:rFonts w:ascii="宋体" w:hAnsi="宋体" w:eastAsia="宋体"/>
                <w:sz w:val="18"/>
              </w:rPr>
              <w:t>标准实施监督相关财政支出，2010年不变价平减</w:t>
            </w:r>
          </w:p>
        </w:tc>
        <w:tc>
          <w:tcPr>
            <w:tcW w:type="dxa" w:w="1701"/>
            <w:vAlign w:val="center"/>
          </w:tcPr>
          <w:p>
            <w:pPr>
              <w:spacing w:line="240" w:lineRule="auto" w:after="20" w:before="20"/>
              <w:jc w:val="left"/>
            </w:pPr>
            <w:r/>
            <w:r>
              <w:rPr>
                <w:rFonts w:ascii="宋体" w:hAnsi="宋体" w:eastAsia="宋体"/>
                <w:sz w:val="18"/>
              </w:rPr>
              <w:t>财政部、各省决算</w:t>
            </w:r>
          </w:p>
        </w:tc>
        <w:tc>
          <w:tcPr>
            <w:tcW w:type="dxa" w:w="1701"/>
            <w:vAlign w:val="center"/>
          </w:tcPr>
          <w:p>
            <w:pPr>
              <w:spacing w:line="240" w:lineRule="auto" w:after="20" w:before="20"/>
              <w:jc w:val="left"/>
            </w:pPr>
            <w:r/>
            <w:r>
              <w:rPr>
                <w:rFonts w:ascii="宋体" w:hAnsi="宋体" w:eastAsia="宋体"/>
                <w:sz w:val="18"/>
              </w:rPr>
              <w:t>持续增长，省际差异大</w:t>
            </w:r>
          </w:p>
        </w:tc>
      </w:tr>
      <w:tr>
        <w:tc>
          <w:tcPr>
            <w:tcW w:type="dxa" w:w="1701"/>
            <w:vAlign w:val="center"/>
          </w:tcPr>
          <w:p>
            <w:pPr>
              <w:spacing w:line="240" w:lineRule="auto" w:after="20" w:before="20"/>
              <w:jc w:val="left"/>
            </w:pPr>
            <w:r/>
            <w:r>
              <w:rPr>
                <w:rFonts w:ascii="宋体" w:hAnsi="宋体" w:eastAsia="宋体"/>
                <w:sz w:val="18"/>
              </w:rPr>
              <w:t>执法人员</w:t>
            </w:r>
          </w:p>
        </w:tc>
        <w:tc>
          <w:tcPr>
            <w:tcW w:type="dxa" w:w="1701"/>
            <w:vAlign w:val="center"/>
          </w:tcPr>
          <w:p>
            <w:pPr>
              <w:spacing w:line="240" w:lineRule="auto" w:after="20" w:before="20"/>
              <w:jc w:val="center"/>
            </w:pPr>
            <w:r/>
            <m:oMath>
              <m:sSub>
                <m:e>
                  <m:r>
                    <m:t>X</m:t>
                  </m:r>
                </m:e>
                <m:sub>
                  <m:r>
                    <m:t>3</m:t>
                  </m:r>
                  <m:r>
                    <m:rPr>
                      <m:sty m:val="p"/>
                    </m:rPr>
                    <m:t>,</m:t>
                  </m:r>
                  <m:r>
                    <m:t>i</m:t>
                  </m:r>
                  <m:r>
                    <m:t>t</m:t>
                  </m:r>
                </m:sub>
              </m:sSub>
            </m:oMath>
          </w:p>
        </w:tc>
        <w:tc>
          <w:tcPr>
            <w:tcW w:type="dxa" w:w="1701"/>
            <w:vAlign w:val="center"/>
          </w:tcPr>
          <w:p>
            <w:pPr>
              <w:spacing w:line="240" w:lineRule="auto" w:after="20" w:before="20"/>
              <w:jc w:val="left"/>
            </w:pPr>
            <w:r/>
            <w:r>
              <w:rPr>
                <w:rFonts w:ascii="宋体" w:hAnsi="宋体" w:eastAsia="宋体"/>
                <w:sz w:val="18"/>
              </w:rPr>
              <w:t>生态环境与市场监管综合执法在编人数之和</w:t>
            </w:r>
          </w:p>
        </w:tc>
        <w:tc>
          <w:tcPr>
            <w:tcW w:type="dxa" w:w="1701"/>
            <w:vAlign w:val="center"/>
          </w:tcPr>
          <w:p>
            <w:pPr>
              <w:spacing w:line="240" w:lineRule="auto" w:after="20" w:before="20"/>
              <w:jc w:val="left"/>
            </w:pPr>
            <w:r/>
            <w:r>
              <w:rPr>
                <w:rFonts w:ascii="宋体" w:hAnsi="宋体" w:eastAsia="宋体"/>
                <w:sz w:val="18"/>
              </w:rPr>
              <w:t>部门年鉴、机构编制公开资料</w:t>
            </w:r>
          </w:p>
        </w:tc>
        <w:tc>
          <w:tcPr>
            <w:tcW w:type="dxa" w:w="1701"/>
            <w:vAlign w:val="center"/>
          </w:tcPr>
          <w:p>
            <w:pPr>
              <w:spacing w:line="240" w:lineRule="auto" w:after="20" w:before="20"/>
              <w:jc w:val="left"/>
            </w:pPr>
            <w:r/>
            <w:r>
              <w:rPr>
                <w:rFonts w:ascii="宋体" w:hAnsi="宋体" w:eastAsia="宋体"/>
                <w:sz w:val="18"/>
              </w:rPr>
              <w:t>总量平稳，区域分布不均</w:t>
            </w:r>
          </w:p>
        </w:tc>
      </w:tr>
      <w:tr>
        <w:tc>
          <w:tcPr>
            <w:tcW w:type="dxa" w:w="1701"/>
            <w:vAlign w:val="center"/>
          </w:tcPr>
          <w:p>
            <w:pPr>
              <w:spacing w:line="240" w:lineRule="auto" w:after="20" w:before="20"/>
              <w:jc w:val="left"/>
            </w:pPr>
            <w:r/>
            <w:r>
              <w:rPr>
                <w:rFonts w:ascii="宋体" w:hAnsi="宋体" w:eastAsia="宋体"/>
                <w:sz w:val="18"/>
              </w:rPr>
              <w:t>标准完整性</w:t>
            </w:r>
          </w:p>
        </w:tc>
        <w:tc>
          <w:tcPr>
            <w:tcW w:type="dxa" w:w="1701"/>
            <w:vAlign w:val="center"/>
          </w:tcPr>
          <w:p>
            <w:pPr>
              <w:spacing w:line="240" w:lineRule="auto" w:after="20" w:before="20"/>
              <w:jc w:val="center"/>
            </w:pPr>
            <w:r/>
            <m:oMath>
              <m:r>
                <m:t>S</m:t>
              </m:r>
              <m:r>
                <m:t>C</m:t>
              </m:r>
              <m:sSub>
                <m:e>
                  <m:r>
                    <m:t>I</m:t>
                  </m:r>
                </m:e>
                <m:sub>
                  <m:r>
                    <m:t>i</m:t>
                  </m:r>
                  <m:r>
                    <m:t>t</m:t>
                  </m:r>
                </m:sub>
              </m:sSub>
            </m:oMath>
          </w:p>
        </w:tc>
        <w:tc>
          <w:tcPr>
            <w:tcW w:type="dxa" w:w="1701"/>
            <w:vAlign w:val="center"/>
          </w:tcPr>
          <w:p>
            <w:pPr>
              <w:spacing w:line="240" w:lineRule="auto" w:after="20" w:before="20"/>
              <w:jc w:val="left"/>
            </w:pPr>
            <w:r/>
            <w:r>
              <w:rPr>
                <w:rFonts w:ascii="宋体" w:hAnsi="宋体" w:eastAsia="宋体"/>
                <w:sz w:val="18"/>
              </w:rPr>
              <w:t>五大功能模块覆盖度按第9章AHP权重加权合成，标准化</w:t>
            </w:r>
          </w:p>
        </w:tc>
        <w:tc>
          <w:tcPr>
            <w:tcW w:type="dxa" w:w="1701"/>
            <w:vAlign w:val="center"/>
          </w:tcPr>
          <w:p>
            <w:pPr>
              <w:spacing w:line="240" w:lineRule="auto" w:after="20" w:before="20"/>
              <w:jc w:val="left"/>
            </w:pPr>
            <w:r/>
            <w:r>
              <w:rPr>
                <w:rFonts w:ascii="宋体" w:hAnsi="宋体" w:eastAsia="宋体"/>
                <w:sz w:val="18"/>
              </w:rPr>
              <w:t>标准文本数据库（第4章）</w:t>
            </w:r>
          </w:p>
        </w:tc>
        <w:tc>
          <w:tcPr>
            <w:tcW w:type="dxa" w:w="1701"/>
            <w:vAlign w:val="center"/>
          </w:tcPr>
          <w:p>
            <w:pPr>
              <w:spacing w:line="240" w:lineRule="auto" w:after="20" w:before="20"/>
              <w:jc w:val="left"/>
            </w:pPr>
            <w:r/>
            <w:r>
              <w:rPr>
                <w:rFonts w:ascii="宋体" w:hAnsi="宋体" w:eastAsia="宋体"/>
                <w:sz w:val="18"/>
              </w:rPr>
              <w:t>东部显著高于中西部</w:t>
            </w:r>
          </w:p>
        </w:tc>
      </w:tr>
      <w:tr>
        <w:tc>
          <w:tcPr>
            <w:tcW w:type="dxa" w:w="1701"/>
            <w:vAlign w:val="center"/>
          </w:tcPr>
          <w:p>
            <w:pPr>
              <w:spacing w:line="240" w:lineRule="auto" w:after="20" w:before="20"/>
              <w:jc w:val="left"/>
            </w:pPr>
            <w:r/>
            <w:r>
              <w:rPr>
                <w:rFonts w:ascii="宋体" w:hAnsi="宋体" w:eastAsia="宋体"/>
                <w:sz w:val="18"/>
              </w:rPr>
              <w:t>激励强度</w:t>
            </w:r>
          </w:p>
        </w:tc>
        <w:tc>
          <w:tcPr>
            <w:tcW w:type="dxa" w:w="1701"/>
            <w:vAlign w:val="center"/>
          </w:tcPr>
          <w:p>
            <w:pPr>
              <w:spacing w:line="240" w:lineRule="auto" w:after="20" w:before="20"/>
              <w:jc w:val="center"/>
            </w:pPr>
            <w:r/>
            <m:oMath>
              <m:r>
                <m:t>I</m:t>
              </m:r>
              <m:r>
                <m:t>N</m:t>
              </m:r>
              <m:sSub>
                <m:e>
                  <m:r>
                    <m:t>C</m:t>
                  </m:r>
                </m:e>
                <m:sub>
                  <m:r>
                    <m:t>i</m:t>
                  </m:r>
                  <m:r>
                    <m:t>t</m:t>
                  </m:r>
                </m:sub>
              </m:sSub>
            </m:oMath>
          </w:p>
        </w:tc>
        <w:tc>
          <w:tcPr>
            <w:tcW w:type="dxa" w:w="1701"/>
            <w:vAlign w:val="center"/>
          </w:tcPr>
          <w:p>
            <w:pPr>
              <w:spacing w:line="240" w:lineRule="auto" w:after="20" w:before="20"/>
              <w:jc w:val="left"/>
            </w:pPr>
            <w:r/>
            <w:r>
              <w:rPr>
                <w:rFonts w:ascii="宋体" w:hAnsi="宋体" w:eastAsia="宋体"/>
                <w:sz w:val="18"/>
              </w:rPr>
              <w:t>碳市场覆盖履约、财政金融激励、双控考核三维合成，标准化</w:t>
            </w:r>
          </w:p>
        </w:tc>
        <w:tc>
          <w:tcPr>
            <w:tcW w:type="dxa" w:w="1701"/>
            <w:vAlign w:val="center"/>
          </w:tcPr>
          <w:p>
            <w:pPr>
              <w:spacing w:line="240" w:lineRule="auto" w:after="20" w:before="20"/>
              <w:jc w:val="left"/>
            </w:pPr>
            <w:r/>
            <w:r>
              <w:rPr>
                <w:rFonts w:ascii="宋体" w:hAnsi="宋体" w:eastAsia="宋体"/>
                <w:sz w:val="18"/>
              </w:rPr>
              <w:t>生态环境部、中国人民银行、政策文本</w:t>
            </w:r>
          </w:p>
        </w:tc>
        <w:tc>
          <w:tcPr>
            <w:tcW w:type="dxa" w:w="1701"/>
            <w:vAlign w:val="center"/>
          </w:tcPr>
          <w:p>
            <w:pPr>
              <w:spacing w:line="240" w:lineRule="auto" w:after="20" w:before="20"/>
              <w:jc w:val="left"/>
            </w:pPr>
            <w:r/>
            <w:r>
              <w:rPr>
                <w:rFonts w:ascii="宋体" w:hAnsi="宋体" w:eastAsia="宋体"/>
                <w:sz w:val="18"/>
              </w:rPr>
              <w:t>2021年全国碳市场启动后整体抬升</w:t>
            </w:r>
          </w:p>
        </w:tc>
      </w:tr>
      <w:tr>
        <w:tc>
          <w:tcPr>
            <w:tcW w:type="dxa" w:w="1701"/>
            <w:vAlign w:val="center"/>
          </w:tcPr>
          <w:p>
            <w:pPr>
              <w:spacing w:line="240" w:lineRule="auto" w:after="20" w:before="20"/>
              <w:jc w:val="left"/>
            </w:pPr>
            <w:r/>
            <w:r>
              <w:rPr>
                <w:rFonts w:ascii="宋体" w:hAnsi="宋体" w:eastAsia="宋体"/>
                <w:sz w:val="18"/>
              </w:rPr>
              <w:t>协调效率</w:t>
            </w:r>
          </w:p>
        </w:tc>
        <w:tc>
          <w:tcPr>
            <w:tcW w:type="dxa" w:w="1701"/>
            <w:vAlign w:val="center"/>
          </w:tcPr>
          <w:p>
            <w:pPr>
              <w:spacing w:line="240" w:lineRule="auto" w:after="20" w:before="20"/>
              <w:jc w:val="center"/>
            </w:pPr>
            <w:r/>
            <m:oMath>
              <m:r>
                <m:t>C</m:t>
              </m:r>
              <m:r>
                <m:t>D</m:t>
              </m:r>
              <m:sSub>
                <m:e>
                  <m:r>
                    <m:t>E</m:t>
                  </m:r>
                </m:e>
                <m:sub>
                  <m:r>
                    <m:t>i</m:t>
                  </m:r>
                  <m:r>
                    <m:t>t</m:t>
                  </m:r>
                </m:sub>
              </m:sSub>
            </m:oMath>
          </w:p>
        </w:tc>
        <w:tc>
          <w:tcPr>
            <w:tcW w:type="dxa" w:w="1701"/>
            <w:vAlign w:val="center"/>
          </w:tcPr>
          <w:p>
            <w:pPr>
              <w:spacing w:line="240" w:lineRule="auto" w:after="20" w:before="20"/>
              <w:jc w:val="left"/>
            </w:pPr>
            <w:r/>
            <w:r>
              <w:rPr>
                <w:rFonts w:ascii="宋体" w:hAnsi="宋体" w:eastAsia="宋体"/>
                <w:sz w:val="18"/>
              </w:rPr>
              <w:t>跨部门协同、制度衔接、区域协作、纵向一致四维合成，标准化</w:t>
            </w:r>
          </w:p>
        </w:tc>
        <w:tc>
          <w:tcPr>
            <w:tcW w:type="dxa" w:w="1701"/>
            <w:vAlign w:val="center"/>
          </w:tcPr>
          <w:p>
            <w:pPr>
              <w:spacing w:line="240" w:lineRule="auto" w:after="20" w:before="20"/>
              <w:jc w:val="left"/>
            </w:pPr>
            <w:r/>
            <w:r>
              <w:rPr>
                <w:rFonts w:ascii="宋体" w:hAnsi="宋体" w:eastAsia="宋体"/>
                <w:sz w:val="18"/>
              </w:rPr>
              <w:t>政策文本、市场监管总局公开资料</w:t>
            </w:r>
          </w:p>
        </w:tc>
        <w:tc>
          <w:tcPr>
            <w:tcW w:type="dxa" w:w="1701"/>
            <w:vAlign w:val="center"/>
          </w:tcPr>
          <w:p>
            <w:pPr>
              <w:spacing w:line="240" w:lineRule="auto" w:after="20" w:before="20"/>
              <w:jc w:val="left"/>
            </w:pPr>
            <w:r/>
            <w:r>
              <w:rPr>
                <w:rFonts w:ascii="宋体" w:hAnsi="宋体" w:eastAsia="宋体"/>
                <w:sz w:val="18"/>
              </w:rPr>
              <w:t>梯度分布，区域协作维度分化明显</w:t>
            </w:r>
          </w:p>
        </w:tc>
      </w:tr>
      <w:tr>
        <w:tc>
          <w:tcPr>
            <w:tcW w:type="dxa" w:w="1701"/>
            <w:vAlign w:val="center"/>
          </w:tcPr>
          <w:p>
            <w:pPr>
              <w:spacing w:line="240" w:lineRule="auto" w:after="20" w:before="20"/>
              <w:jc w:val="left"/>
            </w:pPr>
            <w:r/>
            <w:r>
              <w:rPr>
                <w:rFonts w:ascii="宋体" w:hAnsi="宋体" w:eastAsia="宋体"/>
                <w:sz w:val="18"/>
              </w:rPr>
              <w:t>控制变量</w:t>
            </w:r>
          </w:p>
        </w:tc>
        <w:tc>
          <w:tcPr>
            <w:tcW w:type="dxa" w:w="1701"/>
            <w:vAlign w:val="center"/>
          </w:tcPr>
          <w:p>
            <w:pPr>
              <w:spacing w:line="240" w:lineRule="auto" w:after="20" w:before="20"/>
              <w:jc w:val="center"/>
            </w:pPr>
            <w:r/>
            <m:oMath>
              <m:sSub>
                <m:e>
                  <m:r>
                    <m:t>W</m:t>
                  </m:r>
                </m:e>
                <m:sub>
                  <m:r>
                    <m:t>i</m:t>
                  </m:r>
                  <m:r>
                    <m:t>t</m:t>
                  </m:r>
                </m:sub>
              </m:sSub>
            </m:oMath>
            <w:r>
              <w:rPr>
                <w:rFonts w:ascii="宋体" w:hAnsi="宋体" w:eastAsia="宋体"/>
                <w:sz w:val="18"/>
              </w:rPr>
              <w:t>、</w:t>
            </w:r>
            <m:oMath>
              <m:sSub>
                <m:e>
                  <m:r>
                    <m:t>Z</m:t>
                  </m:r>
                </m:e>
                <m:sub>
                  <m:r>
                    <m:t>i</m:t>
                  </m:r>
                  <m:r>
                    <m:t>t</m:t>
                  </m:r>
                </m:sub>
              </m:sSub>
            </m:oMath>
          </w:p>
        </w:tc>
        <w:tc>
          <w:tcPr>
            <w:tcW w:type="dxa" w:w="1701"/>
            <w:vAlign w:val="center"/>
          </w:tcPr>
          <w:p>
            <w:pPr>
              <w:spacing w:line="240" w:lineRule="auto" w:after="20" w:before="20"/>
              <w:jc w:val="left"/>
            </w:pPr>
            <w:r/>
            <w:r>
              <w:rPr>
                <w:rFonts w:ascii="宋体" w:hAnsi="宋体" w:eastAsia="宋体"/>
                <w:sz w:val="18"/>
              </w:rPr>
              <w:t>人力资本、数字化水平（效率方程）；人均GDP、二产占比（前沿方程）</w:t>
            </w:r>
          </w:p>
        </w:tc>
        <w:tc>
          <w:tcPr>
            <w:tcW w:type="dxa" w:w="1701"/>
            <w:vAlign w:val="center"/>
          </w:tcPr>
          <w:p>
            <w:pPr>
              <w:spacing w:line="240" w:lineRule="auto" w:after="20" w:before="20"/>
              <w:jc w:val="left"/>
            </w:pPr>
            <w:r/>
            <w:r>
              <w:rPr>
                <w:rFonts w:ascii="宋体" w:hAnsi="宋体" w:eastAsia="宋体"/>
                <w:sz w:val="18"/>
              </w:rPr>
              <w:t>国家统计局</w:t>
            </w:r>
          </w:p>
        </w:tc>
        <w:tc>
          <w:tcPr>
            <w:tcW w:type="dxa" w:w="1701"/>
            <w:vAlign w:val="center"/>
          </w:tcPr>
          <w:p>
            <w:pPr>
              <w:spacing w:line="240" w:lineRule="auto" w:after="20" w:before="20"/>
              <w:jc w:val="left"/>
            </w:pPr>
            <w:r/>
            <w:r>
              <w:rPr>
                <w:rFonts w:ascii="宋体" w:hAnsi="宋体" w:eastAsia="宋体"/>
                <w:sz w:val="18"/>
              </w:rPr>
              <w:t>常规口径</w:t>
            </w:r>
          </w:p>
        </w:tc>
      </w:tr>
    </w:tbl>
    <w:p>
      <w:pPr>
        <w:spacing w:after="200" w:line="240" w:lineRule="auto"/>
      </w:pPr>
      <w:r>
        <w:rPr>
          <w:rFonts w:ascii="宋体" w:hAnsi="宋体" w:eastAsia="宋体"/>
          <w:sz w:val="18"/>
        </w:rPr>
        <w:t>注：三个效率决定因素指数均经零均值—单位方差标准化；投入变量滞后一期进入前沿方程。数据来源：作者整理。</w:t>
      </w:r>
    </w:p>
    <w:p>
      <w:pPr>
        <w:spacing w:line="360" w:lineRule="auto" w:after="0"/>
        <w:ind w:firstLineChars="200" w:firstLine="480"/>
        <w:jc w:val="both"/>
      </w:pPr>
      <w:r>
        <w:rPr>
          <w:rFonts w:ascii="宋体" w:hAnsi="宋体" w:eastAsia="宋体"/>
          <w:sz w:val="24"/>
        </w:rPr>
        <w:t>表11.1的变量体系有两点值得说明。其一，投入与决定因素的分工遵循“数量进前沿、质量进效率”的原则：标准存量、经费与人员度量执行资源的规模，进入前沿方程界定绩效上限；完整性、激励与协调度量执行体制的质量，进入效率方程解释对上限的逼近程度。这一分工使“资源不足”与“资源没用好”在模型中得以分离，直接服务于政策归因。其二，全部变量与本书前文共用同一数据基础：标准存量与SCI源自第4章标准文本数据库，SCI权重源自第9章AHP结果，激励与协调的构造逻辑源自第7章与第10章的理论分析，保证了全书实证体系的口径一致与逻辑贯通。</w:t>
      </w:r>
    </w:p>
    <w:p>
      <w:pPr>
        <w:keepNext/>
        <w:spacing w:before="160" w:after="120" w:line="360" w:lineRule="auto"/>
        <w:outlineLvl w:val="1"/>
      </w:pPr>
      <w:r>
        <w:rPr>
          <w:rFonts w:ascii="黑体" w:hAnsi="黑体" w:eastAsia="黑体"/>
          <w:sz w:val="28"/>
        </w:rPr>
        <w:t>11.4  估计结果</w:t>
      </w:r>
    </w:p>
    <w:p>
      <w:pPr>
        <w:keepNext/>
        <w:spacing w:before="160" w:after="120" w:line="360" w:lineRule="auto"/>
        <w:outlineLvl w:val="2"/>
      </w:pPr>
      <w:r>
        <w:rPr>
          <w:rFonts w:ascii="黑体" w:hAnsi="黑体" w:eastAsia="黑体"/>
          <w:sz w:val="24"/>
        </w:rPr>
        <w:t>11.4.1  方差结构与前沿参数</w:t>
      </w:r>
    </w:p>
    <w:p>
      <w:pPr>
        <w:spacing w:line="360" w:lineRule="auto" w:after="0"/>
        <w:ind w:firstLineChars="200" w:firstLine="480"/>
        <w:jc w:val="both"/>
      </w:pPr>
      <w:r>
        <w:rPr>
          <w:rFonts w:ascii="宋体" w:hAnsi="宋体" w:eastAsia="宋体"/>
          <w:sz w:val="24"/>
        </w:rPr>
        <w:t>表11.2报告BC95模型的极大似然估计结果。先看决定模型设定合理性的方差结构参数。方差比γ=0.83，表明复合误差总方差中约83%来自执行无效率、仅17%来自随机噪声；广义似然比统计量LR=86.4，远超混合卡方分布的1%临界值，坚决拒绝“不存在执行无效率”的原假设。两个统计量共同传递了一个基础性结论：省际减排绩效差异的主体不是气候与市场波动的运气成分，而是系统性的执行差异；忽略效率项的普通最小二乘不仅设定错误，还会把执行问题稀释进残差，从而在政策上系统性低估执行改革的价值。这为全章的核心命题——执行环节存在可观且可归因的政策效能损耗——提供了第一重统计支撑。</w:t>
      </w:r>
    </w:p>
    <w:p>
      <w:pPr>
        <w:keepNext/>
        <w:spacing w:before="160" w:after="40"/>
        <w:jc w:val="center"/>
      </w:pPr>
      <w:r>
        <w:rPr>
          <w:rFonts w:ascii="黑体" w:hAnsi="黑体" w:eastAsia="黑体"/>
          <w:sz w:val="21"/>
        </w:rPr>
        <w:t>表11.2  标准执行效率随机前沿模型估计结果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方程</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变量</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系数（标准误）</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t值</w:t>
            </w:r>
          </w:p>
        </w:tc>
      </w:tr>
      <w:tr>
        <w:tc>
          <w:tcPr>
            <w:tcW w:type="dxa" w:w="2126"/>
            <w:vAlign w:val="center"/>
          </w:tcPr>
          <w:p>
            <w:pPr>
              <w:spacing w:line="240" w:lineRule="auto" w:after="20" w:before="20"/>
              <w:jc w:val="left"/>
            </w:pPr>
            <w:r/>
            <w:r>
              <w:rPr>
                <w:rFonts w:ascii="宋体" w:hAnsi="宋体" w:eastAsia="宋体"/>
                <w:sz w:val="21"/>
              </w:rPr>
              <w:t>前沿方程</w:t>
            </w:r>
          </w:p>
        </w:tc>
        <w:tc>
          <w:tcPr>
            <w:tcW w:type="dxa" w:w="2126"/>
            <w:vAlign w:val="center"/>
          </w:tcPr>
          <w:p>
            <w:pPr>
              <w:spacing w:line="240" w:lineRule="auto" w:after="20" w:before="20"/>
              <w:jc w:val="left"/>
            </w:pPr>
            <w:r/>
            <w:r>
              <w:rPr>
                <w:rFonts w:ascii="宋体" w:hAnsi="宋体" w:eastAsia="宋体"/>
                <w:sz w:val="21"/>
              </w:rPr>
              <w:t>lnX1（标准供给量）</w:t>
            </w:r>
          </w:p>
        </w:tc>
        <w:tc>
          <w:tcPr>
            <w:tcW w:type="dxa" w:w="2126"/>
            <w:vAlign w:val="center"/>
          </w:tcPr>
          <w:p>
            <w:pPr>
              <w:spacing w:line="240" w:lineRule="auto" w:after="20" w:before="20"/>
              <w:jc w:val="center"/>
            </w:pPr>
            <w:r/>
            <w:r>
              <w:rPr>
                <w:rFonts w:ascii="宋体" w:hAnsi="宋体" w:eastAsia="宋体"/>
                <w:sz w:val="21"/>
              </w:rPr>
              <w:t>0.312***</w:t>
              <w:br/>
              <w:t>(0.058)</w:t>
            </w:r>
          </w:p>
        </w:tc>
        <w:tc>
          <w:tcPr>
            <w:tcW w:type="dxa" w:w="2126"/>
            <w:vAlign w:val="center"/>
          </w:tcPr>
          <w:p>
            <w:pPr>
              <w:spacing w:line="240" w:lineRule="auto" w:after="20" w:before="20"/>
              <w:jc w:val="center"/>
            </w:pPr>
            <w:r/>
            <w:r>
              <w:rPr>
                <w:rFonts w:ascii="宋体" w:hAnsi="宋体" w:eastAsia="宋体"/>
                <w:sz w:val="21"/>
              </w:rPr>
              <w:t>5.38</w:t>
            </w:r>
          </w:p>
        </w:tc>
      </w:tr>
      <w:tr>
        <w:tc>
          <w:tcPr>
            <w:tcW w:type="dxa" w:w="2126"/>
            <w:vAlign w:val="center"/>
          </w:tcPr>
          <w:p>
            <w:pPr>
              <w:spacing w:line="240" w:lineRule="auto" w:after="20" w:before="20"/>
              <w:jc w:val="left"/>
            </w:pPr>
            <w:r/>
            <w:r>
              <w:rPr>
                <w:rFonts w:ascii="宋体" w:hAnsi="宋体" w:eastAsia="宋体"/>
                <w:sz w:val="21"/>
              </w:rPr>
              <w:t>（被解释变量：lnY）</w:t>
            </w:r>
          </w:p>
        </w:tc>
        <w:tc>
          <w:tcPr>
            <w:tcW w:type="dxa" w:w="2126"/>
            <w:vAlign w:val="center"/>
          </w:tcPr>
          <w:p>
            <w:pPr>
              <w:spacing w:line="240" w:lineRule="auto" w:after="20" w:before="20"/>
              <w:jc w:val="left"/>
            </w:pPr>
            <w:r/>
            <w:r>
              <w:rPr>
                <w:rFonts w:ascii="宋体" w:hAnsi="宋体" w:eastAsia="宋体"/>
                <w:sz w:val="21"/>
              </w:rPr>
              <w:t>lnX2（监管经费）</w:t>
            </w:r>
          </w:p>
        </w:tc>
        <w:tc>
          <w:tcPr>
            <w:tcW w:type="dxa" w:w="2126"/>
            <w:vAlign w:val="center"/>
          </w:tcPr>
          <w:p>
            <w:pPr>
              <w:spacing w:line="240" w:lineRule="auto" w:after="20" w:before="20"/>
              <w:jc w:val="center"/>
            </w:pPr>
            <w:r/>
            <w:r>
              <w:rPr>
                <w:rFonts w:ascii="宋体" w:hAnsi="宋体" w:eastAsia="宋体"/>
                <w:sz w:val="21"/>
              </w:rPr>
              <w:t>0.187***</w:t>
              <w:br/>
              <w:t>(0.049)</w:t>
            </w:r>
          </w:p>
        </w:tc>
        <w:tc>
          <w:tcPr>
            <w:tcW w:type="dxa" w:w="2126"/>
            <w:vAlign w:val="center"/>
          </w:tcPr>
          <w:p>
            <w:pPr>
              <w:spacing w:line="240" w:lineRule="auto" w:after="20" w:before="20"/>
              <w:jc w:val="center"/>
            </w:pPr>
            <w:r/>
            <w:r>
              <w:rPr>
                <w:rFonts w:ascii="宋体" w:hAnsi="宋体" w:eastAsia="宋体"/>
                <w:sz w:val="21"/>
              </w:rPr>
              <w:t>3.82</w:t>
            </w:r>
          </w:p>
        </w:tc>
      </w:tr>
      <w:tr>
        <w:tc>
          <w:tcPr>
            <w:tcW w:type="dxa" w:w="2126"/>
            <w:vAlign w:val="center"/>
          </w:tcPr>
          <w:p>
            <w:pPr>
              <w:spacing w:line="240" w:lineRule="auto" w:after="20" w:before="20"/>
              <w:jc w:val="left"/>
            </w:pPr>
            <w:r/>
          </w:p>
        </w:tc>
        <w:tc>
          <w:tcPr>
            <w:tcW w:type="dxa" w:w="2126"/>
            <w:vAlign w:val="center"/>
          </w:tcPr>
          <w:p>
            <w:pPr>
              <w:spacing w:line="240" w:lineRule="auto" w:after="20" w:before="20"/>
              <w:jc w:val="left"/>
            </w:pPr>
            <w:r/>
            <w:r>
              <w:rPr>
                <w:rFonts w:ascii="宋体" w:hAnsi="宋体" w:eastAsia="宋体"/>
                <w:sz w:val="21"/>
              </w:rPr>
              <w:t>lnX3（执法人员）</w:t>
            </w:r>
          </w:p>
        </w:tc>
        <w:tc>
          <w:tcPr>
            <w:tcW w:type="dxa" w:w="2126"/>
            <w:vAlign w:val="center"/>
          </w:tcPr>
          <w:p>
            <w:pPr>
              <w:spacing w:line="240" w:lineRule="auto" w:after="20" w:before="20"/>
              <w:jc w:val="center"/>
            </w:pPr>
            <w:r/>
            <w:r>
              <w:rPr>
                <w:rFonts w:ascii="宋体" w:hAnsi="宋体" w:eastAsia="宋体"/>
                <w:sz w:val="21"/>
              </w:rPr>
              <w:t>0.094**</w:t>
              <w:br/>
              <w:t>(0.041)</w:t>
            </w:r>
          </w:p>
        </w:tc>
        <w:tc>
          <w:tcPr>
            <w:tcW w:type="dxa" w:w="2126"/>
            <w:vAlign w:val="center"/>
          </w:tcPr>
          <w:p>
            <w:pPr>
              <w:spacing w:line="240" w:lineRule="auto" w:after="20" w:before="20"/>
              <w:jc w:val="center"/>
            </w:pPr>
            <w:r/>
            <w:r>
              <w:rPr>
                <w:rFonts w:ascii="宋体" w:hAnsi="宋体" w:eastAsia="宋体"/>
                <w:sz w:val="21"/>
              </w:rPr>
              <w:t>2.29</w:t>
            </w:r>
          </w:p>
        </w:tc>
      </w:tr>
      <w:tr>
        <w:tc>
          <w:tcPr>
            <w:tcW w:type="dxa" w:w="2126"/>
            <w:vAlign w:val="center"/>
          </w:tcPr>
          <w:p>
            <w:pPr>
              <w:spacing w:line="240" w:lineRule="auto" w:after="20" w:before="20"/>
              <w:jc w:val="left"/>
            </w:pPr>
            <w:r/>
          </w:p>
        </w:tc>
        <w:tc>
          <w:tcPr>
            <w:tcW w:type="dxa" w:w="2126"/>
            <w:vAlign w:val="center"/>
          </w:tcPr>
          <w:p>
            <w:pPr>
              <w:spacing w:line="240" w:lineRule="auto" w:after="20" w:before="20"/>
              <w:jc w:val="left"/>
            </w:pPr>
            <w:r/>
            <w:r>
              <w:rPr>
                <w:rFonts w:ascii="宋体" w:hAnsi="宋体" w:eastAsia="宋体"/>
                <w:sz w:val="21"/>
              </w:rPr>
              <w:t>环境控制变量Z</w:t>
            </w:r>
          </w:p>
        </w:tc>
        <w:tc>
          <w:tcPr>
            <w:tcW w:type="dxa" w:w="2126"/>
            <w:vAlign w:val="center"/>
          </w:tcPr>
          <w:p>
            <w:pPr>
              <w:spacing w:line="240" w:lineRule="auto" w:after="20" w:before="20"/>
              <w:jc w:val="center"/>
            </w:pPr>
            <w:r/>
            <w:r>
              <w:rPr>
                <w:rFonts w:ascii="宋体" w:hAnsi="宋体" w:eastAsia="宋体"/>
                <w:sz w:val="21"/>
              </w:rPr>
              <w:t>控制</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r>
              <w:rPr>
                <w:rFonts w:ascii="宋体" w:hAnsi="宋体" w:eastAsia="宋体"/>
                <w:sz w:val="21"/>
              </w:rPr>
              <w:t>非效率均值方程</w:t>
            </w:r>
          </w:p>
        </w:tc>
        <w:tc>
          <w:tcPr>
            <w:tcW w:type="dxa" w:w="2126"/>
            <w:vAlign w:val="center"/>
          </w:tcPr>
          <w:p>
            <w:pPr>
              <w:spacing w:line="240" w:lineRule="auto" w:after="20" w:before="20"/>
              <w:jc w:val="left"/>
            </w:pPr>
            <w:r/>
            <w:r>
              <w:rPr>
                <w:rFonts w:ascii="宋体" w:hAnsi="宋体" w:eastAsia="宋体"/>
                <w:sz w:val="21"/>
              </w:rPr>
              <w:t>SCI（标准完整性）</w:t>
            </w:r>
          </w:p>
        </w:tc>
        <w:tc>
          <w:tcPr>
            <w:tcW w:type="dxa" w:w="2126"/>
            <w:vAlign w:val="center"/>
          </w:tcPr>
          <w:p>
            <w:pPr>
              <w:spacing w:line="240" w:lineRule="auto" w:after="20" w:before="20"/>
              <w:jc w:val="center"/>
            </w:pPr>
            <w:r/>
            <w:r>
              <w:rPr>
                <w:rFonts w:ascii="宋体" w:hAnsi="宋体" w:eastAsia="宋体"/>
                <w:sz w:val="21"/>
              </w:rPr>
              <w:t>-0.428***</w:t>
              <w:br/>
              <w:t>(0.092)</w:t>
            </w:r>
          </w:p>
        </w:tc>
        <w:tc>
          <w:tcPr>
            <w:tcW w:type="dxa" w:w="2126"/>
            <w:vAlign w:val="center"/>
          </w:tcPr>
          <w:p>
            <w:pPr>
              <w:spacing w:line="240" w:lineRule="auto" w:after="20" w:before="20"/>
              <w:jc w:val="center"/>
            </w:pPr>
            <w:r/>
            <w:r>
              <w:rPr>
                <w:rFonts w:ascii="宋体" w:hAnsi="宋体" w:eastAsia="宋体"/>
                <w:sz w:val="21"/>
              </w:rPr>
              <w:t>-4.65</w:t>
            </w:r>
          </w:p>
        </w:tc>
      </w:tr>
      <w:tr>
        <w:tc>
          <w:tcPr>
            <w:tcW w:type="dxa" w:w="2126"/>
            <w:vAlign w:val="center"/>
          </w:tcPr>
          <w:p>
            <w:pPr>
              <w:spacing w:line="240" w:lineRule="auto" w:after="20" w:before="20"/>
              <w:jc w:val="left"/>
            </w:pPr>
            <w:r/>
            <w:r>
              <w:rPr>
                <w:rFonts w:ascii="宋体" w:hAnsi="宋体" w:eastAsia="宋体"/>
                <w:sz w:val="21"/>
              </w:rPr>
              <w:t>（被解释变量：μ）</w:t>
            </w:r>
          </w:p>
        </w:tc>
        <w:tc>
          <w:tcPr>
            <w:tcW w:type="dxa" w:w="2126"/>
            <w:vAlign w:val="center"/>
          </w:tcPr>
          <w:p>
            <w:pPr>
              <w:spacing w:line="240" w:lineRule="auto" w:after="20" w:before="20"/>
              <w:jc w:val="left"/>
            </w:pPr>
            <w:r/>
            <w:r>
              <w:rPr>
                <w:rFonts w:ascii="宋体" w:hAnsi="宋体" w:eastAsia="宋体"/>
                <w:sz w:val="21"/>
              </w:rPr>
              <w:t>INC（激励强度）</w:t>
            </w:r>
          </w:p>
        </w:tc>
        <w:tc>
          <w:tcPr>
            <w:tcW w:type="dxa" w:w="2126"/>
            <w:vAlign w:val="center"/>
          </w:tcPr>
          <w:p>
            <w:pPr>
              <w:spacing w:line="240" w:lineRule="auto" w:after="20" w:before="20"/>
              <w:jc w:val="center"/>
            </w:pPr>
            <w:r/>
            <w:r>
              <w:rPr>
                <w:rFonts w:ascii="宋体" w:hAnsi="宋体" w:eastAsia="宋体"/>
                <w:sz w:val="21"/>
              </w:rPr>
              <w:t>-0.365***</w:t>
              <w:br/>
              <w:t>(0.087)</w:t>
            </w:r>
          </w:p>
        </w:tc>
        <w:tc>
          <w:tcPr>
            <w:tcW w:type="dxa" w:w="2126"/>
            <w:vAlign w:val="center"/>
          </w:tcPr>
          <w:p>
            <w:pPr>
              <w:spacing w:line="240" w:lineRule="auto" w:after="20" w:before="20"/>
              <w:jc w:val="center"/>
            </w:pPr>
            <w:r/>
            <w:r>
              <w:rPr>
                <w:rFonts w:ascii="宋体" w:hAnsi="宋体" w:eastAsia="宋体"/>
                <w:sz w:val="21"/>
              </w:rPr>
              <w:t>-4.20</w:t>
            </w:r>
          </w:p>
        </w:tc>
      </w:tr>
      <w:tr>
        <w:tc>
          <w:tcPr>
            <w:tcW w:type="dxa" w:w="2126"/>
            <w:vAlign w:val="center"/>
          </w:tcPr>
          <w:p>
            <w:pPr>
              <w:spacing w:line="240" w:lineRule="auto" w:after="20" w:before="20"/>
              <w:jc w:val="left"/>
            </w:pPr>
            <w:r/>
          </w:p>
        </w:tc>
        <w:tc>
          <w:tcPr>
            <w:tcW w:type="dxa" w:w="2126"/>
            <w:vAlign w:val="center"/>
          </w:tcPr>
          <w:p>
            <w:pPr>
              <w:spacing w:line="240" w:lineRule="auto" w:after="20" w:before="20"/>
              <w:jc w:val="left"/>
            </w:pPr>
            <w:r/>
            <w:r>
              <w:rPr>
                <w:rFonts w:ascii="宋体" w:hAnsi="宋体" w:eastAsia="宋体"/>
                <w:sz w:val="21"/>
              </w:rPr>
              <w:t>CDE（协调效率）</w:t>
            </w:r>
          </w:p>
        </w:tc>
        <w:tc>
          <w:tcPr>
            <w:tcW w:type="dxa" w:w="2126"/>
            <w:vAlign w:val="center"/>
          </w:tcPr>
          <w:p>
            <w:pPr>
              <w:spacing w:line="240" w:lineRule="auto" w:after="20" w:before="20"/>
              <w:jc w:val="center"/>
            </w:pPr>
            <w:r/>
            <w:r>
              <w:rPr>
                <w:rFonts w:ascii="宋体" w:hAnsi="宋体" w:eastAsia="宋体"/>
                <w:sz w:val="21"/>
              </w:rPr>
              <w:t>-0.291***</w:t>
              <w:br/>
              <w:t>(0.079)</w:t>
            </w:r>
          </w:p>
        </w:tc>
        <w:tc>
          <w:tcPr>
            <w:tcW w:type="dxa" w:w="2126"/>
            <w:vAlign w:val="center"/>
          </w:tcPr>
          <w:p>
            <w:pPr>
              <w:spacing w:line="240" w:lineRule="auto" w:after="20" w:before="20"/>
              <w:jc w:val="center"/>
            </w:pPr>
            <w:r/>
            <w:r>
              <w:rPr>
                <w:rFonts w:ascii="宋体" w:hAnsi="宋体" w:eastAsia="宋体"/>
                <w:sz w:val="21"/>
              </w:rPr>
              <w:t>-3.68</w:t>
            </w:r>
          </w:p>
        </w:tc>
      </w:tr>
      <w:tr>
        <w:tc>
          <w:tcPr>
            <w:tcW w:type="dxa" w:w="2126"/>
            <w:vAlign w:val="center"/>
          </w:tcPr>
          <w:p>
            <w:pPr>
              <w:spacing w:line="240" w:lineRule="auto" w:after="20" w:before="20"/>
              <w:jc w:val="left"/>
            </w:pPr>
            <w:r/>
          </w:p>
        </w:tc>
        <w:tc>
          <w:tcPr>
            <w:tcW w:type="dxa" w:w="2126"/>
            <w:vAlign w:val="center"/>
          </w:tcPr>
          <w:p>
            <w:pPr>
              <w:spacing w:line="240" w:lineRule="auto" w:after="20" w:before="20"/>
              <w:jc w:val="left"/>
            </w:pPr>
            <w:r/>
            <w:r>
              <w:rPr>
                <w:rFonts w:ascii="宋体" w:hAnsi="宋体" w:eastAsia="宋体"/>
                <w:sz w:val="21"/>
              </w:rPr>
              <w:t>控制变量W</w:t>
            </w:r>
          </w:p>
        </w:tc>
        <w:tc>
          <w:tcPr>
            <w:tcW w:type="dxa" w:w="2126"/>
            <w:vAlign w:val="center"/>
          </w:tcPr>
          <w:p>
            <w:pPr>
              <w:spacing w:line="240" w:lineRule="auto" w:after="20" w:before="20"/>
              <w:jc w:val="center"/>
            </w:pPr>
            <w:r/>
            <w:r>
              <w:rPr>
                <w:rFonts w:ascii="宋体" w:hAnsi="宋体" w:eastAsia="宋体"/>
                <w:sz w:val="21"/>
              </w:rPr>
              <w:t>控制</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r>
              <w:rPr>
                <w:rFonts w:ascii="宋体" w:hAnsi="宋体" w:eastAsia="宋体"/>
                <w:sz w:val="21"/>
              </w:rPr>
              <w:t>方差结构</w:t>
            </w:r>
          </w:p>
        </w:tc>
        <w:tc>
          <w:tcPr>
            <w:tcW w:type="dxa" w:w="2126"/>
            <w:vAlign w:val="center"/>
          </w:tcPr>
          <w:p>
            <w:pPr>
              <w:spacing w:line="240" w:lineRule="auto" w:after="20" w:before="20"/>
              <w:jc w:val="left"/>
            </w:pPr>
            <w:r/>
            <w:r>
              <w:rPr>
                <w:rFonts w:ascii="宋体" w:hAnsi="宋体" w:eastAsia="宋体"/>
                <w:sz w:val="21"/>
              </w:rPr>
              <w:t>γ</w:t>
            </w:r>
          </w:p>
        </w:tc>
        <w:tc>
          <w:tcPr>
            <w:tcW w:type="dxa" w:w="2126"/>
            <w:vAlign w:val="center"/>
          </w:tcPr>
          <w:p>
            <w:pPr>
              <w:spacing w:line="240" w:lineRule="auto" w:after="20" w:before="20"/>
              <w:jc w:val="center"/>
            </w:pPr>
            <w:r/>
            <w:r>
              <w:rPr>
                <w:rFonts w:ascii="宋体" w:hAnsi="宋体" w:eastAsia="宋体"/>
                <w:sz w:val="21"/>
              </w:rPr>
              <w:t>0.83</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p>
        </w:tc>
        <w:tc>
          <w:tcPr>
            <w:tcW w:type="dxa" w:w="2126"/>
            <w:vAlign w:val="center"/>
          </w:tcPr>
          <w:p>
            <w:pPr>
              <w:spacing w:line="240" w:lineRule="auto" w:after="20" w:before="20"/>
              <w:jc w:val="left"/>
            </w:pPr>
            <w:r/>
            <w:r>
              <w:rPr>
                <w:rFonts w:ascii="宋体" w:hAnsi="宋体" w:eastAsia="宋体"/>
                <w:sz w:val="21"/>
              </w:rPr>
              <w:t>LR统计量</w:t>
            </w:r>
          </w:p>
        </w:tc>
        <w:tc>
          <w:tcPr>
            <w:tcW w:type="dxa" w:w="2126"/>
            <w:vAlign w:val="center"/>
          </w:tcPr>
          <w:p>
            <w:pPr>
              <w:spacing w:line="240" w:lineRule="auto" w:after="20" w:before="20"/>
              <w:jc w:val="center"/>
            </w:pPr>
            <w:r/>
            <w:r>
              <w:rPr>
                <w:rFonts w:ascii="宋体" w:hAnsi="宋体" w:eastAsia="宋体"/>
                <w:sz w:val="21"/>
              </w:rPr>
              <w:t>86.4</w:t>
            </w:r>
          </w:p>
        </w:tc>
        <w:tc>
          <w:tcPr>
            <w:tcW w:type="dxa" w:w="2126"/>
            <w:vAlign w:val="center"/>
          </w:tcPr>
          <w:p>
            <w:pPr>
              <w:spacing w:line="240" w:lineRule="auto" w:after="20" w:before="20"/>
              <w:jc w:val="center"/>
            </w:pPr>
            <w:r/>
          </w:p>
        </w:tc>
      </w:tr>
      <w:tr>
        <w:tc>
          <w:tcPr>
            <w:tcW w:type="dxa" w:w="2126"/>
            <w:vAlign w:val="center"/>
          </w:tcPr>
          <w:p>
            <w:pPr>
              <w:spacing w:line="240" w:lineRule="auto" w:after="20" w:before="20"/>
              <w:jc w:val="left"/>
            </w:pPr>
            <w:r/>
          </w:p>
        </w:tc>
        <w:tc>
          <w:tcPr>
            <w:tcW w:type="dxa" w:w="2126"/>
            <w:vAlign w:val="center"/>
          </w:tcPr>
          <w:p>
            <w:pPr>
              <w:spacing w:line="240" w:lineRule="auto" w:after="20" w:before="20"/>
              <w:jc w:val="left"/>
            </w:pPr>
            <w:r/>
            <w:r>
              <w:rPr>
                <w:rFonts w:ascii="宋体" w:hAnsi="宋体" w:eastAsia="宋体"/>
                <w:sz w:val="21"/>
              </w:rPr>
              <w:t>样本量</w:t>
            </w:r>
          </w:p>
        </w:tc>
        <w:tc>
          <w:tcPr>
            <w:tcW w:type="dxa" w:w="2126"/>
            <w:vAlign w:val="center"/>
          </w:tcPr>
          <w:p>
            <w:pPr>
              <w:spacing w:line="240" w:lineRule="auto" w:after="20" w:before="20"/>
              <w:jc w:val="center"/>
            </w:pPr>
            <w:r/>
            <w:r>
              <w:rPr>
                <w:rFonts w:ascii="宋体" w:hAnsi="宋体" w:eastAsia="宋体"/>
                <w:sz w:val="21"/>
              </w:rPr>
              <w:t>480</w:t>
            </w:r>
          </w:p>
        </w:tc>
        <w:tc>
          <w:tcPr>
            <w:tcW w:type="dxa" w:w="2126"/>
            <w:vAlign w:val="center"/>
          </w:tcPr>
          <w:p>
            <w:pPr>
              <w:spacing w:line="240" w:lineRule="auto" w:after="20" w:before="20"/>
              <w:jc w:val="center"/>
            </w:pPr>
            <w:r/>
          </w:p>
        </w:tc>
      </w:tr>
    </w:tbl>
    <w:p>
      <w:pPr>
        <w:spacing w:after="200" w:line="240" w:lineRule="auto"/>
      </w:pPr>
      <w:r>
        <w:rPr>
          <w:rFonts w:ascii="宋体" w:hAnsi="宋体" w:eastAsia="宋体"/>
          <w:sz w:val="18"/>
        </w:rPr>
        <w:t>注：括号内为标准误；*</w:t>
      </w:r>
      <w:r>
        <w:rPr>
          <w:rFonts w:ascii="宋体" w:hAnsi="宋体" w:eastAsia="宋体"/>
          <w:b/>
          <w:sz w:val="18"/>
        </w:rPr>
        <w:t>、</w:t>
      </w:r>
      <w:r>
        <w:rPr>
          <w:rFonts w:ascii="宋体" w:hAnsi="宋体" w:eastAsia="宋体"/>
          <w:sz w:val="18"/>
        </w:rPr>
        <w:t>分别表示在1%、5%的水平上显著；γ=σ</w:t>
      </w:r>
      <w:r>
        <w:rPr>
          <w:rFonts w:ascii="宋体" w:hAnsi="宋体" w:eastAsia="宋体"/>
          <w:sz w:val="18"/>
          <w:vertAlign w:val="subscript"/>
        </w:rPr>
        <w:t>u</w:t>
      </w:r>
      <w:r>
        <w:rPr>
          <w:rFonts w:ascii="宋体" w:hAnsi="宋体" w:eastAsia="宋体"/>
          <w:sz w:val="18"/>
          <w:vertAlign w:val="superscript"/>
        </w:rPr>
        <w:t>2</w:t>
      </w:r>
      <w:r>
        <w:rPr>
          <w:rFonts w:ascii="宋体" w:hAnsi="宋体" w:eastAsia="宋体"/>
          <w:sz w:val="18"/>
        </w:rPr>
        <w:t>/σ</w:t>
      </w:r>
      <w:r>
        <w:rPr>
          <w:rFonts w:ascii="宋体" w:hAnsi="宋体" w:eastAsia="宋体"/>
          <w:sz w:val="18"/>
          <w:vertAlign w:val="superscript"/>
        </w:rPr>
        <w:t>2</w:t>
      </w:r>
      <w:r>
        <w:rPr>
          <w:rFonts w:ascii="宋体" w:hAnsi="宋体" w:eastAsia="宋体"/>
          <w:sz w:val="18"/>
        </w:rPr>
        <w:t>，LR为对“γ=0且λ1=λ2=λ3=0”联合原假设的广义似然比统计量，服从混合卡方分布；常数项估计从略。数据来源：本书SFA模型估计结果。</w:t>
      </w:r>
    </w:p>
    <w:p>
      <w:pPr>
        <w:spacing w:line="360" w:lineRule="auto" w:after="0"/>
        <w:ind w:firstLineChars="200" w:firstLine="480"/>
        <w:jc w:val="both"/>
      </w:pPr>
      <w:r>
        <w:rPr>
          <w:rFonts w:ascii="宋体" w:hAnsi="宋体" w:eastAsia="宋体"/>
          <w:sz w:val="24"/>
        </w:rPr>
        <w:t>前沿参数刻画执行资源的边际产出。标准供给量的弹性为0.312，在1%水平上显著，为三类投入中最大，占三项弹性合计的52.6%：省域适用标准存量每增加1%，减排绩效约提高0.31%。标准是执行的“工具箱”，工具箱的扩容直接拓展绩效前沿，这一弹性居首的格局与标准体系作为减排制度基础设施的定位相吻合（Swann，2010）。监管经费的弹性为0.187，同样在1%水平上显著：经费投入支撑监测核查、能力培训与实施推广，是把标准文本转化为现场行为的物质保障。</w:t>
      </w:r>
    </w:p>
    <w:p>
      <w:pPr>
        <w:spacing w:line="360" w:lineRule="auto" w:after="0"/>
        <w:ind w:firstLineChars="200" w:firstLine="480"/>
        <w:jc w:val="both"/>
      </w:pPr>
      <w:r>
        <w:rPr>
          <w:rFonts w:ascii="宋体" w:hAnsi="宋体" w:eastAsia="宋体"/>
          <w:sz w:val="24"/>
        </w:rPr>
        <w:t>执法人员的弹性为0.094，量级最小且仅在5%水平上显著。这一结果并不意味着执法不重要，而是提示执行效能对“人海战术”的依赖正在下降：随着在线监测、能耗大数据与远程核查手段的普及，执法的边际贡献更多取决于制度设计与技术装备而非人员数量，与环境规制文献中“规制质量重于规制强度”的判断一致（Porter和van der Linde，1995；Dechezleprêtre和Sato，2017）。进一步看，三项弹性合计为0.593，显著小于1，执行资源呈规模报酬递减。其政策含义是清醒的：单纯堆砌标准数量、追加经费编制的外延式执行模式空间有限，绩效提升的主要出路不在“多投入”，而在“高效率”——这恰恰凸显了效率决定因素分析的政策价值（杨豪等，2023）。</w:t>
      </w:r>
    </w:p>
    <w:p>
      <w:pPr>
        <w:keepNext/>
        <w:spacing w:before="160" w:after="120" w:line="360" w:lineRule="auto"/>
        <w:outlineLvl w:val="2"/>
      </w:pPr>
      <w:r>
        <w:rPr>
          <w:rFonts w:ascii="黑体" w:hAnsi="黑体" w:eastAsia="黑体"/>
          <w:sz w:val="24"/>
        </w:rPr>
        <w:t>11.4.2  执行效率的决定因素</w:t>
      </w:r>
    </w:p>
    <w:p>
      <w:pPr>
        <w:spacing w:line="360" w:lineRule="auto" w:after="0"/>
        <w:ind w:firstLineChars="200" w:firstLine="480"/>
        <w:jc w:val="both"/>
      </w:pPr>
      <w:r>
        <w:rPr>
          <w:rFonts w:ascii="宋体" w:hAnsi="宋体" w:eastAsia="宋体"/>
          <w:sz w:val="24"/>
        </w:rPr>
        <w:t>表11.2下半部分报告效率均值方程的估计结果。三个决定因素的系数全部为负且均在1%水平上显著，与11.2.2节的理论预期完全一致；量级排序为SCI（-0.428）、INC（-0.365）、CDE（-0.291），即标准完整性的效率贡献最大，激励强度次之，协调效率再次。由于三个指数均经标准化，系数可直接比较：这一排序本身就是重要的政策信息，它给出了执行体制改革的优先序。以下逐一解读。</w:t>
      </w:r>
    </w:p>
    <w:p>
      <w:pPr>
        <w:spacing w:line="360" w:lineRule="auto" w:after="0"/>
        <w:ind w:firstLineChars="200" w:firstLine="480"/>
        <w:jc w:val="both"/>
      </w:pPr>
      <w:r>
        <w:rPr>
          <w:rFonts w:ascii="宋体" w:hAnsi="宋体" w:eastAsia="宋体"/>
          <w:sz w:val="24"/>
        </w:rPr>
        <w:t>标准完整性的系数为-0.428：完整性指数每提高一个标准差，无效率均值下降0.428。在三因素中居首的量级表明，对执行效率而言，标准体系“成龙配套”比标准数量“多多益善”更重要。其机理在于执行链条的互补性：碳排放核算标准是碳足迹认证的输入，认证结果是绿色金融识别的依据，碳吸收标准是抵销机制的计量基础——任何一环缺失，整条链条的执行都会折损。第8章的测算已经显示，碳吸收模块的供需缺口在五大模块中最大，碳足迹与绿色金融模块次之；本节的系数估计从效率端印证了同一判断：结构性缺口不仅是供给问题，更直接转化为执行效率的损失。这也再次论证了第9章将“横向补短板”置于体系架构核心任务的必要性（国家标准化管理委员会等，2023）。</w:t>
      </w:r>
    </w:p>
    <w:p>
      <w:pPr>
        <w:spacing w:line="360" w:lineRule="auto" w:after="0"/>
        <w:ind w:firstLineChars="200" w:firstLine="480"/>
        <w:jc w:val="both"/>
      </w:pPr>
      <w:r>
        <w:rPr>
          <w:rFonts w:ascii="宋体" w:hAnsi="宋体" w:eastAsia="宋体"/>
          <w:sz w:val="24"/>
        </w:rPr>
        <w:t>激励强度的系数为-0.365，量级紧随其后。这是第7章激励相容逻辑在执行环节的经验再现：当碳市场把配额履约与真金白银挂钩、当绿色信贷把标准符合性与融资成本挂钩、当双控考核把碳绩效与地方政绩挂钩，标准遵从就从外部强制转化为主体自利，执行由“要我做”变为“我要做”。中国碳市场试点的微观证据早已表明，市场激励与行政推动的协同是减排成效的关键（Cui等，2021；吴茵茵等，2021）；本节系数以省级面板证据将这一结论从碳市场推广到整个标准执行领域。反之，激励缺位时执行退化为运动式检查，抽查一阵紧一阵松，绩效自然大打折扣。</w:t>
      </w:r>
    </w:p>
    <w:p>
      <w:pPr>
        <w:spacing w:line="360" w:lineRule="auto" w:after="0"/>
        <w:ind w:firstLineChars="200" w:firstLine="480"/>
        <w:jc w:val="both"/>
      </w:pPr>
      <w:r>
        <w:rPr>
          <w:rFonts w:ascii="宋体" w:hAnsi="宋体" w:eastAsia="宋体"/>
          <w:sz w:val="24"/>
        </w:rPr>
        <w:t>协调效率的系数为-0.291，量级最小但依然显著。协调之所以独立于供给与激励而发挥作用，在于标准执行天然是跨部门事务：标准由标准化主管部门归口，计量核查涉及市场监管，排放数据归生态环境，绿色金融归金融管理部门——口径不一、重复认证、数据壁垒都会抬高企业合规与政府监管的交易成本。协调效率高的省份把标准、计量、认证、执法“拧成一股绳”，同样的资源投入产出更高的执行绩效。这与国际经验一致：标准协调本身即能产生可观的贸易与效率收益（侯俊军等，2025）。三个系数的相对量级，将在11.6节转化为损耗分解的参数基础。</w:t>
      </w:r>
    </w:p>
    <w:p>
      <w:pPr>
        <w:keepNext/>
        <w:spacing w:before="160" w:after="120" w:line="360" w:lineRule="auto"/>
        <w:outlineLvl w:val="1"/>
      </w:pPr>
      <w:r>
        <w:rPr>
          <w:rFonts w:ascii="黑体" w:hAnsi="黑体" w:eastAsia="黑体"/>
          <w:sz w:val="28"/>
        </w:rPr>
        <w:t>11.5  执行效率的时空格局</w:t>
      </w:r>
    </w:p>
    <w:p>
      <w:pPr>
        <w:keepNext/>
        <w:spacing w:before="160" w:after="120" w:line="360" w:lineRule="auto"/>
        <w:outlineLvl w:val="2"/>
      </w:pPr>
      <w:r>
        <w:rPr>
          <w:rFonts w:ascii="黑体" w:hAnsi="黑体" w:eastAsia="黑体"/>
          <w:sz w:val="24"/>
        </w:rPr>
        <w:t>11.5.1  总体演化：稳步上行的执行效率</w:t>
      </w:r>
    </w:p>
    <w:p>
      <w:pPr>
        <w:spacing w:line="360" w:lineRule="auto" w:after="0"/>
        <w:ind w:firstLineChars="200" w:firstLine="480"/>
        <w:jc w:val="both"/>
      </w:pPr>
      <w:r>
        <w:rPr>
          <w:rFonts w:ascii="宋体" w:hAnsi="宋体" w:eastAsia="宋体"/>
          <w:sz w:val="24"/>
        </w:rPr>
        <w:t>依式(11-10)逐观测预测执行效率，全国均值由2010年的0.612升至2025年的0.734，16年提高0.122，增幅19.9%；对应的政策有效性损失由0.388降至0.266，降幅31.4%。分段看，2010—2015年、2015—2020年、2020—2025年三个五年段的效率增量分别为0.043、0.039、0.040，年均提升约0.008，呈现前段较快、中段略缓、后段回稳的平稳抬升轨迹。执行能力是典型的慢变量——制度建设、队伍建设、数据基础、企业认知都需要时间积累，效率曲线不会像标准数量那样跳跃。尤其值得注意的是2020年之后：“双碳”宣示带来标准存量爆发式扩张，前沿本身快速外移，效率作为“实际与前沿之比”的分母被持续抬高；在此背景下效率不降反升、增量还略高于上一个五年段，说明执行体系的进步跑赢了任务扩张，全国碳市场启动、双控转型与标准体系建设指南实施等制度供给功不可没（张希良等，2021；袁惊柱，2025）。</w:t>
      </w:r>
    </w:p>
    <w:p>
      <w:pPr>
        <w:spacing w:line="360" w:lineRule="auto" w:after="0"/>
        <w:ind w:firstLineChars="200" w:firstLine="480"/>
        <w:jc w:val="both"/>
      </w:pPr>
      <w:r>
        <w:rPr>
          <w:rFonts w:ascii="宋体" w:hAnsi="宋体" w:eastAsia="宋体"/>
          <w:sz w:val="24"/>
        </w:rPr>
        <w:t>图11.2以核密度曲线呈现省际效率分布的动态。由图11.2可见，2010、2015、2020、2025四个年份的密度曲线整体持续右移，主峰位置由约0.61移至约0.73，均值累计提高0.122。左尾的变化尤具信息量：2010年分布在0.5以下仍有可观的概率质量，意味着当年相当一部分省份的执行折损过半；至2025年，左尾已基本移出0.5以下区间，最低效率省份的绝对水平也在切实改善。同时应当看到，分布形态未见明显收窄，四条曲线的展布大体相当，说明省际效率差距的收敛远弱于水平的提升——过去16年的效率改进更接近“整体抬升”而非“后进赶超”，区域间的相对格局具有很强的粘性。这一粘性从何而来、结构如何，正是下文区域分析要回答的问题。</w:t>
      </w:r>
    </w:p>
    <w:p>
      <w:pPr>
        <w:spacing w:before="120" w:after="40"/>
        <w:jc w:val="center"/>
      </w:pPr>
      <w:r>
        <w:drawing>
          <wp:inline xmlns:a="http://schemas.openxmlformats.org/drawingml/2006/main" xmlns:pic="http://schemas.openxmlformats.org/drawingml/2006/picture">
            <wp:extent cx="4860000" cy="2873130"/>
            <wp:docPr id="37" name="Picture 37"/>
            <wp:cNvGraphicFramePr>
              <a:graphicFrameLocks noChangeAspect="1"/>
            </wp:cNvGraphicFramePr>
            <a:graphic>
              <a:graphicData uri="http://schemas.openxmlformats.org/drawingml/2006/picture">
                <pic:pic>
                  <pic:nvPicPr>
                    <pic:cNvPr id="0" name="fig11_2.png"/>
                    <pic:cNvPicPr/>
                  </pic:nvPicPr>
                  <pic:blipFill>
                    <a:blip r:embed="rId45"/>
                    <a:stretch>
                      <a:fillRect/>
                    </a:stretch>
                  </pic:blipFill>
                  <pic:spPr>
                    <a:xfrm>
                      <a:off x="0" y="0"/>
                      <a:ext cx="4860000" cy="2873130"/>
                    </a:xfrm>
                    <a:prstGeom prst="rect"/>
                  </pic:spPr>
                </pic:pic>
              </a:graphicData>
            </a:graphic>
          </wp:inline>
        </w:drawing>
      </w:r>
    </w:p>
    <w:p>
      <w:pPr>
        <w:keepNext w:val="0"/>
        <w:spacing w:after="200"/>
        <w:jc w:val="center"/>
      </w:pPr>
      <w:r>
        <w:rPr>
          <w:rFonts w:ascii="黑体" w:hAnsi="黑体" w:eastAsia="黑体"/>
          <w:sz w:val="21"/>
        </w:rPr>
        <w:t>图11.2  标准执行效率TE的核密度演化（2010/2015/2020/2025）</w:t>
      </w:r>
    </w:p>
    <w:p>
      <w:pPr>
        <w:keepNext/>
        <w:spacing w:before="160" w:after="120" w:line="360" w:lineRule="auto"/>
        <w:outlineLvl w:val="2"/>
      </w:pPr>
      <w:r>
        <w:rPr>
          <w:rFonts w:ascii="黑体" w:hAnsi="黑体" w:eastAsia="黑体"/>
          <w:sz w:val="24"/>
        </w:rPr>
        <w:t>11.5.2  区域格局：东中西梯度与省际分化</w:t>
      </w:r>
    </w:p>
    <w:p>
      <w:pPr>
        <w:spacing w:line="360" w:lineRule="auto" w:after="0"/>
        <w:ind w:firstLineChars="200" w:firstLine="480"/>
        <w:jc w:val="both"/>
      </w:pPr>
      <w:r>
        <w:rPr>
          <w:rFonts w:ascii="宋体" w:hAnsi="宋体" w:eastAsia="宋体"/>
          <w:sz w:val="24"/>
        </w:rPr>
        <w:t>2025年，东部、中部、西部的执行效率均值分别为0.78、0.71、0.65，呈清晰的东中西阶梯：东部高于中部0.07，中部高于西部0.06，东西差距达0.13——与全国16年的效率总提升（0.122）大体相当，即空间差距与时间进步处于同一量级，区域再平衡的任务不可谓不重。以损失口径看更为直观：西部政策有效性损失为0.35，是东部（0.22）的约1.6倍。梯度的成因是多重的：经济发展阶段与碳强度水平的差异决定了减排的边际难度（Liang等，2023）；监管经费与技术服务能力的差异决定了执行资源的厚度；高碳产业占比的差异决定了标准落地的阻力与成本（郑新业等，2023）；而标准化技术组织、检验检测机构在空间上的集聚，则进一步放大了执行能力的马太效应。</w:t>
      </w:r>
    </w:p>
    <w:p>
      <w:pPr>
        <w:spacing w:line="360" w:lineRule="auto" w:after="0"/>
        <w:ind w:firstLineChars="200" w:firstLine="480"/>
        <w:jc w:val="both"/>
      </w:pPr>
      <w:r>
        <w:rPr>
          <w:rFonts w:ascii="宋体" w:hAnsi="宋体" w:eastAsia="宋体"/>
          <w:sz w:val="24"/>
        </w:rPr>
        <w:t>图11.3给出2025年30省执行效率的排序全景。由图11.3可见，效率前五位依次为北京（0.820）、上海（0.812）、广东（0.803）、江苏（0.796）、浙江（0.790），均为标准化资源、监管能力与市场化激励最雄厚的东部省市。高于全国均值（0.734）的省份共10个，除8个东部省市外，仅有中部的湖北（0.742）与安徽（0.735）跻身其中：湖北得益于碳排放权交易试点以来积累的核查队伍与数据基础，安徽则受益于长三角标准一体化协作的外溢，两者都印证了执行能力可以通过制度实践与区域协作后天习得。榜尾五省依次为青海（0.602）、宁夏（0.608）、甘肃（0.612）、新疆（0.618）、贵州（0.632），全部位于西部；首尾极差达0.218，北京的效率是青海的1.36倍。东部内部亦非铁板一块：辽宁（0.722）与河北（0.716）明显低于东部平均，其高碳产业结构与转型压力拖累了标准执行的实际绩效，提示区域政策还须下沉到省情差异。</w:t>
      </w:r>
    </w:p>
    <w:p>
      <w:pPr>
        <w:spacing w:before="120" w:after="40"/>
        <w:jc w:val="center"/>
      </w:pPr>
      <w:r>
        <w:drawing>
          <wp:inline xmlns:a="http://schemas.openxmlformats.org/drawingml/2006/main" xmlns:pic="http://schemas.openxmlformats.org/drawingml/2006/picture">
            <wp:extent cx="4860000" cy="5382070"/>
            <wp:docPr id="38" name="Picture 38"/>
            <wp:cNvGraphicFramePr>
              <a:graphicFrameLocks noChangeAspect="1"/>
            </wp:cNvGraphicFramePr>
            <a:graphic>
              <a:graphicData uri="http://schemas.openxmlformats.org/drawingml/2006/picture">
                <pic:pic>
                  <pic:nvPicPr>
                    <pic:cNvPr id="0" name="fig11_3.png"/>
                    <pic:cNvPicPr/>
                  </pic:nvPicPr>
                  <pic:blipFill>
                    <a:blip r:embed="rId46"/>
                    <a:stretch>
                      <a:fillRect/>
                    </a:stretch>
                  </pic:blipFill>
                  <pic:spPr>
                    <a:xfrm>
                      <a:off x="0" y="0"/>
                      <a:ext cx="4860000" cy="5382070"/>
                    </a:xfrm>
                    <a:prstGeom prst="rect"/>
                  </pic:spPr>
                </pic:pic>
              </a:graphicData>
            </a:graphic>
          </wp:inline>
        </w:drawing>
      </w:r>
    </w:p>
    <w:p>
      <w:pPr>
        <w:keepNext w:val="0"/>
        <w:spacing w:after="200"/>
        <w:jc w:val="center"/>
      </w:pPr>
      <w:r>
        <w:rPr>
          <w:rFonts w:ascii="黑体" w:hAnsi="黑体" w:eastAsia="黑体"/>
          <w:sz w:val="21"/>
        </w:rPr>
        <w:t>图11.3  各省份标准执行效率排名（2025）</w:t>
      </w:r>
    </w:p>
    <w:p>
      <w:pPr>
        <w:spacing w:line="360" w:lineRule="auto" w:after="0"/>
        <w:ind w:firstLineChars="200" w:firstLine="480"/>
        <w:jc w:val="both"/>
      </w:pPr>
      <w:r>
        <w:rPr>
          <w:rFonts w:ascii="宋体" w:hAnsi="宋体" w:eastAsia="宋体"/>
          <w:sz w:val="24"/>
        </w:rPr>
        <w:t>时空格局的两点综合判断构成后文分解的问题意识。其一，全国效率虽稳步上行，但2025年仍意味着潜在减排贡献的约26.6%在执行环节耗散，损耗规模依然可观；其二，效率的空间粘性表明，损耗的构成在区域间很可能存在系统性差异——若各区域损耗来源相同，统一的执行政策即可；若来源不同，政策就必须靶向化。回答这一问题需要把总量损耗拆开来看，这正是下一节的任务。</w:t>
      </w:r>
    </w:p>
    <w:p>
      <w:pPr>
        <w:keepNext/>
        <w:spacing w:before="160" w:after="120" w:line="360" w:lineRule="auto"/>
        <w:outlineLvl w:val="1"/>
      </w:pPr>
      <w:r>
        <w:rPr>
          <w:rFonts w:ascii="黑体" w:hAnsi="黑体" w:eastAsia="黑体"/>
          <w:sz w:val="28"/>
        </w:rPr>
        <w:t>11.6  政策有效性损失的三源分解</w:t>
      </w:r>
    </w:p>
    <w:p>
      <w:pPr>
        <w:keepNext/>
        <w:spacing w:before="160" w:after="120" w:line="360" w:lineRule="auto"/>
        <w:outlineLvl w:val="2"/>
      </w:pPr>
      <w:r>
        <w:rPr>
          <w:rFonts w:ascii="黑体" w:hAnsi="黑体" w:eastAsia="黑体"/>
          <w:sz w:val="24"/>
        </w:rPr>
        <w:t>11.6.1  Oaxaca-Blinder分解方法</w:t>
      </w:r>
    </w:p>
    <w:p>
      <w:pPr>
        <w:spacing w:line="360" w:lineRule="auto" w:after="0"/>
        <w:ind w:firstLineChars="200" w:firstLine="480"/>
        <w:jc w:val="both"/>
      </w:pPr>
      <w:r>
        <w:rPr>
          <w:rFonts w:ascii="宋体" w:hAnsi="宋体" w:eastAsia="宋体"/>
          <w:sz w:val="24"/>
        </w:rPr>
        <w:t>知道损耗有多大之后，更要知道损耗从哪里来。BC95模型的均值方程恰好为归因提供了参数基础：非效率均值由标准完整性、激励强度与协调效率三个因素线性驱动，省份与最优实践的效率差距因而可以按因素拆解。方法上借鉴劳动经济学中的Oaxaca-Blinder反事实分解（Oaxaca，1973）——该方法将两组结果变量的均值差异分解为可观测特征差异的贡献与系数差异的贡献，本章取其特征效应部分：以样本最优实践水平为反事实基准，考察若某省份的某一决定因素达到基准水平、其他因素不变，非效率将下降多少。形式上，记决定因素的最优实践水平为</w:t>
      </w:r>
      <m:oMath>
        <m:sSubSup>
          <m:e>
            <m:r>
              <m:t>Z</m:t>
            </m:r>
          </m:e>
          <m:sub>
            <m:r>
              <m:t>m</m:t>
            </m:r>
          </m:sub>
          <m:sup>
            <m:r>
              <m:t>f</m:t>
            </m:r>
          </m:sup>
        </m:sSubSup>
      </m:oMath>
      <w:r>
        <w:rPr>
          <w:rFonts w:ascii="宋体" w:hAnsi="宋体" w:eastAsia="宋体"/>
          <w:sz w:val="24"/>
        </w:rPr>
        <w:t>（取该因素样本前5%省份的均值），省份非效率均值对基准的超出部分分解为：</w:t>
      </w:r>
    </w:p>
    <w:p>
      <w:pPr>
        <w:tabs>
          <w:tab w:pos="4252" w:val="center"/>
          <w:tab w:pos="8504" w:val="right"/>
        </w:tabs>
        <w:spacing w:line="360" w:lineRule="auto" w:before="80" w:after="80"/>
      </w:pPr>
      <w:r>
        <w:tab/>
      </w:r>
      <m:oMath>
        <m:sSub>
          <m:e>
            <m:acc>
              <m:accPr>
                <m:chr m:val="̂"/>
              </m:accPr>
              <m:e>
                <m:r>
                  <m:t>μ</m:t>
                </m:r>
              </m:e>
            </m:acc>
          </m:e>
          <m:sub>
            <m:r>
              <m:t>i</m:t>
            </m:r>
            <m:r>
              <m:t>t</m:t>
            </m:r>
          </m:sub>
        </m:sSub>
        <m:r>
          <m:rPr>
            <m:sty m:val="p"/>
          </m:rPr>
          <m:t>−</m:t>
        </m:r>
        <m:sSubSup>
          <m:e>
            <m:acc>
              <m:accPr>
                <m:chr m:val="̂"/>
              </m:accPr>
              <m:e>
                <m:r>
                  <m:t>μ</m:t>
                </m:r>
              </m:e>
            </m:acc>
          </m:e>
          <m:sub>
            <m:r>
              <m:t>i</m:t>
            </m:r>
            <m:r>
              <m:t>t</m:t>
            </m:r>
          </m:sub>
          <m:sup>
            <m:r>
              <m:t>f</m:t>
            </m:r>
          </m:sup>
        </m:sSubSup>
        <m:r>
          <m:rPr>
            <m:sty m:val="p"/>
          </m:rPr>
          <m:t>=</m:t>
        </m:r>
        <m:nary>
          <m:naryPr>
            <m:chr m:val="∑"/>
            <m:limLoc m:val="undOvr"/>
            <m:subHide m:val="off"/>
            <m:supHide m:val="off"/>
          </m:naryPr>
          <m:sub>
            <m:r>
              <m:t>m</m:t>
            </m:r>
            <m:r>
              <m:rPr>
                <m:sty m:val="p"/>
              </m:rPr>
              <m:t>=</m:t>
            </m:r>
            <m:r>
              <m:t>1</m:t>
            </m:r>
          </m:sub>
          <m:sup>
            <m:r>
              <m:t>3</m:t>
            </m:r>
          </m:sup>
          <m:e>
            <m:sSub>
              <m:e>
                <m:acc>
                  <m:accPr>
                    <m:chr m:val="̂"/>
                  </m:accPr>
                  <m:e>
                    <m:r>
                      <m:t>λ</m:t>
                    </m:r>
                  </m:e>
                </m:acc>
              </m:e>
              <m:sub>
                <m:r>
                  <m:t>m</m:t>
                </m:r>
              </m:sub>
            </m:sSub>
          </m:e>
        </m:nary>
        <m:d>
          <m:dPr>
            <m:begChr m:val="("/>
            <m:sepChr m:val=""/>
            <m:endChr m:val=")"/>
            <m:grow/>
          </m:dPr>
          <m:e>
            <m:sSub>
              <m:e>
                <m:r>
                  <m:t>Z</m:t>
                </m:r>
              </m:e>
              <m:sub>
                <m:r>
                  <m:t>m</m:t>
                </m:r>
                <m:r>
                  <m:rPr>
                    <m:sty m:val="p"/>
                  </m:rPr>
                  <m:t>,</m:t>
                </m:r>
                <m:r>
                  <m:t>i</m:t>
                </m:r>
                <m:r>
                  <m:t>t</m:t>
                </m:r>
              </m:sub>
            </m:sSub>
            <m:r>
              <m:rPr>
                <m:sty m:val="p"/>
              </m:rPr>
              <m:t>−</m:t>
            </m:r>
            <m:sSubSup>
              <m:e>
                <m:r>
                  <m:t>Z</m:t>
                </m:r>
              </m:e>
              <m:sub>
                <m:r>
                  <m:t>m</m:t>
                </m:r>
              </m:sub>
              <m:sup>
                <m:r>
                  <m:t>f</m:t>
                </m:r>
              </m:sup>
            </m:sSubSup>
          </m:e>
        </m:d>
        <m:r>
          <m:rPr>
            <m:sty m:val="p"/>
          </m:rPr>
          <m:t>+</m:t>
        </m:r>
        <m:sSup>
          <m:e>
            <m:acc>
              <m:accPr>
                <m:chr m:val="̂"/>
              </m:accPr>
              <m:e>
                <m:r>
                  <m:t>φ</m:t>
                </m:r>
              </m:e>
            </m:acc>
          </m:e>
          <m:sup>
            <m:r>
              <m:rPr>
                <m:sty m:val="p"/>
              </m:rPr>
              <m:t>⊤</m:t>
            </m:r>
          </m:sup>
        </m:sSup>
        <m:d>
          <m:dPr>
            <m:begChr m:val="("/>
            <m:sepChr m:val=""/>
            <m:endChr m:val=")"/>
            <m:grow/>
          </m:dPr>
          <m:e>
            <m:sSub>
              <m:e>
                <m:r>
                  <m:t>W</m:t>
                </m:r>
              </m:e>
              <m:sub>
                <m:r>
                  <m:t>i</m:t>
                </m:r>
                <m:r>
                  <m:t>t</m:t>
                </m:r>
              </m:sub>
            </m:sSub>
            <m:r>
              <m:rPr>
                <m:sty m:val="p"/>
              </m:rPr>
              <m:t>−</m:t>
            </m:r>
            <m:sSup>
              <m:e>
                <m:r>
                  <m:t>W</m:t>
                </m:r>
              </m:e>
              <m:sup>
                <m:r>
                  <m:t>f</m:t>
                </m:r>
              </m:sup>
            </m:sSup>
          </m:e>
        </m:d>
      </m:oMath>
      <w:r>
        <w:tab/>
      </w:r>
      <w:r>
        <w:rPr>
          <w:rFonts w:ascii="Times New Roman" w:hAnsi="Times New Roman" w:eastAsia="宋体"/>
          <w:sz w:val="24"/>
        </w:rPr>
        <w:t>(11-12)</w:t>
      </w:r>
    </w:p>
    <w:p>
      <w:pPr>
        <w:spacing w:line="360" w:lineRule="auto" w:after="0"/>
        <w:jc w:val="both"/>
      </w:pPr>
      <w:r>
        <w:rPr>
          <w:rFonts w:ascii="宋体" w:hAnsi="宋体" w:eastAsia="宋体"/>
          <w:sz w:val="24"/>
        </w:rPr>
        <w:t>其中，</w:t>
      </w:r>
      <m:oMath>
        <m:sSubSup>
          <m:e>
            <m:acc>
              <m:accPr>
                <m:chr m:val="̂"/>
              </m:accPr>
              <m:e>
                <m:r>
                  <m:t>μ</m:t>
                </m:r>
              </m:e>
            </m:acc>
          </m:e>
          <m:sub>
            <m:r>
              <m:t>i</m:t>
            </m:r>
            <m:r>
              <m:t>t</m:t>
            </m:r>
          </m:sub>
          <m:sup>
            <m:r>
              <m:t>f</m:t>
            </m:r>
          </m:sup>
        </m:sSubSup>
      </m:oMath>
      <w:r>
        <w:rPr>
          <w:rFonts w:ascii="宋体" w:hAnsi="宋体" w:eastAsia="宋体"/>
          <w:sz w:val="24"/>
        </w:rPr>
        <w:t>为全部决定因素取基准水平时的反事实非效率均值，</w:t>
      </w:r>
      <m:oMath>
        <m:r>
          <m:t>m</m:t>
        </m:r>
        <m:r>
          <m:rPr>
            <m:sty m:val="p"/>
          </m:rPr>
          <m:t>=</m:t>
        </m:r>
        <m:r>
          <m:t>1</m:t>
        </m:r>
        <m:r>
          <m:rPr>
            <m:sty m:val="p"/>
          </m:rPr>
          <m:t>,</m:t>
        </m:r>
        <m:r>
          <m:t>2</m:t>
        </m:r>
        <m:r>
          <m:rPr>
            <m:sty m:val="p"/>
          </m:rPr>
          <m:t>,</m:t>
        </m:r>
        <m:r>
          <m:t>3</m:t>
        </m:r>
      </m:oMath>
      <w:r>
        <w:rPr>
          <w:rFonts w:ascii="宋体" w:hAnsi="宋体" w:eastAsia="宋体"/>
          <w:sz w:val="24"/>
        </w:rPr>
        <w:t>依次对应SCI、INC、CDE，</w:t>
      </w:r>
      <m:oMath>
        <m:sSup>
          <m:e>
            <m:r>
              <m:t>W</m:t>
            </m:r>
          </m:e>
          <m:sup>
            <m:r>
              <m:t>f</m:t>
            </m:r>
          </m:sup>
        </m:sSup>
      </m:oMath>
      <w:r>
        <w:rPr>
          <w:rFonts w:ascii="宋体" w:hAnsi="宋体" w:eastAsia="宋体"/>
          <w:sz w:val="24"/>
        </w:rPr>
        <w:t>为控制变量的对应基准。</w:t>
      </w:r>
    </w:p>
    <w:p>
      <w:pPr>
        <w:spacing w:line="360" w:lineRule="auto" w:after="0"/>
        <w:ind w:firstLineChars="200" w:firstLine="480"/>
        <w:jc w:val="both"/>
      </w:pPr>
      <w:r>
        <w:rPr>
          <w:rFonts w:ascii="宋体" w:hAnsi="宋体" w:eastAsia="宋体"/>
          <w:sz w:val="24"/>
        </w:rPr>
        <w:t>由于</w:t>
      </w:r>
      <m:oMath>
        <m:sSub>
          <m:e>
            <m:acc>
              <m:accPr>
                <m:chr m:val="̂"/>
              </m:accPr>
              <m:e>
                <m:r>
                  <m:t>λ</m:t>
                </m:r>
              </m:e>
            </m:acc>
          </m:e>
          <m:sub>
            <m:r>
              <m:t>m</m:t>
            </m:r>
          </m:sub>
        </m:sSub>
        <m:r>
          <m:rPr>
            <m:sty m:val="p"/>
          </m:rPr>
          <m:t>&lt;</m:t>
        </m:r>
        <m:r>
          <m:t>0</m:t>
        </m:r>
      </m:oMath>
      <w:r>
        <w:rPr>
          <w:rFonts w:ascii="宋体" w:hAnsi="宋体" w:eastAsia="宋体"/>
          <w:sz w:val="24"/>
        </w:rPr>
        <w:t>而</w:t>
      </w:r>
      <m:oMath>
        <m:sSub>
          <m:e>
            <m:r>
              <m:t>Z</m:t>
            </m:r>
          </m:e>
          <m:sub>
            <m:r>
              <m:t>m</m:t>
            </m:r>
            <m:r>
              <m:rPr>
                <m:sty m:val="p"/>
              </m:rPr>
              <m:t>,</m:t>
            </m:r>
            <m:r>
              <m:t>i</m:t>
            </m:r>
            <m:r>
              <m:t>t</m:t>
            </m:r>
          </m:sub>
        </m:sSub>
        <m:r>
          <m:rPr>
            <m:sty m:val="p"/>
          </m:rPr>
          <m:t>≤</m:t>
        </m:r>
        <m:sSubSup>
          <m:e>
            <m:r>
              <m:t>Z</m:t>
            </m:r>
          </m:e>
          <m:sub>
            <m:r>
              <m:t>m</m:t>
            </m:r>
          </m:sub>
          <m:sup>
            <m:r>
              <m:t>f</m:t>
            </m:r>
          </m:sup>
        </m:sSubSup>
      </m:oMath>
      <w:r>
        <w:rPr>
          <w:rFonts w:ascii="宋体" w:hAnsi="宋体" w:eastAsia="宋体"/>
          <w:sz w:val="24"/>
        </w:rPr>
        <w:t>，式(11-12)右端每一项贡献均非负：因素离最优实践越远，贡献的超额非效率越多。据此定义第</w:t>
      </w:r>
      <m:oMath>
        <m:r>
          <m:t>m</m:t>
        </m:r>
      </m:oMath>
      <w:r>
        <w:rPr>
          <w:rFonts w:ascii="宋体" w:hAnsi="宋体" w:eastAsia="宋体"/>
          <w:sz w:val="24"/>
        </w:rPr>
        <w:t>个来源的损耗份额：</w:t>
      </w:r>
    </w:p>
    <w:p>
      <w:pPr>
        <w:tabs>
          <w:tab w:pos="4252" w:val="center"/>
          <w:tab w:pos="8504" w:val="right"/>
        </w:tabs>
        <w:spacing w:line="360" w:lineRule="auto" w:before="80" w:after="80"/>
      </w:pPr>
      <w:r>
        <w:tab/>
      </w:r>
      <m:oMath>
        <m:sSub>
          <m:e>
            <m:r>
              <m:t>s</m:t>
            </m:r>
          </m:e>
          <m:sub>
            <m:r>
              <m:t>m</m:t>
            </m:r>
            <m:r>
              <m:rPr>
                <m:sty m:val="p"/>
              </m:rPr>
              <m:t>,</m:t>
            </m:r>
            <m:r>
              <m:t>i</m:t>
            </m:r>
            <m:r>
              <m:t>t</m:t>
            </m:r>
          </m:sub>
        </m:sSub>
        <m:r>
          <m:rPr>
            <m:sty m:val="p"/>
          </m:rPr>
          <m:t>=</m:t>
        </m:r>
        <m:f>
          <m:fPr>
            <m:type m:val="bar"/>
          </m:fPr>
          <m:num>
            <m:sSub>
              <m:e>
                <m:acc>
                  <m:accPr>
                    <m:chr m:val="̂"/>
                  </m:accPr>
                  <m:e>
                    <m:r>
                      <m:t>λ</m:t>
                    </m:r>
                  </m:e>
                </m:acc>
              </m:e>
              <m:sub>
                <m:r>
                  <m:t>m</m:t>
                </m:r>
              </m:sub>
            </m:sSub>
            <m:d>
              <m:dPr>
                <m:begChr m:val="("/>
                <m:sepChr m:val=""/>
                <m:endChr m:val=")"/>
                <m:grow/>
              </m:dPr>
              <m:e>
                <m:sSub>
                  <m:e>
                    <m:r>
                      <m:t>Z</m:t>
                    </m:r>
                  </m:e>
                  <m:sub>
                    <m:r>
                      <m:t>m</m:t>
                    </m:r>
                    <m:r>
                      <m:rPr>
                        <m:sty m:val="p"/>
                      </m:rPr>
                      <m:t>,</m:t>
                    </m:r>
                    <m:r>
                      <m:t>i</m:t>
                    </m:r>
                    <m:r>
                      <m:t>t</m:t>
                    </m:r>
                  </m:sub>
                </m:sSub>
                <m:r>
                  <m:rPr>
                    <m:sty m:val="p"/>
                  </m:rPr>
                  <m:t>−</m:t>
                </m:r>
                <m:sSubSup>
                  <m:e>
                    <m:r>
                      <m:t>Z</m:t>
                    </m:r>
                  </m:e>
                  <m:sub>
                    <m:r>
                      <m:t>m</m:t>
                    </m:r>
                  </m:sub>
                  <m:sup>
                    <m:r>
                      <m:t>f</m:t>
                    </m:r>
                  </m:sup>
                </m:sSubSup>
              </m:e>
            </m:d>
          </m:num>
          <m:den>
            <m:nary>
              <m:naryPr>
                <m:chr m:val="∑"/>
                <m:limLoc m:val="undOvr"/>
                <m:subHide m:val="off"/>
                <m:supHide m:val="off"/>
              </m:naryPr>
              <m:sub>
                <m:sSup>
                  <m:e>
                    <m:r>
                      <m:t>m</m:t>
                    </m:r>
                  </m:e>
                  <m:sup>
                    <m:r>
                      <m:rPr>
                        <m:sty m:val="p"/>
                      </m:rPr>
                      <m:t>′</m:t>
                    </m:r>
                  </m:sup>
                </m:sSup>
                <m:r>
                  <m:rPr>
                    <m:sty m:val="p"/>
                  </m:rPr>
                  <m:t>=</m:t>
                </m:r>
                <m:r>
                  <m:t>1</m:t>
                </m:r>
              </m:sub>
              <m:sup>
                <m:r>
                  <m:t>3</m:t>
                </m:r>
              </m:sup>
              <m:e>
                <m:sSub>
                  <m:e>
                    <m:acc>
                      <m:accPr>
                        <m:chr m:val="̂"/>
                      </m:accPr>
                      <m:e>
                        <m:r>
                          <m:t>λ</m:t>
                        </m:r>
                      </m:e>
                    </m:acc>
                  </m:e>
                  <m:sub>
                    <m:sSup>
                      <m:e>
                        <m:r>
                          <m:t>m</m:t>
                        </m:r>
                      </m:e>
                      <m:sup>
                        <m:r>
                          <m:rPr>
                            <m:sty m:val="p"/>
                          </m:rPr>
                          <m:t>′</m:t>
                        </m:r>
                      </m:sup>
                    </m:sSup>
                  </m:sub>
                </m:sSub>
              </m:e>
            </m:nary>
            <m:d>
              <m:dPr>
                <m:begChr m:val="("/>
                <m:sepChr m:val=""/>
                <m:endChr m:val=")"/>
                <m:grow/>
              </m:dPr>
              <m:e>
                <m:sSub>
                  <m:e>
                    <m:r>
                      <m:t>Z</m:t>
                    </m:r>
                  </m:e>
                  <m:sub>
                    <m:sSup>
                      <m:e>
                        <m:r>
                          <m:t>m</m:t>
                        </m:r>
                      </m:e>
                      <m:sup>
                        <m:r>
                          <m:rPr>
                            <m:sty m:val="p"/>
                          </m:rPr>
                          <m:t>′</m:t>
                        </m:r>
                      </m:sup>
                    </m:sSup>
                    <m:r>
                      <m:rPr>
                        <m:sty m:val="p"/>
                      </m:rPr>
                      <m:t>,</m:t>
                    </m:r>
                    <m:r>
                      <m:t>i</m:t>
                    </m:r>
                    <m:r>
                      <m:t>t</m:t>
                    </m:r>
                  </m:sub>
                </m:sSub>
                <m:r>
                  <m:rPr>
                    <m:sty m:val="p"/>
                  </m:rPr>
                  <m:t>−</m:t>
                </m:r>
                <m:sSubSup>
                  <m:e>
                    <m:r>
                      <m:t>Z</m:t>
                    </m:r>
                  </m:e>
                  <m:sub>
                    <m:sSup>
                      <m:e>
                        <m:r>
                          <m:t>m</m:t>
                        </m:r>
                      </m:e>
                      <m:sup>
                        <m:r>
                          <m:rPr>
                            <m:sty m:val="p"/>
                          </m:rPr>
                          <m:t>′</m:t>
                        </m:r>
                      </m:sup>
                    </m:sSup>
                  </m:sub>
                  <m:sup>
                    <m:r>
                      <m:t>f</m:t>
                    </m:r>
                  </m:sup>
                </m:sSubSup>
              </m:e>
            </m:d>
          </m:den>
        </m:f>
      </m:oMath>
      <w:r>
        <w:tab/>
      </w:r>
      <w:r>
        <w:rPr>
          <w:rFonts w:ascii="Times New Roman" w:hAnsi="Times New Roman" w:eastAsia="宋体"/>
          <w:sz w:val="24"/>
        </w:rPr>
        <w:t>(11-13)</w:t>
      </w:r>
    </w:p>
    <w:p>
      <w:pPr>
        <w:spacing w:line="360" w:lineRule="auto" w:after="0"/>
        <w:ind w:firstLineChars="200" w:firstLine="480"/>
        <w:jc w:val="both"/>
      </w:pPr>
      <w:r>
        <w:rPr>
          <w:rFonts w:ascii="宋体" w:hAnsi="宋体" w:eastAsia="宋体"/>
          <w:sz w:val="24"/>
        </w:rPr>
        <w:t>三点技术说明。第一，分解权重为一步法联合估计的系数，不存在两步法中效率得分作被解释变量的生成回归偏误。第二，控制变量差距的贡献在样本中占比很小，报告时将三大来源份额归一化，分别命名为供给不足损失（SCI差距贡献）、激励不完善损失（INC差距贡献）与协调失灵损失（CDE差距贡献）。第三，省—年层面的份额以政策有效性损失PEL为权重聚合至区域与全国层面，保证“大损耗省份话语权更大”的加权逻辑，聚合结果即为下文报告的三源结构。</w:t>
      </w:r>
    </w:p>
    <w:p>
      <w:pPr>
        <w:keepNext/>
        <w:spacing w:before="160" w:after="120" w:line="360" w:lineRule="auto"/>
        <w:outlineLvl w:val="2"/>
      </w:pPr>
      <w:r>
        <w:rPr>
          <w:rFonts w:ascii="黑体" w:hAnsi="黑体" w:eastAsia="黑体"/>
          <w:sz w:val="24"/>
        </w:rPr>
        <w:t>11.6.2  全国分解：三源皆重、供给居首</w:t>
      </w:r>
    </w:p>
    <w:p>
      <w:pPr>
        <w:spacing w:line="360" w:lineRule="auto" w:after="0"/>
        <w:ind w:firstLineChars="200" w:firstLine="480"/>
        <w:jc w:val="both"/>
      </w:pPr>
      <w:r>
        <w:rPr>
          <w:rFonts w:ascii="宋体" w:hAnsi="宋体" w:eastAsia="宋体"/>
          <w:sz w:val="24"/>
        </w:rPr>
        <w:t>全国层面的分解结果为：供给不足损失占38.2%，激励不完善损失占34.6%，协调失灵损失占27.2%。这一结构包含两个方向相反但同等重要的信息。一方面，供给不足居首，印证了标准体系结构性缺口对执行的实质拖累，补短板依然是第一要务；另一方面，供给不足并未过半——“标准不够”只解释了不到四成的损耗，而“标准没用好”（激励与协调合计61.8%）解释了六成以上。这一发现修正了将执行问题简单归结为供给缺口的流行判断：即便标准供给一步到位，激励与协调机制不改善，大部分损耗仍将存在。三源皆超四分之一的均衡结构意味着，任何单一维度的政策都不足以消除损耗，执行体制改革必须供给、激励、协调三管齐下。</w:t>
      </w:r>
    </w:p>
    <w:p>
      <w:pPr>
        <w:spacing w:line="360" w:lineRule="auto" w:after="0"/>
        <w:ind w:firstLineChars="200" w:firstLine="480"/>
        <w:jc w:val="both"/>
      </w:pPr>
      <w:r>
        <w:rPr>
          <w:rFonts w:ascii="宋体" w:hAnsi="宋体" w:eastAsia="宋体"/>
          <w:sz w:val="24"/>
        </w:rPr>
        <w:t>换算为绝对量更能说明问题。2025年全国政策有效性损失为0.266，按三源份额折算，供给不足、激励不完善、协调失灵分别对应约0.102、0.092、0.072的效率损耗。即使供给缺口完全弥合，若激励与协调维持现状，残余损耗仍达约0.164——超过当前总损耗的六成。对照“十五五”时期碳排放双控全面实施对标准执行提出的更高要求，这一结构警示：标准化工作的重心必须从“制定发布”向“实施见效”延伸，实施机制的制度供给与文本供给同等紧迫（孙亮等，2022；周成和钱再见，2022）。</w:t>
      </w:r>
    </w:p>
    <w:p>
      <w:pPr>
        <w:spacing w:line="360" w:lineRule="auto" w:after="0"/>
        <w:ind w:firstLineChars="200" w:firstLine="480"/>
        <w:jc w:val="both"/>
      </w:pPr>
      <w:r>
        <w:rPr>
          <w:rFonts w:ascii="宋体" w:hAnsi="宋体" w:eastAsia="宋体"/>
          <w:sz w:val="24"/>
        </w:rPr>
        <w:t>图11.4以堆积条形图对比全国与三大区域的损耗结构。由图11.4可见，三源结构随区域呈规律性变化：供给不足损失占比自东向西递增，东部33.1%、中部38.8%、西部42.1%，西部比东部高出约9.0个百分点；协调失灵损失占比则自东向西递减，东部31.7%、中部26.7%、西部23.8%；激励不完善损失占比在三大区域间高度稳定（34.1%—35.2%）。这一“供给递增、协调递减、激励平坦”的空间图案并非偶然：发展水平越高，标准配套能力越强、供给短板越小，执行的瓶颈便让位于跨部门跨区域的协调复杂性；而激励机制主要由全国统一的制度安排决定，地方变异有限。结构差异的规律性为靶向政策提供了直接依据。</w:t>
      </w:r>
    </w:p>
    <w:p>
      <w:pPr>
        <w:spacing w:before="120" w:after="40"/>
        <w:jc w:val="center"/>
      </w:pPr>
      <w:r>
        <w:drawing>
          <wp:inline xmlns:a="http://schemas.openxmlformats.org/drawingml/2006/main" xmlns:pic="http://schemas.openxmlformats.org/drawingml/2006/picture">
            <wp:extent cx="4860000" cy="2767623"/>
            <wp:docPr id="39" name="Picture 39"/>
            <wp:cNvGraphicFramePr>
              <a:graphicFrameLocks noChangeAspect="1"/>
            </wp:cNvGraphicFramePr>
            <a:graphic>
              <a:graphicData uri="http://schemas.openxmlformats.org/drawingml/2006/picture">
                <pic:pic>
                  <pic:nvPicPr>
                    <pic:cNvPr id="0" name="fig11_4.png"/>
                    <pic:cNvPicPr/>
                  </pic:nvPicPr>
                  <pic:blipFill>
                    <a:blip r:embed="rId47"/>
                    <a:stretch>
                      <a:fillRect/>
                    </a:stretch>
                  </pic:blipFill>
                  <pic:spPr>
                    <a:xfrm>
                      <a:off x="0" y="0"/>
                      <a:ext cx="4860000" cy="2767623"/>
                    </a:xfrm>
                    <a:prstGeom prst="rect"/>
                  </pic:spPr>
                </pic:pic>
              </a:graphicData>
            </a:graphic>
          </wp:inline>
        </w:drawing>
      </w:r>
    </w:p>
    <w:p>
      <w:pPr>
        <w:keepNext w:val="0"/>
        <w:spacing w:after="200"/>
        <w:jc w:val="center"/>
      </w:pPr>
      <w:r>
        <w:rPr>
          <w:rFonts w:ascii="黑体" w:hAnsi="黑体" w:eastAsia="黑体"/>
          <w:sz w:val="21"/>
        </w:rPr>
        <w:t>图11.4  政策有效性损失PEL的来源分解</w:t>
      </w:r>
    </w:p>
    <w:p>
      <w:pPr>
        <w:spacing w:line="360" w:lineRule="auto" w:after="0"/>
        <w:ind w:firstLineChars="200" w:firstLine="480"/>
        <w:jc w:val="both"/>
      </w:pPr>
      <w:r>
        <w:rPr>
          <w:rFonts w:ascii="宋体" w:hAnsi="宋体" w:eastAsia="宋体"/>
          <w:sz w:val="24"/>
        </w:rPr>
        <w:t>表11.3将区域格局完整量化。东部损失水平最低（PEL为0.22）且三源高度均衡——占比极差仅3.5个百分点，表明东部的执行短板已无单一主因，进入“精细化修补”阶段；中部结构与全国平均最为接近，具有典型性；西部损失水平最高（0.35）且供给不足一源独大（42.1%），三源占比极差达18.3个百分点。尤其值得警醒的是绝对量对比：西部供给不足造成的效率损耗约为0.147，是东部同源损耗（约0.073）的两倍——区域执行差距的主体，是标准供给及其配套能力的差距。</w:t>
      </w:r>
    </w:p>
    <w:p>
      <w:pPr>
        <w:keepNext/>
        <w:spacing w:before="160" w:after="40"/>
        <w:jc w:val="center"/>
      </w:pPr>
      <w:r>
        <w:rPr>
          <w:rFonts w:ascii="黑体" w:hAnsi="黑体" w:eastAsia="黑体"/>
          <w:sz w:val="21"/>
        </w:rPr>
        <w:t>表11.3  分区域执行效率与政策有效性损失分解（2025）</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区域</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TE均值</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PEL均值</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供给不足损失占比</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激励不完善损失占比</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协调失灵损失占比</w:t>
            </w:r>
          </w:p>
        </w:tc>
      </w:tr>
      <w:tr>
        <w:tc>
          <w:tcPr>
            <w:tcW w:type="dxa" w:w="1417"/>
            <w:vAlign w:val="center"/>
          </w:tcPr>
          <w:p>
            <w:pPr>
              <w:spacing w:line="240" w:lineRule="auto" w:after="20" w:before="20"/>
              <w:jc w:val="left"/>
            </w:pPr>
            <w:r/>
            <w:r>
              <w:rPr>
                <w:rFonts w:ascii="宋体" w:hAnsi="宋体" w:eastAsia="宋体"/>
                <w:sz w:val="21"/>
              </w:rPr>
              <w:t>全国</w:t>
            </w:r>
          </w:p>
        </w:tc>
        <w:tc>
          <w:tcPr>
            <w:tcW w:type="dxa" w:w="1417"/>
            <w:vAlign w:val="center"/>
          </w:tcPr>
          <w:p>
            <w:pPr>
              <w:spacing w:line="240" w:lineRule="auto" w:after="20" w:before="20"/>
              <w:jc w:val="center"/>
            </w:pPr>
            <w:r/>
            <w:r>
              <w:rPr>
                <w:rFonts w:ascii="宋体" w:hAnsi="宋体" w:eastAsia="宋体"/>
                <w:sz w:val="21"/>
              </w:rPr>
              <w:t>0.734</w:t>
            </w:r>
          </w:p>
        </w:tc>
        <w:tc>
          <w:tcPr>
            <w:tcW w:type="dxa" w:w="1417"/>
            <w:vAlign w:val="center"/>
          </w:tcPr>
          <w:p>
            <w:pPr>
              <w:spacing w:line="240" w:lineRule="auto" w:after="20" w:before="20"/>
              <w:jc w:val="center"/>
            </w:pPr>
            <w:r/>
            <w:r>
              <w:rPr>
                <w:rFonts w:ascii="宋体" w:hAnsi="宋体" w:eastAsia="宋体"/>
                <w:sz w:val="21"/>
              </w:rPr>
              <w:t>0.266</w:t>
            </w:r>
          </w:p>
        </w:tc>
        <w:tc>
          <w:tcPr>
            <w:tcW w:type="dxa" w:w="1417"/>
            <w:vAlign w:val="center"/>
          </w:tcPr>
          <w:p>
            <w:pPr>
              <w:spacing w:line="240" w:lineRule="auto" w:after="20" w:before="20"/>
              <w:jc w:val="center"/>
            </w:pPr>
            <w:r/>
            <w:r>
              <w:rPr>
                <w:rFonts w:ascii="宋体" w:hAnsi="宋体" w:eastAsia="宋体"/>
                <w:sz w:val="21"/>
              </w:rPr>
              <w:t>38.2%</w:t>
            </w:r>
          </w:p>
        </w:tc>
        <w:tc>
          <w:tcPr>
            <w:tcW w:type="dxa" w:w="1417"/>
            <w:vAlign w:val="center"/>
          </w:tcPr>
          <w:p>
            <w:pPr>
              <w:spacing w:line="240" w:lineRule="auto" w:after="20" w:before="20"/>
              <w:jc w:val="center"/>
            </w:pPr>
            <w:r/>
            <w:r>
              <w:rPr>
                <w:rFonts w:ascii="宋体" w:hAnsi="宋体" w:eastAsia="宋体"/>
                <w:sz w:val="21"/>
              </w:rPr>
              <w:t>34.6%</w:t>
            </w:r>
          </w:p>
        </w:tc>
        <w:tc>
          <w:tcPr>
            <w:tcW w:type="dxa" w:w="1417"/>
            <w:vAlign w:val="center"/>
          </w:tcPr>
          <w:p>
            <w:pPr>
              <w:spacing w:line="240" w:lineRule="auto" w:after="20" w:before="20"/>
              <w:jc w:val="center"/>
            </w:pPr>
            <w:r/>
            <w:r>
              <w:rPr>
                <w:rFonts w:ascii="宋体" w:hAnsi="宋体" w:eastAsia="宋体"/>
                <w:sz w:val="21"/>
              </w:rPr>
              <w:t>27.2%</w:t>
            </w:r>
          </w:p>
        </w:tc>
      </w:tr>
      <w:tr>
        <w:tc>
          <w:tcPr>
            <w:tcW w:type="dxa" w:w="1417"/>
            <w:vAlign w:val="center"/>
          </w:tcPr>
          <w:p>
            <w:pPr>
              <w:spacing w:line="240" w:lineRule="auto" w:after="20" w:before="20"/>
              <w:jc w:val="left"/>
            </w:pPr>
            <w:r/>
            <w:r>
              <w:rPr>
                <w:rFonts w:ascii="宋体" w:hAnsi="宋体" w:eastAsia="宋体"/>
                <w:sz w:val="21"/>
              </w:rPr>
              <w:t>东部</w:t>
            </w:r>
          </w:p>
        </w:tc>
        <w:tc>
          <w:tcPr>
            <w:tcW w:type="dxa" w:w="1417"/>
            <w:vAlign w:val="center"/>
          </w:tcPr>
          <w:p>
            <w:pPr>
              <w:spacing w:line="240" w:lineRule="auto" w:after="20" w:before="20"/>
              <w:jc w:val="center"/>
            </w:pPr>
            <w:r/>
            <w:r>
              <w:rPr>
                <w:rFonts w:ascii="宋体" w:hAnsi="宋体" w:eastAsia="宋体"/>
                <w:sz w:val="21"/>
              </w:rPr>
              <w:t>0.780</w:t>
            </w:r>
          </w:p>
        </w:tc>
        <w:tc>
          <w:tcPr>
            <w:tcW w:type="dxa" w:w="1417"/>
            <w:vAlign w:val="center"/>
          </w:tcPr>
          <w:p>
            <w:pPr>
              <w:spacing w:line="240" w:lineRule="auto" w:after="20" w:before="20"/>
              <w:jc w:val="center"/>
            </w:pPr>
            <w:r/>
            <w:r>
              <w:rPr>
                <w:rFonts w:ascii="宋体" w:hAnsi="宋体" w:eastAsia="宋体"/>
                <w:sz w:val="21"/>
              </w:rPr>
              <w:t>0.220</w:t>
            </w:r>
          </w:p>
        </w:tc>
        <w:tc>
          <w:tcPr>
            <w:tcW w:type="dxa" w:w="1417"/>
            <w:vAlign w:val="center"/>
          </w:tcPr>
          <w:p>
            <w:pPr>
              <w:spacing w:line="240" w:lineRule="auto" w:after="20" w:before="20"/>
              <w:jc w:val="center"/>
            </w:pPr>
            <w:r/>
            <w:r>
              <w:rPr>
                <w:rFonts w:ascii="宋体" w:hAnsi="宋体" w:eastAsia="宋体"/>
                <w:sz w:val="21"/>
              </w:rPr>
              <w:t>33.1%</w:t>
            </w:r>
          </w:p>
        </w:tc>
        <w:tc>
          <w:tcPr>
            <w:tcW w:type="dxa" w:w="1417"/>
            <w:vAlign w:val="center"/>
          </w:tcPr>
          <w:p>
            <w:pPr>
              <w:spacing w:line="240" w:lineRule="auto" w:after="20" w:before="20"/>
              <w:jc w:val="center"/>
            </w:pPr>
            <w:r/>
            <w:r>
              <w:rPr>
                <w:rFonts w:ascii="宋体" w:hAnsi="宋体" w:eastAsia="宋体"/>
                <w:sz w:val="21"/>
              </w:rPr>
              <w:t>35.2%</w:t>
            </w:r>
          </w:p>
        </w:tc>
        <w:tc>
          <w:tcPr>
            <w:tcW w:type="dxa" w:w="1417"/>
            <w:vAlign w:val="center"/>
          </w:tcPr>
          <w:p>
            <w:pPr>
              <w:spacing w:line="240" w:lineRule="auto" w:after="20" w:before="20"/>
              <w:jc w:val="center"/>
            </w:pPr>
            <w:r/>
            <w:r>
              <w:rPr>
                <w:rFonts w:ascii="宋体" w:hAnsi="宋体" w:eastAsia="宋体"/>
                <w:sz w:val="21"/>
              </w:rPr>
              <w:t>31.7%</w:t>
            </w:r>
          </w:p>
        </w:tc>
      </w:tr>
      <w:tr>
        <w:tc>
          <w:tcPr>
            <w:tcW w:type="dxa" w:w="1417"/>
            <w:vAlign w:val="center"/>
          </w:tcPr>
          <w:p>
            <w:pPr>
              <w:spacing w:line="240" w:lineRule="auto" w:after="20" w:before="20"/>
              <w:jc w:val="left"/>
            </w:pPr>
            <w:r/>
            <w:r>
              <w:rPr>
                <w:rFonts w:ascii="宋体" w:hAnsi="宋体" w:eastAsia="宋体"/>
                <w:sz w:val="21"/>
              </w:rPr>
              <w:t>中部</w:t>
            </w:r>
          </w:p>
        </w:tc>
        <w:tc>
          <w:tcPr>
            <w:tcW w:type="dxa" w:w="1417"/>
            <w:vAlign w:val="center"/>
          </w:tcPr>
          <w:p>
            <w:pPr>
              <w:spacing w:line="240" w:lineRule="auto" w:after="20" w:before="20"/>
              <w:jc w:val="center"/>
            </w:pPr>
            <w:r/>
            <w:r>
              <w:rPr>
                <w:rFonts w:ascii="宋体" w:hAnsi="宋体" w:eastAsia="宋体"/>
                <w:sz w:val="21"/>
              </w:rPr>
              <w:t>0.710</w:t>
            </w:r>
          </w:p>
        </w:tc>
        <w:tc>
          <w:tcPr>
            <w:tcW w:type="dxa" w:w="1417"/>
            <w:vAlign w:val="center"/>
          </w:tcPr>
          <w:p>
            <w:pPr>
              <w:spacing w:line="240" w:lineRule="auto" w:after="20" w:before="20"/>
              <w:jc w:val="center"/>
            </w:pPr>
            <w:r/>
            <w:r>
              <w:rPr>
                <w:rFonts w:ascii="宋体" w:hAnsi="宋体" w:eastAsia="宋体"/>
                <w:sz w:val="21"/>
              </w:rPr>
              <w:t>0.290</w:t>
            </w:r>
          </w:p>
        </w:tc>
        <w:tc>
          <w:tcPr>
            <w:tcW w:type="dxa" w:w="1417"/>
            <w:vAlign w:val="center"/>
          </w:tcPr>
          <w:p>
            <w:pPr>
              <w:spacing w:line="240" w:lineRule="auto" w:after="20" w:before="20"/>
              <w:jc w:val="center"/>
            </w:pPr>
            <w:r/>
            <w:r>
              <w:rPr>
                <w:rFonts w:ascii="宋体" w:hAnsi="宋体" w:eastAsia="宋体"/>
                <w:sz w:val="21"/>
              </w:rPr>
              <w:t>38.8%</w:t>
            </w:r>
          </w:p>
        </w:tc>
        <w:tc>
          <w:tcPr>
            <w:tcW w:type="dxa" w:w="1417"/>
            <w:vAlign w:val="center"/>
          </w:tcPr>
          <w:p>
            <w:pPr>
              <w:spacing w:line="240" w:lineRule="auto" w:after="20" w:before="20"/>
              <w:jc w:val="center"/>
            </w:pPr>
            <w:r/>
            <w:r>
              <w:rPr>
                <w:rFonts w:ascii="宋体" w:hAnsi="宋体" w:eastAsia="宋体"/>
                <w:sz w:val="21"/>
              </w:rPr>
              <w:t>34.5%</w:t>
            </w:r>
          </w:p>
        </w:tc>
        <w:tc>
          <w:tcPr>
            <w:tcW w:type="dxa" w:w="1417"/>
            <w:vAlign w:val="center"/>
          </w:tcPr>
          <w:p>
            <w:pPr>
              <w:spacing w:line="240" w:lineRule="auto" w:after="20" w:before="20"/>
              <w:jc w:val="center"/>
            </w:pPr>
            <w:r/>
            <w:r>
              <w:rPr>
                <w:rFonts w:ascii="宋体" w:hAnsi="宋体" w:eastAsia="宋体"/>
                <w:sz w:val="21"/>
              </w:rPr>
              <w:t>26.7%</w:t>
            </w:r>
          </w:p>
        </w:tc>
      </w:tr>
      <w:tr>
        <w:tc>
          <w:tcPr>
            <w:tcW w:type="dxa" w:w="1417"/>
            <w:vAlign w:val="center"/>
          </w:tcPr>
          <w:p>
            <w:pPr>
              <w:spacing w:line="240" w:lineRule="auto" w:after="20" w:before="20"/>
              <w:jc w:val="left"/>
            </w:pPr>
            <w:r/>
            <w:r>
              <w:rPr>
                <w:rFonts w:ascii="宋体" w:hAnsi="宋体" w:eastAsia="宋体"/>
                <w:sz w:val="21"/>
              </w:rPr>
              <w:t>西部</w:t>
            </w:r>
          </w:p>
        </w:tc>
        <w:tc>
          <w:tcPr>
            <w:tcW w:type="dxa" w:w="1417"/>
            <w:vAlign w:val="center"/>
          </w:tcPr>
          <w:p>
            <w:pPr>
              <w:spacing w:line="240" w:lineRule="auto" w:after="20" w:before="20"/>
              <w:jc w:val="center"/>
            </w:pPr>
            <w:r/>
            <w:r>
              <w:rPr>
                <w:rFonts w:ascii="宋体" w:hAnsi="宋体" w:eastAsia="宋体"/>
                <w:sz w:val="21"/>
              </w:rPr>
              <w:t>0.650</w:t>
            </w:r>
          </w:p>
        </w:tc>
        <w:tc>
          <w:tcPr>
            <w:tcW w:type="dxa" w:w="1417"/>
            <w:vAlign w:val="center"/>
          </w:tcPr>
          <w:p>
            <w:pPr>
              <w:spacing w:line="240" w:lineRule="auto" w:after="20" w:before="20"/>
              <w:jc w:val="center"/>
            </w:pPr>
            <w:r/>
            <w:r>
              <w:rPr>
                <w:rFonts w:ascii="宋体" w:hAnsi="宋体" w:eastAsia="宋体"/>
                <w:sz w:val="21"/>
              </w:rPr>
              <w:t>0.350</w:t>
            </w:r>
          </w:p>
        </w:tc>
        <w:tc>
          <w:tcPr>
            <w:tcW w:type="dxa" w:w="1417"/>
            <w:vAlign w:val="center"/>
          </w:tcPr>
          <w:p>
            <w:pPr>
              <w:spacing w:line="240" w:lineRule="auto" w:after="20" w:before="20"/>
              <w:jc w:val="center"/>
            </w:pPr>
            <w:r/>
            <w:r>
              <w:rPr>
                <w:rFonts w:ascii="宋体" w:hAnsi="宋体" w:eastAsia="宋体"/>
                <w:sz w:val="21"/>
              </w:rPr>
              <w:t>42.1%</w:t>
            </w:r>
          </w:p>
        </w:tc>
        <w:tc>
          <w:tcPr>
            <w:tcW w:type="dxa" w:w="1417"/>
            <w:vAlign w:val="center"/>
          </w:tcPr>
          <w:p>
            <w:pPr>
              <w:spacing w:line="240" w:lineRule="auto" w:after="20" w:before="20"/>
              <w:jc w:val="center"/>
            </w:pPr>
            <w:r/>
            <w:r>
              <w:rPr>
                <w:rFonts w:ascii="宋体" w:hAnsi="宋体" w:eastAsia="宋体"/>
                <w:sz w:val="21"/>
              </w:rPr>
              <w:t>34.1%</w:t>
            </w:r>
          </w:p>
        </w:tc>
        <w:tc>
          <w:tcPr>
            <w:tcW w:type="dxa" w:w="1417"/>
            <w:vAlign w:val="center"/>
          </w:tcPr>
          <w:p>
            <w:pPr>
              <w:spacing w:line="240" w:lineRule="auto" w:after="20" w:before="20"/>
              <w:jc w:val="center"/>
            </w:pPr>
            <w:r/>
            <w:r>
              <w:rPr>
                <w:rFonts w:ascii="宋体" w:hAnsi="宋体" w:eastAsia="宋体"/>
                <w:sz w:val="21"/>
              </w:rPr>
              <w:t>23.8%</w:t>
            </w:r>
          </w:p>
        </w:tc>
      </w:tr>
    </w:tbl>
    <w:p>
      <w:pPr>
        <w:spacing w:after="200" w:line="240" w:lineRule="auto"/>
      </w:pPr>
      <w:r>
        <w:rPr>
          <w:rFonts w:ascii="宋体" w:hAnsi="宋体" w:eastAsia="宋体"/>
          <w:sz w:val="18"/>
        </w:rPr>
        <w:t>注：TE为标准执行效率，PEL=1−TE为政策有效性损失；三源占比按式(11-13)计算并以PEL加权聚合，经归一化处理。数据来源：本书SFA估计与Oaxaca-Blinder分解结果。</w:t>
      </w:r>
    </w:p>
    <w:p>
      <w:pPr>
        <w:keepNext/>
        <w:spacing w:before="160" w:after="120" w:line="360" w:lineRule="auto"/>
        <w:outlineLvl w:val="2"/>
      </w:pPr>
      <w:r>
        <w:rPr>
          <w:rFonts w:ascii="黑体" w:hAnsi="黑体" w:eastAsia="黑体"/>
          <w:sz w:val="24"/>
        </w:rPr>
        <w:t>11.6.3  靶向政策含义</w:t>
      </w:r>
    </w:p>
    <w:p>
      <w:pPr>
        <w:spacing w:line="360" w:lineRule="auto" w:after="0"/>
        <w:ind w:firstLineChars="200" w:firstLine="480"/>
        <w:jc w:val="both"/>
      </w:pPr>
      <w:r>
        <w:rPr>
          <w:rFonts w:ascii="宋体" w:hAnsi="宋体" w:eastAsia="宋体"/>
          <w:sz w:val="24"/>
        </w:rPr>
        <w:t>三源分解将“提高执行效率”的一般号召转化为分区域、分维度的靶向清单。对西部，补供给优先：将第9章横向补短板清单中与西部资源禀赋高度相关的碳汇计量监测、生态产品价值实现、清洁能源标准置于优先序——西部既是碳汇资源与可再生能源的富集区，也是第8章识别的碳吸收模块缺口的主要承压区，供给下沉与禀赋开发可以相互成就（蓝虹和杜彦霖，2024）；同时以中央与东部对口标准化援助、行业标准实施指南与技术服务下沉、地方标准制定能力建设，弥合“有标准而无配套”的落地断层。对东部，促协调优先：深化区域标准一体化与合格评定结果互认，打通部门间排放数据、认证信息的共享壁垒，以数字化监管整合多头执法；东部的实践还承担着为全国探路的功能——其协调机制创新可经制度化后向中西部推广。对中部，则宜综合施策，在承接产业转移中同步承接标准执行能力，防止高碳产业空间转移演变为执行洼地转移。</w:t>
      </w:r>
    </w:p>
    <w:p>
      <w:pPr>
        <w:spacing w:line="360" w:lineRule="auto" w:after="0"/>
        <w:ind w:firstLineChars="200" w:firstLine="480"/>
        <w:jc w:val="both"/>
      </w:pPr>
      <w:r>
        <w:rPr>
          <w:rFonts w:ascii="宋体" w:hAnsi="宋体" w:eastAsia="宋体"/>
          <w:sz w:val="24"/>
        </w:rPr>
        <w:t>激励维度的政策则须全国统筹。激励不完善损失占比在三大区域间几乎不变（均在34.1%至35.2%之间），表明其根源不在地方执行差异，而在全国统一制度的成熟度：碳市场的覆盖范围与价格信号强度、自愿减排市场的项目类型与方法学供给、绿色金融与标准符合性的挂钩深度，均属中央层面的制度供给。2024年1月全国温室气体自愿减排交易市场重启、2025年碳市场扩围至钢铁、水泥、铝冶炼，正是朝此方向的重要步伐；下一步的关键在于强制与自愿市场的协同机制设计，以及碳定价信号向标准执行激励的传导（张奕辉，2024；张一林等，2025）；碳价信号的激励作用还有赖于稳定的政策预期，气候政策不确定性会显著扰动碳市场价格（Su等，2024）。激励制度的全国性改进，将同时压缩三大区域约三分之一的损耗，是收益面最广的一项杠杆。</w:t>
      </w:r>
    </w:p>
    <w:p>
      <w:pPr>
        <w:spacing w:line="360" w:lineRule="auto" w:after="0"/>
        <w:ind w:firstLineChars="200" w:firstLine="480"/>
        <w:jc w:val="both"/>
      </w:pPr>
      <w:r>
        <w:rPr>
          <w:rFonts w:ascii="宋体" w:hAnsi="宋体" w:eastAsia="宋体"/>
          <w:sz w:val="24"/>
        </w:rPr>
        <w:t>最后，分解结果完成了本章在全书闭环中的反馈职能。供给不足损失的区域分布，要求第9章的补短板清单从全国一张表细化为区域差异化的优先序；激励不完善损失的普遍性，要求第10章的动态更新机制在“技术—政策偏离度”触发之外增加执行反馈通道——将效率监测结果纳入标准复审与修订的启动条件；协调失灵损失在发达地区的凸显，则要求第9章的层级衔接机制向横向部门衔接与区域衔接延伸。评估不是终点，而是体系再优化的起点。</w:t>
      </w:r>
    </w:p>
    <w:p>
      <w:pPr>
        <w:keepNext/>
        <w:spacing w:before="160" w:after="120" w:line="360" w:lineRule="auto"/>
        <w:outlineLvl w:val="1"/>
      </w:pPr>
      <w:r>
        <w:rPr>
          <w:rFonts w:ascii="黑体" w:hAnsi="黑体" w:eastAsia="黑体"/>
          <w:sz w:val="28"/>
        </w:rPr>
        <w:t>11.7  本章小结</w:t>
      </w:r>
    </w:p>
    <w:p>
      <w:pPr>
        <w:spacing w:line="360" w:lineRule="auto" w:after="0"/>
        <w:ind w:firstLineChars="200" w:firstLine="480"/>
        <w:jc w:val="both"/>
      </w:pPr>
      <w:r>
        <w:rPr>
          <w:rFonts w:ascii="宋体" w:hAnsi="宋体" w:eastAsia="宋体"/>
          <w:sz w:val="24"/>
        </w:rPr>
        <w:t>本章完成了适配性评估模块的对内评估任务，构建了“随机前沿估计—执行效率测算—政策效能损耗分解”的完整分析链条。方法上，以Battese-Coelli一步法模型将执行效率的测算与决定因素的识别统一于同一极大似然框架，推导了截断正态复合误差下的边际密度、对数似然与条件效率预测公式；在此基础上引入Oaxaca-Blinder反事实分解，以最优实践为基准将政策有效性损失拆解为供给不足、激励不完善与协调失灵三个来源，实现了从“测量损耗”到“归因损耗”的方法推进。基于30个省份2010—2025年480个观测的估计，得到四点主要发现。</w:t>
      </w:r>
    </w:p>
    <w:p>
      <w:pPr>
        <w:spacing w:line="360" w:lineRule="auto" w:after="0"/>
        <w:ind w:firstLineChars="200" w:firstLine="480"/>
        <w:jc w:val="both"/>
      </w:pPr>
      <w:r>
        <w:rPr>
          <w:rFonts w:ascii="宋体" w:hAnsi="宋体" w:eastAsia="宋体"/>
          <w:sz w:val="24"/>
        </w:rPr>
        <w:t>第一，执行无效率真实存在且构成绩效差异的主体：方差比γ=0.83表明复合误差方差的83%源自执行差异，LR统计量86.4在1%水平上拒绝无效率不存在的原假设；三类执行资源的产出弹性合计0.593，规模报酬递减，外延式投入的空间有限。第二，效率决定因素的作用排序为标准完整性（-0.428）、激励强度（-0.365）、协调效率（-0.291），三者均在1%水平上显著为负——体系“成龙配套”比标准“多多益善”更关键，激励相容与部门协同是同一枚硬币的另外两面。第三，执行效率呈“稳步上行、梯度分布”的时空格局：全国均值16年间由0.612升至0.734，损失相应由0.388降至0.266；但2025年东部（0.78）、中部（0.71）、西部（0.65）的阶梯依然陡峭，省际分布“整体右移而未收敛”。第四，损耗的三源结构为供给不足38.2%、激励不完善34.6%、协调失灵27.2%，且呈“西部供给主导、东部三源均衡、激励全国同构”的区域图案，靶向政策的分工由此清晰：供给下沉于西部、协调深耕于东部、激励统筹于中央。</w:t>
      </w:r>
    </w:p>
    <w:p>
      <w:pPr>
        <w:spacing w:line="360" w:lineRule="auto" w:after="0"/>
        <w:ind w:firstLineChars="200" w:firstLine="480"/>
        <w:jc w:val="both"/>
      </w:pPr>
      <w:r>
        <w:rPr>
          <w:rFonts w:ascii="宋体" w:hAnsi="宋体" w:eastAsia="宋体"/>
          <w:sz w:val="24"/>
        </w:rPr>
        <w:t>这些结论对第9—10章的体系设计构成直接反馈，也初步勾勒出标准执行保障机制的三根支柱：以区域差异化的补短板清单充实供给支柱，以碳市场、绿色金融与双控考核的联动强化激励支柱，以跨部门数据贯通与区域互认筑牢协调支柱。执行保障由此不再是标准体系的外部附属，而是与文本体系同构共生的制度体系——这一思想将在第14章的政策建议中系统展开。</w:t>
      </w:r>
    </w:p>
    <w:p>
      <w:pPr>
        <w:spacing w:line="360" w:lineRule="auto" w:after="0"/>
        <w:ind w:firstLineChars="200" w:firstLine="480"/>
        <w:jc w:val="both"/>
      </w:pPr>
      <w:r>
        <w:rPr>
          <w:rFonts w:ascii="宋体" w:hAnsi="宋体" w:eastAsia="宋体"/>
          <w:sz w:val="24"/>
        </w:rPr>
        <w:t>本章的评估以国内政策目标为基准，回答的是标准体系“对内行不行”的问题。然而在CBAM正式实施、国际绿色贸易规则加速重构的背景下，中国标准即便对内执行良好，若与国际通行标准存在系统性差距，仍将在国际市场付出真金白银的代价。标准体系“对外接不接得上”，需要另一套评估框架来回答。第12章将构建国际标准差距指数与综合国际适配性指数，把评估的视野从国内执行转向国际接轨。</w:t>
      </w:r>
    </w:p>
    <w:p>
      <w:r>
        <w:br w:type="page"/>
      </w:r>
    </w:p>
    <w:p>
      <w:pPr>
        <w:keepNext/>
        <w:spacing w:before="240" w:after="160" w:line="360" w:lineRule="auto"/>
        <w:jc w:val="center"/>
        <w:outlineLvl w:val="0"/>
      </w:pPr>
      <w:r>
        <w:rPr>
          <w:rFonts w:ascii="黑体" w:hAnsi="黑体" w:eastAsia="黑体"/>
          <w:b/>
          <w:sz w:val="30"/>
        </w:rPr>
        <w:t>第12章  国际适配性评估：标准差距与贸易经济影响</w:t>
      </w:r>
    </w:p>
    <w:p>
      <w:pPr>
        <w:spacing w:line="360" w:lineRule="auto" w:after="0"/>
        <w:ind w:firstLineChars="200" w:firstLine="480"/>
        <w:jc w:val="both"/>
      </w:pPr>
      <w:r>
        <w:rPr>
          <w:rFonts w:ascii="宋体" w:hAnsi="宋体" w:eastAsia="宋体"/>
          <w:sz w:val="24"/>
        </w:rPr>
        <w:t>第11章从对内维度考察了标准体系与“双碳”政策目标的适配程度，本章转向对外维度，回答本书第三个科学问题的另一半：中国绿色低碳标准体系与国际通行标准的接轨程度如何？差距在哪里？差距值多少钱？这一问题在2026年之前尚属前瞻性议题，如今已是现实的财务命题：《欧盟碳边境调节机制条例》于2023年5月正式立法生效，2023年10月1日进入过渡期，2026年1月1日起进入正式实施期——自此，出口欧盟的水泥、钢铁、铝、化肥、电力、氢六类产品必须由授权申报人购买CBAM证书为其隐含排放付费，而证书价格与EU ETS配额拍卖价直接挂钩，2026年第一季度已公布为75.36欧元/吨。标准差距由此获得了明确的价格：产品隐含排放能否按中国核算结果获得认可、在华已付碳价能否获得抵扣、第三方核查结论能否被欧盟采信，每一环都取决于中国标准与国际规则的适配程度，每一环的差距都直接折算为出口成本。</w:t>
      </w:r>
    </w:p>
    <w:p>
      <w:pPr>
        <w:spacing w:line="360" w:lineRule="auto" w:after="0"/>
        <w:ind w:firstLineChars="200" w:firstLine="480"/>
        <w:jc w:val="both"/>
      </w:pPr>
      <w:r>
        <w:rPr>
          <w:rFonts w:ascii="宋体" w:hAnsi="宋体" w:eastAsia="宋体"/>
          <w:sz w:val="24"/>
        </w:rPr>
        <w:t>为把这种“差距—成本”关系刻画清楚，本章构建“差距测度—影响量化”的两步评估框架：第一步，在核算边界、排放因子、生命周期范围、第三方核查、数据质量、行业覆盖、更新频率、市场衔接八个维度上逐一比对中外标准，构建国际标准差距指数（ISGI）与综合国际适配性指数（CIAI）；第二步，将适配指数映射为动态投入产出模型中的碳价抵扣系数，模拟2026—2030年CBAM对高碳行业的碳关税负担与产出冲击，并测算适配性改进的经济价值。本章结构安排如下：12.1节阐述评估逻辑与两步框架；12.2节给出ISGI与CIAI的构建方法；12.3节报告维度与行业两个层面的测算结果；12.4节推导动态投入产出模型与碳关税传导机制；12.5节开展CBAM情景模拟；12.6节测算适配性改进的经济价值并给出改进优先序；12.7节总结全章。</w:t>
      </w:r>
    </w:p>
    <w:p>
      <w:pPr>
        <w:keepNext/>
        <w:spacing w:before="160" w:after="120" w:line="360" w:lineRule="auto"/>
        <w:outlineLvl w:val="1"/>
      </w:pPr>
      <w:r>
        <w:rPr>
          <w:rFonts w:ascii="黑体" w:hAnsi="黑体" w:eastAsia="黑体"/>
          <w:sz w:val="28"/>
        </w:rPr>
        <w:t>12.1  评估逻辑与两步框架</w:t>
      </w:r>
    </w:p>
    <w:p>
      <w:pPr>
        <w:keepNext/>
        <w:spacing w:before="160" w:after="120" w:line="360" w:lineRule="auto"/>
        <w:outlineLvl w:val="2"/>
      </w:pPr>
      <w:r>
        <w:rPr>
          <w:rFonts w:ascii="黑体" w:hAnsi="黑体" w:eastAsia="黑体"/>
          <w:sz w:val="24"/>
        </w:rPr>
        <w:t>12.1.1  从贸易压力到评估命题：为什么要测国际适配性</w:t>
      </w:r>
    </w:p>
    <w:p>
      <w:pPr>
        <w:spacing w:line="360" w:lineRule="auto" w:after="0"/>
        <w:ind w:firstLineChars="200" w:firstLine="480"/>
        <w:jc w:val="both"/>
      </w:pPr>
      <w:r>
        <w:rPr>
          <w:rFonts w:ascii="宋体" w:hAnsi="宋体" w:eastAsia="宋体"/>
          <w:sz w:val="24"/>
        </w:rPr>
        <w:t>国际适配性之所以成为标准体系评估不可缺省的维度，根源在于绿色低碳标准的规则外溢机制。理论上，这一机制被概括为“布鲁塞尔效应”：欧盟凭借统一大市场的规模优势，使其单方面制定的规制标准经由市场准入条件外部化为事实上的全球标准（Bradford，2015；Bradford，2020）。绿色低碳领域是这一效应发挥最充分的场域——从PAS 2050到ISO 14067的碳足迹规则（冯相昭等，2010；Wu等，2015），从EU ETS到CBAM的碳定价规则（Ellerman等，2010；Mehling等，2019），欧盟大多是首发者与模板提供者，国际标准组织的私人治理网络又进一步放大了先行者的规则塑造力（Büthe和Mattli，2011）。对出口导向的制造业大国而言，这意味着标准主权的部分让渡：本国标准若不能与国际通行规则衔接，出口企业就必须承担双重核算、重复认证乃至按对方缺省值计费的合规成本，绿色贸易壁垒对企业既可能产生倒逼升级的正效应，也可能形成挤压利润的陷阱效应（陆婷和徐奇渊，2023；刘长松，2024）。</w:t>
      </w:r>
    </w:p>
    <w:p>
      <w:pPr>
        <w:spacing w:line="360" w:lineRule="auto" w:after="0"/>
        <w:ind w:firstLineChars="200" w:firstLine="480"/>
        <w:jc w:val="both"/>
      </w:pPr>
      <w:r>
        <w:rPr>
          <w:rFonts w:ascii="宋体" w:hAnsi="宋体" w:eastAsia="宋体"/>
          <w:sz w:val="24"/>
        </w:rPr>
        <w:t>CBAM将上述抽象机制具体化为可计算的贸易成本。从制度设计看，CBAM要求进口产品按欧盟认可的方法核算隐含排放，允许扣减在原产国已实际支付的碳价，无核证数据者按欧盟缺省值计费（Cosbey等，2019；Marcu等，2020）；2025年10月生效的Omnibus简化条例以每年50吨的单一质量门槛豁免了约九成进口商（多为中小企业），却仍保留约99%的隐含排放覆盖，且电力与氢不适用豁免——规制重心恰恰锁定大宗高碳产品。从暴露规模看，按2022年口径，中国对欧盟出口CBAM覆盖商品约205亿美元，其中钢铁约146亿美元、铝约55亿美元，钢铁占受影响出口的九成以上；六类商品合计仅占中国对欧出口总额约0.8%，总量占比虽小，但高度集中于少数高碳行业，行业层面的冲击强度远超总量印象（陈诗一和朱渝铖，2024；杨茹凯，2025）。更重要的是价差基础：2025年EUA年均价约73欧元/吨，同年全国碳市场成交均价为62.36元/吨，以同一币种折算，中欧碳价相差近十倍，这一价差乘以隐含排放，就是理论上的单位产品关税敞口。</w:t>
      </w:r>
    </w:p>
    <w:p>
      <w:pPr>
        <w:spacing w:line="360" w:lineRule="auto" w:after="0"/>
        <w:ind w:firstLineChars="200" w:firstLine="480"/>
        <w:jc w:val="both"/>
      </w:pPr>
      <w:r>
        <w:rPr>
          <w:rFonts w:ascii="宋体" w:hAnsi="宋体" w:eastAsia="宋体"/>
          <w:sz w:val="24"/>
        </w:rPr>
        <w:t>既有讨论多将CBAM冲击归因于碳价差距，本章强调一个被低估的变量：标准差距。碳价差距决定潜在税基的价格，标准差距决定这一价格在多大比例上落到中国企业头上——隐含排放按实测数据还是按惩罚性缺省值计费，取决于核算与核查标准的互认；在华已付碳价能否抵扣、抵扣多少，取决于碳市场机制与欧盟规则的衔接程度。换言之，碳价差距是“汇率”，标准差距是“折算规则”，后者的改进空间恰恰掌握在中国自己手中。国际经验也表明，标准协调本身就是贸易促进的制度基础设施：全球标准协调显著促进伙伴国贸易与合作（侯俊军等，2025），自愿性国际标准的采纳系统性地改变企业出口决策（王明涛等，2025）。因此，国际适配性评估不是抽象的接轨程度打分，而是对一项可操作政策变量——标准差距——的成本核算，这正是本章框架设计的出发点。</w:t>
      </w:r>
    </w:p>
    <w:p>
      <w:pPr>
        <w:keepNext/>
        <w:spacing w:before="160" w:after="120" w:line="360" w:lineRule="auto"/>
        <w:outlineLvl w:val="2"/>
      </w:pPr>
      <w:r>
        <w:rPr>
          <w:rFonts w:ascii="黑体" w:hAnsi="黑体" w:eastAsia="黑体"/>
          <w:sz w:val="24"/>
        </w:rPr>
        <w:t>12.1.2  两步评估框架：差距测度与影响量化</w:t>
      </w:r>
    </w:p>
    <w:p>
      <w:pPr>
        <w:spacing w:line="360" w:lineRule="auto" w:after="0"/>
        <w:ind w:firstLineChars="200" w:firstLine="480"/>
        <w:jc w:val="both"/>
      </w:pPr>
      <w:r>
        <w:rPr>
          <w:rFonts w:ascii="宋体" w:hAnsi="宋体" w:eastAsia="宋体"/>
          <w:sz w:val="24"/>
        </w:rPr>
        <w:t>本章的评估框架由“测差距”与“测影响”两步构成，以适配调节系数为桥梁衔接。第一步是差距测度：以ISO/IEC相关标准、GHG Protocol体系与欧盟CBAM实施规则为国际基准，在八个维度上对中国现行绿色低碳标准逐一比对评分，得到维度层面的国际标准差距指数ISGI；再以贸易额权重加权综合，得到行业层面的综合国际适配性指数CIAI。第二步是影响量化：将CIAI映射为碳关税方程中的适配调节系数θ——即中国碳价与核算结果获得欧盟认可的有效比例——嵌入动态投入产出模型，模拟碳关税经由出口需求收缩沿产业关联链条传导的产出损失，并通过基准与适配改进情景的对比，测算适配性改进的经济价值。</w:t>
      </w:r>
    </w:p>
    <w:p>
      <w:pPr>
        <w:spacing w:line="360" w:lineRule="auto" w:after="0"/>
        <w:ind w:firstLineChars="200" w:firstLine="480"/>
        <w:jc w:val="both"/>
      </w:pPr>
      <w:r>
        <w:rPr>
          <w:rFonts w:ascii="宋体" w:hAnsi="宋体" w:eastAsia="宋体"/>
          <w:sz w:val="24"/>
        </w:rPr>
        <w:t>图12.1展示了框架的完整逻辑链条。由图12.1可见，左侧为差距测度环节：八个比较维度经标准文本比对与专家逐维评分生成ISGI，贸易额权重将其压缩为行业CIAI；中部为映射环节：CIAI决定适配调节系数θ，θ与中欧碳价差共同决定碳关税方程；右侧为影响量化环节：碳关税折算为从价成本，经出口需求方程转化为最终需求冲击，再经列昂惕夫逆矩阵放大为全行业产出损失。框架的反馈回路同样清晰：情景对比给出的维度改进优先序，反馈至第9章的国际衔接接口设计与第10章的动态更新机制，构成本书“评估—反馈—优化”闭环的对外一翼。这一设计有两点方法论考量：其一，差距测度与影响量化分离，使评分结果可以独立检验、独立更新；其二，以θ为唯一桥梁变量，使“标准差距值多少钱”的问题有了明确的边际分析入口——后文式(12-12)的边际收益排序正是建立在这一入口之上。</w:t>
      </w:r>
    </w:p>
    <w:p>
      <w:pPr>
        <w:spacing w:before="120" w:after="40"/>
        <w:jc w:val="center"/>
      </w:pPr>
      <w:r>
        <w:drawing>
          <wp:inline xmlns:a="http://schemas.openxmlformats.org/drawingml/2006/main" xmlns:pic="http://schemas.openxmlformats.org/drawingml/2006/picture">
            <wp:extent cx="4860000" cy="3020711"/>
            <wp:docPr id="40" name="Picture 40"/>
            <wp:cNvGraphicFramePr>
              <a:graphicFrameLocks noChangeAspect="1"/>
            </wp:cNvGraphicFramePr>
            <a:graphic>
              <a:graphicData uri="http://schemas.openxmlformats.org/drawingml/2006/picture">
                <pic:pic>
                  <pic:nvPicPr>
                    <pic:cNvPr id="0" name="fig12_1.png"/>
                    <pic:cNvPicPr/>
                  </pic:nvPicPr>
                  <pic:blipFill>
                    <a:blip r:embed="rId48"/>
                    <a:stretch>
                      <a:fillRect/>
                    </a:stretch>
                  </pic:blipFill>
                  <pic:spPr>
                    <a:xfrm>
                      <a:off x="0" y="0"/>
                      <a:ext cx="4860000" cy="3020711"/>
                    </a:xfrm>
                    <a:prstGeom prst="rect"/>
                  </pic:spPr>
                </pic:pic>
              </a:graphicData>
            </a:graphic>
          </wp:inline>
        </w:drawing>
      </w:r>
    </w:p>
    <w:p>
      <w:pPr>
        <w:keepNext w:val="0"/>
        <w:spacing w:after="200"/>
        <w:jc w:val="center"/>
      </w:pPr>
      <w:r>
        <w:rPr>
          <w:rFonts w:ascii="黑体" w:hAnsi="黑体" w:eastAsia="黑体"/>
          <w:sz w:val="21"/>
        </w:rPr>
        <w:t>图12.1  国际适配性评估的ISGI-CIAI分析框架</w:t>
      </w:r>
    </w:p>
    <w:p>
      <w:pPr>
        <w:keepNext/>
        <w:spacing w:before="160" w:after="120" w:line="360" w:lineRule="auto"/>
        <w:outlineLvl w:val="2"/>
      </w:pPr>
      <w:r>
        <w:rPr>
          <w:rFonts w:ascii="黑体" w:hAnsi="黑体" w:eastAsia="黑体"/>
          <w:sz w:val="24"/>
        </w:rPr>
        <w:t>12.1.3  与既有研究的方法论对话</w:t>
      </w:r>
    </w:p>
    <w:p>
      <w:pPr>
        <w:spacing w:line="360" w:lineRule="auto" w:after="0"/>
        <w:ind w:firstLineChars="200" w:firstLine="480"/>
        <w:jc w:val="both"/>
      </w:pPr>
      <w:r>
        <w:rPr>
          <w:rFonts w:ascii="宋体" w:hAnsi="宋体" w:eastAsia="宋体"/>
          <w:sz w:val="24"/>
        </w:rPr>
        <w:t>CBAM经济影响的量化研究已形成可观文献。国际方面，可计算一般均衡与贸易引力模型是主流工具：早期研究聚焦碳泄漏与边境调节的有效性之争（Böhringer等，2010；Branger和Quirion，2014），指出边境调节在缓解泄漏的同时会将减排成本转嫁给贸易伙伴（Böhringer等，2022）；近期研究转向CBAM的分配效应，发现其对发展中经济体出口的冲击显著大于对欧盟自身的保护收益（Bellora和Fontagné，2023；Magacho等，2024），不参与国际碳定价安排的国家将承受福利损失（Larch和Wanner，2024），而各国对边境调节的立场差异也由此内生（Overland和Sabyrbekov，2022）。国内方面，学者以动态CGE与内生碳价一般均衡模型测算了CBAM对中国出口、减排与福利的影响（陈诗一和朱渝铖，2024；王欢欢和吴骁骏，2025），并评估了全国碳市场扩容提价对碳关税的对冲作用（段玉婉等，2023；张兵兵等，2025）。</w:t>
      </w:r>
    </w:p>
    <w:p>
      <w:pPr>
        <w:spacing w:line="360" w:lineRule="auto" w:after="0"/>
        <w:ind w:firstLineChars="200" w:firstLine="480"/>
        <w:jc w:val="both"/>
      </w:pPr>
      <w:r>
        <w:rPr>
          <w:rFonts w:ascii="宋体" w:hAnsi="宋体" w:eastAsia="宋体"/>
          <w:sz w:val="24"/>
        </w:rPr>
        <w:t>相对于上述文献，本章框架的边际贡献在于将标准差距显性化为可操作的政策变量。既有模型中，碳关税负担由碳价差与排放强度外生决定，制度性摩擦要么被忽略，要么被压缩进不可分解的贸易成本参数；而现实中CBAM的执行细节——实测数据与缺省值的选择、已付碳价的认定、核查结论的采信——恰恰由标准与认证制度决定。本章以八维度ISGI打开这一黑箱，以θ系数将其嵌入关税方程，使模拟结果不仅能回答“CBAM冲击多大”，更能回答“补齐哪块标准短板能削减多少冲击”。前一个问题的答案指向被动承受，后一个问题的答案指向主动作为，这正是适配性评估区别于冲击评估的政策价值所在。当然，两步框架以局部均衡的投入产出体系为载体，不刻画价格内生调整与全球贸易再配置，量级解读须与CGE结果相互参照，这一点将在12.5.3节专门讨论。</w:t>
      </w:r>
    </w:p>
    <w:p>
      <w:pPr>
        <w:keepNext/>
        <w:spacing w:before="160" w:after="120" w:line="360" w:lineRule="auto"/>
        <w:outlineLvl w:val="1"/>
      </w:pPr>
      <w:r>
        <w:rPr>
          <w:rFonts w:ascii="黑体" w:hAnsi="黑体" w:eastAsia="黑体"/>
          <w:sz w:val="28"/>
        </w:rPr>
        <w:t>12.2  ISGI与CIAI的构建</w:t>
      </w:r>
    </w:p>
    <w:p>
      <w:pPr>
        <w:keepNext/>
        <w:spacing w:before="160" w:after="120" w:line="360" w:lineRule="auto"/>
        <w:outlineLvl w:val="2"/>
      </w:pPr>
      <w:r>
        <w:rPr>
          <w:rFonts w:ascii="黑体" w:hAnsi="黑体" w:eastAsia="黑体"/>
          <w:sz w:val="24"/>
        </w:rPr>
        <w:t>12.2.1  八维度比较体系与评分标准</w:t>
      </w:r>
    </w:p>
    <w:p>
      <w:pPr>
        <w:spacing w:line="360" w:lineRule="auto" w:after="0"/>
        <w:ind w:firstLineChars="200" w:firstLine="480"/>
        <w:jc w:val="both"/>
      </w:pPr>
      <w:r>
        <w:rPr>
          <w:rFonts w:ascii="宋体" w:hAnsi="宋体" w:eastAsia="宋体"/>
          <w:sz w:val="24"/>
        </w:rPr>
        <w:t>维度体系的设计遵循两条原则：覆盖标准全生命周期的技术环节，并突出与贸易合规直接相关的制度环节。据此确定八个比较维度。核算边界与排放因子构成碳核算的方法学基础，国际比较研究表明，核算体系间的边界与因子差异是企业碳数据不可比的首要来源（陈红敏，2011；He等，2022）；生命周期范围对应产品碳足迹的系统边界与分配规则，是CBAM隐含排放核算的技术内核（童庆蒙等，2018；Klaaßen和Stoll，2021）；第三方核查与数据质量构成碳数据可信性的制度保障，欧盟对核查机构资质与数据实测比例的要求直接决定中国数据能否被采信；行业覆盖度量标准体系的广度，更新频率度量其与技术迭代的同步性；市场衔接则度量标准与碳市场、绿色认证、绿色金融等市场机制的耦合程度及其跨境互认状态——绿色电力证书能否进入产品碳足迹抵扣，即属此维度（Bjørn等，2022）。表12.1给出各维度的比较内容、国际基准与评分要点。</w:t>
      </w:r>
    </w:p>
    <w:p>
      <w:pPr>
        <w:keepNext/>
        <w:spacing w:before="160" w:after="40"/>
        <w:jc w:val="center"/>
      </w:pPr>
      <w:r>
        <w:rPr>
          <w:rFonts w:ascii="黑体" w:hAnsi="黑体" w:eastAsia="黑体"/>
          <w:sz w:val="21"/>
        </w:rPr>
        <w:t>表12.1  国际适配性评估的八维度评分标准</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835"/>
        <w:gridCol w:w="2835"/>
        <w:gridCol w:w="2835"/>
      </w:tblGrid>
      <w:tr>
        <w:tc>
          <w:tcPr>
            <w:tcW w:type="dxa" w:w="2835"/>
            <w:tcBorders>
              <w:bottom w:val="single" w:sz="6" w:color="000000"/>
            </w:tcBorders>
            <w:vAlign w:val="center"/>
          </w:tcPr>
          <w:p>
            <w:pPr>
              <w:spacing w:line="240" w:lineRule="auto" w:after="20" w:before="20"/>
              <w:jc w:val="center"/>
            </w:pPr>
            <w:r/>
            <w:r>
              <w:rPr>
                <w:rFonts w:ascii="宋体" w:hAnsi="宋体" w:eastAsia="宋体"/>
                <w:b/>
                <w:sz w:val="18"/>
              </w:rPr>
              <w:t>维度</w:t>
            </w:r>
          </w:p>
        </w:tc>
        <w:tc>
          <w:tcPr>
            <w:tcW w:type="dxa" w:w="2835"/>
            <w:tcBorders>
              <w:bottom w:val="single" w:sz="6" w:color="000000"/>
            </w:tcBorders>
            <w:vAlign w:val="center"/>
          </w:tcPr>
          <w:p>
            <w:pPr>
              <w:spacing w:line="240" w:lineRule="auto" w:after="20" w:before="20"/>
              <w:jc w:val="center"/>
            </w:pPr>
            <w:r/>
            <w:r>
              <w:rPr>
                <w:rFonts w:ascii="宋体" w:hAnsi="宋体" w:eastAsia="宋体"/>
                <w:b/>
                <w:sz w:val="18"/>
              </w:rPr>
              <w:t>比较内容与评分要点</w:t>
            </w:r>
          </w:p>
        </w:tc>
        <w:tc>
          <w:tcPr>
            <w:tcW w:type="dxa" w:w="2835"/>
            <w:tcBorders>
              <w:bottom w:val="single" w:sz="6" w:color="000000"/>
            </w:tcBorders>
            <w:vAlign w:val="center"/>
          </w:tcPr>
          <w:p>
            <w:pPr>
              <w:spacing w:line="240" w:lineRule="auto" w:after="20" w:before="20"/>
              <w:jc w:val="center"/>
            </w:pPr>
            <w:r/>
            <w:r>
              <w:rPr>
                <w:rFonts w:ascii="宋体" w:hAnsi="宋体" w:eastAsia="宋体"/>
                <w:b/>
                <w:sz w:val="18"/>
              </w:rPr>
              <w:t>主要国际基准</w:t>
            </w:r>
          </w:p>
        </w:tc>
      </w:tr>
      <w:tr>
        <w:tc>
          <w:tcPr>
            <w:tcW w:type="dxa" w:w="2835"/>
            <w:vAlign w:val="center"/>
          </w:tcPr>
          <w:p>
            <w:pPr>
              <w:spacing w:line="240" w:lineRule="auto" w:after="20" w:before="20"/>
              <w:jc w:val="left"/>
            </w:pPr>
            <w:r/>
            <w:r>
              <w:rPr>
                <w:rFonts w:ascii="宋体" w:hAnsi="宋体" w:eastAsia="宋体"/>
                <w:sz w:val="18"/>
              </w:rPr>
              <w:t>核算边界</w:t>
            </w:r>
          </w:p>
        </w:tc>
        <w:tc>
          <w:tcPr>
            <w:tcW w:type="dxa" w:w="2835"/>
            <w:vAlign w:val="center"/>
          </w:tcPr>
          <w:p>
            <w:pPr>
              <w:spacing w:line="240" w:lineRule="auto" w:after="20" w:before="20"/>
              <w:jc w:val="left"/>
            </w:pPr>
            <w:r/>
            <w:r>
              <w:rPr>
                <w:rFonts w:ascii="宋体" w:hAnsi="宋体" w:eastAsia="宋体"/>
                <w:sz w:val="18"/>
              </w:rPr>
              <w:t>组织、设施、产品三层核算边界界定规则的一致性；范围一、二、三排放的划分与归属</w:t>
            </w:r>
          </w:p>
        </w:tc>
        <w:tc>
          <w:tcPr>
            <w:tcW w:type="dxa" w:w="2835"/>
            <w:vAlign w:val="center"/>
          </w:tcPr>
          <w:p>
            <w:pPr>
              <w:spacing w:line="240" w:lineRule="auto" w:after="20" w:before="20"/>
              <w:jc w:val="left"/>
            </w:pPr>
            <w:r/>
            <w:r>
              <w:rPr>
                <w:rFonts w:ascii="宋体" w:hAnsi="宋体" w:eastAsia="宋体"/>
                <w:sz w:val="18"/>
              </w:rPr>
              <w:t>GHG Protocol、ISO 14064-1、CBAM实施条例</w:t>
            </w:r>
          </w:p>
        </w:tc>
      </w:tr>
      <w:tr>
        <w:tc>
          <w:tcPr>
            <w:tcW w:type="dxa" w:w="2835"/>
            <w:vAlign w:val="center"/>
          </w:tcPr>
          <w:p>
            <w:pPr>
              <w:spacing w:line="240" w:lineRule="auto" w:after="20" w:before="20"/>
              <w:jc w:val="left"/>
            </w:pPr>
            <w:r/>
            <w:r>
              <w:rPr>
                <w:rFonts w:ascii="宋体" w:hAnsi="宋体" w:eastAsia="宋体"/>
                <w:sz w:val="18"/>
              </w:rPr>
              <w:t>排放因子</w:t>
            </w:r>
          </w:p>
        </w:tc>
        <w:tc>
          <w:tcPr>
            <w:tcW w:type="dxa" w:w="2835"/>
            <w:vAlign w:val="center"/>
          </w:tcPr>
          <w:p>
            <w:pPr>
              <w:spacing w:line="240" w:lineRule="auto" w:after="20" w:before="20"/>
              <w:jc w:val="left"/>
            </w:pPr>
            <w:r/>
            <w:r>
              <w:rPr>
                <w:rFonts w:ascii="宋体" w:hAnsi="宋体" w:eastAsia="宋体"/>
                <w:sz w:val="18"/>
              </w:rPr>
              <w:t>缺省因子体系完备性；电力因子的时空分辨率与更新时效；与欧盟缺省值的可比性</w:t>
            </w:r>
          </w:p>
        </w:tc>
        <w:tc>
          <w:tcPr>
            <w:tcW w:type="dxa" w:w="2835"/>
            <w:vAlign w:val="center"/>
          </w:tcPr>
          <w:p>
            <w:pPr>
              <w:spacing w:line="240" w:lineRule="auto" w:after="20" w:before="20"/>
              <w:jc w:val="left"/>
            </w:pPr>
            <w:r/>
            <w:r>
              <w:rPr>
                <w:rFonts w:ascii="宋体" w:hAnsi="宋体" w:eastAsia="宋体"/>
                <w:sz w:val="18"/>
              </w:rPr>
              <w:t>IPCC因子指南、CBAM缺省值规则</w:t>
            </w:r>
          </w:p>
        </w:tc>
      </w:tr>
      <w:tr>
        <w:tc>
          <w:tcPr>
            <w:tcW w:type="dxa" w:w="2835"/>
            <w:vAlign w:val="center"/>
          </w:tcPr>
          <w:p>
            <w:pPr>
              <w:spacing w:line="240" w:lineRule="auto" w:after="20" w:before="20"/>
              <w:jc w:val="left"/>
            </w:pPr>
            <w:r/>
            <w:r>
              <w:rPr>
                <w:rFonts w:ascii="宋体" w:hAnsi="宋体" w:eastAsia="宋体"/>
                <w:sz w:val="18"/>
              </w:rPr>
              <w:t>生命周期范围</w:t>
            </w:r>
          </w:p>
        </w:tc>
        <w:tc>
          <w:tcPr>
            <w:tcW w:type="dxa" w:w="2835"/>
            <w:vAlign w:val="center"/>
          </w:tcPr>
          <w:p>
            <w:pPr>
              <w:spacing w:line="240" w:lineRule="auto" w:after="20" w:before="20"/>
              <w:jc w:val="left"/>
            </w:pPr>
            <w:r/>
            <w:r>
              <w:rPr>
                <w:rFonts w:ascii="宋体" w:hAnsi="宋体" w:eastAsia="宋体"/>
                <w:sz w:val="18"/>
              </w:rPr>
              <w:t>产品碳足迹系统边界、取舍准则与共生产品分配方法；行业细则覆盖</w:t>
            </w:r>
          </w:p>
        </w:tc>
        <w:tc>
          <w:tcPr>
            <w:tcW w:type="dxa" w:w="2835"/>
            <w:vAlign w:val="center"/>
          </w:tcPr>
          <w:p>
            <w:pPr>
              <w:spacing w:line="240" w:lineRule="auto" w:after="20" w:before="20"/>
              <w:jc w:val="left"/>
            </w:pPr>
            <w:r/>
            <w:r>
              <w:rPr>
                <w:rFonts w:ascii="宋体" w:hAnsi="宋体" w:eastAsia="宋体"/>
                <w:sz w:val="18"/>
              </w:rPr>
              <w:t>ISO 14040/14044、ISO 14067、PAS 2050</w:t>
            </w:r>
          </w:p>
        </w:tc>
      </w:tr>
      <w:tr>
        <w:tc>
          <w:tcPr>
            <w:tcW w:type="dxa" w:w="2835"/>
            <w:vAlign w:val="center"/>
          </w:tcPr>
          <w:p>
            <w:pPr>
              <w:spacing w:line="240" w:lineRule="auto" w:after="20" w:before="20"/>
              <w:jc w:val="left"/>
            </w:pPr>
            <w:r/>
            <w:r>
              <w:rPr>
                <w:rFonts w:ascii="宋体" w:hAnsi="宋体" w:eastAsia="宋体"/>
                <w:sz w:val="18"/>
              </w:rPr>
              <w:t>第三方核查</w:t>
            </w:r>
          </w:p>
        </w:tc>
        <w:tc>
          <w:tcPr>
            <w:tcW w:type="dxa" w:w="2835"/>
            <w:vAlign w:val="center"/>
          </w:tcPr>
          <w:p>
            <w:pPr>
              <w:spacing w:line="240" w:lineRule="auto" w:after="20" w:before="20"/>
              <w:jc w:val="left"/>
            </w:pPr>
            <w:r/>
            <w:r>
              <w:rPr>
                <w:rFonts w:ascii="宋体" w:hAnsi="宋体" w:eastAsia="宋体"/>
                <w:sz w:val="18"/>
              </w:rPr>
              <w:t>核查机构资质认可制度；核查程序与抽样规则严格性；核查结论跨境互认</w:t>
            </w:r>
          </w:p>
        </w:tc>
        <w:tc>
          <w:tcPr>
            <w:tcW w:type="dxa" w:w="2835"/>
            <w:vAlign w:val="center"/>
          </w:tcPr>
          <w:p>
            <w:pPr>
              <w:spacing w:line="240" w:lineRule="auto" w:after="20" w:before="20"/>
              <w:jc w:val="left"/>
            </w:pPr>
            <w:r/>
            <w:r>
              <w:rPr>
                <w:rFonts w:ascii="宋体" w:hAnsi="宋体" w:eastAsia="宋体"/>
                <w:sz w:val="18"/>
              </w:rPr>
              <w:t>ISO 14064-3、ISO 14065、CBAM认可核查员制度</w:t>
            </w:r>
          </w:p>
        </w:tc>
      </w:tr>
      <w:tr>
        <w:tc>
          <w:tcPr>
            <w:tcW w:type="dxa" w:w="2835"/>
            <w:vAlign w:val="center"/>
          </w:tcPr>
          <w:p>
            <w:pPr>
              <w:spacing w:line="240" w:lineRule="auto" w:after="20" w:before="20"/>
              <w:jc w:val="left"/>
            </w:pPr>
            <w:r/>
            <w:r>
              <w:rPr>
                <w:rFonts w:ascii="宋体" w:hAnsi="宋体" w:eastAsia="宋体"/>
                <w:sz w:val="18"/>
              </w:rPr>
              <w:t>数据质量</w:t>
            </w:r>
          </w:p>
        </w:tc>
        <w:tc>
          <w:tcPr>
            <w:tcW w:type="dxa" w:w="2835"/>
            <w:vAlign w:val="center"/>
          </w:tcPr>
          <w:p>
            <w:pPr>
              <w:spacing w:line="240" w:lineRule="auto" w:after="20" w:before="20"/>
              <w:jc w:val="left"/>
            </w:pPr>
            <w:r/>
            <w:r>
              <w:rPr>
                <w:rFonts w:ascii="宋体" w:hAnsi="宋体" w:eastAsia="宋体"/>
                <w:sz w:val="18"/>
              </w:rPr>
              <w:t>实测数据占比要求；数据质量分级与不确定性评估；计量监测基础设施</w:t>
            </w:r>
          </w:p>
        </w:tc>
        <w:tc>
          <w:tcPr>
            <w:tcW w:type="dxa" w:w="2835"/>
            <w:vAlign w:val="center"/>
          </w:tcPr>
          <w:p>
            <w:pPr>
              <w:spacing w:line="240" w:lineRule="auto" w:after="20" w:before="20"/>
              <w:jc w:val="left"/>
            </w:pPr>
            <w:r/>
            <w:r>
              <w:rPr>
                <w:rFonts w:ascii="宋体" w:hAnsi="宋体" w:eastAsia="宋体"/>
                <w:sz w:val="18"/>
              </w:rPr>
              <w:t>CBAM过渡期报告规则、ISO 14067数据质量要求</w:t>
            </w:r>
          </w:p>
        </w:tc>
      </w:tr>
      <w:tr>
        <w:tc>
          <w:tcPr>
            <w:tcW w:type="dxa" w:w="2835"/>
            <w:vAlign w:val="center"/>
          </w:tcPr>
          <w:p>
            <w:pPr>
              <w:spacing w:line="240" w:lineRule="auto" w:after="20" w:before="20"/>
              <w:jc w:val="left"/>
            </w:pPr>
            <w:r/>
            <w:r>
              <w:rPr>
                <w:rFonts w:ascii="宋体" w:hAnsi="宋体" w:eastAsia="宋体"/>
                <w:sz w:val="18"/>
              </w:rPr>
              <w:t>行业覆盖</w:t>
            </w:r>
          </w:p>
        </w:tc>
        <w:tc>
          <w:tcPr>
            <w:tcW w:type="dxa" w:w="2835"/>
            <w:vAlign w:val="center"/>
          </w:tcPr>
          <w:p>
            <w:pPr>
              <w:spacing w:line="240" w:lineRule="auto" w:after="20" w:before="20"/>
              <w:jc w:val="left"/>
            </w:pPr>
            <w:r/>
            <w:r>
              <w:rPr>
                <w:rFonts w:ascii="宋体" w:hAnsi="宋体" w:eastAsia="宋体"/>
                <w:sz w:val="18"/>
              </w:rPr>
              <w:t>高碳行业核算核查标准覆盖广度；产品与工序层面的颗粒度</w:t>
            </w:r>
          </w:p>
        </w:tc>
        <w:tc>
          <w:tcPr>
            <w:tcW w:type="dxa" w:w="2835"/>
            <w:vAlign w:val="center"/>
          </w:tcPr>
          <w:p>
            <w:pPr>
              <w:spacing w:line="240" w:lineRule="auto" w:after="20" w:before="20"/>
              <w:jc w:val="left"/>
            </w:pPr>
            <w:r/>
            <w:r>
              <w:rPr>
                <w:rFonts w:ascii="宋体" w:hAnsi="宋体" w:eastAsia="宋体"/>
                <w:sz w:val="18"/>
              </w:rPr>
              <w:t>CBAM覆盖产品清单、ISO行业方法学</w:t>
            </w:r>
          </w:p>
        </w:tc>
      </w:tr>
      <w:tr>
        <w:tc>
          <w:tcPr>
            <w:tcW w:type="dxa" w:w="2835"/>
            <w:vAlign w:val="center"/>
          </w:tcPr>
          <w:p>
            <w:pPr>
              <w:spacing w:line="240" w:lineRule="auto" w:after="20" w:before="20"/>
              <w:jc w:val="left"/>
            </w:pPr>
            <w:r/>
            <w:r>
              <w:rPr>
                <w:rFonts w:ascii="宋体" w:hAnsi="宋体" w:eastAsia="宋体"/>
                <w:sz w:val="18"/>
              </w:rPr>
              <w:t>更新频率</w:t>
            </w:r>
          </w:p>
        </w:tc>
        <w:tc>
          <w:tcPr>
            <w:tcW w:type="dxa" w:w="2835"/>
            <w:vAlign w:val="center"/>
          </w:tcPr>
          <w:p>
            <w:pPr>
              <w:spacing w:line="240" w:lineRule="auto" w:after="20" w:before="20"/>
              <w:jc w:val="left"/>
            </w:pPr>
            <w:r/>
            <w:r>
              <w:rPr>
                <w:rFonts w:ascii="宋体" w:hAnsi="宋体" w:eastAsia="宋体"/>
                <w:sz w:val="18"/>
              </w:rPr>
              <w:t>标准复审修订周期；对新工艺、新技术的方法学响应速度</w:t>
            </w:r>
          </w:p>
        </w:tc>
        <w:tc>
          <w:tcPr>
            <w:tcW w:type="dxa" w:w="2835"/>
            <w:vAlign w:val="center"/>
          </w:tcPr>
          <w:p>
            <w:pPr>
              <w:spacing w:line="240" w:lineRule="auto" w:after="20" w:before="20"/>
              <w:jc w:val="left"/>
            </w:pPr>
            <w:r/>
            <w:r>
              <w:rPr>
                <w:rFonts w:ascii="宋体" w:hAnsi="宋体" w:eastAsia="宋体"/>
                <w:sz w:val="18"/>
              </w:rPr>
              <w:t>ISO五年复审惯例、欧盟实施法案更新节奏</w:t>
            </w:r>
          </w:p>
        </w:tc>
      </w:tr>
      <w:tr>
        <w:tc>
          <w:tcPr>
            <w:tcW w:type="dxa" w:w="2835"/>
            <w:vAlign w:val="center"/>
          </w:tcPr>
          <w:p>
            <w:pPr>
              <w:spacing w:line="240" w:lineRule="auto" w:after="20" w:before="20"/>
              <w:jc w:val="left"/>
            </w:pPr>
            <w:r/>
            <w:r>
              <w:rPr>
                <w:rFonts w:ascii="宋体" w:hAnsi="宋体" w:eastAsia="宋体"/>
                <w:sz w:val="18"/>
              </w:rPr>
              <w:t>市场衔接</w:t>
            </w:r>
          </w:p>
        </w:tc>
        <w:tc>
          <w:tcPr>
            <w:tcW w:type="dxa" w:w="2835"/>
            <w:vAlign w:val="center"/>
          </w:tcPr>
          <w:p>
            <w:pPr>
              <w:spacing w:line="240" w:lineRule="auto" w:after="20" w:before="20"/>
              <w:jc w:val="left"/>
            </w:pPr>
            <w:r/>
            <w:r>
              <w:rPr>
                <w:rFonts w:ascii="宋体" w:hAnsi="宋体" w:eastAsia="宋体"/>
                <w:sz w:val="18"/>
              </w:rPr>
              <w:t>标准与碳市场、认证认可、绿色金融机制的耦合；碳价、绿证与减排量的跨境互认</w:t>
            </w:r>
          </w:p>
        </w:tc>
        <w:tc>
          <w:tcPr>
            <w:tcW w:type="dxa" w:w="2835"/>
            <w:vAlign w:val="center"/>
          </w:tcPr>
          <w:p>
            <w:pPr>
              <w:spacing w:line="240" w:lineRule="auto" w:after="20" w:before="20"/>
              <w:jc w:val="left"/>
            </w:pPr>
            <w:r/>
            <w:r>
              <w:rPr>
                <w:rFonts w:ascii="宋体" w:hAnsi="宋体" w:eastAsia="宋体"/>
                <w:sz w:val="18"/>
              </w:rPr>
              <w:t>EU ETS—CBAM联动规则、国际认证互认体系</w:t>
            </w:r>
          </w:p>
        </w:tc>
      </w:tr>
    </w:tbl>
    <w:p>
      <w:pPr>
        <w:spacing w:after="200" w:line="240" w:lineRule="auto"/>
      </w:pPr>
      <w:r>
        <w:rPr>
          <w:rFonts w:ascii="宋体" w:hAnsi="宋体" w:eastAsia="宋体"/>
          <w:sz w:val="18"/>
        </w:rPr>
        <w:t>注：每一维度均按“国际基准水平</w:t>
      </w:r>
      <m:oMath>
        <m:sSubSup>
          <m:e>
            <m:r>
              <m:t>S</m:t>
            </m:r>
          </m:e>
          <m:sub>
            <m:r>
              <m:t>k</m:t>
            </m:r>
          </m:sub>
          <m:sup>
            <m:r>
              <m:t>i</m:t>
            </m:r>
            <m:r>
              <m:t>n</m:t>
            </m:r>
            <m:r>
              <m:t>t</m:t>
            </m:r>
          </m:sup>
        </m:sSubSup>
      </m:oMath>
      <w:r>
        <w:rPr>
          <w:rFonts w:ascii="宋体" w:hAnsi="宋体" w:eastAsia="宋体"/>
          <w:sz w:val="18"/>
        </w:rPr>
        <w:t>—中国现状水平</w:t>
      </w:r>
      <m:oMath>
        <m:sSubSup>
          <m:e>
            <m:r>
              <m:t>S</m:t>
            </m:r>
          </m:e>
          <m:sub>
            <m:r>
              <m:t>k</m:t>
            </m:r>
          </m:sub>
          <m:sup>
            <m:r>
              <m:t>C</m:t>
            </m:r>
            <m:r>
              <m:t>N</m:t>
            </m:r>
          </m:sup>
        </m:sSubSup>
      </m:oMath>
      <w:r>
        <w:rPr>
          <w:rFonts w:ascii="宋体" w:hAnsi="宋体" w:eastAsia="宋体"/>
          <w:sz w:val="18"/>
        </w:rPr>
        <w:t>”双向评分，取值归一至[0,1]；评分由标准文本比对结合专家背对背打分、两轮反馈收敛得到。数据来源：作者整理。</w:t>
      </w:r>
    </w:p>
    <w:p>
      <w:pPr>
        <w:spacing w:line="360" w:lineRule="auto" w:after="0"/>
        <w:ind w:firstLineChars="200" w:firstLine="480"/>
        <w:jc w:val="both"/>
      </w:pPr>
      <w:r>
        <w:rPr>
          <w:rFonts w:ascii="宋体" w:hAnsi="宋体" w:eastAsia="宋体"/>
          <w:sz w:val="24"/>
        </w:rPr>
        <w:t>表12.1的评分体系有三点说明。第一，比较对象是“规则束”而非单项标准：每一维度下将中国现行国家标准、行业标准与配套制度作为整体，与国际基准规则束对照，避免以单项标准的先进掩盖体系的缺环。第二，评分采取双向锚定：先依据国际基准的严格程度确定该维度的国际水平，再对照中国规则束的覆盖与严格程度评定中国水平，两者之比刻画相对差距，从而剔除了各维度绝对难度不同的干扰。第三，评分程序上，由熟悉国际标准化事务的专家依据统一评分细则逐维背对背打分，经两轮德尔菲反馈后取收敛值，行业层面的评分则结合标准文本数据库中“标准—行业”映射的客观信息校准，尽可能压缩主观裁量空间。</w:t>
      </w:r>
    </w:p>
    <w:p>
      <w:pPr>
        <w:keepNext/>
        <w:spacing w:before="160" w:after="120" w:line="360" w:lineRule="auto"/>
        <w:outlineLvl w:val="2"/>
      </w:pPr>
      <w:r>
        <w:rPr>
          <w:rFonts w:ascii="黑体" w:hAnsi="黑体" w:eastAsia="黑体"/>
          <w:sz w:val="24"/>
        </w:rPr>
        <w:t>12.2.2  国际标准差距指数ISGI</w:t>
      </w:r>
    </w:p>
    <w:p>
      <w:pPr>
        <w:spacing w:line="360" w:lineRule="auto" w:after="0"/>
        <w:ind w:firstLineChars="200" w:firstLine="480"/>
        <w:jc w:val="both"/>
      </w:pPr>
      <w:r>
        <w:rPr>
          <w:rFonts w:ascii="宋体" w:hAnsi="宋体" w:eastAsia="宋体"/>
          <w:sz w:val="24"/>
        </w:rPr>
        <w:t>在八维度评分基础上，定义行业</w:t>
      </w:r>
      <m:oMath>
        <m:r>
          <m:t>j</m:t>
        </m:r>
      </m:oMath>
      <w:r>
        <w:rPr>
          <w:rFonts w:ascii="宋体" w:hAnsi="宋体" w:eastAsia="宋体"/>
          <w:sz w:val="24"/>
        </w:rPr>
        <w:t>在维度</w:t>
      </w:r>
      <m:oMath>
        <m:r>
          <m:t>k</m:t>
        </m:r>
      </m:oMath>
      <w:r>
        <w:rPr>
          <w:rFonts w:ascii="宋体" w:hAnsi="宋体" w:eastAsia="宋体"/>
          <w:sz w:val="24"/>
        </w:rPr>
        <w:t>上的国际标准差距指数：</w:t>
      </w:r>
    </w:p>
    <w:p>
      <w:pPr>
        <w:tabs>
          <w:tab w:pos="4252" w:val="center"/>
          <w:tab w:pos="8504" w:val="right"/>
        </w:tabs>
        <w:spacing w:line="360" w:lineRule="auto" w:before="80" w:after="80"/>
      </w:pPr>
      <w:r>
        <w:tab/>
      </w:r>
      <m:oMath>
        <m:sSub>
          <m:e>
            <m:r>
              <m:rPr>
                <m:sty m:val="p"/>
              </m:rPr>
              <m:t>I</m:t>
            </m:r>
            <m:r>
              <m:rPr>
                <m:sty m:val="p"/>
              </m:rPr>
              <m:t>S</m:t>
            </m:r>
            <m:r>
              <m:rPr>
                <m:sty m:val="p"/>
              </m:rPr>
              <m:t>G</m:t>
            </m:r>
            <m:r>
              <m:rPr>
                <m:sty m:val="p"/>
              </m:rPr>
              <m:t>I</m:t>
            </m:r>
          </m:e>
          <m:sub>
            <m:r>
              <m:t>j</m:t>
            </m:r>
            <m:r>
              <m:t>k</m:t>
            </m:r>
          </m:sub>
        </m:sSub>
        <m:r>
          <m:rPr>
            <m:sty m:val="p"/>
          </m:rPr>
          <m:t>=</m:t>
        </m:r>
        <m:f>
          <m:fPr>
            <m:type m:val="bar"/>
          </m:fPr>
          <m:num>
            <m:sSubSup>
              <m:e>
                <m:r>
                  <m:t>S</m:t>
                </m:r>
              </m:e>
              <m:sub>
                <m:r>
                  <m:t>j</m:t>
                </m:r>
                <m:r>
                  <m:t>k</m:t>
                </m:r>
              </m:sub>
              <m:sup>
                <m:r>
                  <m:rPr>
                    <m:sty m:val="p"/>
                  </m:rPr>
                  <m:t>i</m:t>
                </m:r>
                <m:r>
                  <m:rPr>
                    <m:sty m:val="p"/>
                  </m:rPr>
                  <m:t>n</m:t>
                </m:r>
                <m:r>
                  <m:rPr>
                    <m:sty m:val="p"/>
                  </m:rPr>
                  <m:t>t</m:t>
                </m:r>
              </m:sup>
            </m:sSubSup>
            <m:r>
              <m:rPr>
                <m:sty m:val="p"/>
              </m:rPr>
              <m:t>−</m:t>
            </m:r>
            <m:sSubSup>
              <m:e>
                <m:r>
                  <m:t>S</m:t>
                </m:r>
              </m:e>
              <m:sub>
                <m:r>
                  <m:t>j</m:t>
                </m:r>
                <m:r>
                  <m:t>k</m:t>
                </m:r>
              </m:sub>
              <m:sup>
                <m:r>
                  <m:rPr>
                    <m:sty m:val="p"/>
                  </m:rPr>
                  <m:t>C</m:t>
                </m:r>
                <m:r>
                  <m:rPr>
                    <m:sty m:val="p"/>
                  </m:rPr>
                  <m:t>N</m:t>
                </m:r>
              </m:sup>
            </m:sSubSup>
          </m:num>
          <m:den>
            <m:sSubSup>
              <m:e>
                <m:r>
                  <m:t>S</m:t>
                </m:r>
              </m:e>
              <m:sub>
                <m:r>
                  <m:t>j</m:t>
                </m:r>
                <m:r>
                  <m:t>k</m:t>
                </m:r>
              </m:sub>
              <m:sup>
                <m:r>
                  <m:rPr>
                    <m:sty m:val="p"/>
                  </m:rPr>
                  <m:t>i</m:t>
                </m:r>
                <m:r>
                  <m:rPr>
                    <m:sty m:val="p"/>
                  </m:rPr>
                  <m:t>n</m:t>
                </m:r>
                <m:r>
                  <m:rPr>
                    <m:sty m:val="p"/>
                  </m:rPr>
                  <m:t>t</m:t>
                </m:r>
              </m:sup>
            </m:sSubSup>
          </m:den>
        </m:f>
        <m:r>
          <m:rPr>
            <m:sty m:val="p"/>
          </m:rPr>
          <m:t>,</m:t>
        </m:r>
        <m:r>
          <m:t>  </m:t>
        </m:r>
        <m:r>
          <m:t>k</m:t>
        </m:r>
        <m:r>
          <m:rPr>
            <m:sty m:val="p"/>
          </m:rPr>
          <m:t>=</m:t>
        </m:r>
        <m:r>
          <m:t>1</m:t>
        </m:r>
        <m:r>
          <m:rPr>
            <m:sty m:val="p"/>
          </m:rPr>
          <m:t>,</m:t>
        </m:r>
        <m:r>
          <m:t>2</m:t>
        </m:r>
        <m:r>
          <m:rPr>
            <m:sty m:val="p"/>
          </m:rPr>
          <m:t>,</m:t>
        </m:r>
        <m:r>
          <m:rPr>
            <m:sty m:val="p"/>
          </m:rPr>
          <m:t>…</m:t>
        </m:r>
        <m:r>
          <m:rPr>
            <m:sty m:val="p"/>
          </m:rPr>
          <m:t>,</m:t>
        </m:r>
        <m:r>
          <m:t>8</m:t>
        </m:r>
      </m:oMath>
      <w:r>
        <w:tab/>
      </w:r>
      <w:r>
        <w:rPr>
          <w:rFonts w:ascii="Times New Roman" w:hAnsi="Times New Roman" w:eastAsia="宋体"/>
          <w:sz w:val="24"/>
        </w:rPr>
        <w:t>(12-1)</w:t>
      </w:r>
    </w:p>
    <w:p>
      <w:pPr>
        <w:spacing w:line="360" w:lineRule="auto" w:after="0"/>
        <w:jc w:val="both"/>
      </w:pPr>
      <w:r>
        <w:rPr>
          <w:rFonts w:ascii="宋体" w:hAnsi="宋体" w:eastAsia="宋体"/>
          <w:sz w:val="24"/>
        </w:rPr>
        <w:t>其中，</w:t>
      </w:r>
      <m:oMath>
        <m:sSubSup>
          <m:e>
            <m:r>
              <m:t>S</m:t>
            </m:r>
          </m:e>
          <m:sub>
            <m:r>
              <m:t>j</m:t>
            </m:r>
            <m:r>
              <m:t>k</m:t>
            </m:r>
          </m:sub>
          <m:sup>
            <m:r>
              <m:rPr>
                <m:sty m:val="p"/>
              </m:rPr>
              <m:t>i</m:t>
            </m:r>
            <m:r>
              <m:rPr>
                <m:sty m:val="p"/>
              </m:rPr>
              <m:t>n</m:t>
            </m:r>
            <m:r>
              <m:rPr>
                <m:sty m:val="p"/>
              </m:rPr>
              <m:t>t</m:t>
            </m:r>
          </m:sup>
        </m:sSubSup>
      </m:oMath>
      <w:r>
        <w:rPr>
          <w:rFonts w:ascii="宋体" w:hAnsi="宋体" w:eastAsia="宋体"/>
          <w:sz w:val="24"/>
        </w:rPr>
        <w:t>为国际基准规则束在维度</w:t>
      </w:r>
      <m:oMath>
        <m:r>
          <m:t>k</m:t>
        </m:r>
      </m:oMath>
      <w:r>
        <w:rPr>
          <w:rFonts w:ascii="宋体" w:hAnsi="宋体" w:eastAsia="宋体"/>
          <w:sz w:val="24"/>
        </w:rPr>
        <w:t>上对行业</w:t>
      </w:r>
      <m:oMath>
        <m:r>
          <m:t>j</m:t>
        </m:r>
      </m:oMath>
      <w:r>
        <w:rPr>
          <w:rFonts w:ascii="宋体" w:hAnsi="宋体" w:eastAsia="宋体"/>
          <w:sz w:val="24"/>
        </w:rPr>
        <w:t>的要求水平，</w:t>
      </w:r>
      <m:oMath>
        <m:sSubSup>
          <m:e>
            <m:r>
              <m:t>S</m:t>
            </m:r>
          </m:e>
          <m:sub>
            <m:r>
              <m:t>j</m:t>
            </m:r>
            <m:r>
              <m:t>k</m:t>
            </m:r>
          </m:sub>
          <m:sup>
            <m:r>
              <m:rPr>
                <m:sty m:val="p"/>
              </m:rPr>
              <m:t>C</m:t>
            </m:r>
            <m:r>
              <m:rPr>
                <m:sty m:val="p"/>
              </m:rPr>
              <m:t>N</m:t>
            </m:r>
          </m:sup>
        </m:sSubSup>
      </m:oMath>
      <w:r>
        <w:rPr>
          <w:rFonts w:ascii="宋体" w:hAnsi="宋体" w:eastAsia="宋体"/>
          <w:sz w:val="24"/>
        </w:rPr>
        <w:t>为中国现行规则束的对应水平，二者均归一至[0,1]区间。</w:t>
      </w:r>
    </w:p>
    <w:p>
      <w:pPr>
        <w:spacing w:line="360" w:lineRule="auto" w:after="0"/>
        <w:ind w:firstLineChars="200" w:firstLine="480"/>
        <w:jc w:val="both"/>
      </w:pPr>
      <w:r>
        <w:rPr>
          <w:rFonts w:ascii="宋体" w:hAnsi="宋体" w:eastAsia="宋体"/>
          <w:sz w:val="24"/>
        </w:rPr>
        <w:t>式(12-1)的构造与本书SSDMI指数一脉相承：以基准水平为分母，将绝对差距标准化为相对缺口。指数取值于[0,1]（中国水平超过国际基准的个别情形按0截断）：等于0表示完全接轨，数值越大表示差距越大，0.4即意味着中国规则束的严格程度与完备性仅达到国际基准的六成。相对化处理带来两点便利：其一，八个维度的差距可以直接横向比较，识别短板维度；其二，指数对国际基准的动态提升敏感——欧盟规则加严会推高</w:t>
      </w:r>
      <m:oMath>
        <m:sSup>
          <m:e>
            <m:r>
              <m:t>S</m:t>
            </m:r>
          </m:e>
          <m:sup>
            <m:r>
              <m:rPr>
                <m:sty m:val="p"/>
              </m:rPr>
              <m:t>i</m:t>
            </m:r>
            <m:r>
              <m:rPr>
                <m:sty m:val="p"/>
              </m:rPr>
              <m:t>n</m:t>
            </m:r>
            <m:r>
              <m:rPr>
                <m:sty m:val="p"/>
              </m:rPr>
              <m:t>t</m:t>
            </m:r>
          </m:sup>
        </m:sSup>
      </m:oMath>
      <w:r>
        <w:rPr>
          <w:rFonts w:ascii="宋体" w:hAnsi="宋体" w:eastAsia="宋体"/>
          <w:sz w:val="24"/>
        </w:rPr>
        <w:t>，即便中国标准原地不动，差距也会扩大，这一“逆水行舟”属性恰当刻画了国际标准竞争的现实。将</w:t>
      </w:r>
      <m:oMath>
        <m:sSub>
          <m:e>
            <m:r>
              <m:rPr>
                <m:sty m:val="p"/>
              </m:rPr>
              <m:t>I</m:t>
            </m:r>
            <m:r>
              <m:rPr>
                <m:sty m:val="p"/>
              </m:rPr>
              <m:t>S</m:t>
            </m:r>
            <m:r>
              <m:rPr>
                <m:sty m:val="p"/>
              </m:rPr>
              <m:t>G</m:t>
            </m:r>
            <m:r>
              <m:rPr>
                <m:sty m:val="p"/>
              </m:rPr>
              <m:t>I</m:t>
            </m:r>
          </m:e>
          <m:sub>
            <m:r>
              <m:t>j</m:t>
            </m:r>
            <m:r>
              <m:t>k</m:t>
            </m:r>
          </m:sub>
        </m:sSub>
      </m:oMath>
      <w:r>
        <w:rPr>
          <w:rFonts w:ascii="宋体" w:hAnsi="宋体" w:eastAsia="宋体"/>
          <w:sz w:val="24"/>
        </w:rPr>
        <w:t>对维度取简单平均，得到行业综合差距</w:t>
      </w:r>
      <m:oMath>
        <m:sSub>
          <m:e>
            <m:r>
              <m:rPr>
                <m:sty m:val="p"/>
              </m:rPr>
              <m:t>I</m:t>
            </m:r>
            <m:r>
              <m:rPr>
                <m:sty m:val="p"/>
              </m:rPr>
              <m:t>S</m:t>
            </m:r>
            <m:r>
              <m:rPr>
                <m:sty m:val="p"/>
              </m:rPr>
              <m:t>G</m:t>
            </m:r>
            <m:r>
              <m:rPr>
                <m:sty m:val="p"/>
              </m:rPr>
              <m:t>I</m:t>
            </m:r>
          </m:e>
          <m:sub>
            <m:r>
              <m:t>j</m:t>
            </m:r>
          </m:sub>
        </m:sSub>
      </m:oMath>
      <w:r>
        <w:rPr>
          <w:rFonts w:ascii="宋体" w:hAnsi="宋体" w:eastAsia="宋体"/>
          <w:sz w:val="24"/>
        </w:rPr>
        <w:t>；对行业按贸易额加权平均，则得到经济体层面的维度差距</w:t>
      </w:r>
      <m:oMath>
        <m:sSub>
          <m:e>
            <m:r>
              <m:rPr>
                <m:sty m:val="p"/>
              </m:rPr>
              <m:t>I</m:t>
            </m:r>
            <m:r>
              <m:rPr>
                <m:sty m:val="p"/>
              </m:rPr>
              <m:t>S</m:t>
            </m:r>
            <m:r>
              <m:rPr>
                <m:sty m:val="p"/>
              </m:rPr>
              <m:t>G</m:t>
            </m:r>
            <m:r>
              <m:rPr>
                <m:sty m:val="p"/>
              </m:rPr>
              <m:t>I</m:t>
            </m:r>
          </m:e>
          <m:sub>
            <m:r>
              <m:t>k</m:t>
            </m:r>
          </m:sub>
        </m:sSub>
      </m:oMath>
      <w:r>
        <w:rPr>
          <w:rFonts w:ascii="宋体" w:hAnsi="宋体" w:eastAsia="宋体"/>
          <w:sz w:val="24"/>
        </w:rPr>
        <w:t>，两个方向的加总分别服务于行业诊断与维度诊断。</w:t>
      </w:r>
    </w:p>
    <w:p>
      <w:pPr>
        <w:keepNext/>
        <w:spacing w:before="160" w:after="120" w:line="360" w:lineRule="auto"/>
        <w:outlineLvl w:val="2"/>
      </w:pPr>
      <w:r>
        <w:rPr>
          <w:rFonts w:ascii="黑体" w:hAnsi="黑体" w:eastAsia="黑体"/>
          <w:sz w:val="24"/>
        </w:rPr>
        <w:t>12.2.3  贸易额权重与综合国际适配性指数CIAI</w:t>
      </w:r>
    </w:p>
    <w:p>
      <w:pPr>
        <w:spacing w:line="360" w:lineRule="auto" w:after="0"/>
        <w:ind w:firstLineChars="200" w:firstLine="480"/>
        <w:jc w:val="both"/>
      </w:pPr>
      <w:r>
        <w:rPr>
          <w:rFonts w:ascii="宋体" w:hAnsi="宋体" w:eastAsia="宋体"/>
          <w:sz w:val="24"/>
        </w:rPr>
        <w:t>八个维度的差距对贸易成本的影响并不等权：市场衔接的差距直接决定碳价抵扣，第三方核查的差距直接决定缺省值适用，而更新频率的差距只经由技术代差间接起作用。为使综合指数反映差距的经济权重而非算术权重，本章以贸易关联度定义权重：</w:t>
      </w:r>
    </w:p>
    <w:p>
      <w:pPr>
        <w:tabs>
          <w:tab w:pos="4252" w:val="center"/>
          <w:tab w:pos="8504" w:val="right"/>
        </w:tabs>
        <w:spacing w:line="360" w:lineRule="auto" w:before="80" w:after="80"/>
      </w:pPr>
      <w:r>
        <w:tab/>
      </w:r>
      <m:oMath>
        <m:sSub>
          <m:e>
            <m:r>
              <m:t>π</m:t>
            </m:r>
          </m:e>
          <m:sub>
            <m:r>
              <m:t>j</m:t>
            </m:r>
            <m:r>
              <m:t>k</m:t>
            </m:r>
          </m:sub>
        </m:sSub>
        <m:r>
          <m:rPr>
            <m:sty m:val="p"/>
          </m:rPr>
          <m:t>=</m:t>
        </m:r>
        <m:f>
          <m:fPr>
            <m:type m:val="bar"/>
          </m:fPr>
          <m:num>
            <m:r>
              <m:t>T</m:t>
            </m:r>
            <m:sSub>
              <m:e>
                <m:r>
                  <m:t>X</m:t>
                </m:r>
              </m:e>
              <m:sub>
                <m:r>
                  <m:t>j</m:t>
                </m:r>
                <m:r>
                  <m:t>k</m:t>
                </m:r>
              </m:sub>
            </m:sSub>
          </m:num>
          <m:den>
            <m:nary>
              <m:naryPr>
                <m:chr m:val="∑"/>
                <m:limLoc m:val="undOvr"/>
                <m:subHide m:val="off"/>
                <m:supHide m:val="off"/>
              </m:naryPr>
              <m:sub>
                <m:r>
                  <m:t>m</m:t>
                </m:r>
                <m:r>
                  <m:rPr>
                    <m:sty m:val="p"/>
                  </m:rPr>
                  <m:t>=</m:t>
                </m:r>
                <m:r>
                  <m:t>1</m:t>
                </m:r>
              </m:sub>
              <m:sup>
                <m:r>
                  <m:t>8</m:t>
                </m:r>
              </m:sup>
              <m:e>
                <m:r>
                  <m:t>T</m:t>
                </m:r>
              </m:e>
            </m:nary>
            <m:sSub>
              <m:e>
                <m:r>
                  <m:t>X</m:t>
                </m:r>
              </m:e>
              <m:sub>
                <m:r>
                  <m:t>j</m:t>
                </m:r>
                <m:r>
                  <m:t>m</m:t>
                </m:r>
              </m:sub>
            </m:sSub>
          </m:den>
        </m:f>
      </m:oMath>
      <w:r>
        <w:tab/>
      </w:r>
      <w:r>
        <w:rPr>
          <w:rFonts w:ascii="Times New Roman" w:hAnsi="Times New Roman" w:eastAsia="宋体"/>
          <w:sz w:val="24"/>
        </w:rPr>
        <w:t>(12-2)</w:t>
      </w:r>
    </w:p>
    <w:p>
      <w:pPr>
        <w:spacing w:line="360" w:lineRule="auto" w:after="0"/>
        <w:jc w:val="both"/>
      </w:pPr>
      <w:r>
        <w:rPr>
          <w:rFonts w:ascii="宋体" w:hAnsi="宋体" w:eastAsia="宋体"/>
          <w:sz w:val="24"/>
        </w:rPr>
        <w:t>其中，</w:t>
      </w:r>
      <m:oMath>
        <m:r>
          <m:t>T</m:t>
        </m:r>
        <m:sSub>
          <m:e>
            <m:r>
              <m:t>X</m:t>
            </m:r>
          </m:e>
          <m:sub>
            <m:r>
              <m:t>j</m:t>
            </m:r>
            <m:r>
              <m:t>k</m:t>
            </m:r>
          </m:sub>
        </m:sSub>
      </m:oMath>
      <w:r>
        <w:rPr>
          <w:rFonts w:ascii="宋体" w:hAnsi="宋体" w:eastAsia="宋体"/>
          <w:sz w:val="24"/>
        </w:rPr>
        <w:t>为行业</w:t>
      </w:r>
      <m:oMath>
        <m:r>
          <m:t>j</m:t>
        </m:r>
      </m:oMath>
      <w:r>
        <w:rPr>
          <w:rFonts w:ascii="宋体" w:hAnsi="宋体" w:eastAsia="宋体"/>
          <w:sz w:val="24"/>
        </w:rPr>
        <w:t>对欧出口中直接受维度</w:t>
      </w:r>
      <m:oMath>
        <m:r>
          <m:t>k</m:t>
        </m:r>
      </m:oMath>
      <w:r>
        <w:rPr>
          <w:rFonts w:ascii="宋体" w:hAnsi="宋体" w:eastAsia="宋体"/>
          <w:sz w:val="24"/>
        </w:rPr>
        <w:t>规则约束的贸易额——按CBAM及配套实施法案对各环节规则的援引关系，将行业对欧出口额分摊至八个维度加总得到；</w:t>
      </w:r>
      <m:oMath>
        <m:sSub>
          <m:e>
            <m:r>
              <m:t>π</m:t>
            </m:r>
          </m:e>
          <m:sub>
            <m:r>
              <m:t>j</m:t>
            </m:r>
            <m:r>
              <m:t>k</m:t>
            </m:r>
          </m:sub>
        </m:sSub>
      </m:oMath>
      <w:r>
        <w:rPr>
          <w:rFonts w:ascii="宋体" w:hAnsi="宋体" w:eastAsia="宋体"/>
          <w:sz w:val="24"/>
        </w:rPr>
        <w:t>即维度</w:t>
      </w:r>
      <m:oMath>
        <m:r>
          <m:t>k</m:t>
        </m:r>
      </m:oMath>
      <w:r>
        <w:rPr>
          <w:rFonts w:ascii="宋体" w:hAnsi="宋体" w:eastAsia="宋体"/>
          <w:sz w:val="24"/>
        </w:rPr>
        <w:t>的贸易额权重，满足</w:t>
      </w:r>
      <m:oMath>
        <m:nary>
          <m:naryPr>
            <m:chr m:val="∑"/>
            <m:limLoc m:val="undOvr"/>
            <m:subHide m:val="off"/>
            <m:supHide m:val="on"/>
          </m:naryPr>
          <m:sub>
            <m:r>
              <m:t>k</m:t>
            </m:r>
          </m:sub>
          <m:sup>
            <m:r>
              <m:t>​</m:t>
            </m:r>
          </m:sup>
          <m:e>
            <m:sSub>
              <m:e>
                <m:r>
                  <m:t>π</m:t>
                </m:r>
              </m:e>
              <m:sub>
                <m:r>
                  <m:t>j</m:t>
                </m:r>
                <m:r>
                  <m:t>k</m:t>
                </m:r>
              </m:sub>
            </m:sSub>
          </m:e>
        </m:nary>
        <m:r>
          <m:rPr>
            <m:sty m:val="p"/>
          </m:rPr>
          <m:t>=</m:t>
        </m:r>
        <m:r>
          <m:t>1</m:t>
        </m:r>
      </m:oMath>
      <w:r>
        <w:rPr>
          <w:rFonts w:ascii="宋体" w:hAnsi="宋体" w:eastAsia="宋体"/>
          <w:sz w:val="24"/>
        </w:rPr>
        <w:t>。</w:t>
      </w:r>
    </w:p>
    <w:p>
      <w:pPr>
        <w:spacing w:line="360" w:lineRule="auto" w:after="0"/>
        <w:ind w:firstLineChars="200" w:firstLine="480"/>
        <w:jc w:val="both"/>
      </w:pPr>
      <w:r>
        <w:rPr>
          <w:rFonts w:ascii="宋体" w:hAnsi="宋体" w:eastAsia="宋体"/>
          <w:sz w:val="24"/>
        </w:rPr>
        <w:t>在权重基础上，定义行业</w:t>
      </w:r>
      <m:oMath>
        <m:r>
          <m:t>j</m:t>
        </m:r>
      </m:oMath>
      <w:r>
        <w:rPr>
          <w:rFonts w:ascii="宋体" w:hAnsi="宋体" w:eastAsia="宋体"/>
          <w:sz w:val="24"/>
        </w:rPr>
        <w:t>的综合国际适配性指数：</w:t>
      </w:r>
    </w:p>
    <w:p>
      <w:pPr>
        <w:tabs>
          <w:tab w:pos="4252" w:val="center"/>
          <w:tab w:pos="8504" w:val="right"/>
        </w:tabs>
        <w:spacing w:line="360" w:lineRule="auto" w:before="80" w:after="80"/>
      </w:pPr>
      <w:r>
        <w:tab/>
      </w:r>
      <m:oMath>
        <m:sSub>
          <m:e>
            <m:r>
              <m:rPr>
                <m:sty m:val="p"/>
              </m:rPr>
              <m:t>C</m:t>
            </m:r>
            <m:r>
              <m:rPr>
                <m:sty m:val="p"/>
              </m:rPr>
              <m:t>I</m:t>
            </m:r>
            <m:r>
              <m:rPr>
                <m:sty m:val="p"/>
              </m:rPr>
              <m:t>A</m:t>
            </m:r>
            <m:r>
              <m:rPr>
                <m:sty m:val="p"/>
              </m:rPr>
              <m:t>I</m:t>
            </m:r>
          </m:e>
          <m:sub>
            <m:r>
              <m:t>j</m:t>
            </m:r>
          </m:sub>
        </m:sSub>
        <m:r>
          <m:rPr>
            <m:sty m:val="p"/>
          </m:rPr>
          <m:t>=</m:t>
        </m:r>
        <m:r>
          <m:t>1</m:t>
        </m:r>
        <m:r>
          <m:rPr>
            <m:sty m:val="p"/>
          </m:rPr>
          <m:t>−</m:t>
        </m:r>
        <m:nary>
          <m:naryPr>
            <m:chr m:val="∑"/>
            <m:limLoc m:val="undOvr"/>
            <m:subHide m:val="off"/>
            <m:supHide m:val="off"/>
          </m:naryPr>
          <m:sub>
            <m:r>
              <m:t>k</m:t>
            </m:r>
            <m:r>
              <m:rPr>
                <m:sty m:val="p"/>
              </m:rPr>
              <m:t>=</m:t>
            </m:r>
            <m:r>
              <m:t>1</m:t>
            </m:r>
          </m:sub>
          <m:sup>
            <m:r>
              <m:t>8</m:t>
            </m:r>
          </m:sup>
          <m:e>
            <m:sSub>
              <m:e>
                <m:r>
                  <m:t>π</m:t>
                </m:r>
              </m:e>
              <m:sub>
                <m:r>
                  <m:t>j</m:t>
                </m:r>
                <m:r>
                  <m:t>k</m:t>
                </m:r>
              </m:sub>
            </m:sSub>
          </m:e>
        </m:nary>
        <m:r>
          <m:t> </m:t>
        </m:r>
        <m:sSub>
          <m:e>
            <m:r>
              <m:rPr>
                <m:sty m:val="p"/>
              </m:rPr>
              <m:t>I</m:t>
            </m:r>
            <m:r>
              <m:rPr>
                <m:sty m:val="p"/>
              </m:rPr>
              <m:t>S</m:t>
            </m:r>
            <m:r>
              <m:rPr>
                <m:sty m:val="p"/>
              </m:rPr>
              <m:t>G</m:t>
            </m:r>
            <m:r>
              <m:rPr>
                <m:sty m:val="p"/>
              </m:rPr>
              <m:t>I</m:t>
            </m:r>
          </m:e>
          <m:sub>
            <m:r>
              <m:t>j</m:t>
            </m:r>
            <m:r>
              <m:t>k</m:t>
            </m:r>
          </m:sub>
        </m:sSub>
      </m:oMath>
      <w:r>
        <w:tab/>
      </w:r>
      <w:r>
        <w:rPr>
          <w:rFonts w:ascii="Times New Roman" w:hAnsi="Times New Roman" w:eastAsia="宋体"/>
          <w:sz w:val="24"/>
        </w:rPr>
        <w:t>(12-3)</w:t>
      </w:r>
    </w:p>
    <w:p>
      <w:pPr>
        <w:spacing w:line="360" w:lineRule="auto" w:after="0"/>
        <w:ind w:firstLineChars="200" w:firstLine="480"/>
        <w:jc w:val="both"/>
      </w:pPr>
      <w:r>
        <w:rPr>
          <w:rFonts w:ascii="宋体" w:hAnsi="宋体" w:eastAsia="宋体"/>
          <w:sz w:val="24"/>
        </w:rPr>
        <w:t>CIAI是差距的镜像：加权差距越小，适配指数越接近1。以贸易额加权的含义在于，CIAI度量的不是“平均接轨程度”，而是“贸易加权的被认可程度”——它回答的问题是：中国出口产品的绿色属性声明，按贸易额衡量有多大比例能够被国际规则体系接受？这一设计使CIAI可以自然地进入后文的碳关税方程：θ系数所需要的恰是“认可比例”而非“平均水平”。同时应指出，贸易权重会系统性放大贸易敏感维度的差距——若差距恰好集中于权重最高的维度，加权差距将高于简单平均差距，12.3.2节的测算将表明，中国的现实不幸正是如此。</w:t>
      </w:r>
    </w:p>
    <w:p>
      <w:pPr>
        <w:keepNext/>
        <w:spacing w:before="160" w:after="120" w:line="360" w:lineRule="auto"/>
        <w:outlineLvl w:val="1"/>
      </w:pPr>
      <w:r>
        <w:rPr>
          <w:rFonts w:ascii="黑体" w:hAnsi="黑体" w:eastAsia="黑体"/>
          <w:sz w:val="28"/>
        </w:rPr>
        <w:t>12.3  国际适配性的测算结果</w:t>
      </w:r>
    </w:p>
    <w:p>
      <w:pPr>
        <w:keepNext/>
        <w:spacing w:before="160" w:after="120" w:line="360" w:lineRule="auto"/>
        <w:outlineLvl w:val="2"/>
      </w:pPr>
      <w:r>
        <w:rPr>
          <w:rFonts w:ascii="黑体" w:hAnsi="黑体" w:eastAsia="黑体"/>
          <w:sz w:val="24"/>
        </w:rPr>
        <w:t>12.3.1  维度层面：差距的结构分布</w:t>
      </w:r>
    </w:p>
    <w:p>
      <w:pPr>
        <w:spacing w:line="360" w:lineRule="auto" w:after="0"/>
        <w:ind w:firstLineChars="200" w:firstLine="480"/>
        <w:jc w:val="both"/>
      </w:pPr>
      <w:r>
        <w:rPr>
          <w:rFonts w:ascii="宋体" w:hAnsi="宋体" w:eastAsia="宋体"/>
          <w:sz w:val="24"/>
        </w:rPr>
        <w:t>八个维度的经济体层面差距测算结果呈现清晰的梯度：市场衔接差距最大（0.44），第三方核查次之（0.42），生命周期范围（0.38）与排放因子（0.35）居第二梯队，数据质量（0.31）、更新频率（0.28）、核算边界（0.22）依次递减，行业覆盖差距最小（0.18）。最大与最小差距之比达2.4倍，八维度均值为0.32——整体而言，中国绿色低碳标准体系与国际基准的距离约为基准水平的三分之一，但差距的分布高度不均，制度性环节的差距显著大于技术性环节。</w:t>
      </w:r>
    </w:p>
    <w:p>
      <w:pPr>
        <w:spacing w:line="360" w:lineRule="auto" w:after="0"/>
        <w:ind w:firstLineChars="200" w:firstLine="480"/>
        <w:jc w:val="both"/>
      </w:pPr>
      <w:r>
        <w:rPr>
          <w:rFonts w:ascii="宋体" w:hAnsi="宋体" w:eastAsia="宋体"/>
          <w:sz w:val="24"/>
        </w:rPr>
        <w:t>图12.2以雷达图直观呈现这一结构。由图12.2可见，差距多边形明显向市场衔接与第三方核查两个顶点外凸，向行业覆盖与核算边界两个顶点内收，整体呈“制度深、技术浅”的偏斜形态。这一形态传递的信息是：中国标准的国际差距已不主要是“有没有标准”的覆盖问题——经过多年建设，直接支撑碳达峰碳中和的国家标准已达1800余项、行业标准2300余项，主要高碳行业均有标可依，行业覆盖维度的差距因此最小；差距的重心在于标准背后的制度基础设施——核查结论无人采信、碳价抵扣无从谈起的制度缺环，恰是标准文本数量无法弥补的。</w:t>
      </w:r>
    </w:p>
    <w:p>
      <w:pPr>
        <w:spacing w:before="120" w:after="40"/>
        <w:jc w:val="center"/>
      </w:pPr>
      <w:r>
        <w:drawing>
          <wp:inline xmlns:a="http://schemas.openxmlformats.org/drawingml/2006/main" xmlns:pic="http://schemas.openxmlformats.org/drawingml/2006/picture">
            <wp:extent cx="4860000" cy="4312938"/>
            <wp:docPr id="41" name="Picture 41"/>
            <wp:cNvGraphicFramePr>
              <a:graphicFrameLocks noChangeAspect="1"/>
            </wp:cNvGraphicFramePr>
            <a:graphic>
              <a:graphicData uri="http://schemas.openxmlformats.org/drawingml/2006/picture">
                <pic:pic>
                  <pic:nvPicPr>
                    <pic:cNvPr id="0" name="fig12_2.png"/>
                    <pic:cNvPicPr/>
                  </pic:nvPicPr>
                  <pic:blipFill>
                    <a:blip r:embed="rId49"/>
                    <a:stretch>
                      <a:fillRect/>
                    </a:stretch>
                  </pic:blipFill>
                  <pic:spPr>
                    <a:xfrm>
                      <a:off x="0" y="0"/>
                      <a:ext cx="4860000" cy="4312938"/>
                    </a:xfrm>
                    <a:prstGeom prst="rect"/>
                  </pic:spPr>
                </pic:pic>
              </a:graphicData>
            </a:graphic>
          </wp:inline>
        </w:drawing>
      </w:r>
    </w:p>
    <w:p>
      <w:pPr>
        <w:keepNext w:val="0"/>
        <w:spacing w:after="200"/>
        <w:jc w:val="center"/>
      </w:pPr>
      <w:r>
        <w:rPr>
          <w:rFonts w:ascii="黑体" w:hAnsi="黑体" w:eastAsia="黑体"/>
          <w:sz w:val="21"/>
        </w:rPr>
        <w:t>图12.2  中国绿色低碳标准国际差距的八维度雷达图</w:t>
      </w:r>
    </w:p>
    <w:p>
      <w:pPr>
        <w:spacing w:line="360" w:lineRule="auto" w:after="0"/>
        <w:ind w:firstLineChars="200" w:firstLine="480"/>
        <w:jc w:val="both"/>
      </w:pPr>
      <w:r>
        <w:rPr>
          <w:rFonts w:ascii="宋体" w:hAnsi="宋体" w:eastAsia="宋体"/>
          <w:sz w:val="24"/>
        </w:rPr>
        <w:t>逐一检视差距最大的环节，其成因清晰可辨。市场衔接差距高达0.44，居八维度之首：中欧碳市场在价格水平、覆盖行业、配额分配方式上均存在系统性落差——全国碳市场2025年成交均价62.36元/吨，同年EUA年均价约73欧元/吨；配额以免费分配为主而欧盟拍卖比例持续提高；CCER自2024年1月重启后其减排量的国际互认尚未破题（张希良等，2021；张奕辉，2024）——碳价与减排量的跨境认可通道不通，标准与市场机制“最后一公里”的衔接便无从落地（段玉婉等，2023）。第三方核查差距0.42紧随其后：中国的核查体系围绕国内碳市场履约构建，核查机构由国内主管部门备案管理，与欧盟基于ISO 14065认可制度的核查员体系互不衔接，中国核查报告在CBAM申报中不能直接采信，企业只能重复委托欧盟认可核查或接受缺省值计费——核算结果的国际可信性正是企业碳数据比较研究反复识别的瓶颈（Klaaßen和Stoll，2021；He等，2022）。</w:t>
      </w:r>
    </w:p>
    <w:p>
      <w:pPr>
        <w:spacing w:line="360" w:lineRule="auto" w:after="0"/>
        <w:ind w:firstLineChars="200" w:firstLine="480"/>
        <w:jc w:val="both"/>
      </w:pPr>
      <w:r>
        <w:rPr>
          <w:rFonts w:ascii="宋体" w:hAnsi="宋体" w:eastAsia="宋体"/>
          <w:sz w:val="24"/>
        </w:rPr>
        <w:t>第二梯队的差距同样各有制度根源。生命周期范围差距0.38：中国产品碳足迹标准化起步晚，2024年8月才发布对标ISO 14067的核算通则GB/T 24067-2024，截至2025年6月发布的产品碳足迹国家标准仅9项，相对于以千计的出口产品类别，行业细则覆盖仍是杯水车薪（Wu等，2015；童庆蒙等，2018）；排放因子差距0.35：按碳排放双控制度体系建设的部署，国家温室气体排放因子数据库到2025年才基本建成，2023年度电力碳足迹因子2025年1月才首次发布，因子的时空分辨率与更新时效同欧盟按工艺、按区域逐年更新的缺省值体系相比仍有代差。数据质量差距0.31反映企业计量监测基础的参差，更新频率差距0.28反映标准复审周期长于技术迭代周期的滞后，核算边界差距0.22相对较小——得益于中国企业碳核算规范总体沿用GHG Protocol与ISO 14064的框架，边界规则的国际趋同度较高（陈红敏，2011）。</w:t>
      </w:r>
    </w:p>
    <w:p>
      <w:pPr>
        <w:keepNext/>
        <w:spacing w:before="160" w:after="120" w:line="360" w:lineRule="auto"/>
        <w:outlineLvl w:val="2"/>
      </w:pPr>
      <w:r>
        <w:rPr>
          <w:rFonts w:ascii="黑体" w:hAnsi="黑体" w:eastAsia="黑体"/>
          <w:sz w:val="24"/>
        </w:rPr>
        <w:t>12.3.2  行业层面：ISGI与CIAI</w:t>
      </w:r>
    </w:p>
    <w:p>
      <w:pPr>
        <w:spacing w:line="360" w:lineRule="auto" w:after="0"/>
        <w:ind w:firstLineChars="200" w:firstLine="480"/>
        <w:jc w:val="both"/>
      </w:pPr>
      <w:r>
        <w:rPr>
          <w:rFonts w:ascii="宋体" w:hAnsi="宋体" w:eastAsia="宋体"/>
          <w:sz w:val="24"/>
        </w:rPr>
        <w:t>将测算下钻至CBAM覆盖及关联的六个行业——钢铁、铝（电解铝）、水泥、化肥、化工、氢能——表12.2报告行业综合差距ISGI、贸易额加权差距与综合适配指数CIAI，行业按CIAI降序排列。</w:t>
      </w:r>
    </w:p>
    <w:p>
      <w:pPr>
        <w:keepNext/>
        <w:spacing w:before="160" w:after="40"/>
        <w:jc w:val="center"/>
      </w:pPr>
      <w:r>
        <w:rPr>
          <w:rFonts w:ascii="黑体" w:hAnsi="黑体" w:eastAsia="黑体"/>
          <w:sz w:val="21"/>
        </w:rPr>
        <w:t>表12.2  重点行业国际标准差距指数与综合适配指数测算结果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18"/>
              </w:rPr>
              <w:t>行业</w:t>
            </w:r>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综合差距ISGI</w:t>
            </w:r>
            <m:oMath>
              <m:sSub>
                <m:e>
                  <m:r>
                    <m:t>​</m:t>
                  </m:r>
                </m:e>
                <m:sub>
                  <m:r>
                    <m:t>j</m:t>
                  </m:r>
                </m:sub>
              </m:sSub>
            </m:oMath>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加权差距</w:t>
            </w:r>
            <m:oMath>
              <m:r>
                <m:t>1</m:t>
              </m:r>
              <m:r>
                <m:rPr>
                  <m:sty m:val="p"/>
                </m:rPr>
                <m:t>−</m:t>
              </m:r>
            </m:oMath>
            <w:r>
              <w:rPr>
                <w:rFonts w:ascii="宋体" w:hAnsi="宋体" w:eastAsia="宋体"/>
                <w:b/>
                <w:sz w:val="18"/>
              </w:rPr>
              <w:t>CIAI</w:t>
            </w:r>
            <m:oMath>
              <m:sSub>
                <m:e>
                  <m:r>
                    <m:t>​</m:t>
                  </m:r>
                </m:e>
                <m:sub>
                  <m:r>
                    <m:t>j</m:t>
                  </m:r>
                </m:sub>
              </m:sSub>
            </m:oMath>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适配指数CIAI</w:t>
            </w:r>
            <m:oMath>
              <m:sSub>
                <m:e>
                  <m:r>
                    <m:t>​</m:t>
                  </m:r>
                </m:e>
                <m:sub>
                  <m:r>
                    <m:t>j</m:t>
                  </m:r>
                </m:sub>
              </m:sSub>
            </m:oMath>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适配排名</w:t>
            </w:r>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突出短板维度</w:t>
            </w:r>
          </w:p>
        </w:tc>
      </w:tr>
      <w:tr>
        <w:tc>
          <w:tcPr>
            <w:tcW w:type="dxa" w:w="1417"/>
            <w:vAlign w:val="center"/>
          </w:tcPr>
          <w:p>
            <w:pPr>
              <w:spacing w:line="240" w:lineRule="auto" w:after="20" w:before="20"/>
              <w:jc w:val="left"/>
            </w:pPr>
            <w:r/>
            <w:r>
              <w:rPr>
                <w:rFonts w:ascii="宋体" w:hAnsi="宋体" w:eastAsia="宋体"/>
                <w:sz w:val="18"/>
              </w:rPr>
              <w:t>水泥</w:t>
            </w:r>
          </w:p>
        </w:tc>
        <w:tc>
          <w:tcPr>
            <w:tcW w:type="dxa" w:w="1417"/>
            <w:vAlign w:val="center"/>
          </w:tcPr>
          <w:p>
            <w:pPr>
              <w:spacing w:line="240" w:lineRule="auto" w:after="20" w:before="20"/>
              <w:jc w:val="center"/>
            </w:pPr>
            <w:r/>
            <w:r>
              <w:rPr>
                <w:rFonts w:ascii="宋体" w:hAnsi="宋体" w:eastAsia="宋体"/>
                <w:sz w:val="18"/>
              </w:rPr>
              <w:t>0.29</w:t>
            </w:r>
          </w:p>
        </w:tc>
        <w:tc>
          <w:tcPr>
            <w:tcW w:type="dxa" w:w="1417"/>
            <w:vAlign w:val="center"/>
          </w:tcPr>
          <w:p>
            <w:pPr>
              <w:spacing w:line="240" w:lineRule="auto" w:after="20" w:before="20"/>
              <w:jc w:val="center"/>
            </w:pPr>
            <w:r/>
            <w:r>
              <w:rPr>
                <w:rFonts w:ascii="宋体" w:hAnsi="宋体" w:eastAsia="宋体"/>
                <w:sz w:val="18"/>
              </w:rPr>
              <w:t>0.34</w:t>
            </w:r>
          </w:p>
        </w:tc>
        <w:tc>
          <w:tcPr>
            <w:tcW w:type="dxa" w:w="1417"/>
            <w:vAlign w:val="center"/>
          </w:tcPr>
          <w:p>
            <w:pPr>
              <w:spacing w:line="240" w:lineRule="auto" w:after="20" w:before="20"/>
              <w:jc w:val="center"/>
            </w:pPr>
            <w:r/>
            <w:r>
              <w:rPr>
                <w:rFonts w:ascii="宋体" w:hAnsi="宋体" w:eastAsia="宋体"/>
                <w:sz w:val="18"/>
              </w:rPr>
              <w:t>0.66</w:t>
            </w:r>
          </w:p>
        </w:tc>
        <w:tc>
          <w:tcPr>
            <w:tcW w:type="dxa" w:w="1417"/>
            <w:vAlign w:val="center"/>
          </w:tcPr>
          <w:p>
            <w:pPr>
              <w:spacing w:line="240" w:lineRule="auto" w:after="20" w:before="20"/>
              <w:jc w:val="center"/>
            </w:pPr>
            <w:r/>
            <w:r>
              <w:rPr>
                <w:rFonts w:ascii="宋体" w:hAnsi="宋体" w:eastAsia="宋体"/>
                <w:sz w:val="18"/>
              </w:rPr>
              <w:t>1</w:t>
            </w:r>
          </w:p>
        </w:tc>
        <w:tc>
          <w:tcPr>
            <w:tcW w:type="dxa" w:w="1417"/>
            <w:vAlign w:val="center"/>
          </w:tcPr>
          <w:p>
            <w:pPr>
              <w:spacing w:line="240" w:lineRule="auto" w:after="20" w:before="20"/>
              <w:jc w:val="left"/>
            </w:pPr>
            <w:r/>
            <w:r>
              <w:rPr>
                <w:rFonts w:ascii="宋体" w:hAnsi="宋体" w:eastAsia="宋体"/>
                <w:sz w:val="18"/>
              </w:rPr>
              <w:t>更新频率、市场衔接</w:t>
            </w:r>
          </w:p>
        </w:tc>
      </w:tr>
      <w:tr>
        <w:tc>
          <w:tcPr>
            <w:tcW w:type="dxa" w:w="1417"/>
            <w:vAlign w:val="center"/>
          </w:tcPr>
          <w:p>
            <w:pPr>
              <w:spacing w:line="240" w:lineRule="auto" w:after="20" w:before="20"/>
              <w:jc w:val="left"/>
            </w:pPr>
            <w:r/>
            <w:r>
              <w:rPr>
                <w:rFonts w:ascii="宋体" w:hAnsi="宋体" w:eastAsia="宋体"/>
                <w:sz w:val="18"/>
              </w:rPr>
              <w:t>化工</w:t>
            </w:r>
          </w:p>
        </w:tc>
        <w:tc>
          <w:tcPr>
            <w:tcW w:type="dxa" w:w="1417"/>
            <w:vAlign w:val="center"/>
          </w:tcPr>
          <w:p>
            <w:pPr>
              <w:spacing w:line="240" w:lineRule="auto" w:after="20" w:before="20"/>
              <w:jc w:val="center"/>
            </w:pPr>
            <w:r/>
            <w:r>
              <w:rPr>
                <w:rFonts w:ascii="宋体" w:hAnsi="宋体" w:eastAsia="宋体"/>
                <w:sz w:val="18"/>
              </w:rPr>
              <w:t>0.32</w:t>
            </w:r>
          </w:p>
        </w:tc>
        <w:tc>
          <w:tcPr>
            <w:tcW w:type="dxa" w:w="1417"/>
            <w:vAlign w:val="center"/>
          </w:tcPr>
          <w:p>
            <w:pPr>
              <w:spacing w:line="240" w:lineRule="auto" w:after="20" w:before="20"/>
              <w:jc w:val="center"/>
            </w:pPr>
            <w:r/>
            <w:r>
              <w:rPr>
                <w:rFonts w:ascii="宋体" w:hAnsi="宋体" w:eastAsia="宋体"/>
                <w:sz w:val="18"/>
              </w:rPr>
              <w:t>0.37</w:t>
            </w:r>
          </w:p>
        </w:tc>
        <w:tc>
          <w:tcPr>
            <w:tcW w:type="dxa" w:w="1417"/>
            <w:vAlign w:val="center"/>
          </w:tcPr>
          <w:p>
            <w:pPr>
              <w:spacing w:line="240" w:lineRule="auto" w:after="20" w:before="20"/>
              <w:jc w:val="center"/>
            </w:pPr>
            <w:r/>
            <w:r>
              <w:rPr>
                <w:rFonts w:ascii="宋体" w:hAnsi="宋体" w:eastAsia="宋体"/>
                <w:sz w:val="18"/>
              </w:rPr>
              <w:t>0.63</w:t>
            </w:r>
          </w:p>
        </w:tc>
        <w:tc>
          <w:tcPr>
            <w:tcW w:type="dxa" w:w="1417"/>
            <w:vAlign w:val="center"/>
          </w:tcPr>
          <w:p>
            <w:pPr>
              <w:spacing w:line="240" w:lineRule="auto" w:after="20" w:before="20"/>
              <w:jc w:val="center"/>
            </w:pPr>
            <w:r/>
            <w:r>
              <w:rPr>
                <w:rFonts w:ascii="宋体" w:hAnsi="宋体" w:eastAsia="宋体"/>
                <w:sz w:val="18"/>
              </w:rPr>
              <w:t>2</w:t>
            </w:r>
          </w:p>
        </w:tc>
        <w:tc>
          <w:tcPr>
            <w:tcW w:type="dxa" w:w="1417"/>
            <w:vAlign w:val="center"/>
          </w:tcPr>
          <w:p>
            <w:pPr>
              <w:spacing w:line="240" w:lineRule="auto" w:after="20" w:before="20"/>
              <w:jc w:val="left"/>
            </w:pPr>
            <w:r/>
            <w:r>
              <w:rPr>
                <w:rFonts w:ascii="宋体" w:hAnsi="宋体" w:eastAsia="宋体"/>
                <w:sz w:val="18"/>
              </w:rPr>
              <w:t>生命周期范围</w:t>
            </w:r>
          </w:p>
        </w:tc>
      </w:tr>
      <w:tr>
        <w:tc>
          <w:tcPr>
            <w:tcW w:type="dxa" w:w="1417"/>
            <w:vAlign w:val="center"/>
          </w:tcPr>
          <w:p>
            <w:pPr>
              <w:spacing w:line="240" w:lineRule="auto" w:after="20" w:before="20"/>
              <w:jc w:val="left"/>
            </w:pPr>
            <w:r/>
            <w:r>
              <w:rPr>
                <w:rFonts w:ascii="宋体" w:hAnsi="宋体" w:eastAsia="宋体"/>
                <w:sz w:val="18"/>
              </w:rPr>
              <w:t>钢铁</w:t>
            </w:r>
          </w:p>
        </w:tc>
        <w:tc>
          <w:tcPr>
            <w:tcW w:type="dxa" w:w="1417"/>
            <w:vAlign w:val="center"/>
          </w:tcPr>
          <w:p>
            <w:pPr>
              <w:spacing w:line="240" w:lineRule="auto" w:after="20" w:before="20"/>
              <w:jc w:val="center"/>
            </w:pPr>
            <w:r/>
            <w:r>
              <w:rPr>
                <w:rFonts w:ascii="宋体" w:hAnsi="宋体" w:eastAsia="宋体"/>
                <w:sz w:val="18"/>
              </w:rPr>
              <w:t>0.34</w:t>
            </w:r>
          </w:p>
        </w:tc>
        <w:tc>
          <w:tcPr>
            <w:tcW w:type="dxa" w:w="1417"/>
            <w:vAlign w:val="center"/>
          </w:tcPr>
          <w:p>
            <w:pPr>
              <w:spacing w:line="240" w:lineRule="auto" w:after="20" w:before="20"/>
              <w:jc w:val="center"/>
            </w:pPr>
            <w:r/>
            <w:r>
              <w:rPr>
                <w:rFonts w:ascii="宋体" w:hAnsi="宋体" w:eastAsia="宋体"/>
                <w:sz w:val="18"/>
              </w:rPr>
              <w:t>0.39</w:t>
            </w:r>
          </w:p>
        </w:tc>
        <w:tc>
          <w:tcPr>
            <w:tcW w:type="dxa" w:w="1417"/>
            <w:vAlign w:val="center"/>
          </w:tcPr>
          <w:p>
            <w:pPr>
              <w:spacing w:line="240" w:lineRule="auto" w:after="20" w:before="20"/>
              <w:jc w:val="center"/>
            </w:pPr>
            <w:r/>
            <w:r>
              <w:rPr>
                <w:rFonts w:ascii="宋体" w:hAnsi="宋体" w:eastAsia="宋体"/>
                <w:sz w:val="18"/>
              </w:rPr>
              <w:t>0.61</w:t>
            </w:r>
          </w:p>
        </w:tc>
        <w:tc>
          <w:tcPr>
            <w:tcW w:type="dxa" w:w="1417"/>
            <w:vAlign w:val="center"/>
          </w:tcPr>
          <w:p>
            <w:pPr>
              <w:spacing w:line="240" w:lineRule="auto" w:after="20" w:before="20"/>
              <w:jc w:val="center"/>
            </w:pPr>
            <w:r/>
            <w:r>
              <w:rPr>
                <w:rFonts w:ascii="宋体" w:hAnsi="宋体" w:eastAsia="宋体"/>
                <w:sz w:val="18"/>
              </w:rPr>
              <w:t>3</w:t>
            </w:r>
          </w:p>
        </w:tc>
        <w:tc>
          <w:tcPr>
            <w:tcW w:type="dxa" w:w="1417"/>
            <w:vAlign w:val="center"/>
          </w:tcPr>
          <w:p>
            <w:pPr>
              <w:spacing w:line="240" w:lineRule="auto" w:after="20" w:before="20"/>
              <w:jc w:val="left"/>
            </w:pPr>
            <w:r/>
            <w:r>
              <w:rPr>
                <w:rFonts w:ascii="宋体" w:hAnsi="宋体" w:eastAsia="宋体"/>
                <w:sz w:val="18"/>
              </w:rPr>
              <w:t>第三方核查、市场衔接</w:t>
            </w:r>
          </w:p>
        </w:tc>
      </w:tr>
      <w:tr>
        <w:tc>
          <w:tcPr>
            <w:tcW w:type="dxa" w:w="1417"/>
            <w:vAlign w:val="center"/>
          </w:tcPr>
          <w:p>
            <w:pPr>
              <w:spacing w:line="240" w:lineRule="auto" w:after="20" w:before="20"/>
              <w:jc w:val="left"/>
            </w:pPr>
            <w:r/>
            <w:r>
              <w:rPr>
                <w:rFonts w:ascii="宋体" w:hAnsi="宋体" w:eastAsia="宋体"/>
                <w:sz w:val="18"/>
              </w:rPr>
              <w:t>铝</w:t>
            </w:r>
          </w:p>
        </w:tc>
        <w:tc>
          <w:tcPr>
            <w:tcW w:type="dxa" w:w="1417"/>
            <w:vAlign w:val="center"/>
          </w:tcPr>
          <w:p>
            <w:pPr>
              <w:spacing w:line="240" w:lineRule="auto" w:after="20" w:before="20"/>
              <w:jc w:val="center"/>
            </w:pPr>
            <w:r/>
            <w:r>
              <w:rPr>
                <w:rFonts w:ascii="宋体" w:hAnsi="宋体" w:eastAsia="宋体"/>
                <w:sz w:val="18"/>
              </w:rPr>
              <w:t>0.37</w:t>
            </w:r>
          </w:p>
        </w:tc>
        <w:tc>
          <w:tcPr>
            <w:tcW w:type="dxa" w:w="1417"/>
            <w:vAlign w:val="center"/>
          </w:tcPr>
          <w:p>
            <w:pPr>
              <w:spacing w:line="240" w:lineRule="auto" w:after="20" w:before="20"/>
              <w:jc w:val="center"/>
            </w:pPr>
            <w:r/>
            <w:r>
              <w:rPr>
                <w:rFonts w:ascii="宋体" w:hAnsi="宋体" w:eastAsia="宋体"/>
                <w:sz w:val="18"/>
              </w:rPr>
              <w:t>0.42</w:t>
            </w:r>
          </w:p>
        </w:tc>
        <w:tc>
          <w:tcPr>
            <w:tcW w:type="dxa" w:w="1417"/>
            <w:vAlign w:val="center"/>
          </w:tcPr>
          <w:p>
            <w:pPr>
              <w:spacing w:line="240" w:lineRule="auto" w:after="20" w:before="20"/>
              <w:jc w:val="center"/>
            </w:pPr>
            <w:r/>
            <w:r>
              <w:rPr>
                <w:rFonts w:ascii="宋体" w:hAnsi="宋体" w:eastAsia="宋体"/>
                <w:sz w:val="18"/>
              </w:rPr>
              <w:t>0.58</w:t>
            </w:r>
          </w:p>
        </w:tc>
        <w:tc>
          <w:tcPr>
            <w:tcW w:type="dxa" w:w="1417"/>
            <w:vAlign w:val="center"/>
          </w:tcPr>
          <w:p>
            <w:pPr>
              <w:spacing w:line="240" w:lineRule="auto" w:after="20" w:before="20"/>
              <w:jc w:val="center"/>
            </w:pPr>
            <w:r/>
            <w:r>
              <w:rPr>
                <w:rFonts w:ascii="宋体" w:hAnsi="宋体" w:eastAsia="宋体"/>
                <w:sz w:val="18"/>
              </w:rPr>
              <w:t>4</w:t>
            </w:r>
          </w:p>
        </w:tc>
        <w:tc>
          <w:tcPr>
            <w:tcW w:type="dxa" w:w="1417"/>
            <w:vAlign w:val="center"/>
          </w:tcPr>
          <w:p>
            <w:pPr>
              <w:spacing w:line="240" w:lineRule="auto" w:after="20" w:before="20"/>
              <w:jc w:val="left"/>
            </w:pPr>
            <w:r/>
            <w:r>
              <w:rPr>
                <w:rFonts w:ascii="宋体" w:hAnsi="宋体" w:eastAsia="宋体"/>
                <w:sz w:val="18"/>
              </w:rPr>
              <w:t>排放因子、市场衔接</w:t>
            </w:r>
          </w:p>
        </w:tc>
      </w:tr>
      <w:tr>
        <w:tc>
          <w:tcPr>
            <w:tcW w:type="dxa" w:w="1417"/>
            <w:vAlign w:val="center"/>
          </w:tcPr>
          <w:p>
            <w:pPr>
              <w:spacing w:line="240" w:lineRule="auto" w:after="20" w:before="20"/>
              <w:jc w:val="left"/>
            </w:pPr>
            <w:r/>
            <w:r>
              <w:rPr>
                <w:rFonts w:ascii="宋体" w:hAnsi="宋体" w:eastAsia="宋体"/>
                <w:sz w:val="18"/>
              </w:rPr>
              <w:t>化肥</w:t>
            </w:r>
          </w:p>
        </w:tc>
        <w:tc>
          <w:tcPr>
            <w:tcW w:type="dxa" w:w="1417"/>
            <w:vAlign w:val="center"/>
          </w:tcPr>
          <w:p>
            <w:pPr>
              <w:spacing w:line="240" w:lineRule="auto" w:after="20" w:before="20"/>
              <w:jc w:val="center"/>
            </w:pPr>
            <w:r/>
            <w:r>
              <w:rPr>
                <w:rFonts w:ascii="宋体" w:hAnsi="宋体" w:eastAsia="宋体"/>
                <w:sz w:val="18"/>
              </w:rPr>
              <w:t>0.40</w:t>
            </w:r>
          </w:p>
        </w:tc>
        <w:tc>
          <w:tcPr>
            <w:tcW w:type="dxa" w:w="1417"/>
            <w:vAlign w:val="center"/>
          </w:tcPr>
          <w:p>
            <w:pPr>
              <w:spacing w:line="240" w:lineRule="auto" w:after="20" w:before="20"/>
              <w:jc w:val="center"/>
            </w:pPr>
            <w:r/>
            <w:r>
              <w:rPr>
                <w:rFonts w:ascii="宋体" w:hAnsi="宋体" w:eastAsia="宋体"/>
                <w:sz w:val="18"/>
              </w:rPr>
              <w:t>0.45</w:t>
            </w:r>
          </w:p>
        </w:tc>
        <w:tc>
          <w:tcPr>
            <w:tcW w:type="dxa" w:w="1417"/>
            <w:vAlign w:val="center"/>
          </w:tcPr>
          <w:p>
            <w:pPr>
              <w:spacing w:line="240" w:lineRule="auto" w:after="20" w:before="20"/>
              <w:jc w:val="center"/>
            </w:pPr>
            <w:r/>
            <w:r>
              <w:rPr>
                <w:rFonts w:ascii="宋体" w:hAnsi="宋体" w:eastAsia="宋体"/>
                <w:sz w:val="18"/>
              </w:rPr>
              <w:t>0.55</w:t>
            </w:r>
          </w:p>
        </w:tc>
        <w:tc>
          <w:tcPr>
            <w:tcW w:type="dxa" w:w="1417"/>
            <w:vAlign w:val="center"/>
          </w:tcPr>
          <w:p>
            <w:pPr>
              <w:spacing w:line="240" w:lineRule="auto" w:after="20" w:before="20"/>
              <w:jc w:val="center"/>
            </w:pPr>
            <w:r/>
            <w:r>
              <w:rPr>
                <w:rFonts w:ascii="宋体" w:hAnsi="宋体" w:eastAsia="宋体"/>
                <w:sz w:val="18"/>
              </w:rPr>
              <w:t>5</w:t>
            </w:r>
          </w:p>
        </w:tc>
        <w:tc>
          <w:tcPr>
            <w:tcW w:type="dxa" w:w="1417"/>
            <w:vAlign w:val="center"/>
          </w:tcPr>
          <w:p>
            <w:pPr>
              <w:spacing w:line="240" w:lineRule="auto" w:after="20" w:before="20"/>
              <w:jc w:val="left"/>
            </w:pPr>
            <w:r/>
            <w:r>
              <w:rPr>
                <w:rFonts w:ascii="宋体" w:hAnsi="宋体" w:eastAsia="宋体"/>
                <w:sz w:val="18"/>
              </w:rPr>
              <w:t>核算边界、排放因子</w:t>
            </w:r>
          </w:p>
        </w:tc>
      </w:tr>
      <w:tr>
        <w:tc>
          <w:tcPr>
            <w:tcW w:type="dxa" w:w="1417"/>
            <w:vAlign w:val="center"/>
          </w:tcPr>
          <w:p>
            <w:pPr>
              <w:spacing w:line="240" w:lineRule="auto" w:after="20" w:before="20"/>
              <w:jc w:val="left"/>
            </w:pPr>
            <w:r/>
            <w:r>
              <w:rPr>
                <w:rFonts w:ascii="宋体" w:hAnsi="宋体" w:eastAsia="宋体"/>
                <w:sz w:val="18"/>
              </w:rPr>
              <w:t>氢能</w:t>
            </w:r>
          </w:p>
        </w:tc>
        <w:tc>
          <w:tcPr>
            <w:tcW w:type="dxa" w:w="1417"/>
            <w:vAlign w:val="center"/>
          </w:tcPr>
          <w:p>
            <w:pPr>
              <w:spacing w:line="240" w:lineRule="auto" w:after="20" w:before="20"/>
              <w:jc w:val="center"/>
            </w:pPr>
            <w:r/>
            <w:r>
              <w:rPr>
                <w:rFonts w:ascii="宋体" w:hAnsi="宋体" w:eastAsia="宋体"/>
                <w:sz w:val="18"/>
              </w:rPr>
              <w:t>0.46</w:t>
            </w:r>
          </w:p>
        </w:tc>
        <w:tc>
          <w:tcPr>
            <w:tcW w:type="dxa" w:w="1417"/>
            <w:vAlign w:val="center"/>
          </w:tcPr>
          <w:p>
            <w:pPr>
              <w:spacing w:line="240" w:lineRule="auto" w:after="20" w:before="20"/>
              <w:jc w:val="center"/>
            </w:pPr>
            <w:r/>
            <w:r>
              <w:rPr>
                <w:rFonts w:ascii="宋体" w:hAnsi="宋体" w:eastAsia="宋体"/>
                <w:sz w:val="18"/>
              </w:rPr>
              <w:t>0.51</w:t>
            </w:r>
          </w:p>
        </w:tc>
        <w:tc>
          <w:tcPr>
            <w:tcW w:type="dxa" w:w="1417"/>
            <w:vAlign w:val="center"/>
          </w:tcPr>
          <w:p>
            <w:pPr>
              <w:spacing w:line="240" w:lineRule="auto" w:after="20" w:before="20"/>
              <w:jc w:val="center"/>
            </w:pPr>
            <w:r/>
            <w:r>
              <w:rPr>
                <w:rFonts w:ascii="宋体" w:hAnsi="宋体" w:eastAsia="宋体"/>
                <w:sz w:val="18"/>
              </w:rPr>
              <w:t>0.49</w:t>
            </w:r>
          </w:p>
        </w:tc>
        <w:tc>
          <w:tcPr>
            <w:tcW w:type="dxa" w:w="1417"/>
            <w:vAlign w:val="center"/>
          </w:tcPr>
          <w:p>
            <w:pPr>
              <w:spacing w:line="240" w:lineRule="auto" w:after="20" w:before="20"/>
              <w:jc w:val="center"/>
            </w:pPr>
            <w:r/>
            <w:r>
              <w:rPr>
                <w:rFonts w:ascii="宋体" w:hAnsi="宋体" w:eastAsia="宋体"/>
                <w:sz w:val="18"/>
              </w:rPr>
              <w:t>6</w:t>
            </w:r>
          </w:p>
        </w:tc>
        <w:tc>
          <w:tcPr>
            <w:tcW w:type="dxa" w:w="1417"/>
            <w:vAlign w:val="center"/>
          </w:tcPr>
          <w:p>
            <w:pPr>
              <w:spacing w:line="240" w:lineRule="auto" w:after="20" w:before="20"/>
              <w:jc w:val="left"/>
            </w:pPr>
            <w:r/>
            <w:r>
              <w:rPr>
                <w:rFonts w:ascii="宋体" w:hAnsi="宋体" w:eastAsia="宋体"/>
                <w:sz w:val="18"/>
              </w:rPr>
              <w:t>生命周期范围、市场衔接</w:t>
            </w:r>
          </w:p>
        </w:tc>
      </w:tr>
    </w:tbl>
    <w:p>
      <w:pPr>
        <w:spacing w:after="200" w:line="240" w:lineRule="auto"/>
      </w:pPr>
      <w:r>
        <w:rPr>
          <w:rFonts w:ascii="宋体" w:hAnsi="宋体" w:eastAsia="宋体"/>
          <w:sz w:val="18"/>
        </w:rPr>
        <w:t>注：ISGI</w:t>
      </w:r>
      <m:oMath>
        <m:sSub>
          <m:e>
            <m:r>
              <m:t>​</m:t>
            </m:r>
          </m:e>
          <m:sub>
            <m:r>
              <m:t>j</m:t>
            </m:r>
          </m:sub>
        </m:sSub>
      </m:oMath>
      <w:r>
        <w:rPr>
          <w:rFonts w:ascii="宋体" w:hAnsi="宋体" w:eastAsia="宋体"/>
          <w:sz w:val="18"/>
        </w:rPr>
        <w:t>为八维度差距的简单平均；加权差距为按式(12-2)贸易额权重加权的</w:t>
      </w:r>
      <m:oMath>
        <m:nary>
          <m:naryPr>
            <m:chr m:val="∑"/>
            <m:limLoc m:val="undOvr"/>
            <m:subHide m:val="off"/>
            <m:supHide m:val="on"/>
          </m:naryPr>
          <m:sub>
            <m:r>
              <m:t>k</m:t>
            </m:r>
          </m:sub>
          <m:sup>
            <m:r>
              <m:t>​</m:t>
            </m:r>
          </m:sup>
          <m:e>
            <m:sSub>
              <m:e>
                <m:r>
                  <m:t>π</m:t>
                </m:r>
              </m:e>
              <m:sub>
                <m:r>
                  <m:t>j</m:t>
                </m:r>
                <m:r>
                  <m:t>k</m:t>
                </m:r>
              </m:sub>
            </m:sSub>
          </m:e>
        </m:nary>
        <m:sSub>
          <m:e>
            <m:r>
              <m:rPr>
                <m:sty m:val="p"/>
              </m:rPr>
              <m:t>I</m:t>
            </m:r>
            <m:r>
              <m:rPr>
                <m:sty m:val="p"/>
              </m:rPr>
              <m:t>S</m:t>
            </m:r>
            <m:r>
              <m:rPr>
                <m:sty m:val="p"/>
              </m:rPr>
              <m:t>G</m:t>
            </m:r>
            <m:r>
              <m:rPr>
                <m:sty m:val="p"/>
              </m:rPr>
              <m:t>I</m:t>
            </m:r>
          </m:e>
          <m:sub>
            <m:r>
              <m:t>j</m:t>
            </m:r>
            <m:r>
              <m:t>k</m:t>
            </m:r>
          </m:sub>
        </m:sSub>
      </m:oMath>
      <w:r>
        <w:rPr>
          <w:rFonts w:ascii="宋体" w:hAnsi="宋体" w:eastAsia="宋体"/>
          <w:sz w:val="18"/>
        </w:rPr>
        <w:t>；CIAI</w:t>
      </w:r>
      <m:oMath>
        <m:sSub>
          <m:e>
            <m:r>
              <m:t>​</m:t>
            </m:r>
          </m:e>
          <m:sub>
            <m:r>
              <m:t>j</m:t>
            </m:r>
          </m:sub>
        </m:sSub>
      </m:oMath>
      <w:r>
        <w:rPr>
          <w:rFonts w:ascii="宋体" w:hAnsi="宋体" w:eastAsia="宋体"/>
          <w:sz w:val="18"/>
        </w:rPr>
        <w:t>按式(12-3)测算。数据来源：本书ISGI—CIAI测算结果。</w:t>
      </w:r>
    </w:p>
    <w:p>
      <w:pPr>
        <w:spacing w:line="360" w:lineRule="auto" w:after="0"/>
        <w:ind w:firstLineChars="200" w:firstLine="480"/>
        <w:jc w:val="both"/>
      </w:pPr>
      <w:r>
        <w:rPr>
          <w:rFonts w:ascii="宋体" w:hAnsi="宋体" w:eastAsia="宋体"/>
          <w:sz w:val="24"/>
        </w:rPr>
        <w:t>先看总体格局。六行业综合差距均值为0.36，适配指数均值为0.59；各行业的加权差距系统性高于其简单平均差距，平均高出约0.05，即约5个百分点。这一楔子正是12.2.3节预言的结构性放大效应的量化体现：差距最大的市场衔接与第三方核查恰是贸易额权重最高的维度——前者决定碳价抵扣，后者决定数据采信，二者直接作用于每一笔CBAM申报——短板与权重的同向叠加，使按贸易口径衡量的实际差距比按算术口径衡量的名义差距更为严峻。这提示，以“平均接轨率”为口径的官方进度评估可能系统性低估贸易端的适配压力。</w:t>
      </w:r>
    </w:p>
    <w:p>
      <w:pPr>
        <w:spacing w:line="360" w:lineRule="auto" w:after="0"/>
        <w:ind w:firstLineChars="200" w:firstLine="480"/>
        <w:jc w:val="both"/>
      </w:pPr>
      <w:r>
        <w:rPr>
          <w:rFonts w:ascii="宋体" w:hAnsi="宋体" w:eastAsia="宋体"/>
          <w:sz w:val="24"/>
        </w:rPr>
        <w:t>分行业看，氢能的综合差距最大（0.46），适配指数最低（0.49）。这是新兴产业标准竞赛的典型样本：氢能标准体系在全球范围内都处于建章立制阶段，但欧盟已抢先将可再生氢的认证规则制度化——对电解水制氢的电力来源、时空匹配与碳强度阈值作出严格界定，并将氢纳入CBAM且不设最低豁免。中国是世界第一产氢大国，2024年氢能生产消费规模超3650万吨，但以煤制氢为主，绿氢占比很小——截至2024年底电解水制氢产能约50万吨/年，其中可再生能源制氢产能超12万吨/年——低碳氢、可再生氢的认证标准与碳强度分级规则尚未与国际规则对表，绿氢身份无法获得跨境认证，出口通道在起点上就面临制度封锁（Goldthau和Hughes，2020；刘长松，2024）。氢能差距的警示意义在于：它发生在产业格局尚未固化的窗口期，此时的标准差距若不及时收敛，将随产业规模的扩大被指数级放大。</w:t>
      </w:r>
    </w:p>
    <w:p>
      <w:pPr>
        <w:spacing w:line="360" w:lineRule="auto" w:after="0"/>
        <w:ind w:firstLineChars="200" w:firstLine="480"/>
        <w:jc w:val="both"/>
      </w:pPr>
      <w:r>
        <w:rPr>
          <w:rFonts w:ascii="宋体" w:hAnsi="宋体" w:eastAsia="宋体"/>
          <w:sz w:val="24"/>
        </w:rPr>
        <w:t>化肥（ISGI为0.40、CIAI为0.55）与铝（0.37、0.58）构成第二梯队。化肥的短板在核算方法学的工艺纵深：合成氨—尿素工艺链中氧化亚氮过程排放的计量方法学长期缺位，而CBAM对化肥恰恰计入间接排放且对过程排放要求逐工序核算，中国标准的颗粒度与之存在代差。铝的症结在电力间接排放的口径之争：电解铝用电占其碳足迹的大头，欧盟规则对电力排放因子的取值、绿电抵扣的认定条件设置了严格的可追溯性要求，中国绿色电力证书与欧盟认证体系的互认悬而未决（Bjørn等，2022），使中国电解铝的低碳声明难以变现——尽管2024年发布的GB/T 44905-2024电解铝碳足迹国标已实现产品层面破题，认证与互认环节的缺口仍使标准供给的改善未能同步转化为适配水平的提升（黄俊勇和刘世锦，2023）。</w:t>
      </w:r>
    </w:p>
    <w:p>
      <w:pPr>
        <w:spacing w:line="360" w:lineRule="auto" w:after="0"/>
        <w:ind w:firstLineChars="200" w:firstLine="480"/>
        <w:jc w:val="both"/>
      </w:pPr>
      <w:r>
        <w:rPr>
          <w:rFonts w:ascii="宋体" w:hAnsi="宋体" w:eastAsia="宋体"/>
          <w:sz w:val="24"/>
        </w:rPr>
        <w:t>钢铁（ISGI为0.34、CIAI为0.61）的差距结构最具代表性：其核算边界与排放因子维度的差距相对较小——长流程炼钢的核算方法学国际趋同度高，中国钢铁企业多年参与碳市场试点亦积累了核算基础——差距集中于第三方核查与市场衔接两个制度维度。作为对欧出口体量最大的CBAM行业（2022年约146亿美元、占受影响出口九成以上），钢铁企业对制度差距的感受最为直接：实测数据须经欧盟认可核查员核证方能替代缺省值，而全国碳市场2025年3月才将钢铁纳入配额管理，行业碳价的抵扣凭据刚刚起步（张兵兵等，2025）。化工（0.32、0.63）当前仅化肥子行业被CBAM覆盖，但有机化学品已列入扩围评估清单，其庞杂产品谱系下生命周期规则的缺口构成潜在暴露。水泥的适配指数最高（0.66）、差距最小（0.29）：熟料工艺排放核算方法高度标准化、国际趋同，行业覆盖与边界维度几乎无差距，其残余差距集中于标准更新与市场衔接。不过，水泥的高适配并不意味着高枕无忧——其贸易半径短、对欧出口占比小，适配优势的经济价值有限，这一点将在12.5节的模拟中得到印证。</w:t>
      </w:r>
    </w:p>
    <w:p>
      <w:pPr>
        <w:keepNext/>
        <w:spacing w:before="160" w:after="120" w:line="360" w:lineRule="auto"/>
        <w:outlineLvl w:val="2"/>
      </w:pPr>
      <w:r>
        <w:rPr>
          <w:rFonts w:ascii="黑体" w:hAnsi="黑体" w:eastAsia="黑体"/>
          <w:sz w:val="24"/>
        </w:rPr>
        <w:t>12.3.3  差距结构与供需错配的呼应</w:t>
      </w:r>
    </w:p>
    <w:p>
      <w:pPr>
        <w:spacing w:line="360" w:lineRule="auto" w:after="0"/>
        <w:ind w:firstLineChars="200" w:firstLine="480"/>
        <w:jc w:val="both"/>
      </w:pPr>
      <w:r>
        <w:rPr>
          <w:rFonts w:ascii="宋体" w:hAnsi="宋体" w:eastAsia="宋体"/>
          <w:sz w:val="24"/>
        </w:rPr>
        <w:t>将本节结果与第8章的供需错配图谱并置，可以发现内外两套测算的深度呼应。第8章识别的模块缺口中，碳足迹认证（0.41）居前列，恰与本节生命周期范围、第三方核查两维度的高差距互为表里——国内无标可依的领域，正是国际无法对表的领域；第8章行业错配排序中铝、钢铁、化肥居前，与本节CBAM暴露行业的差距排序基本一致——供需错配最严重的行业，恰是国际适配压力最大的行业。这种内外一致性并非巧合：国内标准供给的结构性短板与国际适配的制度性差距，同源于供给驱动型标准化模式对市场机制环节与认证基础设施的长期忽视。它同时意味着政策杠杆的复用空间——补齐碳足迹与核查短板，既降低国内错配，又收敛国际差距，一份投入产生两份收益。这一判断将在12.6节的优先序分析中得到量化支撑。</w:t>
      </w:r>
    </w:p>
    <w:p>
      <w:pPr>
        <w:keepNext/>
        <w:spacing w:before="160" w:after="120" w:line="360" w:lineRule="auto"/>
        <w:outlineLvl w:val="1"/>
      </w:pPr>
      <w:r>
        <w:rPr>
          <w:rFonts w:ascii="黑体" w:hAnsi="黑体" w:eastAsia="黑体"/>
          <w:sz w:val="28"/>
        </w:rPr>
        <w:t>12.4  标准差距贸易影响的动态投入产出模型</w:t>
      </w:r>
    </w:p>
    <w:p>
      <w:pPr>
        <w:keepNext/>
        <w:spacing w:before="160" w:after="120" w:line="360" w:lineRule="auto"/>
        <w:outlineLvl w:val="2"/>
      </w:pPr>
      <w:r>
        <w:rPr>
          <w:rFonts w:ascii="黑体" w:hAnsi="黑体" w:eastAsia="黑体"/>
          <w:sz w:val="24"/>
        </w:rPr>
        <w:t>12.4.1  产出平衡方程</w:t>
      </w:r>
    </w:p>
    <w:p>
      <w:pPr>
        <w:spacing w:line="360" w:lineRule="auto" w:after="0"/>
        <w:ind w:firstLineChars="200" w:firstLine="480"/>
        <w:jc w:val="both"/>
      </w:pPr>
      <w:r>
        <w:rPr>
          <w:rFonts w:ascii="宋体" w:hAnsi="宋体" w:eastAsia="宋体"/>
          <w:sz w:val="24"/>
        </w:rPr>
        <w:t>差距如何折算为经济损失，需要一个能够刻画行业间关联的核算框架。CBAM冲击的特点是靶向少数行业、经由产业链扩散：钢铁出口收缩不仅损失钢铁产出，还沿投入链条传导至焦炭、铁矿采选、电力等上游部门。投入产出模型以完整的部门关联结构刻画这种扩散，是评估贸易政策行业冲击的标准工具。考虑</w:t>
      </w:r>
      <m:oMath>
        <m:r>
          <m:t>n</m:t>
        </m:r>
      </m:oMath>
      <w:r>
        <w:rPr>
          <w:rFonts w:ascii="宋体" w:hAnsi="宋体" w:eastAsia="宋体"/>
          <w:sz w:val="24"/>
        </w:rPr>
        <w:t>个部门的经济，第</w:t>
      </w:r>
      <m:oMath>
        <m:r>
          <m:t>t</m:t>
        </m:r>
      </m:oMath>
      <w:r>
        <w:rPr>
          <w:rFonts w:ascii="宋体" w:hAnsi="宋体" w:eastAsia="宋体"/>
          <w:sz w:val="24"/>
        </w:rPr>
        <w:t>年的产出平衡方程为：</w:t>
      </w:r>
    </w:p>
    <w:p>
      <w:pPr>
        <w:tabs>
          <w:tab w:pos="4252" w:val="center"/>
          <w:tab w:pos="8504" w:val="right"/>
        </w:tabs>
        <w:spacing w:line="360" w:lineRule="auto" w:before="80" w:after="80"/>
      </w:pPr>
      <w:r>
        <w:tab/>
      </w:r>
      <m:oMath>
        <m:sSub>
          <m:e>
            <m:r>
              <m:t>X</m:t>
            </m:r>
          </m:e>
          <m:sub>
            <m:r>
              <m:t>t</m:t>
            </m:r>
          </m:sub>
        </m:sSub>
        <m:r>
          <m:rPr>
            <m:sty m:val="p"/>
          </m:rPr>
          <m:t>=</m:t>
        </m:r>
        <m:sSub>
          <m:e>
            <m:r>
              <m:t>A</m:t>
            </m:r>
          </m:e>
          <m:sub>
            <m:r>
              <m:t>t</m:t>
            </m:r>
          </m:sub>
        </m:sSub>
        <m:sSub>
          <m:e>
            <m:r>
              <m:t>X</m:t>
            </m:r>
          </m:e>
          <m:sub>
            <m:r>
              <m:t>t</m:t>
            </m:r>
          </m:sub>
        </m:sSub>
        <m:r>
          <m:rPr>
            <m:sty m:val="p"/>
          </m:rPr>
          <m:t>+</m:t>
        </m:r>
        <m:r>
          <m:t>K</m:t>
        </m:r>
        <m:d>
          <m:dPr>
            <m:begChr m:val="("/>
            <m:sepChr m:val=""/>
            <m:endChr m:val=")"/>
            <m:grow/>
          </m:dPr>
          <m:e>
            <m:sSub>
              <m:e>
                <m:r>
                  <m:t>X</m:t>
                </m:r>
              </m:e>
              <m:sub>
                <m:r>
                  <m:t>t</m:t>
                </m:r>
                <m:r>
                  <m:rPr>
                    <m:sty m:val="p"/>
                  </m:rPr>
                  <m:t>+</m:t>
                </m:r>
                <m:r>
                  <m:t>1</m:t>
                </m:r>
              </m:sub>
            </m:sSub>
            <m:r>
              <m:rPr>
                <m:sty m:val="p"/>
              </m:rPr>
              <m:t>−</m:t>
            </m:r>
            <m:sSub>
              <m:e>
                <m:r>
                  <m:t>X</m:t>
                </m:r>
              </m:e>
              <m:sub>
                <m:r>
                  <m:t>t</m:t>
                </m:r>
              </m:sub>
            </m:sSub>
          </m:e>
        </m:d>
        <m:r>
          <m:rPr>
            <m:sty m:val="p"/>
          </m:rPr>
          <m:t>+</m:t>
        </m:r>
        <m:sSub>
          <m:e>
            <m:r>
              <m:t>C</m:t>
            </m:r>
          </m:e>
          <m:sub>
            <m:r>
              <m:t>t</m:t>
            </m:r>
          </m:sub>
        </m:sSub>
        <m:r>
          <m:rPr>
            <m:sty m:val="p"/>
          </m:rPr>
          <m:t>+</m:t>
        </m:r>
        <m:sSub>
          <m:e>
            <m:r>
              <m:t>E</m:t>
            </m:r>
          </m:e>
          <m:sub>
            <m:r>
              <m:t>t</m:t>
            </m:r>
          </m:sub>
        </m:sSub>
      </m:oMath>
      <w:r>
        <w:tab/>
      </w:r>
      <w:r>
        <w:rPr>
          <w:rFonts w:ascii="Times New Roman" w:hAnsi="Times New Roman" w:eastAsia="宋体"/>
          <w:sz w:val="24"/>
        </w:rPr>
        <w:t>(12-4)</w:t>
      </w:r>
    </w:p>
    <w:p>
      <w:pPr>
        <w:spacing w:line="360" w:lineRule="auto" w:after="0"/>
        <w:jc w:val="both"/>
      </w:pPr>
      <w:r>
        <w:rPr>
          <w:rFonts w:ascii="宋体" w:hAnsi="宋体" w:eastAsia="宋体"/>
          <w:sz w:val="24"/>
        </w:rPr>
        <w:t>其中，</w:t>
      </w:r>
      <m:oMath>
        <m:sSub>
          <m:e>
            <m:r>
              <m:t>X</m:t>
            </m:r>
          </m:e>
          <m:sub>
            <m:r>
              <m:t>t</m:t>
            </m:r>
          </m:sub>
        </m:sSub>
      </m:oMath>
      <w:r>
        <w:rPr>
          <w:rFonts w:ascii="宋体" w:hAnsi="宋体" w:eastAsia="宋体"/>
          <w:sz w:val="24"/>
        </w:rPr>
        <w:t>为</w:t>
      </w:r>
      <m:oMath>
        <m:r>
          <m:t>n</m:t>
        </m:r>
        <m:r>
          <m:rPr>
            <m:sty m:val="p"/>
          </m:rPr>
          <m:t>×</m:t>
        </m:r>
        <m:r>
          <m:t>1</m:t>
        </m:r>
      </m:oMath>
      <w:r>
        <w:rPr>
          <w:rFonts w:ascii="宋体" w:hAnsi="宋体" w:eastAsia="宋体"/>
          <w:sz w:val="24"/>
        </w:rPr>
        <w:t>总产出向量；</w:t>
      </w:r>
      <m:oMath>
        <m:sSub>
          <m:e>
            <m:r>
              <m:t>A</m:t>
            </m:r>
          </m:e>
          <m:sub>
            <m:r>
              <m:t>t</m:t>
            </m:r>
          </m:sub>
        </m:sSub>
      </m:oMath>
      <w:r>
        <w:rPr>
          <w:rFonts w:ascii="宋体" w:hAnsi="宋体" w:eastAsia="宋体"/>
          <w:sz w:val="24"/>
        </w:rPr>
        <w:t>为直接消耗系数矩阵，</w:t>
      </w:r>
      <m:oMath>
        <m:sSub>
          <m:e>
            <m:r>
              <m:t>A</m:t>
            </m:r>
          </m:e>
          <m:sub>
            <m:r>
              <m:t>t</m:t>
            </m:r>
          </m:sub>
        </m:sSub>
        <m:sSub>
          <m:e>
            <m:r>
              <m:t>X</m:t>
            </m:r>
          </m:e>
          <m:sub>
            <m:r>
              <m:t>t</m:t>
            </m:r>
          </m:sub>
        </m:sSub>
      </m:oMath>
      <w:r>
        <w:rPr>
          <w:rFonts w:ascii="宋体" w:hAnsi="宋体" w:eastAsia="宋体"/>
          <w:sz w:val="24"/>
        </w:rPr>
        <w:t>为中间投入需求；</w:t>
      </w:r>
      <m:oMath>
        <m:r>
          <m:t>K</m:t>
        </m:r>
      </m:oMath>
      <w:r>
        <w:rPr>
          <w:rFonts w:ascii="宋体" w:hAnsi="宋体" w:eastAsia="宋体"/>
          <w:sz w:val="24"/>
        </w:rPr>
        <w:t>为资本形成系数矩阵，</w:t>
      </w:r>
      <m:oMath>
        <m:r>
          <m:t>K</m:t>
        </m:r>
        <m:d>
          <m:dPr>
            <m:begChr m:val="("/>
            <m:sepChr m:val=""/>
            <m:endChr m:val=")"/>
            <m:grow/>
          </m:dPr>
          <m:e>
            <m:sSub>
              <m:e>
                <m:r>
                  <m:t>X</m:t>
                </m:r>
              </m:e>
              <m:sub>
                <m:r>
                  <m:t>t</m:t>
                </m:r>
                <m:r>
                  <m:rPr>
                    <m:sty m:val="p"/>
                  </m:rPr>
                  <m:t>+</m:t>
                </m:r>
                <m:r>
                  <m:t>1</m:t>
                </m:r>
              </m:sub>
            </m:sSub>
            <m:r>
              <m:rPr>
                <m:sty m:val="p"/>
              </m:rPr>
              <m:t>−</m:t>
            </m:r>
            <m:sSub>
              <m:e>
                <m:r>
                  <m:t>X</m:t>
                </m:r>
              </m:e>
              <m:sub>
                <m:r>
                  <m:t>t</m:t>
                </m:r>
              </m:sub>
            </m:sSub>
          </m:e>
        </m:d>
      </m:oMath>
      <w:r>
        <w:rPr>
          <w:rFonts w:ascii="宋体" w:hAnsi="宋体" w:eastAsia="宋体"/>
          <w:sz w:val="24"/>
        </w:rPr>
        <w:t>为产能扩张引致的投资需求，构成模型的动态项；</w:t>
      </w:r>
      <m:oMath>
        <m:sSub>
          <m:e>
            <m:r>
              <m:t>C</m:t>
            </m:r>
          </m:e>
          <m:sub>
            <m:r>
              <m:t>t</m:t>
            </m:r>
          </m:sub>
        </m:sSub>
      </m:oMath>
      <w:r>
        <w:rPr>
          <w:rFonts w:ascii="宋体" w:hAnsi="宋体" w:eastAsia="宋体"/>
          <w:sz w:val="24"/>
        </w:rPr>
        <w:t>为消费等其他最终需求向量；</w:t>
      </w:r>
      <m:oMath>
        <m:sSub>
          <m:e>
            <m:r>
              <m:t>E</m:t>
            </m:r>
          </m:e>
          <m:sub>
            <m:r>
              <m:t>t</m:t>
            </m:r>
          </m:sub>
        </m:sSub>
      </m:oMath>
      <w:r>
        <w:rPr>
          <w:rFonts w:ascii="宋体" w:hAnsi="宋体" w:eastAsia="宋体"/>
          <w:sz w:val="24"/>
        </w:rPr>
        <w:t>为出口向量。</w:t>
      </w:r>
    </w:p>
    <w:p>
      <w:pPr>
        <w:spacing w:line="360" w:lineRule="auto" w:after="0"/>
        <w:ind w:firstLineChars="200" w:firstLine="480"/>
        <w:jc w:val="both"/>
      </w:pPr>
      <w:r>
        <w:rPr>
          <w:rFonts w:ascii="宋体" w:hAnsi="宋体" w:eastAsia="宋体"/>
          <w:sz w:val="24"/>
        </w:rPr>
        <w:t>式(12-4)是动态列昂惕夫体系：当期产出既要满足中间需求与最终消费，也要为下期产出扩张提供资本品，产出路径由差分方程组递推决定。求解采用前向模拟：给定基年投入产出表与最终需求外生路径，逐年迭代得到产出序列。在比较情景分析中，关注的是冲击情景与无冲击反事实之间的偏离，而投资项在两情景中随产出内生同步调整，故偏离的核心由静态解刻画：</w:t>
      </w:r>
    </w:p>
    <w:p>
      <w:pPr>
        <w:tabs>
          <w:tab w:pos="4252" w:val="center"/>
          <w:tab w:pos="8504" w:val="right"/>
        </w:tabs>
        <w:spacing w:line="360" w:lineRule="auto" w:before="80" w:after="80"/>
      </w:pPr>
      <w:r>
        <w:tab/>
      </w:r>
      <m:oMath>
        <m:sSub>
          <m:e>
            <m:r>
              <m:t>X</m:t>
            </m:r>
          </m:e>
          <m:sub>
            <m:r>
              <m:t>t</m:t>
            </m:r>
          </m:sub>
        </m:sSub>
        <m:r>
          <m:rPr>
            <m:sty m:val="p"/>
          </m:rPr>
          <m:t>=</m:t>
        </m:r>
        <m:sSup>
          <m:e>
            <m:d>
              <m:dPr>
                <m:begChr m:val="("/>
                <m:sepChr m:val=""/>
                <m:endChr m:val=")"/>
                <m:grow/>
              </m:dPr>
              <m:e>
                <m:r>
                  <m:t>I</m:t>
                </m:r>
                <m:r>
                  <m:rPr>
                    <m:sty m:val="p"/>
                  </m:rPr>
                  <m:t>−</m:t>
                </m:r>
                <m:r>
                  <m:t>A</m:t>
                </m:r>
              </m:e>
            </m:d>
          </m:e>
          <m:sup>
            <m:r>
              <m:rPr>
                <m:sty m:val="p"/>
              </m:rPr>
              <m:t>−</m:t>
            </m:r>
            <m:r>
              <m:t>1</m:t>
            </m:r>
          </m:sup>
        </m:sSup>
        <m:d>
          <m:dPr>
            <m:begChr m:val="("/>
            <m:sepChr m:val=""/>
            <m:endChr m:val=")"/>
            <m:grow/>
          </m:dPr>
          <m:e>
            <m:sSub>
              <m:e>
                <m:r>
                  <m:t>C</m:t>
                </m:r>
              </m:e>
              <m:sub>
                <m:r>
                  <m:t>t</m:t>
                </m:r>
              </m:sub>
            </m:sSub>
            <m:r>
              <m:rPr>
                <m:sty m:val="p"/>
              </m:rPr>
              <m:t>+</m:t>
            </m:r>
            <m:sSub>
              <m:e>
                <m:r>
                  <m:t>E</m:t>
                </m:r>
              </m:e>
              <m:sub>
                <m:r>
                  <m:t>t</m:t>
                </m:r>
              </m:sub>
            </m:sSub>
          </m:e>
        </m:d>
      </m:oMath>
      <w:r>
        <w:tab/>
      </w:r>
      <w:r>
        <w:rPr>
          <w:rFonts w:ascii="Times New Roman" w:hAnsi="Times New Roman" w:eastAsia="宋体"/>
          <w:sz w:val="24"/>
        </w:rPr>
        <w:t>(12-5)</w:t>
      </w:r>
    </w:p>
    <w:p>
      <w:pPr>
        <w:spacing w:line="360" w:lineRule="auto" w:after="0"/>
        <w:ind w:firstLineChars="200" w:firstLine="480"/>
        <w:jc w:val="both"/>
      </w:pPr>
      <w:r>
        <w:rPr>
          <w:rFonts w:ascii="宋体" w:hAnsi="宋体" w:eastAsia="宋体"/>
          <w:sz w:val="24"/>
        </w:rPr>
        <w:t>式(12-5)中的</w:t>
      </w:r>
      <m:oMath>
        <m:sSup>
          <m:e>
            <m:d>
              <m:dPr>
                <m:begChr m:val="("/>
                <m:sepChr m:val=""/>
                <m:endChr m:val=")"/>
                <m:grow/>
              </m:dPr>
              <m:e>
                <m:r>
                  <m:t>I</m:t>
                </m:r>
                <m:r>
                  <m:rPr>
                    <m:sty m:val="p"/>
                  </m:rPr>
                  <m:t>−</m:t>
                </m:r>
                <m:r>
                  <m:t>A</m:t>
                </m:r>
              </m:e>
            </m:d>
          </m:e>
          <m:sup>
            <m:r>
              <m:rPr>
                <m:sty m:val="p"/>
              </m:rPr>
              <m:t>−</m:t>
            </m:r>
            <m:r>
              <m:t>1</m:t>
            </m:r>
          </m:sup>
        </m:sSup>
      </m:oMath>
      <w:r>
        <w:rPr>
          <w:rFonts w:ascii="宋体" w:hAnsi="宋体" w:eastAsia="宋体"/>
          <w:sz w:val="24"/>
        </w:rPr>
        <w:t>即列昂惕夫逆矩阵，其元素</w:t>
      </w:r>
      <m:oMath>
        <m:sSub>
          <m:e>
            <m:r>
              <m:t>l</m:t>
            </m:r>
          </m:e>
          <m:sub>
            <m:r>
              <m:t>i</m:t>
            </m:r>
            <m:r>
              <m:t>j</m:t>
            </m:r>
          </m:sub>
        </m:sSub>
      </m:oMath>
      <w:r>
        <w:rPr>
          <w:rFonts w:ascii="宋体" w:hAnsi="宋体" w:eastAsia="宋体"/>
          <w:sz w:val="24"/>
        </w:rPr>
        <w:t>度量部门</w:t>
      </w:r>
      <m:oMath>
        <m:r>
          <m:t>j</m:t>
        </m:r>
      </m:oMath>
      <w:r>
        <w:rPr>
          <w:rFonts w:ascii="宋体" w:hAnsi="宋体" w:eastAsia="宋体"/>
          <w:sz w:val="24"/>
        </w:rPr>
        <w:t>一单位最终需求所直接和间接诱发的部门</w:t>
      </w:r>
      <m:oMath>
        <m:r>
          <m:t>i</m:t>
        </m:r>
      </m:oMath>
      <w:r>
        <w:rPr>
          <w:rFonts w:ascii="宋体" w:hAnsi="宋体" w:eastAsia="宋体"/>
          <w:sz w:val="24"/>
        </w:rPr>
        <w:t>产出，完整捕捉产业关联的乘数效应。模型校准以中国最新投入产出表为基础，将钢铁、铝、水泥、化肥四个CBAM行业从相应大类中拆分单列，动态项的资本系数按分行业固定资产投资结构估计。需要说明的是，投入产出框架假定系数矩阵在模拟期内稳定、价格不作内生调整，其结果应理解为“产业结构给定条件下的冲击传导核算”，与允许要素再配置的一般均衡结果构成上下界关系（段玉婉等，2023；王欢欢和吴骁骏，2025）。</w:t>
      </w:r>
    </w:p>
    <w:p>
      <w:pPr>
        <w:keepNext/>
        <w:spacing w:before="160" w:after="120" w:line="360" w:lineRule="auto"/>
        <w:outlineLvl w:val="2"/>
      </w:pPr>
      <w:r>
        <w:rPr>
          <w:rFonts w:ascii="黑体" w:hAnsi="黑体" w:eastAsia="黑体"/>
          <w:sz w:val="24"/>
        </w:rPr>
        <w:t>12.4.2  碳关税方程与适配调节系数θ</w:t>
      </w:r>
    </w:p>
    <w:p>
      <w:pPr>
        <w:spacing w:line="360" w:lineRule="auto" w:after="0"/>
        <w:ind w:firstLineChars="200" w:firstLine="480"/>
        <w:jc w:val="both"/>
      </w:pPr>
      <w:r>
        <w:rPr>
          <w:rFonts w:ascii="宋体" w:hAnsi="宋体" w:eastAsia="宋体"/>
          <w:sz w:val="24"/>
        </w:rPr>
        <w:t>模型的核心创新在于碳关税的设定。行业</w:t>
      </w:r>
      <m:oMath>
        <m:r>
          <m:t>j</m:t>
        </m:r>
      </m:oMath>
      <w:r>
        <w:rPr>
          <w:rFonts w:ascii="宋体" w:hAnsi="宋体" w:eastAsia="宋体"/>
          <w:sz w:val="24"/>
        </w:rPr>
        <w:t>第</w:t>
      </w:r>
      <m:oMath>
        <m:r>
          <m:t>t</m:t>
        </m:r>
      </m:oMath>
      <w:r>
        <w:rPr>
          <w:rFonts w:ascii="宋体" w:hAnsi="宋体" w:eastAsia="宋体"/>
          <w:sz w:val="24"/>
        </w:rPr>
        <w:t>年的CBAM碳关税额为：</w:t>
      </w:r>
    </w:p>
    <w:p>
      <w:pPr>
        <w:tabs>
          <w:tab w:pos="4252" w:val="center"/>
          <w:tab w:pos="8504" w:val="right"/>
        </w:tabs>
        <w:spacing w:line="360" w:lineRule="auto" w:before="80" w:after="80"/>
      </w:pPr>
      <w:r>
        <w:tab/>
      </w:r>
      <m:oMath>
        <m:sSub>
          <m:e>
            <m:r>
              <m:t>τ</m:t>
            </m:r>
          </m:e>
          <m:sub>
            <m:r>
              <m:t>j</m:t>
            </m:r>
            <m:r>
              <m:t>t</m:t>
            </m:r>
          </m:sub>
        </m:sSub>
        <m:r>
          <m:rPr>
            <m:sty m:val="p"/>
          </m:rPr>
          <m:t>=</m:t>
        </m:r>
        <m:d>
          <m:dPr>
            <m:begChr m:val="("/>
            <m:sepChr m:val=""/>
            <m:endChr m:val=")"/>
            <m:grow/>
          </m:dPr>
          <m:e>
            <m:sSubSup>
              <m:e>
                <m:r>
                  <m:t>P</m:t>
                </m:r>
              </m:e>
              <m:sub>
                <m:r>
                  <m:t>t</m:t>
                </m:r>
              </m:sub>
              <m:sup>
                <m:r>
                  <m:t>E</m:t>
                </m:r>
                <m:r>
                  <m:t>U</m:t>
                </m:r>
              </m:sup>
            </m:sSubSup>
            <m:r>
              <m:rPr>
                <m:sty m:val="p"/>
              </m:rPr>
              <m:t>−</m:t>
            </m:r>
            <m:sSub>
              <m:e>
                <m:r>
                  <m:t>θ</m:t>
                </m:r>
              </m:e>
              <m:sub>
                <m:r>
                  <m:t>j</m:t>
                </m:r>
              </m:sub>
            </m:sSub>
            <m:sSubSup>
              <m:e>
                <m:r>
                  <m:t>P</m:t>
                </m:r>
              </m:e>
              <m:sub>
                <m:r>
                  <m:t>t</m:t>
                </m:r>
              </m:sub>
              <m:sup>
                <m:r>
                  <m:t>C</m:t>
                </m:r>
                <m:r>
                  <m:t>N</m:t>
                </m:r>
              </m:sup>
            </m:sSubSup>
          </m:e>
        </m:d>
        <m:r>
          <m:rPr>
            <m:sty m:val="p"/>
          </m:rPr>
          <m:t>⋅</m:t>
        </m:r>
        <m:sSub>
          <m:e>
            <m:r>
              <m:t>e</m:t>
            </m:r>
          </m:e>
          <m:sub>
            <m:r>
              <m:t>j</m:t>
            </m:r>
          </m:sub>
        </m:sSub>
        <m:r>
          <m:rPr>
            <m:sty m:val="p"/>
          </m:rPr>
          <m:t>⋅</m:t>
        </m:r>
        <m:sSub>
          <m:e>
            <m:r>
              <m:t>ρ</m:t>
            </m:r>
          </m:e>
          <m:sub>
            <m:r>
              <m:t>j</m:t>
            </m:r>
          </m:sub>
        </m:sSub>
        <m:r>
          <m:rPr>
            <m:sty m:val="p"/>
          </m:rPr>
          <m:t>⋅</m:t>
        </m:r>
        <m:sSub>
          <m:e>
            <m:r>
              <m:t>X</m:t>
            </m:r>
          </m:e>
          <m:sub>
            <m:r>
              <m:t>j</m:t>
            </m:r>
            <m:r>
              <m:t>t</m:t>
            </m:r>
          </m:sub>
        </m:sSub>
        <m:r>
          <m:rPr>
            <m:sty m:val="p"/>
          </m:rPr>
          <m:t>⋅</m:t>
        </m:r>
        <m:r>
          <m:rPr>
            <m:sty m:val="b"/>
          </m:rPr>
          <m:t>1</m:t>
        </m:r>
        <m:d>
          <m:dPr>
            <m:begChr m:val="("/>
            <m:sepChr m:val=""/>
            <m:endChr m:val=")"/>
            <m:grow/>
          </m:dPr>
          <m:e>
            <m:r>
              <m:t>t</m:t>
            </m:r>
            <m:r>
              <m:rPr>
                <m:sty m:val="p"/>
              </m:rPr>
              <m:t>≥</m:t>
            </m:r>
            <m:sSub>
              <m:e>
                <m:r>
                  <m:t>t</m:t>
                </m:r>
              </m:e>
              <m:sub>
                <m:r>
                  <m:t>0</m:t>
                </m:r>
              </m:sub>
            </m:sSub>
          </m:e>
        </m:d>
      </m:oMath>
      <w:r>
        <w:tab/>
      </w:r>
      <w:r>
        <w:rPr>
          <w:rFonts w:ascii="Times New Roman" w:hAnsi="Times New Roman" w:eastAsia="宋体"/>
          <w:sz w:val="24"/>
        </w:rPr>
        <w:t>(12-6)</w:t>
      </w:r>
    </w:p>
    <w:p>
      <w:pPr>
        <w:spacing w:line="360" w:lineRule="auto" w:after="0"/>
        <w:jc w:val="both"/>
      </w:pPr>
      <w:r>
        <w:rPr>
          <w:rFonts w:ascii="宋体" w:hAnsi="宋体" w:eastAsia="宋体"/>
          <w:sz w:val="24"/>
        </w:rPr>
        <w:t>其中，</w:t>
      </w:r>
      <m:oMath>
        <m:sSubSup>
          <m:e>
            <m:r>
              <m:t>P</m:t>
            </m:r>
          </m:e>
          <m:sub>
            <m:r>
              <m:t>t</m:t>
            </m:r>
          </m:sub>
          <m:sup>
            <m:r>
              <m:t>E</m:t>
            </m:r>
            <m:r>
              <m:t>U</m:t>
            </m:r>
          </m:sup>
        </m:sSubSup>
      </m:oMath>
      <w:r>
        <w:rPr>
          <w:rFonts w:ascii="宋体" w:hAnsi="宋体" w:eastAsia="宋体"/>
          <w:sz w:val="24"/>
        </w:rPr>
        <w:t>为CBAM证书价格（与EU ETS配额拍卖均价挂钩），</w:t>
      </w:r>
      <m:oMath>
        <m:sSubSup>
          <m:e>
            <m:r>
              <m:t>P</m:t>
            </m:r>
          </m:e>
          <m:sub>
            <m:r>
              <m:t>t</m:t>
            </m:r>
          </m:sub>
          <m:sup>
            <m:r>
              <m:t>C</m:t>
            </m:r>
            <m:r>
              <m:t>N</m:t>
            </m:r>
          </m:sup>
        </m:sSubSup>
      </m:oMath>
      <w:r>
        <w:rPr>
          <w:rFonts w:ascii="宋体" w:hAnsi="宋体" w:eastAsia="宋体"/>
          <w:sz w:val="24"/>
        </w:rPr>
        <w:t>为中国碳价，</w:t>
      </w:r>
      <m:oMath>
        <m:sSub>
          <m:e>
            <m:r>
              <m:t>θ</m:t>
            </m:r>
          </m:e>
          <m:sub>
            <m:r>
              <m:t>j</m:t>
            </m:r>
          </m:sub>
        </m:sSub>
        <m:r>
          <m:rPr>
            <m:sty m:val="p"/>
          </m:rPr>
          <m:t>∈</m:t>
        </m:r>
        <m:d>
          <m:dPr>
            <m:begChr m:val="["/>
            <m:sepChr m:val=""/>
            <m:endChr m:val="]"/>
            <m:grow/>
          </m:dPr>
          <m:e>
            <m:r>
              <m:t>0</m:t>
            </m:r>
            <m:r>
              <m:rPr>
                <m:sty m:val="p"/>
              </m:rPr>
              <m:t>,</m:t>
            </m:r>
            <m:r>
              <m:t>1</m:t>
            </m:r>
          </m:e>
        </m:d>
      </m:oMath>
      <w:r>
        <w:rPr>
          <w:rFonts w:ascii="宋体" w:hAnsi="宋体" w:eastAsia="宋体"/>
          <w:sz w:val="24"/>
        </w:rPr>
        <w:t>为适配调节系数，</w:t>
      </w:r>
      <m:oMath>
        <m:sSub>
          <m:e>
            <m:r>
              <m:t>e</m:t>
            </m:r>
          </m:e>
          <m:sub>
            <m:r>
              <m:t>j</m:t>
            </m:r>
          </m:sub>
        </m:sSub>
      </m:oMath>
      <w:r>
        <w:rPr>
          <w:rFonts w:ascii="宋体" w:hAnsi="宋体" w:eastAsia="宋体"/>
          <w:sz w:val="24"/>
        </w:rPr>
        <w:t>为行业</w:t>
      </w:r>
      <m:oMath>
        <m:r>
          <m:t>j</m:t>
        </m:r>
      </m:oMath>
      <w:r>
        <w:rPr>
          <w:rFonts w:ascii="宋体" w:hAnsi="宋体" w:eastAsia="宋体"/>
          <w:sz w:val="24"/>
        </w:rPr>
        <w:t>产出中对欧出口且落入CBAM覆盖范围的比例，</w:t>
      </w:r>
      <m:oMath>
        <m:sSub>
          <m:e>
            <m:r>
              <m:t>ρ</m:t>
            </m:r>
          </m:e>
          <m:sub>
            <m:r>
              <m:t>j</m:t>
            </m:r>
          </m:sub>
        </m:sSub>
      </m:oMath>
      <w:r>
        <w:rPr>
          <w:rFonts w:ascii="宋体" w:hAnsi="宋体" w:eastAsia="宋体"/>
          <w:sz w:val="24"/>
        </w:rPr>
        <w:t>为行业单位产出的隐含排放系数，</w:t>
      </w:r>
      <m:oMath>
        <m:sSub>
          <m:e>
            <m:r>
              <m:t>X</m:t>
            </m:r>
          </m:e>
          <m:sub>
            <m:r>
              <m:t>j</m:t>
            </m:r>
            <m:r>
              <m:t>t</m:t>
            </m:r>
          </m:sub>
        </m:sSub>
      </m:oMath>
      <w:r>
        <w:rPr>
          <w:rFonts w:ascii="宋体" w:hAnsi="宋体" w:eastAsia="宋体"/>
          <w:sz w:val="24"/>
        </w:rPr>
        <w:t>为行业产出，</w:t>
      </w:r>
      <m:oMath>
        <m:r>
          <m:rPr>
            <m:sty m:val="b"/>
          </m:rPr>
          <m:t>1</m:t>
        </m:r>
        <m:d>
          <m:dPr>
            <m:begChr m:val="("/>
            <m:sepChr m:val=""/>
            <m:endChr m:val=")"/>
            <m:grow/>
          </m:dPr>
          <m:e>
            <m:r>
              <m:t>t</m:t>
            </m:r>
            <m:r>
              <m:rPr>
                <m:sty m:val="p"/>
              </m:rPr>
              <m:t>≥</m:t>
            </m:r>
            <m:sSub>
              <m:e>
                <m:r>
                  <m:t>t</m:t>
                </m:r>
              </m:e>
              <m:sub>
                <m:r>
                  <m:t>0</m:t>
                </m:r>
              </m:sub>
            </m:sSub>
          </m:e>
        </m:d>
      </m:oMath>
      <w:r>
        <w:rPr>
          <w:rFonts w:ascii="宋体" w:hAnsi="宋体" w:eastAsia="宋体"/>
          <w:sz w:val="24"/>
        </w:rPr>
        <w:t>为正式征收的时间指示函数，</w:t>
      </w:r>
      <m:oMath>
        <m:sSub>
          <m:e>
            <m:r>
              <m:t>t</m:t>
            </m:r>
          </m:e>
          <m:sub>
            <m:r>
              <m:t>0</m:t>
            </m:r>
          </m:sub>
        </m:sSub>
        <m:r>
          <m:rPr>
            <m:sty m:val="p"/>
          </m:rPr>
          <m:t>=</m:t>
        </m:r>
        <m:r>
          <m:t>2026</m:t>
        </m:r>
      </m:oMath>
      <w:r>
        <w:rPr>
          <w:rFonts w:ascii="宋体" w:hAnsi="宋体" w:eastAsia="宋体"/>
          <w:sz w:val="24"/>
        </w:rPr>
        <w:t>年。</w:t>
      </w:r>
    </w:p>
    <w:p>
      <w:pPr>
        <w:spacing w:line="360" w:lineRule="auto" w:after="0"/>
        <w:ind w:firstLineChars="200" w:firstLine="480"/>
        <w:jc w:val="both"/>
      </w:pPr>
      <w:r>
        <w:rPr>
          <w:rFonts w:ascii="宋体" w:hAnsi="宋体" w:eastAsia="宋体"/>
          <w:sz w:val="24"/>
        </w:rPr>
        <w:t>式(12-6)将CBAM的制度逻辑压缩为一个价差结构：应缴关税等于欧盟碳价与“被认可的中国碳价”之差，乘以覆盖出口的隐含排放量。适配调节系数θ是标准差距进入经济模型的通道，其制度对应物有三：其一，碳价抵扣的认定——CBAM允许扣减原产国已实际支付的碳价，但须提供欧盟认可的缴费与核查凭据，市场衔接与核查维度的差距直接折损可抵扣比例；其二，实测数据的采信——核算、因子与数据质量维度的差距决定企业能否以实测排放替代惩罚性缺省值，缺省值通常按欧盟同类设施排放最差区间设定，采信失败等价于变相抬高</w:t>
      </w:r>
      <m:oMath>
        <m:sSub>
          <m:e>
            <m:r>
              <m:t>ρ</m:t>
            </m:r>
          </m:e>
          <m:sub>
            <m:r>
              <m:t>j</m:t>
            </m:r>
          </m:sub>
        </m:sSub>
      </m:oMath>
      <w:r>
        <w:rPr>
          <w:rFonts w:ascii="宋体" w:hAnsi="宋体" w:eastAsia="宋体"/>
          <w:sz w:val="24"/>
        </w:rPr>
        <w:t>；其三，免费配额的对应扣减——中国碳市场以免费分配为主，欧盟仅认可有偿部分对应的碳成本。三重折损均随适配水平单调变化，据此设定θ与CIAI的映射：</w:t>
      </w:r>
    </w:p>
    <w:p>
      <w:pPr>
        <w:tabs>
          <w:tab w:pos="4252" w:val="center"/>
          <w:tab w:pos="8504" w:val="right"/>
        </w:tabs>
        <w:spacing w:line="360" w:lineRule="auto" w:before="80" w:after="80"/>
      </w:pPr>
      <w:r>
        <w:tab/>
      </w:r>
      <m:oMath>
        <m:sSub>
          <m:e>
            <m:r>
              <m:t>θ</m:t>
            </m:r>
          </m:e>
          <m:sub>
            <m:r>
              <m:t>j</m:t>
            </m:r>
          </m:sub>
        </m:sSub>
        <m:r>
          <m:rPr>
            <m:sty m:val="p"/>
          </m:rPr>
          <m:t>=</m:t>
        </m:r>
        <m:sSub>
          <m:e>
            <m:r>
              <m:t>θ</m:t>
            </m:r>
          </m:e>
          <m:sub>
            <m:r>
              <m:t>0</m:t>
            </m:r>
          </m:sub>
        </m:sSub>
        <m:r>
          <m:rPr>
            <m:sty m:val="p"/>
          </m:rPr>
          <m:t>+</m:t>
        </m:r>
        <m:d>
          <m:dPr>
            <m:begChr m:val="("/>
            <m:sepChr m:val=""/>
            <m:endChr m:val=")"/>
            <m:grow/>
          </m:dPr>
          <m:e>
            <m:r>
              <m:t>1</m:t>
            </m:r>
            <m:r>
              <m:rPr>
                <m:sty m:val="p"/>
              </m:rPr>
              <m:t>−</m:t>
            </m:r>
            <m:sSub>
              <m:e>
                <m:r>
                  <m:t>θ</m:t>
                </m:r>
              </m:e>
              <m:sub>
                <m:r>
                  <m:t>0</m:t>
                </m:r>
              </m:sub>
            </m:sSub>
          </m:e>
        </m:d>
        <m:sSub>
          <m:e>
            <m:r>
              <m:rPr>
                <m:sty m:val="p"/>
              </m:rPr>
              <m:t>C</m:t>
            </m:r>
            <m:r>
              <m:rPr>
                <m:sty m:val="p"/>
              </m:rPr>
              <m:t>I</m:t>
            </m:r>
            <m:r>
              <m:rPr>
                <m:sty m:val="p"/>
              </m:rPr>
              <m:t>A</m:t>
            </m:r>
            <m:r>
              <m:rPr>
                <m:sty m:val="p"/>
              </m:rPr>
              <m:t>I</m:t>
            </m:r>
          </m:e>
          <m:sub>
            <m:r>
              <m:t>j</m:t>
            </m:r>
          </m:sub>
        </m:sSub>
      </m:oMath>
      <w:r>
        <w:tab/>
      </w:r>
      <w:r>
        <w:rPr>
          <w:rFonts w:ascii="Times New Roman" w:hAnsi="Times New Roman" w:eastAsia="宋体"/>
          <w:sz w:val="24"/>
        </w:rPr>
        <w:t>(12-7)</w:t>
      </w:r>
    </w:p>
    <w:p>
      <w:pPr>
        <w:spacing w:line="360" w:lineRule="auto" w:after="0"/>
        <w:jc w:val="both"/>
      </w:pPr>
      <w:r>
        <w:rPr>
          <w:rFonts w:ascii="宋体" w:hAnsi="宋体" w:eastAsia="宋体"/>
          <w:sz w:val="24"/>
        </w:rPr>
        <w:t>其中，</w:t>
      </w:r>
      <m:oMath>
        <m:sSub>
          <m:e>
            <m:r>
              <m:t>θ</m:t>
            </m:r>
          </m:e>
          <m:sub>
            <m:r>
              <m:t>0</m:t>
            </m:r>
          </m:sub>
        </m:sSub>
      </m:oMath>
      <w:r>
        <w:rPr>
          <w:rFonts w:ascii="宋体" w:hAnsi="宋体" w:eastAsia="宋体"/>
          <w:sz w:val="24"/>
        </w:rPr>
        <w:t>为制度底线参数，代表与标准无关、仅凭双边协定即可获得的最低认可度，基准取</w:t>
      </w:r>
      <m:oMath>
        <m:sSub>
          <m:e>
            <m:r>
              <m:t>θ</m:t>
            </m:r>
          </m:e>
          <m:sub>
            <m:r>
              <m:t>0</m:t>
            </m:r>
          </m:sub>
        </m:sSub>
        <m:r>
          <m:rPr>
            <m:sty m:val="p"/>
          </m:rPr>
          <m:t>=</m:t>
        </m:r>
        <m:r>
          <m:t>0</m:t>
        </m:r>
      </m:oMath>
      <w:r>
        <w:rPr>
          <w:rFonts w:ascii="宋体" w:hAnsi="宋体" w:eastAsia="宋体"/>
          <w:sz w:val="24"/>
        </w:rPr>
        <w:t>，此时</w:t>
      </w:r>
      <m:oMath>
        <m:sSub>
          <m:e>
            <m:r>
              <m:t>θ</m:t>
            </m:r>
          </m:e>
          <m:sub>
            <m:r>
              <m:t>j</m:t>
            </m:r>
          </m:sub>
        </m:sSub>
        <m:r>
          <m:rPr>
            <m:sty m:val="p"/>
          </m:rPr>
          <m:t>=</m:t>
        </m:r>
        <m:sSub>
          <m:e>
            <m:r>
              <m:rPr>
                <m:sty m:val="p"/>
              </m:rPr>
              <m:t>C</m:t>
            </m:r>
            <m:r>
              <m:rPr>
                <m:sty m:val="p"/>
              </m:rPr>
              <m:t>I</m:t>
            </m:r>
            <m:r>
              <m:rPr>
                <m:sty m:val="p"/>
              </m:rPr>
              <m:t>A</m:t>
            </m:r>
            <m:r>
              <m:rPr>
                <m:sty m:val="p"/>
              </m:rPr>
              <m:t>I</m:t>
            </m:r>
          </m:e>
          <m:sub>
            <m:r>
              <m:t>j</m:t>
            </m:r>
          </m:sub>
        </m:sSub>
      </m:oMath>
      <w:r>
        <w:rPr>
          <w:rFonts w:ascii="宋体" w:hAnsi="宋体" w:eastAsia="宋体"/>
          <w:sz w:val="24"/>
        </w:rPr>
        <w:t>：适配指数即认可比例。</w:t>
      </w:r>
    </w:p>
    <w:p>
      <w:pPr>
        <w:spacing w:line="360" w:lineRule="auto" w:after="0"/>
        <w:ind w:firstLineChars="200" w:firstLine="480"/>
        <w:jc w:val="both"/>
      </w:pPr>
      <w:r>
        <w:rPr>
          <w:rFonts w:ascii="宋体" w:hAnsi="宋体" w:eastAsia="宋体"/>
          <w:sz w:val="24"/>
        </w:rPr>
        <w:t>式(12-7)的线性设定是基准选择，其含义直观：CIAI每提高0.1，中国碳价被认可抵扣的比例提高约10个百分点。作为稳健性设定，模拟还检验了凸性映射（认可度随适配水平加速提升，对应欧盟“整体等效性”审查通过后的跳跃式互认）与凹性映射（低适配区间的边际改善也能换取部分认可），基准情景排序在各设定下保持稳定。将式(12-7)代入式(12-6)可见标准差距的价格化机制：加权差距</w:t>
      </w:r>
      <m:oMath>
        <m:r>
          <m:t>1</m:t>
        </m:r>
        <m:r>
          <m:rPr>
            <m:sty m:val="p"/>
          </m:rPr>
          <m:t>−</m:t>
        </m:r>
        <m:sSub>
          <m:e>
            <m:r>
              <m:rPr>
                <m:sty m:val="p"/>
              </m:rPr>
              <m:t>C</m:t>
            </m:r>
            <m:r>
              <m:rPr>
                <m:sty m:val="p"/>
              </m:rPr>
              <m:t>I</m:t>
            </m:r>
            <m:r>
              <m:rPr>
                <m:sty m:val="p"/>
              </m:rPr>
              <m:t>A</m:t>
            </m:r>
            <m:r>
              <m:rPr>
                <m:sty m:val="p"/>
              </m:rPr>
              <m:t>I</m:t>
            </m:r>
          </m:e>
          <m:sub>
            <m:r>
              <m:t>j</m:t>
            </m:r>
          </m:sub>
        </m:sSub>
      </m:oMath>
      <w:r>
        <w:rPr>
          <w:rFonts w:ascii="宋体" w:hAnsi="宋体" w:eastAsia="宋体"/>
          <w:sz w:val="24"/>
        </w:rPr>
        <w:t>每存在一个百分点，就有相应比例的中国碳价支出在欧盟边境不被承认，企业实质上为同一吨碳缴纳两次费用——这正是标准不适配的“双重征税”效应，也是碳市场扩容提价的对冲效果依赖标准衔接的原因所在（Grubb和Neuhoff，2006；张兵兵等，2025）。</w:t>
      </w:r>
    </w:p>
    <w:p>
      <w:pPr>
        <w:keepNext/>
        <w:spacing w:before="160" w:after="120" w:line="360" w:lineRule="auto"/>
        <w:outlineLvl w:val="2"/>
      </w:pPr>
      <w:r>
        <w:rPr>
          <w:rFonts w:ascii="黑体" w:hAnsi="黑体" w:eastAsia="黑体"/>
          <w:sz w:val="24"/>
        </w:rPr>
        <w:t>12.4.3  传导机制：从标准差距到产出损失</w:t>
      </w:r>
    </w:p>
    <w:p>
      <w:pPr>
        <w:spacing w:line="360" w:lineRule="auto" w:after="0"/>
        <w:ind w:firstLineChars="200" w:firstLine="480"/>
        <w:jc w:val="both"/>
      </w:pPr>
      <w:r>
        <w:rPr>
          <w:rFonts w:ascii="宋体" w:hAnsi="宋体" w:eastAsia="宋体"/>
          <w:sz w:val="24"/>
        </w:rPr>
        <w:t>碳关税经由价格竞争力渠道转化为需求冲击——欧洲内部能源市场的经验早已表明，用能成本差异会显著影响工业竞争力（González和Alonso，2021）。首先将关税折算为从价等价成本：</w:t>
      </w:r>
    </w:p>
    <w:p>
      <w:pPr>
        <w:tabs>
          <w:tab w:pos="4252" w:val="center"/>
          <w:tab w:pos="8504" w:val="right"/>
        </w:tabs>
        <w:spacing w:line="360" w:lineRule="auto" w:before="80" w:after="80"/>
      </w:pPr>
      <w:r>
        <w:tab/>
      </w:r>
      <m:oMath>
        <m:sSub>
          <m:e>
            <m:r>
              <m:t>t</m:t>
            </m:r>
          </m:e>
          <m:sub>
            <m:r>
              <m:t>j</m:t>
            </m:r>
            <m:r>
              <m:t>t</m:t>
            </m:r>
          </m:sub>
        </m:sSub>
        <m:r>
          <m:rPr>
            <m:sty m:val="p"/>
          </m:rPr>
          <m:t>=</m:t>
        </m:r>
        <m:f>
          <m:fPr>
            <m:type m:val="bar"/>
          </m:fPr>
          <m:num>
            <m:sSub>
              <m:e>
                <m:r>
                  <m:t>τ</m:t>
                </m:r>
              </m:e>
              <m:sub>
                <m:r>
                  <m:t>j</m:t>
                </m:r>
                <m:r>
                  <m:t>t</m:t>
                </m:r>
              </m:sub>
            </m:sSub>
          </m:num>
          <m:den>
            <m:sSub>
              <m:e>
                <m:r>
                  <m:t>V</m:t>
                </m:r>
              </m:e>
              <m:sub>
                <m:r>
                  <m:t>j</m:t>
                </m:r>
                <m:r>
                  <m:t>t</m:t>
                </m:r>
              </m:sub>
            </m:sSub>
          </m:den>
        </m:f>
      </m:oMath>
      <w:r>
        <w:tab/>
      </w:r>
      <w:r>
        <w:rPr>
          <w:rFonts w:ascii="Times New Roman" w:hAnsi="Times New Roman" w:eastAsia="宋体"/>
          <w:sz w:val="24"/>
        </w:rPr>
        <w:t>(12-8)</w:t>
      </w:r>
    </w:p>
    <w:p>
      <w:pPr>
        <w:spacing w:line="360" w:lineRule="auto" w:after="0"/>
        <w:jc w:val="both"/>
      </w:pPr>
      <w:r>
        <w:rPr>
          <w:rFonts w:ascii="宋体" w:hAnsi="宋体" w:eastAsia="宋体"/>
          <w:sz w:val="24"/>
        </w:rPr>
        <w:t>其中，</w:t>
      </w:r>
      <m:oMath>
        <m:sSub>
          <m:e>
            <m:r>
              <m:t>V</m:t>
            </m:r>
          </m:e>
          <m:sub>
            <m:r>
              <m:t>j</m:t>
            </m:r>
            <m:r>
              <m:t>t</m:t>
            </m:r>
          </m:sub>
        </m:sSub>
      </m:oMath>
      <w:r>
        <w:rPr>
          <w:rFonts w:ascii="宋体" w:hAnsi="宋体" w:eastAsia="宋体"/>
          <w:sz w:val="24"/>
        </w:rPr>
        <w:t>为行业</w:t>
      </w:r>
      <m:oMath>
        <m:r>
          <m:t>j</m:t>
        </m:r>
      </m:oMath>
      <w:r>
        <w:rPr>
          <w:rFonts w:ascii="宋体" w:hAnsi="宋体" w:eastAsia="宋体"/>
          <w:sz w:val="24"/>
        </w:rPr>
        <w:t>对欧覆盖产品的出口额，</w:t>
      </w:r>
      <m:oMath>
        <m:sSub>
          <m:e>
            <m:r>
              <m:t>t</m:t>
            </m:r>
          </m:e>
          <m:sub>
            <m:r>
              <m:t>j</m:t>
            </m:r>
            <m:r>
              <m:t>t</m:t>
            </m:r>
          </m:sub>
        </m:sSub>
      </m:oMath>
      <w:r>
        <w:rPr>
          <w:rFonts w:ascii="宋体" w:hAnsi="宋体" w:eastAsia="宋体"/>
          <w:sz w:val="24"/>
        </w:rPr>
        <w:t>即碳关税的从价税率等价物。</w:t>
      </w:r>
    </w:p>
    <w:p>
      <w:pPr>
        <w:spacing w:line="360" w:lineRule="auto" w:after="0"/>
        <w:ind w:firstLineChars="200" w:firstLine="480"/>
        <w:jc w:val="both"/>
      </w:pPr>
      <w:r>
        <w:rPr>
          <w:rFonts w:ascii="宋体" w:hAnsi="宋体" w:eastAsia="宋体"/>
          <w:sz w:val="24"/>
        </w:rPr>
        <w:t>出口需求按不变弹性形式对成本上升作出反应：</w:t>
      </w:r>
    </w:p>
    <w:p>
      <w:pPr>
        <w:tabs>
          <w:tab w:pos="4252" w:val="center"/>
          <w:tab w:pos="8504" w:val="right"/>
        </w:tabs>
        <w:spacing w:line="360" w:lineRule="auto" w:before="80" w:after="80"/>
      </w:pPr>
      <w:r>
        <w:tab/>
      </w:r>
      <m:oMath>
        <m:r>
          <m:t>Δ</m:t>
        </m:r>
        <m:sSub>
          <m:e>
            <m:r>
              <m:t>E</m:t>
            </m:r>
          </m:e>
          <m:sub>
            <m:r>
              <m:t>j</m:t>
            </m:r>
            <m:r>
              <m:t>t</m:t>
            </m:r>
          </m:sub>
        </m:sSub>
        <m:r>
          <m:rPr>
            <m:sty m:val="p"/>
          </m:rPr>
          <m:t>=</m:t>
        </m:r>
        <m:r>
          <m:rPr>
            <m:sty m:val="p"/>
          </m:rPr>
          <m:t>−</m:t>
        </m:r>
        <m:sSub>
          <m:e>
            <m:r>
              <m:t>ε</m:t>
            </m:r>
          </m:e>
          <m:sub>
            <m:r>
              <m:t>j</m:t>
            </m:r>
          </m:sub>
        </m:sSub>
        <m:r>
          <m:t> </m:t>
        </m:r>
        <m:sSub>
          <m:e>
            <m:r>
              <m:t>t</m:t>
            </m:r>
          </m:e>
          <m:sub>
            <m:r>
              <m:t>j</m:t>
            </m:r>
            <m:r>
              <m:t>t</m:t>
            </m:r>
          </m:sub>
        </m:sSub>
        <m:r>
          <m:t> </m:t>
        </m:r>
        <m:sSubSup>
          <m:e>
            <m:r>
              <m:t>E</m:t>
            </m:r>
          </m:e>
          <m:sub>
            <m:r>
              <m:t>j</m:t>
            </m:r>
            <m:r>
              <m:t>t</m:t>
            </m:r>
          </m:sub>
          <m:sup>
            <m:r>
              <m:t>0</m:t>
            </m:r>
          </m:sup>
        </m:sSubSup>
      </m:oMath>
      <w:r>
        <w:tab/>
      </w:r>
      <w:r>
        <w:rPr>
          <w:rFonts w:ascii="Times New Roman" w:hAnsi="Times New Roman" w:eastAsia="宋体"/>
          <w:sz w:val="24"/>
        </w:rPr>
        <w:t>(12-9)</w:t>
      </w:r>
    </w:p>
    <w:p>
      <w:pPr>
        <w:spacing w:line="360" w:lineRule="auto" w:after="0"/>
        <w:jc w:val="both"/>
      </w:pPr>
      <w:r>
        <w:rPr>
          <w:rFonts w:ascii="宋体" w:hAnsi="宋体" w:eastAsia="宋体"/>
          <w:sz w:val="24"/>
        </w:rPr>
        <w:t>其中，</w:t>
      </w:r>
      <m:oMath>
        <m:sSubSup>
          <m:e>
            <m:r>
              <m:t>E</m:t>
            </m:r>
          </m:e>
          <m:sub>
            <m:r>
              <m:t>j</m:t>
            </m:r>
            <m:r>
              <m:t>t</m:t>
            </m:r>
          </m:sub>
          <m:sup>
            <m:r>
              <m:t>0</m:t>
            </m:r>
          </m:sup>
        </m:sSubSup>
      </m:oMath>
      <w:r>
        <w:rPr>
          <w:rFonts w:ascii="宋体" w:hAnsi="宋体" w:eastAsia="宋体"/>
          <w:sz w:val="24"/>
        </w:rPr>
        <w:t>为无冲击反事实下的对欧出口，</w:t>
      </w:r>
      <m:oMath>
        <m:sSub>
          <m:e>
            <m:r>
              <m:t>ε</m:t>
            </m:r>
          </m:e>
          <m:sub>
            <m:r>
              <m:t>j</m:t>
            </m:r>
          </m:sub>
        </m:sSub>
      </m:oMath>
      <w:r>
        <w:rPr>
          <w:rFonts w:ascii="宋体" w:hAnsi="宋体" w:eastAsia="宋体"/>
          <w:sz w:val="24"/>
        </w:rPr>
        <w:t>为出口需求的价格弹性，取值参照可计算一般均衡文献的常用区间并作敏感性检验；</w:t>
      </w:r>
      <m:oMath>
        <m:r>
          <m:t>Δ</m:t>
        </m:r>
        <m:sSub>
          <m:e>
            <m:r>
              <m:t>E</m:t>
            </m:r>
          </m:e>
          <m:sub>
            <m:r>
              <m:t>j</m:t>
            </m:r>
            <m:r>
              <m:t>t</m:t>
            </m:r>
          </m:sub>
        </m:sSub>
      </m:oMath>
      <w:r>
        <w:rPr>
          <w:rFonts w:ascii="宋体" w:hAnsi="宋体" w:eastAsia="宋体"/>
          <w:sz w:val="24"/>
        </w:rPr>
        <w:t>为出口收缩量。</w:t>
      </w:r>
    </w:p>
    <w:p>
      <w:pPr>
        <w:spacing w:line="360" w:lineRule="auto" w:after="0"/>
        <w:ind w:firstLineChars="200" w:firstLine="480"/>
        <w:jc w:val="both"/>
      </w:pPr>
      <w:r>
        <w:rPr>
          <w:rFonts w:ascii="宋体" w:hAnsi="宋体" w:eastAsia="宋体"/>
          <w:sz w:val="24"/>
        </w:rPr>
        <w:t>出口收缩作为最终需求冲击进入产出体系，由列昂惕夫逆矩阵放大为全行业产出损失：</w:t>
      </w:r>
    </w:p>
    <w:p>
      <w:pPr>
        <w:tabs>
          <w:tab w:pos="4252" w:val="center"/>
          <w:tab w:pos="8504" w:val="right"/>
        </w:tabs>
        <w:spacing w:line="360" w:lineRule="auto" w:before="80" w:after="80"/>
      </w:pPr>
      <w:r>
        <w:tab/>
      </w:r>
      <m:oMath>
        <m:r>
          <m:t>Δ</m:t>
        </m:r>
        <m:sSub>
          <m:e>
            <m:r>
              <m:t>X</m:t>
            </m:r>
          </m:e>
          <m:sub>
            <m:r>
              <m:t>t</m:t>
            </m:r>
          </m:sub>
        </m:sSub>
        <m:r>
          <m:rPr>
            <m:sty m:val="p"/>
          </m:rPr>
          <m:t>=</m:t>
        </m:r>
        <m:sSup>
          <m:e>
            <m:d>
              <m:dPr>
                <m:begChr m:val="("/>
                <m:sepChr m:val=""/>
                <m:endChr m:val=")"/>
                <m:grow/>
              </m:dPr>
              <m:e>
                <m:r>
                  <m:t>I</m:t>
                </m:r>
                <m:r>
                  <m:rPr>
                    <m:sty m:val="p"/>
                  </m:rPr>
                  <m:t>−</m:t>
                </m:r>
                <m:r>
                  <m:t>A</m:t>
                </m:r>
              </m:e>
            </m:d>
          </m:e>
          <m:sup>
            <m:r>
              <m:rPr>
                <m:sty m:val="p"/>
              </m:rPr>
              <m:t>−</m:t>
            </m:r>
            <m:r>
              <m:t>1</m:t>
            </m:r>
          </m:sup>
        </m:sSup>
        <m:r>
          <m:t>Δ</m:t>
        </m:r>
        <m:sSub>
          <m:e>
            <m:r>
              <m:t>E</m:t>
            </m:r>
          </m:e>
          <m:sub>
            <m:r>
              <m:t>t</m:t>
            </m:r>
          </m:sub>
        </m:sSub>
      </m:oMath>
      <w:r>
        <w:tab/>
      </w:r>
      <w:r>
        <w:rPr>
          <w:rFonts w:ascii="Times New Roman" w:hAnsi="Times New Roman" w:eastAsia="宋体"/>
          <w:sz w:val="24"/>
        </w:rPr>
        <w:t>(12-10)</w:t>
      </w:r>
    </w:p>
    <w:p>
      <w:pPr>
        <w:spacing w:line="360" w:lineRule="auto" w:after="0"/>
        <w:ind w:firstLineChars="200" w:firstLine="480"/>
        <w:jc w:val="both"/>
      </w:pPr>
      <w:r>
        <w:rPr>
          <w:rFonts w:ascii="宋体" w:hAnsi="宋体" w:eastAsia="宋体"/>
          <w:sz w:val="24"/>
        </w:rPr>
        <w:t>将式(12-6)至式(12-10)串联，传导链条完整呈现：标准差距压低CIAI，CIAI压低θ，θ扩大有效价差，价差抬高从价成本，成本收缩出口，出口收缩经产业关联放大为产出损失。链条上每个环节都是可估计的弹性关系，因此损失可以沿链条反向归因——12.6节的边际收益分析正是对该链条求偏导的结果。值得强调的是机制的两点性质。其一，非对称放大：直接受冲击的四个行业均处产业链中上游，列昂惕夫逆矩阵的列乘数较大，出口每收缩一单位，全经济产出收缩显著大于一单位，冲击的总量效应超出直接暴露口径——这与边境调节机制福利分析中“成本转嫁沿价值链扩散”的结论一致（Fischer和Fox，2012；Böhringer等，2022）。其二，θ的杠杆性：θ同时作用于价差与缺省值适用，适配改进对关税的削减比例大于CIAI自身的提升比例，标准投入具有天然的放大收益，这为后文适配改进情景削减四成关税的结果提供了机制预释。</w:t>
      </w:r>
    </w:p>
    <w:p>
      <w:pPr>
        <w:keepNext/>
        <w:spacing w:before="160" w:after="120" w:line="360" w:lineRule="auto"/>
        <w:outlineLvl w:val="1"/>
      </w:pPr>
      <w:r>
        <w:rPr>
          <w:rFonts w:ascii="黑体" w:hAnsi="黑体" w:eastAsia="黑体"/>
          <w:sz w:val="28"/>
        </w:rPr>
        <w:t>12.5  CBAM冲击的情景模拟（2026—2030）</w:t>
      </w:r>
    </w:p>
    <w:p>
      <w:pPr>
        <w:keepNext/>
        <w:spacing w:before="160" w:after="120" w:line="360" w:lineRule="auto"/>
        <w:outlineLvl w:val="2"/>
      </w:pPr>
      <w:r>
        <w:rPr>
          <w:rFonts w:ascii="黑体" w:hAnsi="黑体" w:eastAsia="黑体"/>
          <w:sz w:val="24"/>
        </w:rPr>
        <w:t>12.5.1  情景设定与参数校准</w:t>
      </w:r>
    </w:p>
    <w:p>
      <w:pPr>
        <w:spacing w:line="360" w:lineRule="auto" w:after="0"/>
        <w:ind w:firstLineChars="200" w:firstLine="480"/>
        <w:jc w:val="both"/>
      </w:pPr>
      <w:r>
        <w:rPr>
          <w:rFonts w:ascii="宋体" w:hAnsi="宋体" w:eastAsia="宋体"/>
          <w:sz w:val="24"/>
        </w:rPr>
        <w:t>模拟期为2026—2030年，覆盖CBAM正式实施的头五年。参数校准坚持“真实锚点”原则：碳价方面，欧盟侧以2026年第一季度CBAM证书价格75.36欧元/吨为起点（第二季度75.28欧元/吨），并参照EUA远期价格结构与免费配额退坡安排设定温和上行路径；中国侧以全国碳市场2025年成交均价62.36元/吨、年末收盘价74.63元/吨为起点，结合扩围后配额收紧预期设定回升路径。出口基期方面，以2022年中国对欧CBAM覆盖商品约205亿美元（其中钢铁约146亿美元、铝约55亿美元）与2023年钢铝制品约743万吨、约130亿欧元的实际区间校准各行业覆盖出口额</w:t>
      </w:r>
      <m:oMath>
        <m:sSub>
          <m:e>
            <m:r>
              <m:t>e</m:t>
            </m:r>
          </m:e>
          <m:sub>
            <m:r>
              <m:t>j</m:t>
            </m:r>
          </m:sub>
        </m:sSub>
        <m:sSub>
          <m:e>
            <m:r>
              <m:t>X</m:t>
            </m:r>
          </m:e>
          <m:sub>
            <m:r>
              <m:t>j</m:t>
            </m:r>
          </m:sub>
        </m:sSub>
      </m:oMath>
      <w:r>
        <w:rPr>
          <w:rFonts w:ascii="宋体" w:hAnsi="宋体" w:eastAsia="宋体"/>
          <w:sz w:val="24"/>
        </w:rPr>
        <w:t>。排放系数</w:t>
      </w:r>
      <m:oMath>
        <m:sSub>
          <m:e>
            <m:r>
              <m:t>ρ</m:t>
            </m:r>
          </m:e>
          <m:sub>
            <m:r>
              <m:t>j</m:t>
            </m:r>
          </m:sub>
        </m:sSub>
      </m:oMath>
      <w:r>
        <w:rPr>
          <w:rFonts w:ascii="宋体" w:hAnsi="宋体" w:eastAsia="宋体"/>
          <w:sz w:val="24"/>
        </w:rPr>
        <w:t>按行业隐含排放强度取值，并区分实测采信与缺省值计费两种状态。CBAM覆盖比例随欧盟免费配额逐年退坡而抬升，按条例安排至2034年达到全额覆盖，模拟期内逐年递增。</w:t>
      </w:r>
    </w:p>
    <w:p>
      <w:pPr>
        <w:spacing w:line="360" w:lineRule="auto" w:after="0"/>
        <w:ind w:firstLineChars="200" w:firstLine="480"/>
        <w:jc w:val="both"/>
      </w:pPr>
      <w:r>
        <w:rPr>
          <w:rFonts w:ascii="宋体" w:hAnsi="宋体" w:eastAsia="宋体"/>
          <w:sz w:val="24"/>
        </w:rPr>
        <w:t>在共同参数之上设定三个情景。</w:t>
      </w:r>
      <w:r>
        <w:rPr>
          <w:rFonts w:ascii="宋体" w:hAnsi="宋体" w:eastAsia="宋体"/>
          <w:b/>
          <w:sz w:val="24"/>
        </w:rPr>
        <w:t>基准情景</w:t>
      </w:r>
      <w:r>
        <w:rPr>
          <w:rFonts w:ascii="宋体" w:hAnsi="宋体" w:eastAsia="宋体"/>
          <w:sz w:val="24"/>
        </w:rPr>
        <w:t>：适配水平冻结于2025年现状，</w:t>
      </w:r>
      <m:oMath>
        <m:sSub>
          <m:e>
            <m:r>
              <m:t>θ</m:t>
            </m:r>
          </m:e>
          <m:sub>
            <m:r>
              <m:t>j</m:t>
            </m:r>
          </m:sub>
        </m:sSub>
      </m:oMath>
      <w:r>
        <w:rPr>
          <w:rFonts w:ascii="宋体" w:hAnsi="宋体" w:eastAsia="宋体"/>
          <w:sz w:val="24"/>
        </w:rPr>
        <w:t>按表12.2的CIAI取值，核查互认与碳价抵扣谈判无实质进展，无核证数据的出口按缺省值计费。</w:t>
      </w:r>
      <w:r>
        <w:rPr>
          <w:rFonts w:ascii="宋体" w:hAnsi="宋体" w:eastAsia="宋体"/>
          <w:b/>
          <w:sz w:val="24"/>
        </w:rPr>
        <w:t>适配改进情景</w:t>
      </w:r>
      <w:r>
        <w:rPr>
          <w:rFonts w:ascii="宋体" w:hAnsi="宋体" w:eastAsia="宋体"/>
          <w:sz w:val="24"/>
        </w:rPr>
        <w:t>：对接第9章体系架构与第10章动态更新机制的协同建设路径，八维度差距在“十五五”期间沿短板优先次序收敛——碳足迹行业细则扩容、核查互认协议落地、碳市场扩围提价并提高有偿分配比例——CIAI相应抬升，θ同步改善，实测数据采信比例提高。</w:t>
      </w:r>
      <w:r>
        <w:rPr>
          <w:rFonts w:ascii="宋体" w:hAnsi="宋体" w:eastAsia="宋体"/>
          <w:b/>
          <w:sz w:val="24"/>
        </w:rPr>
        <w:t>停滞情景</w:t>
      </w:r>
      <w:r>
        <w:rPr>
          <w:rFonts w:ascii="宋体" w:hAnsi="宋体" w:eastAsia="宋体"/>
          <w:sz w:val="24"/>
        </w:rPr>
        <w:t>：中国适配水平原地踏步而欧盟规则持续加严——覆盖范围向下游制品延伸、间接排放全面纳入、缺省值进一步收紧——ISGI因分母抬升而被动扩大。停滞情景用于界定风险下界，其定性结论是关税负担较基准情景进一步显著上浮，正文以基准与适配改进两情景的对比为主线展开（Bellora和Fontagné，2023；杨茹凯，2025）。</w:t>
      </w:r>
    </w:p>
    <w:p>
      <w:pPr>
        <w:keepNext/>
        <w:spacing w:before="160" w:after="120" w:line="360" w:lineRule="auto"/>
        <w:outlineLvl w:val="2"/>
      </w:pPr>
      <w:r>
        <w:rPr>
          <w:rFonts w:ascii="黑体" w:hAnsi="黑体" w:eastAsia="黑体"/>
          <w:sz w:val="24"/>
        </w:rPr>
        <w:t>12.5.2  碳关税负担：基准与适配改进情景</w:t>
      </w:r>
    </w:p>
    <w:p>
      <w:pPr>
        <w:spacing w:line="360" w:lineRule="auto" w:after="0"/>
        <w:ind w:firstLineChars="200" w:firstLine="480"/>
        <w:jc w:val="both"/>
      </w:pPr>
      <w:r>
        <w:rPr>
          <w:rFonts w:ascii="宋体" w:hAnsi="宋体" w:eastAsia="宋体"/>
          <w:sz w:val="24"/>
        </w:rPr>
        <w:t>表12.3报告分行业碳关税模拟结果。基准情景下，2027年（正式实施后首个完整履约年）四行业合计碳关税约90.8亿元，其中钢铁48亿元、铝31亿元，两者合计占比约87%，化肥8.2亿元、水泥3.6亿元；至2030年，合计负担升至约225.3亿元，为2027年的2.5倍，其中钢铁121亿元、铝76亿元、化肥19.5亿元、水泥8.8亿元。负担的快速抬升由三个因素叠加驱动：欧盟免费配额退坡使CBAM覆盖比例逐年提高、证书价格沿EU ETS紧缩路径上行、缺省值计费在核查互认缺位下持续适用。</w:t>
      </w:r>
    </w:p>
    <w:p>
      <w:pPr>
        <w:keepNext/>
        <w:spacing w:before="160" w:after="40"/>
        <w:jc w:val="center"/>
      </w:pPr>
      <w:r>
        <w:rPr>
          <w:rFonts w:ascii="黑体" w:hAnsi="黑体" w:eastAsia="黑体"/>
          <w:sz w:val="21"/>
        </w:rPr>
        <w:t>表12.3  CBAM碳关税负担与产出影响的情景模拟结果（2026—2030）</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18"/>
              </w:rPr>
              <w:t>行业</w:t>
            </w:r>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2027年基准</w:t>
              <w:br/>
              <w:t>（亿元）</w:t>
            </w:r>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2030年基准</w:t>
              <w:br/>
              <w:t>（亿元）</w:t>
            </w:r>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2030年适配改进</w:t>
              <w:br/>
              <w:t>（亿元）</w:t>
            </w:r>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2030年产出损失</w:t>
              <w:br/>
              <w:t>基准（%）</w:t>
            </w:r>
          </w:p>
        </w:tc>
        <w:tc>
          <w:tcPr>
            <w:tcW w:type="dxa" w:w="1417"/>
            <w:tcBorders>
              <w:bottom w:val="single" w:sz="6" w:color="000000"/>
            </w:tcBorders>
            <w:vAlign w:val="center"/>
          </w:tcPr>
          <w:p>
            <w:pPr>
              <w:spacing w:line="240" w:lineRule="auto" w:after="20" w:before="20"/>
              <w:jc w:val="center"/>
            </w:pPr>
            <w:r/>
            <w:r>
              <w:rPr>
                <w:rFonts w:ascii="宋体" w:hAnsi="宋体" w:eastAsia="宋体"/>
                <w:b/>
                <w:sz w:val="18"/>
              </w:rPr>
              <w:t>2030年产出损失</w:t>
              <w:br/>
              <w:t>适配改进（%）</w:t>
            </w:r>
          </w:p>
        </w:tc>
      </w:tr>
      <w:tr>
        <w:tc>
          <w:tcPr>
            <w:tcW w:type="dxa" w:w="1417"/>
            <w:vAlign w:val="center"/>
          </w:tcPr>
          <w:p>
            <w:pPr>
              <w:spacing w:line="240" w:lineRule="auto" w:after="20" w:before="20"/>
              <w:jc w:val="left"/>
            </w:pPr>
            <w:r/>
            <w:r>
              <w:rPr>
                <w:rFonts w:ascii="宋体" w:hAnsi="宋体" w:eastAsia="宋体"/>
                <w:sz w:val="18"/>
              </w:rPr>
              <w:t>钢铁</w:t>
            </w:r>
          </w:p>
        </w:tc>
        <w:tc>
          <w:tcPr>
            <w:tcW w:type="dxa" w:w="1417"/>
            <w:vAlign w:val="center"/>
          </w:tcPr>
          <w:p>
            <w:pPr>
              <w:spacing w:line="240" w:lineRule="auto" w:after="20" w:before="20"/>
              <w:jc w:val="center"/>
            </w:pPr>
            <w:r/>
            <w:r>
              <w:rPr>
                <w:rFonts w:ascii="宋体" w:hAnsi="宋体" w:eastAsia="宋体"/>
                <w:sz w:val="18"/>
              </w:rPr>
              <w:t>48</w:t>
            </w:r>
          </w:p>
        </w:tc>
        <w:tc>
          <w:tcPr>
            <w:tcW w:type="dxa" w:w="1417"/>
            <w:vAlign w:val="center"/>
          </w:tcPr>
          <w:p>
            <w:pPr>
              <w:spacing w:line="240" w:lineRule="auto" w:after="20" w:before="20"/>
              <w:jc w:val="center"/>
            </w:pPr>
            <w:r/>
            <w:r>
              <w:rPr>
                <w:rFonts w:ascii="宋体" w:hAnsi="宋体" w:eastAsia="宋体"/>
                <w:sz w:val="18"/>
              </w:rPr>
              <w:t>121</w:t>
            </w:r>
          </w:p>
        </w:tc>
        <w:tc>
          <w:tcPr>
            <w:tcW w:type="dxa" w:w="1417"/>
            <w:vAlign w:val="center"/>
          </w:tcPr>
          <w:p>
            <w:pPr>
              <w:spacing w:line="240" w:lineRule="auto" w:after="20" w:before="20"/>
              <w:jc w:val="center"/>
            </w:pPr>
            <w:r/>
            <w:r>
              <w:rPr>
                <w:rFonts w:ascii="宋体" w:hAnsi="宋体" w:eastAsia="宋体"/>
                <w:sz w:val="18"/>
              </w:rPr>
              <w:t>69.0</w:t>
            </w:r>
          </w:p>
        </w:tc>
        <w:tc>
          <w:tcPr>
            <w:tcW w:type="dxa" w:w="1417"/>
            <w:vAlign w:val="center"/>
          </w:tcPr>
          <w:p>
            <w:pPr>
              <w:spacing w:line="240" w:lineRule="auto" w:after="20" w:before="20"/>
              <w:jc w:val="center"/>
            </w:pPr>
            <w:r/>
            <w:r>
              <w:rPr>
                <w:rFonts w:ascii="宋体" w:hAnsi="宋体" w:eastAsia="宋体"/>
                <w:sz w:val="18"/>
              </w:rPr>
              <w:t>-0.86</w:t>
            </w:r>
          </w:p>
        </w:tc>
        <w:tc>
          <w:tcPr>
            <w:tcW w:type="dxa" w:w="1417"/>
            <w:vAlign w:val="center"/>
          </w:tcPr>
          <w:p>
            <w:pPr>
              <w:spacing w:line="240" w:lineRule="auto" w:after="20" w:before="20"/>
              <w:jc w:val="center"/>
            </w:pPr>
            <w:r/>
            <w:r>
              <w:rPr>
                <w:rFonts w:ascii="宋体" w:hAnsi="宋体" w:eastAsia="宋体"/>
                <w:sz w:val="18"/>
              </w:rPr>
              <w:t>-0.42</w:t>
            </w:r>
          </w:p>
        </w:tc>
      </w:tr>
      <w:tr>
        <w:tc>
          <w:tcPr>
            <w:tcW w:type="dxa" w:w="1417"/>
            <w:vAlign w:val="center"/>
          </w:tcPr>
          <w:p>
            <w:pPr>
              <w:spacing w:line="240" w:lineRule="auto" w:after="20" w:before="20"/>
              <w:jc w:val="left"/>
            </w:pPr>
            <w:r/>
            <w:r>
              <w:rPr>
                <w:rFonts w:ascii="宋体" w:hAnsi="宋体" w:eastAsia="宋体"/>
                <w:sz w:val="18"/>
              </w:rPr>
              <w:t>铝</w:t>
            </w:r>
          </w:p>
        </w:tc>
        <w:tc>
          <w:tcPr>
            <w:tcW w:type="dxa" w:w="1417"/>
            <w:vAlign w:val="center"/>
          </w:tcPr>
          <w:p>
            <w:pPr>
              <w:spacing w:line="240" w:lineRule="auto" w:after="20" w:before="20"/>
              <w:jc w:val="center"/>
            </w:pPr>
            <w:r/>
            <w:r>
              <w:rPr>
                <w:rFonts w:ascii="宋体" w:hAnsi="宋体" w:eastAsia="宋体"/>
                <w:sz w:val="18"/>
              </w:rPr>
              <w:t>31</w:t>
            </w:r>
          </w:p>
        </w:tc>
        <w:tc>
          <w:tcPr>
            <w:tcW w:type="dxa" w:w="1417"/>
            <w:vAlign w:val="center"/>
          </w:tcPr>
          <w:p>
            <w:pPr>
              <w:spacing w:line="240" w:lineRule="auto" w:after="20" w:before="20"/>
              <w:jc w:val="center"/>
            </w:pPr>
            <w:r/>
            <w:r>
              <w:rPr>
                <w:rFonts w:ascii="宋体" w:hAnsi="宋体" w:eastAsia="宋体"/>
                <w:sz w:val="18"/>
              </w:rPr>
              <w:t>76</w:t>
            </w:r>
          </w:p>
        </w:tc>
        <w:tc>
          <w:tcPr>
            <w:tcW w:type="dxa" w:w="1417"/>
            <w:vAlign w:val="center"/>
          </w:tcPr>
          <w:p>
            <w:pPr>
              <w:spacing w:line="240" w:lineRule="auto" w:after="20" w:before="20"/>
              <w:jc w:val="center"/>
            </w:pPr>
            <w:r/>
            <w:r>
              <w:rPr>
                <w:rFonts w:ascii="宋体" w:hAnsi="宋体" w:eastAsia="宋体"/>
                <w:sz w:val="18"/>
              </w:rPr>
              <w:t>43.3</w:t>
            </w:r>
          </w:p>
        </w:tc>
        <w:tc>
          <w:tcPr>
            <w:tcW w:type="dxa" w:w="1417"/>
            <w:vAlign w:val="center"/>
          </w:tcPr>
          <w:p>
            <w:pPr>
              <w:spacing w:line="240" w:lineRule="auto" w:after="20" w:before="20"/>
              <w:jc w:val="center"/>
            </w:pPr>
            <w:r/>
            <w:r>
              <w:rPr>
                <w:rFonts w:ascii="宋体" w:hAnsi="宋体" w:eastAsia="宋体"/>
                <w:sz w:val="18"/>
              </w:rPr>
              <w:t>-1.24</w:t>
            </w:r>
          </w:p>
        </w:tc>
        <w:tc>
          <w:tcPr>
            <w:tcW w:type="dxa" w:w="1417"/>
            <w:vAlign w:val="center"/>
          </w:tcPr>
          <w:p>
            <w:pPr>
              <w:spacing w:line="240" w:lineRule="auto" w:after="20" w:before="20"/>
              <w:jc w:val="center"/>
            </w:pPr>
            <w:r/>
            <w:r>
              <w:rPr>
                <w:rFonts w:ascii="宋体" w:hAnsi="宋体" w:eastAsia="宋体"/>
                <w:sz w:val="18"/>
              </w:rPr>
              <w:t>-0.61</w:t>
            </w:r>
          </w:p>
        </w:tc>
      </w:tr>
      <w:tr>
        <w:tc>
          <w:tcPr>
            <w:tcW w:type="dxa" w:w="1417"/>
            <w:vAlign w:val="center"/>
          </w:tcPr>
          <w:p>
            <w:pPr>
              <w:spacing w:line="240" w:lineRule="auto" w:after="20" w:before="20"/>
              <w:jc w:val="left"/>
            </w:pPr>
            <w:r/>
            <w:r>
              <w:rPr>
                <w:rFonts w:ascii="宋体" w:hAnsi="宋体" w:eastAsia="宋体"/>
                <w:sz w:val="18"/>
              </w:rPr>
              <w:t>化肥</w:t>
            </w:r>
          </w:p>
        </w:tc>
        <w:tc>
          <w:tcPr>
            <w:tcW w:type="dxa" w:w="1417"/>
            <w:vAlign w:val="center"/>
          </w:tcPr>
          <w:p>
            <w:pPr>
              <w:spacing w:line="240" w:lineRule="auto" w:after="20" w:before="20"/>
              <w:jc w:val="center"/>
            </w:pPr>
            <w:r/>
            <w:r>
              <w:rPr>
                <w:rFonts w:ascii="宋体" w:hAnsi="宋体" w:eastAsia="宋体"/>
                <w:sz w:val="18"/>
              </w:rPr>
              <w:t>8.2</w:t>
            </w:r>
          </w:p>
        </w:tc>
        <w:tc>
          <w:tcPr>
            <w:tcW w:type="dxa" w:w="1417"/>
            <w:vAlign w:val="center"/>
          </w:tcPr>
          <w:p>
            <w:pPr>
              <w:spacing w:line="240" w:lineRule="auto" w:after="20" w:before="20"/>
              <w:jc w:val="center"/>
            </w:pPr>
            <w:r/>
            <w:r>
              <w:rPr>
                <w:rFonts w:ascii="宋体" w:hAnsi="宋体" w:eastAsia="宋体"/>
                <w:sz w:val="18"/>
              </w:rPr>
              <w:t>19.5</w:t>
            </w:r>
          </w:p>
        </w:tc>
        <w:tc>
          <w:tcPr>
            <w:tcW w:type="dxa" w:w="1417"/>
            <w:vAlign w:val="center"/>
          </w:tcPr>
          <w:p>
            <w:pPr>
              <w:spacing w:line="240" w:lineRule="auto" w:after="20" w:before="20"/>
              <w:jc w:val="center"/>
            </w:pPr>
            <w:r/>
            <w:r>
              <w:rPr>
                <w:rFonts w:ascii="宋体" w:hAnsi="宋体" w:eastAsia="宋体"/>
                <w:sz w:val="18"/>
              </w:rPr>
              <w:t>11.1</w:t>
            </w:r>
          </w:p>
        </w:tc>
        <w:tc>
          <w:tcPr>
            <w:tcW w:type="dxa" w:w="1417"/>
            <w:vAlign w:val="center"/>
          </w:tcPr>
          <w:p>
            <w:pPr>
              <w:spacing w:line="240" w:lineRule="auto" w:after="20" w:before="20"/>
              <w:jc w:val="center"/>
            </w:pPr>
            <w:r/>
            <w:r>
              <w:rPr>
                <w:rFonts w:ascii="宋体" w:hAnsi="宋体" w:eastAsia="宋体"/>
                <w:sz w:val="18"/>
              </w:rPr>
              <w:t>-0.68</w:t>
            </w:r>
          </w:p>
        </w:tc>
        <w:tc>
          <w:tcPr>
            <w:tcW w:type="dxa" w:w="1417"/>
            <w:vAlign w:val="center"/>
          </w:tcPr>
          <w:p>
            <w:pPr>
              <w:spacing w:line="240" w:lineRule="auto" w:after="20" w:before="20"/>
              <w:jc w:val="center"/>
            </w:pPr>
            <w:r/>
            <w:r>
              <w:rPr>
                <w:rFonts w:ascii="宋体" w:hAnsi="宋体" w:eastAsia="宋体"/>
                <w:sz w:val="18"/>
              </w:rPr>
              <w:t>-0.33</w:t>
            </w:r>
          </w:p>
        </w:tc>
      </w:tr>
      <w:tr>
        <w:tc>
          <w:tcPr>
            <w:tcW w:type="dxa" w:w="1417"/>
            <w:vAlign w:val="center"/>
          </w:tcPr>
          <w:p>
            <w:pPr>
              <w:spacing w:line="240" w:lineRule="auto" w:after="20" w:before="20"/>
              <w:jc w:val="left"/>
            </w:pPr>
            <w:r/>
            <w:r>
              <w:rPr>
                <w:rFonts w:ascii="宋体" w:hAnsi="宋体" w:eastAsia="宋体"/>
                <w:sz w:val="18"/>
              </w:rPr>
              <w:t>水泥</w:t>
            </w:r>
          </w:p>
        </w:tc>
        <w:tc>
          <w:tcPr>
            <w:tcW w:type="dxa" w:w="1417"/>
            <w:vAlign w:val="center"/>
          </w:tcPr>
          <w:p>
            <w:pPr>
              <w:spacing w:line="240" w:lineRule="auto" w:after="20" w:before="20"/>
              <w:jc w:val="center"/>
            </w:pPr>
            <w:r/>
            <w:r>
              <w:rPr>
                <w:rFonts w:ascii="宋体" w:hAnsi="宋体" w:eastAsia="宋体"/>
                <w:sz w:val="18"/>
              </w:rPr>
              <w:t>3.6</w:t>
            </w:r>
          </w:p>
        </w:tc>
        <w:tc>
          <w:tcPr>
            <w:tcW w:type="dxa" w:w="1417"/>
            <w:vAlign w:val="center"/>
          </w:tcPr>
          <w:p>
            <w:pPr>
              <w:spacing w:line="240" w:lineRule="auto" w:after="20" w:before="20"/>
              <w:jc w:val="center"/>
            </w:pPr>
            <w:r/>
            <w:r>
              <w:rPr>
                <w:rFonts w:ascii="宋体" w:hAnsi="宋体" w:eastAsia="宋体"/>
                <w:sz w:val="18"/>
              </w:rPr>
              <w:t>8.8</w:t>
            </w:r>
          </w:p>
        </w:tc>
        <w:tc>
          <w:tcPr>
            <w:tcW w:type="dxa" w:w="1417"/>
            <w:vAlign w:val="center"/>
          </w:tcPr>
          <w:p>
            <w:pPr>
              <w:spacing w:line="240" w:lineRule="auto" w:after="20" w:before="20"/>
              <w:jc w:val="center"/>
            </w:pPr>
            <w:r/>
            <w:r>
              <w:rPr>
                <w:rFonts w:ascii="宋体" w:hAnsi="宋体" w:eastAsia="宋体"/>
                <w:sz w:val="18"/>
              </w:rPr>
              <w:t>5.0</w:t>
            </w:r>
          </w:p>
        </w:tc>
        <w:tc>
          <w:tcPr>
            <w:tcW w:type="dxa" w:w="1417"/>
            <w:vAlign w:val="center"/>
          </w:tcPr>
          <w:p>
            <w:pPr>
              <w:spacing w:line="240" w:lineRule="auto" w:after="20" w:before="20"/>
              <w:jc w:val="center"/>
            </w:pPr>
            <w:r/>
            <w:r>
              <w:rPr>
                <w:rFonts w:ascii="宋体" w:hAnsi="宋体" w:eastAsia="宋体"/>
                <w:sz w:val="18"/>
              </w:rPr>
              <w:t>-0.31</w:t>
            </w:r>
          </w:p>
        </w:tc>
        <w:tc>
          <w:tcPr>
            <w:tcW w:type="dxa" w:w="1417"/>
            <w:vAlign w:val="center"/>
          </w:tcPr>
          <w:p>
            <w:pPr>
              <w:spacing w:line="240" w:lineRule="auto" w:after="20" w:before="20"/>
              <w:jc w:val="center"/>
            </w:pPr>
            <w:r/>
            <w:r>
              <w:rPr>
                <w:rFonts w:ascii="宋体" w:hAnsi="宋体" w:eastAsia="宋体"/>
                <w:sz w:val="18"/>
              </w:rPr>
              <w:t>-0.15</w:t>
            </w:r>
          </w:p>
        </w:tc>
      </w:tr>
      <w:tr>
        <w:tc>
          <w:tcPr>
            <w:tcW w:type="dxa" w:w="1417"/>
            <w:vAlign w:val="center"/>
          </w:tcPr>
          <w:p>
            <w:pPr>
              <w:spacing w:line="240" w:lineRule="auto" w:after="20" w:before="20"/>
              <w:jc w:val="left"/>
            </w:pPr>
            <w:r/>
            <w:r>
              <w:rPr>
                <w:rFonts w:ascii="宋体" w:hAnsi="宋体" w:eastAsia="宋体"/>
                <w:sz w:val="18"/>
              </w:rPr>
              <w:t>合计</w:t>
            </w:r>
          </w:p>
        </w:tc>
        <w:tc>
          <w:tcPr>
            <w:tcW w:type="dxa" w:w="1417"/>
            <w:vAlign w:val="center"/>
          </w:tcPr>
          <w:p>
            <w:pPr>
              <w:spacing w:line="240" w:lineRule="auto" w:after="20" w:before="20"/>
              <w:jc w:val="center"/>
            </w:pPr>
            <w:r/>
            <w:r>
              <w:rPr>
                <w:rFonts w:ascii="宋体" w:hAnsi="宋体" w:eastAsia="宋体"/>
                <w:sz w:val="18"/>
              </w:rPr>
              <w:t>90.8</w:t>
            </w:r>
          </w:p>
        </w:tc>
        <w:tc>
          <w:tcPr>
            <w:tcW w:type="dxa" w:w="1417"/>
            <w:vAlign w:val="center"/>
          </w:tcPr>
          <w:p>
            <w:pPr>
              <w:spacing w:line="240" w:lineRule="auto" w:after="20" w:before="20"/>
              <w:jc w:val="center"/>
            </w:pPr>
            <w:r/>
            <w:r>
              <w:rPr>
                <w:rFonts w:ascii="宋体" w:hAnsi="宋体" w:eastAsia="宋体"/>
                <w:sz w:val="18"/>
              </w:rPr>
              <w:t>225.3</w:t>
            </w:r>
          </w:p>
        </w:tc>
        <w:tc>
          <w:tcPr>
            <w:tcW w:type="dxa" w:w="1417"/>
            <w:vAlign w:val="center"/>
          </w:tcPr>
          <w:p>
            <w:pPr>
              <w:spacing w:line="240" w:lineRule="auto" w:after="20" w:before="20"/>
              <w:jc w:val="center"/>
            </w:pPr>
            <w:r/>
            <w:r>
              <w:rPr>
                <w:rFonts w:ascii="宋体" w:hAnsi="宋体" w:eastAsia="宋体"/>
                <w:sz w:val="18"/>
              </w:rPr>
              <w:t>128.4</w:t>
            </w:r>
          </w:p>
        </w:tc>
        <w:tc>
          <w:tcPr>
            <w:tcW w:type="dxa" w:w="1417"/>
            <w:vAlign w:val="center"/>
          </w:tcPr>
          <w:p>
            <w:pPr>
              <w:spacing w:line="240" w:lineRule="auto" w:after="20" w:before="20"/>
              <w:jc w:val="center"/>
            </w:pPr>
            <w:r/>
            <w:r>
              <w:rPr>
                <w:rFonts w:ascii="宋体" w:hAnsi="宋体" w:eastAsia="宋体"/>
                <w:sz w:val="18"/>
              </w:rPr>
              <w:t>—</w:t>
            </w:r>
          </w:p>
        </w:tc>
        <w:tc>
          <w:tcPr>
            <w:tcW w:type="dxa" w:w="1417"/>
            <w:vAlign w:val="center"/>
          </w:tcPr>
          <w:p>
            <w:pPr>
              <w:spacing w:line="240" w:lineRule="auto" w:after="20" w:before="20"/>
              <w:jc w:val="center"/>
            </w:pPr>
            <w:r/>
            <w:r>
              <w:rPr>
                <w:rFonts w:ascii="宋体" w:hAnsi="宋体" w:eastAsia="宋体"/>
                <w:sz w:val="18"/>
              </w:rPr>
              <w:t>—</w:t>
            </w:r>
          </w:p>
        </w:tc>
      </w:tr>
    </w:tbl>
    <w:p>
      <w:pPr>
        <w:spacing w:after="200" w:line="240" w:lineRule="auto"/>
      </w:pPr>
      <w:r>
        <w:rPr>
          <w:rFonts w:ascii="宋体" w:hAnsi="宋体" w:eastAsia="宋体"/>
          <w:sz w:val="18"/>
        </w:rPr>
        <w:t>注：适配改进情景下碳关税较基准情景削减43%；产出损失为相对无冲击反事实路径的偏离幅度（负号表示产出下降），含经列昂惕夫逆矩阵放大的间接效应。数据来源：本书动态投入产出模型模拟结果。</w:t>
      </w:r>
    </w:p>
    <w:p>
      <w:pPr>
        <w:spacing w:line="360" w:lineRule="auto" w:after="0"/>
        <w:ind w:firstLineChars="200" w:firstLine="480"/>
        <w:jc w:val="both"/>
      </w:pPr>
      <w:r>
        <w:rPr>
          <w:rFonts w:ascii="宋体" w:hAnsi="宋体" w:eastAsia="宋体"/>
          <w:sz w:val="24"/>
        </w:rPr>
        <w:t>图12.3绘出两情景下分行业关税负担的逐年路径。由图12.3可见三个特征。第一，负担的行业集中度极高：钢铁与铝两个行业的面积占据图形绝大部分，这与出口结构一致——钢铁占CBAM受影响出口约九成、铝约7%，水泥与化肥因对欧出口规模有限，绝对负担始终处于低位。第二，基准路径呈加速上扬形态：免费配额退坡的覆盖比例效应与碳价上行的价格效应相乘，使负担增速快于其中任何单一因素，2030年之后至2034年全额覆盖前，这一加速还将延续。第三，两情景的裂口逐年张开：适配改进情景下2030年合计负担约128.4亿元，较基准情景削减43%、约96.9亿元——差距收敛需要时间，改进收益前小后大，改革启动越早，累计节省越多。</w:t>
      </w:r>
    </w:p>
    <w:p>
      <w:pPr>
        <w:spacing w:before="120" w:after="40"/>
        <w:jc w:val="center"/>
      </w:pPr>
      <w:r>
        <w:drawing>
          <wp:inline xmlns:a="http://schemas.openxmlformats.org/drawingml/2006/main" xmlns:pic="http://schemas.openxmlformats.org/drawingml/2006/picture">
            <wp:extent cx="4860000" cy="2953417"/>
            <wp:docPr id="42" name="Picture 42"/>
            <wp:cNvGraphicFramePr>
              <a:graphicFrameLocks noChangeAspect="1"/>
            </wp:cNvGraphicFramePr>
            <a:graphic>
              <a:graphicData uri="http://schemas.openxmlformats.org/drawingml/2006/picture">
                <pic:pic>
                  <pic:nvPicPr>
                    <pic:cNvPr id="0" name="fig12_3.png"/>
                    <pic:cNvPicPr/>
                  </pic:nvPicPr>
                  <pic:blipFill>
                    <a:blip r:embed="rId50"/>
                    <a:stretch>
                      <a:fillRect/>
                    </a:stretch>
                  </pic:blipFill>
                  <pic:spPr>
                    <a:xfrm>
                      <a:off x="0" y="0"/>
                      <a:ext cx="4860000" cy="2953417"/>
                    </a:xfrm>
                    <a:prstGeom prst="rect"/>
                  </pic:spPr>
                </pic:pic>
              </a:graphicData>
            </a:graphic>
          </wp:inline>
        </w:drawing>
      </w:r>
    </w:p>
    <w:p>
      <w:pPr>
        <w:keepNext w:val="0"/>
        <w:spacing w:after="200"/>
        <w:jc w:val="center"/>
      </w:pPr>
      <w:r>
        <w:rPr>
          <w:rFonts w:ascii="黑体" w:hAnsi="黑体" w:eastAsia="黑体"/>
          <w:sz w:val="21"/>
        </w:rPr>
        <w:t>图12.3  CBAM碳关税负担的情景模拟（2026—2030）</w:t>
      </w:r>
    </w:p>
    <w:p>
      <w:pPr>
        <w:spacing w:line="360" w:lineRule="auto" w:after="0"/>
        <w:ind w:firstLineChars="200" w:firstLine="480"/>
        <w:jc w:val="both"/>
      </w:pPr>
      <w:r>
        <w:rPr>
          <w:rFonts w:ascii="宋体" w:hAnsi="宋体" w:eastAsia="宋体"/>
          <w:sz w:val="24"/>
        </w:rPr>
        <w:t>适配改进情景削减43%的构成值得拆解。其一是抵扣扩容：CIAI抬升直接提高θ，中国碳价获认可的比例上升，且碳市场扩围提价使可抵扣的基数同步增大——扩围后全国碳市场覆盖排放约80亿吨、占全国总排放60%以上，钢铁、水泥、铝冶炼恰在2025年3月纳入，抵扣通道具备现实基础（张兵兵等，2025）。其二是缺省值退出：核查互认落地后实测数据获得采信，隐含排放按企业真实水平而非惩罚性缺省值计量，对于排放水平优于欧盟同类均值的先进产能，这一项的节省尤为可观（Klaaßen和Stoll，2021）。其三是结构优化：碳足迹细则完善使低碳工艺路线——短流程电炉钢、绿电电解铝——的减排属性得到计量确认，出口结构向低隐含排放产品倾斜，税基本身收缩。三重机制中，前两项属制度衔接收益、见效快，第三项属技术结构收益、见效慢但持久。</w:t>
      </w:r>
    </w:p>
    <w:p>
      <w:pPr>
        <w:keepNext/>
        <w:spacing w:before="160" w:after="120" w:line="360" w:lineRule="auto"/>
        <w:outlineLvl w:val="2"/>
      </w:pPr>
      <w:r>
        <w:rPr>
          <w:rFonts w:ascii="黑体" w:hAnsi="黑体" w:eastAsia="黑体"/>
          <w:sz w:val="24"/>
        </w:rPr>
        <w:t>12.5.3  产出影响与稳健性讨论</w:t>
      </w:r>
    </w:p>
    <w:p>
      <w:pPr>
        <w:spacing w:line="360" w:lineRule="auto" w:after="0"/>
        <w:ind w:firstLineChars="200" w:firstLine="480"/>
        <w:jc w:val="both"/>
      </w:pPr>
      <w:r>
        <w:rPr>
          <w:rFonts w:ascii="宋体" w:hAnsi="宋体" w:eastAsia="宋体"/>
          <w:sz w:val="24"/>
        </w:rPr>
        <w:t>图12.4对比两情景下2030年四行业的产出损失。由图12.4可见，基准情景下铝的产出损失最大，达1.24%，其后依次为钢铁0.86%、化肥0.68%、水泥0.31%；适配改进情景下四行业损失分别收窄至0.61%、0.42%、0.33%、0.15%，平均削减约51%，损失几近腰斩。值得注意的是，产出损失排序与关税绝对额排序并不一致：钢铁承担的关税额最大，产出损失率却低于铝。原因有三：其一，暴露强度不同——铝的对欧覆盖出口占行业产出的比重高于钢铁，等量从价成本对应更大的相对需求冲击；其二，税基结构不同——电解铝电力间接排放占比高，一旦计入间接排放，其单位产出税基显著抬升，而绿电抵扣互认恰是中国适配的薄弱环节；其三，替代弹性不同——原铝是高度同质的大宗商品，欧盟进口商转向第三国供给的成本低，出口需求弹性更大。水泥损失最小，纯粹是贸易半径的地理保护使然，与其适配水平最高的结果相互独立——高适配、低暴露的水泥与低适配、高暴露的铝，恰好构成适配政策优先序的两极。</w:t>
      </w:r>
    </w:p>
    <w:p>
      <w:pPr>
        <w:spacing w:before="120" w:after="40"/>
        <w:jc w:val="center"/>
      </w:pPr>
      <w:r>
        <w:drawing>
          <wp:inline xmlns:a="http://schemas.openxmlformats.org/drawingml/2006/main" xmlns:pic="http://schemas.openxmlformats.org/drawingml/2006/picture">
            <wp:extent cx="4860000" cy="2834239"/>
            <wp:docPr id="43" name="Picture 43"/>
            <wp:cNvGraphicFramePr>
              <a:graphicFrameLocks noChangeAspect="1"/>
            </wp:cNvGraphicFramePr>
            <a:graphic>
              <a:graphicData uri="http://schemas.openxmlformats.org/drawingml/2006/picture">
                <pic:pic>
                  <pic:nvPicPr>
                    <pic:cNvPr id="0" name="fig12_4.png"/>
                    <pic:cNvPicPr/>
                  </pic:nvPicPr>
                  <pic:blipFill>
                    <a:blip r:embed="rId51"/>
                    <a:stretch>
                      <a:fillRect/>
                    </a:stretch>
                  </pic:blipFill>
                  <pic:spPr>
                    <a:xfrm>
                      <a:off x="0" y="0"/>
                      <a:ext cx="4860000" cy="2834239"/>
                    </a:xfrm>
                    <a:prstGeom prst="rect"/>
                  </pic:spPr>
                </pic:pic>
              </a:graphicData>
            </a:graphic>
          </wp:inline>
        </w:drawing>
      </w:r>
    </w:p>
    <w:p>
      <w:pPr>
        <w:keepNext w:val="0"/>
        <w:spacing w:after="200"/>
        <w:jc w:val="center"/>
      </w:pPr>
      <w:r>
        <w:rPr>
          <w:rFonts w:ascii="黑体" w:hAnsi="黑体" w:eastAsia="黑体"/>
          <w:sz w:val="21"/>
        </w:rPr>
        <w:t>图12.4  标准差距对高碳行业产出的影响</w:t>
      </w:r>
    </w:p>
    <w:p>
      <w:pPr>
        <w:spacing w:line="360" w:lineRule="auto" w:after="0"/>
        <w:ind w:firstLineChars="200" w:firstLine="480"/>
        <w:jc w:val="both"/>
      </w:pPr>
      <w:r>
        <w:rPr>
          <w:rFonts w:ascii="宋体" w:hAnsi="宋体" w:eastAsia="宋体"/>
          <w:sz w:val="24"/>
        </w:rPr>
        <w:t>模拟结果的外部一致性可与既有测算对照。基准情景2027年约90.8亿元的合计负担，与国际研究机构“CBAM每年或使中国出口成本增加约14亿美元、约相当于对欧出口总额0.3%”的测算量级相当；分行业结构亦与“钢铁2034年每吨成本增加130—160欧元、售价上升10%—15%”的估计彼此呼应。2030年约225.3亿元的读数高于部分文献的远期估计，差异主要源于口径：本章基准情景假定出口规模维持基期水平且缺省值计费持续适用，属于“无适配改进的上限口径”，而多数文献隐含了出口收缩或电网脱碳的抵减效应（Magacho等，2024；陈诗一和朱渝铖，2024）。敏感性检验显示：碳价路径上下浮动主要改变负担的绝对水平，不改变行业排序与两情景的相对差距；出口弹性的取值影响产出损失的量级，铝损失最大、水泥最小的排序对弹性设定稳健；将θ映射改为凸性或凹性形式，适配改进情景的削减幅度在四成上下波动，主结论不变。需要重申的是，投入产出框架不含价格内生调整与贸易转移，其损失读数应理解为结构给定下的冲击核算上界（Larch和Wanner，2024；王欢欢和吴骁骏，2025）。</w:t>
      </w:r>
    </w:p>
    <w:p>
      <w:pPr>
        <w:keepNext/>
        <w:spacing w:before="160" w:after="120" w:line="360" w:lineRule="auto"/>
        <w:outlineLvl w:val="1"/>
      </w:pPr>
      <w:r>
        <w:rPr>
          <w:rFonts w:ascii="黑体" w:hAnsi="黑体" w:eastAsia="黑体"/>
          <w:sz w:val="28"/>
        </w:rPr>
        <w:t>12.6  适配性改进的经济价值与优先序</w:t>
      </w:r>
    </w:p>
    <w:p>
      <w:pPr>
        <w:keepNext/>
        <w:spacing w:before="160" w:after="120" w:line="360" w:lineRule="auto"/>
        <w:outlineLvl w:val="2"/>
      </w:pPr>
      <w:r>
        <w:rPr>
          <w:rFonts w:ascii="黑体" w:hAnsi="黑体" w:eastAsia="黑体"/>
          <w:sz w:val="24"/>
        </w:rPr>
        <w:t>12.6.1  适配改进的经济价值测算</w:t>
      </w:r>
    </w:p>
    <w:p>
      <w:pPr>
        <w:spacing w:line="360" w:lineRule="auto" w:after="0"/>
        <w:ind w:firstLineChars="200" w:firstLine="480"/>
        <w:jc w:val="both"/>
      </w:pPr>
      <w:r>
        <w:rPr>
          <w:rFonts w:ascii="宋体" w:hAnsi="宋体" w:eastAsia="宋体"/>
          <w:sz w:val="24"/>
        </w:rPr>
        <w:t>适配性改进的直接经济价值等于两情景关税路径之差的贴现和：</w:t>
      </w:r>
    </w:p>
    <w:p>
      <w:pPr>
        <w:tabs>
          <w:tab w:pos="4252" w:val="center"/>
          <w:tab w:pos="8504" w:val="right"/>
        </w:tabs>
        <w:spacing w:line="360" w:lineRule="auto" w:before="80" w:after="80"/>
      </w:pPr>
      <w:r>
        <w:tab/>
      </w:r>
      <m:oMath>
        <m:r>
          <m:t>Δ</m:t>
        </m:r>
        <m:r>
          <m:t>W</m:t>
        </m:r>
        <m:r>
          <m:rPr>
            <m:sty m:val="p"/>
          </m:rPr>
          <m:t>=</m:t>
        </m:r>
        <m:nary>
          <m:naryPr>
            <m:chr m:val="∑"/>
            <m:limLoc m:val="undOvr"/>
            <m:subHide m:val="off"/>
            <m:supHide m:val="off"/>
          </m:naryPr>
          <m:sub>
            <m:r>
              <m:t>t</m:t>
            </m:r>
            <m:r>
              <m:rPr>
                <m:sty m:val="p"/>
              </m:rPr>
              <m:t>=</m:t>
            </m:r>
            <m:sSub>
              <m:e>
                <m:r>
                  <m:t>t</m:t>
                </m:r>
              </m:e>
              <m:sub>
                <m:r>
                  <m:t>0</m:t>
                </m:r>
              </m:sub>
            </m:sSub>
          </m:sub>
          <m:sup>
            <m:r>
              <m:t>T</m:t>
            </m:r>
          </m:sup>
          <m:e>
            <m:sSup>
              <m:e>
                <m:d>
                  <m:dPr>
                    <m:begChr m:val="("/>
                    <m:sepChr m:val=""/>
                    <m:endChr m:val=")"/>
                    <m:grow/>
                  </m:dPr>
                  <m:e>
                    <m:r>
                      <m:t>1</m:t>
                    </m:r>
                    <m:r>
                      <m:rPr>
                        <m:sty m:val="p"/>
                      </m:rPr>
                      <m:t>+</m:t>
                    </m:r>
                    <m:r>
                      <m:t>r</m:t>
                    </m:r>
                  </m:e>
                </m:d>
              </m:e>
              <m:sup>
                <m:r>
                  <m:rPr>
                    <m:sty m:val="p"/>
                  </m:rPr>
                  <m:t>−</m:t>
                </m:r>
                <m:d>
                  <m:dPr>
                    <m:begChr m:val="("/>
                    <m:sepChr m:val=""/>
                    <m:endChr m:val=")"/>
                    <m:grow/>
                  </m:dPr>
                  <m:e>
                    <m:r>
                      <m:t>t</m:t>
                    </m:r>
                    <m:r>
                      <m:rPr>
                        <m:sty m:val="p"/>
                      </m:rPr>
                      <m:t>−</m:t>
                    </m:r>
                    <m:sSub>
                      <m:e>
                        <m:r>
                          <m:t>t</m:t>
                        </m:r>
                      </m:e>
                      <m:sub>
                        <m:r>
                          <m:t>0</m:t>
                        </m:r>
                      </m:sub>
                    </m:sSub>
                  </m:e>
                </m:d>
              </m:sup>
            </m:sSup>
          </m:e>
        </m:nary>
        <m:d>
          <m:dPr>
            <m:begChr m:val="("/>
            <m:sepChr m:val=""/>
            <m:endChr m:val=")"/>
            <m:grow/>
          </m:dPr>
          <m:e>
            <m:sSubSup>
              <m:e>
                <m:r>
                  <m:t>τ</m:t>
                </m:r>
              </m:e>
              <m:sub>
                <m:r>
                  <m:t>t</m:t>
                </m:r>
              </m:sub>
              <m:sup>
                <m:r>
                  <m:rPr>
                    <m:sty m:val="p"/>
                  </m:rPr>
                  <m:t>b</m:t>
                </m:r>
                <m:r>
                  <m:rPr>
                    <m:sty m:val="p"/>
                  </m:rPr>
                  <m:t>a</m:t>
                </m:r>
                <m:r>
                  <m:rPr>
                    <m:sty m:val="p"/>
                  </m:rPr>
                  <m:t>s</m:t>
                </m:r>
                <m:r>
                  <m:rPr>
                    <m:sty m:val="p"/>
                  </m:rPr>
                  <m:t>e</m:t>
                </m:r>
              </m:sup>
            </m:sSubSup>
            <m:r>
              <m:rPr>
                <m:sty m:val="p"/>
              </m:rPr>
              <m:t>−</m:t>
            </m:r>
            <m:sSubSup>
              <m:e>
                <m:r>
                  <m:t>τ</m:t>
                </m:r>
              </m:e>
              <m:sub>
                <m:r>
                  <m:t>t</m:t>
                </m:r>
              </m:sub>
              <m:sup>
                <m:r>
                  <m:rPr>
                    <m:sty m:val="p"/>
                  </m:rPr>
                  <m:t>i</m:t>
                </m:r>
                <m:r>
                  <m:rPr>
                    <m:sty m:val="p"/>
                  </m:rPr>
                  <m:t>m</m:t>
                </m:r>
                <m:r>
                  <m:rPr>
                    <m:sty m:val="p"/>
                  </m:rPr>
                  <m:t>p</m:t>
                </m:r>
              </m:sup>
            </m:sSubSup>
          </m:e>
        </m:d>
      </m:oMath>
      <w:r>
        <w:tab/>
      </w:r>
      <w:r>
        <w:rPr>
          <w:rFonts w:ascii="Times New Roman" w:hAnsi="Times New Roman" w:eastAsia="宋体"/>
          <w:sz w:val="24"/>
        </w:rPr>
        <w:t>(12-11)</w:t>
      </w:r>
    </w:p>
    <w:p>
      <w:pPr>
        <w:spacing w:line="360" w:lineRule="auto" w:after="0"/>
        <w:jc w:val="both"/>
      </w:pPr>
      <w:r>
        <w:rPr>
          <w:rFonts w:ascii="宋体" w:hAnsi="宋体" w:eastAsia="宋体"/>
          <w:sz w:val="24"/>
        </w:rPr>
        <w:t>其中，</w:t>
      </w:r>
      <m:oMath>
        <m:sSubSup>
          <m:e>
            <m:r>
              <m:t>τ</m:t>
            </m:r>
          </m:e>
          <m:sub>
            <m:r>
              <m:t>t</m:t>
            </m:r>
          </m:sub>
          <m:sup>
            <m:r>
              <m:rPr>
                <m:sty m:val="p"/>
              </m:rPr>
              <m:t>b</m:t>
            </m:r>
            <m:r>
              <m:rPr>
                <m:sty m:val="p"/>
              </m:rPr>
              <m:t>a</m:t>
            </m:r>
            <m:r>
              <m:rPr>
                <m:sty m:val="p"/>
              </m:rPr>
              <m:t>s</m:t>
            </m:r>
            <m:r>
              <m:rPr>
                <m:sty m:val="p"/>
              </m:rPr>
              <m:t>e</m:t>
            </m:r>
          </m:sup>
        </m:sSubSup>
      </m:oMath>
      <w:r>
        <w:rPr>
          <w:rFonts w:ascii="宋体" w:hAnsi="宋体" w:eastAsia="宋体"/>
          <w:sz w:val="24"/>
        </w:rPr>
        <w:t>与</w:t>
      </w:r>
      <m:oMath>
        <m:sSubSup>
          <m:e>
            <m:r>
              <m:t>τ</m:t>
            </m:r>
          </m:e>
          <m:sub>
            <m:r>
              <m:t>t</m:t>
            </m:r>
          </m:sub>
          <m:sup>
            <m:r>
              <m:rPr>
                <m:sty m:val="p"/>
              </m:rPr>
              <m:t>i</m:t>
            </m:r>
            <m:r>
              <m:rPr>
                <m:sty m:val="p"/>
              </m:rPr>
              <m:t>m</m:t>
            </m:r>
            <m:r>
              <m:rPr>
                <m:sty m:val="p"/>
              </m:rPr>
              <m:t>p</m:t>
            </m:r>
          </m:sup>
        </m:sSubSup>
      </m:oMath>
      <w:r>
        <w:rPr>
          <w:rFonts w:ascii="宋体" w:hAnsi="宋体" w:eastAsia="宋体"/>
          <w:sz w:val="24"/>
        </w:rPr>
        <w:t>分别为基准情景与适配改进情景的合计碳关税，</w:t>
      </w:r>
      <m:oMath>
        <m:r>
          <m:t>r</m:t>
        </m:r>
      </m:oMath>
      <w:r>
        <w:rPr>
          <w:rFonts w:ascii="宋体" w:hAnsi="宋体" w:eastAsia="宋体"/>
          <w:sz w:val="24"/>
        </w:rPr>
        <w:t>为社会贴现率，</w:t>
      </w:r>
      <m:oMath>
        <m:sSub>
          <m:e>
            <m:r>
              <m:t>t</m:t>
            </m:r>
          </m:e>
          <m:sub>
            <m:r>
              <m:t>0</m:t>
            </m:r>
          </m:sub>
        </m:sSub>
        <m:r>
          <m:rPr>
            <m:sty m:val="p"/>
          </m:rPr>
          <m:t>=</m:t>
        </m:r>
        <m:r>
          <m:t>2026</m:t>
        </m:r>
      </m:oMath>
      <w:r>
        <w:rPr>
          <w:rFonts w:ascii="宋体" w:hAnsi="宋体" w:eastAsia="宋体"/>
          <w:sz w:val="24"/>
        </w:rPr>
        <w:t>年。</w:t>
      </w:r>
    </w:p>
    <w:p>
      <w:pPr>
        <w:spacing w:line="360" w:lineRule="auto" w:after="0"/>
        <w:ind w:firstLineChars="200" w:firstLine="480"/>
        <w:jc w:val="both"/>
      </w:pPr>
      <w:r>
        <w:rPr>
          <w:rFonts w:ascii="宋体" w:hAnsi="宋体" w:eastAsia="宋体"/>
          <w:sz w:val="24"/>
        </w:rPr>
        <w:t>以2027年与2030年两个锚点线性内插，2027—2030四年间基准情景累计关税约632亿元，适配改进情景较之累计节省约272亿元（未贴现口径）；若将模拟期延展至免费配额全额退出的2034年，节省规模还将随税基扩大而成倍增长。而关税节省只是价值的显性部分，三类隐性收益的量级可能更大。其一，产出保全收益：四行业产出损失平均削减约51%，按投入产出乘数计入上游部门的间接保全，对应的增加值与就业保全远超关税节省本身。其二，合规成本节约：核查互认使企业免于重复认证与双轨核算，碳足迹细则完备使中小出口企业免于逐单委托境外咨询——这类固定成本对中小企业具有准入门槛性质，其节约的贸易促进效应在标准协调的经验研究中已获证实（侯俊军等，2025；何凡等，2025）。其三，策略性收益：适配水平的提升增强中国在国际碳定价规则谈判中的地位，为将来自主碳规制的国际输出预留接口——绿色贸易壁垒既是压力也是话语权重构的窗口（陆婷和徐奇渊，2023；庄贵阳和王思博，2023）。</w:t>
      </w:r>
    </w:p>
    <w:p>
      <w:pPr>
        <w:keepNext/>
        <w:spacing w:before="160" w:after="120" w:line="360" w:lineRule="auto"/>
        <w:outlineLvl w:val="2"/>
      </w:pPr>
      <w:r>
        <w:rPr>
          <w:rFonts w:ascii="黑体" w:hAnsi="黑体" w:eastAsia="黑体"/>
          <w:sz w:val="24"/>
        </w:rPr>
        <w:t>12.6.2  维度与行业的改进优先序</w:t>
      </w:r>
    </w:p>
    <w:p>
      <w:pPr>
        <w:spacing w:line="360" w:lineRule="auto" w:after="0"/>
        <w:ind w:firstLineChars="200" w:firstLine="480"/>
        <w:jc w:val="both"/>
      </w:pPr>
      <w:r>
        <w:rPr>
          <w:rFonts w:ascii="宋体" w:hAnsi="宋体" w:eastAsia="宋体"/>
          <w:sz w:val="24"/>
        </w:rPr>
        <w:t>哪个维度的改进边际收益最大？将式(12-3)、式(12-7)依次代入式(12-6)，碳关税即成为各维度差距的复合函数，对维度差距求偏导，得到维度</w:t>
      </w:r>
      <m:oMath>
        <m:r>
          <m:t>k</m:t>
        </m:r>
      </m:oMath>
      <w:r>
        <w:rPr>
          <w:rFonts w:ascii="宋体" w:hAnsi="宋体" w:eastAsia="宋体"/>
          <w:sz w:val="24"/>
        </w:rPr>
        <w:t>的差距每收敛一个单位所削减的关税额，即适配改进的边际收益：</w:t>
      </w:r>
    </w:p>
    <w:p>
      <w:pPr>
        <w:tabs>
          <w:tab w:pos="4252" w:val="center"/>
          <w:tab w:pos="8504" w:val="right"/>
        </w:tabs>
        <w:spacing w:line="360" w:lineRule="auto" w:before="80" w:after="80"/>
      </w:pPr>
      <w:r>
        <w:tab/>
      </w:r>
      <m:oMath>
        <m:r>
          <m:t>M</m:t>
        </m:r>
        <m:sSub>
          <m:e>
            <m:r>
              <m:t>B</m:t>
            </m:r>
          </m:e>
          <m:sub>
            <m:r>
              <m:t>k</m:t>
            </m:r>
          </m:sub>
        </m:sSub>
        <m:r>
          <m:rPr>
            <m:sty m:val="p"/>
          </m:rPr>
          <m:t>=</m:t>
        </m:r>
        <m:f>
          <m:fPr>
            <m:type m:val="bar"/>
          </m:fPr>
          <m:num>
            <m:r>
              <m:rPr>
                <m:sty m:val="p"/>
              </m:rPr>
              <m:t>∂</m:t>
            </m:r>
            <m:sSub>
              <m:e>
                <m:r>
                  <m:t>τ</m:t>
                </m:r>
              </m:e>
              <m:sub>
                <m:r>
                  <m:t>j</m:t>
                </m:r>
              </m:sub>
            </m:sSub>
          </m:num>
          <m:den>
            <m:r>
              <m:rPr>
                <m:sty m:val="p"/>
              </m:rPr>
              <m:t>∂</m:t>
            </m:r>
            <m:sSub>
              <m:e>
                <m:r>
                  <m:rPr>
                    <m:sty m:val="p"/>
                  </m:rPr>
                  <m:t>I</m:t>
                </m:r>
                <m:r>
                  <m:rPr>
                    <m:sty m:val="p"/>
                  </m:rPr>
                  <m:t>S</m:t>
                </m:r>
                <m:r>
                  <m:rPr>
                    <m:sty m:val="p"/>
                  </m:rPr>
                  <m:t>G</m:t>
                </m:r>
                <m:r>
                  <m:rPr>
                    <m:sty m:val="p"/>
                  </m:rPr>
                  <m:t>I</m:t>
                </m:r>
              </m:e>
              <m:sub>
                <m:r>
                  <m:t>j</m:t>
                </m:r>
                <m:r>
                  <m:t>k</m:t>
                </m:r>
              </m:sub>
            </m:sSub>
          </m:den>
        </m:f>
        <m:r>
          <m:rPr>
            <m:sty m:val="p"/>
          </m:rPr>
          <m:t>=</m:t>
        </m:r>
        <m:d>
          <m:dPr>
            <m:begChr m:val="("/>
            <m:sepChr m:val=""/>
            <m:endChr m:val=")"/>
            <m:grow/>
          </m:dPr>
          <m:e>
            <m:r>
              <m:t>1</m:t>
            </m:r>
            <m:r>
              <m:rPr>
                <m:sty m:val="p"/>
              </m:rPr>
              <m:t>−</m:t>
            </m:r>
            <m:sSub>
              <m:e>
                <m:r>
                  <m:t>θ</m:t>
                </m:r>
              </m:e>
              <m:sub>
                <m:r>
                  <m:t>0</m:t>
                </m:r>
              </m:sub>
            </m:sSub>
          </m:e>
        </m:d>
        <m:sSub>
          <m:e>
            <m:r>
              <m:t>π</m:t>
            </m:r>
          </m:e>
          <m:sub>
            <m:r>
              <m:t>j</m:t>
            </m:r>
            <m:r>
              <m:t>k</m:t>
            </m:r>
          </m:sub>
        </m:sSub>
        <m:r>
          <m:t> </m:t>
        </m:r>
        <m:sSup>
          <m:e>
            <m:r>
              <m:t>P</m:t>
            </m:r>
          </m:e>
          <m:sup>
            <m:r>
              <m:t>C</m:t>
            </m:r>
            <m:r>
              <m:t>N</m:t>
            </m:r>
          </m:sup>
        </m:sSup>
        <m:r>
          <m:t> </m:t>
        </m:r>
        <m:sSub>
          <m:e>
            <m:r>
              <m:t>e</m:t>
            </m:r>
          </m:e>
          <m:sub>
            <m:r>
              <m:t>j</m:t>
            </m:r>
          </m:sub>
        </m:sSub>
        <m:r>
          <m:t> </m:t>
        </m:r>
        <m:sSub>
          <m:e>
            <m:r>
              <m:t>ρ</m:t>
            </m:r>
          </m:e>
          <m:sub>
            <m:r>
              <m:t>j</m:t>
            </m:r>
          </m:sub>
        </m:sSub>
        <m:r>
          <m:t> </m:t>
        </m:r>
        <m:sSub>
          <m:e>
            <m:r>
              <m:t>X</m:t>
            </m:r>
          </m:e>
          <m:sub>
            <m:r>
              <m:t>j</m:t>
            </m:r>
          </m:sub>
        </m:sSub>
      </m:oMath>
      <w:r>
        <w:tab/>
      </w:r>
      <w:r>
        <w:rPr>
          <w:rFonts w:ascii="Times New Roman" w:hAnsi="Times New Roman" w:eastAsia="宋体"/>
          <w:sz w:val="24"/>
        </w:rPr>
        <w:t>(12-12)</w:t>
      </w:r>
    </w:p>
    <w:p>
      <w:pPr>
        <w:spacing w:line="360" w:lineRule="auto" w:after="0"/>
        <w:ind w:firstLineChars="200" w:firstLine="480"/>
        <w:jc w:val="both"/>
      </w:pPr>
      <w:r>
        <w:rPr>
          <w:rFonts w:ascii="宋体" w:hAnsi="宋体" w:eastAsia="宋体"/>
          <w:sz w:val="24"/>
        </w:rPr>
        <w:t>式(12-12)表明，边际收益与贸易额权重</w:t>
      </w:r>
      <m:oMath>
        <m:sSub>
          <m:e>
            <m:r>
              <m:t>π</m:t>
            </m:r>
          </m:e>
          <m:sub>
            <m:r>
              <m:t>j</m:t>
            </m:r>
            <m:r>
              <m:t>k</m:t>
            </m:r>
          </m:sub>
        </m:sSub>
      </m:oMath>
      <w:r>
        <w:rPr>
          <w:rFonts w:ascii="宋体" w:hAnsi="宋体" w:eastAsia="宋体"/>
          <w:sz w:val="24"/>
        </w:rPr>
        <w:t>成正比：权重越高的维度，单位差距收敛换取的关税削减越大。结合12.3节的测算，市场衔接（差距0.44）与第三方核查（0.42）既是差距最大的维度，又是贸易额权重最高的维度——边际收益曲线与改进空间在同一位置达到峰值，二者构成无可争议的第一优先级。政策载体已然清晰：市场衔接维度的核心抓手是碳市场的扩容提价与有偿分配比例提升，使中国碳价具备国际可比性与可抵扣性（段玉婉等，2023；张兵兵等，2025），辅之以CCER方法学与国际减排机制的互认对接（张奕辉，2024）；第三方核查维度的抓手是核查机构认可制度与ISO 14065体系并轨，争取中欧核查结论互认协议——这是单点突破即可撬动缺省值退出的杠杆环节。</w:t>
      </w:r>
    </w:p>
    <w:p>
      <w:pPr>
        <w:spacing w:line="360" w:lineRule="auto" w:after="0"/>
        <w:ind w:firstLineChars="200" w:firstLine="480"/>
        <w:jc w:val="both"/>
      </w:pPr>
      <w:r>
        <w:rPr>
          <w:rFonts w:ascii="宋体" w:hAnsi="宋体" w:eastAsia="宋体"/>
          <w:sz w:val="24"/>
        </w:rPr>
        <w:t>第二优先级为生命周期范围（0.38）与排放因子（0.35）：贸易权重居中但改进路径明确、边际成本低——碳足迹行业细则沿9项已发布国标的模板批量扩容，国家温室气体排放因子数据库按工艺与区域加密更新，均属“有蓝图、缺投入”的工程化任务（童庆蒙等，2018；黄俊勇和刘世锦，2023）。数据质量（0.31）与更新频率（0.28）列第三优先级，前者依托企业碳账户与计量基础设施建设渐进改善，后者应与第10章的TPD触发式动态更新机制衔接，以制度化修订替代运动式修订。核算边界（0.22）与行业覆盖（0.18）差距本已较小，维持跟进即可。</w:t>
      </w:r>
    </w:p>
    <w:p>
      <w:pPr>
        <w:spacing w:line="360" w:lineRule="auto" w:after="0"/>
        <w:ind w:firstLineChars="200" w:firstLine="480"/>
        <w:jc w:val="both"/>
      </w:pPr>
      <w:r>
        <w:rPr>
          <w:rFonts w:ascii="宋体" w:hAnsi="宋体" w:eastAsia="宋体"/>
          <w:sz w:val="24"/>
        </w:rPr>
        <w:t>行业优先序由“差距×暴露”双维决定。钢铁与铝属“高暴露、中高差距”象限，是当期止损的主战场：两行业占基准情景关税的绝对主体，其核查互认与绿电抵扣环节的突破可即期兑现为关税节省。氢能属“低暴露、最高差距”象限，是前瞻布局的关键：当前对欧出口尚小，故未进入关税大头，但其差距（ISGI为0.46）最大且CBAM对氢不设最低豁免，若绿氢认证标准不能在产业放量前与国际规则对表，未来的损失弹性最大——对新兴产业而言，标准适配的最优时点是产业定型之前，这是氢能与钢铁的本质区别（刘长松，2024）。化肥的方法学补课、水泥的适配维持分列其后。综合而言，“市场衔接与核查优先、钢铁铝当期突破、氢能前瞻卡位”构成适配性改进的资源配置纲要，这一优先序将直接输入第14章的政策建议体系。</w:t>
      </w:r>
    </w:p>
    <w:p>
      <w:pPr>
        <w:keepNext/>
        <w:spacing w:before="160" w:after="120" w:line="360" w:lineRule="auto"/>
        <w:outlineLvl w:val="1"/>
      </w:pPr>
      <w:r>
        <w:rPr>
          <w:rFonts w:ascii="黑体" w:hAnsi="黑体" w:eastAsia="黑体"/>
          <w:sz w:val="28"/>
        </w:rPr>
        <w:t>12.7  本章小结</w:t>
      </w:r>
    </w:p>
    <w:p>
      <w:pPr>
        <w:spacing w:line="360" w:lineRule="auto" w:after="0"/>
        <w:ind w:firstLineChars="200" w:firstLine="480"/>
        <w:jc w:val="both"/>
      </w:pPr>
      <w:r>
        <w:rPr>
          <w:rFonts w:ascii="宋体" w:hAnsi="宋体" w:eastAsia="宋体"/>
          <w:sz w:val="24"/>
        </w:rPr>
        <w:t>本章完成了适配性评估的对外一翼。方法论上，构建了“差距测度—影响量化”的两步框架：第一步以八维度比较体系测度国际标准差距，形成ISGI与贸易额加权的CIAI（式(12-1)至式(12-3)）；第二步以适配调节系数θ为桥梁，将标准差距嵌入动态投入产出模型的碳关税方程（式(12-4)至式(12-10)），使“标准差距值多少钱”获得了可计算的回答。框架的关键设计是θ与CIAI的映射：它把碳价抵扣、数据采信、缺省值适用等CBAM执行细节压缩为单一制度参数，打开了既有冲击评估模型中被忽略的制度黑箱。</w:t>
      </w:r>
    </w:p>
    <w:p>
      <w:pPr>
        <w:spacing w:line="360" w:lineRule="auto" w:after="0"/>
        <w:ind w:firstLineChars="200" w:firstLine="480"/>
        <w:jc w:val="both"/>
      </w:pPr>
      <w:r>
        <w:rPr>
          <w:rFonts w:ascii="宋体" w:hAnsi="宋体" w:eastAsia="宋体"/>
          <w:sz w:val="24"/>
        </w:rPr>
        <w:t>测算结果可归纳为四点。第一，差距呈“制度深、技术浅”结构：市场衔接（0.44）与第三方核查（0.42）差距最大，行业覆盖（0.18）最小，标准数量的追赶已见成效，制度基础设施的差距成为主要矛盾。第二，行业适配梯度分明：水泥适配最高（CIAI为0.66），氢能最低（0.49）且综合差距最大（ISGI为0.46）；各行业贸易加权差距系统性高于简单平均差距约5个百分点，短板维度与贸易权重同向叠加放大了实际适配压力。第三，冲击规模可观且加速抬升：基准情景下四行业碳关税由2027年约90.8亿元（钢铁48亿元、铝31亿元）升至2030年约225.3亿元，产出损失以铝（-1.24%）与钢铁（-0.86%）最深。第四，适配改进价值巨大：改进情景下关税削减43%、2027—2030年累计节省约272亿元，产出损失平均收窄约51%；边际收益分析确立了“市场衔接与第三方核查优先、钢铁铝当期突破、氢能前瞻卡位”的改进优先序。</w:t>
      </w:r>
    </w:p>
    <w:p>
      <w:pPr>
        <w:spacing w:line="360" w:lineRule="auto" w:after="0"/>
        <w:ind w:firstLineChars="200" w:firstLine="480"/>
        <w:jc w:val="both"/>
      </w:pPr>
      <w:r>
        <w:rPr>
          <w:rFonts w:ascii="宋体" w:hAnsi="宋体" w:eastAsia="宋体"/>
          <w:sz w:val="24"/>
        </w:rPr>
        <w:t>本章结果在全书闭环中承担双重反馈职能。对内，维度优先序反馈至第9章的国际衔接接口设计——碳足迹细则与核查互认应在五大功能模块建设中获得超比例资源，并经由第10章的动态更新机制保持与国际规则演进的同步；对外，行业优先序衔接第13章的案例研究——钢铁、铝、化肥三个行业的适配障碍将在扎根理论分析中获得微观机理层面的解释，量化测算与质性证据在行业维度上交叉验证。同时须申明本章边界：专家评分的主观残余、投入产出框架的价格刚性、情景参数对欧盟政策路径的依赖，均使数值结果应作量级与排序解读；欧盟规则仍在快速演进——Omnibus简化改革与覆盖范围扩围评估并行推进——适配性评估因此不是一次性作业，而应制度化为标准体系治理的常设环节，随规则演进滚动更新。带着差距的量化图谱与改进的优先序清单，下一章将深入中外标准体系的制度比较与典型行业的微观现场。</w:t>
      </w:r>
    </w:p>
    <w:p>
      <w:r>
        <w:br w:type="page"/>
      </w:r>
    </w:p>
    <w:p>
      <w:pPr>
        <w:keepNext/>
        <w:spacing w:before="240" w:after="160" w:line="360" w:lineRule="auto"/>
        <w:jc w:val="center"/>
        <w:outlineLvl w:val="0"/>
      </w:pPr>
      <w:r>
        <w:rPr>
          <w:rFonts w:ascii="黑体" w:hAnsi="黑体" w:eastAsia="黑体"/>
          <w:b/>
          <w:sz w:val="30"/>
        </w:rPr>
        <w:t>第13章  中外标准体系比较与典型行业案例研究</w:t>
      </w:r>
    </w:p>
    <w:p>
      <w:pPr>
        <w:spacing w:line="360" w:lineRule="auto" w:after="0"/>
        <w:ind w:firstLineChars="200" w:firstLine="480"/>
        <w:jc w:val="both"/>
      </w:pPr>
      <w:r>
        <w:rPr>
          <w:rFonts w:ascii="宋体" w:hAnsi="宋体" w:eastAsia="宋体"/>
          <w:sz w:val="24"/>
        </w:rPr>
        <w:t>第12章以国际标准差距指数（ISGI）与综合国际适配性指数（CIAI）量化回答了“中国绿色低碳标准与国际通行标准的差距有多大”，并以动态投入产出模型测算了差距的贸易经济后果。然而，指数化的度量天然存在两重局限：其一，它刻画的是差距的“大小”而非差距的“成因”——市场衔接、第三方核查等维度为何恰恰是差距最大的环节，需要回到中外标准体系各自的制度生成逻辑中寻找答案；其二，它反映的是文本与制度层面的静态比对，而标准适配最终发生在企业的车间、报表与谈判桌上，微观主体如何感知差距、以何种策略应对差距、在何处遭遇真实的障碍，是任何指数都无法直接告诉我们的。定量测度与质性洞察的结合，方能构成对国际适配性的完整理解。本章因此承担全书适配性评估模块的质性研究任务，与第11章、第12章的定量评估互为犄角。</w:t>
      </w:r>
    </w:p>
    <w:p>
      <w:pPr>
        <w:spacing w:line="360" w:lineRule="auto" w:after="0"/>
        <w:ind w:firstLineChars="200" w:firstLine="480"/>
        <w:jc w:val="both"/>
      </w:pPr>
      <w:r>
        <w:rPr>
          <w:rFonts w:ascii="宋体" w:hAnsi="宋体" w:eastAsia="宋体"/>
          <w:sz w:val="24"/>
        </w:rPr>
        <w:t>本章的研究设计由宏观与微观两条线索构成。宏观线索是比较制度分析：以Aoki，2001的比较制度分析框架为理论基点，从体系架构、覆盖范围、技术严格程度与制度机制四个维度，对中国、欧盟与ISO三大标准体系进行系统比较，回答“差距从何而来”。微观线索是多案例扎根理论研究：选取钢铁、铝、化肥三个受欧盟碳边境调节机制（CBAM）直接约束的高碳行业，对49位企业、协会、标准化机构与认证机构人士进行深度访谈，经三阶段编码提炼国际适配障碍的核心范畴，并归纳“数据基础→核算能力→认证互认→话语权提升”的四阶提升路径模型，回答“差距如何被感知、经由何种路径缩小”。本章结构安排如下：13.1节构建比较制度分析框架；13.2节展开三体系四维度的系统比较；13.3节说明案例研究设计与方法论；13.4节逐一分析三行业案例；13.5节报告编码结果并提出理论模型；13.6节将质性发现与第12章定量结果进行三角验证；13.7节小结全章。</w:t>
      </w:r>
    </w:p>
    <w:p>
      <w:pPr>
        <w:keepNext/>
        <w:spacing w:before="160" w:after="120" w:line="360" w:lineRule="auto"/>
        <w:outlineLvl w:val="1"/>
      </w:pPr>
      <w:r>
        <w:rPr>
          <w:rFonts w:ascii="黑体" w:hAnsi="黑体" w:eastAsia="黑体"/>
          <w:sz w:val="28"/>
        </w:rPr>
        <w:t>13.1  比较制度分析框架</w:t>
      </w:r>
    </w:p>
    <w:p>
      <w:pPr>
        <w:keepNext/>
        <w:spacing w:before="160" w:after="120" w:line="360" w:lineRule="auto"/>
        <w:outlineLvl w:val="2"/>
      </w:pPr>
      <w:r>
        <w:rPr>
          <w:rFonts w:ascii="黑体" w:hAnsi="黑体" w:eastAsia="黑体"/>
          <w:sz w:val="24"/>
        </w:rPr>
        <w:t>13.1.1  标准体系比较的制度观基础</w:t>
      </w:r>
    </w:p>
    <w:p>
      <w:pPr>
        <w:spacing w:line="360" w:lineRule="auto" w:after="0"/>
        <w:ind w:firstLineChars="200" w:firstLine="480"/>
        <w:jc w:val="both"/>
      </w:pPr>
      <w:r>
        <w:rPr>
          <w:rFonts w:ascii="宋体" w:hAnsi="宋体" w:eastAsia="宋体"/>
          <w:sz w:val="24"/>
        </w:rPr>
        <w:t>对不同经济体标准体系的比较，首先面临一个方法论问题：比较的对象究竟是什么？如果把标准仅仅理解为技术文本，那么比较就退化为条款的逐项对照，其结论至多是“甲有乙无”的清单；而标准的真实运行远不止于文本。制度经济学早已指出，制度是社会博弈的规则，其功能在于降低交易费用、稳定行为预期（North，1990）；Aoki，2001则进一步把制度理解为博弈参与人关于博弈如何进行的共有信念的自我维系系统，并由此发展出比较制度分析的研究纲领。这一纲领有三个核心命题对本章至关重要：第一，制度安排具有多样性，不存在脱离具体历史条件与互补性结构的唯一最优制度；第二，制度之间存在互补性，单项制度的绩效取决于它与其他制度安排的耦合状况，孤立地移植某一制度要素往往归于失败；第三，制度变迁具有路径依赖性，初始条件与关键节点的选择塑造后续演化的可行集。将这三个命题应用于标准领域，意味着中外标准体系的比较必须超越条款对照，深入到“标准由谁制定、以何种程序生成、依靠什么机制获得约束力、与哪些配套制度耦合”的制度生态层面。</w:t>
      </w:r>
    </w:p>
    <w:p>
      <w:pPr>
        <w:spacing w:line="360" w:lineRule="auto" w:after="0"/>
        <w:ind w:firstLineChars="200" w:firstLine="480"/>
        <w:jc w:val="both"/>
      </w:pPr>
      <w:r>
        <w:rPr>
          <w:rFonts w:ascii="宋体" w:hAnsi="宋体" w:eastAsia="宋体"/>
          <w:sz w:val="24"/>
        </w:rPr>
        <w:t>标准是一种介于技术与制度之间的特殊制度形态。标准化经济学的经典研究表明，标准通过网络外部性发挥作用——采用同一标准的主体越多，标准对每个主体的价值越大（Katz和Shapiro，1985）；这一自增强机制使标准体系一旦定型便呈现显著的锁定效应与路径依赖，历史上的偶然选择可能长期主导后续格局（David，1985）。就绿色低碳标准而言，路径依赖的含义尤为深刻：谁先建立起被广泛采信的碳核算方法学、核查程序与认证网络，谁就掌握了绿色贸易时代的“度量衡”，后来者即便技术上并不逊色，也必须付出高昂的转换成本才能改写既成格局（Blind，2004；Swann，2010）。国际政治经济学的研究进一步揭示，标准制定权本身就是一种规则性权力，私营与区域标准制定者可以借助市场规模与采信机制成为事实上的全球规则制定者（Büthe和Mattli，2011；Bradford，2015）。正因如此，本章对中外标准体系的比较，本质上是对三种标准生成与扩散的制度逻辑的比较；只有理解了逻辑差异，第12章测得的维度差距才能获得因果意义上的解释。</w:t>
      </w:r>
    </w:p>
    <w:p>
      <w:pPr>
        <w:keepNext/>
        <w:spacing w:before="160" w:after="120" w:line="360" w:lineRule="auto"/>
        <w:outlineLvl w:val="2"/>
      </w:pPr>
      <w:r>
        <w:rPr>
          <w:rFonts w:ascii="黑体" w:hAnsi="黑体" w:eastAsia="黑体"/>
          <w:sz w:val="24"/>
        </w:rPr>
        <w:t>13.1.2  四个比较维度的界定</w:t>
      </w:r>
    </w:p>
    <w:p>
      <w:pPr>
        <w:spacing w:line="360" w:lineRule="auto" w:after="0"/>
        <w:ind w:firstLineChars="200" w:firstLine="480"/>
        <w:jc w:val="both"/>
      </w:pPr>
      <w:r>
        <w:rPr>
          <w:rFonts w:ascii="宋体" w:hAnsi="宋体" w:eastAsia="宋体"/>
          <w:sz w:val="24"/>
        </w:rPr>
        <w:t>基于上述制度观，并衔接第12章ISGI的八个技术性维度，本章从四个维度展开体系层面的比较。一是体系架构，考察标准由谁制定、如何组织、与法律体系构成何种关系，这是制度逻辑最直观的载体；二是覆盖范围，考察标准体系在功能模块与行业上的广度与均衡性，对应本书五大功能模块的分析框架；三是技术严格程度，考察方法学精度、参数设定的保守性、核查的强制性与标准的更新频率，这是ISGI中核算边界、排放因子、生命周期范围、数据质量等维度的制度根源所在；四是制度机制，考察标准借以获得约束力的激励与实施机制——是法律强制、市场传导还是行政推动，这直接决定标准从文本走向行为的转化效率。四个维度由表及里：体系架构与覆盖范围刻画“标准体系长什么样”，技术严格程度刻画“标准要求有多高”，制度机制刻画“标准靠什么起作用”。需要说明的是，四维度之间同样存在互补性——严格的技术要求若无强制核查与价格传导机制支撑便会流于形式，广的覆盖范围若无分层实施机制便会加重合规负担，这正是比较制度分析强调整体耦合的意义。</w:t>
      </w:r>
    </w:p>
    <w:p>
      <w:pPr>
        <w:spacing w:line="360" w:lineRule="auto" w:after="0"/>
        <w:ind w:firstLineChars="200" w:firstLine="480"/>
        <w:jc w:val="both"/>
      </w:pPr>
      <w:r>
        <w:rPr>
          <w:rFonts w:ascii="宋体" w:hAnsi="宋体" w:eastAsia="宋体"/>
          <w:sz w:val="24"/>
        </w:rPr>
        <w:t>由图13.1可见，本章的比较制度分析框架呈“三体系×四维度”的矩阵结构：横向为中国、欧盟与ISO三大标准体系，分别对应“政府主导+层级推进”“立法驱动+碳市场锚定”与“共识驱动+方法论供给”三种制度逻辑；纵向为体系架构、覆盖范围、技术严格程度与制度机制四个比较维度。矩阵的每一个单元格都不是孤立的评价，而是与同列其他单元格构成互补性整体；矩阵的下方则连接本章的微观案例研究——体系层面的比较为案例分析提供制度背景，案例层面的发现反过来检验并充实体系比较的判断。选择欧盟与ISO作为参照系而非美国等其他经济体，是因为二者恰好代表了绿色低碳标准国际扩散的两条典型路径：欧盟凭借单一市场的规模将域内规则外溢为事实上的国际标准，即所谓布鲁塞尔效应（Bradford，2020）；ISO则通过多边共识程序供给全球通用的方法论底座。中国标准体系的国际适配，本质上就是同时处理与这两条路径的衔接问题。</w:t>
      </w:r>
    </w:p>
    <w:p>
      <w:pPr>
        <w:spacing w:before="120" w:after="40"/>
        <w:jc w:val="center"/>
      </w:pPr>
      <w:r>
        <w:drawing>
          <wp:inline xmlns:a="http://schemas.openxmlformats.org/drawingml/2006/main" xmlns:pic="http://schemas.openxmlformats.org/drawingml/2006/picture">
            <wp:extent cx="4860000" cy="3296910"/>
            <wp:docPr id="44" name="Picture 44"/>
            <wp:cNvGraphicFramePr>
              <a:graphicFrameLocks noChangeAspect="1"/>
            </wp:cNvGraphicFramePr>
            <a:graphic>
              <a:graphicData uri="http://schemas.openxmlformats.org/drawingml/2006/picture">
                <pic:pic>
                  <pic:nvPicPr>
                    <pic:cNvPr id="0" name="fig13_1.png"/>
                    <pic:cNvPicPr/>
                  </pic:nvPicPr>
                  <pic:blipFill>
                    <a:blip r:embed="rId52"/>
                    <a:stretch>
                      <a:fillRect/>
                    </a:stretch>
                  </pic:blipFill>
                  <pic:spPr>
                    <a:xfrm>
                      <a:off x="0" y="0"/>
                      <a:ext cx="4860000" cy="3296910"/>
                    </a:xfrm>
                    <a:prstGeom prst="rect"/>
                  </pic:spPr>
                </pic:pic>
              </a:graphicData>
            </a:graphic>
          </wp:inline>
        </w:drawing>
      </w:r>
    </w:p>
    <w:p>
      <w:pPr>
        <w:keepNext w:val="0"/>
        <w:spacing w:after="200"/>
        <w:jc w:val="center"/>
      </w:pPr>
      <w:r>
        <w:rPr>
          <w:rFonts w:ascii="黑体" w:hAnsi="黑体" w:eastAsia="黑体"/>
          <w:sz w:val="21"/>
        </w:rPr>
        <w:t>图13.1  中外标准体系比较制度分析框架</w:t>
      </w:r>
    </w:p>
    <w:p>
      <w:pPr>
        <w:keepNext/>
        <w:spacing w:before="160" w:after="120" w:line="360" w:lineRule="auto"/>
        <w:outlineLvl w:val="1"/>
      </w:pPr>
      <w:r>
        <w:rPr>
          <w:rFonts w:ascii="黑体" w:hAnsi="黑体" w:eastAsia="黑体"/>
          <w:sz w:val="28"/>
        </w:rPr>
        <w:t>13.2  中国—欧盟—ISO三体系的系统比较</w:t>
      </w:r>
    </w:p>
    <w:p>
      <w:pPr>
        <w:keepNext/>
        <w:spacing w:before="160" w:after="120" w:line="360" w:lineRule="auto"/>
        <w:outlineLvl w:val="2"/>
      </w:pPr>
      <w:r>
        <w:rPr>
          <w:rFonts w:ascii="黑体" w:hAnsi="黑体" w:eastAsia="黑体"/>
          <w:sz w:val="24"/>
        </w:rPr>
        <w:t>13.2.1  体系架构：立法驱动、共识驱动与政府主导</w:t>
      </w:r>
    </w:p>
    <w:p>
      <w:pPr>
        <w:spacing w:line="360" w:lineRule="auto" w:after="0"/>
        <w:ind w:firstLineChars="200" w:firstLine="480"/>
        <w:jc w:val="both"/>
      </w:pPr>
      <w:r>
        <w:rPr>
          <w:rFonts w:ascii="宋体" w:hAnsi="宋体" w:eastAsia="宋体"/>
          <w:sz w:val="24"/>
        </w:rPr>
        <w:t>欧盟体系的架构特征可以概括为“立法驱动+碳市场锚定”。其绿色低碳标准并非独立存在的技术文件簇，而是嵌入在具有直接法律效力的条例与指令之中：碳排放的监测、报告与核查规范由碳市场立法统一规定，产品层面的碳足迹要求则由部门立法逐一落地。2005年启动的欧盟碳排放交易体系（EU ETS）是这一架构的枢纽，它以立法形式为约40%的欧盟温室气体排放建立了统一的核算与履约规则（Ellerman等，2010），配额分配与竞争力问题的处理经验又不断反馈到规则修订之中（Grubb和Neuhoff，2006）。2023年5月17日生效的《欧盟碳边境调节机制条例》将这一架构延伸至边境：进口商品的隐含排放核算规则直接由条例及其实施细则规定，成为具有强制力的法律义务；2023年8月生效的欧盟新电池法规则把产品碳足迹申报做成市场准入条件。在这一架构下，欧洲标准化组织制定的协调标准服务于立法授权，标准文本与法律条款之间形成“立法定目标、标准定方法”的紧密咬合。更关键的是碳市场锚定：几乎所有技术规范最终都折算为配额或证书的货币价格，标准的每一处技术细节——边界如何划定、因子如何取值——都直接决定企业的真金白银，这使标准获得了内生的执行动力。</w:t>
      </w:r>
    </w:p>
    <w:p>
      <w:pPr>
        <w:spacing w:line="360" w:lineRule="auto" w:after="0"/>
        <w:ind w:firstLineChars="200" w:firstLine="480"/>
        <w:jc w:val="both"/>
      </w:pPr>
      <w:r>
        <w:rPr>
          <w:rFonts w:ascii="宋体" w:hAnsi="宋体" w:eastAsia="宋体"/>
          <w:sz w:val="24"/>
        </w:rPr>
        <w:t>ISO体系的架构特征是“共识驱动+方法论供给”。ISO环境管理技术委员会及其分委员会以成员团体协商一致为基本程序，标准草案须经多轮投票方能发布，任何单一成员都难以单独主导；标准发布后亦不具有强制力，其生命力完全取决于被各法域立法与市场机制采信的程度（Büthe和Mattli，2011）。在绿色低碳领域，ISO的核心产品是方法论：ISO 14064系列为组织与项目层面的温室气体量化与核查提供通用框架，ISO 14067为产品碳足迹核算确立生命周期方法学基准（Wu等，2015；童庆蒙等，2018）。这些标准与温室气体核算体系（GHG Protocol）、英国PAS 2050等共同构成全球碳核算的方法论谱系（冯相昭等，2010；陈红敏，2011）。ISO的角色因而是“方法论公共产品”的供给者：它划定概念、术语与程序的公约数，为各经济体的具体规则提供互操作的底座，但不设限值、不做裁判、不介入各法域的政策选择。这种共识架构的优势在于合法性与通用性，代价则是标准文本必须在关键参数上保留弹性，从而把“最后一公里”的规则细化让渡给了立法者与市场。</w:t>
      </w:r>
    </w:p>
    <w:p>
      <w:pPr>
        <w:spacing w:line="360" w:lineRule="auto" w:after="0"/>
        <w:ind w:firstLineChars="200" w:firstLine="480"/>
        <w:jc w:val="both"/>
      </w:pPr>
      <w:r>
        <w:rPr>
          <w:rFonts w:ascii="宋体" w:hAnsi="宋体" w:eastAsia="宋体"/>
          <w:sz w:val="24"/>
        </w:rPr>
        <w:t>中国体系的架构特征是“政府主导+层级推进”。从顶层设计看，2021年10月“双碳”工作意见与碳达峰行动方案两份顶层文件发布后，2022年10月九部门印发《建立健全碳达峰碳中和标准计量体系实施方案》，2023年4月十一部门发布《碳达峰碳中和标准体系建设指南》，以4个一级子体系、15个二级子体系、63个三级子体系的树形结构对标准体系作出整体规划，并提出到2025年制修订不少于1000项国家标准和行业标准的量化目标（国家标准化管理委员会等，2023）；2024年8月的强化行动方案进一步要求当年发布70项碳核算、碳足迹等国家标准。从纵向结构看，体系依托国家标准、行业标准、地方标准与团体标准四个层级推进：按2024年官方口径，直接支撑碳达峰碳中和工作的国家标准已有1800余项、行业标准2300余项，此前2022年初的统计则显示地方标准1900余项、团体标准200余项（石明娟等，2022；孙亮等，2022）。这一架构的优势是动员能力与推进速度：规划一经确立，各部门、各层级即可并行展开，标准供给规模在短期内迅速扩张；其结构性短板则在于，标准的生成逻辑以行政规划为主，与碳价等市场信号的耦合较弱，“重发布、轻实施”的风险内生于自上而下的推进方式之中，这一点将在案例分析中得到微观印证。</w:t>
      </w:r>
    </w:p>
    <w:p>
      <w:pPr>
        <w:keepNext/>
        <w:spacing w:before="160" w:after="120" w:line="360" w:lineRule="auto"/>
        <w:outlineLvl w:val="2"/>
      </w:pPr>
      <w:r>
        <w:rPr>
          <w:rFonts w:ascii="黑体" w:hAnsi="黑体" w:eastAsia="黑体"/>
          <w:sz w:val="24"/>
        </w:rPr>
        <w:t>13.2.2  覆盖范围：深而不全、广而不深与全而不均</w:t>
      </w:r>
    </w:p>
    <w:p>
      <w:pPr>
        <w:spacing w:line="360" w:lineRule="auto" w:after="0"/>
        <w:ind w:firstLineChars="200" w:firstLine="480"/>
        <w:jc w:val="both"/>
      </w:pPr>
      <w:r>
        <w:rPr>
          <w:rFonts w:ascii="宋体" w:hAnsi="宋体" w:eastAsia="宋体"/>
          <w:sz w:val="24"/>
        </w:rPr>
        <w:t>覆盖范围维度上，三体系呈现出各具特色的取舍。欧盟走的是“深而不全”的路线：其规则聚焦于高排放行业与重点产品，EU ETS覆盖电力与能源密集型工业（2024年起纳入海运），约占欧盟温室气体排放的40%；CBAM首批覆盖水泥、钢铁、铝、化肥、电力、氢六类产品；电池法规、生态设计条例则沿产品线纵深推进。欧盟并不追求功能模块的完备，而是以“点上穿透”的方式，把选定领域的核算、核查、申报规则做到可执行、可处罚的深度，再借助市场准入的杠杆以点带面。ISO走的是“广而不深”的路线：其方法论标准横向适用于所有行业与组织类型，不区分行业设定参数细则，深度上的留白由各法域的实施规则填补。中国则呈现“全而不均”的格局：五大功能模块在体系规划中一应俱全，但结构失衡明显——以2025年国家标准的模块构成看，绿色产品类占比高达35.2%，而碳排放核算类仅占8.3%，碳足迹认证类占4.9%，碳吸收类占6.1%，绿色金融类占8.7%，核算与足迹两类合计仅约13%。这与第4章识别的“碳排放端密集、碳吸收端缺位”的结构性失衡一致，也与第8章测得的碳吸收、绿色金融模块高错配相呼应。</w:t>
      </w:r>
    </w:p>
    <w:p>
      <w:pPr>
        <w:spacing w:line="360" w:lineRule="auto" w:after="0"/>
        <w:ind w:firstLineChars="200" w:firstLine="480"/>
        <w:jc w:val="both"/>
      </w:pPr>
      <w:r>
        <w:rPr>
          <w:rFonts w:ascii="宋体" w:hAnsi="宋体" w:eastAsia="宋体"/>
          <w:sz w:val="24"/>
        </w:rPr>
        <w:t>覆盖范围的差异在产品碳足迹领域表现得最为直观。截至2025年6月，我国已发布9项产品碳足迹核算国家标准，其中2024年发布的电解铝碳足迹标准是首个工业领域产品碳足迹国标；而欧盟依托产品环境足迹方法已就大量产品品类形成细则，其电池碳足迹规则更是直接与市场准入挂钩。碳标签与足迹认证的国际实践表明，产品层面的覆盖广度决定了标准体系服务绿色贸易的能力（黄俊勇和刘世锦，2023）；我国2024年5月由十五部门联合印发《关于建立碳足迹管理体系的实施方案》，以清单方式部署22项任务，正是对这一短板的针对性回应。但从规划到细则、从通则到分品类规则的转化需要时间，过渡期内企业面对的是“国内规则尚缺、国外规则已至”的夹层状态——这构成了案例访谈中反复出现的合规困境的制度背景。</w:t>
      </w:r>
    </w:p>
    <w:p>
      <w:pPr>
        <w:keepNext/>
        <w:spacing w:before="160" w:after="120" w:line="360" w:lineRule="auto"/>
        <w:outlineLvl w:val="2"/>
      </w:pPr>
      <w:r>
        <w:rPr>
          <w:rFonts w:ascii="黑体" w:hAnsi="黑体" w:eastAsia="黑体"/>
          <w:sz w:val="24"/>
        </w:rPr>
        <w:t>13.2.3  技术严格程度：参数保守性、核查强制性与更新频率</w:t>
      </w:r>
    </w:p>
    <w:p>
      <w:pPr>
        <w:spacing w:line="360" w:lineRule="auto" w:after="0"/>
        <w:ind w:firstLineChars="200" w:firstLine="480"/>
        <w:jc w:val="both"/>
      </w:pPr>
      <w:r>
        <w:rPr>
          <w:rFonts w:ascii="宋体" w:hAnsi="宋体" w:eastAsia="宋体"/>
          <w:sz w:val="24"/>
        </w:rPr>
        <w:t>技术严格程度可以从三个可观察的指标加以比较：参数设定的保守性、核查的强制性与标准的更新频率。欧盟在三个指标上均居最严之列。其一，缺省值的惩罚性设定：CBAM规则下，无法提供合格实测数据的进口商品按不利缺省值计算隐含排放，这一设计将“数据缺失”本身变成了成本，倒逼出口企业建立实测能力。其二，核查的强制性：实测数据必须经认可的核查员核查方可采信，核查机构的资质、程序与责任均有明确法律规定。企业碳核算口径不一、结果不可比的教训，正是欧盟转向统一强制规则的直接动因（Klaaßen和Stoll，2021；He等，2022）。其三，更新频率：配额基准值、缺省值与实施细则随履约周期滚动修订，规则的技术参数始终跟随行业前沿收紧。ISO的严格程度呈现另一种形态：方法学本身高度严谨，但在功能单位选择、排放分配规则、系统边界界定等关键环节保留使用者裁量空间，同一产品按不同选择可得出不同结果——这种弹性是共识程序的必然产物，也为各法域细则留出了接口。</w:t>
      </w:r>
    </w:p>
    <w:p>
      <w:pPr>
        <w:spacing w:line="360" w:lineRule="auto" w:after="0"/>
        <w:ind w:firstLineChars="200" w:firstLine="480"/>
        <w:jc w:val="both"/>
      </w:pPr>
      <w:r>
        <w:rPr>
          <w:rFonts w:ascii="宋体" w:hAnsi="宋体" w:eastAsia="宋体"/>
          <w:sz w:val="24"/>
        </w:rPr>
        <w:t>中国的技术严格程度呈“通则先行、细则跟进”的追赶态势。2024年8月发布的《温室气体 产品碳足迹 量化要求和指南》（GB/T 24067-2024）对标ISO 14067确立了通则框架；2024年12月生态环境部印发产品碳足迹核算标准编制工作指引，2025年1月首次发布电力碳足迹因子数据，国家温室气体排放因子数据库建设亦被纳入碳排放双控制度体系的时间表。但与欧盟相比，差距集中在三个环节：因子本地化不足，大量核算仍依赖国外数据库的中国区数值，本土实测因子的覆盖面与更新频率有限；核查生态薄弱，第三方核查机构的能力、公信力与国际采信度尚在建设初期；更新机制滞后，部分标准的技术参数多年未修，与技术前沿脱节。这些环节恰好对应第12章ISGI差距较大的维度——第三方核查差距0.42、排放因子差距0.35、数据质量差距0.31，说明技术严格程度的落差并非方法学认知的落差，而是支撑体系的落差。</w:t>
      </w:r>
    </w:p>
    <w:p>
      <w:pPr>
        <w:spacing w:line="360" w:lineRule="auto" w:after="0"/>
        <w:ind w:firstLineChars="200" w:firstLine="480"/>
        <w:jc w:val="both"/>
      </w:pPr>
      <w:r>
        <w:rPr>
          <w:rFonts w:ascii="宋体" w:hAnsi="宋体" w:eastAsia="宋体"/>
          <w:sz w:val="24"/>
        </w:rPr>
        <w:t>技术严格程度的差异最终通过碳价折算为经济成本的差异。2024年欧盟碳价年均约65欧元/吨，2025年约73欧元/吨、年末升至约84欧元；同期中国全国碳市场2024年成交均价约95.8元/吨、2025年为62.36元/吨，按市场汇率折算仅为欧盟碳价的零头。CBAM正式实施后，这一价差连同核算规则的差异一并显性化：2026年第一季度CBAM证书价格为75.36欧元/吨，出口企业为同一吨排放在两个法域面对的边际成本相差数倍（陈诗一和朱渝铖，2024；张兵兵等，2025）。碳价差距本质上是标准严格程度与市场机制耦合程度的差距：欧盟以偏紧的配额总量支撑高碳价，高碳价又反过来赋予技术标准以强约束力；中国碳市场扩围前配额相对宽松、价格信号偏弱，标准的技术要求因而缺乏等强度的经济传导。这一制度互补性的对照，是理解后文企业访谈中“国内履约成本到了边境不算数”之类抱怨的关键。</w:t>
      </w:r>
    </w:p>
    <w:p>
      <w:pPr>
        <w:keepNext/>
        <w:spacing w:before="160" w:after="120" w:line="360" w:lineRule="auto"/>
        <w:outlineLvl w:val="2"/>
      </w:pPr>
      <w:r>
        <w:rPr>
          <w:rFonts w:ascii="黑体" w:hAnsi="黑体" w:eastAsia="黑体"/>
          <w:sz w:val="24"/>
        </w:rPr>
        <w:t>13.2.4  制度机制：强制传导、自愿采信与行政推动</w:t>
      </w:r>
    </w:p>
    <w:p>
      <w:pPr>
        <w:spacing w:line="360" w:lineRule="auto" w:after="0"/>
        <w:ind w:firstLineChars="200" w:firstLine="480"/>
        <w:jc w:val="both"/>
      </w:pPr>
      <w:r>
        <w:rPr>
          <w:rFonts w:ascii="宋体" w:hAnsi="宋体" w:eastAsia="宋体"/>
          <w:sz w:val="24"/>
        </w:rPr>
        <w:t>制度机制维度考察标准借以获得约束力的传导链条。欧盟的链条是“立法—碳价—边境调节”的强制传导：立法确立义务，碳价折算成本，边境调节机制则将域内规则延伸至贸易伙伴，使非欧盟生产者也不得不按欧盟规则组织生产与核算（Mehling等，2019；Marcu等，2020）。围绕CBAM的设计争论——如何兼容世贸规则、如何对待发展中国家、如何认定他国碳价——本身就是规则输出过程的组成部分（Cosbey等，2019；杨茹凯，2025）。ISO的链条是“共识—声誉—采信”的自愿扩散：标准以协商一致获得合法性，以广泛采用积累声誉，再经各法域立法引用与市场合同援引获得事实约束力。中国的链条则是“规划—考核—试点推广”的行政推动：标准供给由规划部署，实施依托目标责任考核与专项行动，能耗双控向碳排放双控的全面转型又将碳排放指标纳入考核体系（袁惊柱，2025）；市场机制的传导正在补强——2025年3月全国碳市场首次扩围，将钢铁、水泥、铝冶炼纳入管理，重点排放单位增至约3700家、覆盖排放量约80亿吨、占全国二氧化碳排放总量的60%以上；2024年1月全国温室气体自愿减排交易市场重启，为碳汇与减排项目提供了标准化的价值实现渠道。表13.1从四个维度对三体系作了系统归纳。</w:t>
      </w:r>
    </w:p>
    <w:p>
      <w:pPr>
        <w:keepNext/>
        <w:spacing w:before="160" w:after="40"/>
        <w:jc w:val="center"/>
      </w:pPr>
      <w:r>
        <w:rPr>
          <w:rFonts w:ascii="黑体" w:hAnsi="黑体" w:eastAsia="黑体"/>
          <w:sz w:val="21"/>
        </w:rPr>
        <w:t>表13.1  中国、欧盟与ISO绿色低碳标准体系的四维度比较</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18"/>
              </w:rPr>
              <w:t>比较维度</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欧盟体系</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ISO体系</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中国体系</w:t>
            </w:r>
          </w:p>
        </w:tc>
      </w:tr>
      <w:tr>
        <w:tc>
          <w:tcPr>
            <w:tcW w:type="dxa" w:w="2126"/>
            <w:vAlign w:val="center"/>
          </w:tcPr>
          <w:p>
            <w:pPr>
              <w:spacing w:line="240" w:lineRule="auto" w:after="20" w:before="20"/>
              <w:jc w:val="left"/>
            </w:pPr>
            <w:r/>
            <w:r>
              <w:rPr>
                <w:rFonts w:ascii="宋体" w:hAnsi="宋体" w:eastAsia="宋体"/>
                <w:sz w:val="18"/>
              </w:rPr>
              <w:t>制度逻辑</w:t>
            </w:r>
          </w:p>
        </w:tc>
        <w:tc>
          <w:tcPr>
            <w:tcW w:type="dxa" w:w="2126"/>
            <w:vAlign w:val="center"/>
          </w:tcPr>
          <w:p>
            <w:pPr>
              <w:spacing w:line="240" w:lineRule="auto" w:after="20" w:before="20"/>
              <w:jc w:val="left"/>
            </w:pPr>
            <w:r/>
            <w:r>
              <w:rPr>
                <w:rFonts w:ascii="宋体" w:hAnsi="宋体" w:eastAsia="宋体"/>
                <w:sz w:val="18"/>
              </w:rPr>
              <w:t>立法驱动+碳市场锚定</w:t>
            </w:r>
          </w:p>
        </w:tc>
        <w:tc>
          <w:tcPr>
            <w:tcW w:type="dxa" w:w="2126"/>
            <w:vAlign w:val="center"/>
          </w:tcPr>
          <w:p>
            <w:pPr>
              <w:spacing w:line="240" w:lineRule="auto" w:after="20" w:before="20"/>
              <w:jc w:val="left"/>
            </w:pPr>
            <w:r/>
            <w:r>
              <w:rPr>
                <w:rFonts w:ascii="宋体" w:hAnsi="宋体" w:eastAsia="宋体"/>
                <w:sz w:val="18"/>
              </w:rPr>
              <w:t>共识驱动+方法论供给</w:t>
            </w:r>
          </w:p>
        </w:tc>
        <w:tc>
          <w:tcPr>
            <w:tcW w:type="dxa" w:w="2126"/>
            <w:vAlign w:val="center"/>
          </w:tcPr>
          <w:p>
            <w:pPr>
              <w:spacing w:line="240" w:lineRule="auto" w:after="20" w:before="20"/>
              <w:jc w:val="left"/>
            </w:pPr>
            <w:r/>
            <w:r>
              <w:rPr>
                <w:rFonts w:ascii="宋体" w:hAnsi="宋体" w:eastAsia="宋体"/>
                <w:sz w:val="18"/>
              </w:rPr>
              <w:t>政府主导+层级推进</w:t>
            </w:r>
          </w:p>
        </w:tc>
      </w:tr>
      <w:tr>
        <w:tc>
          <w:tcPr>
            <w:tcW w:type="dxa" w:w="2126"/>
            <w:vAlign w:val="center"/>
          </w:tcPr>
          <w:p>
            <w:pPr>
              <w:spacing w:line="240" w:lineRule="auto" w:after="20" w:before="20"/>
              <w:jc w:val="left"/>
            </w:pPr>
            <w:r/>
            <w:r>
              <w:rPr>
                <w:rFonts w:ascii="宋体" w:hAnsi="宋体" w:eastAsia="宋体"/>
                <w:sz w:val="18"/>
              </w:rPr>
              <w:t>体系架构</w:t>
            </w:r>
          </w:p>
        </w:tc>
        <w:tc>
          <w:tcPr>
            <w:tcW w:type="dxa" w:w="2126"/>
            <w:vAlign w:val="center"/>
          </w:tcPr>
          <w:p>
            <w:pPr>
              <w:spacing w:line="240" w:lineRule="auto" w:after="20" w:before="20"/>
              <w:jc w:val="left"/>
            </w:pPr>
            <w:r/>
            <w:r>
              <w:rPr>
                <w:rFonts w:ascii="宋体" w:hAnsi="宋体" w:eastAsia="宋体"/>
                <w:sz w:val="18"/>
              </w:rPr>
              <w:t>条例/指令—实施细则—协调标准紧密咬合；碳市场立法为枢纽；标准服务于法律授权</w:t>
            </w:r>
          </w:p>
        </w:tc>
        <w:tc>
          <w:tcPr>
            <w:tcW w:type="dxa" w:w="2126"/>
            <w:vAlign w:val="center"/>
          </w:tcPr>
          <w:p>
            <w:pPr>
              <w:spacing w:line="240" w:lineRule="auto" w:after="20" w:before="20"/>
              <w:jc w:val="left"/>
            </w:pPr>
            <w:r/>
            <w:r>
              <w:rPr>
                <w:rFonts w:ascii="宋体" w:hAnsi="宋体" w:eastAsia="宋体"/>
                <w:sz w:val="18"/>
              </w:rPr>
              <w:t>技术委员会协商一致程序；成员团体投票；标准独立于任何法域的法律体系</w:t>
            </w:r>
          </w:p>
        </w:tc>
        <w:tc>
          <w:tcPr>
            <w:tcW w:type="dxa" w:w="2126"/>
            <w:vAlign w:val="center"/>
          </w:tcPr>
          <w:p>
            <w:pPr>
              <w:spacing w:line="240" w:lineRule="auto" w:after="20" w:before="20"/>
              <w:jc w:val="left"/>
            </w:pPr>
            <w:r/>
            <w:r>
              <w:rPr>
                <w:rFonts w:ascii="宋体" w:hAnsi="宋体" w:eastAsia="宋体"/>
                <w:sz w:val="18"/>
              </w:rPr>
              <w:t>顶层规划（“1+N”与标准体系建设指南）统领；国家—行业—地方—团体四层级并行推进</w:t>
            </w:r>
          </w:p>
        </w:tc>
      </w:tr>
      <w:tr>
        <w:tc>
          <w:tcPr>
            <w:tcW w:type="dxa" w:w="2126"/>
            <w:vAlign w:val="center"/>
          </w:tcPr>
          <w:p>
            <w:pPr>
              <w:spacing w:line="240" w:lineRule="auto" w:after="20" w:before="20"/>
              <w:jc w:val="left"/>
            </w:pPr>
            <w:r/>
            <w:r>
              <w:rPr>
                <w:rFonts w:ascii="宋体" w:hAnsi="宋体" w:eastAsia="宋体"/>
                <w:sz w:val="18"/>
              </w:rPr>
              <w:t>覆盖范围</w:t>
            </w:r>
          </w:p>
        </w:tc>
        <w:tc>
          <w:tcPr>
            <w:tcW w:type="dxa" w:w="2126"/>
            <w:vAlign w:val="center"/>
          </w:tcPr>
          <w:p>
            <w:pPr>
              <w:spacing w:line="240" w:lineRule="auto" w:after="20" w:before="20"/>
              <w:jc w:val="left"/>
            </w:pPr>
            <w:r/>
            <w:r>
              <w:rPr>
                <w:rFonts w:ascii="宋体" w:hAnsi="宋体" w:eastAsia="宋体"/>
                <w:sz w:val="18"/>
              </w:rPr>
              <w:t>深而不全：聚焦高排放行业与重点产品（ETS约覆盖40%排放、CBAM六类产品），以点带面</w:t>
            </w:r>
          </w:p>
        </w:tc>
        <w:tc>
          <w:tcPr>
            <w:tcW w:type="dxa" w:w="2126"/>
            <w:vAlign w:val="center"/>
          </w:tcPr>
          <w:p>
            <w:pPr>
              <w:spacing w:line="240" w:lineRule="auto" w:after="20" w:before="20"/>
              <w:jc w:val="left"/>
            </w:pPr>
            <w:r/>
            <w:r>
              <w:rPr>
                <w:rFonts w:ascii="宋体" w:hAnsi="宋体" w:eastAsia="宋体"/>
                <w:sz w:val="18"/>
              </w:rPr>
              <w:t>广而不深：方法学横向通用于全行业，不设行业参数细则，深度留白由各法域填补</w:t>
            </w:r>
          </w:p>
        </w:tc>
        <w:tc>
          <w:tcPr>
            <w:tcW w:type="dxa" w:w="2126"/>
            <w:vAlign w:val="center"/>
          </w:tcPr>
          <w:p>
            <w:pPr>
              <w:spacing w:line="240" w:lineRule="auto" w:after="20" w:before="20"/>
              <w:jc w:val="left"/>
            </w:pPr>
            <w:r/>
            <w:r>
              <w:rPr>
                <w:rFonts w:ascii="宋体" w:hAnsi="宋体" w:eastAsia="宋体"/>
                <w:sz w:val="18"/>
              </w:rPr>
              <w:t>全而不均：五大功能模块齐备，但碳排放端密集、碳吸收端薄弱，产品碳足迹细则起步</w:t>
            </w:r>
          </w:p>
        </w:tc>
      </w:tr>
      <w:tr>
        <w:tc>
          <w:tcPr>
            <w:tcW w:type="dxa" w:w="2126"/>
            <w:vAlign w:val="center"/>
          </w:tcPr>
          <w:p>
            <w:pPr>
              <w:spacing w:line="240" w:lineRule="auto" w:after="20" w:before="20"/>
              <w:jc w:val="left"/>
            </w:pPr>
            <w:r/>
            <w:r>
              <w:rPr>
                <w:rFonts w:ascii="宋体" w:hAnsi="宋体" w:eastAsia="宋体"/>
                <w:sz w:val="18"/>
              </w:rPr>
              <w:t>技术严格程度</w:t>
            </w:r>
          </w:p>
        </w:tc>
        <w:tc>
          <w:tcPr>
            <w:tcW w:type="dxa" w:w="2126"/>
            <w:vAlign w:val="center"/>
          </w:tcPr>
          <w:p>
            <w:pPr>
              <w:spacing w:line="240" w:lineRule="auto" w:after="20" w:before="20"/>
              <w:jc w:val="left"/>
            </w:pPr>
            <w:r/>
            <w:r>
              <w:rPr>
                <w:rFonts w:ascii="宋体" w:hAnsi="宋体" w:eastAsia="宋体"/>
                <w:sz w:val="18"/>
              </w:rPr>
              <w:t>缺省值惩罚性设定；第三方核查强制；参数随履约周期滚动收紧</w:t>
            </w:r>
          </w:p>
        </w:tc>
        <w:tc>
          <w:tcPr>
            <w:tcW w:type="dxa" w:w="2126"/>
            <w:vAlign w:val="center"/>
          </w:tcPr>
          <w:p>
            <w:pPr>
              <w:spacing w:line="240" w:lineRule="auto" w:after="20" w:before="20"/>
              <w:jc w:val="left"/>
            </w:pPr>
            <w:r/>
            <w:r>
              <w:rPr>
                <w:rFonts w:ascii="宋体" w:hAnsi="宋体" w:eastAsia="宋体"/>
                <w:sz w:val="18"/>
              </w:rPr>
              <w:t>方法学严谨但关键参数留有裁量弹性；核查采信另行安排</w:t>
            </w:r>
          </w:p>
        </w:tc>
        <w:tc>
          <w:tcPr>
            <w:tcW w:type="dxa" w:w="2126"/>
            <w:vAlign w:val="center"/>
          </w:tcPr>
          <w:p>
            <w:pPr>
              <w:spacing w:line="240" w:lineRule="auto" w:after="20" w:before="20"/>
              <w:jc w:val="left"/>
            </w:pPr>
            <w:r/>
            <w:r>
              <w:rPr>
                <w:rFonts w:ascii="宋体" w:hAnsi="宋体" w:eastAsia="宋体"/>
                <w:sz w:val="18"/>
              </w:rPr>
              <w:t>通则对标国际；因子本地化、核查生态与更新机制建设中</w:t>
            </w:r>
          </w:p>
        </w:tc>
      </w:tr>
      <w:tr>
        <w:tc>
          <w:tcPr>
            <w:tcW w:type="dxa" w:w="2126"/>
            <w:vAlign w:val="center"/>
          </w:tcPr>
          <w:p>
            <w:pPr>
              <w:spacing w:line="240" w:lineRule="auto" w:after="20" w:before="20"/>
              <w:jc w:val="left"/>
            </w:pPr>
            <w:r/>
            <w:r>
              <w:rPr>
                <w:rFonts w:ascii="宋体" w:hAnsi="宋体" w:eastAsia="宋体"/>
                <w:sz w:val="18"/>
              </w:rPr>
              <w:t>制度机制</w:t>
            </w:r>
          </w:p>
        </w:tc>
        <w:tc>
          <w:tcPr>
            <w:tcW w:type="dxa" w:w="2126"/>
            <w:vAlign w:val="center"/>
          </w:tcPr>
          <w:p>
            <w:pPr>
              <w:spacing w:line="240" w:lineRule="auto" w:after="20" w:before="20"/>
              <w:jc w:val="left"/>
            </w:pPr>
            <w:r/>
            <w:r>
              <w:rPr>
                <w:rFonts w:ascii="宋体" w:hAnsi="宋体" w:eastAsia="宋体"/>
                <w:sz w:val="18"/>
              </w:rPr>
              <w:t>立法—碳价—边境调节的强制传导；违规直接触发市场准入与处罚后果</w:t>
            </w:r>
          </w:p>
        </w:tc>
        <w:tc>
          <w:tcPr>
            <w:tcW w:type="dxa" w:w="2126"/>
            <w:vAlign w:val="center"/>
          </w:tcPr>
          <w:p>
            <w:pPr>
              <w:spacing w:line="240" w:lineRule="auto" w:after="20" w:before="20"/>
              <w:jc w:val="left"/>
            </w:pPr>
            <w:r/>
            <w:r>
              <w:rPr>
                <w:rFonts w:ascii="宋体" w:hAnsi="宋体" w:eastAsia="宋体"/>
                <w:sz w:val="18"/>
              </w:rPr>
              <w:t>共识—声誉—采信的自愿扩散；约束力来自被立法引用与市场援引</w:t>
            </w:r>
          </w:p>
        </w:tc>
        <w:tc>
          <w:tcPr>
            <w:tcW w:type="dxa" w:w="2126"/>
            <w:vAlign w:val="center"/>
          </w:tcPr>
          <w:p>
            <w:pPr>
              <w:spacing w:line="240" w:lineRule="auto" w:after="20" w:before="20"/>
              <w:jc w:val="left"/>
            </w:pPr>
            <w:r/>
            <w:r>
              <w:rPr>
                <w:rFonts w:ascii="宋体" w:hAnsi="宋体" w:eastAsia="宋体"/>
                <w:sz w:val="18"/>
              </w:rPr>
              <w:t>规划—考核—试点推广的行政推动；碳市场扩围后市场传导逐步补强</w:t>
            </w:r>
          </w:p>
        </w:tc>
      </w:tr>
    </w:tbl>
    <w:p>
      <w:pPr>
        <w:spacing w:after="200" w:line="240" w:lineRule="auto"/>
      </w:pPr>
      <w:r>
        <w:rPr>
          <w:rFonts w:ascii="宋体" w:hAnsi="宋体" w:eastAsia="宋体"/>
          <w:sz w:val="18"/>
        </w:rPr>
        <w:t>注：表中欧盟碳市场覆盖比例、CBAM覆盖产品等制度事实依据欧盟委员会及EUR-Lex公开文本；中国标准数量与政策进展依据国家标准委、生态环境部等部门公开文件。数据来源：作者依据比较制度分析整理。</w:t>
      </w:r>
    </w:p>
    <w:p>
      <w:pPr>
        <w:spacing w:line="360" w:lineRule="auto" w:after="0"/>
        <w:ind w:firstLineChars="200" w:firstLine="480"/>
        <w:jc w:val="both"/>
      </w:pPr>
      <w:r>
        <w:rPr>
          <w:rFonts w:ascii="宋体" w:hAnsi="宋体" w:eastAsia="宋体"/>
          <w:sz w:val="24"/>
        </w:rPr>
        <w:t>表13.1的比较传递出两点核心判断。第一，三体系不是同一把尺子上的三个刻度，而是三种各自耦合的制度生态：欧盟的严格程度依托其碳价与核查生态，ISO的通用性依托其共识程序，中国的推进速度依托其行政动员。据此，简单地将欧盟条款移植入中国标准文本，若无碳价传导与核查公信力的配套，条款会因缺乏互补性支撑而空转——这正是比较制度分析对“对标国际”这一流行话语的理论警示（Aoki，2001）。第二，中国体系的短板呈现清晰的结构性：在“标准写什么”的层面追赶迅速，通则类标准与国际基准的文本差距快速收窄；在“标准靠什么起作用”的层面差距最大，市场衔接与第三方核查两个制度机制性维度恰是第12章ISGI差距最大的维度（分别为0.44与0.42）。体系比较由此给出一个可检验的推断：中国标准国际适配的瓶颈不在文本而在生态，不在方法学认知而在数据、核查与互认的支撑体系。这一推断是否成立、在行业微观层面如何表现，需要案例研究的证据加以检验。</w:t>
      </w:r>
    </w:p>
    <w:p>
      <w:pPr>
        <w:keepNext/>
        <w:spacing w:before="160" w:after="120" w:line="360" w:lineRule="auto"/>
        <w:outlineLvl w:val="1"/>
      </w:pPr>
      <w:r>
        <w:rPr>
          <w:rFonts w:ascii="黑体" w:hAnsi="黑体" w:eastAsia="黑体"/>
          <w:sz w:val="28"/>
        </w:rPr>
        <w:t>13.3  案例研究设计</w:t>
      </w:r>
    </w:p>
    <w:p>
      <w:pPr>
        <w:keepNext/>
        <w:spacing w:before="160" w:after="120" w:line="360" w:lineRule="auto"/>
        <w:outlineLvl w:val="2"/>
      </w:pPr>
      <w:r>
        <w:rPr>
          <w:rFonts w:ascii="黑体" w:hAnsi="黑体" w:eastAsia="黑体"/>
          <w:sz w:val="24"/>
        </w:rPr>
        <w:t>13.3.1  方法论选择：经典扎根理论</w:t>
      </w:r>
    </w:p>
    <w:p>
      <w:pPr>
        <w:spacing w:line="360" w:lineRule="auto" w:after="0"/>
        <w:ind w:firstLineChars="200" w:firstLine="480"/>
        <w:jc w:val="both"/>
      </w:pPr>
      <w:r>
        <w:rPr>
          <w:rFonts w:ascii="宋体" w:hAnsi="宋体" w:eastAsia="宋体"/>
          <w:sz w:val="24"/>
        </w:rPr>
        <w:t>案例研究采用Glaser和Strauss，1967提出的经典扎根理论方法。选择质性方法而非问卷调查，是因为国际适配障碍属于探索性问题：企业在CBAM合规中遭遇的真实困难高度情境化，事前难以穷尽其类别，结构化问卷的封闭选项极易遗漏未被预期的障碍类型；而选择扎根理论的经典版本而非后来的程序化版本，则出于两点考虑。其一，经典版本强调理论从经验资料中自然涌现，反对以先验框架强制资料——本章虽有第12章的定量结果在先，但恰恰需要防止把ISGI的八个维度当作预设编码框架套用于访谈资料，否则质性研究将沦为定量结论的注脚，丧失发现新范畴的能力；其二，经典版本的持续比较法与理论抽样策略，允许研究者根据编码进展动态调整抽样对象，适合本研究跨行业、跨主体类型的滚动访谈安排。扎根理论在中国“双碳”政策研究中已有成熟的应用先例（周成和钱再见，2022），其在标准与制度研究中的适用性亦得到验证。研究严格遵循“资料收集与分析同步、编码与抽样迭代、直至理论饱和”的经典流程，编码工作借助NVivo 14软件完成。</w:t>
      </w:r>
    </w:p>
    <w:p>
      <w:pPr>
        <w:keepNext/>
        <w:spacing w:before="160" w:after="120" w:line="360" w:lineRule="auto"/>
        <w:outlineLvl w:val="2"/>
      </w:pPr>
      <w:r>
        <w:rPr>
          <w:rFonts w:ascii="黑体" w:hAnsi="黑体" w:eastAsia="黑体"/>
          <w:sz w:val="24"/>
        </w:rPr>
        <w:t>13.3.2  案例行业选择与理论抽样</w:t>
      </w:r>
    </w:p>
    <w:p>
      <w:pPr>
        <w:spacing w:line="360" w:lineRule="auto" w:after="0"/>
        <w:ind w:firstLineChars="200" w:firstLine="480"/>
        <w:jc w:val="both"/>
      </w:pPr>
      <w:r>
        <w:rPr>
          <w:rFonts w:ascii="宋体" w:hAnsi="宋体" w:eastAsia="宋体"/>
          <w:sz w:val="24"/>
        </w:rPr>
        <w:t>案例行业的选择遵循“同受约束、异质充分”的原则。钢铁、铝、化肥同为CBAM首批覆盖的六类产品所对应的行业，且均以制造业实体出口面对欧盟市场，保证了“国际适配压力”这一核心情境的同质性；三者又在工艺排放结构、贸易暴露度与企业规模分布上差异显著——钢铁以长流程工序排放为主、对欧出口体量最大，铝以电解环节的电力间接排放为主、绿电转换空间大，化肥以合成氨的过程排放为主、中小企业占比高——差异化的情境为范畴的持续比较提供了理论抽样所需的变异空间。从第8章的测算看，2025年三行业的标准供需错配指数分别为0.42、0.45与0.41，均处于高错配组；从第12章的测算看，三行业ISGI依次为0.34、0.37与0.40，呈现清晰梯度。选择在定量指标上既受压又分化的三个行业，可以最大化案例间比较的理论产出。</w:t>
      </w:r>
    </w:p>
    <w:p>
      <w:pPr>
        <w:spacing w:line="360" w:lineRule="auto" w:after="0"/>
        <w:ind w:firstLineChars="200" w:firstLine="480"/>
        <w:jc w:val="both"/>
      </w:pPr>
      <w:r>
        <w:rPr>
          <w:rFonts w:ascii="宋体" w:hAnsi="宋体" w:eastAsia="宋体"/>
          <w:sz w:val="24"/>
        </w:rPr>
        <w:t>理论抽样分三轮滚动推进。第一轮以三行业中CBAM申报经验最完整的大中型出口企业为起点，访谈其碳资产管理、国际贸易与技术核算岗位人员；第一轮编码显示，“核查互认”“绿电认定”等范畴频繁指向企业之外的制度主体，遂在第二轮将抽样扩展至行业协会标准化专家、标准化研究机构人员与第三方核查认证机构从业者；第三轮针对编码中出现的中小企业能力差异线索，补充抽样了化肥与铝行业的中小企业受访者。理论饱和的判定采用经典标准：当连续访谈不再产生新的主轴范畴、既有范畴的属性与维度不再扩展时，判定饱和。本研究在第44份访谈后未再涌现新范畴，继续补访5位不同岗位受访者加以确认，最终样本为49位。</w:t>
      </w:r>
    </w:p>
    <w:p>
      <w:pPr>
        <w:keepNext/>
        <w:spacing w:before="160" w:after="120" w:line="360" w:lineRule="auto"/>
        <w:outlineLvl w:val="2"/>
      </w:pPr>
      <w:r>
        <w:rPr>
          <w:rFonts w:ascii="黑体" w:hAnsi="黑体" w:eastAsia="黑体"/>
          <w:sz w:val="24"/>
        </w:rPr>
        <w:t>13.3.3  数据收集与受访者构成</w:t>
      </w:r>
    </w:p>
    <w:p>
      <w:pPr>
        <w:spacing w:line="360" w:lineRule="auto" w:after="0"/>
        <w:ind w:firstLineChars="200" w:firstLine="480"/>
        <w:jc w:val="both"/>
      </w:pPr>
      <w:r>
        <w:rPr>
          <w:rFonts w:ascii="宋体" w:hAnsi="宋体" w:eastAsia="宋体"/>
          <w:sz w:val="24"/>
        </w:rPr>
        <w:t>正式访谈于2024年3月至2025年10月间进行，覆盖CBAM过渡期申报的完整周期与正式实施前的准备期，时间窗口的选择使受访者的合规经验兼具“已发生的申报实践”与“将到来的付费预期”双重内容。访谈采用半结构式提纲，围绕四个议题模块展开：对国际绿色低碳规则的认知与信息渠道；本企业（机构）的合规实践、数据基础与成本负担；国内标准与国际规则衔接的具体体验；对标准体系建设的策略选择与政策诉求。单次访谈时长45—90分钟，征得同意后录音转写；对不便录音的受访者采用双人笔录并当日互校。除访谈外，研究还收集了受访企业脱敏后的CBAM季度申报材料、核查报告与内部核算细则等文件资料，用于资料来源层面的三角验证。表13.2报告受访者构成：钢铁行业18位（编号S-01至S-18）、铝行业16位（编号A-01至A-16）、化肥行业15位（编号F-01至F-15），合计49位。</w:t>
      </w:r>
    </w:p>
    <w:p>
      <w:pPr>
        <w:keepNext/>
        <w:spacing w:before="160" w:after="40"/>
        <w:jc w:val="center"/>
      </w:pPr>
      <w:r>
        <w:rPr>
          <w:rFonts w:ascii="黑体" w:hAnsi="黑体" w:eastAsia="黑体"/>
          <w:sz w:val="21"/>
        </w:rPr>
        <w:t>表13.2  案例研究受访者构成</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Borders>
              <w:bottom w:val="single" w:sz="6" w:color="000000"/>
            </w:tcBorders>
            <w:vAlign w:val="center"/>
          </w:tcPr>
          <w:p>
            <w:pPr>
              <w:spacing w:line="240" w:lineRule="auto" w:after="20" w:before="20"/>
              <w:jc w:val="center"/>
            </w:pPr>
            <w:r/>
            <w:r>
              <w:rPr>
                <w:rFonts w:ascii="宋体" w:hAnsi="宋体" w:eastAsia="宋体"/>
                <w:b/>
                <w:sz w:val="18"/>
              </w:rPr>
              <w:t>行业</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样本量</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企业管理与碳资产岗</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技术与核算骨干</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行业协会与标准化机构</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第三方核查与认证机构</w:t>
            </w:r>
          </w:p>
        </w:tc>
        <w:tc>
          <w:tcPr>
            <w:tcW w:type="dxa" w:w="1215"/>
            <w:tcBorders>
              <w:bottom w:val="single" w:sz="6" w:color="000000"/>
            </w:tcBorders>
            <w:vAlign w:val="center"/>
          </w:tcPr>
          <w:p>
            <w:pPr>
              <w:spacing w:line="240" w:lineRule="auto" w:after="20" w:before="20"/>
              <w:jc w:val="center"/>
            </w:pPr>
            <w:r/>
            <w:r>
              <w:rPr>
                <w:rFonts w:ascii="宋体" w:hAnsi="宋体" w:eastAsia="宋体"/>
                <w:b/>
                <w:sz w:val="18"/>
              </w:rPr>
              <w:t>编号区间</w:t>
            </w:r>
          </w:p>
        </w:tc>
      </w:tr>
      <w:tr>
        <w:tc>
          <w:tcPr>
            <w:tcW w:type="dxa" w:w="1215"/>
            <w:vAlign w:val="center"/>
          </w:tcPr>
          <w:p>
            <w:pPr>
              <w:spacing w:line="240" w:lineRule="auto" w:after="20" w:before="20"/>
              <w:jc w:val="left"/>
            </w:pPr>
            <w:r/>
            <w:r>
              <w:rPr>
                <w:rFonts w:ascii="宋体" w:hAnsi="宋体" w:eastAsia="宋体"/>
                <w:sz w:val="18"/>
              </w:rPr>
              <w:t>钢铁</w:t>
            </w:r>
          </w:p>
        </w:tc>
        <w:tc>
          <w:tcPr>
            <w:tcW w:type="dxa" w:w="1215"/>
            <w:vAlign w:val="center"/>
          </w:tcPr>
          <w:p>
            <w:pPr>
              <w:spacing w:line="240" w:lineRule="auto" w:after="20" w:before="20"/>
              <w:jc w:val="center"/>
            </w:pPr>
            <w:r/>
            <w:r>
              <w:rPr>
                <w:rFonts w:ascii="宋体" w:hAnsi="宋体" w:eastAsia="宋体"/>
                <w:sz w:val="18"/>
              </w:rPr>
              <w:t>18</w:t>
            </w:r>
          </w:p>
        </w:tc>
        <w:tc>
          <w:tcPr>
            <w:tcW w:type="dxa" w:w="1215"/>
            <w:vAlign w:val="center"/>
          </w:tcPr>
          <w:p>
            <w:pPr>
              <w:spacing w:line="240" w:lineRule="auto" w:after="20" w:before="20"/>
              <w:jc w:val="center"/>
            </w:pPr>
            <w:r/>
            <w:r>
              <w:rPr>
                <w:rFonts w:ascii="宋体" w:hAnsi="宋体" w:eastAsia="宋体"/>
                <w:sz w:val="18"/>
              </w:rPr>
              <w:t>7</w:t>
            </w:r>
          </w:p>
        </w:tc>
        <w:tc>
          <w:tcPr>
            <w:tcW w:type="dxa" w:w="1215"/>
            <w:vAlign w:val="center"/>
          </w:tcPr>
          <w:p>
            <w:pPr>
              <w:spacing w:line="240" w:lineRule="auto" w:after="20" w:before="20"/>
              <w:jc w:val="center"/>
            </w:pPr>
            <w:r/>
            <w:r>
              <w:rPr>
                <w:rFonts w:ascii="宋体" w:hAnsi="宋体" w:eastAsia="宋体"/>
                <w:sz w:val="18"/>
              </w:rPr>
              <w:t>6</w:t>
            </w:r>
          </w:p>
        </w:tc>
        <w:tc>
          <w:tcPr>
            <w:tcW w:type="dxa" w:w="1215"/>
            <w:vAlign w:val="center"/>
          </w:tcPr>
          <w:p>
            <w:pPr>
              <w:spacing w:line="240" w:lineRule="auto" w:after="20" w:before="20"/>
              <w:jc w:val="center"/>
            </w:pPr>
            <w:r/>
            <w:r>
              <w:rPr>
                <w:rFonts w:ascii="宋体" w:hAnsi="宋体" w:eastAsia="宋体"/>
                <w:sz w:val="18"/>
              </w:rPr>
              <w:t>3</w:t>
            </w:r>
          </w:p>
        </w:tc>
        <w:tc>
          <w:tcPr>
            <w:tcW w:type="dxa" w:w="1215"/>
            <w:vAlign w:val="center"/>
          </w:tcPr>
          <w:p>
            <w:pPr>
              <w:spacing w:line="240" w:lineRule="auto" w:after="20" w:before="20"/>
              <w:jc w:val="center"/>
            </w:pPr>
            <w:r/>
            <w:r>
              <w:rPr>
                <w:rFonts w:ascii="宋体" w:hAnsi="宋体" w:eastAsia="宋体"/>
                <w:sz w:val="18"/>
              </w:rPr>
              <w:t>2</w:t>
            </w:r>
          </w:p>
        </w:tc>
        <w:tc>
          <w:tcPr>
            <w:tcW w:type="dxa" w:w="1215"/>
            <w:vAlign w:val="center"/>
          </w:tcPr>
          <w:p>
            <w:pPr>
              <w:spacing w:line="240" w:lineRule="auto" w:after="20" w:before="20"/>
              <w:jc w:val="center"/>
            </w:pPr>
            <w:r/>
            <w:r>
              <w:rPr>
                <w:rFonts w:ascii="宋体" w:hAnsi="宋体" w:eastAsia="宋体"/>
                <w:sz w:val="18"/>
              </w:rPr>
              <w:t>S-01—S-18</w:t>
            </w:r>
          </w:p>
        </w:tc>
      </w:tr>
      <w:tr>
        <w:tc>
          <w:tcPr>
            <w:tcW w:type="dxa" w:w="1215"/>
            <w:vAlign w:val="center"/>
          </w:tcPr>
          <w:p>
            <w:pPr>
              <w:spacing w:line="240" w:lineRule="auto" w:after="20" w:before="20"/>
              <w:jc w:val="left"/>
            </w:pPr>
            <w:r/>
            <w:r>
              <w:rPr>
                <w:rFonts w:ascii="宋体" w:hAnsi="宋体" w:eastAsia="宋体"/>
                <w:sz w:val="18"/>
              </w:rPr>
              <w:t>铝</w:t>
            </w:r>
          </w:p>
        </w:tc>
        <w:tc>
          <w:tcPr>
            <w:tcW w:type="dxa" w:w="1215"/>
            <w:vAlign w:val="center"/>
          </w:tcPr>
          <w:p>
            <w:pPr>
              <w:spacing w:line="240" w:lineRule="auto" w:after="20" w:before="20"/>
              <w:jc w:val="center"/>
            </w:pPr>
            <w:r/>
            <w:r>
              <w:rPr>
                <w:rFonts w:ascii="宋体" w:hAnsi="宋体" w:eastAsia="宋体"/>
                <w:sz w:val="18"/>
              </w:rPr>
              <w:t>16</w:t>
            </w:r>
          </w:p>
        </w:tc>
        <w:tc>
          <w:tcPr>
            <w:tcW w:type="dxa" w:w="1215"/>
            <w:vAlign w:val="center"/>
          </w:tcPr>
          <w:p>
            <w:pPr>
              <w:spacing w:line="240" w:lineRule="auto" w:after="20" w:before="20"/>
              <w:jc w:val="center"/>
            </w:pPr>
            <w:r/>
            <w:r>
              <w:rPr>
                <w:rFonts w:ascii="宋体" w:hAnsi="宋体" w:eastAsia="宋体"/>
                <w:sz w:val="18"/>
              </w:rPr>
              <w:t>6</w:t>
            </w:r>
          </w:p>
        </w:tc>
        <w:tc>
          <w:tcPr>
            <w:tcW w:type="dxa" w:w="1215"/>
            <w:vAlign w:val="center"/>
          </w:tcPr>
          <w:p>
            <w:pPr>
              <w:spacing w:line="240" w:lineRule="auto" w:after="20" w:before="20"/>
              <w:jc w:val="center"/>
            </w:pPr>
            <w:r/>
            <w:r>
              <w:rPr>
                <w:rFonts w:ascii="宋体" w:hAnsi="宋体" w:eastAsia="宋体"/>
                <w:sz w:val="18"/>
              </w:rPr>
              <w:t>5</w:t>
            </w:r>
          </w:p>
        </w:tc>
        <w:tc>
          <w:tcPr>
            <w:tcW w:type="dxa" w:w="1215"/>
            <w:vAlign w:val="center"/>
          </w:tcPr>
          <w:p>
            <w:pPr>
              <w:spacing w:line="240" w:lineRule="auto" w:after="20" w:before="20"/>
              <w:jc w:val="center"/>
            </w:pPr>
            <w:r/>
            <w:r>
              <w:rPr>
                <w:rFonts w:ascii="宋体" w:hAnsi="宋体" w:eastAsia="宋体"/>
                <w:sz w:val="18"/>
              </w:rPr>
              <w:t>3</w:t>
            </w:r>
          </w:p>
        </w:tc>
        <w:tc>
          <w:tcPr>
            <w:tcW w:type="dxa" w:w="1215"/>
            <w:vAlign w:val="center"/>
          </w:tcPr>
          <w:p>
            <w:pPr>
              <w:spacing w:line="240" w:lineRule="auto" w:after="20" w:before="20"/>
              <w:jc w:val="center"/>
            </w:pPr>
            <w:r/>
            <w:r>
              <w:rPr>
                <w:rFonts w:ascii="宋体" w:hAnsi="宋体" w:eastAsia="宋体"/>
                <w:sz w:val="18"/>
              </w:rPr>
              <w:t>2</w:t>
            </w:r>
          </w:p>
        </w:tc>
        <w:tc>
          <w:tcPr>
            <w:tcW w:type="dxa" w:w="1215"/>
            <w:vAlign w:val="center"/>
          </w:tcPr>
          <w:p>
            <w:pPr>
              <w:spacing w:line="240" w:lineRule="auto" w:after="20" w:before="20"/>
              <w:jc w:val="center"/>
            </w:pPr>
            <w:r/>
            <w:r>
              <w:rPr>
                <w:rFonts w:ascii="宋体" w:hAnsi="宋体" w:eastAsia="宋体"/>
                <w:sz w:val="18"/>
              </w:rPr>
              <w:t>A-01—A-16</w:t>
            </w:r>
          </w:p>
        </w:tc>
      </w:tr>
      <w:tr>
        <w:tc>
          <w:tcPr>
            <w:tcW w:type="dxa" w:w="1215"/>
            <w:vAlign w:val="center"/>
          </w:tcPr>
          <w:p>
            <w:pPr>
              <w:spacing w:line="240" w:lineRule="auto" w:after="20" w:before="20"/>
              <w:jc w:val="left"/>
            </w:pPr>
            <w:r/>
            <w:r>
              <w:rPr>
                <w:rFonts w:ascii="宋体" w:hAnsi="宋体" w:eastAsia="宋体"/>
                <w:sz w:val="18"/>
              </w:rPr>
              <w:t>化肥</w:t>
            </w:r>
          </w:p>
        </w:tc>
        <w:tc>
          <w:tcPr>
            <w:tcW w:type="dxa" w:w="1215"/>
            <w:vAlign w:val="center"/>
          </w:tcPr>
          <w:p>
            <w:pPr>
              <w:spacing w:line="240" w:lineRule="auto" w:after="20" w:before="20"/>
              <w:jc w:val="center"/>
            </w:pPr>
            <w:r/>
            <w:r>
              <w:rPr>
                <w:rFonts w:ascii="宋体" w:hAnsi="宋体" w:eastAsia="宋体"/>
                <w:sz w:val="18"/>
              </w:rPr>
              <w:t>15</w:t>
            </w:r>
          </w:p>
        </w:tc>
        <w:tc>
          <w:tcPr>
            <w:tcW w:type="dxa" w:w="1215"/>
            <w:vAlign w:val="center"/>
          </w:tcPr>
          <w:p>
            <w:pPr>
              <w:spacing w:line="240" w:lineRule="auto" w:after="20" w:before="20"/>
              <w:jc w:val="center"/>
            </w:pPr>
            <w:r/>
            <w:r>
              <w:rPr>
                <w:rFonts w:ascii="宋体" w:hAnsi="宋体" w:eastAsia="宋体"/>
                <w:sz w:val="18"/>
              </w:rPr>
              <w:t>6</w:t>
            </w:r>
          </w:p>
        </w:tc>
        <w:tc>
          <w:tcPr>
            <w:tcW w:type="dxa" w:w="1215"/>
            <w:vAlign w:val="center"/>
          </w:tcPr>
          <w:p>
            <w:pPr>
              <w:spacing w:line="240" w:lineRule="auto" w:after="20" w:before="20"/>
              <w:jc w:val="center"/>
            </w:pPr>
            <w:r/>
            <w:r>
              <w:rPr>
                <w:rFonts w:ascii="宋体" w:hAnsi="宋体" w:eastAsia="宋体"/>
                <w:sz w:val="18"/>
              </w:rPr>
              <w:t>5</w:t>
            </w:r>
          </w:p>
        </w:tc>
        <w:tc>
          <w:tcPr>
            <w:tcW w:type="dxa" w:w="1215"/>
            <w:vAlign w:val="center"/>
          </w:tcPr>
          <w:p>
            <w:pPr>
              <w:spacing w:line="240" w:lineRule="auto" w:after="20" w:before="20"/>
              <w:jc w:val="center"/>
            </w:pPr>
            <w:r/>
            <w:r>
              <w:rPr>
                <w:rFonts w:ascii="宋体" w:hAnsi="宋体" w:eastAsia="宋体"/>
                <w:sz w:val="18"/>
              </w:rPr>
              <w:t>2</w:t>
            </w:r>
          </w:p>
        </w:tc>
        <w:tc>
          <w:tcPr>
            <w:tcW w:type="dxa" w:w="1215"/>
            <w:vAlign w:val="center"/>
          </w:tcPr>
          <w:p>
            <w:pPr>
              <w:spacing w:line="240" w:lineRule="auto" w:after="20" w:before="20"/>
              <w:jc w:val="center"/>
            </w:pPr>
            <w:r/>
            <w:r>
              <w:rPr>
                <w:rFonts w:ascii="宋体" w:hAnsi="宋体" w:eastAsia="宋体"/>
                <w:sz w:val="18"/>
              </w:rPr>
              <w:t>2</w:t>
            </w:r>
          </w:p>
        </w:tc>
        <w:tc>
          <w:tcPr>
            <w:tcW w:type="dxa" w:w="1215"/>
            <w:vAlign w:val="center"/>
          </w:tcPr>
          <w:p>
            <w:pPr>
              <w:spacing w:line="240" w:lineRule="auto" w:after="20" w:before="20"/>
              <w:jc w:val="center"/>
            </w:pPr>
            <w:r/>
            <w:r>
              <w:rPr>
                <w:rFonts w:ascii="宋体" w:hAnsi="宋体" w:eastAsia="宋体"/>
                <w:sz w:val="18"/>
              </w:rPr>
              <w:t>F-01—F-15</w:t>
            </w:r>
          </w:p>
        </w:tc>
      </w:tr>
      <w:tr>
        <w:tc>
          <w:tcPr>
            <w:tcW w:type="dxa" w:w="1215"/>
            <w:vAlign w:val="center"/>
          </w:tcPr>
          <w:p>
            <w:pPr>
              <w:spacing w:line="240" w:lineRule="auto" w:after="20" w:before="20"/>
              <w:jc w:val="left"/>
            </w:pPr>
            <w:r/>
            <w:r>
              <w:rPr>
                <w:rFonts w:ascii="宋体" w:hAnsi="宋体" w:eastAsia="宋体"/>
                <w:sz w:val="18"/>
              </w:rPr>
              <w:t>合计</w:t>
            </w:r>
          </w:p>
        </w:tc>
        <w:tc>
          <w:tcPr>
            <w:tcW w:type="dxa" w:w="1215"/>
            <w:vAlign w:val="center"/>
          </w:tcPr>
          <w:p>
            <w:pPr>
              <w:spacing w:line="240" w:lineRule="auto" w:after="20" w:before="20"/>
              <w:jc w:val="center"/>
            </w:pPr>
            <w:r/>
            <w:r>
              <w:rPr>
                <w:rFonts w:ascii="宋体" w:hAnsi="宋体" w:eastAsia="宋体"/>
                <w:sz w:val="18"/>
              </w:rPr>
              <w:t>49</w:t>
            </w:r>
          </w:p>
        </w:tc>
        <w:tc>
          <w:tcPr>
            <w:tcW w:type="dxa" w:w="1215"/>
            <w:vAlign w:val="center"/>
          </w:tcPr>
          <w:p>
            <w:pPr>
              <w:spacing w:line="240" w:lineRule="auto" w:after="20" w:before="20"/>
              <w:jc w:val="center"/>
            </w:pPr>
            <w:r/>
            <w:r>
              <w:rPr>
                <w:rFonts w:ascii="宋体" w:hAnsi="宋体" w:eastAsia="宋体"/>
                <w:sz w:val="18"/>
              </w:rPr>
              <w:t>19</w:t>
            </w:r>
          </w:p>
        </w:tc>
        <w:tc>
          <w:tcPr>
            <w:tcW w:type="dxa" w:w="1215"/>
            <w:vAlign w:val="center"/>
          </w:tcPr>
          <w:p>
            <w:pPr>
              <w:spacing w:line="240" w:lineRule="auto" w:after="20" w:before="20"/>
              <w:jc w:val="center"/>
            </w:pPr>
            <w:r/>
            <w:r>
              <w:rPr>
                <w:rFonts w:ascii="宋体" w:hAnsi="宋体" w:eastAsia="宋体"/>
                <w:sz w:val="18"/>
              </w:rPr>
              <w:t>16</w:t>
            </w:r>
          </w:p>
        </w:tc>
        <w:tc>
          <w:tcPr>
            <w:tcW w:type="dxa" w:w="1215"/>
            <w:vAlign w:val="center"/>
          </w:tcPr>
          <w:p>
            <w:pPr>
              <w:spacing w:line="240" w:lineRule="auto" w:after="20" w:before="20"/>
              <w:jc w:val="center"/>
            </w:pPr>
            <w:r/>
            <w:r>
              <w:rPr>
                <w:rFonts w:ascii="宋体" w:hAnsi="宋体" w:eastAsia="宋体"/>
                <w:sz w:val="18"/>
              </w:rPr>
              <w:t>8</w:t>
            </w:r>
          </w:p>
        </w:tc>
        <w:tc>
          <w:tcPr>
            <w:tcW w:type="dxa" w:w="1215"/>
            <w:vAlign w:val="center"/>
          </w:tcPr>
          <w:p>
            <w:pPr>
              <w:spacing w:line="240" w:lineRule="auto" w:after="20" w:before="20"/>
              <w:jc w:val="center"/>
            </w:pPr>
            <w:r/>
            <w:r>
              <w:rPr>
                <w:rFonts w:ascii="宋体" w:hAnsi="宋体" w:eastAsia="宋体"/>
                <w:sz w:val="18"/>
              </w:rPr>
              <w:t>6</w:t>
            </w:r>
          </w:p>
        </w:tc>
        <w:tc>
          <w:tcPr>
            <w:tcW w:type="dxa" w:w="1215"/>
            <w:vAlign w:val="center"/>
          </w:tcPr>
          <w:p>
            <w:pPr>
              <w:spacing w:line="240" w:lineRule="auto" w:after="20" w:before="20"/>
              <w:jc w:val="center"/>
            </w:pPr>
            <w:r/>
            <w:r>
              <w:rPr>
                <w:rFonts w:ascii="宋体" w:hAnsi="宋体" w:eastAsia="宋体"/>
                <w:sz w:val="18"/>
              </w:rPr>
              <w:t>—</w:t>
            </w:r>
          </w:p>
        </w:tc>
      </w:tr>
    </w:tbl>
    <w:p>
      <w:pPr>
        <w:spacing w:after="200" w:line="240" w:lineRule="auto"/>
      </w:pPr>
      <w:r>
        <w:rPr>
          <w:rFonts w:ascii="宋体" w:hAnsi="宋体" w:eastAsia="宋体"/>
          <w:sz w:val="18"/>
        </w:rPr>
        <w:t>注：企业受访者来自大型企业与中小企业两类，其中化肥、铝行业按理论抽样补充了中小企业样本；协会与标准化机构受访者含参与国际标准化活动的专家。为保护受访者，所有引语均以编号呈现并对可识别信息作模糊化处理。数据来源：作者访谈资料整理。</w:t>
      </w:r>
    </w:p>
    <w:p>
      <w:pPr>
        <w:spacing w:line="360" w:lineRule="auto" w:after="0"/>
        <w:ind w:firstLineChars="200" w:firstLine="480"/>
        <w:jc w:val="both"/>
      </w:pPr>
      <w:r>
        <w:rPr>
          <w:rFonts w:ascii="宋体" w:hAnsi="宋体" w:eastAsia="宋体"/>
          <w:sz w:val="24"/>
        </w:rPr>
        <w:t>由表13.2可见，样本在两个维度上保持了刻意的平衡。一是行业内的岗位平衡：企业管理与碳资产岗（合计19位）提供战略与成本视角，技术与核算骨干（16位）提供数据与方法学视角，二者互为校验；二是企业内外的立场平衡：行业协会与标准化机构（8位）、第三方核查与认证机构（6位）的加入，使“标准的使用者”与“标准的制定与执行者”双向在场，有效缓解了单一立场叙事可能带来的偏差。这种构成使同一现象往往能获得多个主体、多个角度的表述——例如“绿电环境属性认定”议题同时出现在铝企业总工、协会专家与核查机构受访者的叙述中——为编码阶段的范畴饱和与效度检验提供了资料基础。</w:t>
      </w:r>
    </w:p>
    <w:p>
      <w:pPr>
        <w:keepNext/>
        <w:spacing w:before="160" w:after="120" w:line="360" w:lineRule="auto"/>
        <w:outlineLvl w:val="2"/>
      </w:pPr>
      <w:r>
        <w:rPr>
          <w:rFonts w:ascii="黑体" w:hAnsi="黑体" w:eastAsia="黑体"/>
          <w:sz w:val="24"/>
        </w:rPr>
        <w:t>13.3.4  三阶段编码与信效度保障</w:t>
      </w:r>
    </w:p>
    <w:p>
      <w:pPr>
        <w:spacing w:line="360" w:lineRule="auto" w:after="0"/>
        <w:ind w:firstLineChars="200" w:firstLine="480"/>
        <w:jc w:val="both"/>
      </w:pPr>
      <w:r>
        <w:rPr>
          <w:rFonts w:ascii="宋体" w:hAnsi="宋体" w:eastAsia="宋体"/>
          <w:sz w:val="24"/>
        </w:rPr>
        <w:t>编码分三个阶段递进。开放式编码阶段，两名研究者对转写文本逐句进行概念化标签，经持续比较与归并，共形成412条初始概念；主轴编码阶段，按“条件—行动—结果”的逻辑关联初始概念，提炼出23个主轴范畴；选择性编码阶段，围绕“国际适配障碍及其克服路径”这一核心问题，将主轴范畴整合为4个核心范畴，并以故事线方式串联为理论模型。信度保障方面，两名研究者独立完成全部开放式编码，对编码分歧逐条讨论仲裁，未能达成一致的条目提交第三位研究者裁决；效度保障方面，采取了四项措施：一是资料三角验证，访谈叙述与申报文件、核查报告相互印证；二是成员检验，将编码结果与理论模型反馈给12位受访者征询确认意见，据其反馈微调了两个主轴范畴的命名与归属；三是保留完整的编码审计链，从原始语句到核心范畴的每一步归并均可回溯；四是理论饱和检验，如前所述以连续访谈无新范畴为饱和标准。上述设计使质性结论具备可追溯、可核验的证据基础。</w:t>
      </w:r>
    </w:p>
    <w:p>
      <w:pPr>
        <w:keepNext/>
        <w:spacing w:before="160" w:after="120" w:line="360" w:lineRule="auto"/>
        <w:outlineLvl w:val="1"/>
      </w:pPr>
      <w:r>
        <w:rPr>
          <w:rFonts w:ascii="黑体" w:hAnsi="黑体" w:eastAsia="黑体"/>
          <w:sz w:val="28"/>
        </w:rPr>
        <w:t>13.4  三行业案例分析</w:t>
      </w:r>
    </w:p>
    <w:p>
      <w:pPr>
        <w:spacing w:line="360" w:lineRule="auto" w:after="0"/>
        <w:ind w:firstLineChars="200" w:firstLine="480"/>
        <w:jc w:val="both"/>
      </w:pPr>
      <w:r>
        <w:rPr>
          <w:rFonts w:ascii="宋体" w:hAnsi="宋体" w:eastAsia="宋体"/>
          <w:sz w:val="24"/>
        </w:rPr>
        <w:t>本节依次分析钢铁、铝、化肥三个行业案例。每个案例按统一结构展开：先以公开数据刻画行业的碳排放与出口特征，再梳理其CBAM合规现状，最后呈现访谈发现的核心线索。三个案例的完整编码结果与跨案例的理论整合留待13.5节。</w:t>
      </w:r>
    </w:p>
    <w:p>
      <w:pPr>
        <w:keepNext/>
        <w:spacing w:before="160" w:after="120" w:line="360" w:lineRule="auto"/>
        <w:outlineLvl w:val="2"/>
      </w:pPr>
      <w:r>
        <w:rPr>
          <w:rFonts w:ascii="黑体" w:hAnsi="黑体" w:eastAsia="黑体"/>
          <w:sz w:val="24"/>
        </w:rPr>
        <w:t>13.4.1  钢铁行业：合规压力最大、体系响应最快的先行者</w:t>
      </w:r>
    </w:p>
    <w:p>
      <w:pPr>
        <w:spacing w:line="360" w:lineRule="auto" w:after="0"/>
        <w:ind w:firstLineChars="200" w:firstLine="480"/>
        <w:jc w:val="both"/>
      </w:pPr>
      <w:r>
        <w:rPr>
          <w:rFonts w:ascii="宋体" w:hAnsi="宋体" w:eastAsia="宋体"/>
          <w:sz w:val="24"/>
        </w:rPr>
        <w:t>钢铁是CBAM冲击暴露度最高的中国行业。从贸易特征看，2022年中国对欧盟出口CBAM覆盖商品约205亿美元，其中钢铁约146亿美元，占受影响出口的约九成；2023年中国对欧钢铁及铝制品出口约743万吨、货值约130亿欧元。尽管CBAM六类商品合计仅占中国对欧出口总额的约0.8%，但冲击高度集中于钢铁一业（陆婷和徐奇渊，2023；刘长松，2024）。从排放特征看，长流程炼钢以高炉—转炉工序为主，吨钢排放由焦炭还原反应主导，工序多、边界复杂，隐含排放核算牵涉烧结、焦化、炼铁、炼钢、轧制的逐工序数据归集。从成本前景看，权威测算显示，CBAM或使中国出口成本每年增加约14亿美元；就钢铁而言，到2034年约合每吨增加130—160欧元成本、出口售价上升10%—15%。第12章的模拟给出了一致的量级：基准情景下钢铁行业碳关税负担2027年约48亿元，2030年升至约121亿元，对应产出损失约0.86%。</w:t>
      </w:r>
    </w:p>
    <w:p>
      <w:pPr>
        <w:spacing w:line="360" w:lineRule="auto" w:after="0"/>
        <w:ind w:firstLineChars="200" w:firstLine="480"/>
        <w:jc w:val="both"/>
      </w:pPr>
      <w:r>
        <w:rPr>
          <w:rFonts w:ascii="宋体" w:hAnsi="宋体" w:eastAsia="宋体"/>
          <w:sz w:val="24"/>
        </w:rPr>
        <w:t>合规现状方面，钢铁行业呈现“大企业实测申报、中小企业缺省值兜底”的分化格局。头部企业普遍在CBAM过渡期内完成了按欧方模板的季度申报，建立了覆盖主要工序的碳数据归集流程，部分企业还预演了核查程序；而缺乏计量基础的中小轧材与制品出口商则大量依赖缺省值申报。制度环境的响应也最快：2025年3月钢铁被纳入全国碳市场首批扩围行业，企业层面的碳排放核算由此获得国内履约与对欧申报的双重应用场景（张奕辉，2024）。行业内已出现明确的规则套利意识——在国内碳市场配额管理与欧盟边境规则之间比较口径、测算成本，并据此调整出口产品结构。</w:t>
      </w:r>
    </w:p>
    <w:p>
      <w:pPr>
        <w:spacing w:line="360" w:lineRule="auto" w:after="0"/>
        <w:ind w:firstLineChars="200" w:firstLine="480"/>
        <w:jc w:val="both"/>
      </w:pPr>
      <w:r>
        <w:rPr>
          <w:rFonts w:ascii="宋体" w:hAnsi="宋体" w:eastAsia="宋体"/>
          <w:sz w:val="24"/>
        </w:rPr>
        <w:t>访谈发现集中于三条线索。第一是数据链的“最后一公里”问题。受访者S-07（某大型钢铁企业碳资产管理负责人）谈到：“欧方核查员进厂第一件事就是看计量器具的检定证书和数据链，我们高炉煤气的计量点位不全，有两个环节只能按缺省值报，缺省值比我们实际水平高一截，等于替数据缺口多交了钱。”第二是核算口径的转换成本。S-12（技术核算骨干）表示：“我们按国标算的是企业法人边界，欧方要的是到具体钢材产品的口径，两套账对不上，光把口径翻译清楚就用了三个月。”第三是国内履约与国际申报的衔接期待。S-03（行业协会标准化专家）指出：“扩围以后企业有了国内碳价，但抵扣规则还要看欧方认不认；如果国内履约成本到了边境不算数，企业就是两头交费。”三条线索共同指向：钢铁行业的适配瓶颈已从“会不会算”转向“算得算不算数”，即从核算能力问题转向核查采信与制度衔接问题。</w:t>
      </w:r>
    </w:p>
    <w:p>
      <w:pPr>
        <w:keepNext/>
        <w:spacing w:before="160" w:after="120" w:line="360" w:lineRule="auto"/>
        <w:outlineLvl w:val="2"/>
      </w:pPr>
      <w:r>
        <w:rPr>
          <w:rFonts w:ascii="黑体" w:hAnsi="黑体" w:eastAsia="黑体"/>
          <w:sz w:val="24"/>
        </w:rPr>
        <w:t>13.4.2  铝行业：绿电转换与间接排放认定的博弈场</w:t>
      </w:r>
    </w:p>
    <w:p>
      <w:pPr>
        <w:spacing w:line="360" w:lineRule="auto" w:after="0"/>
        <w:ind w:firstLineChars="200" w:firstLine="480"/>
        <w:jc w:val="both"/>
      </w:pPr>
      <w:r>
        <w:rPr>
          <w:rFonts w:ascii="宋体" w:hAnsi="宋体" w:eastAsia="宋体"/>
          <w:sz w:val="24"/>
        </w:rPr>
        <w:t>铝行业的排放结构与钢铁截然不同：电解铝的排放大头来自电解环节的电力消耗，属间接排放，辅以阳极效应产生的直接过程排放。这一结构决定了铝行业国际适配的特殊议题——绿电的环境属性认定。使用水电、光伏等可再生电力的电解铝在碳足迹上具有数量级的优势，中国铝企业近年大规模向西南水电富集地区转移产能，正是对绿色贸易规则的前瞻性响应。从贸易特征看，2022年中国对欧铝出口约55亿美元，占CBAM受影响出口的约7%，仅次于钢铁。从制度进展看，铝行业拥有两项标志性事件：2024年发布的电解铝产品碳足迹国家标准是我国首个工业领域产品碳足迹国标；2025年3月铝冶炼与钢铁、水泥一道纳入全国碳市场扩围。第12章模拟显示，基准情景下铝行业碳关税负担2027年约31亿元、2030年约76亿元，产出损失约1.24%，为四个测算行业中相对冲击最大者——原因在于电力间接排放一旦计入，以煤电为主的电网因子将显著推高隐含排放。</w:t>
      </w:r>
    </w:p>
    <w:p>
      <w:pPr>
        <w:spacing w:line="360" w:lineRule="auto" w:after="0"/>
        <w:ind w:firstLineChars="200" w:firstLine="480"/>
        <w:jc w:val="both"/>
      </w:pPr>
      <w:r>
        <w:rPr>
          <w:rFonts w:ascii="宋体" w:hAnsi="宋体" w:eastAsia="宋体"/>
          <w:sz w:val="24"/>
        </w:rPr>
        <w:t>访谈发现的核心线索是“绿电投入与减排认定之间的制度断层”。受访者A-12（某电解铝企业总工程师）的表述最具代表性：“我们的产线全部用水电，绿电铝的钱实实在在花了，但对方认不认我们的绿证是另一回事——绿电环境属性的证明链条还没有被欧方完全采信，等于减排做了，账上没体现。”A-05（技术核算骨干）则从因子角度补充：“电解铝碳足迹国标出来是好事，可是算碳足迹用谁的因子库说了算？用国外数据库的中国电网因子，算出来就是高；我们盼的是国家因子库赶紧把分区域电力因子做扎实。”核查机构受访者A-14进一步指出，绿电交易的合同结构、时空匹配与重复计算排除，是欧方质疑中国绿电声明的三个技术焦点。与钢铁相比，铝行业的障碍更少体现在企业内部数据能力，更多体现在跨体系的规则互认——绿证与绿电交易凭证的国际采信、电网排放因子的权威发布、间接排放核算规则的对接，均超出单个企业的能力边界，属于典型的制度供给问题（Bjørn等，2022；陈丹丹等，2025）。</w:t>
      </w:r>
    </w:p>
    <w:p>
      <w:pPr>
        <w:keepNext/>
        <w:spacing w:before="160" w:after="120" w:line="360" w:lineRule="auto"/>
        <w:outlineLvl w:val="2"/>
      </w:pPr>
      <w:r>
        <w:rPr>
          <w:rFonts w:ascii="黑体" w:hAnsi="黑体" w:eastAsia="黑体"/>
          <w:sz w:val="24"/>
        </w:rPr>
        <w:t>13.4.3  化肥行业：数据基础与合规能力的双重洼地</w:t>
      </w:r>
    </w:p>
    <w:p>
      <w:pPr>
        <w:spacing w:line="360" w:lineRule="auto" w:after="0"/>
        <w:ind w:firstLineChars="200" w:firstLine="480"/>
        <w:jc w:val="both"/>
      </w:pPr>
      <w:r>
        <w:rPr>
          <w:rFonts w:ascii="宋体" w:hAnsi="宋体" w:eastAsia="宋体"/>
          <w:sz w:val="24"/>
        </w:rPr>
        <w:t>化肥行业的碳排放以合成氨环节的过程排放与能源排放为主，氮肥生产以煤为主要原料的工艺路线使其单位产品排放显著高于国际同行的天然气路线。行业组织结构呈“少数大集团+大量中小企业”的长尾分布，中小企业在出口中占有不可忽视的份额，但普遍缺乏专职碳管理人员与计量数据基础。CBAM将化肥列入首批覆盖产品，对这一行业构成的挑战与钢铁、铝有质的不同：前两者的头部企业已具备相当的核算与申报能力，化肥行业则在数据、人才、认知三个层面同时存在缺口。第12章测算显示，化肥行业ISGI为0.40，在钢铁、铝、化肥三行业中差距最大；CIAI为0.55，适配水平最低；基准情景下碳关税负担2027年约8.2亿元、2030年约19.5亿元，绝对额虽小于钢铁与铝，但相对其出口利润率的挤压并不轻，产出损失约0.68%。</w:t>
      </w:r>
    </w:p>
    <w:p>
      <w:pPr>
        <w:spacing w:line="360" w:lineRule="auto" w:after="0"/>
        <w:ind w:firstLineChars="200" w:firstLine="480"/>
        <w:jc w:val="both"/>
      </w:pPr>
      <w:r>
        <w:rPr>
          <w:rFonts w:ascii="宋体" w:hAnsi="宋体" w:eastAsia="宋体"/>
          <w:sz w:val="24"/>
        </w:rPr>
        <w:t>访谈发现呈现鲜明的“基础性障碍”特征。受访者F-03（某化肥企业环保与双碳工作负责人）谈到方法学的行业空白：“合成氨的过程排放怎么分摊到尿素、磷铵这些下游产品，每家的算法都不一样，行业里没有一套公认的分配规则，报出去的数自己心里都打鼓。”F-09（某中小氮肥企业管理人员）的叙述则揭示了能力洼地：“厂里没有专职碳管理员，CBAM的申报表是财务兼着填的，术语都要现查；培训只参加过一次，还是协会组织的线上课。”F-06（行业协会人士）从面上印证：“会员企业里能独立完成实测申报的是少数，大多数用缺省值，等于按最不利的数值交税。”与前两个行业相比，化肥案例的意义在于揭示适配障碍的“底层”形态：当数据基础与人的能力缺位时，再完善的标准文本也无从落地——这为四阶提升路径模型中“数据基础”作为第一阶提供了最直接的经验依据。</w:t>
      </w:r>
    </w:p>
    <w:p>
      <w:pPr>
        <w:keepNext/>
        <w:spacing w:before="160" w:after="120" w:line="360" w:lineRule="auto"/>
        <w:outlineLvl w:val="2"/>
      </w:pPr>
      <w:r>
        <w:rPr>
          <w:rFonts w:ascii="黑体" w:hAnsi="黑体" w:eastAsia="黑体"/>
          <w:sz w:val="24"/>
        </w:rPr>
        <w:t>13.4.4  跨案例比较</w:t>
      </w:r>
    </w:p>
    <w:p>
      <w:pPr>
        <w:spacing w:line="360" w:lineRule="auto" w:after="0"/>
        <w:ind w:firstLineChars="200" w:firstLine="480"/>
        <w:jc w:val="both"/>
      </w:pPr>
      <w:r>
        <w:rPr>
          <w:rFonts w:ascii="宋体" w:hAnsi="宋体" w:eastAsia="宋体"/>
          <w:sz w:val="24"/>
        </w:rPr>
        <w:t>由图13.2可见，三行业在定量指标与质性发现上呈现高度一致的分化格局。左侧面板显示，ISGI按钢铁（0.34）、铝（0.37）、化肥（0.40）递增，CIAI按钢铁（0.61）、铝（0.58）、化肥（0.55）递减，表明三行业的国际适配水平呈清晰梯度；右侧面板给出访谈编码四个核心范畴的参考点频次分布，数据基础障碍与制度衔接障碍居前两位，构成三行业共同面对的主要堵点。进一步按行业拆分编码参考点还可发现，钢铁行业的表述集中于制度衔接类范畴，铝行业集中于制度衔接与数据基础的交叉地带（绿电认定既是数据问题又是互认问题），化肥行业则以数据基础与认知—能力类范畴为主。两组信息拼合出一幅“行业适配阶梯”：化肥尚在夯实数据地基，铝在攻认证互认的关口，钢铁已逼近规则话语权的门槛。三行业恰好占据了后文四阶提升路径的不同阶位，这一“同一时点、不同阶位”的横截面观察，为路径模型的阶段划分提供了跨案例的经验支撑。</w:t>
      </w:r>
    </w:p>
    <w:p>
      <w:pPr>
        <w:spacing w:before="120" w:after="40"/>
        <w:jc w:val="center"/>
      </w:pPr>
      <w:r>
        <w:drawing>
          <wp:inline xmlns:a="http://schemas.openxmlformats.org/drawingml/2006/main" xmlns:pic="http://schemas.openxmlformats.org/drawingml/2006/picture">
            <wp:extent cx="4860000" cy="2266410"/>
            <wp:docPr id="45" name="Picture 45"/>
            <wp:cNvGraphicFramePr>
              <a:graphicFrameLocks noChangeAspect="1"/>
            </wp:cNvGraphicFramePr>
            <a:graphic>
              <a:graphicData uri="http://schemas.openxmlformats.org/drawingml/2006/picture">
                <pic:pic>
                  <pic:nvPicPr>
                    <pic:cNvPr id="0" name="fig13_2.png"/>
                    <pic:cNvPicPr/>
                  </pic:nvPicPr>
                  <pic:blipFill>
                    <a:blip r:embed="rId53"/>
                    <a:stretch>
                      <a:fillRect/>
                    </a:stretch>
                  </pic:blipFill>
                  <pic:spPr>
                    <a:xfrm>
                      <a:off x="0" y="0"/>
                      <a:ext cx="4860000" cy="2266410"/>
                    </a:xfrm>
                    <a:prstGeom prst="rect"/>
                  </pic:spPr>
                </pic:pic>
              </a:graphicData>
            </a:graphic>
          </wp:inline>
        </w:drawing>
      </w:r>
    </w:p>
    <w:p>
      <w:pPr>
        <w:keepNext w:val="0"/>
        <w:spacing w:after="200"/>
        <w:jc w:val="center"/>
      </w:pPr>
      <w:r>
        <w:rPr>
          <w:rFonts w:ascii="黑体" w:hAnsi="黑体" w:eastAsia="黑体"/>
          <w:sz w:val="21"/>
        </w:rPr>
        <w:t>图13.2  钢铁、铝、化肥行业国际适配关键指标对比</w:t>
      </w:r>
    </w:p>
    <w:p>
      <w:pPr>
        <w:spacing w:line="360" w:lineRule="auto" w:after="0"/>
        <w:ind w:firstLineChars="200" w:firstLine="480"/>
        <w:jc w:val="both"/>
      </w:pPr>
      <w:r>
        <w:rPr>
          <w:rFonts w:ascii="宋体" w:hAnsi="宋体" w:eastAsia="宋体"/>
          <w:sz w:val="24"/>
        </w:rPr>
        <w:t>跨案例比较还揭示了两点共性。其一，无论行业与阶位差异如何，受访者对“缺省值惩罚”的感知高度一致：数据能力不足的代价被CBAM的缺省值机制显性化、货币化，这使“数据基础”从企业内部管理议题跃升为贸易竞争力议题。其二，三行业受访者均表达了对国内规则“可被国际采信”的强烈诉求——企业可以承受严格的标准，难以承受的是按国内标准做了合规投入之后在国际上不被承认的“无效合规”。这与近期文献关于国际标准协调影响企业出口决策的发现相互印证（王明涛等，2025；侯俊军等，2025）：标准协调的价值不仅在降低信息成本，更在保障合规投入的跨市场可兑现性。</w:t>
      </w:r>
    </w:p>
    <w:p>
      <w:pPr>
        <w:keepNext/>
        <w:spacing w:before="160" w:after="120" w:line="360" w:lineRule="auto"/>
        <w:outlineLvl w:val="1"/>
      </w:pPr>
      <w:r>
        <w:rPr>
          <w:rFonts w:ascii="黑体" w:hAnsi="黑体" w:eastAsia="黑体"/>
          <w:sz w:val="28"/>
        </w:rPr>
        <w:t>13.5  编码结果与理论模型</w:t>
      </w:r>
    </w:p>
    <w:p>
      <w:pPr>
        <w:keepNext/>
        <w:spacing w:before="160" w:after="120" w:line="360" w:lineRule="auto"/>
        <w:outlineLvl w:val="2"/>
      </w:pPr>
      <w:r>
        <w:rPr>
          <w:rFonts w:ascii="黑体" w:hAnsi="黑体" w:eastAsia="黑体"/>
          <w:sz w:val="24"/>
        </w:rPr>
        <w:t>13.5.1  编码结果总览</w:t>
      </w:r>
    </w:p>
    <w:p>
      <w:pPr>
        <w:spacing w:line="360" w:lineRule="auto" w:after="0"/>
        <w:ind w:firstLineChars="200" w:firstLine="480"/>
        <w:jc w:val="both"/>
      </w:pPr>
      <w:r>
        <w:rPr>
          <w:rFonts w:ascii="宋体" w:hAnsi="宋体" w:eastAsia="宋体"/>
          <w:sz w:val="24"/>
        </w:rPr>
        <w:t>三阶段编码的总体结果如下：开放式编码从访谈转写文本中提炼出412条初始概念；主轴编码将其归并为23个主轴范畴；选择性编码最终整合为4个核心范畴，即数据基础障碍、制度衔接障碍、认知—能力障碍与话语权障碍。按各核心范畴下辖初始概念的编码参考点统计，数据基础障碍146条、制度衔接障碍132条、认知—能力障碍98条、话语权障碍87条，合计463条（同一初始概念可关联多个范畴的语句参考点），四者占比分别为31.5%、28.5%、21.2%与18.8%。频次分布的第一个信息是：数据基础与制度衔接两大范畴合计占比约六成，构成适配障碍的主体；第二个信息是频次分布的两端与障碍“深度”的两端恰成倒置——频次最高的数据基础障碍最“浅”、最可操作，频次最低的话语权障碍最“深”、最具战略性，这一倒置关系本身就是理论模型的重要线索：企业叙述的密度反映的是障碍的当下紧迫性而非终局重要性。</w:t>
      </w:r>
    </w:p>
    <w:p>
      <w:pPr>
        <w:spacing w:line="360" w:lineRule="auto" w:after="0"/>
        <w:ind w:firstLineChars="200" w:firstLine="480"/>
        <w:jc w:val="both"/>
      </w:pPr>
      <w:r>
        <w:rPr>
          <w:rFonts w:ascii="宋体" w:hAnsi="宋体" w:eastAsia="宋体"/>
          <w:sz w:val="24"/>
        </w:rPr>
        <w:t>由图13.3可见，编码结构呈“漏斗—阶梯”复合形态：左侧编码主线展示412条初始概念经23个主轴范畴向4个核心范畴的逐层收敛归并，四个核心范畴均括注参考点频次；右侧阶梯部分则展示四个核心范畴与“数据基础→核算能力→认证互认→话语权提升”四阶提升路径的对应关系——每一核心范畴恰好构成路径上一个阶段的主要堵点；而由第四阶回指第一阶的虚线反馈则表明，话语权的提升可反哺数据与规则制定，使阶梯呈螺旋上升而非单向线性。编码结构图的价值在于把资料驱动的归纳过程完整可视化：读者可以沿任一核心范畴向左回溯其主轴范畴与初始概念构成，也可以向右追踪其在理论模型中的位置，从而对“从原始语句到理论模型”的证据链作直观检视。</w:t>
      </w:r>
    </w:p>
    <w:p>
      <w:pPr>
        <w:spacing w:before="120" w:after="40"/>
        <w:jc w:val="center"/>
      </w:pPr>
      <w:r>
        <w:drawing>
          <wp:inline xmlns:a="http://schemas.openxmlformats.org/drawingml/2006/main" xmlns:pic="http://schemas.openxmlformats.org/drawingml/2006/picture">
            <wp:extent cx="4860000" cy="1523853"/>
            <wp:docPr id="46" name="Picture 46"/>
            <wp:cNvGraphicFramePr>
              <a:graphicFrameLocks noChangeAspect="1"/>
            </wp:cNvGraphicFramePr>
            <a:graphic>
              <a:graphicData uri="http://schemas.openxmlformats.org/drawingml/2006/picture">
                <pic:pic>
                  <pic:nvPicPr>
                    <pic:cNvPr id="0" name="fig13_3.png"/>
                    <pic:cNvPicPr/>
                  </pic:nvPicPr>
                  <pic:blipFill>
                    <a:blip r:embed="rId54"/>
                    <a:stretch>
                      <a:fillRect/>
                    </a:stretch>
                  </pic:blipFill>
                  <pic:spPr>
                    <a:xfrm>
                      <a:off x="0" y="0"/>
                      <a:ext cx="4860000" cy="1523853"/>
                    </a:xfrm>
                    <a:prstGeom prst="rect"/>
                  </pic:spPr>
                </pic:pic>
              </a:graphicData>
            </a:graphic>
          </wp:inline>
        </w:drawing>
      </w:r>
    </w:p>
    <w:p>
      <w:pPr>
        <w:keepNext w:val="0"/>
        <w:spacing w:after="200"/>
        <w:jc w:val="center"/>
      </w:pPr>
      <w:r>
        <w:rPr>
          <w:rFonts w:ascii="黑体" w:hAnsi="黑体" w:eastAsia="黑体"/>
          <w:sz w:val="21"/>
        </w:rPr>
        <w:t>图13.3  国际适配障碍因素的扎根理论编码结构</w:t>
      </w:r>
    </w:p>
    <w:p>
      <w:pPr>
        <w:keepNext/>
        <w:spacing w:before="160" w:after="120" w:line="360" w:lineRule="auto"/>
        <w:outlineLvl w:val="2"/>
      </w:pPr>
      <w:r>
        <w:rPr>
          <w:rFonts w:ascii="黑体" w:hAnsi="黑体" w:eastAsia="黑体"/>
          <w:sz w:val="24"/>
        </w:rPr>
        <w:t>13.5.2  四个核心范畴的内涵阐释</w:t>
      </w:r>
    </w:p>
    <w:p>
      <w:pPr>
        <w:spacing w:line="360" w:lineRule="auto" w:after="0"/>
        <w:ind w:firstLineChars="200" w:firstLine="480"/>
        <w:jc w:val="both"/>
      </w:pPr>
      <w:r>
        <w:rPr>
          <w:rFonts w:ascii="宋体" w:hAnsi="宋体" w:eastAsia="宋体"/>
          <w:sz w:val="24"/>
        </w:rPr>
        <w:t>数据基础障碍（146条参考点）是频次最高的核心范畴，下辖排放因子缺失、计量体系不全、数据管理系统薄弱、供应链数据不可得、数据可信度不足等主轴范畴。其共同特征是：核算所需的“原料”——活动水平数据与排放因子——在可得性、准确性或权威性上存在缺口。因子问题的典型表述来自A-05（“用谁的因子库说了算”），计量问题的典型表述来自S-07（“计量点位不全，只能按缺省值报”），供应链问题则在三个行业均有出现——上游原燃料供应商无法提供碳数据，使产品层面的生命周期核算从第一环就断链。值得强调的是，数据基础障碍并非单纯的技术问题：因子库的权威发布、计量器具的检定体系、数据的司法采信规则，背后都是制度供给。</w:t>
      </w:r>
    </w:p>
    <w:p>
      <w:pPr>
        <w:spacing w:line="360" w:lineRule="auto" w:after="0"/>
        <w:ind w:firstLineChars="200" w:firstLine="480"/>
        <w:jc w:val="both"/>
      </w:pPr>
      <w:r>
        <w:rPr>
          <w:rFonts w:ascii="宋体" w:hAnsi="宋体" w:eastAsia="宋体"/>
          <w:sz w:val="24"/>
        </w:rPr>
        <w:t>制度衔接障碍（132条参考点）指向国内标准体系与国际规则之间的接口缺失，下辖核算边界口径差异、核查结果互认缺失、碳价机制衔接不畅、绿电环境属性认定分歧、标准更新节奏错位、认证程序重复等主轴范畴。其典型表述包括S-12的“两套账对不上”、S-03的“国内履约成本到了边境不算数”与A-12的“绿电的钱花了、账上没体现”。制度衔接障碍的要害在于“重复合规”：企业须为同一排放事实同时满足两套口径、接受两轮核查、承担两份成本，而任何一方的合规投入都无法在另一方兑现。从比较制度分析的角度看，这正是两种制度生态缺乏互认接口时的必然摩擦，其化解不取决于企业努力，而取决于政府间与体系间的规则协调（Mehling等，2019；侯俊军等，2025）。</w:t>
      </w:r>
    </w:p>
    <w:p>
      <w:pPr>
        <w:spacing w:line="360" w:lineRule="auto" w:after="0"/>
        <w:ind w:firstLineChars="200" w:firstLine="480"/>
        <w:jc w:val="both"/>
      </w:pPr>
      <w:r>
        <w:rPr>
          <w:rFonts w:ascii="宋体" w:hAnsi="宋体" w:eastAsia="宋体"/>
          <w:sz w:val="24"/>
        </w:rPr>
        <w:t>认知—能力障碍（98条参考点）刻画微观主体理解与执行标准的人力资本缺口，下辖政策规则理解偏差、专业人才短缺、中小企业能力洼地、培训供给不足、管理层重视不够等主轴范畴。F-09“申报表财务兼着填”的叙述是这一范畴最生动的注脚。编码显示，认知—能力障碍呈显著的规模分化：大型企业的表述多为“人才争夺”（碳管理岗位难以招到兼懂工艺与规则的复合人才），中小企业的表述则是“从零起步”（不知道规则为何物、不知道向谁求助）。这一分化提示，能力建设政策不能“一刀切”，需要针对中小企业设计公共服务式的能力供给——行业协会的模板工具、地方标准化机构的辅导服务在访谈中被反复提及为最有效的支持形式。</w:t>
      </w:r>
    </w:p>
    <w:p>
      <w:pPr>
        <w:spacing w:line="360" w:lineRule="auto" w:after="0"/>
        <w:ind w:firstLineChars="200" w:firstLine="480"/>
        <w:jc w:val="both"/>
      </w:pPr>
      <w:r>
        <w:rPr>
          <w:rFonts w:ascii="宋体" w:hAnsi="宋体" w:eastAsia="宋体"/>
          <w:sz w:val="24"/>
        </w:rPr>
        <w:t>话语权障碍（87条参考点）是频次最低但战略位阶最高的核心范畴，下辖国际标准化参与不足、提案能力薄弱、规则接受者地位、国际互认谈判被动、参与渠道与人才储备缺乏等主轴范畴。S-03的表述最具概括力：“国际工作组里我们去的人少、提案更少，等文本定稿了再提意见，人家说流程已经走完了。”从事实层面看，截至2022年底中国主导制定的ISO、IEC国际标准为1337项，占国际标准总量的比例按通行估算仅约2%，与制造业与贸易规模明显不称；尽管中国承担的国际标准组织技术机构秘书处已达89个，但在绿色低碳这一新兴领域，方法学的关键条款仍主要由先行者书写（Büthe和Mattli，2011；庄贵阳和王思博，2023）。话语权障碍的特殊性在于其“上游性”：边界怎么划、因子怎么定、核查怎么做，这些下游障碍的规则参数都在国际标准化的上游博弈中确定；不能参与上游，下游的适配就永远是追赶。表13.3汇总了四个核心范畴的构成与典型语句。</w:t>
      </w:r>
    </w:p>
    <w:p>
      <w:pPr>
        <w:keepNext/>
        <w:spacing w:before="160" w:after="40"/>
        <w:jc w:val="center"/>
      </w:pPr>
      <w:r>
        <w:rPr>
          <w:rFonts w:ascii="黑体" w:hAnsi="黑体" w:eastAsia="黑体"/>
          <w:sz w:val="21"/>
        </w:rPr>
        <w:t>表13.3  核心范畴、代表性主轴范畴与典型语句</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18"/>
              </w:rPr>
              <w:t>核心范畴</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参考点频次</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代表性主轴范畴</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典型语句（受访者编号）</w:t>
            </w:r>
          </w:p>
        </w:tc>
      </w:tr>
      <w:tr>
        <w:tc>
          <w:tcPr>
            <w:tcW w:type="dxa" w:w="2126"/>
            <w:vAlign w:val="center"/>
          </w:tcPr>
          <w:p>
            <w:pPr>
              <w:spacing w:line="240" w:lineRule="auto" w:after="20" w:before="20"/>
              <w:jc w:val="left"/>
            </w:pPr>
            <w:r/>
            <w:r>
              <w:rPr>
                <w:rFonts w:ascii="宋体" w:hAnsi="宋体" w:eastAsia="宋体"/>
                <w:sz w:val="18"/>
              </w:rPr>
              <w:t>数据基础障碍</w:t>
            </w:r>
          </w:p>
        </w:tc>
        <w:tc>
          <w:tcPr>
            <w:tcW w:type="dxa" w:w="2126"/>
            <w:vAlign w:val="center"/>
          </w:tcPr>
          <w:p>
            <w:pPr>
              <w:spacing w:line="240" w:lineRule="auto" w:after="20" w:before="20"/>
              <w:jc w:val="center"/>
            </w:pPr>
            <w:r/>
            <w:r>
              <w:rPr>
                <w:rFonts w:ascii="宋体" w:hAnsi="宋体" w:eastAsia="宋体"/>
                <w:sz w:val="18"/>
              </w:rPr>
              <w:t>146</w:t>
            </w:r>
          </w:p>
        </w:tc>
        <w:tc>
          <w:tcPr>
            <w:tcW w:type="dxa" w:w="2126"/>
            <w:vAlign w:val="center"/>
          </w:tcPr>
          <w:p>
            <w:pPr>
              <w:spacing w:line="240" w:lineRule="auto" w:after="20" w:before="20"/>
              <w:jc w:val="left"/>
            </w:pPr>
            <w:r/>
            <w:r>
              <w:rPr>
                <w:rFonts w:ascii="宋体" w:hAnsi="宋体" w:eastAsia="宋体"/>
                <w:sz w:val="18"/>
              </w:rPr>
              <w:t>排放因子缺失；计量体系不全；供应链数据不可得</w:t>
            </w:r>
          </w:p>
        </w:tc>
        <w:tc>
          <w:tcPr>
            <w:tcW w:type="dxa" w:w="2126"/>
            <w:vAlign w:val="center"/>
          </w:tcPr>
          <w:p>
            <w:pPr>
              <w:spacing w:line="240" w:lineRule="auto" w:after="20" w:before="20"/>
              <w:jc w:val="left"/>
            </w:pPr>
            <w:r/>
            <w:r>
              <w:rPr>
                <w:rFonts w:ascii="宋体" w:hAnsi="宋体" w:eastAsia="宋体"/>
                <w:sz w:val="18"/>
              </w:rPr>
              <w:t>“算碳足迹用谁的因子库说了算？用国外数据库的中国电网因子，算出来就是高。”（A-05）</w:t>
            </w:r>
          </w:p>
        </w:tc>
      </w:tr>
      <w:tr>
        <w:tc>
          <w:tcPr>
            <w:tcW w:type="dxa" w:w="2126"/>
            <w:vAlign w:val="center"/>
          </w:tcPr>
          <w:p>
            <w:pPr>
              <w:spacing w:line="240" w:lineRule="auto" w:after="20" w:before="20"/>
              <w:jc w:val="left"/>
            </w:pPr>
            <w:r/>
            <w:r>
              <w:rPr>
                <w:rFonts w:ascii="宋体" w:hAnsi="宋体" w:eastAsia="宋体"/>
                <w:sz w:val="18"/>
              </w:rPr>
              <w:t>制度衔接障碍</w:t>
            </w:r>
          </w:p>
        </w:tc>
        <w:tc>
          <w:tcPr>
            <w:tcW w:type="dxa" w:w="2126"/>
            <w:vAlign w:val="center"/>
          </w:tcPr>
          <w:p>
            <w:pPr>
              <w:spacing w:line="240" w:lineRule="auto" w:after="20" w:before="20"/>
              <w:jc w:val="center"/>
            </w:pPr>
            <w:r/>
            <w:r>
              <w:rPr>
                <w:rFonts w:ascii="宋体" w:hAnsi="宋体" w:eastAsia="宋体"/>
                <w:sz w:val="18"/>
              </w:rPr>
              <w:t>132</w:t>
            </w:r>
          </w:p>
        </w:tc>
        <w:tc>
          <w:tcPr>
            <w:tcW w:type="dxa" w:w="2126"/>
            <w:vAlign w:val="center"/>
          </w:tcPr>
          <w:p>
            <w:pPr>
              <w:spacing w:line="240" w:lineRule="auto" w:after="20" w:before="20"/>
              <w:jc w:val="left"/>
            </w:pPr>
            <w:r/>
            <w:r>
              <w:rPr>
                <w:rFonts w:ascii="宋体" w:hAnsi="宋体" w:eastAsia="宋体"/>
                <w:sz w:val="18"/>
              </w:rPr>
              <w:t>核查互认缺失；碳价衔接不畅；绿电认定分歧</w:t>
            </w:r>
          </w:p>
        </w:tc>
        <w:tc>
          <w:tcPr>
            <w:tcW w:type="dxa" w:w="2126"/>
            <w:vAlign w:val="center"/>
          </w:tcPr>
          <w:p>
            <w:pPr>
              <w:spacing w:line="240" w:lineRule="auto" w:after="20" w:before="20"/>
              <w:jc w:val="left"/>
            </w:pPr>
            <w:r/>
            <w:r>
              <w:rPr>
                <w:rFonts w:ascii="宋体" w:hAnsi="宋体" w:eastAsia="宋体"/>
                <w:sz w:val="18"/>
              </w:rPr>
              <w:t>“国内履约成本到了边境不算数，企业就是两头交费。”（S-03）</w:t>
            </w:r>
          </w:p>
        </w:tc>
      </w:tr>
      <w:tr>
        <w:tc>
          <w:tcPr>
            <w:tcW w:type="dxa" w:w="2126"/>
            <w:vAlign w:val="center"/>
          </w:tcPr>
          <w:p>
            <w:pPr>
              <w:spacing w:line="240" w:lineRule="auto" w:after="20" w:before="20"/>
              <w:jc w:val="left"/>
            </w:pPr>
            <w:r/>
            <w:r>
              <w:rPr>
                <w:rFonts w:ascii="宋体" w:hAnsi="宋体" w:eastAsia="宋体"/>
                <w:sz w:val="18"/>
              </w:rPr>
              <w:t>认知—能力障碍</w:t>
            </w:r>
          </w:p>
        </w:tc>
        <w:tc>
          <w:tcPr>
            <w:tcW w:type="dxa" w:w="2126"/>
            <w:vAlign w:val="center"/>
          </w:tcPr>
          <w:p>
            <w:pPr>
              <w:spacing w:line="240" w:lineRule="auto" w:after="20" w:before="20"/>
              <w:jc w:val="center"/>
            </w:pPr>
            <w:r/>
            <w:r>
              <w:rPr>
                <w:rFonts w:ascii="宋体" w:hAnsi="宋体" w:eastAsia="宋体"/>
                <w:sz w:val="18"/>
              </w:rPr>
              <w:t>98</w:t>
            </w:r>
          </w:p>
        </w:tc>
        <w:tc>
          <w:tcPr>
            <w:tcW w:type="dxa" w:w="2126"/>
            <w:vAlign w:val="center"/>
          </w:tcPr>
          <w:p>
            <w:pPr>
              <w:spacing w:line="240" w:lineRule="auto" w:after="20" w:before="20"/>
              <w:jc w:val="left"/>
            </w:pPr>
            <w:r/>
            <w:r>
              <w:rPr>
                <w:rFonts w:ascii="宋体" w:hAnsi="宋体" w:eastAsia="宋体"/>
                <w:sz w:val="18"/>
              </w:rPr>
              <w:t>专业人才短缺；中小企业能力洼地；培训供给不足</w:t>
            </w:r>
          </w:p>
        </w:tc>
        <w:tc>
          <w:tcPr>
            <w:tcW w:type="dxa" w:w="2126"/>
            <w:vAlign w:val="center"/>
          </w:tcPr>
          <w:p>
            <w:pPr>
              <w:spacing w:line="240" w:lineRule="auto" w:after="20" w:before="20"/>
              <w:jc w:val="left"/>
            </w:pPr>
            <w:r/>
            <w:r>
              <w:rPr>
                <w:rFonts w:ascii="宋体" w:hAnsi="宋体" w:eastAsia="宋体"/>
                <w:sz w:val="18"/>
              </w:rPr>
              <w:t>“厂里没有专职碳管理员，CBAM的申报表是财务兼着填的，术语都要现查。”（F-09）</w:t>
            </w:r>
          </w:p>
        </w:tc>
      </w:tr>
      <w:tr>
        <w:tc>
          <w:tcPr>
            <w:tcW w:type="dxa" w:w="2126"/>
            <w:vAlign w:val="center"/>
          </w:tcPr>
          <w:p>
            <w:pPr>
              <w:spacing w:line="240" w:lineRule="auto" w:after="20" w:before="20"/>
              <w:jc w:val="left"/>
            </w:pPr>
            <w:r/>
            <w:r>
              <w:rPr>
                <w:rFonts w:ascii="宋体" w:hAnsi="宋体" w:eastAsia="宋体"/>
                <w:sz w:val="18"/>
              </w:rPr>
              <w:t>话语权障碍</w:t>
            </w:r>
          </w:p>
        </w:tc>
        <w:tc>
          <w:tcPr>
            <w:tcW w:type="dxa" w:w="2126"/>
            <w:vAlign w:val="center"/>
          </w:tcPr>
          <w:p>
            <w:pPr>
              <w:spacing w:line="240" w:lineRule="auto" w:after="20" w:before="20"/>
              <w:jc w:val="center"/>
            </w:pPr>
            <w:r/>
            <w:r>
              <w:rPr>
                <w:rFonts w:ascii="宋体" w:hAnsi="宋体" w:eastAsia="宋体"/>
                <w:sz w:val="18"/>
              </w:rPr>
              <w:t>87</w:t>
            </w:r>
          </w:p>
        </w:tc>
        <w:tc>
          <w:tcPr>
            <w:tcW w:type="dxa" w:w="2126"/>
            <w:vAlign w:val="center"/>
          </w:tcPr>
          <w:p>
            <w:pPr>
              <w:spacing w:line="240" w:lineRule="auto" w:after="20" w:before="20"/>
              <w:jc w:val="left"/>
            </w:pPr>
            <w:r/>
            <w:r>
              <w:rPr>
                <w:rFonts w:ascii="宋体" w:hAnsi="宋体" w:eastAsia="宋体"/>
                <w:sz w:val="18"/>
              </w:rPr>
              <w:t>国际标准化参与不足；提案能力薄弱；互认谈判被动</w:t>
            </w:r>
          </w:p>
        </w:tc>
        <w:tc>
          <w:tcPr>
            <w:tcW w:type="dxa" w:w="2126"/>
            <w:vAlign w:val="center"/>
          </w:tcPr>
          <w:p>
            <w:pPr>
              <w:spacing w:line="240" w:lineRule="auto" w:after="20" w:before="20"/>
              <w:jc w:val="left"/>
            </w:pPr>
            <w:r/>
            <w:r>
              <w:rPr>
                <w:rFonts w:ascii="宋体" w:hAnsi="宋体" w:eastAsia="宋体"/>
                <w:sz w:val="18"/>
              </w:rPr>
              <w:t>“等文本定稿了再提意见，人家说流程已经走完了。”（S-03）</w:t>
            </w:r>
          </w:p>
        </w:tc>
      </w:tr>
    </w:tbl>
    <w:p>
      <w:pPr>
        <w:spacing w:after="200" w:line="240" w:lineRule="auto"/>
      </w:pPr>
      <w:r>
        <w:rPr>
          <w:rFonts w:ascii="宋体" w:hAnsi="宋体" w:eastAsia="宋体"/>
          <w:sz w:val="18"/>
        </w:rPr>
        <w:t>注：参考点频次为NVivo 14中各核心范畴下辖初始概念关联的原始语句编码数，四范畴合计463条；典型语句经受访者同意引用并作匿名化处理。数据来源：本书扎根理论编码结果。</w:t>
      </w:r>
    </w:p>
    <w:p>
      <w:pPr>
        <w:spacing w:line="360" w:lineRule="auto" w:after="0"/>
        <w:ind w:firstLineChars="200" w:firstLine="480"/>
        <w:jc w:val="both"/>
      </w:pPr>
      <w:r>
        <w:rPr>
          <w:rFonts w:ascii="宋体" w:hAnsi="宋体" w:eastAsia="宋体"/>
          <w:sz w:val="24"/>
        </w:rPr>
        <w:t>表13.3的四个范畴之间并非并列关系，而是存在清晰的层级递进逻辑。数据基础障碍是“地基层”障碍，制约核算行为本身能否发生；认知—能力障碍是“操作层”障碍，制约核算能否规范、持续地进行；制度衔接障碍是“接口层”障碍，制约合规结果能否跨体系兑现；话语权障碍是“规则层”障碍，制约中国能否参与决定接口的形状。四层障碍环环相扣：地基不牢则操作无从谈起，操作不规范则接口无物可接，接口不通则话语权失去经验支撑——反过来，话语权的提升又能重塑接口规则、降低下游三层的障碍强度。这一层级结构直接催生了本章的理论模型。</w:t>
      </w:r>
    </w:p>
    <w:p>
      <w:pPr>
        <w:keepNext/>
        <w:spacing w:before="160" w:after="120" w:line="360" w:lineRule="auto"/>
        <w:outlineLvl w:val="2"/>
      </w:pPr>
      <w:r>
        <w:rPr>
          <w:rFonts w:ascii="黑体" w:hAnsi="黑体" w:eastAsia="黑体"/>
          <w:sz w:val="24"/>
        </w:rPr>
        <w:t>13.5.3  “数据基础→核算能力→认证互认→话语权提升”四阶提升路径模型</w:t>
      </w:r>
    </w:p>
    <w:p>
      <w:pPr>
        <w:spacing w:line="360" w:lineRule="auto" w:after="0"/>
        <w:ind w:firstLineChars="200" w:firstLine="480"/>
        <w:jc w:val="both"/>
      </w:pPr>
      <w:r>
        <w:rPr>
          <w:rFonts w:ascii="宋体" w:hAnsi="宋体" w:eastAsia="宋体"/>
          <w:sz w:val="24"/>
        </w:rPr>
        <w:t>选择性编码的故事线整合形成四阶提升路径模型：中国绿色低碳标准体系国际适配性的提升，遵循“数据基础→核算能力→认证互认→话语权提升”的阶梯式演进逻辑。第一阶数据基础，指建设权威的本土排放因子数据库、完备的企业计量体系与可信的数据管理链条，这是全部后续环节的物理前提；第二阶核算能力，指企业与核查机构按与国际可比的方法学规范、持续地完成核算与报告，将数据转化为合格的核算结果；第三阶认证互认，指国内核算与核查结果经由标准等效性评估、核查机构资质互认与碳价机制衔接，获得国际体系的采信，使合规投入实现跨市场兑现；第四阶话语权提升，指以前三阶积累的数据、方法与实践为支撑，实质性参与国际标准的制定与修订，从规则接受者转变为规则共同书写者。四阶之间是严格的递进关系：前一阶是后一阶的必要条件，跨阶跃进缺乏支撑——没有可信数据的核算是空转，没有规范核算的互认无从谈起，没有互认实践支撑的国际提案缺乏说服力。</w:t>
      </w:r>
    </w:p>
    <w:p>
      <w:pPr>
        <w:spacing w:line="360" w:lineRule="auto" w:after="0"/>
        <w:ind w:firstLineChars="200" w:firstLine="480"/>
        <w:jc w:val="both"/>
      </w:pPr>
      <w:r>
        <w:rPr>
          <w:rFonts w:ascii="宋体" w:hAnsi="宋体" w:eastAsia="宋体"/>
          <w:sz w:val="24"/>
        </w:rPr>
        <w:t>模型的动态含义有三。其一，障碍与阶位的对应：四个核心范畴恰好构成四阶的主要堵点——数据基础障碍卡第一阶，认知—能力障碍卡第二阶，制度衔接障碍卡第三阶，话语权障碍卡第四阶。堵点频次沿阶位呈“双峰”分布：第一阶堵点参考点最多（146条）、第四阶最少（87条），表明行业整体仍集中于低阶位攻坚；而第三阶堵点频次（132条）反超第二阶（98条），则提示头部企业已越过核算能力关口、正集中遭遇互认之墙，两类企业在阶梯上的位置差正在拉大。其二，行业阶位的异质性：跨案例比较显示化肥大体处于第一、二阶之间，铝处于第二、三阶之间的互认关口，钢铁的头部企业已触及第三阶并开始积累第四阶的谈判筹码；政策供给因此需要按行业阶位差异化配置——对化肥以公共服务式能力建设为主，对铝以绿电认定与因子权威化为主，对钢铁以核查互认与碳价衔接谈判为主。其三，政府与市场角色的阶位转换：低阶位上政府的直接供给（因子库、计量检定、培训体系）作用最大，高阶位上则须转向政府搭台、行业与企业出场的协同模式——国际标准化的提案与谈判最终要靠掌握数据与实践的产业界专家完成。这一模型与标准化研究中“基础设施先行、话语权后至”的一般规律相符（Tassey，2000；Blind，2004），也为第14章政策建议中“国际侧提话语权”支柱提供了机理依据。</w:t>
      </w:r>
    </w:p>
    <w:p>
      <w:pPr>
        <w:keepNext/>
        <w:spacing w:before="160" w:after="120" w:line="360" w:lineRule="auto"/>
        <w:outlineLvl w:val="1"/>
      </w:pPr>
      <w:r>
        <w:rPr>
          <w:rFonts w:ascii="黑体" w:hAnsi="黑体" w:eastAsia="黑体"/>
          <w:sz w:val="28"/>
        </w:rPr>
        <w:t>13.6  质性发现与定量结果的三角验证</w:t>
      </w:r>
    </w:p>
    <w:p>
      <w:pPr>
        <w:spacing w:line="360" w:lineRule="auto" w:after="0"/>
        <w:ind w:firstLineChars="200" w:firstLine="480"/>
        <w:jc w:val="both"/>
      </w:pPr>
      <w:r>
        <w:rPr>
          <w:rFonts w:ascii="宋体" w:hAnsi="宋体" w:eastAsia="宋体"/>
          <w:sz w:val="24"/>
        </w:rPr>
        <w:t>方法三角验证的要义，是以不同方法、不同来源的证据检验同一结论的稳健性：若质性与定量证据在相互独立的生成过程中收敛于一致判断，则结论的可信度显著增强；若出现分歧，则分歧本身构成新的研究线索。本节从维度对应、行业排序与时间演化三个层面，将本章扎根理论发现与第12章ISGI-CIAI测算结果进行系统互证。</w:t>
      </w:r>
    </w:p>
    <w:p>
      <w:pPr>
        <w:spacing w:line="360" w:lineRule="auto" w:after="0"/>
        <w:ind w:firstLineChars="200" w:firstLine="480"/>
        <w:jc w:val="both"/>
      </w:pPr>
      <w:r>
        <w:rPr>
          <w:rFonts w:ascii="宋体" w:hAnsi="宋体" w:eastAsia="宋体"/>
          <w:sz w:val="24"/>
        </w:rPr>
        <w:t>第一层互证是障碍范畴与差距维度的对应。第12章八维度ISGI测算显示，差距最大的两个维度是市场衔接（0.44）与第三方核查（0.42），恰与本章频次居前的制度衔接障碍（132条参考点）的两大主轴范畴——碳价衔接不畅与核查互认缺失——精确对应；差距居中的排放因子（0.35）与数据质量（0.31）两维度，对应频次最高的数据基础障碍（146条）；生命周期范围维度（0.38）的差距，在访谈中表现为企业对产品层面全生命周期核算的方法与人才储备不足，归入认知—能力障碍（98条）；而差距最小的核算边界（0.22）与行业覆盖（0.18）两维度，在访谈中同样极少被作为主要困难提及——受访者普遍认可国内核算标准在边界界定与行业覆盖上“文本不差”。定量差距的维度排序与质性表述的密度排序双向吻合，构成较强的收敛效度证据。</w:t>
      </w:r>
    </w:p>
    <w:p>
      <w:pPr>
        <w:spacing w:line="360" w:lineRule="auto" w:after="0"/>
        <w:ind w:firstLineChars="200" w:firstLine="480"/>
        <w:jc w:val="both"/>
      </w:pPr>
      <w:r>
        <w:rPr>
          <w:rFonts w:ascii="宋体" w:hAnsi="宋体" w:eastAsia="宋体"/>
          <w:sz w:val="24"/>
        </w:rPr>
        <w:t>第二层互证是行业层面的排序一致。第12章测得钢铁、铝、化肥的ISGI分别为0.34、0.37与0.40，CIAI分别为0.61、0.58与0.55；本章案例研究独立得出的行业阶位判断——钢铁最接近互认关口、铝居中、化肥仍在夯实数据地基——与之完全同序。尤须指出，两组证据的生成过程互不沾染：ISGI由专家逐维评分与指数合成得出，案例阶位由访谈资料编码归纳得出，同序性因而不是同义反复。此外，第12章情景模拟显示适配改进可使碳关税负担较基准情景下降约43%，行业产出损失近乎减半（如钢铁由0.86%收窄至0.42%、铝由1.24%收窄至0.61%）；本章访谈中企业对“无效合规”的抱怨从反面印证了同一机理——适配改进的经济价值，正在于使企业既有合规投入获得跨体系兑现。</w:t>
      </w:r>
    </w:p>
    <w:p>
      <w:pPr>
        <w:spacing w:line="360" w:lineRule="auto" w:after="0"/>
        <w:ind w:firstLineChars="200" w:firstLine="480"/>
        <w:jc w:val="both"/>
      </w:pPr>
      <w:r>
        <w:rPr>
          <w:rFonts w:ascii="宋体" w:hAnsi="宋体" w:eastAsia="宋体"/>
          <w:sz w:val="24"/>
        </w:rPr>
        <w:t>第三层互证是时间维度上的感知与政策同步。访谈跨越CBAM过渡期与正式实施前夜，受访者对政策环境改善的感知——碳足迹通则国标出台、电力碳足迹因子首发、碳市场扩围、CCER重启——与第4章标准供给加速、第8章错配指数收敛的量化趋势一致；受访者对2026年正式付费的成本预期，也与第12章基准情景的负担测算量级相符。三层互证之外，质性研究还贡献了定量测度无法给出的两点增量认识：其一，频次与深度的倒序关系提示，ISGI各维度差距的“可压缩性”不同——数据类差距可由投入快速压缩，话语权类差距则受制于国际博弈的时间结构，评估体系宜引入“差距黏性”的概念加以区分；其二，障碍之间的层级递进关系意味着维度差距不宜等权看待，上游规则维度的改善对下游维度具有乘数效应。综合而言，质性与定量证据相互支持、彼此补充，国际适配性评估的总体结论具备跨方法的稳健性。</w:t>
      </w:r>
    </w:p>
    <w:p>
      <w:pPr>
        <w:keepNext/>
        <w:spacing w:before="160" w:after="120" w:line="360" w:lineRule="auto"/>
        <w:outlineLvl w:val="1"/>
      </w:pPr>
      <w:r>
        <w:rPr>
          <w:rFonts w:ascii="黑体" w:hAnsi="黑体" w:eastAsia="黑体"/>
          <w:sz w:val="28"/>
        </w:rPr>
        <w:t>13.7  本章小结</w:t>
      </w:r>
    </w:p>
    <w:p>
      <w:pPr>
        <w:spacing w:line="360" w:lineRule="auto" w:after="0"/>
        <w:ind w:firstLineChars="200" w:firstLine="480"/>
        <w:jc w:val="both"/>
      </w:pPr>
      <w:r>
        <w:rPr>
          <w:rFonts w:ascii="宋体" w:hAnsi="宋体" w:eastAsia="宋体"/>
          <w:sz w:val="24"/>
        </w:rPr>
        <w:t>本章以“宏观制度比较+微观案例研究”的双重质性设计，完成了适配性评估模块的机理解释任务。在宏观层面，基于Aoki，2001的比较制度分析框架，本章从体系架构、覆盖范围、技术严格程度与制度机制四个维度系统比较了中国、欧盟与ISO三大标准体系，识别出三种制度逻辑——欧盟的“立法驱动+碳市场锚定”、ISO的“共识驱动+方法论供给”与中国的“政府主导+层级推进”。比较的核心结论是：三体系各为互补性耦合的制度生态，中国体系的国际适配短板呈结构性分布——文本层面追赶迅速，而市场衔接与第三方核查等制度机制层面差距最大；孤立移植国际条款而缺乏碳价传导与核查生态支撑，难以真正缩小差距。</w:t>
      </w:r>
    </w:p>
    <w:p>
      <w:pPr>
        <w:spacing w:line="360" w:lineRule="auto" w:after="0"/>
        <w:ind w:firstLineChars="200" w:firstLine="480"/>
        <w:jc w:val="both"/>
      </w:pPr>
      <w:r>
        <w:rPr>
          <w:rFonts w:ascii="宋体" w:hAnsi="宋体" w:eastAsia="宋体"/>
          <w:sz w:val="24"/>
        </w:rPr>
        <w:t>在微观层面，本章对钢铁、铝、化肥三行业49位受访者的深度访谈实施经典扎根理论分析，经开放式、主轴与选择性三阶段编码，从412条初始概念中提炼出23个主轴范畴与4个核心范畴：数据基础障碍（146条参考点）、制度衔接障碍（132条）、认知—能力障碍（98条）与话语权障碍（87条）。四个范畴呈地基层—操作层—接口层—规则层的层级递进结构，据此归纳的“数据基础→核算能力→认证互认→话语权提升”四阶提升路径模型表明：适配性提升是不可跨阶跃进的阶梯过程，前一阶是后一阶的必要条件；三个案例行业恰好占据不同阶位——化肥在夯实数据地基、铝在攻互认关口、钢铁已逼近话语权门槛——政策供给应按阶位差异化配置。</w:t>
      </w:r>
    </w:p>
    <w:p>
      <w:pPr>
        <w:spacing w:line="360" w:lineRule="auto" w:after="0"/>
        <w:ind w:firstLineChars="200" w:firstLine="480"/>
        <w:jc w:val="both"/>
      </w:pPr>
      <w:r>
        <w:rPr>
          <w:rFonts w:ascii="宋体" w:hAnsi="宋体" w:eastAsia="宋体"/>
          <w:sz w:val="24"/>
        </w:rPr>
        <w:t>本章质性发现与第12章定量结果在维度对应、行业排序与时间演化三个层面实现了系统的三角验证：ISGI差距最大的市场衔接与第三方核查维度，正是访谈中制度衔接障碍的高频指向；行业ISGI与案例阶位判断完全同序；质性研究进一步贡献了“差距黏性”与“上游维度乘数效应”两点增量认识。至此，本书适配性评估模块的三章形成完整闭环：第11章测出对内执行效率的损耗及其来源，第12章测出对外标准差距的大小及其贸易后果，本章则解释了差距的制度成因与微观形成机制，并给出缩小差距的路径次序。三方面结论共同指向的政策含义——供给侧补数据与因子短板、执行侧强核查与激励、国际侧循阶梯提升话语权——将在第14章与全书其他发现一并整合为系统的政策建议。</w:t>
      </w:r>
    </w:p>
    <w:p>
      <w:r>
        <w:br w:type="page"/>
      </w:r>
    </w:p>
    <w:p>
      <w:pPr>
        <w:keepNext/>
        <w:spacing w:before="240" w:after="160" w:line="360" w:lineRule="auto"/>
        <w:jc w:val="center"/>
        <w:outlineLvl w:val="0"/>
      </w:pPr>
      <w:r>
        <w:rPr>
          <w:rFonts w:ascii="黑体" w:hAnsi="黑体" w:eastAsia="黑体"/>
          <w:b/>
          <w:sz w:val="30"/>
        </w:rPr>
        <w:t>第14章  研究结论、政策建议与研究展望</w:t>
      </w:r>
    </w:p>
    <w:p>
      <w:pPr>
        <w:spacing w:line="360" w:lineRule="auto" w:after="0"/>
        <w:ind w:firstLineChars="200" w:firstLine="480"/>
        <w:jc w:val="both"/>
      </w:pPr>
      <w:r>
        <w:rPr>
          <w:rFonts w:ascii="宋体" w:hAnsi="宋体" w:eastAsia="宋体"/>
          <w:sz w:val="24"/>
        </w:rPr>
        <w:t>本书以“‘双碳’目标下如何构建国际认可的中国绿色低碳标准体系”为核心命题，沿“动态演化机理—体系构建—适配性评估”三位一体的研究主线展开：第3—7章以历史事实与三个机理模型厘清了标准体系演化的驱动结构、互馈机制与多主体策略互动规律；第8—10章在识别供需错配的基础上完成了五大功能模块、四个标准层级的体系架构设计与动态更新机制安排；第11—13章从对内政策适配与对外国际适配双重维度量化了体系的执行效率、国际差距及其贸易经济后果，并以比较制度分析与扎根理论案例给出了质性佐证。至此，导论提出的三个科学问题——机制厘清、体系设计与效果评估——均已获得系统回答，剩下的任务是收束与转化：把分散在各章的模型证据凝练为可陈述、可核对的研究结论，把评估发现的短板与差距转化为可操作、可落地的政策安排。</w:t>
      </w:r>
    </w:p>
    <w:p>
      <w:pPr>
        <w:spacing w:line="360" w:lineRule="auto" w:after="0"/>
        <w:ind w:firstLineChars="200" w:firstLine="480"/>
        <w:jc w:val="both"/>
      </w:pPr>
      <w:r>
        <w:rPr>
          <w:rFonts w:ascii="宋体" w:hAnsi="宋体" w:eastAsia="宋体"/>
          <w:sz w:val="24"/>
        </w:rPr>
        <w:t>本章据此安排如下：14.1节按三大模块系统归纳九条主要研究结论，每条结论均以书中具体测算数字为凭；14.2节面向“十五五”时期，从供给侧、执行侧、国际侧三大支柱提出与评估结果一一对应的政策建议，并以图14.1与表14.1呈现政策体系框架及结论—建议对应关系；14.3节总结本书在理论、方法与实践三个层面的边际贡献；14.4节讨论研究局限与未来研究方向；14.5节以简短结语收束全书。</w:t>
      </w:r>
    </w:p>
    <w:p>
      <w:pPr>
        <w:keepNext/>
        <w:spacing w:before="160" w:after="120" w:line="360" w:lineRule="auto"/>
        <w:outlineLvl w:val="1"/>
      </w:pPr>
      <w:r>
        <w:rPr>
          <w:rFonts w:ascii="黑体" w:hAnsi="黑体" w:eastAsia="黑体"/>
          <w:sz w:val="28"/>
        </w:rPr>
        <w:t>14.1  主要研究结论</w:t>
      </w:r>
    </w:p>
    <w:p>
      <w:pPr>
        <w:spacing w:line="360" w:lineRule="auto" w:after="0"/>
        <w:ind w:firstLineChars="200" w:firstLine="480"/>
        <w:jc w:val="both"/>
      </w:pPr>
      <w:r>
        <w:rPr>
          <w:rFonts w:ascii="宋体" w:hAnsi="宋体" w:eastAsia="宋体"/>
          <w:sz w:val="24"/>
        </w:rPr>
        <w:t>本书的研究结论按“演化机理—体系构建—适配评估”三大模块归纳为九条。归纳遵循三条原则：一是以模型证据为据，每条结论均对应明确的模型估计或仿真结果；二是以具体数字为凭，避免停留于方向性判断；三是以政策含义为归，说明该结论指向何种政策操作空间。九条结论共同支撑一个总判断：中国绿色低碳标准体系已完成从“数量扩张”向“体系化建设”的转段，但结构性短板与国际适配差距使其对“双碳”目标的支撑效能仍有约四分之一的提升空间，补短板、强激励、提话语权是“十五五”时期的三大主攻方向。</w:t>
      </w:r>
    </w:p>
    <w:p>
      <w:pPr>
        <w:keepNext/>
        <w:spacing w:before="160" w:after="120" w:line="360" w:lineRule="auto"/>
        <w:outlineLvl w:val="2"/>
      </w:pPr>
      <w:r>
        <w:rPr>
          <w:rFonts w:ascii="黑体" w:hAnsi="黑体" w:eastAsia="黑体"/>
          <w:sz w:val="24"/>
        </w:rPr>
        <w:t>14.1.1  关于动态演化机理的研究结论</w:t>
      </w:r>
    </w:p>
    <w:p>
      <w:pPr>
        <w:spacing w:line="360" w:lineRule="auto" w:after="0"/>
        <w:ind w:firstLineChars="200" w:firstLine="480"/>
        <w:jc w:val="both"/>
      </w:pPr>
      <w:r>
        <w:rPr>
          <w:rFonts w:ascii="宋体" w:hAnsi="宋体" w:eastAsia="宋体"/>
          <w:b/>
          <w:sz w:val="24"/>
        </w:rPr>
        <w:t>结论一：标准体系演化的驱动结构已由“政策独大”转向“政策主导、三力协同”，技术拉力与市场调节力的贡献持续上升。</w:t>
      </w:r>
      <w:r>
        <w:rPr>
          <w:rFonts w:ascii="宋体" w:hAnsi="宋体" w:eastAsia="宋体"/>
          <w:sz w:val="24"/>
        </w:rPr>
        <w:t>状态空间模型的时变贡献分解显示，政策推力对标准体系演化的贡献份额由1993—2003年的62.0%降至2004—2019年的48.0%，2020—2025年进一步降至41.0%；同期技术拉力的贡献由21.0%升至33.0%，市场调节力由17.0%升至26.0%。驱动传导矩阵的估计结果进一步揭示了三力作用的结构性分工：碳交易机制对碳排放核算标准与绿色金融标准的传导系数分别为0.150与0.100，居各驱动渠道前列；CBAM冲击对碳足迹认证标准的传导系数达0.140，是外压驱动的最强通道；技术进步对绿色产品标准的传导系数为0.090，碳排放双控制度对碳吸收标准的传导系数为0.080。技术—制度协同演进模型印证了这一转换：“双碳”目标提出后，技术促制度的互馈系数α由0.021升至0.058（增至约2.8倍），制度促技术的互馈系数β由0.018升至0.049，摩擦阻尼γ由0.35降至0.28，技术驱动权重ω由0.42升至0.55。这表明“双碳”目标是中国标准体系演化的分水岭：此前政策以行政推动为主、技术与市场被动跟随，此后三重驱动力进入互激互促的协同区间，标准化战略由政府单轮驱动转向政府、技术、市场三轮驱动（孙亮等，2022；舒辉和唐飞，2023）。</w:t>
      </w:r>
    </w:p>
    <w:p>
      <w:pPr>
        <w:spacing w:line="360" w:lineRule="auto" w:after="0"/>
        <w:ind w:firstLineChars="200" w:firstLine="480"/>
        <w:jc w:val="both"/>
      </w:pPr>
      <w:r>
        <w:rPr>
          <w:rFonts w:ascii="宋体" w:hAnsi="宋体" w:eastAsia="宋体"/>
          <w:b/>
          <w:sz w:val="24"/>
        </w:rPr>
        <w:t>结论二：五类标准之间呈“核算枢纽、梯次带动、局部替代”的互补替代格局，碳排放核算标准是整个体系的公共投入品。</w:t>
      </w:r>
      <w:r>
        <w:rPr>
          <w:rFonts w:ascii="宋体" w:hAnsi="宋体" w:eastAsia="宋体"/>
          <w:sz w:val="24"/>
        </w:rPr>
        <w:t>标准间交互矩阵A的估计结果显示，五类标准的对角元素介于-0.15至-0.24之间，均显著为负，表明各类标准自身存在收敛于稳态的自我调节机制；非对角元素则刻画出清晰的枢纽结构：碳排放核算标准对碳足迹认证、绿色产品、绿色金融与碳吸收标准的带动系数分别为0.12、0.08、0.06与0.05，是唯一对其余四类标准均产生正向溢出的类别；碳足迹认证对绿色金融的带动系数为0.07，构成“核算—认证—金融”的梯次传导链条；绿色产品标准对碳足迹认证的系数为-0.05，呈现弱替代关系，反映绿色产品评价与碳足迹认证在功能上的部分重叠。这一格局的政策含义十分明确：核算标准是其他标准赖以运转的方法学基础设施，具有典型的公共投入品属性，优先补齐核算标准可以通过互补链条产生乘数式带动效应，这正是本书将协同互补列为体系构建第一原则的实证基础，也与标准化经济学关于兼容性标准网络外部性的经典结论一致（Katz和Shapiro，1985；Blind，2004）。</w:t>
      </w:r>
    </w:p>
    <w:p>
      <w:pPr>
        <w:spacing w:line="360" w:lineRule="auto" w:after="0"/>
        <w:ind w:firstLineChars="200" w:firstLine="480"/>
        <w:jc w:val="both"/>
      </w:pPr>
      <w:r>
        <w:rPr>
          <w:rFonts w:ascii="宋体" w:hAnsi="宋体" w:eastAsia="宋体"/>
          <w:b/>
          <w:sz w:val="24"/>
        </w:rPr>
        <w:t>结论三：标准体系由“跟跑”均衡向“领跑”均衡的跃迁存在明确的参数门槛，国际激励是撬动跃迁的关键杠杆。</w:t>
      </w:r>
      <w:r>
        <w:rPr>
          <w:rFonts w:ascii="宋体" w:hAnsi="宋体" w:eastAsia="宋体"/>
          <w:sz w:val="24"/>
        </w:rPr>
        <w:t>三方演化博弈的均衡分析表明，企业积极响应的临界条件随国际组织接纳概率的提高而大幅放松：当国际组织完全排斥时，碳关税减免ΔT与竞争力提升ΔM之和须超过4.8才能诱致企业转向积极响应；而当国际组织完全接纳时，该临界值降至0.4，两者相差达12倍，说明跃迁具有强烈的协调性与路径依赖特征。数值模拟显示：基准参数下（ΔT+ΔM=1.6），系统收敛于“被动跟跑”均衡，政府强制推行概率趋于0.962、企业响应与国际接纳概率均趋于0，收敛约需13期（一期约半年）；将国际激励提高至ΔT+ΔM=4.5后，系统在约17期内跃迁至“主动领跑”均衡（企业积极响应与国际接纳概率均趋于1），政府策略同步由强制推行转向激励引导；在此基础上将补贴提高至1.2，跃迁进一步加快至约16期。政府策略转换的临界企业响应率约为0.286，即当近三成企业主动达标时，激励引导即优于强制推行。这一结论把中国标准化战略从“对内建体系”拓展到“对外争互认”：单纯依靠国内补贴难以触发跃迁，唯有通过国际谈判提高ΔT、通过绿色竞争力建设提高ΔM，才能以最小成本推动体系跃迁（庄贵阳和王思博，2023；侯俊军等，2025）。</w:t>
      </w:r>
    </w:p>
    <w:p>
      <w:pPr>
        <w:keepNext/>
        <w:spacing w:before="160" w:after="120" w:line="360" w:lineRule="auto"/>
        <w:outlineLvl w:val="2"/>
      </w:pPr>
      <w:r>
        <w:rPr>
          <w:rFonts w:ascii="黑体" w:hAnsi="黑体" w:eastAsia="黑体"/>
          <w:sz w:val="24"/>
        </w:rPr>
        <w:t>14.1.2  关于体系构建的研究结论</w:t>
      </w:r>
    </w:p>
    <w:p>
      <w:pPr>
        <w:spacing w:line="360" w:lineRule="auto" w:after="0"/>
        <w:ind w:firstLineChars="200" w:firstLine="480"/>
        <w:jc w:val="both"/>
      </w:pPr>
      <w:r>
        <w:rPr>
          <w:rFonts w:ascii="宋体" w:hAnsi="宋体" w:eastAsia="宋体"/>
          <w:b/>
          <w:sz w:val="24"/>
        </w:rPr>
        <w:t>结论四：标准供需呈“总量收敛、结构失衡”的错配格局，碳吸收端与市场机制类标准是最突出的结构性短板。</w:t>
      </w:r>
      <w:r>
        <w:rPr>
          <w:rFonts w:ascii="宋体" w:hAnsi="宋体" w:eastAsia="宋体"/>
          <w:sz w:val="24"/>
        </w:rPr>
        <w:t>SSDMI测算显示，八大高碳行业加权综合错配指数由2015年的0.51降至2020年的0.44与2025年的0.35，短缺性错配总体收敛，但仍处于三分之一强的高位。分模块看，2025年碳吸收类标准的供需缺口高达0.58，碳足迹认证与绿色金融类分别为0.41与0.37，碳排放核算类为0.29，绿色产品类仅0.18——存量结构印证了这一失衡：截至2025年，绿色低碳标准条目合计约4700项，其中国家标准中碳核算类仅占8.3%、碳吸收类仅占6.1%，而绿色产品类占35.2%。分行业看，2025年铝冶炼（0.45）、钢铁（0.42）、化肥（0.41）错配最重，恰与CBAM首批覆盖行业高度重合；电力行业因碳市场先行覆盖而降至0.28，纺织最低为0.22。需求驱动因素的面板回归表明，碳排放系数（0.284）、CBAM压力（0.208）、绿色转型进程（0.196）与减排约束（0.152）均显著推高标准需求，模型解释力达0.71。这意味着标准供给若继续沿存量惯性配置资源，错配将随需求端加速而重新扩大，供给结构必须向需求缺口最大的碳吸收端与市场机制类倾斜（石明娟等，2022；蓝虹和杜彦霖，2024）。</w:t>
      </w:r>
    </w:p>
    <w:p>
      <w:pPr>
        <w:spacing w:line="360" w:lineRule="auto" w:after="0"/>
        <w:ind w:firstLineChars="200" w:firstLine="480"/>
        <w:jc w:val="both"/>
      </w:pPr>
      <w:r>
        <w:rPr>
          <w:rFonts w:ascii="宋体" w:hAnsi="宋体" w:eastAsia="宋体"/>
          <w:b/>
          <w:sz w:val="24"/>
        </w:rPr>
        <w:t>结论五：“五大功能模块×四个标准层级”的总体架构与AHP权重排序，为标准建设资源配置提供了系统方案，权重与存量的“倒挂”指明补短板方向。</w:t>
      </w:r>
      <w:r>
        <w:rPr>
          <w:rFonts w:ascii="宋体" w:hAnsi="宋体" w:eastAsia="宋体"/>
          <w:sz w:val="24"/>
        </w:rPr>
        <w:t>基于三个机理模型分别提炼的协同互补、动态适应、多元协调三项构建原则，本书设计了覆盖碳排放核算、碳足迹认证、绿色产品、碳吸收、绿色金融五大功能模块，纵贯国家、行业、地方、团体四个层级，并预留国际衔接接口的体系总体架构。26位专家经两轮德尔菲咨询（Kendall协调系数0.73）的AHP测算显示：准则层中碳减排贡献度权重0.462、产业转型促进度0.301、国际衔接兼容度0.237（一致性比率0.032）；方案层中碳排放核算模块权重0.286居首，碳足迹认证0.223次之，碳吸收0.186第三，绿色产品0.164与绿色金融0.141居后（一致性比率0.047）。值得强调的是权重与存量的倒挂：存量占比最高的绿色产品类（35.2%）权重仅列第四，而存量占比最低的碳吸收类（6.1%）权重升至第三，碳排放核算类以8.3%的存量占比承载0.286的权重。这一倒挂正是“十五五”标准制修订资源应当重新配置的量化依据，也与《碳达峰碳中和标准体系建设指南》确立的体系化建设方向相呼应（孙亮等，2022；国家标准化管理委员会等，2023）。</w:t>
      </w:r>
    </w:p>
    <w:p>
      <w:pPr>
        <w:spacing w:line="360" w:lineRule="auto" w:after="0"/>
        <w:ind w:firstLineChars="200" w:firstLine="480"/>
        <w:jc w:val="both"/>
      </w:pPr>
      <w:r>
        <w:rPr>
          <w:rFonts w:ascii="宋体" w:hAnsi="宋体" w:eastAsia="宋体"/>
          <w:sz w:val="24"/>
        </w:rPr>
        <w:t>*</w:t>
      </w:r>
      <w:r>
        <w:rPr>
          <w:rFonts w:ascii="宋体" w:hAnsi="宋体" w:eastAsia="宋体"/>
          <w:i/>
          <w:sz w:val="24"/>
        </w:rPr>
        <w:t>结论六：标准体系存在“过频修订”与“迟滞修订”双重损失，技术—政策偏离度触发阈值TPD</w:t>
      </w:r>
      <w:r>
        <w:rPr>
          <w:rFonts w:ascii="宋体" w:hAnsi="宋体" w:eastAsia="宋体"/>
          <w:sz w:val="24"/>
        </w:rPr>
        <w:t>=0.30是动态更新的最优操作点。**系统动力学仿真显示，体系综合效能随更新触发阈值呈倒U形变化：阈值取0.20时因修订过频、预期不稳而效能仅0.71，取0.40时因标准迟滞于技术前沿而效能降至0.72，唯有取0.30时效能达到峰值0.84。以该阈值嵌入更新机制的三情景仿真进一步表明：协同推进情景下2035年标准存量达3420项、体系效能升至0.83；基准情景分别为2850项与0.71；更新滞后情景则仅2310项与0.58，协同情景相对滞后情景的效能优势达0.25。状态空间模型的情景模拟给出一致判断：政策强化情景下2035年五类标准平均指数可达0.86，较基准情景（0.78）高0.08，而政策停滞情景仅0.66。两组仿真共同说明，标准体系建设的关键变量已从“建多少”转向“更新多快、协同多深”，动态适应原则必须落实为可操作的阈值触发制度（Forrester，1961）。</w:t>
      </w:r>
    </w:p>
    <w:p>
      <w:pPr>
        <w:keepNext/>
        <w:spacing w:before="160" w:after="120" w:line="360" w:lineRule="auto"/>
        <w:outlineLvl w:val="2"/>
      </w:pPr>
      <w:r>
        <w:rPr>
          <w:rFonts w:ascii="黑体" w:hAnsi="黑体" w:eastAsia="黑体"/>
          <w:sz w:val="24"/>
        </w:rPr>
        <w:t>14.1.3  关于适配性评估的研究结论</w:t>
      </w:r>
    </w:p>
    <w:p>
      <w:pPr>
        <w:spacing w:line="360" w:lineRule="auto" w:after="0"/>
        <w:ind w:firstLineChars="200" w:firstLine="480"/>
        <w:jc w:val="both"/>
      </w:pPr>
      <w:r>
        <w:rPr>
          <w:rFonts w:ascii="宋体" w:hAnsi="宋体" w:eastAsia="宋体"/>
          <w:b/>
          <w:sz w:val="24"/>
        </w:rPr>
        <w:t>结论七：标准执行效率稳步提升但仍有约四分之一的政策效能损耗，供给不足、激励不完善、协调失灵三大来源结构清晰。</w:t>
      </w:r>
      <w:r>
        <w:rPr>
          <w:rFonts w:ascii="宋体" w:hAnsi="宋体" w:eastAsia="宋体"/>
          <w:sz w:val="24"/>
        </w:rPr>
        <w:t>基于30省2010—2025年面板数据的随机前沿分析显示，全国平均标准执行效率TE由2010年的0.612升至2025年的0.734，政策有效性损失PEL相应降至0.266，即约四分之一的政策效能在执行环节流失；方差参数γ达0.83，表明偏离前沿的成分主要源于系统性无效率而非随机噪声。效率决定方程显示，标准完整性（-0.428）、激励强度（-0.365）与协调效率（-0.291）均在1%水平上显著降低无效率项，Oaxaca-Blinder式分解进一步将PEL拆解为供给不足损失38.2%、激励不完善损失34.6%与协调失灵损失27.2%三部分。空间格局上，执行效率呈“东部（0.78）&gt;中部（0.71）&gt;西部（0.65）”的梯度，省际差距明显。这一结论意味着，提升标准体系对“双碳”目标的贡献度，“建标准”与“用标准”必须并重：三大损耗来源恰好对应补供给、强激励、健协调三类政策工具，为14.2节政策支柱的设计提供了直接依据（Oaxaca，1973；Battese和Coelli，1995）。</w:t>
      </w:r>
    </w:p>
    <w:p>
      <w:pPr>
        <w:spacing w:line="360" w:lineRule="auto" w:after="0"/>
        <w:ind w:firstLineChars="200" w:firstLine="480"/>
        <w:jc w:val="both"/>
      </w:pPr>
      <w:r>
        <w:rPr>
          <w:rFonts w:ascii="宋体" w:hAnsi="宋体" w:eastAsia="宋体"/>
          <w:b/>
          <w:sz w:val="24"/>
        </w:rPr>
        <w:t>结论八：中国标准与国际标准的差距呈“技术层小、制度层大”的结构，差距重心已从标准“有没有”转向国际“认不认”。</w:t>
      </w:r>
      <w:r>
        <w:rPr>
          <w:rFonts w:ascii="宋体" w:hAnsi="宋体" w:eastAsia="宋体"/>
          <w:sz w:val="24"/>
        </w:rPr>
        <w:t>八维度国际差距测度显示，行业覆盖（0.18）与核算边界（0.22）两个技术性维度差距最小，说明经过多年建设，中国标准在覆盖广度与方法学骨架上已大体接轨；而市场衔接（0.44）、第三方核查（0.42）、生命周期范围（0.38）与排放因子（0.35）等制度性、数据性维度差距最大，构成国际互认的主要障碍。行业层面，综合国际适配性指数CIAI以水泥最高（0.66）、化工（0.63）与钢铁（0.61）次之，氢能最低（0.49），氢能与化肥的综合差距指数分别达0.46与0.40，提示新兴产业标准若不同步国际化，将重演传统产业“先建设、后接轨”的弯路。第13章的扎根理论案例从微观侧面印证了这一格局：企业访谈提炼的四大障碍范畴中，数据基础障碍与制度衔接障碍的编码频次居前两位，与八维度测度的差距排序高度吻合。这表明国际适配的关键投入不在另起炉灶制定新标准，而在核查互认、数据质量与市场机制衔接等制度基础设施的建设（Bradford，2020；刘梦佳和李志永，2025）。</w:t>
      </w:r>
    </w:p>
    <w:p>
      <w:pPr>
        <w:spacing w:line="360" w:lineRule="auto" w:after="0"/>
        <w:ind w:firstLineChars="200" w:firstLine="480"/>
        <w:jc w:val="both"/>
      </w:pPr>
      <w:r>
        <w:rPr>
          <w:rFonts w:ascii="宋体" w:hAnsi="宋体" w:eastAsia="宋体"/>
          <w:b/>
          <w:sz w:val="24"/>
        </w:rPr>
        <w:t>结论九：标准差距具有明确的贸易价格，适配性改进可削减逾四成CBAM碳关税负担，其经济价值掌握在中国自己手中。</w:t>
      </w:r>
      <w:r>
        <w:rPr>
          <w:rFonts w:ascii="宋体" w:hAnsi="宋体" w:eastAsia="宋体"/>
          <w:sz w:val="24"/>
        </w:rPr>
        <w:t>动态投入产出模拟显示，基准情景下中国钢铁、铝、化肥、水泥四行业承担的CBAM碳关税2027年合计约90.8亿元（其中钢铁48亿元、铝31亿元），2030年增至约225.3亿元，三年翻逾一倍；相应的产出损失2030年达铝-1.24%、钢铁-0.86%、化肥-0.68%、水泥-0.31%。而在适配改进情景下——即通过核查互认、碳价抵扣认定与数据质量提升将适配调节系数θ系统抬升——2030年碳关税负担可削减43%至约128.4亿元，每年节省约96.9亿元，产出损失相应收窄至铝-0.61%、钢铁-0.42%、化肥-0.33%、水泥-0.15%。与既有研究强调的碳价差距渠道相比（陈诗一和朱渝铖，2024；王欢欢和吴骁骏，2025），本书的独特发现是：碳价差距决定潜在税基，标准差距决定税基的落地比例，后者作为可操作的政策变量，其改进收益不依赖对方让步、见效快于碳价并轨，是“十五五”时期成本收益比最优的CBAM应对路径（张兵兵等，2025）。</w:t>
      </w:r>
    </w:p>
    <w:p>
      <w:pPr>
        <w:keepNext/>
        <w:spacing w:before="160" w:after="120" w:line="360" w:lineRule="auto"/>
        <w:outlineLvl w:val="1"/>
      </w:pPr>
      <w:r>
        <w:rPr>
          <w:rFonts w:ascii="黑体" w:hAnsi="黑体" w:eastAsia="黑体"/>
          <w:sz w:val="28"/>
        </w:rPr>
        <w:t>14.2  面向“十五五”的政策建议</w:t>
      </w:r>
    </w:p>
    <w:p>
      <w:pPr>
        <w:spacing w:line="360" w:lineRule="auto" w:after="0"/>
        <w:ind w:firstLineChars="200" w:firstLine="480"/>
        <w:jc w:val="both"/>
      </w:pPr>
      <w:r>
        <w:rPr>
          <w:rFonts w:ascii="宋体" w:hAnsi="宋体" w:eastAsia="宋体"/>
          <w:sz w:val="24"/>
        </w:rPr>
        <w:t>九条结论指向一个共同的政策命题：中国绿色低碳标准体系的短板不再是总量不足，而是结构失衡、执行损耗与国际互认不足三重约束叠加。据此，本书构建“供给侧补短板—执行侧强激励—国际侧提话语权”三大支柱的政策体系，三大支柱与评估结果一一对应：供给侧对应PEL分解中38.2%的供给不足损失与结论四识别的模块缺口；执行侧对应34.6%的激励不完善损失与结论一揭示的市场调节力短板；国际侧对应27.2%的协调失灵损失中的跨境成分、结论三的跃迁条件与结论八、九的国际差距及其贸易代价。政策落点锁定“十五五”时期（2026—2030年）——这一时期既是碳排放双控制度在全国范围实施、以强度控制为主的制度窗口（姜春海等，2024；袁惊柱，2025），也是CBAM正式征收、国际规则压力全面显性化的关键窗口，标准体系的政策安排必须在此窗口内完成从规划到落地的转换。政策体系的总体框架如图14.1所示。</w:t>
      </w:r>
    </w:p>
    <w:p>
      <w:pPr>
        <w:spacing w:before="120" w:after="40"/>
        <w:jc w:val="center"/>
      </w:pPr>
      <w:r>
        <w:drawing>
          <wp:inline xmlns:a="http://schemas.openxmlformats.org/drawingml/2006/main" xmlns:pic="http://schemas.openxmlformats.org/drawingml/2006/picture">
            <wp:extent cx="4860000" cy="2830634"/>
            <wp:docPr id="47" name="Picture 47"/>
            <wp:cNvGraphicFramePr>
              <a:graphicFrameLocks noChangeAspect="1"/>
            </wp:cNvGraphicFramePr>
            <a:graphic>
              <a:graphicData uri="http://schemas.openxmlformats.org/drawingml/2006/picture">
                <pic:pic>
                  <pic:nvPicPr>
                    <pic:cNvPr id="0" name="fig14_1.png"/>
                    <pic:cNvPicPr/>
                  </pic:nvPicPr>
                  <pic:blipFill>
                    <a:blip r:embed="rId55"/>
                    <a:stretch>
                      <a:fillRect/>
                    </a:stretch>
                  </pic:blipFill>
                  <pic:spPr>
                    <a:xfrm>
                      <a:off x="0" y="0"/>
                      <a:ext cx="4860000" cy="2830634"/>
                    </a:xfrm>
                    <a:prstGeom prst="rect"/>
                  </pic:spPr>
                </pic:pic>
              </a:graphicData>
            </a:graphic>
          </wp:inline>
        </w:drawing>
      </w:r>
    </w:p>
    <w:p>
      <w:pPr>
        <w:keepNext w:val="0"/>
        <w:spacing w:after="200"/>
        <w:jc w:val="center"/>
      </w:pPr>
      <w:r>
        <w:rPr>
          <w:rFonts w:ascii="黑体" w:hAnsi="黑体" w:eastAsia="黑体"/>
          <w:sz w:val="21"/>
        </w:rPr>
        <w:t>图14.1  提升中国绿色低碳标准体系适配性的政策体系框架</w:t>
      </w:r>
    </w:p>
    <w:p>
      <w:pPr>
        <w:spacing w:line="360" w:lineRule="auto" w:after="0"/>
        <w:ind w:firstLineChars="200" w:firstLine="480"/>
        <w:jc w:val="both"/>
      </w:pPr>
      <w:r>
        <w:rPr>
          <w:rFonts w:ascii="宋体" w:hAnsi="宋体" w:eastAsia="宋体"/>
          <w:sz w:val="24"/>
        </w:rPr>
        <w:t>由图14.1可见，政策体系呈“三支柱—一目标”结构：供给侧支柱以补齐碳吸收与市场机制标准短板、畅通标准更新快速通道为主线，解决“标准从无到有、从旧到新”的问题；执行侧支柱以强化碳价信号、绿色金融支持与跨部门协调机制为主线，解决“标准从纸面到行为”的问题；国际侧支柱以CBAM互认谈判、优势产业标准出海与深度参与国际标准治理为主线，解决“标准从国内到国际”的问题。三大支柱并非并列关系，而是沿标准生命周期递进衔接：供给侧产出的标准须经执行侧转化为减排绩效，执行绩效积累的数据基础与市场实践又构成国际侧谈判互认的筹码；反过来，国际互认带来的碳关税减免与竞争力提升，又经结论三揭示的博弈机制反哺企业执行激励与标准供给需求，形成闭环。各支柱内部的具体建议分述如下。</w:t>
      </w:r>
    </w:p>
    <w:p>
      <w:pPr>
        <w:keepNext/>
        <w:spacing w:before="160" w:after="120" w:line="360" w:lineRule="auto"/>
        <w:outlineLvl w:val="2"/>
      </w:pPr>
      <w:r>
        <w:rPr>
          <w:rFonts w:ascii="黑体" w:hAnsi="黑体" w:eastAsia="黑体"/>
          <w:sz w:val="24"/>
        </w:rPr>
        <w:t>14.2.1  供给侧补短板：夯实体系完整性基础</w:t>
      </w:r>
    </w:p>
    <w:p>
      <w:pPr>
        <w:spacing w:line="360" w:lineRule="auto" w:after="0"/>
        <w:ind w:firstLineChars="200" w:firstLine="480"/>
        <w:jc w:val="both"/>
      </w:pPr>
      <w:r>
        <w:rPr>
          <w:rFonts w:ascii="宋体" w:hAnsi="宋体" w:eastAsia="宋体"/>
          <w:sz w:val="24"/>
        </w:rPr>
        <w:t>第一，实施碳吸收与市场机制标准专项行动。针对结论四识别的碳吸收端0.58、绿色金融0.37的供需缺口，建议由国家标准委会同生态环境部、国家林草局、中国人民银行设立“十五五”专项：在碳吸收方向，优先制定林业碳汇计量监测、海洋与湿地碳汇核算、CCUS全流程技术规范等标准，衔接CCER已发布的造林碳汇、红树林营造等方法学，将方法学成熟一项、标准固化一项（蓝虹和杜彦霖，2024）；在市场机制方向，加快碳排放权交易配套技术规范、自愿减排量核算核证、绿色金融产品分类与环境信息披露标准供给，推动自愿市场与强制市场在标准口径上协同（张一林等，2025；陈丹丹等，2025）。按AHP权重排序，碳吸收模块权重（0.186）已超过绿色产品模块（0.164），标准制修订立项资源应据此重新配置，扭转存量与权重倒挂的局面。</w:t>
      </w:r>
    </w:p>
    <w:p>
      <w:pPr>
        <w:spacing w:line="360" w:lineRule="auto" w:after="0"/>
        <w:ind w:firstLineChars="200" w:firstLine="480"/>
        <w:jc w:val="both"/>
      </w:pPr>
      <w:r>
        <w:rPr>
          <w:rFonts w:ascii="宋体" w:hAnsi="宋体" w:eastAsia="宋体"/>
          <w:sz w:val="24"/>
        </w:rPr>
        <w:t>第二，加快碳核算碳足迹标准全覆盖与因子数据库建设。结论二表明碳排放核算标准是全体系的公共投入品，其AHP权重（0.286）亦居五模块之首。建议以落实《关于进一步强化碳达峰碳中和标准计量体系建设行动方案（2024—2025年）》为基础，“十五五”期间将产品碳足迹核算国家标准从目前的9项扩展至覆盖CBAM全部六类产品、“新三样”及主要出口工业品；依托GB/T 24067通则与电解铝等已发布标准的编制经验，形成“通则+行业细则”的标准族（国家标准化管理委员会等，2023）；同步建成并常态化更新国家温室气体排放因子数据库，将电力碳足迹因子的发布频率提升至年度，从数据源头压缩结论八识别的排放因子维度差距（0.35）（黄俊勇和刘世锦，2023）。</w:t>
      </w:r>
    </w:p>
    <w:p>
      <w:pPr>
        <w:spacing w:line="360" w:lineRule="auto" w:after="0"/>
        <w:ind w:firstLineChars="200" w:firstLine="480"/>
        <w:jc w:val="both"/>
      </w:pPr>
      <w:r>
        <w:rPr>
          <w:rFonts w:ascii="宋体" w:hAnsi="宋体" w:eastAsia="宋体"/>
          <w:sz w:val="24"/>
        </w:rPr>
        <w:t>第三，建立标准更新快速通道，将TPD*阈值触发机制制度化。针对结论六，建议将技术—政策偏离度监测纳入标准化管理程序：由行业主管部门会同标准化技术委员会按年度测算重点领域的技术—政策偏离度，凡偏离度超过0.30的标准自动触发快速修订程序，修订周期压缩至常规程序的一半；对氢能、CCUS、负排放技术等技术快速迭代领域，可预设“先团体标准试行、后国家标准固化”的转化通道，发挥团体标准快速响应优势（石明娟等，2022）。同时应避免矫枉过正——仿真表明阈值过低（0.20）时效能反而降至0.71，修订节奏须在稳定预期与追赶前沿之间维持平衡。</w:t>
      </w:r>
    </w:p>
    <w:p>
      <w:pPr>
        <w:spacing w:line="360" w:lineRule="auto" w:after="0"/>
        <w:ind w:firstLineChars="200" w:firstLine="480"/>
        <w:jc w:val="both"/>
      </w:pPr>
      <w:r>
        <w:rPr>
          <w:rFonts w:ascii="宋体" w:hAnsi="宋体" w:eastAsia="宋体"/>
          <w:sz w:val="24"/>
        </w:rPr>
        <w:t>第四，强化四层级分工协同，完善标准衔接与采信机制。按“国家兜底、行业细化、地方先行、团体创新”的分工定位，国家标准聚焦基础通用与强制底线，行业标准细化工艺参数，地方标准结合区域禀赋先行先试，团体标准承担创新试错。截至2025年四层级标准条目合计约4700项，其中团体标准430项、增长最快，建议建立团体标准向行业、国家标准的常态化采信评估机制，并对地方标准开展跨省协同审查，防止层级间重复立项与口径冲突，把结论二揭示的标准间互补效应转化为层级间协同红利（孙亮等，2022）。</w:t>
      </w:r>
    </w:p>
    <w:p>
      <w:pPr>
        <w:keepNext/>
        <w:spacing w:before="160" w:after="120" w:line="360" w:lineRule="auto"/>
        <w:outlineLvl w:val="2"/>
      </w:pPr>
      <w:r>
        <w:rPr>
          <w:rFonts w:ascii="黑体" w:hAnsi="黑体" w:eastAsia="黑体"/>
          <w:sz w:val="24"/>
        </w:rPr>
        <w:t>14.2.2  执行侧强激励：提高标准执行效率</w:t>
      </w:r>
    </w:p>
    <w:p>
      <w:pPr>
        <w:spacing w:line="360" w:lineRule="auto" w:after="0"/>
        <w:ind w:firstLineChars="200" w:firstLine="480"/>
        <w:jc w:val="both"/>
      </w:pPr>
      <w:r>
        <w:rPr>
          <w:rFonts w:ascii="宋体" w:hAnsi="宋体" w:eastAsia="宋体"/>
          <w:sz w:val="24"/>
        </w:rPr>
        <w:t>第一，强化碳价信号对标准执行的牵引作用。结论一显示市场调节力贡献已升至26.0%但仍是三力中最弱的一极，结论七显示激励不完善造成34.6%的效能损失。建议以全国碳市场为枢纽放大价格激励：在2025年扩围至钢铁、水泥、铝冶炼、重点排放单位约3700家、覆盖排放量约80亿吨的基础上，“十五五”期间稳步收紧配额基准线、提高有偿分配比例，改变2025年全国碳市场成交均价62.36元/吨与同期EUA年均价约73欧元/吨相差近十倍的格局，使碳价足以支撑标准执行的成本内部化（张希良等，2021；吴茵茵等，2021）；同时将标准符合性嵌入碳市场运行规则——以国家标准统一配额核定、排放核算与核查口径，使“执行标准”与“清缴履约”互为条件，让碳价上涨自动转化为对标准执行的边际激励（张一林等，2025）。</w:t>
      </w:r>
    </w:p>
    <w:p>
      <w:pPr>
        <w:spacing w:line="360" w:lineRule="auto" w:after="0"/>
        <w:ind w:firstLineChars="200" w:firstLine="480"/>
        <w:jc w:val="both"/>
      </w:pPr>
      <w:r>
        <w:rPr>
          <w:rFonts w:ascii="宋体" w:hAnsi="宋体" w:eastAsia="宋体"/>
          <w:sz w:val="24"/>
        </w:rPr>
        <w:t>第二，以绿色金融政策放大标准执行的正向激励。执行效率方程中激励强度的系数为-0.365，在三个决定因素中仅次于标准完整性，表明金融激励的边际效果显著。建议中国人民银行、金融监管部门将绿色低碳标准符合性纳入绿色信贷、绿色债券的认定条件与碳减排支持工具的合格标的筛选，使达标企业获得可度量的融资成本优势（王馨和王营，2021；刘金科等，2024）；推广基于产品碳足迹与企业碳账户的差异化定价，使标准执行绩效直接进入信贷定价函数；对转型金融工具，明确以碳核算标准与转型路径标准为其绩效条款的技术锚，防止“洗绿”稀释激励强度（孙传旺和何一若，2025）。</w:t>
      </w:r>
    </w:p>
    <w:p>
      <w:pPr>
        <w:spacing w:line="360" w:lineRule="auto" w:after="0"/>
        <w:ind w:firstLineChars="200" w:firstLine="480"/>
        <w:jc w:val="both"/>
      </w:pPr>
      <w:r>
        <w:rPr>
          <w:rFonts w:ascii="宋体" w:hAnsi="宋体" w:eastAsia="宋体"/>
          <w:sz w:val="24"/>
        </w:rPr>
        <w:t>第三，健全跨部门跨区域协调机制，压缩协调失灵损失。针对27.2%的协调失灵损失与执行效率的区域梯度（西部仅0.65），建议：纵向上，依托碳达峰碳中和标准计量体系建设的部际协调机制，统一各部门涉碳数据口径与报送平台，避免企业重复填报、多头核查；横向上，将标准执行监测核查能力建设纳入中央对中西部的转移支付支持范围，推动东部先进地区与西部结对共建核查机构与检测实验室，缩小省际执行能力差距；考核上，将标准执行效率纳入碳排放双控评价体系，使地方政府对“建标准”与“用标准”承担同等责任（何建坤，2021；袁惊柱，2025）。</w:t>
      </w:r>
    </w:p>
    <w:p>
      <w:pPr>
        <w:spacing w:line="360" w:lineRule="auto" w:after="0"/>
        <w:ind w:firstLineChars="200" w:firstLine="480"/>
        <w:jc w:val="both"/>
      </w:pPr>
      <w:r>
        <w:rPr>
          <w:rFonts w:ascii="宋体" w:hAnsi="宋体" w:eastAsia="宋体"/>
          <w:sz w:val="24"/>
        </w:rPr>
        <w:t>第四，加强企业碳管理能力建设，降低标准执行的微观门槛。第13章案例显示，认知—能力障碍与数据基础障碍是企业执行标准的首要微观约束。建议推行重点行业企业碳管理体系建设，将碳排放统计核算岗位能力要求标准化；面向中小企业开发简化版核算工具与公共数据服务，由行业协会组织对标培训；支持龙头企业沿供应链输出碳数据管理要求，以链主带动链属企业整体达标，复制数字化转型中供应链传导减排要求的成功经验（杨刚强等，2024）。</w:t>
      </w:r>
    </w:p>
    <w:p>
      <w:pPr>
        <w:keepNext/>
        <w:spacing w:before="160" w:after="120" w:line="360" w:lineRule="auto"/>
        <w:outlineLvl w:val="2"/>
      </w:pPr>
      <w:r>
        <w:rPr>
          <w:rFonts w:ascii="黑体" w:hAnsi="黑体" w:eastAsia="黑体"/>
          <w:sz w:val="24"/>
        </w:rPr>
        <w:t>14.2.3  国际侧提话语权：从规则接受者走向规则共塑者</w:t>
      </w:r>
    </w:p>
    <w:p>
      <w:pPr>
        <w:spacing w:line="360" w:lineRule="auto" w:after="0"/>
        <w:ind w:firstLineChars="200" w:firstLine="480"/>
        <w:jc w:val="both"/>
      </w:pPr>
      <w:r>
        <w:rPr>
          <w:rFonts w:ascii="宋体" w:hAnsi="宋体" w:eastAsia="宋体"/>
          <w:sz w:val="24"/>
        </w:rPr>
        <w:t>第一，以CBAM谈判为突破口，分梯次推进中欧标准互认清单。结论八表明差距集中于第三方核查（0.42）与市场衔接（0.44）两维度，结论九表明互认改进可每年节省约96.9亿元碳关税。建议由商务部、生态环境部、市场监管总局（认监委）组成联合谈判工作组，按“先易后难”排定互认清单：第一梯次争取核算边界与行业覆盖两个差距最小维度（0.22、0.18）的方法学等效认定；第二梯次推动核查机构资质互认与全国碳市场碳价的抵扣认定，将中国企业实际支付的碳价足额计入CBAM证书扣减；第三梯次谈判绿证、CCER减排量在产品碳足迹核算中的采信规则（陈诗一和朱渝铖，2024；杨茹凯，2025）。谈判中应善用欧盟规则的“布鲁塞尔效应”逻辑——互认扩大恰恰有助于其规则的全球扩散，中欧在此存在利益交集（刘梦佳和李志永，2025）。</w:t>
      </w:r>
    </w:p>
    <w:p>
      <w:pPr>
        <w:spacing w:line="360" w:lineRule="auto" w:after="0"/>
        <w:ind w:firstLineChars="200" w:firstLine="480"/>
        <w:jc w:val="both"/>
      </w:pPr>
      <w:r>
        <w:rPr>
          <w:rFonts w:ascii="宋体" w:hAnsi="宋体" w:eastAsia="宋体"/>
          <w:sz w:val="24"/>
        </w:rPr>
        <w:t>第二，推动优势产业标准出海，把产业优势转化为规则话语权。2023年“新三样”出口首破万亿元达1.06万亿元，光伏各制造环节全球产量占比达80%—98%，动力电池装机前十企业中中国占六席——这些产业的技术路线事实上定义着全球绿色产品的技术前沿，却尚未同步转化为国际标准话语权。建议依托产业链主导地位，将光伏组件碳足迹、动力电池护照、绿氢认证等中国方法学以国际标准提案形式输出（屠新泉和曾瑞，2026）；在共建“一带一路”框架下推广绿色低碳标准合作伙伴关系，以工程项目带动标准互认与认证结果采信（侯俊军等，2025；王明涛等，2025）；对氢能等国际规则尚未定型的新兴领域（其综合差距指数达0.46），实施“标准与产业同步出海”，避免重演先发展后接轨的被动局面。</w:t>
      </w:r>
    </w:p>
    <w:p>
      <w:pPr>
        <w:spacing w:line="360" w:lineRule="auto" w:after="0"/>
        <w:ind w:firstLineChars="200" w:firstLine="480"/>
        <w:jc w:val="both"/>
      </w:pPr>
      <w:r>
        <w:rPr>
          <w:rFonts w:ascii="宋体" w:hAnsi="宋体" w:eastAsia="宋体"/>
          <w:sz w:val="24"/>
        </w:rPr>
        <w:t>第三，深度参与ISO/IEC治理，提升机制性话语权。截至2022年底中国主导制定的ISO/IEC国际标准累计1337项，承担技术机构秘书处89个、主席副主席职务88个，注册专家超过1.2万人，但主导标准占国际标准总量的比重仍仅约2%，与制造业规模和绿色产业地位明显不称。建议“十五五”期间实施绿色低碳国际标准化专项：争取在碳足迹、碳汇计量、CCUS、绿氢等方向新设或承接国际标准化技术委员会及工作组；建立国际标准化人才梯队与派出资助机制，支持企业专家进入关键工作组任职；以结论三的博弈逻辑为指引，把参与国际治理视为提高ΔT与ΔM、触发“领跑”均衡跃迁的战略投资，而非单纯的技术事务（Büthe和Mattli，2011；Bradford，2020）。</w:t>
      </w:r>
    </w:p>
    <w:p>
      <w:pPr>
        <w:spacing w:line="360" w:lineRule="auto" w:after="0"/>
        <w:ind w:firstLineChars="200" w:firstLine="480"/>
        <w:jc w:val="both"/>
      </w:pPr>
      <w:r>
        <w:rPr>
          <w:rFonts w:ascii="宋体" w:hAnsi="宋体" w:eastAsia="宋体"/>
          <w:sz w:val="24"/>
        </w:rPr>
        <w:t>为清晰呈现研究结论向政策建议的转化逻辑，表14.1按三大模块列出九条结论与三大支柱建议的对应关系及其“十五五”落点。</w:t>
      </w:r>
    </w:p>
    <w:p>
      <w:pPr>
        <w:keepNext/>
        <w:spacing w:before="160" w:after="40"/>
        <w:jc w:val="center"/>
      </w:pPr>
      <w:r>
        <w:rPr>
          <w:rFonts w:ascii="黑体" w:hAnsi="黑体" w:eastAsia="黑体"/>
          <w:sz w:val="21"/>
        </w:rPr>
        <w:t>表14.1  主要研究结论与政策建议对应表</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18"/>
              </w:rPr>
              <w:t>模块</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主要研究结论（要点）</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对应政策建议</w:t>
            </w:r>
          </w:p>
        </w:tc>
        <w:tc>
          <w:tcPr>
            <w:tcW w:type="dxa" w:w="2126"/>
            <w:tcBorders>
              <w:bottom w:val="single" w:sz="6" w:color="000000"/>
            </w:tcBorders>
            <w:vAlign w:val="center"/>
          </w:tcPr>
          <w:p>
            <w:pPr>
              <w:spacing w:line="240" w:lineRule="auto" w:after="20" w:before="20"/>
              <w:jc w:val="center"/>
            </w:pPr>
            <w:r/>
            <w:r>
              <w:rPr>
                <w:rFonts w:ascii="宋体" w:hAnsi="宋体" w:eastAsia="宋体"/>
                <w:b/>
                <w:sz w:val="18"/>
              </w:rPr>
              <w:t>“十五五”落点与主要责任部门</w:t>
            </w:r>
          </w:p>
        </w:tc>
      </w:tr>
      <w:tr>
        <w:tc>
          <w:tcPr>
            <w:tcW w:type="dxa" w:w="2126"/>
            <w:vAlign w:val="center"/>
          </w:tcPr>
          <w:p>
            <w:pPr>
              <w:spacing w:line="240" w:lineRule="auto" w:after="20" w:before="20"/>
              <w:jc w:val="center"/>
            </w:pPr>
            <w:r/>
            <w:r>
              <w:rPr>
                <w:rFonts w:ascii="宋体" w:hAnsi="宋体" w:eastAsia="宋体"/>
                <w:sz w:val="18"/>
              </w:rPr>
              <w:t>演化机理</w:t>
            </w:r>
          </w:p>
        </w:tc>
        <w:tc>
          <w:tcPr>
            <w:tcW w:type="dxa" w:w="2126"/>
            <w:vAlign w:val="center"/>
          </w:tcPr>
          <w:p>
            <w:pPr>
              <w:spacing w:line="240" w:lineRule="auto" w:after="20" w:before="20"/>
              <w:jc w:val="left"/>
            </w:pPr>
            <w:r/>
            <w:r>
              <w:rPr>
                <w:rFonts w:ascii="宋体" w:hAnsi="宋体" w:eastAsia="宋体"/>
                <w:sz w:val="18"/>
              </w:rPr>
              <w:t>结论一：政策推力贡献由62%降至41%，技术、市场拉力上升</w:t>
            </w:r>
          </w:p>
        </w:tc>
        <w:tc>
          <w:tcPr>
            <w:tcW w:type="dxa" w:w="2126"/>
            <w:vAlign w:val="center"/>
          </w:tcPr>
          <w:p>
            <w:pPr>
              <w:spacing w:line="240" w:lineRule="auto" w:after="20" w:before="20"/>
              <w:jc w:val="left"/>
            </w:pPr>
            <w:r/>
            <w:r>
              <w:rPr>
                <w:rFonts w:ascii="宋体" w:hAnsi="宋体" w:eastAsia="宋体"/>
                <w:sz w:val="18"/>
              </w:rPr>
              <w:t>执行侧：强化碳价信号与绿色金融激励，巩固三力协同</w:t>
            </w:r>
          </w:p>
        </w:tc>
        <w:tc>
          <w:tcPr>
            <w:tcW w:type="dxa" w:w="2126"/>
            <w:vAlign w:val="center"/>
          </w:tcPr>
          <w:p>
            <w:pPr>
              <w:spacing w:line="240" w:lineRule="auto" w:after="20" w:before="20"/>
              <w:jc w:val="left"/>
            </w:pPr>
            <w:r/>
            <w:r>
              <w:rPr>
                <w:rFonts w:ascii="宋体" w:hAnsi="宋体" w:eastAsia="宋体"/>
                <w:sz w:val="18"/>
              </w:rPr>
              <w:t>碳市场扩围提质、配额收紧；生态环境部、人民银行</w:t>
            </w:r>
          </w:p>
        </w:tc>
      </w:tr>
      <w:tr>
        <w:tc>
          <w:tcPr>
            <w:tcW w:type="dxa" w:w="2126"/>
            <w:vAlign w:val="center"/>
          </w:tcPr>
          <w:p>
            <w:pPr>
              <w:spacing w:line="240" w:lineRule="auto" w:after="20" w:before="20"/>
              <w:jc w:val="center"/>
            </w:pPr>
            <w:r/>
            <w:r>
              <w:rPr>
                <w:rFonts w:ascii="宋体" w:hAnsi="宋体" w:eastAsia="宋体"/>
                <w:sz w:val="18"/>
              </w:rPr>
              <w:t>演化机理</w:t>
            </w:r>
          </w:p>
        </w:tc>
        <w:tc>
          <w:tcPr>
            <w:tcW w:type="dxa" w:w="2126"/>
            <w:vAlign w:val="center"/>
          </w:tcPr>
          <w:p>
            <w:pPr>
              <w:spacing w:line="240" w:lineRule="auto" w:after="20" w:before="20"/>
              <w:jc w:val="left"/>
            </w:pPr>
            <w:r/>
            <w:r>
              <w:rPr>
                <w:rFonts w:ascii="宋体" w:hAnsi="宋体" w:eastAsia="宋体"/>
                <w:sz w:val="18"/>
              </w:rPr>
              <w:t>结论二：碳排放核算为枢纽标准，对其余四类带动系数0.05—0.12</w:t>
            </w:r>
          </w:p>
        </w:tc>
        <w:tc>
          <w:tcPr>
            <w:tcW w:type="dxa" w:w="2126"/>
            <w:vAlign w:val="center"/>
          </w:tcPr>
          <w:p>
            <w:pPr>
              <w:spacing w:line="240" w:lineRule="auto" w:after="20" w:before="20"/>
              <w:jc w:val="left"/>
            </w:pPr>
            <w:r/>
            <w:r>
              <w:rPr>
                <w:rFonts w:ascii="宋体" w:hAnsi="宋体" w:eastAsia="宋体"/>
                <w:sz w:val="18"/>
              </w:rPr>
              <w:t>供给侧：碳核算碳足迹标准优先全覆盖</w:t>
            </w:r>
          </w:p>
        </w:tc>
        <w:tc>
          <w:tcPr>
            <w:tcW w:type="dxa" w:w="2126"/>
            <w:vAlign w:val="center"/>
          </w:tcPr>
          <w:p>
            <w:pPr>
              <w:spacing w:line="240" w:lineRule="auto" w:after="20" w:before="20"/>
              <w:jc w:val="left"/>
            </w:pPr>
            <w:r/>
            <w:r>
              <w:rPr>
                <w:rFonts w:ascii="宋体" w:hAnsi="宋体" w:eastAsia="宋体"/>
                <w:sz w:val="18"/>
              </w:rPr>
              <w:t>因子数据库建成、碳足迹标准族扩容；国家标准委、生态环境部</w:t>
            </w:r>
          </w:p>
        </w:tc>
      </w:tr>
      <w:tr>
        <w:tc>
          <w:tcPr>
            <w:tcW w:type="dxa" w:w="2126"/>
            <w:vAlign w:val="center"/>
          </w:tcPr>
          <w:p>
            <w:pPr>
              <w:spacing w:line="240" w:lineRule="auto" w:after="20" w:before="20"/>
              <w:jc w:val="center"/>
            </w:pPr>
            <w:r/>
            <w:r>
              <w:rPr>
                <w:rFonts w:ascii="宋体" w:hAnsi="宋体" w:eastAsia="宋体"/>
                <w:sz w:val="18"/>
              </w:rPr>
              <w:t>演化机理</w:t>
            </w:r>
          </w:p>
        </w:tc>
        <w:tc>
          <w:tcPr>
            <w:tcW w:type="dxa" w:w="2126"/>
            <w:vAlign w:val="center"/>
          </w:tcPr>
          <w:p>
            <w:pPr>
              <w:spacing w:line="240" w:lineRule="auto" w:after="20" w:before="20"/>
              <w:jc w:val="left"/>
            </w:pPr>
            <w:r/>
            <w:r>
              <w:rPr>
                <w:rFonts w:ascii="宋体" w:hAnsi="宋体" w:eastAsia="宋体"/>
                <w:sz w:val="18"/>
              </w:rPr>
              <w:t>结论三：ΔT+ΔM跨越0.4—4.8临界区间方能触发“领跑”跃迁</w:t>
            </w:r>
          </w:p>
        </w:tc>
        <w:tc>
          <w:tcPr>
            <w:tcW w:type="dxa" w:w="2126"/>
            <w:vAlign w:val="center"/>
          </w:tcPr>
          <w:p>
            <w:pPr>
              <w:spacing w:line="240" w:lineRule="auto" w:after="20" w:before="20"/>
              <w:jc w:val="left"/>
            </w:pPr>
            <w:r/>
            <w:r>
              <w:rPr>
                <w:rFonts w:ascii="宋体" w:hAnsi="宋体" w:eastAsia="宋体"/>
                <w:sz w:val="18"/>
              </w:rPr>
              <w:t>国际侧：以互认谈判与标准出海提高ΔT、ΔM</w:t>
            </w:r>
          </w:p>
        </w:tc>
        <w:tc>
          <w:tcPr>
            <w:tcW w:type="dxa" w:w="2126"/>
            <w:vAlign w:val="center"/>
          </w:tcPr>
          <w:p>
            <w:pPr>
              <w:spacing w:line="240" w:lineRule="auto" w:after="20" w:before="20"/>
              <w:jc w:val="left"/>
            </w:pPr>
            <w:r/>
            <w:r>
              <w:rPr>
                <w:rFonts w:ascii="宋体" w:hAnsi="宋体" w:eastAsia="宋体"/>
                <w:sz w:val="18"/>
              </w:rPr>
              <w:t>CBAM互认清单分梯次落地；商务部、市场监管总局</w:t>
            </w:r>
          </w:p>
        </w:tc>
      </w:tr>
      <w:tr>
        <w:tc>
          <w:tcPr>
            <w:tcW w:type="dxa" w:w="2126"/>
            <w:vAlign w:val="center"/>
          </w:tcPr>
          <w:p>
            <w:pPr>
              <w:spacing w:line="240" w:lineRule="auto" w:after="20" w:before="20"/>
              <w:jc w:val="center"/>
            </w:pPr>
            <w:r/>
            <w:r>
              <w:rPr>
                <w:rFonts w:ascii="宋体" w:hAnsi="宋体" w:eastAsia="宋体"/>
                <w:sz w:val="18"/>
              </w:rPr>
              <w:t>体系构建</w:t>
            </w:r>
          </w:p>
        </w:tc>
        <w:tc>
          <w:tcPr>
            <w:tcW w:type="dxa" w:w="2126"/>
            <w:vAlign w:val="center"/>
          </w:tcPr>
          <w:p>
            <w:pPr>
              <w:spacing w:line="240" w:lineRule="auto" w:after="20" w:before="20"/>
              <w:jc w:val="left"/>
            </w:pPr>
            <w:r/>
            <w:r>
              <w:rPr>
                <w:rFonts w:ascii="宋体" w:hAnsi="宋体" w:eastAsia="宋体"/>
                <w:sz w:val="18"/>
              </w:rPr>
              <w:t>结论四：碳吸收（0.58）与市场机制类（0.37）错配缺口最大</w:t>
            </w:r>
          </w:p>
        </w:tc>
        <w:tc>
          <w:tcPr>
            <w:tcW w:type="dxa" w:w="2126"/>
            <w:vAlign w:val="center"/>
          </w:tcPr>
          <w:p>
            <w:pPr>
              <w:spacing w:line="240" w:lineRule="auto" w:after="20" w:before="20"/>
              <w:jc w:val="left"/>
            </w:pPr>
            <w:r/>
            <w:r>
              <w:rPr>
                <w:rFonts w:ascii="宋体" w:hAnsi="宋体" w:eastAsia="宋体"/>
                <w:sz w:val="18"/>
              </w:rPr>
              <w:t>供给侧：碳吸收与市场机制标准专项行动</w:t>
            </w:r>
          </w:p>
        </w:tc>
        <w:tc>
          <w:tcPr>
            <w:tcW w:type="dxa" w:w="2126"/>
            <w:vAlign w:val="center"/>
          </w:tcPr>
          <w:p>
            <w:pPr>
              <w:spacing w:line="240" w:lineRule="auto" w:after="20" w:before="20"/>
              <w:jc w:val="left"/>
            </w:pPr>
            <w:r/>
            <w:r>
              <w:rPr>
                <w:rFonts w:ascii="宋体" w:hAnsi="宋体" w:eastAsia="宋体"/>
                <w:sz w:val="18"/>
              </w:rPr>
              <w:t>碳汇、CCUS、绿色金融标准立项倾斜；林草局、人民银行</w:t>
            </w:r>
          </w:p>
        </w:tc>
      </w:tr>
      <w:tr>
        <w:tc>
          <w:tcPr>
            <w:tcW w:type="dxa" w:w="2126"/>
            <w:vAlign w:val="center"/>
          </w:tcPr>
          <w:p>
            <w:pPr>
              <w:spacing w:line="240" w:lineRule="auto" w:after="20" w:before="20"/>
              <w:jc w:val="center"/>
            </w:pPr>
            <w:r/>
            <w:r>
              <w:rPr>
                <w:rFonts w:ascii="宋体" w:hAnsi="宋体" w:eastAsia="宋体"/>
                <w:sz w:val="18"/>
              </w:rPr>
              <w:t>体系构建</w:t>
            </w:r>
          </w:p>
        </w:tc>
        <w:tc>
          <w:tcPr>
            <w:tcW w:type="dxa" w:w="2126"/>
            <w:vAlign w:val="center"/>
          </w:tcPr>
          <w:p>
            <w:pPr>
              <w:spacing w:line="240" w:lineRule="auto" w:after="20" w:before="20"/>
              <w:jc w:val="left"/>
            </w:pPr>
            <w:r/>
            <w:r>
              <w:rPr>
                <w:rFonts w:ascii="宋体" w:hAnsi="宋体" w:eastAsia="宋体"/>
                <w:sz w:val="18"/>
              </w:rPr>
              <w:t>结论五：AHP权重碳核算0.286居首，碳吸收0.186超越绿色产品</w:t>
            </w:r>
          </w:p>
        </w:tc>
        <w:tc>
          <w:tcPr>
            <w:tcW w:type="dxa" w:w="2126"/>
            <w:vAlign w:val="center"/>
          </w:tcPr>
          <w:p>
            <w:pPr>
              <w:spacing w:line="240" w:lineRule="auto" w:after="20" w:before="20"/>
              <w:jc w:val="left"/>
            </w:pPr>
            <w:r/>
            <w:r>
              <w:rPr>
                <w:rFonts w:ascii="宋体" w:hAnsi="宋体" w:eastAsia="宋体"/>
                <w:sz w:val="18"/>
              </w:rPr>
              <w:t>供给侧：按权重排序重配标准制修订资源</w:t>
            </w:r>
          </w:p>
        </w:tc>
        <w:tc>
          <w:tcPr>
            <w:tcW w:type="dxa" w:w="2126"/>
            <w:vAlign w:val="center"/>
          </w:tcPr>
          <w:p>
            <w:pPr>
              <w:spacing w:line="240" w:lineRule="auto" w:after="20" w:before="20"/>
              <w:jc w:val="left"/>
            </w:pPr>
            <w:r/>
            <w:r>
              <w:rPr>
                <w:rFonts w:ascii="宋体" w:hAnsi="宋体" w:eastAsia="宋体"/>
                <w:sz w:val="18"/>
              </w:rPr>
              <w:t>扭转权重—存量倒挂；国家标准委等十一部门</w:t>
            </w:r>
          </w:p>
        </w:tc>
      </w:tr>
      <w:tr>
        <w:tc>
          <w:tcPr>
            <w:tcW w:type="dxa" w:w="2126"/>
            <w:vAlign w:val="center"/>
          </w:tcPr>
          <w:p>
            <w:pPr>
              <w:spacing w:line="240" w:lineRule="auto" w:after="20" w:before="20"/>
              <w:jc w:val="center"/>
            </w:pPr>
            <w:r/>
            <w:r>
              <w:rPr>
                <w:rFonts w:ascii="宋体" w:hAnsi="宋体" w:eastAsia="宋体"/>
                <w:sz w:val="18"/>
              </w:rPr>
              <w:t>体系构建</w:t>
            </w:r>
          </w:p>
        </w:tc>
        <w:tc>
          <w:tcPr>
            <w:tcW w:type="dxa" w:w="2126"/>
            <w:vAlign w:val="center"/>
          </w:tcPr>
          <w:p>
            <w:pPr>
              <w:spacing w:line="240" w:lineRule="auto" w:after="20" w:before="20"/>
              <w:jc w:val="left"/>
            </w:pPr>
            <w:r/>
            <w:r>
              <w:rPr>
                <w:rFonts w:ascii="宋体" w:hAnsi="宋体" w:eastAsia="宋体"/>
                <w:sz w:val="18"/>
              </w:rPr>
              <w:t>结论六：更新阈值TPD*=0.30时体系效能峰值0.84</w:t>
            </w:r>
          </w:p>
        </w:tc>
        <w:tc>
          <w:tcPr>
            <w:tcW w:type="dxa" w:w="2126"/>
            <w:vAlign w:val="center"/>
          </w:tcPr>
          <w:p>
            <w:pPr>
              <w:spacing w:line="240" w:lineRule="auto" w:after="20" w:before="20"/>
              <w:jc w:val="left"/>
            </w:pPr>
            <w:r/>
            <w:r>
              <w:rPr>
                <w:rFonts w:ascii="宋体" w:hAnsi="宋体" w:eastAsia="宋体"/>
                <w:sz w:val="18"/>
              </w:rPr>
              <w:t>供给侧：标准更新快速通道与偏离度年度监测</w:t>
            </w:r>
          </w:p>
        </w:tc>
        <w:tc>
          <w:tcPr>
            <w:tcW w:type="dxa" w:w="2126"/>
            <w:vAlign w:val="center"/>
          </w:tcPr>
          <w:p>
            <w:pPr>
              <w:spacing w:line="240" w:lineRule="auto" w:after="20" w:before="20"/>
              <w:jc w:val="left"/>
            </w:pPr>
            <w:r/>
            <w:r>
              <w:rPr>
                <w:rFonts w:ascii="宋体" w:hAnsi="宋体" w:eastAsia="宋体"/>
                <w:sz w:val="18"/>
              </w:rPr>
              <w:t>快速修订程序入规；行业主管部门、标委会</w:t>
            </w:r>
          </w:p>
        </w:tc>
      </w:tr>
      <w:tr>
        <w:tc>
          <w:tcPr>
            <w:tcW w:type="dxa" w:w="2126"/>
            <w:vAlign w:val="center"/>
          </w:tcPr>
          <w:p>
            <w:pPr>
              <w:spacing w:line="240" w:lineRule="auto" w:after="20" w:before="20"/>
              <w:jc w:val="center"/>
            </w:pPr>
            <w:r/>
            <w:r>
              <w:rPr>
                <w:rFonts w:ascii="宋体" w:hAnsi="宋体" w:eastAsia="宋体"/>
                <w:sz w:val="18"/>
              </w:rPr>
              <w:t>适配评估</w:t>
            </w:r>
          </w:p>
        </w:tc>
        <w:tc>
          <w:tcPr>
            <w:tcW w:type="dxa" w:w="2126"/>
            <w:vAlign w:val="center"/>
          </w:tcPr>
          <w:p>
            <w:pPr>
              <w:spacing w:line="240" w:lineRule="auto" w:after="20" w:before="20"/>
              <w:jc w:val="left"/>
            </w:pPr>
            <w:r/>
            <w:r>
              <w:rPr>
                <w:rFonts w:ascii="宋体" w:hAnsi="宋体" w:eastAsia="宋体"/>
                <w:sz w:val="18"/>
              </w:rPr>
              <w:t>结论七：TE升至0.734，损耗三源占比38.2%/34.6%/27.2%</w:t>
            </w:r>
          </w:p>
        </w:tc>
        <w:tc>
          <w:tcPr>
            <w:tcW w:type="dxa" w:w="2126"/>
            <w:vAlign w:val="center"/>
          </w:tcPr>
          <w:p>
            <w:pPr>
              <w:spacing w:line="240" w:lineRule="auto" w:after="20" w:before="20"/>
              <w:jc w:val="left"/>
            </w:pPr>
            <w:r/>
            <w:r>
              <w:rPr>
                <w:rFonts w:ascii="宋体" w:hAnsi="宋体" w:eastAsia="宋体"/>
                <w:sz w:val="18"/>
              </w:rPr>
              <w:t>执行侧：补供给、强激励、健协调三管齐下</w:t>
            </w:r>
          </w:p>
        </w:tc>
        <w:tc>
          <w:tcPr>
            <w:tcW w:type="dxa" w:w="2126"/>
            <w:vAlign w:val="center"/>
          </w:tcPr>
          <w:p>
            <w:pPr>
              <w:spacing w:line="240" w:lineRule="auto" w:after="20" w:before="20"/>
              <w:jc w:val="left"/>
            </w:pPr>
            <w:r/>
            <w:r>
              <w:rPr>
                <w:rFonts w:ascii="宋体" w:hAnsi="宋体" w:eastAsia="宋体"/>
                <w:sz w:val="18"/>
              </w:rPr>
              <w:t>执行效率纳入双控考核、对西部倾斜；部际协调机制</w:t>
            </w:r>
          </w:p>
        </w:tc>
      </w:tr>
      <w:tr>
        <w:tc>
          <w:tcPr>
            <w:tcW w:type="dxa" w:w="2126"/>
            <w:vAlign w:val="center"/>
          </w:tcPr>
          <w:p>
            <w:pPr>
              <w:spacing w:line="240" w:lineRule="auto" w:after="20" w:before="20"/>
              <w:jc w:val="center"/>
            </w:pPr>
            <w:r/>
            <w:r>
              <w:rPr>
                <w:rFonts w:ascii="宋体" w:hAnsi="宋体" w:eastAsia="宋体"/>
                <w:sz w:val="18"/>
              </w:rPr>
              <w:t>适配评估</w:t>
            </w:r>
          </w:p>
        </w:tc>
        <w:tc>
          <w:tcPr>
            <w:tcW w:type="dxa" w:w="2126"/>
            <w:vAlign w:val="center"/>
          </w:tcPr>
          <w:p>
            <w:pPr>
              <w:spacing w:line="240" w:lineRule="auto" w:after="20" w:before="20"/>
              <w:jc w:val="left"/>
            </w:pPr>
            <w:r/>
            <w:r>
              <w:rPr>
                <w:rFonts w:ascii="宋体" w:hAnsi="宋体" w:eastAsia="宋体"/>
                <w:sz w:val="18"/>
              </w:rPr>
              <w:t>结论八：差距集中于市场衔接（0.44）与第三方核查（0.42）</w:t>
            </w:r>
          </w:p>
        </w:tc>
        <w:tc>
          <w:tcPr>
            <w:tcW w:type="dxa" w:w="2126"/>
            <w:vAlign w:val="center"/>
          </w:tcPr>
          <w:p>
            <w:pPr>
              <w:spacing w:line="240" w:lineRule="auto" w:after="20" w:before="20"/>
              <w:jc w:val="left"/>
            </w:pPr>
            <w:r/>
            <w:r>
              <w:rPr>
                <w:rFonts w:ascii="宋体" w:hAnsi="宋体" w:eastAsia="宋体"/>
                <w:sz w:val="18"/>
              </w:rPr>
              <w:t>国际侧：核查资质互认与碳价抵扣认定优先谈判</w:t>
            </w:r>
          </w:p>
        </w:tc>
        <w:tc>
          <w:tcPr>
            <w:tcW w:type="dxa" w:w="2126"/>
            <w:vAlign w:val="center"/>
          </w:tcPr>
          <w:p>
            <w:pPr>
              <w:spacing w:line="240" w:lineRule="auto" w:after="20" w:before="20"/>
              <w:jc w:val="left"/>
            </w:pPr>
            <w:r/>
            <w:r>
              <w:rPr>
                <w:rFonts w:ascii="宋体" w:hAnsi="宋体" w:eastAsia="宋体"/>
                <w:sz w:val="18"/>
              </w:rPr>
              <w:t>中欧互认清单第二梯次；认监委、生态环境部</w:t>
            </w:r>
          </w:p>
        </w:tc>
      </w:tr>
      <w:tr>
        <w:tc>
          <w:tcPr>
            <w:tcW w:type="dxa" w:w="2126"/>
            <w:vAlign w:val="center"/>
          </w:tcPr>
          <w:p>
            <w:pPr>
              <w:spacing w:line="240" w:lineRule="auto" w:after="20" w:before="20"/>
              <w:jc w:val="center"/>
            </w:pPr>
            <w:r/>
            <w:r>
              <w:rPr>
                <w:rFonts w:ascii="宋体" w:hAnsi="宋体" w:eastAsia="宋体"/>
                <w:sz w:val="18"/>
              </w:rPr>
              <w:t>适配评估</w:t>
            </w:r>
          </w:p>
        </w:tc>
        <w:tc>
          <w:tcPr>
            <w:tcW w:type="dxa" w:w="2126"/>
            <w:vAlign w:val="center"/>
          </w:tcPr>
          <w:p>
            <w:pPr>
              <w:spacing w:line="240" w:lineRule="auto" w:after="20" w:before="20"/>
              <w:jc w:val="left"/>
            </w:pPr>
            <w:r/>
            <w:r>
              <w:rPr>
                <w:rFonts w:ascii="宋体" w:hAnsi="宋体" w:eastAsia="宋体"/>
                <w:sz w:val="18"/>
              </w:rPr>
              <w:t>结论九：2030年碳关税225.3亿元，适配改进可削减43%</w:t>
            </w:r>
          </w:p>
        </w:tc>
        <w:tc>
          <w:tcPr>
            <w:tcW w:type="dxa" w:w="2126"/>
            <w:vAlign w:val="center"/>
          </w:tcPr>
          <w:p>
            <w:pPr>
              <w:spacing w:line="240" w:lineRule="auto" w:after="20" w:before="20"/>
              <w:jc w:val="left"/>
            </w:pPr>
            <w:r/>
            <w:r>
              <w:rPr>
                <w:rFonts w:ascii="宋体" w:hAnsi="宋体" w:eastAsia="宋体"/>
                <w:sz w:val="18"/>
              </w:rPr>
              <w:t>国际侧+供给侧：适配改进对冲CBAM，同步产业出海</w:t>
            </w:r>
          </w:p>
        </w:tc>
        <w:tc>
          <w:tcPr>
            <w:tcW w:type="dxa" w:w="2126"/>
            <w:vAlign w:val="center"/>
          </w:tcPr>
          <w:p>
            <w:pPr>
              <w:spacing w:line="240" w:lineRule="auto" w:after="20" w:before="20"/>
              <w:jc w:val="left"/>
            </w:pPr>
            <w:r/>
            <w:r>
              <w:rPr>
                <w:rFonts w:ascii="宋体" w:hAnsi="宋体" w:eastAsia="宋体"/>
                <w:sz w:val="18"/>
              </w:rPr>
              <w:t>出口行业碳足迹标准全覆盖；商务部、行业协会</w:t>
            </w:r>
          </w:p>
        </w:tc>
      </w:tr>
    </w:tbl>
    <w:p>
      <w:pPr>
        <w:spacing w:after="200" w:line="240" w:lineRule="auto"/>
      </w:pPr>
      <w:r>
        <w:rPr>
          <w:rFonts w:ascii="宋体" w:hAnsi="宋体" w:eastAsia="宋体"/>
          <w:sz w:val="18"/>
        </w:rPr>
        <w:t>注：结论要点中的数字均取自本书第5—12章的模型估计与仿真结果；责任部门为建议性列示。数据来源：作者整理。</w:t>
      </w:r>
    </w:p>
    <w:p>
      <w:pPr>
        <w:spacing w:line="360" w:lineRule="auto" w:after="0"/>
        <w:ind w:firstLineChars="200" w:firstLine="480"/>
        <w:jc w:val="both"/>
      </w:pPr>
      <w:r>
        <w:rPr>
          <w:rFonts w:ascii="宋体" w:hAnsi="宋体" w:eastAsia="宋体"/>
          <w:sz w:val="24"/>
        </w:rPr>
        <w:t>由表14.1可见，九条结论与三大支柱之间不是一一孤立对应，而是纵横交织：演化机理模块的结论主要回答“政策为什么有效”，为执行侧与国际侧建议提供机制依据；体系构建模块的结论回答“资源投向哪里”，集中支撑供给侧建议；适配评估模块的结论回答“差距值多少钱”，同时牵引执行侧与国际侧建议。这种“机理定方向、构建定结构、评估定优先序”的转化逻辑，保证了政策建议既有理论根基，又有量化依据，避免了政策研究中常见的结论与建议“两张皮”问题。</w:t>
      </w:r>
    </w:p>
    <w:p>
      <w:pPr>
        <w:keepNext/>
        <w:spacing w:before="160" w:after="120" w:line="360" w:lineRule="auto"/>
        <w:outlineLvl w:val="1"/>
      </w:pPr>
      <w:r>
        <w:rPr>
          <w:rFonts w:ascii="黑体" w:hAnsi="黑体" w:eastAsia="黑体"/>
          <w:sz w:val="28"/>
        </w:rPr>
        <w:t>14.3  边际贡献总结</w:t>
      </w:r>
    </w:p>
    <w:p>
      <w:pPr>
        <w:spacing w:line="360" w:lineRule="auto" w:after="0"/>
        <w:ind w:firstLineChars="200" w:firstLine="480"/>
        <w:jc w:val="both"/>
      </w:pPr>
      <w:r>
        <w:rPr>
          <w:rFonts w:ascii="宋体" w:hAnsi="宋体" w:eastAsia="宋体"/>
          <w:sz w:val="24"/>
        </w:rPr>
        <w:t>在理论层面，本书的边际贡献有三。其一，将标准体系演化纳入“三重驱动力—标准间互补替代—多主体策略互动”的统一分析框架，把演化经济学的技术—制度共生演化思想（Nelson和Winter，1982；Dosi，1982）与标准化经济学的网络外部性传统（Katz和Shapiro，1985；Farrell和Saloner，1985）在绿色低碳场域中贯通，提出并验证了“政策推力主导、三力协同转换”的中国标准体系演化命题，为理解后发大国标准化战略提供了不同于西方“市场自发—私人治理”路径（Büthe和Mattli，2011）的理论叙事。其二，提出标准供需动态错配指数（SSDMI）概念，将产业绿色转型的真实标准需求内生化建模，使“标准短缺”从直觉判断变为可测度、可分解、可比较的分析对象。其三，构建政策适配性与国际适配性双维评估的概念体系，把标准体系评估从合规检查提升为效率测度，并首次将标准差距显性化为CBAM框架下可定价的政策变量，回应了全球规则权力研究中关于规则外溢成本分担的理论关切（Bradford，2020；刘长松，2024）。</w:t>
      </w:r>
    </w:p>
    <w:p>
      <w:pPr>
        <w:spacing w:line="360" w:lineRule="auto" w:after="0"/>
        <w:ind w:firstLineChars="200" w:firstLine="480"/>
        <w:jc w:val="both"/>
      </w:pPr>
      <w:r>
        <w:rPr>
          <w:rFonts w:ascii="宋体" w:hAnsi="宋体" w:eastAsia="宋体"/>
          <w:sz w:val="24"/>
        </w:rPr>
        <w:t>在方法层面，本书形成了一条覆盖“机理识别—体系设计—效果评估”全链条的方法学工具箱：以状态空间模型与卡尔曼滤波估计标准间交互矩阵（Kalman，1960），以Lotka-Volterra方程刻画技术—制度互馈（Lotka，1925），以三方演化博弈求解体系跃迁条件（Friedman，1991）；以AHP—德尔菲组合确定模块权重（Saaty，1980），以系统动力学仿真确定动态更新阈值；以Battese-Coelli随机前沿测度执行效率并作三源分解（Oaxaca，1973；Battese和Coelli，1995），以ISGI—CIAI—θ—动态投入产出的链式框架为标准差距定价。方法链条的独特之处在于模块间的数据接口设计：状态空间模型的A矩阵输入系统动力学的溢出矩阵Φ，SSDMI识别的错配格局指导体系架构的横向覆盖设计，两类适配性评估结果反馈体系优化，使三大模块在数据层面真正闭环，而非松散拼接。</w:t>
      </w:r>
    </w:p>
    <w:p>
      <w:pPr>
        <w:spacing w:line="360" w:lineRule="auto" w:after="0"/>
        <w:ind w:firstLineChars="200" w:firstLine="480"/>
        <w:jc w:val="both"/>
      </w:pPr>
      <w:r>
        <w:rPr>
          <w:rFonts w:ascii="宋体" w:hAnsi="宋体" w:eastAsia="宋体"/>
          <w:sz w:val="24"/>
        </w:rPr>
        <w:t>在实践层面，本书的测算结果可直接服务于三类政策场景：其一，为《碳达峰碳中和标准体系建设指南》的滚动实施提供量化决策依据——AHP权重给出模块建设的优先序，SSDMI缺口给出行业与模块的立项清单，TPD*阈值给出复审修订的操作规则；其二，为标准执行监督提供绩效工具——省级执行效率排名与损耗三源分解，可作为标准化工作考核与资源配置的参考坐标；其三，为CBAM应对与国际标准化谈判提供成本收益账本——分行业碳关税负担、适配改进的节省额与维度改进优先序，可直接转化为谈判立场文件与行业应对预案的技术附件。这种“学术研究—政策工具”的双重属性，是本书区别于一般性标准化研究的重要特征。</w:t>
      </w:r>
    </w:p>
    <w:p>
      <w:pPr>
        <w:keepNext/>
        <w:spacing w:before="160" w:after="120" w:line="360" w:lineRule="auto"/>
        <w:outlineLvl w:val="1"/>
      </w:pPr>
      <w:r>
        <w:rPr>
          <w:rFonts w:ascii="黑体" w:hAnsi="黑体" w:eastAsia="黑体"/>
          <w:sz w:val="28"/>
        </w:rPr>
        <w:t>14.4  研究局限与研究展望</w:t>
      </w:r>
    </w:p>
    <w:p>
      <w:pPr>
        <w:keepNext/>
        <w:spacing w:before="160" w:after="120" w:line="360" w:lineRule="auto"/>
        <w:outlineLvl w:val="2"/>
      </w:pPr>
      <w:r>
        <w:rPr>
          <w:rFonts w:ascii="黑体" w:hAnsi="黑体" w:eastAsia="黑体"/>
          <w:sz w:val="24"/>
        </w:rPr>
        <w:t>14.4.1  研究局限</w:t>
      </w:r>
    </w:p>
    <w:p>
      <w:pPr>
        <w:spacing w:line="360" w:lineRule="auto" w:after="0"/>
        <w:ind w:firstLineChars="200" w:firstLine="480"/>
        <w:jc w:val="both"/>
      </w:pPr>
      <w:r>
        <w:rPr>
          <w:rFonts w:ascii="宋体" w:hAnsi="宋体" w:eastAsia="宋体"/>
          <w:sz w:val="24"/>
        </w:rPr>
        <w:t>本书的局限首先来自数据。其一，标准文本数据库的量化编码依赖人工判读与专家评分，技术严格程度与覆盖完整性指数虽经双人背对背编码与一致性检验，仍难完全排除主观性；其二，省级执行效率测度所用的监管投入数据部分来自统计年鉴的邻近科目折算，口径精度有待提升；其三，如第1章所说明，书中模型估计结果基于作者构建的标准文本数据库与公开统计数据校准复算，用于展示方法体系，数字以最终发表版为准，企业层面的微观异质性尚未充分刻画。</w:t>
      </w:r>
    </w:p>
    <w:p>
      <w:pPr>
        <w:spacing w:line="360" w:lineRule="auto" w:after="0"/>
        <w:ind w:firstLineChars="200" w:firstLine="480"/>
        <w:jc w:val="both"/>
      </w:pPr>
      <w:r>
        <w:rPr>
          <w:rFonts w:ascii="宋体" w:hAnsi="宋体" w:eastAsia="宋体"/>
          <w:sz w:val="24"/>
        </w:rPr>
        <w:t>其次是方法上的简化。状态空间模型采用线性设定，难以捕捉标准体系演化中可能存在的阈值效应与结构突变；演化博弈将异质性企业压缩为代表性主体，三方框架也未纳入地方政府与行业协会等中间主体的策略空间；动态投入产出模型属局部均衡范畴，不刻画价格内生调整、汇率传导与全球贸易再配置，CBAM影响的量级解读须与可计算一般均衡结果相互参照（段玉婉等，2023；王欢欢和吴骁骏，2025）；ISGI八维度评分与AHP权重均依赖专家判断，尽管一致性与协调性检验达标，评分尺度的跨专家可比性仍是固有约束。</w:t>
      </w:r>
    </w:p>
    <w:p>
      <w:pPr>
        <w:spacing w:line="360" w:lineRule="auto" w:after="0"/>
        <w:ind w:firstLineChars="200" w:firstLine="480"/>
        <w:jc w:val="both"/>
      </w:pPr>
      <w:r>
        <w:rPr>
          <w:rFonts w:ascii="宋体" w:hAnsi="宋体" w:eastAsia="宋体"/>
          <w:sz w:val="24"/>
        </w:rPr>
        <w:t>最后是外部环境的不确定性。CBAM实施细则仍在演化，2025年Omnibus条例已大幅调整豁免门槛与证书规则，未来覆盖范围扩展、间接排放计费与第三国碳价认定规则的走向均存在变数（杨茹凯，2025）；主要经济体绿色产业政策的竞争与反复——从美国清洁能源补贴政策的摇摆到各国碳定价进程的分化（庄贵阳和王思博，2023；屠新泉和曾瑞，2024）——可能改变国际标准博弈的支付结构；氢能、CCUS、负排放等技术路线尚未收敛，技术突变可能使部分标准评估结论的适用前提发生漂移。这些不确定性提示读者，本书的情景模拟结果应理解为条件性推断而非无条件预测。</w:t>
      </w:r>
    </w:p>
    <w:p>
      <w:pPr>
        <w:keepNext/>
        <w:spacing w:before="160" w:after="120" w:line="360" w:lineRule="auto"/>
        <w:outlineLvl w:val="2"/>
      </w:pPr>
      <w:r>
        <w:rPr>
          <w:rFonts w:ascii="黑体" w:hAnsi="黑体" w:eastAsia="黑体"/>
          <w:sz w:val="24"/>
        </w:rPr>
        <w:t>14.4.2  研究展望</w:t>
      </w:r>
    </w:p>
    <w:p>
      <w:pPr>
        <w:spacing w:line="360" w:lineRule="auto" w:after="0"/>
        <w:ind w:firstLineChars="200" w:firstLine="480"/>
        <w:jc w:val="both"/>
      </w:pPr>
      <w:r>
        <w:rPr>
          <w:rFonts w:ascii="宋体" w:hAnsi="宋体" w:eastAsia="宋体"/>
          <w:sz w:val="24"/>
        </w:rPr>
        <w:t>面向未来，至少有四个方向值得深化。第一，微观化：随着企业碳账户、碳足迹披露与供应链碳数据的积累，可在企业—产品颗粒度上重构标准需求与执行行为的测度，结合大语言模型的标准文本解析技术，把标准量化编码从人工评分推进到可复现的机器编码，检验本书省级与行业层面结论的微观基础。第二，动态化：将标准体系与碳市场价格、绿色技术创新纳入统一的动态一般均衡框架，内生化标准更新与碳价形成的联动（张希良等，2021），考察“标准—碳价—创新”三者的协同最优路径（Acemoglu等，2012）。第三，多边化：将三方博弈扩展为包含欧盟、美国、新兴经济体与国际组织的多边规则竞争模型，研究互认网络的形成机制与中国的最优结盟策略，回应全球气候治理碎片化背景下的制度设计问题（Keohane和Victor，2016；Falkner，2016）。第四，前瞻化：面向2035年后碳中和攻坚阶段，研究负排放技术标准、气候适应标准与转型金融标准的前瞻布局，探索标准体系从“支撑达峰”向“支撑中和”的功能跃迁，为“四步走”路径的后两步提供先导性方案（何建坤，2021）。</w:t>
      </w:r>
    </w:p>
    <w:p>
      <w:pPr>
        <w:keepNext/>
        <w:spacing w:before="160" w:after="120" w:line="360" w:lineRule="auto"/>
        <w:outlineLvl w:val="1"/>
      </w:pPr>
      <w:r>
        <w:rPr>
          <w:rFonts w:ascii="黑体" w:hAnsi="黑体" w:eastAsia="黑体"/>
          <w:sz w:val="28"/>
        </w:rPr>
        <w:t>14.5  本章小结</w:t>
      </w:r>
    </w:p>
    <w:p>
      <w:pPr>
        <w:spacing w:line="360" w:lineRule="auto" w:after="0"/>
        <w:ind w:firstLineChars="200" w:firstLine="480"/>
        <w:jc w:val="both"/>
      </w:pPr>
      <w:r>
        <w:rPr>
          <w:rFonts w:ascii="宋体" w:hAnsi="宋体" w:eastAsia="宋体"/>
          <w:sz w:val="24"/>
        </w:rPr>
        <w:t>本章完成了全书的收束。14.1节按三大模块归纳了九条主要研究结论：演化机理层面，驱动结构由政策独大转向三力协同（政策贡献62.0%→41.0%），碳排放核算标准是互补网络的枢纽，ΔT+ΔM跨越临界区间方能触发“跟跑”向“领跑”的均衡跃迁；体系构建层面，供需错配总量收敛但碳吸收端缺口仍达0.58，五模块AHP权重与存量结构显著倒挂，动态更新阈值TPD*=0.30对应体系效能峰值；适配评估层面，执行效率升至0.734但仍有约四分之一效能损耗且三源结构清晰，国际差距集中于市场衔接与第三方核查两维度，2030年CBAM碳关税基准负担约225.3亿元而适配改进可削减43%。14.2节将上述结论转化为供给侧补短板、执行侧强激励、国际侧提话语权三大支柱共十一条建议，逐条落到“十五五”时期的具体部门与操作抓手。14.3节从理论、方法、实践三个层面总结了边际贡献，14.4节说明了数据、方法与外部环境三类局限及四个未来方向。</w:t>
      </w:r>
    </w:p>
    <w:p>
      <w:pPr>
        <w:spacing w:line="360" w:lineRule="auto" w:after="0"/>
        <w:ind w:firstLineChars="200" w:firstLine="480"/>
        <w:jc w:val="both"/>
      </w:pPr>
      <w:r>
        <w:rPr>
          <w:rFonts w:ascii="宋体" w:hAnsi="宋体" w:eastAsia="宋体"/>
          <w:sz w:val="24"/>
        </w:rPr>
        <w:t>回望全书，三个科学问题的答案可以凝练为三句话：标准体系的演化是政策、技术、市场三重驱动力在互补网络与多主体博弈中共同书写的动态过程；体系构建的要义不在标准数量的堆砌，而在按权重与缺口配置资源、以阈值机制保持体系与技术前沿的动态同步；适配性评估的价值在于把“差距”翻译为“成本”、把“改进”翻译为“收益”，从而使标准化战略获得清晰的优先序。绿色低碳标准体系是“双碳”目标的制度基础设施，也是全球绿色经贸规则重构中的国家战略资产。当碳排放核算的每一个边界条款、碳足迹认证的每一项因子取值都可能折算为真金白银的贸易成本时，标准化已不再是技术后台的默默无闻者，而是大国竞争前台的规则语言。愿本书提出的机理认识、体系方案与评估工具，能为中国从标准化大国走向标准化强国、从规则接受者成长为规则共塑者，提供一份兼具学理依据与操作路径的参考答卷。</w:t>
      </w:r>
    </w:p>
    <w:p>
      <w:r>
        <w:br w:type="page"/>
      </w:r>
    </w:p>
    <w:p>
      <w:pPr>
        <w:keepNext/>
        <w:spacing w:before="240" w:after="160" w:line="360" w:lineRule="auto"/>
        <w:jc w:val="center"/>
        <w:outlineLvl w:val="0"/>
      </w:pPr>
      <w:r>
        <w:rPr>
          <w:rFonts w:ascii="黑体" w:hAnsi="黑体" w:eastAsia="黑体"/>
          <w:b/>
          <w:sz w:val="30"/>
        </w:rPr>
        <w:t>参考文献</w:t>
      </w:r>
    </w:p>
    <w:p>
      <w:pPr>
        <w:spacing w:line="360" w:lineRule="auto" w:after="40"/>
        <w:ind w:left="480" w:hanging="480"/>
      </w:pPr>
      <w:r>
        <w:rPr>
          <w:rFonts w:ascii="宋体" w:hAnsi="宋体" w:eastAsia="宋体"/>
          <w:sz w:val="21"/>
        </w:rPr>
        <w:t>[1] BLIND K. The Economics of Standards: Theory, Evidence, Policy[M]. Cheltenham: Edward Elgar, 2004.</w:t>
      </w:r>
    </w:p>
    <w:p>
      <w:pPr>
        <w:spacing w:line="360" w:lineRule="auto" w:after="40"/>
        <w:ind w:left="480" w:hanging="480"/>
      </w:pPr>
      <w:r>
        <w:rPr>
          <w:rFonts w:ascii="宋体" w:hAnsi="宋体" w:eastAsia="宋体"/>
          <w:sz w:val="21"/>
        </w:rPr>
        <w:t>[2] SWANN G M P. The economics of standardization: an update[R]. London: UK Department for Business, Innovation and Skills, 2010.</w:t>
      </w:r>
    </w:p>
    <w:p>
      <w:pPr>
        <w:spacing w:line="360" w:lineRule="auto" w:after="40"/>
        <w:ind w:left="480" w:hanging="480"/>
      </w:pPr>
      <w:r>
        <w:rPr>
          <w:rFonts w:ascii="宋体" w:hAnsi="宋体" w:eastAsia="宋体"/>
          <w:sz w:val="21"/>
        </w:rPr>
        <w:t>[3] 何建坤. 碳达峰碳中和目标导向下能源和经济的低碳转型[J]. 环境经济研究, 2021, 6(1): 1-9.</w:t>
      </w:r>
    </w:p>
    <w:p>
      <w:pPr>
        <w:spacing w:line="360" w:lineRule="auto" w:after="40"/>
        <w:ind w:left="480" w:hanging="480"/>
      </w:pPr>
      <w:r>
        <w:rPr>
          <w:rFonts w:ascii="宋体" w:hAnsi="宋体" w:eastAsia="宋体"/>
          <w:sz w:val="21"/>
        </w:rPr>
        <w:t>[4] 袁惊柱. 能耗双控向碳排放双控全面转型的进展、问题和路径[J]. 当代经济管理, 2025, 47(12): 68-76.</w:t>
      </w:r>
    </w:p>
    <w:p>
      <w:pPr>
        <w:spacing w:line="360" w:lineRule="auto" w:after="40"/>
        <w:ind w:left="480" w:hanging="480"/>
      </w:pPr>
      <w:r>
        <w:rPr>
          <w:rFonts w:ascii="宋体" w:hAnsi="宋体" w:eastAsia="宋体"/>
          <w:sz w:val="21"/>
        </w:rPr>
        <w:t>[5] 姜春海, 闫振好, 王敏. “双碳”目标约束下的能耗双控到碳排放双控：规制工具、效应模拟与政策评价[J]. 中国工业经济, 2024(11): 5-23.</w:t>
      </w:r>
    </w:p>
    <w:p>
      <w:pPr>
        <w:spacing w:line="360" w:lineRule="auto" w:after="40"/>
        <w:ind w:left="480" w:hanging="480"/>
      </w:pPr>
      <w:r>
        <w:rPr>
          <w:rFonts w:ascii="宋体" w:hAnsi="宋体" w:eastAsia="宋体"/>
          <w:sz w:val="21"/>
        </w:rPr>
        <w:t>[6] 国家标准化管理委员会, 国家发展和改革委员会, 工业和信息化部, 等. 碳达峰碳中和标准体系建设指南[R]. 北京: 国家标准化管理委员会, 2023.</w:t>
      </w:r>
    </w:p>
    <w:p>
      <w:pPr>
        <w:spacing w:line="360" w:lineRule="auto" w:after="40"/>
        <w:ind w:left="480" w:hanging="480"/>
      </w:pPr>
      <w:r>
        <w:rPr>
          <w:rFonts w:ascii="宋体" w:hAnsi="宋体" w:eastAsia="宋体"/>
          <w:sz w:val="21"/>
        </w:rPr>
        <w:t>[7] 童庆蒙, 沈雪, 张露, 等. 基于生命周期评价法的碳足迹核算体系：国际标准与实践[J]. 华中农业大学学报(社会科学版), 2018(1): 46-57+158.</w:t>
      </w:r>
    </w:p>
    <w:p>
      <w:pPr>
        <w:spacing w:line="360" w:lineRule="auto" w:after="40"/>
        <w:ind w:left="480" w:hanging="480"/>
      </w:pPr>
      <w:r>
        <w:rPr>
          <w:rFonts w:ascii="宋体" w:hAnsi="宋体" w:eastAsia="宋体"/>
          <w:sz w:val="21"/>
        </w:rPr>
        <w:t>[8] WU P, XIA B, WANG X. The contribution of ISO 14067 to the evolution of global greenhouse gas standards—A review[J]. Renewable and Sustainable Energy Reviews, 2015, 47: 142-150.</w:t>
      </w:r>
    </w:p>
    <w:p>
      <w:pPr>
        <w:spacing w:line="360" w:lineRule="auto" w:after="40"/>
        <w:ind w:left="480" w:hanging="480"/>
      </w:pPr>
      <w:r>
        <w:rPr>
          <w:rFonts w:ascii="宋体" w:hAnsi="宋体" w:eastAsia="宋体"/>
          <w:sz w:val="21"/>
        </w:rPr>
        <w:t>[9] 孙亮, 林翎, 李鹏程. "双碳"目标要求下的标准体系建设[J]. 中国能源, 2022, 44(5): 56-62+55.</w:t>
      </w:r>
    </w:p>
    <w:p>
      <w:pPr>
        <w:spacing w:line="360" w:lineRule="auto" w:after="40"/>
        <w:ind w:left="480" w:hanging="480"/>
      </w:pPr>
      <w:r>
        <w:rPr>
          <w:rFonts w:ascii="宋体" w:hAnsi="宋体" w:eastAsia="宋体"/>
          <w:sz w:val="21"/>
        </w:rPr>
        <w:t>[10] 石明娟, 曹雨婷, 张吉兴, 等. 碳达峰、碳中和标准建设现状[J]. 标准科学, 2022(4): 49-54.</w:t>
      </w:r>
    </w:p>
    <w:p>
      <w:pPr>
        <w:spacing w:line="360" w:lineRule="auto" w:after="40"/>
        <w:ind w:left="480" w:hanging="480"/>
      </w:pPr>
      <w:r>
        <w:rPr>
          <w:rFonts w:ascii="宋体" w:hAnsi="宋体" w:eastAsia="宋体"/>
          <w:sz w:val="21"/>
        </w:rPr>
        <w:t>[11] 张希良, 张达, 余润心. 中国特色全国碳市场设计理论与实践[J]. 管理世界, 2021, 37(8): 80-95.</w:t>
      </w:r>
    </w:p>
    <w:p>
      <w:pPr>
        <w:spacing w:line="360" w:lineRule="auto" w:after="40"/>
        <w:ind w:left="480" w:hanging="480"/>
      </w:pPr>
      <w:r>
        <w:rPr>
          <w:rFonts w:ascii="宋体" w:hAnsi="宋体" w:eastAsia="宋体"/>
          <w:sz w:val="21"/>
        </w:rPr>
        <w:t>[12] 赵思琦, 刘庆富, 杨金强, 等. 全国碳市场的碳排放权配额管理机制设计——基于碳交易和风险对冲的视角[J]. 金融研究, 2023(12): 74-93.</w:t>
      </w:r>
    </w:p>
    <w:p>
      <w:pPr>
        <w:spacing w:line="360" w:lineRule="auto" w:after="40"/>
        <w:ind w:left="480" w:hanging="480"/>
      </w:pPr>
      <w:r>
        <w:rPr>
          <w:rFonts w:ascii="宋体" w:hAnsi="宋体" w:eastAsia="宋体"/>
          <w:sz w:val="21"/>
        </w:rPr>
        <w:t>[13] 陈诗一, 朱渝铖. 欧盟碳边境调节机制对我国绿色低碳转型的动态影响分析[J]. 江淮论坛, 2024(6): 21-28+2.</w:t>
      </w:r>
    </w:p>
    <w:p>
      <w:pPr>
        <w:spacing w:line="360" w:lineRule="auto" w:after="40"/>
        <w:ind w:left="480" w:hanging="480"/>
      </w:pPr>
      <w:r>
        <w:rPr>
          <w:rFonts w:ascii="宋体" w:hAnsi="宋体" w:eastAsia="宋体"/>
          <w:sz w:val="21"/>
        </w:rPr>
        <w:t>[14] 杨茹凯. 新全球化时代欧美碳边境调节机制检视及中国应对[J]. 北京工业大学学报(社会科学版), 2025, 25(4): 100-119.</w:t>
      </w:r>
    </w:p>
    <w:p>
      <w:pPr>
        <w:spacing w:line="360" w:lineRule="auto" w:after="40"/>
        <w:ind w:left="480" w:hanging="480"/>
      </w:pPr>
      <w:r>
        <w:rPr>
          <w:rFonts w:ascii="宋体" w:hAnsi="宋体" w:eastAsia="宋体"/>
          <w:sz w:val="21"/>
        </w:rPr>
        <w:t>[15] BRADFORD A. The Brussels effect: how the European Union rules the world[M]. New York: Oxford University Press, 2020.</w:t>
      </w:r>
    </w:p>
    <w:p>
      <w:pPr>
        <w:spacing w:line="360" w:lineRule="auto" w:after="40"/>
        <w:ind w:left="480" w:hanging="480"/>
      </w:pPr>
      <w:r>
        <w:rPr>
          <w:rFonts w:ascii="宋体" w:hAnsi="宋体" w:eastAsia="宋体"/>
          <w:sz w:val="21"/>
        </w:rPr>
        <w:t>[16] 刘梦佳, 李志永. 欧盟碳边境调节机制的布鲁塞尔效应：路径、效果及其限度[J]. 德国研究, 2025, 40(3): 36-55+146-147.</w:t>
      </w:r>
    </w:p>
    <w:p>
      <w:pPr>
        <w:spacing w:line="360" w:lineRule="auto" w:after="40"/>
        <w:ind w:left="480" w:hanging="480"/>
      </w:pPr>
      <w:r>
        <w:rPr>
          <w:rFonts w:ascii="宋体" w:hAnsi="宋体" w:eastAsia="宋体"/>
          <w:sz w:val="21"/>
        </w:rPr>
        <w:t>[17] 张兵兵, 余澜, 蔡宏波. 碳关税冲击与中国碳市场扩容提价的“缓冲阀”效应评估[J]. 中国工业经济, 2025(9): 5-22.</w:t>
      </w:r>
    </w:p>
    <w:p>
      <w:pPr>
        <w:spacing w:line="360" w:lineRule="auto" w:after="40"/>
        <w:ind w:left="480" w:hanging="480"/>
      </w:pPr>
      <w:r>
        <w:rPr>
          <w:rFonts w:ascii="宋体" w:hAnsi="宋体" w:eastAsia="宋体"/>
          <w:sz w:val="21"/>
        </w:rPr>
        <w:t>[18] 王欢欢, 吴骁骏. 碳关税、碳减排及其福利影响的定量研究：基于内生碳价的一般均衡模型[J]. 经济研究, 2025, 60(5): 192-208.</w:t>
      </w:r>
    </w:p>
    <w:p>
      <w:pPr>
        <w:spacing w:line="360" w:lineRule="auto" w:after="40"/>
        <w:ind w:left="480" w:hanging="480"/>
      </w:pPr>
      <w:r>
        <w:rPr>
          <w:rFonts w:ascii="宋体" w:hAnsi="宋体" w:eastAsia="宋体"/>
          <w:sz w:val="21"/>
        </w:rPr>
        <w:t>[19] 陈红敏. 国际碳核算体系发展及其评价[J]. 中国人口·资源与环境, 2011, 21(9): 111-116.</w:t>
      </w:r>
    </w:p>
    <w:p>
      <w:pPr>
        <w:spacing w:line="360" w:lineRule="auto" w:after="40"/>
        <w:ind w:left="480" w:hanging="480"/>
      </w:pPr>
      <w:r>
        <w:rPr>
          <w:rFonts w:ascii="宋体" w:hAnsi="宋体" w:eastAsia="宋体"/>
          <w:sz w:val="21"/>
        </w:rPr>
        <w:t>[20] 蓝虹, 杜彦霖. 自愿碳交易市场：产权量化标准与生态价值实现路径[J]. 改革, 2024(4): 77-92.</w:t>
      </w:r>
    </w:p>
    <w:p>
      <w:pPr>
        <w:spacing w:line="360" w:lineRule="auto" w:after="40"/>
        <w:ind w:left="480" w:hanging="480"/>
      </w:pPr>
      <w:r>
        <w:rPr>
          <w:rFonts w:ascii="宋体" w:hAnsi="宋体" w:eastAsia="宋体"/>
          <w:sz w:val="21"/>
        </w:rPr>
        <w:t>[21] 陈丹丹, 史代敏, 祁丹越, 等. 绿色金融统计标准的国际比较与中国实践[J]. 统计研究, 2025, 42(1): 75-87.</w:t>
      </w:r>
    </w:p>
    <w:p>
      <w:pPr>
        <w:spacing w:line="360" w:lineRule="auto" w:after="40"/>
        <w:ind w:left="480" w:hanging="480"/>
      </w:pPr>
      <w:r>
        <w:rPr>
          <w:rFonts w:ascii="宋体" w:hAnsi="宋体" w:eastAsia="宋体"/>
          <w:sz w:val="21"/>
        </w:rPr>
        <w:t>[22] 曹佳彦, 方静, 叶冠林, 等. 广东省产业园区绿色低碳标准体系框架构建[J]. 中国标准化, 2024(8): 57-61.</w:t>
      </w:r>
    </w:p>
    <w:p>
      <w:pPr>
        <w:spacing w:line="360" w:lineRule="auto" w:after="40"/>
        <w:ind w:left="480" w:hanging="480"/>
      </w:pPr>
      <w:r>
        <w:rPr>
          <w:rFonts w:ascii="宋体" w:hAnsi="宋体" w:eastAsia="宋体"/>
          <w:sz w:val="21"/>
        </w:rPr>
        <w:t>[23] 张一林, 刘鹏超, 郁芸君. 自愿与强制碳减排市场协同机制研究[J]. 中国工业经济, 2025(6): 43-61.</w:t>
      </w:r>
    </w:p>
    <w:p>
      <w:pPr>
        <w:spacing w:line="360" w:lineRule="auto" w:after="40"/>
        <w:ind w:left="480" w:hanging="480"/>
      </w:pPr>
      <w:r>
        <w:rPr>
          <w:rFonts w:ascii="宋体" w:hAnsi="宋体" w:eastAsia="宋体"/>
          <w:sz w:val="21"/>
        </w:rPr>
        <w:t>[24] 侯俊军, 丁琪琪, 岳有福, 等. 建立互利共赢的标准化合作伙伴关系：来自全球标准协调的证据[J]. 世界经济, 2025, 48(12): 3-31.</w:t>
      </w:r>
    </w:p>
    <w:p>
      <w:pPr>
        <w:spacing w:line="360" w:lineRule="auto" w:after="40"/>
        <w:ind w:left="480" w:hanging="480"/>
      </w:pPr>
      <w:r>
        <w:rPr>
          <w:rFonts w:ascii="宋体" w:hAnsi="宋体" w:eastAsia="宋体"/>
          <w:sz w:val="21"/>
        </w:rPr>
        <w:t>[25] KLAASSEN L, STOLL C. Harmonizing corporate carbon footprints[J]. Nature Communications, 2021, 12(1): 6149.</w:t>
      </w:r>
    </w:p>
    <w:p>
      <w:pPr>
        <w:spacing w:line="360" w:lineRule="auto" w:after="40"/>
        <w:ind w:left="480" w:hanging="480"/>
      </w:pPr>
      <w:r>
        <w:rPr>
          <w:rFonts w:ascii="宋体" w:hAnsi="宋体" w:eastAsia="宋体"/>
          <w:sz w:val="21"/>
        </w:rPr>
        <w:t>[26] 王明涛, 李宏亮, 谢建国. 自愿性国际标准协调与企业出口决策调整[J]. 经济研究, 2025, 60(5): 174-191.</w:t>
      </w:r>
    </w:p>
    <w:p>
      <w:pPr>
        <w:spacing w:line="360" w:lineRule="auto" w:after="40"/>
        <w:ind w:left="480" w:hanging="480"/>
      </w:pPr>
      <w:r>
        <w:rPr>
          <w:rFonts w:ascii="宋体" w:hAnsi="宋体" w:eastAsia="宋体"/>
          <w:sz w:val="21"/>
        </w:rPr>
        <w:t>[27] 舒辉, 唐飞. "双碳"标准化战略演进轨迹、研究进展和研究体系构建[J]. 质量探索, 2023, 20(1): 5-17.</w:t>
      </w:r>
    </w:p>
    <w:p>
      <w:pPr>
        <w:spacing w:line="360" w:lineRule="auto" w:after="40"/>
        <w:ind w:left="480" w:hanging="480"/>
      </w:pPr>
      <w:r>
        <w:rPr>
          <w:rFonts w:ascii="宋体" w:hAnsi="宋体" w:eastAsia="宋体"/>
          <w:sz w:val="21"/>
        </w:rPr>
        <w:t>[28] ZHAO R, PENG L, ZHAO Y, et al. Coevolution mechanisms of stakeholder strategies in the green building technologies innovation ecosystem: an evolutionary game theory perspective[J]. Environmental Impact Assessment Review, 2024, 104: 107418.</w:t>
      </w:r>
    </w:p>
    <w:p>
      <w:pPr>
        <w:spacing w:line="360" w:lineRule="auto" w:after="40"/>
        <w:ind w:left="480" w:hanging="480"/>
      </w:pPr>
      <w:r>
        <w:rPr>
          <w:rFonts w:ascii="宋体" w:hAnsi="宋体" w:eastAsia="宋体"/>
          <w:sz w:val="21"/>
        </w:rPr>
        <w:t>[29] ZHU M, ZHAO Z, MENG Y, et al. Unfolding the evolution of carbon inequality embodied in inter-provincial trade of China: network perspective analysis[J]. Environmental Impact Assessment Review, 2022, 97: 106884.</w:t>
      </w:r>
    </w:p>
    <w:p>
      <w:pPr>
        <w:spacing w:line="360" w:lineRule="auto" w:after="40"/>
        <w:ind w:left="480" w:hanging="480"/>
      </w:pPr>
      <w:r>
        <w:rPr>
          <w:rFonts w:ascii="宋体" w:hAnsi="宋体" w:eastAsia="宋体"/>
          <w:sz w:val="21"/>
        </w:rPr>
        <w:t>[30] NELSON R R, WINTER S G. An evolutionary theory of economic change[M]. Cambridge, MA: Harvard University Press, 1982.</w:t>
      </w:r>
    </w:p>
    <w:p>
      <w:pPr>
        <w:spacing w:line="360" w:lineRule="auto" w:after="40"/>
        <w:ind w:left="480" w:hanging="480"/>
      </w:pPr>
      <w:r>
        <w:rPr>
          <w:rFonts w:ascii="宋体" w:hAnsi="宋体" w:eastAsia="宋体"/>
          <w:sz w:val="21"/>
        </w:rPr>
        <w:t>[31] DOSI G. Technological paradigms and technological trajectories: a suggested interpretation of the determinants and directions of technical change[J]. Research Policy, 1982, 11(3): 147-162.</w:t>
      </w:r>
    </w:p>
    <w:p>
      <w:pPr>
        <w:spacing w:line="360" w:lineRule="auto" w:after="40"/>
        <w:ind w:left="480" w:hanging="480"/>
      </w:pPr>
      <w:r>
        <w:rPr>
          <w:rFonts w:ascii="宋体" w:hAnsi="宋体" w:eastAsia="宋体"/>
          <w:sz w:val="21"/>
        </w:rPr>
        <w:t>[32] TASSEY G. Standardization in technology-based markets[J]. Research Policy, 2000, 29(4-5): 587-602.</w:t>
      </w:r>
    </w:p>
    <w:p>
      <w:pPr>
        <w:spacing w:line="360" w:lineRule="auto" w:after="40"/>
        <w:ind w:left="480" w:hanging="480"/>
      </w:pPr>
      <w:r>
        <w:rPr>
          <w:rFonts w:ascii="宋体" w:hAnsi="宋体" w:eastAsia="宋体"/>
          <w:sz w:val="21"/>
        </w:rPr>
        <w:t>[33] BATTESE G E, COELLI T J. A model for technical inefficiency effects in a stochastic frontier production function for panel data[J]. Empirical Economics, 1995, 20(2): 325-332.</w:t>
      </w:r>
    </w:p>
    <w:p>
      <w:pPr>
        <w:spacing w:line="360" w:lineRule="auto" w:after="40"/>
        <w:ind w:left="480" w:hanging="480"/>
      </w:pPr>
      <w:r>
        <w:rPr>
          <w:rFonts w:ascii="宋体" w:hAnsi="宋体" w:eastAsia="宋体"/>
          <w:sz w:val="21"/>
        </w:rPr>
        <w:t>[34] MEHLING M A, VAN ASSELT H, DAS K, et al. Designing border carbon adjustments for enhanced climate action[J]. American Journal of International Law, 2019, 113(3): 433-481.</w:t>
      </w:r>
    </w:p>
    <w:p>
      <w:pPr>
        <w:spacing w:line="360" w:lineRule="auto" w:after="40"/>
        <w:ind w:left="480" w:hanging="480"/>
      </w:pPr>
      <w:r>
        <w:rPr>
          <w:rFonts w:ascii="宋体" w:hAnsi="宋体" w:eastAsia="宋体"/>
          <w:sz w:val="21"/>
        </w:rPr>
        <w:t>[35] KATZ M L, SHAPIRO C. Network externalities, competition, and compatibility[J]. American Economic Review, 1985, 75(3): 424-440.</w:t>
      </w:r>
    </w:p>
    <w:p>
      <w:pPr>
        <w:spacing w:line="360" w:lineRule="auto" w:after="40"/>
        <w:ind w:left="480" w:hanging="480"/>
      </w:pPr>
      <w:r>
        <w:rPr>
          <w:rFonts w:ascii="宋体" w:hAnsi="宋体" w:eastAsia="宋体"/>
          <w:sz w:val="21"/>
        </w:rPr>
        <w:t>[36] FARRELL J, SALONER G. Standardization, compatibility, and innovation[J]. RAND Journal of Economics, 1985, 16(1): 70-83.</w:t>
      </w:r>
    </w:p>
    <w:p>
      <w:pPr>
        <w:spacing w:line="360" w:lineRule="auto" w:after="40"/>
        <w:ind w:left="480" w:hanging="480"/>
      </w:pPr>
      <w:r>
        <w:rPr>
          <w:rFonts w:ascii="宋体" w:hAnsi="宋体" w:eastAsia="宋体"/>
          <w:sz w:val="21"/>
        </w:rPr>
        <w:t>[37] DAVID P A. Clio and the economics of QWERTY[J]. American Economic Review, 1985, 75(2): 332-337.</w:t>
      </w:r>
    </w:p>
    <w:p>
      <w:pPr>
        <w:spacing w:line="360" w:lineRule="auto" w:after="40"/>
        <w:ind w:left="480" w:hanging="480"/>
      </w:pPr>
      <w:r>
        <w:rPr>
          <w:rFonts w:ascii="宋体" w:hAnsi="宋体" w:eastAsia="宋体"/>
          <w:sz w:val="21"/>
        </w:rPr>
        <w:t>[38] ARTHUR W B. Competing technologies, increasing returns, and lock-in by historical events[J]. Economic Journal, 1989, 99(394): 116-131.</w:t>
      </w:r>
    </w:p>
    <w:p>
      <w:pPr>
        <w:spacing w:line="360" w:lineRule="auto" w:after="40"/>
        <w:ind w:left="480" w:hanging="480"/>
      </w:pPr>
      <w:r>
        <w:rPr>
          <w:rFonts w:ascii="宋体" w:hAnsi="宋体" w:eastAsia="宋体"/>
          <w:sz w:val="21"/>
        </w:rPr>
        <w:t>[39] NORTH D C. Institutions, institutional change and economic performance[M]. Cambridge: Cambridge University Press, 1990.</w:t>
      </w:r>
    </w:p>
    <w:p>
      <w:pPr>
        <w:spacing w:line="360" w:lineRule="auto" w:after="40"/>
        <w:ind w:left="480" w:hanging="480"/>
      </w:pPr>
      <w:r>
        <w:rPr>
          <w:rFonts w:ascii="宋体" w:hAnsi="宋体" w:eastAsia="宋体"/>
          <w:sz w:val="21"/>
        </w:rPr>
        <w:t>[40] AOKI M. Toward a comparative institutional analysis[M]. Cambridge, MA: MIT Press, 2001.</w:t>
      </w:r>
    </w:p>
    <w:p>
      <w:pPr>
        <w:spacing w:line="360" w:lineRule="auto" w:after="40"/>
        <w:ind w:left="480" w:hanging="480"/>
      </w:pPr>
      <w:r>
        <w:rPr>
          <w:rFonts w:ascii="宋体" w:hAnsi="宋体" w:eastAsia="宋体"/>
          <w:sz w:val="21"/>
        </w:rPr>
        <w:t>[41] 何凡, 黄炜, 陈波. 标准的力量：物流标准化与企业全要素生产率提升[J]. 数量经济技术经济研究, 2025, 42(8): 26-46.</w:t>
      </w:r>
    </w:p>
    <w:p>
      <w:pPr>
        <w:spacing w:line="360" w:lineRule="auto" w:after="40"/>
        <w:ind w:left="480" w:hanging="480"/>
      </w:pPr>
      <w:r>
        <w:rPr>
          <w:rFonts w:ascii="宋体" w:hAnsi="宋体" w:eastAsia="宋体"/>
          <w:sz w:val="21"/>
        </w:rPr>
        <w:t>[42] AIGNER D, LOVELL C A K, SCHMIDT P. Formulation and estimation of stochastic frontier production function models[J]. Journal of Econometrics, 1977, 6(1): 21-37.</w:t>
      </w:r>
    </w:p>
    <w:p>
      <w:pPr>
        <w:spacing w:line="360" w:lineRule="auto" w:after="40"/>
        <w:ind w:left="480" w:hanging="480"/>
      </w:pPr>
      <w:r>
        <w:rPr>
          <w:rFonts w:ascii="宋体" w:hAnsi="宋体" w:eastAsia="宋体"/>
          <w:sz w:val="21"/>
        </w:rPr>
        <w:t>[43] OAXACA R. Male-female wage differentials in urban labor markets[J]. International Economic Review, 1973, 14(3): 693-709.</w:t>
      </w:r>
    </w:p>
    <w:p>
      <w:pPr>
        <w:spacing w:line="360" w:lineRule="auto" w:after="40"/>
        <w:ind w:left="480" w:hanging="480"/>
      </w:pPr>
      <w:r>
        <w:rPr>
          <w:rFonts w:ascii="宋体" w:hAnsi="宋体" w:eastAsia="宋体"/>
          <w:sz w:val="21"/>
        </w:rPr>
        <w:t>[44] 陆婷, 徐奇渊. 绿色贸易壁垒与企业绿色技术：倒逼作用还是陷阱效应[J]. 财贸经济, 2023, 44(12): 140-157.</w:t>
      </w:r>
    </w:p>
    <w:p>
      <w:pPr>
        <w:spacing w:line="360" w:lineRule="auto" w:after="40"/>
        <w:ind w:left="480" w:hanging="480"/>
      </w:pPr>
      <w:r>
        <w:rPr>
          <w:rFonts w:ascii="宋体" w:hAnsi="宋体" w:eastAsia="宋体"/>
          <w:sz w:val="21"/>
        </w:rPr>
        <w:t>[45] 刘长松. 全球绿色贸易发展与碳中和进程对中国的影响及应对策略[J]. 经济与管理, 2024, 38(5): 77-84.</w:t>
      </w:r>
    </w:p>
    <w:p>
      <w:pPr>
        <w:spacing w:line="360" w:lineRule="auto" w:after="40"/>
        <w:ind w:left="480" w:hanging="480"/>
      </w:pPr>
      <w:r>
        <w:rPr>
          <w:rFonts w:ascii="宋体" w:hAnsi="宋体" w:eastAsia="宋体"/>
          <w:sz w:val="21"/>
        </w:rPr>
        <w:t>[46] BÜTHE T, MATTLI W. The new global rulers: the privatization of regulation in the world economy[M]. Princeton: Princeton University Press, 2011.</w:t>
      </w:r>
    </w:p>
    <w:p>
      <w:pPr>
        <w:spacing w:line="360" w:lineRule="auto" w:after="40"/>
        <w:ind w:left="480" w:hanging="480"/>
      </w:pPr>
      <w:r>
        <w:rPr>
          <w:rFonts w:ascii="宋体" w:hAnsi="宋体" w:eastAsia="宋体"/>
          <w:sz w:val="21"/>
        </w:rPr>
        <w:t>[47] 蔡鑫宇, 唐雯. 农地社会保障功能与农地流转: 理论研究与实证分析[J]. 数学的实践与认识, 2025, 55(03): 13-24.</w:t>
      </w:r>
    </w:p>
    <w:p>
      <w:pPr>
        <w:spacing w:line="360" w:lineRule="auto" w:after="40"/>
        <w:ind w:left="480" w:hanging="480"/>
      </w:pPr>
      <w:r>
        <w:rPr>
          <w:rFonts w:ascii="宋体" w:hAnsi="宋体" w:eastAsia="宋体"/>
          <w:sz w:val="21"/>
        </w:rPr>
        <w:t>[48] KALMAN R E. A new approach to linear filtering and prediction problems[J]. Journal of Basic Engineering, 1960, 82(1): 35-45.</w:t>
      </w:r>
    </w:p>
    <w:p>
      <w:pPr>
        <w:spacing w:line="360" w:lineRule="auto" w:after="40"/>
        <w:ind w:left="480" w:hanging="480"/>
      </w:pPr>
      <w:r>
        <w:rPr>
          <w:rFonts w:ascii="宋体" w:hAnsi="宋体" w:eastAsia="宋体"/>
          <w:sz w:val="21"/>
        </w:rPr>
        <w:t>[49] LOTKA A J. Elements of physical biology[M]. Baltimore: Williams &amp; Wilkins Company, 1925.</w:t>
      </w:r>
    </w:p>
    <w:p>
      <w:pPr>
        <w:spacing w:line="360" w:lineRule="auto" w:after="40"/>
        <w:ind w:left="480" w:hanging="480"/>
      </w:pPr>
      <w:r>
        <w:rPr>
          <w:rFonts w:ascii="宋体" w:hAnsi="宋体" w:eastAsia="宋体"/>
          <w:sz w:val="21"/>
        </w:rPr>
        <w:t>[50] TAYLOR P D, JONKER L B. Evolutionary stable strategies and game dynamics[J]. Mathematical Biosciences, 1978, 40(1-2): 145-156.</w:t>
      </w:r>
    </w:p>
    <w:p>
      <w:pPr>
        <w:spacing w:line="360" w:lineRule="auto" w:after="40"/>
        <w:ind w:left="480" w:hanging="480"/>
      </w:pPr>
      <w:r>
        <w:rPr>
          <w:rFonts w:ascii="宋体" w:hAnsi="宋体" w:eastAsia="宋体"/>
          <w:sz w:val="21"/>
        </w:rPr>
        <w:t>[51] FRIEDMAN D. Evolutionary games in economics[J]. Econometrica, 1991, 59(3): 637-666.</w:t>
      </w:r>
    </w:p>
    <w:p>
      <w:pPr>
        <w:spacing w:line="360" w:lineRule="auto" w:after="40"/>
        <w:ind w:left="480" w:hanging="480"/>
      </w:pPr>
      <w:r>
        <w:rPr>
          <w:rFonts w:ascii="宋体" w:hAnsi="宋体" w:eastAsia="宋体"/>
          <w:sz w:val="21"/>
        </w:rPr>
        <w:t>[52] SAATY T L. The analytic hierarchy process: planning, priority setting, resource allocation[M]. New York: McGraw-Hill, 1980.</w:t>
      </w:r>
    </w:p>
    <w:p>
      <w:pPr>
        <w:spacing w:line="360" w:lineRule="auto" w:after="40"/>
        <w:ind w:left="480" w:hanging="480"/>
      </w:pPr>
      <w:r>
        <w:rPr>
          <w:rFonts w:ascii="宋体" w:hAnsi="宋体" w:eastAsia="宋体"/>
          <w:sz w:val="21"/>
        </w:rPr>
        <w:t>[53] FORRESTER J W. Industrial dynamics[M]. Cambridge, MA: MIT Press, 1961.</w:t>
      </w:r>
    </w:p>
    <w:p>
      <w:pPr>
        <w:spacing w:line="360" w:lineRule="auto" w:after="40"/>
        <w:ind w:left="480" w:hanging="480"/>
      </w:pPr>
      <w:r>
        <w:rPr>
          <w:rFonts w:ascii="宋体" w:hAnsi="宋体" w:eastAsia="宋体"/>
          <w:sz w:val="21"/>
        </w:rPr>
        <w:t>[54] GLASER B G, STRAUSS A L. The discovery of grounded theory: strategies for qualitative research[M]. Chicago: Aldine Publishing Company, 1967.</w:t>
      </w:r>
    </w:p>
    <w:p>
      <w:pPr>
        <w:spacing w:line="360" w:lineRule="auto" w:after="40"/>
        <w:ind w:left="480" w:hanging="480"/>
      </w:pPr>
      <w:r>
        <w:rPr>
          <w:rFonts w:ascii="宋体" w:hAnsi="宋体" w:eastAsia="宋体"/>
          <w:sz w:val="21"/>
        </w:rPr>
        <w:t>[55] 周成, 钱再见. 中国碳达峰碳中和的政策路径——基于扎根理论和制度语法学的双重分析[J]. 中国人口·资源与环境, 2022, 32(11): 19-29.</w:t>
      </w:r>
    </w:p>
    <w:p>
      <w:pPr>
        <w:spacing w:line="360" w:lineRule="auto" w:after="40"/>
        <w:ind w:left="480" w:hanging="480"/>
      </w:pPr>
      <w:r>
        <w:rPr>
          <w:rFonts w:ascii="宋体" w:hAnsi="宋体" w:eastAsia="宋体"/>
          <w:sz w:val="21"/>
        </w:rPr>
        <w:t>[56] FRANCIOSI C, VOISIN A, MIRANDA S, et al. Measuring maintenance impacts on sustainability of manufacturing industries: From a systematic literature review to a framework proposal[J]. Journal of Cleaner Production, 2020, 260: 121065.</w:t>
      </w:r>
    </w:p>
    <w:p>
      <w:pPr>
        <w:spacing w:line="360" w:lineRule="auto" w:after="40"/>
        <w:ind w:left="480" w:hanging="480"/>
      </w:pPr>
      <w:r>
        <w:rPr>
          <w:rFonts w:ascii="宋体" w:hAnsi="宋体" w:eastAsia="宋体"/>
          <w:sz w:val="21"/>
        </w:rPr>
        <w:t>[57] SHAPIRO C, VARIAN H R. Information rules: a strategic guide to the network economy[M]. Boston: Harvard Business School Press, 1999.</w:t>
      </w:r>
    </w:p>
    <w:p>
      <w:pPr>
        <w:spacing w:line="360" w:lineRule="auto" w:after="40"/>
        <w:ind w:left="480" w:hanging="480"/>
      </w:pPr>
      <w:r>
        <w:rPr>
          <w:rFonts w:ascii="宋体" w:hAnsi="宋体" w:eastAsia="宋体"/>
          <w:sz w:val="21"/>
        </w:rPr>
        <w:t>[58] AGHION P, DECHEZLEPRÊTRE A, HÉMOUS D, et al. Carbon taxes, path dependency, and directed technical change: Evidence from the auto industry[J]. Journal of Political Economy, 2016, 124(1): 1-51.</w:t>
      </w:r>
    </w:p>
    <w:p>
      <w:pPr>
        <w:spacing w:line="360" w:lineRule="auto" w:after="40"/>
        <w:ind w:left="480" w:hanging="480"/>
      </w:pPr>
      <w:r>
        <w:rPr>
          <w:rFonts w:ascii="宋体" w:hAnsi="宋体" w:eastAsia="宋体"/>
          <w:sz w:val="21"/>
        </w:rPr>
        <w:t>[59] ACEMOGLU D, AGHION P, BURSZTYN L, et al. The environment and directed technical change[J]. American Economic Review, 2012, 102(1): 131-166.</w:t>
      </w:r>
    </w:p>
    <w:p>
      <w:pPr>
        <w:spacing w:line="360" w:lineRule="auto" w:after="40"/>
        <w:ind w:left="480" w:hanging="480"/>
      </w:pPr>
      <w:r>
        <w:rPr>
          <w:rFonts w:ascii="宋体" w:hAnsi="宋体" w:eastAsia="宋体"/>
          <w:sz w:val="21"/>
        </w:rPr>
        <w:t>[60] PORTER M E, VAN DER LINDE C. Toward a new conception of the environment-competitiveness relationship[J]. Journal of Economic Perspectives, 1995, 9(4): 97-118.</w:t>
      </w:r>
    </w:p>
    <w:p>
      <w:pPr>
        <w:spacing w:line="360" w:lineRule="auto" w:after="40"/>
        <w:ind w:left="480" w:hanging="480"/>
      </w:pPr>
      <w:r>
        <w:rPr>
          <w:rFonts w:ascii="宋体" w:hAnsi="宋体" w:eastAsia="宋体"/>
          <w:sz w:val="21"/>
        </w:rPr>
        <w:t>[61] POPP D. Induced innovation and energy prices[J]. American Economic Review, 2002, 92(1): 160-180.</w:t>
      </w:r>
    </w:p>
    <w:p>
      <w:pPr>
        <w:spacing w:line="360" w:lineRule="auto" w:after="40"/>
        <w:ind w:left="480" w:hanging="480"/>
      </w:pPr>
      <w:r>
        <w:rPr>
          <w:rFonts w:ascii="宋体" w:hAnsi="宋体" w:eastAsia="宋体"/>
          <w:sz w:val="21"/>
        </w:rPr>
        <w:t>[62] BRUNNERMEIER S B, COHEN M A. Determinants of environmental innovation in US manufacturing industries[J]. Journal of Environmental Economics and Management, 2003, 45(2): 278-293.</w:t>
      </w:r>
    </w:p>
    <w:p>
      <w:pPr>
        <w:spacing w:line="360" w:lineRule="auto" w:after="40"/>
        <w:ind w:left="480" w:hanging="480"/>
      </w:pPr>
      <w:r>
        <w:rPr>
          <w:rFonts w:ascii="宋体" w:hAnsi="宋体" w:eastAsia="宋体"/>
          <w:sz w:val="21"/>
        </w:rPr>
        <w:t>[63] BLIND K, PETERSEN S S, RIILLO C A F. The impact of standards and regulation on innovation in uncertain markets[J]. Research Policy, 2017, 46(1): 249-264.</w:t>
      </w:r>
    </w:p>
    <w:p>
      <w:pPr>
        <w:spacing w:line="360" w:lineRule="auto" w:after="40"/>
        <w:ind w:left="480" w:hanging="480"/>
      </w:pPr>
      <w:r>
        <w:rPr>
          <w:rFonts w:ascii="宋体" w:hAnsi="宋体" w:eastAsia="宋体"/>
          <w:sz w:val="21"/>
        </w:rPr>
        <w:t>[64] FOUCART R, LI Q C. The role of technology standards in product innovation: Theory and evidence from UK manufacturing firms[J]. Research Policy, 2021, 50(2): 104157.</w:t>
      </w:r>
    </w:p>
    <w:p>
      <w:pPr>
        <w:spacing w:line="360" w:lineRule="auto" w:after="40"/>
        <w:ind w:left="480" w:hanging="480"/>
      </w:pPr>
      <w:r>
        <w:rPr>
          <w:rFonts w:ascii="宋体" w:hAnsi="宋体" w:eastAsia="宋体"/>
          <w:sz w:val="21"/>
        </w:rPr>
        <w:t>[65] BLIND K, KRIEGER B, PELLENS M. The interplay between product innovation, publishing, patenting and developing standards[J]. Research Policy, 2022, 51(7): 104556.</w:t>
      </w:r>
    </w:p>
    <w:p>
      <w:pPr>
        <w:spacing w:line="360" w:lineRule="auto" w:after="40"/>
        <w:ind w:left="480" w:hanging="480"/>
      </w:pPr>
      <w:r>
        <w:rPr>
          <w:rFonts w:ascii="宋体" w:hAnsi="宋体" w:eastAsia="宋体"/>
          <w:sz w:val="21"/>
        </w:rPr>
        <w:t>[66] LANGE S, POHL J, SANTARIUS T. Digitalization and energy consumption. Does ICT reduce energy demand?[J]. Ecological Economics, 2020, 176: 106760.</w:t>
      </w:r>
    </w:p>
    <w:p>
      <w:pPr>
        <w:spacing w:line="360" w:lineRule="auto" w:after="40"/>
        <w:ind w:left="480" w:hanging="480"/>
      </w:pPr>
      <w:r>
        <w:rPr>
          <w:rFonts w:ascii="宋体" w:hAnsi="宋体" w:eastAsia="宋体"/>
          <w:sz w:val="21"/>
        </w:rPr>
        <w:t>[67] HYYSALO S, JUNTUNEN J K. Series of configurational movements: User activities in technology generalization[J]. Technological Forecasting and Social Change, 2023, 197: 123158.</w:t>
      </w:r>
    </w:p>
    <w:p>
      <w:pPr>
        <w:spacing w:line="360" w:lineRule="auto" w:after="40"/>
        <w:ind w:left="480" w:hanging="480"/>
      </w:pPr>
      <w:r>
        <w:rPr>
          <w:rFonts w:ascii="宋体" w:hAnsi="宋体" w:eastAsia="宋体"/>
          <w:sz w:val="21"/>
        </w:rPr>
        <w:t>[68] LEE M J, CHOI H, ROH T. Is institutional pressure the driver for green business model innovation of SMEs?[J]. Technological Forecasting and Social Change, 2024, 209: 123814.</w:t>
      </w:r>
    </w:p>
    <w:p>
      <w:pPr>
        <w:spacing w:line="360" w:lineRule="auto" w:after="40"/>
        <w:ind w:left="480" w:hanging="480"/>
      </w:pPr>
      <w:r>
        <w:rPr>
          <w:rFonts w:ascii="宋体" w:hAnsi="宋体" w:eastAsia="宋体"/>
          <w:sz w:val="21"/>
        </w:rPr>
        <w:t>[69] BRADFORD A. Exporting standards: The externalization of the EU's regulatory power via markets[J]. International Review of Law and Economics, 2015, 42: 158-173.</w:t>
      </w:r>
    </w:p>
    <w:p>
      <w:pPr>
        <w:spacing w:line="360" w:lineRule="auto" w:after="40"/>
        <w:ind w:left="480" w:hanging="480"/>
      </w:pPr>
      <w:r>
        <w:rPr>
          <w:rFonts w:ascii="宋体" w:hAnsi="宋体" w:eastAsia="宋体"/>
          <w:sz w:val="21"/>
        </w:rPr>
        <w:t>[70] HELM D, HEPBURN C. The economics and politics of climate change[M]. Oxford: Oxford University Press, 2009.</w:t>
      </w:r>
    </w:p>
    <w:p>
      <w:pPr>
        <w:spacing w:line="360" w:lineRule="auto" w:after="40"/>
        <w:ind w:left="480" w:hanging="480"/>
      </w:pPr>
      <w:r>
        <w:rPr>
          <w:rFonts w:ascii="宋体" w:hAnsi="宋体" w:eastAsia="宋体"/>
          <w:sz w:val="21"/>
        </w:rPr>
        <w:t>[71] VICTOR D G. Global warming gridlock: creating more effective strategies for protecting the planet[M]. Cambridge: Cambridge University Press, 2011.</w:t>
      </w:r>
    </w:p>
    <w:p>
      <w:pPr>
        <w:spacing w:line="360" w:lineRule="auto" w:after="40"/>
        <w:ind w:left="480" w:hanging="480"/>
      </w:pPr>
      <w:r>
        <w:rPr>
          <w:rFonts w:ascii="宋体" w:hAnsi="宋体" w:eastAsia="宋体"/>
          <w:sz w:val="21"/>
        </w:rPr>
        <w:t>[72] KEOHANE R O, VICTOR D G. Cooperation and discord in global climate policy[J]. Nature Climate Change, 2016, 6(6): 570-575.</w:t>
      </w:r>
    </w:p>
    <w:p>
      <w:pPr>
        <w:spacing w:line="360" w:lineRule="auto" w:after="40"/>
        <w:ind w:left="480" w:hanging="480"/>
      </w:pPr>
      <w:r>
        <w:rPr>
          <w:rFonts w:ascii="宋体" w:hAnsi="宋体" w:eastAsia="宋体"/>
          <w:sz w:val="21"/>
        </w:rPr>
        <w:t>[73] FALKNER R. The Paris Agreement and the new logic of international climate politics[J]. International Affairs, 2016, 92(5): 1107-1125.</w:t>
      </w:r>
    </w:p>
    <w:p>
      <w:pPr>
        <w:spacing w:line="360" w:lineRule="auto" w:after="40"/>
        <w:ind w:left="480" w:hanging="480"/>
      </w:pPr>
      <w:r>
        <w:rPr>
          <w:rFonts w:ascii="宋体" w:hAnsi="宋体" w:eastAsia="宋体"/>
          <w:sz w:val="21"/>
        </w:rPr>
        <w:t>[74] HALE T. Catalytic cooperation[J]. Global Environmental Politics, 2020, 20(4): 73-98.</w:t>
      </w:r>
    </w:p>
    <w:p>
      <w:pPr>
        <w:spacing w:line="360" w:lineRule="auto" w:after="40"/>
        <w:ind w:left="480" w:hanging="480"/>
      </w:pPr>
      <w:r>
        <w:rPr>
          <w:rFonts w:ascii="宋体" w:hAnsi="宋体" w:eastAsia="宋体"/>
          <w:sz w:val="21"/>
        </w:rPr>
        <w:t>[75] BORTOLETTO W W, PACAGNELLA JUNIOR A C, CABELLO O G. Exploring the scientific literature on clean development mechanisms: A bibliometric analysis[J]. Energy Policy, 2023, 183: 113806.</w:t>
      </w:r>
    </w:p>
    <w:p>
      <w:pPr>
        <w:spacing w:line="360" w:lineRule="auto" w:after="40"/>
        <w:ind w:left="480" w:hanging="480"/>
      </w:pPr>
      <w:r>
        <w:rPr>
          <w:rFonts w:ascii="宋体" w:hAnsi="宋体" w:eastAsia="宋体"/>
          <w:sz w:val="21"/>
        </w:rPr>
        <w:t>[76] HE R, LUO L, SHAMSUDDIN A, et al. Corporate carbon accounting: a literature review of carbon accounting research from the Kyoto Protocol to the Paris Agreement[J]. Accounting &amp; Finance, 2022, 62(1): 261-298.</w:t>
      </w:r>
    </w:p>
    <w:p>
      <w:pPr>
        <w:spacing w:line="360" w:lineRule="auto" w:after="40"/>
        <w:ind w:left="480" w:hanging="480"/>
      </w:pPr>
      <w:r>
        <w:rPr>
          <w:rFonts w:ascii="宋体" w:hAnsi="宋体" w:eastAsia="宋体"/>
          <w:sz w:val="21"/>
        </w:rPr>
        <w:t>[77] 冯相昭, 赖晓涛, 田春秀. 关注低碳标准发展新动向——英国PAS2050碳足迹标准[J]. 环境保护, 2010(3): 74-76.</w:t>
      </w:r>
    </w:p>
    <w:p>
      <w:pPr>
        <w:spacing w:line="360" w:lineRule="auto" w:after="40"/>
        <w:ind w:left="480" w:hanging="480"/>
      </w:pPr>
      <w:r>
        <w:rPr>
          <w:rFonts w:ascii="宋体" w:hAnsi="宋体" w:eastAsia="宋体"/>
          <w:sz w:val="21"/>
        </w:rPr>
        <w:t>[78] BJØRN A, LLOYD S M, BRANDER M, et al. Renewable energy certificates threaten the integrity of corporate science-based targets[J]. Nature Climate Change, 2022, 12(6): 539-546.</w:t>
      </w:r>
    </w:p>
    <w:p>
      <w:pPr>
        <w:spacing w:line="360" w:lineRule="auto" w:after="40"/>
        <w:ind w:left="480" w:hanging="480"/>
      </w:pPr>
      <w:r>
        <w:rPr>
          <w:rFonts w:ascii="宋体" w:hAnsi="宋体" w:eastAsia="宋体"/>
          <w:sz w:val="21"/>
        </w:rPr>
        <w:t>[79] 郭晓娜, 陈睿山, 李强, 等. 全球气候治理演变历程及实践框架研究[J]. 世界地理研究, 2024, 33(11): 16-27.</w:t>
      </w:r>
    </w:p>
    <w:p>
      <w:pPr>
        <w:spacing w:line="360" w:lineRule="auto" w:after="40"/>
        <w:ind w:left="480" w:hanging="480"/>
      </w:pPr>
      <w:r>
        <w:rPr>
          <w:rFonts w:ascii="宋体" w:hAnsi="宋体" w:eastAsia="宋体"/>
          <w:sz w:val="21"/>
        </w:rPr>
        <w:t>[80] 庄贵阳, 王思博. 全球气候治理变革期主要经济体碳中和战略博弈[J]. 社会科学辑刊, 2023, (5): 190-196.</w:t>
      </w:r>
    </w:p>
    <w:p>
      <w:pPr>
        <w:spacing w:line="360" w:lineRule="auto" w:after="40"/>
        <w:ind w:left="480" w:hanging="480"/>
      </w:pPr>
      <w:r>
        <w:rPr>
          <w:rFonts w:ascii="宋体" w:hAnsi="宋体" w:eastAsia="宋体"/>
          <w:sz w:val="21"/>
        </w:rPr>
        <w:t>[81] NARASSIMHAN E, GALLAGHER K S, KOESTER S, et al. Carbon pricing in practice: A review of existing emissions trading systems[J]. Climate Policy, 2018, 18(8): 967-991.</w:t>
      </w:r>
    </w:p>
    <w:p>
      <w:pPr>
        <w:spacing w:line="360" w:lineRule="auto" w:after="40"/>
        <w:ind w:left="480" w:hanging="480"/>
      </w:pPr>
      <w:r>
        <w:rPr>
          <w:rFonts w:ascii="宋体" w:hAnsi="宋体" w:eastAsia="宋体"/>
          <w:sz w:val="21"/>
        </w:rPr>
        <w:t>[82] GREEN J F. Does carbon pricing reduce emissions? A review of ex-post analyses[J]. Environmental Research Letters, 2021, 16(4): 043004.</w:t>
      </w:r>
    </w:p>
    <w:p>
      <w:pPr>
        <w:spacing w:line="360" w:lineRule="auto" w:after="40"/>
        <w:ind w:left="480" w:hanging="480"/>
      </w:pPr>
      <w:r>
        <w:rPr>
          <w:rFonts w:ascii="宋体" w:hAnsi="宋体" w:eastAsia="宋体"/>
          <w:sz w:val="21"/>
        </w:rPr>
        <w:t>[83] DÖBBELING-HILDEBRANDT N, MIERSCH K, KHANNA T M, et al. Systematic review and meta-analysis of ex-post evaluations on the effectiveness of carbon pricing[J]. Nature Communications, 2024, 15(1): 4147.</w:t>
      </w:r>
    </w:p>
    <w:p>
      <w:pPr>
        <w:spacing w:line="360" w:lineRule="auto" w:after="40"/>
        <w:ind w:left="480" w:hanging="480"/>
      </w:pPr>
      <w:r>
        <w:rPr>
          <w:rFonts w:ascii="宋体" w:hAnsi="宋体" w:eastAsia="宋体"/>
          <w:sz w:val="21"/>
        </w:rPr>
        <w:t>[84] ZHANG C, YU Z. Analysis on the development situation and countermeasures of China's "Double Carbon" standardization construction[J]. Ecological Economy, 2023, 39(5): 53-58.</w:t>
      </w:r>
    </w:p>
    <w:p>
      <w:pPr>
        <w:spacing w:line="360" w:lineRule="auto" w:after="40"/>
        <w:ind w:left="480" w:hanging="480"/>
      </w:pPr>
      <w:r>
        <w:rPr>
          <w:rFonts w:ascii="宋体" w:hAnsi="宋体" w:eastAsia="宋体"/>
          <w:sz w:val="21"/>
        </w:rPr>
        <w:t>[85] 陈昌洪. 低碳农业标准化理论分析与发展对策[J]. 西北农林科技大学学报(社会科学版), 2016, 16(1): 52-58.</w:t>
      </w:r>
    </w:p>
    <w:p>
      <w:pPr>
        <w:spacing w:line="360" w:lineRule="auto" w:after="40"/>
        <w:ind w:left="480" w:hanging="480"/>
      </w:pPr>
      <w:r>
        <w:rPr>
          <w:rFonts w:ascii="宋体" w:hAnsi="宋体" w:eastAsia="宋体"/>
          <w:sz w:val="21"/>
        </w:rPr>
        <w:t>[86] DONNER M, VERNIQUET A, BROEZE J, et al. Critical success and risk factors for circular business models valorising agricultural waste and by-products[J]. Resources, Conservation and Recycling, 2021, 165: 105236.</w:t>
      </w:r>
    </w:p>
    <w:p>
      <w:pPr>
        <w:spacing w:line="360" w:lineRule="auto" w:after="40"/>
        <w:ind w:left="480" w:hanging="480"/>
      </w:pPr>
      <w:r>
        <w:rPr>
          <w:rFonts w:ascii="宋体" w:hAnsi="宋体" w:eastAsia="宋体"/>
          <w:sz w:val="21"/>
        </w:rPr>
        <w:t>[87] CAI X, XIANG H, NESKORODIEVA I, et al. Interrelation between human capital management and ESG engagement: evidence from S&amp;P 500 firms[J]. Humanities and Social Sciences Communications, 2024, 11(1): 1654.</w:t>
      </w:r>
    </w:p>
    <w:p>
      <w:pPr>
        <w:spacing w:line="360" w:lineRule="auto" w:after="40"/>
        <w:ind w:left="480" w:hanging="480"/>
      </w:pPr>
      <w:r>
        <w:rPr>
          <w:rFonts w:ascii="宋体" w:hAnsi="宋体" w:eastAsia="宋体"/>
          <w:sz w:val="21"/>
        </w:rPr>
        <w:t>[88] 黄俊勇, 刘世锦. 碳标签推广应用的国际经验与中国策略[J]. 改革, 2023(2): 62-74.</w:t>
      </w:r>
    </w:p>
    <w:p>
      <w:pPr>
        <w:spacing w:line="360" w:lineRule="auto" w:after="40"/>
        <w:ind w:left="480" w:hanging="480"/>
      </w:pPr>
      <w:r>
        <w:rPr>
          <w:rFonts w:ascii="宋体" w:hAnsi="宋体" w:eastAsia="宋体"/>
          <w:sz w:val="21"/>
        </w:rPr>
        <w:t>[89] COSBEY A, DROEGE S, FISCHER C, et al. Developing guidance for implementing border carbon adjustments: Lessons, cautions, and research needs from the literature[J]. Review of Environmental Economics and Policy, 2019, 13(1): 3-22.</w:t>
      </w:r>
    </w:p>
    <w:p>
      <w:pPr>
        <w:spacing w:line="360" w:lineRule="auto" w:after="40"/>
        <w:ind w:left="480" w:hanging="480"/>
      </w:pPr>
      <w:r>
        <w:rPr>
          <w:rFonts w:ascii="宋体" w:hAnsi="宋体" w:eastAsia="宋体"/>
          <w:sz w:val="21"/>
        </w:rPr>
        <w:t>[90] BÖHRINGER C, FISCHER C, ROSENDAHL K E, et al. Potential impacts and challenges of border carbon adjustments[J]. Nature Climate Change, 2022, 12(1): 22-29.</w:t>
      </w:r>
    </w:p>
    <w:p>
      <w:pPr>
        <w:spacing w:line="360" w:lineRule="auto" w:after="40"/>
        <w:ind w:left="480" w:hanging="480"/>
      </w:pPr>
      <w:r>
        <w:rPr>
          <w:rFonts w:ascii="宋体" w:hAnsi="宋体" w:eastAsia="宋体"/>
          <w:sz w:val="21"/>
        </w:rPr>
        <w:t>[91] BELLORA C, FONTAGNÉ L. EU in search of a Carbon Border Adjustment Mechanism[J]. Energy Economics, 2023, 123: 106673.</w:t>
      </w:r>
    </w:p>
    <w:p>
      <w:pPr>
        <w:spacing w:line="360" w:lineRule="auto" w:after="40"/>
        <w:ind w:left="480" w:hanging="480"/>
      </w:pPr>
      <w:r>
        <w:rPr>
          <w:rFonts w:ascii="宋体" w:hAnsi="宋体" w:eastAsia="宋体"/>
          <w:sz w:val="21"/>
        </w:rPr>
        <w:t>[92] MAGACHO G, ESPAGNE E, GODIN A. Impacts of the CBAM on EU trade partners: consequences for developing countries[J]. Climate Policy, 2024, 24(2): 243-259.</w:t>
      </w:r>
    </w:p>
    <w:p>
      <w:pPr>
        <w:spacing w:line="360" w:lineRule="auto" w:after="40"/>
        <w:ind w:left="480" w:hanging="480"/>
      </w:pPr>
      <w:r>
        <w:rPr>
          <w:rFonts w:ascii="宋体" w:hAnsi="宋体" w:eastAsia="宋体"/>
          <w:sz w:val="21"/>
        </w:rPr>
        <w:t>[93] OVERLAND I, SABYRBEKOV R. Know your opponent: Which countries might fight the European carbon border adjustment mechanism?[J]. Energy Policy, 2022, 169: 113175.</w:t>
      </w:r>
    </w:p>
    <w:p>
      <w:pPr>
        <w:spacing w:line="360" w:lineRule="auto" w:after="40"/>
        <w:ind w:left="480" w:hanging="480"/>
      </w:pPr>
      <w:r>
        <w:rPr>
          <w:rFonts w:ascii="宋体" w:hAnsi="宋体" w:eastAsia="宋体"/>
          <w:sz w:val="21"/>
        </w:rPr>
        <w:t>[94] 段玉婉, 蔡龙飞, 陈一文. 全球化背景下中国碳市场的减排和福利效应[J]. 经济研究, 2023, 58(7): 121-138.</w:t>
      </w:r>
    </w:p>
    <w:p>
      <w:pPr>
        <w:spacing w:line="360" w:lineRule="auto" w:after="40"/>
        <w:ind w:left="480" w:hanging="480"/>
      </w:pPr>
      <w:r>
        <w:rPr>
          <w:rFonts w:ascii="宋体" w:hAnsi="宋体" w:eastAsia="宋体"/>
          <w:sz w:val="21"/>
        </w:rPr>
        <w:t>[95] DECLERCK M, TRIFONOVA N, HARTLEY J, et al. Cumulative effects of offshore renewables: From pragmatic policies to holistic marine spatial planning tools[J]. Environmental Impact Assessment Review, 2023, 101: 107153.</w:t>
      </w:r>
    </w:p>
    <w:p>
      <w:pPr>
        <w:spacing w:line="360" w:lineRule="auto" w:after="40"/>
        <w:ind w:left="480" w:hanging="480"/>
      </w:pPr>
      <w:r>
        <w:rPr>
          <w:rFonts w:ascii="宋体" w:hAnsi="宋体" w:eastAsia="宋体"/>
          <w:sz w:val="21"/>
        </w:rPr>
        <w:t>[96] CAI X, XIANG H, AKBARI F. Integrated sustainability perspective to interconnect circular economy, environmental development, and social status: designation of sustainable development spillovers[J]. Socio-Economic Planning Sciences, 2025, 101: 102253.</w:t>
      </w:r>
    </w:p>
    <w:p>
      <w:pPr>
        <w:spacing w:line="360" w:lineRule="auto" w:after="40"/>
        <w:ind w:left="480" w:hanging="480"/>
      </w:pPr>
      <w:r>
        <w:rPr>
          <w:rFonts w:ascii="宋体" w:hAnsi="宋体" w:eastAsia="宋体"/>
          <w:sz w:val="21"/>
        </w:rPr>
        <w:t>[97] STERN N. The economics of climate change: the Stern review[M]. Cambridge: Cambridge University Press, 2007.</w:t>
      </w:r>
    </w:p>
    <w:p>
      <w:pPr>
        <w:spacing w:line="360" w:lineRule="auto" w:after="40"/>
        <w:ind w:left="480" w:hanging="480"/>
      </w:pPr>
      <w:r>
        <w:rPr>
          <w:rFonts w:ascii="宋体" w:hAnsi="宋体" w:eastAsia="宋体"/>
          <w:sz w:val="21"/>
        </w:rPr>
        <w:t>[98] NORDHAUS W. Climate change: the ultimate challenge for economics[J]. American Economic Review, 2019, 109(6): 1991-2014.</w:t>
      </w:r>
    </w:p>
    <w:p>
      <w:pPr>
        <w:spacing w:line="360" w:lineRule="auto" w:after="40"/>
        <w:ind w:left="480" w:hanging="480"/>
      </w:pPr>
      <w:r>
        <w:rPr>
          <w:rFonts w:ascii="宋体" w:hAnsi="宋体" w:eastAsia="宋体"/>
          <w:sz w:val="21"/>
        </w:rPr>
        <w:t>[99] FLACHSLAND C, MARSCHINSKI R, EDENHOFER O. To link or not to link: Benefits and disadvantages of linking cap-and-trade systems[J]. Climate Policy, 2009, 9(4): 358-372.</w:t>
      </w:r>
    </w:p>
    <w:p>
      <w:pPr>
        <w:spacing w:line="360" w:lineRule="auto" w:after="40"/>
        <w:ind w:left="480" w:hanging="480"/>
      </w:pPr>
      <w:r>
        <w:rPr>
          <w:rFonts w:ascii="宋体" w:hAnsi="宋体" w:eastAsia="宋体"/>
          <w:sz w:val="21"/>
        </w:rPr>
        <w:t>[100] ELLERMAN A D, CONVERY F J, DE PERTHUIS C. Pricing Carbon: The European Union Emissions Trading Scheme[M]. Cambridge: Cambridge University Press, 2010.</w:t>
      </w:r>
    </w:p>
    <w:p>
      <w:pPr>
        <w:spacing w:line="360" w:lineRule="auto" w:after="40"/>
        <w:ind w:left="480" w:hanging="480"/>
      </w:pPr>
      <w:r>
        <w:rPr>
          <w:rFonts w:ascii="宋体" w:hAnsi="宋体" w:eastAsia="宋体"/>
          <w:sz w:val="21"/>
        </w:rPr>
        <w:t>[101] GRUBB M, NEUHOFF K. Allocation and competitiveness in the EU emissions trading scheme: Policy overview[J]. Climate Policy, 2006, 6(1): 7-30.</w:t>
      </w:r>
    </w:p>
    <w:p>
      <w:pPr>
        <w:spacing w:line="360" w:lineRule="auto" w:after="40"/>
        <w:ind w:left="480" w:hanging="480"/>
      </w:pPr>
      <w:r>
        <w:rPr>
          <w:rFonts w:ascii="宋体" w:hAnsi="宋体" w:eastAsia="宋体"/>
          <w:sz w:val="21"/>
        </w:rPr>
        <w:t>[102] COLMER J, MARTIN R, MUÛLS M, et al. Does pricing carbon mitigate climate change? Firm-level evidence from the European Union Emissions Trading System[J]. Review of Economic Studies, 2025, 92(3): 1625-1660.</w:t>
      </w:r>
    </w:p>
    <w:p>
      <w:pPr>
        <w:spacing w:line="360" w:lineRule="auto" w:after="40"/>
        <w:ind w:left="480" w:hanging="480"/>
      </w:pPr>
      <w:r>
        <w:rPr>
          <w:rFonts w:ascii="宋体" w:hAnsi="宋体" w:eastAsia="宋体"/>
          <w:sz w:val="21"/>
        </w:rPr>
        <w:t>[103] NEWELL P, PATERSON M. Climate capitalism: global warming and the transformation of the global economy[M]. Cambridge: Cambridge University Press, 2010.</w:t>
      </w:r>
    </w:p>
    <w:p>
      <w:pPr>
        <w:spacing w:line="360" w:lineRule="auto" w:after="40"/>
        <w:ind w:left="480" w:hanging="480"/>
      </w:pPr>
      <w:r>
        <w:rPr>
          <w:rFonts w:ascii="宋体" w:hAnsi="宋体" w:eastAsia="宋体"/>
          <w:sz w:val="21"/>
        </w:rPr>
        <w:t>[104] OBERTHÜR S, GROEN L. Explaining goal achievement in international negotiations: the EU and the Paris Agreement on climate change[J]. Journal of European Public Policy, 2018, 25(5): 708-727.</w:t>
      </w:r>
    </w:p>
    <w:p>
      <w:pPr>
        <w:spacing w:line="360" w:lineRule="auto" w:after="40"/>
        <w:ind w:left="480" w:hanging="480"/>
      </w:pPr>
      <w:r>
        <w:rPr>
          <w:rFonts w:ascii="宋体" w:hAnsi="宋体" w:eastAsia="宋体"/>
          <w:sz w:val="21"/>
        </w:rPr>
        <w:t>[105] BRANGER F, QUIRION P. Would border carbon adjustments prevent carbon leakage and heavy industry competitiveness losses? Insights from a meta-analysis of recent economic studies[J]. Ecological Economics, 2014, 99: 29-39.</w:t>
      </w:r>
    </w:p>
    <w:p>
      <w:pPr>
        <w:spacing w:line="360" w:lineRule="auto" w:after="40"/>
        <w:ind w:left="480" w:hanging="480"/>
      </w:pPr>
      <w:r>
        <w:rPr>
          <w:rFonts w:ascii="宋体" w:hAnsi="宋体" w:eastAsia="宋体"/>
          <w:sz w:val="21"/>
        </w:rPr>
        <w:t>[106] 屠新泉, 曾瑞. 美国清洁能源补贴政策新动向、影响及应对策略——基于美国《通胀削减法案》的分析[J]. 浙江学刊, 2024(1): 137-143.</w:t>
      </w:r>
    </w:p>
    <w:p>
      <w:pPr>
        <w:spacing w:line="360" w:lineRule="auto" w:after="40"/>
        <w:ind w:left="480" w:hanging="480"/>
      </w:pPr>
      <w:r>
        <w:rPr>
          <w:rFonts w:ascii="宋体" w:hAnsi="宋体" w:eastAsia="宋体"/>
          <w:sz w:val="21"/>
        </w:rPr>
        <w:t>[107] 屠新泉, 曾瑞. 新能源领域产业政策的国际竞争与协同[J]. 国际经济评论, 2026(1): 42-74+5.</w:t>
      </w:r>
    </w:p>
    <w:p>
      <w:pPr>
        <w:spacing w:line="360" w:lineRule="auto" w:after="40"/>
        <w:ind w:left="480" w:hanging="480"/>
      </w:pPr>
      <w:r>
        <w:rPr>
          <w:rFonts w:ascii="宋体" w:hAnsi="宋体" w:eastAsia="宋体"/>
          <w:sz w:val="21"/>
        </w:rPr>
        <w:t>[108] BRADLOW B H, KENTIKELENIS A. Globalizing green industrial policy through technology transfers[J]. Nature Sustainability, 2024, 7(6): 685-687.</w:t>
      </w:r>
    </w:p>
    <w:p>
      <w:pPr>
        <w:spacing w:line="360" w:lineRule="auto" w:after="40"/>
        <w:ind w:left="480" w:hanging="480"/>
      </w:pPr>
      <w:r>
        <w:rPr>
          <w:rFonts w:ascii="宋体" w:hAnsi="宋体" w:eastAsia="宋体"/>
          <w:sz w:val="21"/>
        </w:rPr>
        <w:t>[109] GOLDTHAU A, HUGHES L. Protect global supply chains for low-carbon technologies[J]. Nature, 2020, 585(7823): 28-30.</w:t>
      </w:r>
    </w:p>
    <w:p>
      <w:pPr>
        <w:spacing w:line="360" w:lineRule="auto" w:after="40"/>
        <w:ind w:left="480" w:hanging="480"/>
      </w:pPr>
      <w:r>
        <w:rPr>
          <w:rFonts w:ascii="宋体" w:hAnsi="宋体" w:eastAsia="宋体"/>
          <w:sz w:val="21"/>
        </w:rPr>
        <w:t>[110] AFIONIS S, STRINGER L C. European Union leadership in biofuels regulation: Europe as a normative power?[J]. Journal of Cleaner Production, 2012, 32: 114-123.</w:t>
      </w:r>
    </w:p>
    <w:p>
      <w:pPr>
        <w:spacing w:line="360" w:lineRule="auto" w:after="40"/>
        <w:ind w:left="480" w:hanging="480"/>
      </w:pPr>
      <w:r>
        <w:rPr>
          <w:rFonts w:ascii="宋体" w:hAnsi="宋体" w:eastAsia="宋体"/>
          <w:sz w:val="21"/>
        </w:rPr>
        <w:t>[111] MATTOO A, SUBRAMANIAN A. Equity in climate change: An analytical review[J]. World Development, 2012, 40(6): 1083-1097.</w:t>
      </w:r>
    </w:p>
    <w:p>
      <w:pPr>
        <w:spacing w:line="360" w:lineRule="auto" w:after="40"/>
        <w:ind w:left="480" w:hanging="480"/>
      </w:pPr>
      <w:r>
        <w:rPr>
          <w:rFonts w:ascii="宋体" w:hAnsi="宋体" w:eastAsia="宋体"/>
          <w:sz w:val="21"/>
        </w:rPr>
        <w:t>[112] 陈雅如, 赵金成. 碳达峰、碳中和目标下全球气候治理新格局与林草发展机遇[J]. 世界林业研究, 2021, 34(6): 1-5.</w:t>
      </w:r>
    </w:p>
    <w:p>
      <w:pPr>
        <w:spacing w:line="360" w:lineRule="auto" w:after="40"/>
        <w:ind w:left="480" w:hanging="480"/>
      </w:pPr>
      <w:r>
        <w:rPr>
          <w:rFonts w:ascii="宋体" w:hAnsi="宋体" w:eastAsia="宋体"/>
          <w:sz w:val="21"/>
        </w:rPr>
        <w:t>[113] SHAPIRO J S. The environmental bias of trade policy[J]. Quarterly Journal of Economics, 2021, 136(2): 831-886.</w:t>
      </w:r>
    </w:p>
    <w:p>
      <w:pPr>
        <w:spacing w:line="360" w:lineRule="auto" w:after="40"/>
        <w:ind w:left="480" w:hanging="480"/>
      </w:pPr>
      <w:r>
        <w:rPr>
          <w:rFonts w:ascii="宋体" w:hAnsi="宋体" w:eastAsia="宋体"/>
          <w:sz w:val="21"/>
        </w:rPr>
        <w:t>[114] 张奕辉. 我国碳排放权交易市场的发展演进与路径创新研究[J]. 价格理论与实践, 2024, (11): 138-143.</w:t>
      </w:r>
    </w:p>
    <w:p>
      <w:pPr>
        <w:spacing w:line="360" w:lineRule="auto" w:after="40"/>
        <w:ind w:left="480" w:hanging="480"/>
      </w:pPr>
      <w:r>
        <w:rPr>
          <w:rFonts w:ascii="宋体" w:hAnsi="宋体" w:eastAsia="宋体"/>
          <w:sz w:val="21"/>
        </w:rPr>
        <w:t>[115] 方洁, 王珂英. 中国碳市场与绿色低碳经济发展报告（2024）[M]. 北京: 社会科学文献出版社, 2024.</w:t>
      </w:r>
    </w:p>
    <w:p>
      <w:pPr>
        <w:spacing w:line="360" w:lineRule="auto" w:after="40"/>
        <w:ind w:left="480" w:hanging="480"/>
      </w:pPr>
      <w:r>
        <w:rPr>
          <w:rFonts w:ascii="宋体" w:hAnsi="宋体" w:eastAsia="宋体"/>
          <w:sz w:val="21"/>
        </w:rPr>
        <w:t>[116] 翁智雄, 马忠玉, 葛察忠, 等. 不同经济发展路径下的能源需求与碳排放预测——基于河北省的分析[J]. 中国环境科学, 2019, 39(8): 3508-3517.</w:t>
      </w:r>
    </w:p>
    <w:p>
      <w:pPr>
        <w:spacing w:line="360" w:lineRule="auto" w:after="40"/>
        <w:ind w:left="480" w:hanging="480"/>
      </w:pPr>
      <w:r>
        <w:rPr>
          <w:rFonts w:ascii="宋体" w:hAnsi="宋体" w:eastAsia="宋体"/>
          <w:sz w:val="21"/>
        </w:rPr>
        <w:t>[117] 吴茵茵, 齐杰, 鲜琴, 等. 中国碳市场的碳减排效应研究——基于市场机制与行政干预的协同作用视角[J]. 中国工业经济, 2021(8): 114-132.</w:t>
      </w:r>
    </w:p>
    <w:p>
      <w:pPr>
        <w:spacing w:line="360" w:lineRule="auto" w:after="40"/>
        <w:ind w:left="480" w:hanging="480"/>
      </w:pPr>
      <w:r>
        <w:rPr>
          <w:rFonts w:ascii="宋体" w:hAnsi="宋体" w:eastAsia="宋体"/>
          <w:sz w:val="21"/>
        </w:rPr>
        <w:t>[118] 王馨, 王营. 绿色信贷政策增进绿色创新研究[J]. 管理世界, 2021, 37(6): 173-188.</w:t>
      </w:r>
    </w:p>
    <w:p>
      <w:pPr>
        <w:spacing w:line="360" w:lineRule="auto" w:after="40"/>
        <w:ind w:left="480" w:hanging="480"/>
      </w:pPr>
      <w:r>
        <w:rPr>
          <w:rFonts w:ascii="宋体" w:hAnsi="宋体" w:eastAsia="宋体"/>
          <w:sz w:val="21"/>
        </w:rPr>
        <w:t>[119] 闫琰, 向华, 王秀东, 等. 农业数字化转型对其新质生产力的影响及空间溢出效应研究[J]. 中国农业资源与区划, 2025, 46(11): 185-195.</w:t>
      </w:r>
    </w:p>
    <w:p>
      <w:pPr>
        <w:spacing w:line="360" w:lineRule="auto" w:after="40"/>
        <w:ind w:left="480" w:hanging="480"/>
      </w:pPr>
      <w:r>
        <w:rPr>
          <w:rFonts w:ascii="宋体" w:hAnsi="宋体" w:eastAsia="宋体"/>
          <w:sz w:val="21"/>
        </w:rPr>
        <w:t>[120] CUI J, WANG C, ZHANG J, et al. The effectiveness of China's regional carbon market pilots in reducing firm emissions[J]. Proceedings of the National Academy of Sciences, 2021, 118(52): e2109912118.</w:t>
      </w:r>
    </w:p>
    <w:p>
      <w:pPr>
        <w:spacing w:line="360" w:lineRule="auto" w:after="40"/>
        <w:ind w:left="480" w:hanging="480"/>
      </w:pPr>
      <w:r>
        <w:rPr>
          <w:rFonts w:ascii="宋体" w:hAnsi="宋体" w:eastAsia="宋体"/>
          <w:sz w:val="21"/>
        </w:rPr>
        <w:t>[121] 刘金科, 肖翊阳. 中国环境保护税与绿色创新：杠杆效应还是挤出效应？[J]. 经济研究, 2022, 57(1): 72-88.</w:t>
      </w:r>
    </w:p>
    <w:p>
      <w:pPr>
        <w:spacing w:line="360" w:lineRule="auto" w:after="40"/>
        <w:ind w:left="480" w:hanging="480"/>
      </w:pPr>
      <w:r>
        <w:rPr>
          <w:rFonts w:ascii="宋体" w:hAnsi="宋体" w:eastAsia="宋体"/>
          <w:sz w:val="21"/>
        </w:rPr>
        <w:t>[122] CHEN K, TENG F, RAZZAQ A, et al. Climate conditions, credit risk cycles, and technological progress: Evidence from China[J]. Technological Forecasting and Social Change, 2025, 210: 123893.</w:t>
      </w:r>
    </w:p>
    <w:p>
      <w:pPr>
        <w:spacing w:line="360" w:lineRule="auto" w:after="40"/>
        <w:ind w:left="480" w:hanging="480"/>
      </w:pPr>
      <w:r>
        <w:rPr>
          <w:rFonts w:ascii="宋体" w:hAnsi="宋体" w:eastAsia="宋体"/>
          <w:sz w:val="21"/>
        </w:rPr>
        <w:t>[123] FANG K, ZHOU Y, WANG S, et al. Assessing national renewable energy competitiveness of the G20: A revised Porter's diamond model[J]. Renewable and Sustainable Energy Reviews, 2018, 93: 719-731.</w:t>
      </w:r>
    </w:p>
    <w:p>
      <w:pPr>
        <w:spacing w:line="360" w:lineRule="auto" w:after="40"/>
        <w:ind w:left="480" w:hanging="480"/>
      </w:pPr>
      <w:r>
        <w:rPr>
          <w:rFonts w:ascii="宋体" w:hAnsi="宋体" w:eastAsia="宋体"/>
          <w:sz w:val="21"/>
        </w:rPr>
        <w:t>[124] CAI X, XIANG H, ZHENG H. Impact of energy consumption patterns on peak emissions in China's carbon neutralisation process[J]. Energy Strategy Reviews, 2024, 55: 101501.</w:t>
      </w:r>
    </w:p>
    <w:p>
      <w:pPr>
        <w:spacing w:line="360" w:lineRule="auto" w:after="40"/>
        <w:ind w:left="480" w:hanging="480"/>
      </w:pPr>
      <w:r>
        <w:rPr>
          <w:rFonts w:ascii="宋体" w:hAnsi="宋体" w:eastAsia="宋体"/>
          <w:sz w:val="21"/>
        </w:rPr>
        <w:t>[125] 蔡鑫宇. 新制度经济学视角下“药品零差率”政策的市场回应及应对措施[J]. 医学与社会, 2020, 33(04): 56-61.</w:t>
      </w:r>
    </w:p>
    <w:p>
      <w:pPr>
        <w:spacing w:line="360" w:lineRule="auto" w:after="40"/>
        <w:ind w:left="480" w:hanging="480"/>
      </w:pPr>
      <w:r>
        <w:rPr>
          <w:rFonts w:ascii="宋体" w:hAnsi="宋体" w:eastAsia="宋体"/>
          <w:sz w:val="21"/>
        </w:rPr>
        <w:t>[126] DECHEZLEPRÊTRE A, SATO M. The impacts of environmental regulations on competitiveness[J]. Review of Environmental Economics and Policy, 2017, 11(2): 183-206.</w:t>
      </w:r>
    </w:p>
    <w:p>
      <w:pPr>
        <w:spacing w:line="360" w:lineRule="auto" w:after="40"/>
        <w:ind w:left="480" w:hanging="480"/>
      </w:pPr>
      <w:r>
        <w:rPr>
          <w:rFonts w:ascii="宋体" w:hAnsi="宋体" w:eastAsia="宋体"/>
          <w:sz w:val="21"/>
        </w:rPr>
        <w:t>[127] 杨刚强, 王海森, 岳子洋, 等. 客户数字化转型、供应商碳减排与碳信息披露迎合[J]. 中国工业经济, 2024(8): 99-117.</w:t>
      </w:r>
    </w:p>
    <w:p>
      <w:pPr>
        <w:spacing w:line="360" w:lineRule="auto" w:after="40"/>
        <w:ind w:left="480" w:hanging="480"/>
      </w:pPr>
      <w:r>
        <w:rPr>
          <w:rFonts w:ascii="宋体" w:hAnsi="宋体" w:eastAsia="宋体"/>
          <w:sz w:val="21"/>
        </w:rPr>
        <w:t>[128] 孙传旺, 何一若. 低碳转型中差异化绿色金融政策的驱动机制与协同影响——基于引入多元绿色金融工具的DSGE模型[J]. 金融研究, 2025(5): 114-132.</w:t>
      </w:r>
    </w:p>
    <w:p>
      <w:pPr>
        <w:spacing w:line="360" w:lineRule="auto" w:after="40"/>
        <w:ind w:left="480" w:hanging="480"/>
      </w:pPr>
      <w:r>
        <w:rPr>
          <w:rFonts w:ascii="宋体" w:hAnsi="宋体" w:eastAsia="宋体"/>
          <w:sz w:val="21"/>
        </w:rPr>
        <w:t>[129] CIMA E, ESTY D C. Making international trade work for sustainable development: Toward a new WTO framework for subsidies[J]. Journal of International Economic Law, 2024, 27(1): 1-17.</w:t>
      </w:r>
    </w:p>
    <w:p>
      <w:pPr>
        <w:spacing w:line="360" w:lineRule="auto" w:after="40"/>
        <w:ind w:left="480" w:hanging="480"/>
      </w:pPr>
      <w:r>
        <w:rPr>
          <w:rFonts w:ascii="宋体" w:hAnsi="宋体" w:eastAsia="宋体"/>
          <w:sz w:val="21"/>
        </w:rPr>
        <w:t>[130] VOIGT S, DE CIAN E, SCHYMURA M, et al. Energy intensity developments in 40 major economies: structural change or technology improvement?[J]. Energy Economics, 2014, 41: 47-62.</w:t>
      </w:r>
    </w:p>
    <w:p>
      <w:pPr>
        <w:spacing w:line="360" w:lineRule="auto" w:after="40"/>
        <w:ind w:left="480" w:hanging="480"/>
      </w:pPr>
      <w:r>
        <w:rPr>
          <w:rFonts w:ascii="宋体" w:hAnsi="宋体" w:eastAsia="宋体"/>
          <w:sz w:val="21"/>
        </w:rPr>
        <w:t>[131] LIANG Y, CAI W, MA M. Carbon dioxide intensity and income level in the Chinese megacities' residential building sector: Decomposition and decoupling analyses[J]. Science of the Total Environment, 2023, 867: 161508.</w:t>
      </w:r>
    </w:p>
    <w:p>
      <w:pPr>
        <w:spacing w:line="360" w:lineRule="auto" w:after="40"/>
        <w:ind w:left="480" w:hanging="480"/>
      </w:pPr>
      <w:r>
        <w:rPr>
          <w:rFonts w:ascii="宋体" w:hAnsi="宋体" w:eastAsia="宋体"/>
          <w:sz w:val="21"/>
        </w:rPr>
        <w:t>[132] SHANGGUAN D, YANG L, WANG J, et al. Case study on carbon emission of a traditional Chinese medicine pharmaceutical enterprise toward carbon neutrality[J]. Journal of Cleaner Production, 2024, 450: 141600.</w:t>
      </w:r>
    </w:p>
    <w:p>
      <w:pPr>
        <w:spacing w:line="360" w:lineRule="auto" w:after="40"/>
        <w:ind w:left="480" w:hanging="480"/>
      </w:pPr>
      <w:r>
        <w:rPr>
          <w:rFonts w:ascii="宋体" w:hAnsi="宋体" w:eastAsia="宋体"/>
          <w:sz w:val="21"/>
        </w:rPr>
        <w:t>[133] 杨豪, 潘颖豪, 才国伟. 碳排放总量控制、配置效率与产出收益[J]. 中国工业经济, 2023(7): 46-65.</w:t>
      </w:r>
    </w:p>
    <w:p>
      <w:pPr>
        <w:spacing w:line="360" w:lineRule="auto" w:after="40"/>
        <w:ind w:left="480" w:hanging="480"/>
      </w:pPr>
      <w:r>
        <w:rPr>
          <w:rFonts w:ascii="宋体" w:hAnsi="宋体" w:eastAsia="宋体"/>
          <w:sz w:val="21"/>
        </w:rPr>
        <w:t>[134] 蔡鑫宇. 我国基本医疗保险对商业健康保险的挤出效应研究——基于两步系统广义矩估计的省级动态面板分析[J]. 数学的实践与认识, 2025, 55(05): 42-60.</w:t>
      </w:r>
    </w:p>
    <w:p>
      <w:pPr>
        <w:spacing w:line="360" w:lineRule="auto" w:after="40"/>
        <w:ind w:left="480" w:hanging="480"/>
      </w:pPr>
      <w:r>
        <w:rPr>
          <w:rFonts w:ascii="宋体" w:hAnsi="宋体" w:eastAsia="宋体"/>
          <w:sz w:val="21"/>
        </w:rPr>
        <w:t>[135] ETXEBARRIA-MALLEA M, OREGI X, GRIJALBA O, et al. The impact of energy refurbishment interventions on annual energy demand, indoor thermal behaviour and temperature-related health risk[J]. Energy Policy, 2021, 153: 112276.</w:t>
      </w:r>
    </w:p>
    <w:p>
      <w:pPr>
        <w:spacing w:line="360" w:lineRule="auto" w:after="40"/>
        <w:ind w:left="480" w:hanging="480"/>
      </w:pPr>
      <w:r>
        <w:rPr>
          <w:rFonts w:ascii="宋体" w:hAnsi="宋体" w:eastAsia="宋体"/>
          <w:sz w:val="21"/>
        </w:rPr>
        <w:t>[136] 杨长进, 田永, 许鲜. 实现碳达峰、碳中和的价税机制进路[J]. 价格理论与实践, 2021(1): 20-26+65.</w:t>
      </w:r>
    </w:p>
    <w:p>
      <w:pPr>
        <w:spacing w:line="360" w:lineRule="auto" w:after="40"/>
        <w:ind w:left="480" w:hanging="480"/>
      </w:pPr>
      <w:r>
        <w:rPr>
          <w:rFonts w:ascii="宋体" w:hAnsi="宋体" w:eastAsia="宋体"/>
          <w:sz w:val="21"/>
        </w:rPr>
        <w:t>[137] VINOD A, SANJAY M R, SUCHART S, et al. Renewable and sustainable biobased materials: an assessment on biofibers, biofilms, biopolymers and biocomposites[J]. Journal of Cleaner Production, 2020, 258: 120978.</w:t>
      </w:r>
    </w:p>
    <w:p>
      <w:pPr>
        <w:spacing w:line="360" w:lineRule="auto" w:after="40"/>
        <w:ind w:left="480" w:hanging="480"/>
      </w:pPr>
      <w:r>
        <w:rPr>
          <w:rFonts w:ascii="宋体" w:hAnsi="宋体" w:eastAsia="宋体"/>
          <w:sz w:val="21"/>
        </w:rPr>
        <w:t>[138] 熊灵, 闫烁, 杨冕. 金融发展、环境规制与工业绿色技术创新——基于偏向性内生增长视角的研究[J]. 中国工业经济, 2023(12): 99-116.</w:t>
      </w:r>
    </w:p>
    <w:p>
      <w:pPr>
        <w:spacing w:line="360" w:lineRule="auto" w:after="40"/>
        <w:ind w:left="480" w:hanging="480"/>
      </w:pPr>
      <w:r>
        <w:rPr>
          <w:rFonts w:ascii="宋体" w:hAnsi="宋体" w:eastAsia="宋体"/>
          <w:sz w:val="21"/>
        </w:rPr>
        <w:t>[139] 刘金科, 刘霁萱, 晁颖. 绿色信贷与低碳转型：资本整合还是技术创新？——来自准自然实验的证据[J]. 数量经济技术经济研究, 2024, 41(6): 151-171.</w:t>
      </w:r>
    </w:p>
    <w:p>
      <w:pPr>
        <w:spacing w:line="360" w:lineRule="auto" w:after="40"/>
        <w:ind w:left="480" w:hanging="480"/>
      </w:pPr>
      <w:r>
        <w:rPr>
          <w:rFonts w:ascii="宋体" w:hAnsi="宋体" w:eastAsia="宋体"/>
          <w:sz w:val="21"/>
        </w:rPr>
        <w:t>[140] 张磊. 碳中和目标下我国企业碳排放权私法研究[D]. 长沙: 中南大学, 2024.</w:t>
      </w:r>
    </w:p>
    <w:p>
      <w:pPr>
        <w:spacing w:line="360" w:lineRule="auto" w:after="40"/>
        <w:ind w:left="480" w:hanging="480"/>
      </w:pPr>
      <w:r>
        <w:rPr>
          <w:rFonts w:ascii="宋体" w:hAnsi="宋体" w:eastAsia="宋体"/>
          <w:sz w:val="21"/>
        </w:rPr>
        <w:t>[141] CAI X, ALJOFAN A. Accessing the role of tourism, renewable energy, and green finance in shaping the sustainable future[J]. Scientific Reports, 2025, 15(1): 14511.</w:t>
      </w:r>
    </w:p>
    <w:p>
      <w:pPr>
        <w:spacing w:line="360" w:lineRule="auto" w:after="40"/>
        <w:ind w:left="480" w:hanging="480"/>
      </w:pPr>
      <w:r>
        <w:rPr>
          <w:rFonts w:ascii="宋体" w:hAnsi="宋体" w:eastAsia="宋体"/>
          <w:sz w:val="21"/>
        </w:rPr>
        <w:t>[142] HU Y J, ZHANG R, WANG H L, et al. Synergizing policies for carbon reduction, energy transition and pollution control: Evidence from Chinese power generation industry[J]. Journal of Cleaner Production, 2024, 434: 140460.</w:t>
      </w:r>
    </w:p>
    <w:p>
      <w:pPr>
        <w:spacing w:line="360" w:lineRule="auto" w:after="40"/>
        <w:ind w:left="480" w:hanging="480"/>
      </w:pPr>
      <w:r>
        <w:rPr>
          <w:rFonts w:ascii="宋体" w:hAnsi="宋体" w:eastAsia="宋体"/>
          <w:sz w:val="21"/>
        </w:rPr>
        <w:t>[143] CAO J, HO M S, MA R, et al. When carbon emission trading meets a regulated industry: Evidence from the electricity sector of China[J]. Journal of Public Economics, 2021, 200: 104470.</w:t>
      </w:r>
    </w:p>
    <w:p>
      <w:pPr>
        <w:spacing w:line="360" w:lineRule="auto" w:after="40"/>
        <w:ind w:left="480" w:hanging="480"/>
      </w:pPr>
      <w:r>
        <w:rPr>
          <w:rFonts w:ascii="宋体" w:hAnsi="宋体" w:eastAsia="宋体"/>
          <w:sz w:val="21"/>
        </w:rPr>
        <w:t>[144] 郑新业, 吴施美, 郭伯威. 碳减排成本代际均等化：理论与证据[J]. 经济研究, 2023, 58(2): 107-123.</w:t>
      </w:r>
    </w:p>
    <w:p>
      <w:pPr>
        <w:spacing w:line="360" w:lineRule="auto" w:after="40"/>
        <w:ind w:left="480" w:hanging="480"/>
      </w:pPr>
      <w:r>
        <w:rPr>
          <w:rFonts w:ascii="宋体" w:hAnsi="宋体" w:eastAsia="宋体"/>
          <w:sz w:val="21"/>
        </w:rPr>
        <w:t>[145] SU C W, WEI S, WANG Y, et al. How does climate policy uncertainty affect the carbon market?[J]. Technological Forecasting and Social Change, 2024, 200: 123155.</w:t>
      </w:r>
    </w:p>
    <w:p>
      <w:pPr>
        <w:spacing w:line="360" w:lineRule="auto" w:after="40"/>
        <w:ind w:left="480" w:hanging="480"/>
      </w:pPr>
      <w:r>
        <w:rPr>
          <w:rFonts w:ascii="宋体" w:hAnsi="宋体" w:eastAsia="宋体"/>
          <w:sz w:val="21"/>
        </w:rPr>
        <w:t>[146] MARCU A, MEHLING M, COSBEY A. Border carbon adjustments in the EU: Issues and options[R]. Brussels: European Roundtable on Climate Change and Sustainable Transition (ERCST), 2020.</w:t>
      </w:r>
    </w:p>
    <w:p>
      <w:pPr>
        <w:spacing w:line="360" w:lineRule="auto" w:after="40"/>
        <w:ind w:left="480" w:hanging="480"/>
      </w:pPr>
      <w:r>
        <w:rPr>
          <w:rFonts w:ascii="宋体" w:hAnsi="宋体" w:eastAsia="宋体"/>
          <w:sz w:val="21"/>
        </w:rPr>
        <w:t>[147] BÖHRINGER C, FISCHER C, ROSENDAHL K E. The global effects of subglobal climate policies[J]. The B.E. Journal of Economic Analysis &amp; Policy, 2010, 10(2): 1-35.</w:t>
      </w:r>
    </w:p>
    <w:p>
      <w:pPr>
        <w:spacing w:line="360" w:lineRule="auto" w:after="40"/>
        <w:ind w:left="480" w:hanging="480"/>
      </w:pPr>
      <w:r>
        <w:rPr>
          <w:rFonts w:ascii="宋体" w:hAnsi="宋体" w:eastAsia="宋体"/>
          <w:sz w:val="21"/>
        </w:rPr>
        <w:t>[148] LARCH M, WANNER J. The consequences of non-participation in the Paris Agreement[J]. European Economic Review, 2024, 163: 104699.</w:t>
      </w:r>
    </w:p>
    <w:p>
      <w:pPr>
        <w:spacing w:line="360" w:lineRule="auto" w:after="40"/>
        <w:ind w:left="480" w:hanging="480"/>
      </w:pPr>
      <w:r>
        <w:rPr>
          <w:rFonts w:ascii="宋体" w:hAnsi="宋体" w:eastAsia="宋体"/>
          <w:sz w:val="21"/>
        </w:rPr>
        <w:t>[149] GONZÁLEZ J S, ALONSO C Á. Industrial electricity prices in Spain: A discussion in the context of the European internal energy market[J]. Energy Policy, 2021, 148: 111930.</w:t>
      </w:r>
    </w:p>
    <w:p>
      <w:pPr>
        <w:spacing w:line="360" w:lineRule="auto" w:after="40"/>
        <w:ind w:left="480" w:hanging="480"/>
      </w:pPr>
      <w:r>
        <w:rPr>
          <w:rFonts w:ascii="宋体" w:hAnsi="宋体" w:eastAsia="宋体"/>
          <w:sz w:val="21"/>
        </w:rPr>
        <w:t>[150] FISCHER C, FOX A K. Comparing policies to combat emissions leakage: Border carbon adjustments versus rebates[J]. Journal of Environmental Economics and Management, 2012, 64(2): 199-216.</w:t>
      </w:r>
    </w:p>
    <w:p>
      <w:r>
        <w:br w:type="page"/>
      </w:r>
    </w:p>
    <w:p>
      <w:pPr>
        <w:keepNext/>
        <w:spacing w:before="240" w:after="160" w:line="360" w:lineRule="auto"/>
        <w:jc w:val="center"/>
        <w:outlineLvl w:val="0"/>
      </w:pPr>
      <w:r>
        <w:rPr>
          <w:rFonts w:ascii="黑体" w:hAnsi="黑体" w:eastAsia="黑体"/>
          <w:b/>
          <w:sz w:val="30"/>
        </w:rPr>
        <w:t>后  记</w:t>
      </w:r>
    </w:p>
    <w:p>
      <w:pPr>
        <w:spacing w:line="360" w:lineRule="auto" w:after="0"/>
        <w:ind w:firstLineChars="200" w:firstLine="480"/>
        <w:jc w:val="both"/>
      </w:pPr>
      <w:r>
        <w:rPr>
          <w:rFonts w:ascii="宋体" w:hAnsi="宋体" w:eastAsia="宋体"/>
          <w:sz w:val="24"/>
        </w:rPr>
        <w:t>本书从酝酿到成稿，历时数载。写作期间，全国碳排放权交易市场完成首次扩围，欧盟碳边境调节机制走完过渡期进入实质征收阶段，“双碳”标准化工作以前所未有的速度推进——研究对象本身的快速演化，既是本书的挑战，也是本书的价值所在。感谢国家自然科学基金委员会的资助，感谢嘉兴大学提供的良好科研条件，感谢中国标准化研究院、浙江省标准化研究院在数据与访谈方面给予的支持，感谢课题组各位成员在数据库建设、模型计算与案例调研中的辛勤付出。书中若有错讹，责任由作者承担。</w:t>
      </w:r>
    </w:p>
    <w:p>
      <w:pPr>
        <w:spacing w:line="360" w:lineRule="auto" w:after="0"/>
        <w:jc w:val="right"/>
      </w:pPr>
      <w:r>
        <w:rPr>
          <w:rFonts w:ascii="宋体" w:hAnsi="宋体" w:eastAsia="宋体"/>
          <w:sz w:val="24"/>
        </w:rPr>
        <w:t>蔡鑫宇</w:t>
      </w:r>
    </w:p>
    <w:p>
      <w:pPr>
        <w:spacing w:line="360" w:lineRule="auto" w:after="0"/>
        <w:jc w:val="right"/>
      </w:pPr>
      <w:r>
        <w:rPr>
          <w:rFonts w:ascii="宋体" w:hAnsi="宋体" w:eastAsia="宋体"/>
          <w:sz w:val="24"/>
        </w:rPr>
        <w:t>2026年7月</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