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360" w:after="120" w:line="360" w:lineRule="auto"/>
        <w:jc w:val="center"/>
      </w:pPr>
      <w:r>
        <w:rPr>
          <w:rFonts w:ascii="黑体" w:hAnsi="黑体" w:eastAsia="黑体" w:cs="黑体"/>
          <w:b/>
          <w:i w:val="0"/>
          <w:sz w:val="36"/>
        </w:rPr>
        <w:t>嘉兴大学“禾灵儿”文化智能体 2.0</w:t>
      </w:r>
    </w:p>
    <w:p>
      <w:pPr>
        <w:keepNext w:val="0"/>
        <w:spacing w:before="0" w:after="160" w:line="360" w:lineRule="auto"/>
        <w:jc w:val="center"/>
      </w:pPr>
      <w:r>
        <w:rPr>
          <w:rFonts w:ascii="黑体" w:hAnsi="黑体" w:eastAsia="黑体" w:cs="黑体"/>
          <w:b/>
          <w:i w:val="0"/>
          <w:sz w:val="36"/>
        </w:rPr>
        <w:t>“禾灵儿数字画像”指标体系与评分内核技术说明</w:t>
      </w:r>
    </w:p>
    <w:p>
      <w:pPr>
        <w:keepNext w:val="0"/>
        <w:spacing w:before="0" w:after="360" w:line="360" w:lineRule="auto"/>
        <w:jc w:val="center"/>
      </w:pPr>
      <w:r>
        <w:rPr>
          <w:rFonts w:ascii="黑体" w:hAnsi="黑体" w:eastAsia="黑体" w:cs="黑体"/>
          <w:b w:val="0"/>
          <w:i w:val="0"/>
          <w:sz w:val="28"/>
        </w:rPr>
        <w:t>——维度、指标、权重及其构建过程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说明是《“禾灵儿数字画像”功能建设方案》的技术配套文件，回答三个问题：第一，五个维度下究竟设了哪些指标，每个指标由平台上的哪一类行为数据支撑；第二，各渠道对各维度的贡献权重取值多少，这些取值是依据什么定出来的；第三，从一条原始学习记录到最终的五维得分，中间经过哪几步换算，每一步的数学形式与参数是什么。文中全部参数与实测数值均由已上线的算分内核实时读出或实算，与系统实际运行结果完全一致，可逐项复核。</w:t>
      </w:r>
    </w:p>
    <w:p>
      <w:pPr>
        <w:keepNext w:val="0"/>
        <w:spacing w:before="320" w:after="160" w:line="360" w:lineRule="auto"/>
        <w:jc w:val="center"/>
      </w:pPr>
      <w:r>
        <w:rPr>
          <w:rFonts w:ascii="黑体" w:hAnsi="黑体" w:eastAsia="黑体" w:cs="黑体"/>
          <w:b/>
          <w:i w:val="0"/>
          <w:sz w:val="30"/>
        </w:rPr>
        <w:t>目　　录</w:t>
      </w:r>
    </w:p>
    <w:p>
      <w:pPr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fldChar w:fldCharType="begin"/>
        <w:instrText xml:space="preserve">TOC \o "1-2" \h \z \u</w:instrText>
        <w:fldChar w:fldCharType="separate"/>
        <w:t>（请在 Word 中按 Ctrl+A、F9 更新目录）</w:t>
        <w:fldChar w:fldCharType="end"/>
      </w:r>
    </w:p>
    <w:p>
      <w:r>
        <w:br w:type="page"/>
      </w:r>
    </w:p>
    <w:p>
      <w:pPr>
        <w:keepNext/>
        <w:spacing w:before="320" w:after="200" w:line="360" w:lineRule="auto"/>
        <w:jc w:val="center"/>
        <w:outlineLvl w:val="0"/>
      </w:pPr>
      <w:r>
        <w:rPr>
          <w:rFonts w:ascii="黑体" w:hAnsi="黑体" w:eastAsia="黑体" w:cs="黑体"/>
          <w:b/>
          <w:i w:val="0"/>
          <w:sz w:val="30"/>
        </w:rPr>
        <w:t>一、编制说明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1.1　适用范围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本说明适用于“禾灵儿”文化智能体 2.0 平台上的学生文化素养数字画像功能，覆盖文化体验、文化认知、文化志趣、文化认同、文化研创五个一级维度的指标设置、数据采集口径、权重取值与合成算法，同时给出参数标定的依据与检验结果。教学管理部门可据此审核评价口径，任课教师可据此向学生解释分数的来源，技术人员可据此维护与二次开发。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1.2　设计约束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指标体系的设计受三项硬约束支配，全部算法形式都是为满足这三项约束而选定的。其一，同一份材料重复上传，得分必须完全不变；其二，材料增加时，相应维度的得分必须单调上升；其三，任一维度的得分不得超过 1.0。此外，评分过程不调用大模型、不依赖网络，仅由词典与规则决定，因此结果可复算、可审计、可申诉。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1.3　符号约定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全文使用的符号列于表 1。为便于与代码对照，符号名与程序中的变量名保持一致。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1　符号约定</w:t>
      </w:r>
    </w:p>
    <w:tbl>
      <w:tblPr>
        <w:tblStyle w:val="TableGrid"/>
        <w:tblW w:type="dxa" w:w="827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5443"/>
        <w:gridCol w:w="1701"/>
      </w:tblGrid>
      <w:tr>
        <w:trPr>
          <w:cantSplit w:val="true"/>
          <w:tblHeader w:val="true"/>
        </w:trPr>
        <w:tc>
          <w:tcPr>
            <w:tcW w:type="dxa" w:w="113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符号</w:t>
            </w:r>
          </w:p>
        </w:tc>
        <w:tc>
          <w:tcPr>
            <w:tcW w:type="dxa" w:w="5443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含义</w:t>
            </w:r>
          </w:p>
        </w:tc>
        <w:tc>
          <w:tcPr>
            <w:tcW w:type="dxa" w:w="170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取值范围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d</w:t>
            </w:r>
          </w:p>
        </w:tc>
        <w:tc>
          <w:tcPr>
            <w:tcW w:type="dxa" w:w="544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维度下标，依次为文化体验、文化认知、文化志趣、文化认同、文化研创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1~5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</w:t>
            </w:r>
          </w:p>
        </w:tc>
        <w:tc>
          <w:tcPr>
            <w:tcW w:type="dxa" w:w="544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证据渠道下标，共六类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1~6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</w:t>
            </w:r>
          </w:p>
        </w:tc>
        <w:tc>
          <w:tcPr>
            <w:tcW w:type="dxa" w:w="544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计量因子：该条行为“做了多少”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≥0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</w:t>
            </w:r>
          </w:p>
        </w:tc>
        <w:tc>
          <w:tcPr>
            <w:tcW w:type="dxa" w:w="544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质量因子：该条行为“做得怎么样”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0~1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ρ</w:t>
            </w:r>
          </w:p>
        </w:tc>
        <w:tc>
          <w:tcPr>
            <w:tcW w:type="dxa" w:w="544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文化相关度：该条行为与文化主题的贴合程度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0.40~1.00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</w:t>
            </w:r>
          </w:p>
        </w:tc>
        <w:tc>
          <w:tcPr>
            <w:tcW w:type="dxa" w:w="544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单条证据的有效证据量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≥0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vertAlign w:val="subscript"/>
              </w:rPr>
              <w:t>c,d</w:t>
            </w:r>
          </w:p>
        </w:tc>
        <w:tc>
          <w:tcPr>
            <w:tcW w:type="dxa" w:w="544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渠道 c 对维度 d 的证据量累计（未加权）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≥0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/>
                <w:sz w:val="21"/>
              </w:rPr>
              <w:t>w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vertAlign w:val="subscript"/>
              </w:rPr>
              <w:t>c,d</w:t>
            </w:r>
          </w:p>
        </w:tc>
        <w:tc>
          <w:tcPr>
            <w:tcW w:type="dxa" w:w="544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渠道 c 对维度 d 的贡献权重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≥0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/>
                <w:sz w:val="21"/>
              </w:rPr>
              <w:t>C</w:t>
            </w:r>
            <w:r>
              <w:rPr>
                <w:rFonts w:ascii="Times New Roman" w:hAnsi="Times New Roman" w:eastAsia="宋体" w:cs="Times New Roman"/>
                <w:b w:val="0"/>
                <w:i/>
                <w:sz w:val="21"/>
                <w:vertAlign w:val="subscript"/>
              </w:rPr>
              <w:t>c</w:t>
            </w:r>
          </w:p>
        </w:tc>
        <w:tc>
          <w:tcPr>
            <w:tcW w:type="dxa" w:w="544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渠道 c 的证据量上限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&gt;0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/>
                <w:sz w:val="21"/>
              </w:rPr>
              <w:t>A</w:t>
            </w:r>
            <w:r>
              <w:rPr>
                <w:rFonts w:ascii="Times New Roman" w:hAnsi="Times New Roman" w:eastAsia="宋体" w:cs="Times New Roman"/>
                <w:b w:val="0"/>
                <w:i/>
                <w:sz w:val="21"/>
                <w:vertAlign w:val="subscript"/>
              </w:rPr>
              <w:t>d</w:t>
            </w:r>
          </w:p>
        </w:tc>
        <w:tc>
          <w:tcPr>
            <w:tcW w:type="dxa" w:w="544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维度 d 的有效证据量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≥0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κ</w:t>
            </w:r>
            <w:r>
              <w:rPr>
                <w:rFonts w:ascii="Times New Roman" w:hAnsi="Times New Roman" w:eastAsia="宋体" w:cs="Times New Roman"/>
                <w:b w:val="0"/>
                <w:i/>
                <w:sz w:val="21"/>
                <w:vertAlign w:val="subscript"/>
              </w:rPr>
              <w:t>d</w:t>
            </w:r>
          </w:p>
        </w:tc>
        <w:tc>
          <w:tcPr>
            <w:tcW w:type="dxa" w:w="544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维度 d 的证据饱和常数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&gt;0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b w:val="0"/>
                <w:i/>
                <w:sz w:val="21"/>
                <w:vertAlign w:val="subscript"/>
              </w:rPr>
              <w:t>d</w:t>
            </w:r>
          </w:p>
        </w:tc>
        <w:tc>
          <w:tcPr>
            <w:tcW w:type="dxa" w:w="544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维度 d 的问卷作答强度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0~1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/>
                <w:sz w:val="21"/>
              </w:rPr>
              <w:t>B</w:t>
            </w:r>
            <w:r>
              <w:rPr>
                <w:rFonts w:ascii="Times New Roman" w:hAnsi="Times New Roman" w:eastAsia="宋体" w:cs="Times New Roman"/>
                <w:b w:val="0"/>
                <w:i/>
                <w:sz w:val="21"/>
                <w:vertAlign w:val="subscript"/>
              </w:rPr>
              <w:t>d</w:t>
            </w:r>
          </w:p>
        </w:tc>
        <w:tc>
          <w:tcPr>
            <w:tcW w:type="dxa" w:w="544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维度 d 的初始得分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0.15~0.50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/>
                <w:sz w:val="21"/>
              </w:rPr>
              <w:t>S</w:t>
            </w:r>
            <w:r>
              <w:rPr>
                <w:rFonts w:ascii="Times New Roman" w:hAnsi="Times New Roman" w:eastAsia="宋体" w:cs="Times New Roman"/>
                <w:b w:val="0"/>
                <w:i/>
                <w:sz w:val="21"/>
                <w:vertAlign w:val="subscript"/>
              </w:rPr>
              <w:t>d</w:t>
            </w:r>
          </w:p>
        </w:tc>
        <w:tc>
          <w:tcPr>
            <w:tcW w:type="dxa" w:w="5443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维度 d 的本学年得分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0~1</w:t>
            </w:r>
          </w:p>
        </w:tc>
      </w:tr>
    </w:tbl>
    <w:p>
      <w:pPr>
        <w:keepNext/>
        <w:spacing w:before="320" w:after="200" w:line="360" w:lineRule="auto"/>
        <w:jc w:val="center"/>
        <w:outlineLvl w:val="0"/>
      </w:pPr>
      <w:r>
        <w:rPr>
          <w:rFonts w:ascii="黑体" w:hAnsi="黑体" w:eastAsia="黑体" w:cs="黑体"/>
          <w:b/>
          <w:i w:val="0"/>
          <w:sz w:val="30"/>
        </w:rPr>
        <w:t>二、五维指标体系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2.1　维度界定与理论对应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五个维度并非并列的五个侧面，而是文化认同心理机制中“知—情—意—信—行”五个环节在文化育人情境下的具体化，构成一条由感知到实践的递进链条，如图 1 所示。文化体验对应“知”，是身体在场的直接接触；文化认知对应“情”，是对文化事实与意义的理解；文化志趣对应“意”，是持续投入的意愿；文化认同对应“信”，是价值层面的接纳与表达；文化研创对应“行”，是把理解转化为作品与方案的实践。这一链条决定了后文权重矩阵的基本走向：越靠近“行”的维度，越依赖学生的原创产出，越难以通过被动参与获得。</w:t>
      </w:r>
    </w:p>
    <w:p>
      <w:pPr>
        <w:keepNext/>
        <w:spacing w:before="1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2884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imension_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8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图 1　五维文化素养指标体系与理论对应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各维度的内涵界定、行为表征与主要观测重点列于表 2。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2　五维文化素养的内涵界定与理论对应</w:t>
      </w:r>
    </w:p>
    <w:tbl>
      <w:tblPr>
        <w:tblStyle w:val="TableGrid"/>
        <w:tblW w:type="dxa" w:w="827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2948"/>
        <w:gridCol w:w="3231"/>
      </w:tblGrid>
      <w:tr>
        <w:trPr>
          <w:cantSplit w:val="true"/>
          <w:tblHeader w:val="true"/>
        </w:trPr>
        <w:tc>
          <w:tcPr>
            <w:tcW w:type="dxa" w:w="124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850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理论对应</w:t>
            </w:r>
          </w:p>
        </w:tc>
        <w:tc>
          <w:tcPr>
            <w:tcW w:type="dxa" w:w="2948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内涵界定</w:t>
            </w:r>
          </w:p>
        </w:tc>
        <w:tc>
          <w:tcPr>
            <w:tcW w:type="dxa" w:w="323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主要行为表征</w:t>
            </w:r>
          </w:p>
        </w:tc>
      </w:tr>
      <w:tr>
        <w:trPr>
          <w:cantSplit w:val="true"/>
        </w:trPr>
        <w:tc>
          <w:tcPr>
            <w:tcW w:type="dxa" w:w="124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文化体验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知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身体在场地接触文化事物，形成直接经验</w:t>
            </w:r>
          </w:p>
        </w:tc>
        <w:tc>
          <w:tcPr>
            <w:tcW w:type="dxa" w:w="323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参观、研学、手工技艺体验、课程视频学习</w:t>
            </w:r>
          </w:p>
        </w:tc>
      </w:tr>
      <w:tr>
        <w:trPr>
          <w:cantSplit w:val="true"/>
        </w:trPr>
        <w:tc>
          <w:tcPr>
            <w:tcW w:type="dxa" w:w="124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文化认知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情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对文化事实、脉络与意义的理解与解释</w:t>
            </w:r>
          </w:p>
        </w:tc>
        <w:tc>
          <w:tcPr>
            <w:tcW w:type="dxa" w:w="323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对话中的追问与论证、作业中的知识运用</w:t>
            </w:r>
          </w:p>
        </w:tc>
      </w:tr>
      <w:tr>
        <w:trPr>
          <w:cantSplit w:val="true"/>
        </w:trPr>
        <w:tc>
          <w:tcPr>
            <w:tcW w:type="dxa" w:w="124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文化志趣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意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主动、持续地投入文化学习的意愿</w:t>
            </w:r>
          </w:p>
        </w:tc>
        <w:tc>
          <w:tcPr>
            <w:tcW w:type="dxa" w:w="323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自主选课、课外延伸、跨主题拓展</w:t>
            </w:r>
          </w:p>
        </w:tc>
      </w:tr>
      <w:tr>
        <w:trPr>
          <w:cantSplit w:val="true"/>
        </w:trPr>
        <w:tc>
          <w:tcPr>
            <w:tcW w:type="dxa" w:w="124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文化认同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信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对文化价值的接纳、自豪与对外表达</w:t>
            </w:r>
          </w:p>
        </w:tc>
        <w:tc>
          <w:tcPr>
            <w:tcW w:type="dxa" w:w="323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价值立场表达、对外介绍与讲述</w:t>
            </w:r>
          </w:p>
        </w:tc>
      </w:tr>
      <w:tr>
        <w:trPr>
          <w:cantSplit w:val="true"/>
        </w:trPr>
        <w:tc>
          <w:tcPr>
            <w:tcW w:type="dxa" w:w="124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文化研创</w:t>
            </w:r>
          </w:p>
        </w:tc>
        <w:tc>
          <w:tcPr>
            <w:tcW w:type="dxa" w:w="850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行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以文化为主题的原创设计、研究与传播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作品创作、调研报告、自建文化智能体</w:t>
            </w:r>
          </w:p>
        </w:tc>
      </w:tr>
    </w:tbl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2.2　二级观测点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每个一级维度下设 4 个二级观测点，共 20 项，构成指标体系的最小评价单位。观测点的设置遵循一条原则：每一项都必须能对应到平台上可自动采集的行为事件，凡是只能靠人工判断、无法从数据中读出的表述一律不设。20 个观测点及其数据来源列于表 3。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3　二级观测点与数据来源</w:t>
      </w:r>
    </w:p>
    <w:tbl>
      <w:tblPr>
        <w:tblStyle w:val="TableGrid"/>
        <w:tblW w:type="dxa" w:w="827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1020"/>
        <w:gridCol w:w="3175"/>
        <w:gridCol w:w="3288"/>
      </w:tblGrid>
      <w:tr>
        <w:trPr>
          <w:cantSplit w:val="true"/>
          <w:tblHeader w:val="true"/>
        </w:trPr>
        <w:tc>
          <w:tcPr>
            <w:tcW w:type="dxa" w:w="79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编号</w:t>
            </w:r>
          </w:p>
        </w:tc>
        <w:tc>
          <w:tcPr>
            <w:tcW w:type="dxa" w:w="1020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维度</w:t>
            </w:r>
          </w:p>
        </w:tc>
        <w:tc>
          <w:tcPr>
            <w:tcW w:type="dxa" w:w="3175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观测点</w:t>
            </w:r>
          </w:p>
        </w:tc>
        <w:tc>
          <w:tcPr>
            <w:tcW w:type="dxa" w:w="3288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主要数据来源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E1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文化体验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文化场馆与历史街区的实地接触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问卷；研学视频作业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E2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文化体验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观察的细致程度与在场投入度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视频作业时长与内容；课程视频完成率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E3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文化体验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研学、采风、社会实践的参与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问卷；作业成果；文化课程报名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E4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文化体验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传统手工技艺的亲手体验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问卷；作业成果中的实作记录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C1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文化认知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地域文脉与历史由来的了解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文化对话内容；课程作业得分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C2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文化认知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革命文化内涵及其历史背景的解释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文化对话内容；作业成果文本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C3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文化认知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中华优秀传统文化特点与价值的把握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文化对话内容；课程作业得分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C4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文化认知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非遗项目分类与演变的说明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文化对话内容；作业成果文本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文化志趣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主动了解感兴趣文化话题的行为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文化对话发起频次；自主选课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文化志趣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课外持续接触文化内容的习惯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课程视频完成率；对话时间分布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文化志趣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遇到不懂时的追问与查证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文化对话的多轮追问深度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I4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文化志趣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拓展新文化主题领域的意愿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报名课程的主题广度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D1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文化认同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对家乡文化传统的自豪感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对话中的价值表达；问卷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D2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文化认同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对中华文化价值的接纳与传承意愿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对话中的价值表达；作业成果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D3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文化认同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向他人推荐、介绍本地文化的行为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作业成果的传播属性；自建智能体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D4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文化认同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面向国际讲述中国故事的自信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作业成果的对外表达内容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R1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文化研创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以文化为主题的创作或设计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作业成果（文档／演示／视频）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R2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文化研创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文化相关的调查报告或课题研究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作业成果的结构完整度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R3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文化研创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作品的原创性与素材出处标注</w:t>
            </w:r>
          </w:p>
        </w:tc>
        <w:tc>
          <w:tcPr>
            <w:tcW w:type="dxa" w:w="32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作业成果文本特征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R4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文化研创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作品的传播与反馈</w:t>
            </w:r>
          </w:p>
        </w:tc>
        <w:tc>
          <w:tcPr>
            <w:tcW w:type="dxa" w:w="3288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自建智能体；作业成果的使用记录</w:t>
            </w:r>
          </w:p>
        </w:tc>
      </w:tr>
    </w:tbl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2.3　数据可得性约束下的指标落地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平台共有十三个栏目，理论上都可以提供证据。但在当前阶段，可稳定导出的只有四张表（学生报名情况、课程作业完成率、课程视频完成率、文化对话记录），加上由教师在系统内补传的学生作业成果与学生自建智能体，合计六类证据渠道。表 4 给出十三个栏目到六类渠道的映射关系，未能落地的栏目一并标明，待平台开放相应导出后可直接接入，指标体系本身不必改动。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4　平台栏目到证据渠道的映射</w:t>
      </w:r>
    </w:p>
    <w:tbl>
      <w:tblPr>
        <w:tblStyle w:val="TableGrid"/>
        <w:tblW w:type="dxa" w:w="827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3175"/>
        <w:gridCol w:w="2721"/>
      </w:tblGrid>
      <w:tr>
        <w:trPr>
          <w:cantSplit w:val="true"/>
          <w:tblHeader w:val="true"/>
        </w:trPr>
        <w:tc>
          <w:tcPr>
            <w:tcW w:type="dxa" w:w="238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平台栏目</w:t>
            </w:r>
          </w:p>
        </w:tc>
        <w:tc>
          <w:tcPr>
            <w:tcW w:type="dxa" w:w="3175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对应证据渠道</w:t>
            </w:r>
          </w:p>
        </w:tc>
        <w:tc>
          <w:tcPr>
            <w:tcW w:type="dxa" w:w="272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文化对话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文化对话</w:t>
            </w:r>
          </w:p>
        </w:tc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已接入（导出表）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文化课程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文化课程报名、课程视频、课程作业</w:t>
            </w:r>
          </w:p>
        </w:tc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已接入（三张导出表）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教师工作台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课程作业（评分与评语）</w:t>
            </w:r>
          </w:p>
        </w:tc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已接入（随作业表）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智能体开发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学生自建智能体</w:t>
            </w:r>
          </w:p>
        </w:tc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已接入（教师补传）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视频生成、PPT 制作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学生作业成果</w:t>
            </w:r>
          </w:p>
        </w:tc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已接入（教师补传）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智能体广场、视频广场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学生作业成果的传播与反馈</w:t>
            </w:r>
          </w:p>
        </w:tc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待平台开放导出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微智工具、智能应用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文化研创的工具使用记录</w:t>
            </w:r>
          </w:p>
        </w:tc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待平台开放导出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智能化评价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课程作业的过程性评价</w:t>
            </w:r>
          </w:p>
        </w:tc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部分接入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资讯中心、意见反馈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文化志趣的浏览与表达记录</w:t>
            </w:r>
          </w:p>
        </w:tc>
        <w:tc>
          <w:tcPr>
            <w:tcW w:type="dxa" w:w="272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待平台开放导出</w:t>
            </w:r>
          </w:p>
        </w:tc>
      </w:tr>
    </w:tbl>
    <w:p>
      <w:pPr>
        <w:keepNext/>
        <w:spacing w:before="320" w:after="200" w:line="360" w:lineRule="auto"/>
        <w:jc w:val="center"/>
        <w:outlineLvl w:val="0"/>
      </w:pPr>
      <w:r>
        <w:rPr>
          <w:rFonts w:ascii="黑体" w:hAnsi="黑体" w:eastAsia="黑体" w:cs="黑体"/>
          <w:b/>
          <w:i w:val="0"/>
          <w:sz w:val="30"/>
        </w:rPr>
        <w:t>三、指标构建过程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3.1　总体流程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从一条原始学习记录到最终的五维得分，共经过五步换算，如图 2 所示。五步的分工是：证据抽取解决“哪些行为算数”，三因子计量解决“一条行为值多少”，渠道加权汇总解决“不同行为如何折算到同一把尺子上”，问卷初始得分解决“从哪里起步”，维度合成解决“如何在封顶 1.0 的前提下体现增长”。</w:t>
      </w:r>
    </w:p>
    <w:p>
      <w:pPr>
        <w:keepNext/>
        <w:spacing w:before="1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21183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11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图 2　评分内核的五步流程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3.2　第一步：证据抽取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系统自动识别上传文件的类型，逐行解析为“证据条目”。一条证据同时记录所属学生、学年、渠道、维度、计量、质量、文化相关度、可读的证据描述与内容指纹。六类渠道的字段用法与计量口径列于表 5。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5　六类证据渠道的字段用法与计量口径</w:t>
      </w:r>
    </w:p>
    <w:tbl>
      <w:tblPr>
        <w:tblStyle w:val="TableGrid"/>
        <w:tblW w:type="dxa" w:w="827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2268"/>
        <w:gridCol w:w="3061"/>
        <w:gridCol w:w="1474"/>
      </w:tblGrid>
      <w:tr>
        <w:trPr>
          <w:cantSplit w:val="true"/>
          <w:tblHeader w:val="true"/>
        </w:trPr>
        <w:tc>
          <w:tcPr>
            <w:tcW w:type="dxa" w:w="147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证据渠道</w:t>
            </w:r>
          </w:p>
        </w:tc>
        <w:tc>
          <w:tcPr>
            <w:tcW w:type="dxa" w:w="2268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用到的字段</w:t>
            </w:r>
          </w:p>
        </w:tc>
        <w:tc>
          <w:tcPr>
            <w:tcW w:type="dxa" w:w="306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计量口径</w:t>
            </w:r>
          </w:p>
        </w:tc>
        <w:tc>
          <w:tcPr>
            <w:tcW w:type="dxa" w:w="147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事件粒度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文化对话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提问时间、提问内容、回复内容</w:t>
            </w: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每轮对话计 0.45，按内容充实度调节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一轮对话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课程作业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课程名、需提交数、已提交数、得分率</w:t>
            </w: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已提交份数 × 1.2 ×（0.5 + 0.5 × 得分率）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一门课程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学生作业成果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文件内容（Word／Excel／PPT／视频）</w:t>
            </w: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按页数、时长、字数与结构完整度折算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一份作品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学生自建智能体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智能体配置与提示词文本</w:t>
            </w: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按角色设定、知识来源与文化主题深度折算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一个智能体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文化课程报名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报名课程名称</w:t>
            </w: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每门课程计 2.0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一门课程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课程视频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课程名、需完成数、已完成数、完成率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已完成数 ÷ 4，按完成率调节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一门课程</w:t>
            </w:r>
          </w:p>
        </w:tc>
      </w:tr>
    </w:tbl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作业成果与自建智能体的指纹取文件的 SHA-256 摘要，因此改文件名、换目录、重复上传都只计一次；四张导出表的每一行取业务主键作为指纹（课程名加完成数加得分率、提问时间加提问内容等），整表重复导入会被逐行忽略。这是“同样的内容反复上传得分完全不变”这一硬要求在存储层的实现，而不是近似。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3.3　第二步：三因子计量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一条行为记录能贡献多少证据，由三个因子相乘决定，如图 3 所示：做了多少（计量）、做得怎么样（质量）、与文化主题贴不贴（文化相关度）。三者缺一不可——只看数量会奖励刷量，只看质量会埋没积累，不看文化相关度则任何学习行为都能计入文化素养。单条证据的有效证据量按式（1）计算。</w:t>
      </w:r>
    </w:p>
    <w:p>
      <w:pPr>
        <w:tabs>
          <w:tab w:val="center" w:pos="4100"/>
          <w:tab w:val="right" w:pos="8300"/>
        </w:tabs>
        <w:spacing w:before="120" w:after="120" w:line="360" w:lineRule="auto"/>
      </w:pPr>
      <w:r>
        <w:tab/>
      </w:r>
      <m:oMath>
        <m:r>
          <w:rPr>
            <w:rFonts w:ascii="Cambria Math" w:hAnsi="Cambria Math"/>
            <w:sz w:val="24"/>
            <w:szCs w:val="24"/>
          </w:rPr>
          <m:t xml:space="preserve">e</m:t>
        </m:r>
        <m:r>
          <w:rPr>
            <w:rFonts w:ascii="Cambria Math" w:hAnsi="Cambria Math"/>
            <w:sz w:val="24"/>
            <w:szCs w:val="24"/>
          </w:rPr>
          <m:t xml:space="preserve"> = </m:t>
        </m:r>
        <m:r>
          <w:rPr>
            <w:rFonts w:ascii="Cambria Math" w:hAnsi="Cambria Math"/>
            <w:sz w:val="24"/>
            <w:szCs w:val="24"/>
          </w:rPr>
          <m:t xml:space="preserve">m</m:t>
        </m:r>
        <m:r>
          <w:rPr>
            <w:rFonts w:ascii="Cambria Math" w:hAnsi="Cambria Math"/>
            <w:sz w:val="24"/>
            <w:szCs w:val="24"/>
          </w:rPr>
          <m:t xml:space="preserve"> · </m:t>
        </m:r>
        <m:r>
          <w:rPr>
            <w:rFonts w:ascii="Cambria Math" w:hAnsi="Cambria Math"/>
            <w:sz w:val="24"/>
            <w:szCs w:val="24"/>
          </w:rPr>
          <m:t xml:space="preserve">q</m:t>
        </m:r>
        <m:r>
          <w:rPr>
            <w:rFonts w:ascii="Cambria Math" w:hAnsi="Cambria Math"/>
            <w:sz w:val="24"/>
            <w:szCs w:val="24"/>
          </w:rPr>
          <m:t xml:space="preserve"> · </m:t>
        </m:r>
        <m:r>
          <w:rPr>
            <w:rFonts w:ascii="Cambria Math" w:hAnsi="Cambria Math"/>
            <w:sz w:val="24"/>
            <w:szCs w:val="24"/>
          </w:rPr>
          <m:t xml:space="preserve">ρ</m:t>
        </m:r>
      </m:oMath>
      <w:r>
        <w:rPr>
          <w:rFonts w:ascii="Times New Roman" w:hAnsi="Times New Roman" w:eastAsia="宋体"/>
          <w:sz w:val="24"/>
          <w:szCs w:val="24"/>
        </w:rPr>
        <w:tab/>
        <w:t>（1）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质量因子由该渠道可得的完成度指标合成。以课程作业为例，按式（2）取提交率与得分率的加权；未打分的作业按提交行为给 0.6 保底，避免因教师未及时批改而让学生吃亏。</w:t>
      </w:r>
    </w:p>
    <w:p>
      <w:pPr>
        <w:tabs>
          <w:tab w:val="center" w:pos="4100"/>
          <w:tab w:val="right" w:pos="8300"/>
        </w:tabs>
        <w:spacing w:before="120" w:after="120" w:line="360" w:lineRule="auto"/>
      </w:pPr>
      <w:r>
        <w:tab/>
      </w:r>
      <m:oMath>
        <m:r>
          <w:rPr>
            <w:rFonts w:ascii="Cambria Math" w:hAnsi="Cambria Math"/>
            <w:sz w:val="24"/>
            <w:szCs w:val="24"/>
          </w:rPr>
          <m:t xml:space="preserve">q</m:t>
        </m:r>
        <m:r>
          <w:rPr>
            <w:rFonts w:ascii="Cambria Math" w:hAnsi="Cambria Math"/>
            <w:sz w:val="24"/>
            <w:szCs w:val="24"/>
          </w:rPr>
          <m:t xml:space="preserve"> = </m:t>
        </m:r>
        <m:r>
          <w:rPr>
            <w:rFonts w:ascii="Cambria Math" w:hAnsi="Cambria Math"/>
            <w:sz w:val="24"/>
            <w:szCs w:val="24"/>
          </w:rPr>
          <m:t xml:space="preserve">0.35</m:t>
        </m:r>
        <m:r>
          <w:rPr>
            <w:rFonts w:ascii="Cambria Math" w:hAnsi="Cambria Math"/>
            <w:sz w:val="24"/>
            <w:szCs w:val="24"/>
          </w:rPr>
          <m:t xml:space="preserve"> · 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 xml:space="preserve"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提交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+ </m:t>
        </m:r>
        <m:r>
          <w:rPr>
            <w:rFonts w:ascii="Cambria Math" w:hAnsi="Cambria Math"/>
            <w:sz w:val="24"/>
            <w:szCs w:val="24"/>
          </w:rPr>
          <m:t xml:space="preserve">0.65</m:t>
        </m:r>
        <m:r>
          <w:rPr>
            <w:rFonts w:ascii="Cambria Math" w:hAnsi="Cambria Math"/>
            <w:sz w:val="24"/>
            <w:szCs w:val="24"/>
          </w:rPr>
          <m:t xml:space="preserve"> · 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 xml:space="preserve"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得分</m:t>
            </m:r>
          </m:sub>
        </m:sSub>
      </m:oMath>
      <w:r>
        <w:rPr>
          <w:rFonts w:ascii="Times New Roman" w:hAnsi="Times New Roman" w:eastAsia="宋体"/>
          <w:sz w:val="24"/>
          <w:szCs w:val="24"/>
        </w:rPr>
        <w:tab/>
        <w:t>（2）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文化相关度按式（3）在文本上逐级判定：认真参与即给 0.40 保底，命中通用文化词、嘉兴地域文化词、革命文化词后逐级上浮，最高 1.00。取 0.40 保底是有意为之的宽松策略——只要行为落在五大维度的范畴内就应当计分，不因用词不同而漏计。</w:t>
      </w:r>
    </w:p>
    <w:p>
      <w:pPr>
        <w:tabs>
          <w:tab w:val="center" w:pos="4100"/>
          <w:tab w:val="right" w:pos="8300"/>
        </w:tabs>
        <w:spacing w:before="120" w:after="120" w:line="360" w:lineRule="auto"/>
      </w:pPr>
      <w:r>
        <w:tab/>
      </w:r>
      <m:oMath>
        <m:r>
          <w:rPr>
            <w:rFonts w:ascii="Cambria Math" w:hAnsi="Cambria Math"/>
            <w:sz w:val="24"/>
            <w:szCs w:val="24"/>
          </w:rPr>
          <m:t xml:space="preserve">ρ</m:t>
        </m:r>
        <m:r>
          <w:rPr>
            <w:rFonts w:ascii="Cambria Math" w:hAnsi="Cambria Math"/>
            <w:sz w:val="24"/>
            <w:szCs w:val="24"/>
          </w:rPr>
          <m:t xml:space="preserve"> = </m:t>
        </m:r>
        <m:r>
          <w:rPr>
            <w:rFonts w:ascii="Cambria Math" w:hAnsi="Cambria Math"/>
            <w:sz w:val="24"/>
            <w:szCs w:val="24"/>
          </w:rPr>
          <m:t xml:space="preserve">min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  <w:sz w:val="24"/>
                <w:szCs w:val="24"/>
              </w:rPr>
              <m:t xml:space="preserve">1.00, 0.40 + 0.20</m:t>
            </m:r>
            <m:r>
              <w:rPr>
                <w:rFonts w:ascii="Cambria Math" w:hAnsi="Cambria Math"/>
                <w:sz w:val="24"/>
                <w:szCs w:val="24"/>
              </w:rPr>
              <m:t xml:space="preserve"> · </m:t>
            </m:r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n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通用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 xml:space="preserve"> + 0.25</m:t>
            </m:r>
            <m:r>
              <w:rPr>
                <w:rFonts w:ascii="Cambria Math" w:hAnsi="Cambria Math"/>
                <w:sz w:val="24"/>
                <w:szCs w:val="24"/>
              </w:rPr>
              <m:t xml:space="preserve"> · </m:t>
            </m:r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n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地域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 xml:space="preserve"> + 0.25</m:t>
            </m:r>
            <m:r>
              <w:rPr>
                <w:rFonts w:ascii="Cambria Math" w:hAnsi="Cambria Math"/>
                <w:sz w:val="24"/>
                <w:szCs w:val="24"/>
              </w:rPr>
              <m:t xml:space="preserve"> · </m:t>
            </m:r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n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革命</m:t>
                </m:r>
              </m:sub>
            </m:sSub>
          </m:e>
        </m:d>
      </m:oMath>
      <w:r>
        <w:rPr>
          <w:rFonts w:ascii="Times New Roman" w:hAnsi="Times New Roman" w:eastAsia="宋体"/>
          <w:sz w:val="24"/>
          <w:szCs w:val="24"/>
        </w:rPr>
        <w:tab/>
        <w:t>（3）</w:t>
      </w:r>
    </w:p>
    <w:p>
      <w:pPr>
        <w:keepNext/>
        <w:spacing w:before="1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40639" cy="2470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hree_fac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0639" cy="247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图 3　单条证据的三因子计量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三个因子的取值规则汇总于表 6。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6　三因子的取值规则</w:t>
      </w:r>
    </w:p>
    <w:tbl>
      <w:tblPr>
        <w:tblStyle w:val="TableGrid"/>
        <w:tblW w:type="dxa" w:w="827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3402"/>
        <w:gridCol w:w="1134"/>
        <w:gridCol w:w="2381"/>
      </w:tblGrid>
      <w:tr>
        <w:trPr>
          <w:cantSplit w:val="true"/>
          <w:tblHeader w:val="true"/>
        </w:trPr>
        <w:tc>
          <w:tcPr>
            <w:tcW w:type="dxa" w:w="136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因子</w:t>
            </w:r>
          </w:p>
        </w:tc>
        <w:tc>
          <w:tcPr>
            <w:tcW w:type="dxa" w:w="3402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取值依据</w:t>
            </w:r>
          </w:p>
        </w:tc>
        <w:tc>
          <w:tcPr>
            <w:tcW w:type="dxa" w:w="113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取值范围</w:t>
            </w:r>
          </w:p>
        </w:tc>
        <w:tc>
          <w:tcPr>
            <w:tcW w:type="dxa" w:w="238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设计意图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计量 m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课程数、视频完成数、作业提交数、对话轮次、作品体量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≥0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反映投入的体量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质量 q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完成率、得分率、文本充实度、结构完整度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0~1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抑制“只完成不投入”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文化相关度 ρ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文本命中的文化词层级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0.40~1.00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确保计入的是文化素养</w:t>
            </w:r>
          </w:p>
        </w:tc>
      </w:tr>
    </w:tbl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口水式对话（如“你好”“继续”）在质量因子上被降权到 0.12，因此即使反复发送也几乎不产生证据量，这是防刷分的第一道闸门。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3.4　第三步：渠道加权与截断汇总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同一渠道内所有证据先按维度求和，得到该渠道对该维度的证据量累计，见式（4）。</w:t>
      </w:r>
    </w:p>
    <w:p>
      <w:pPr>
        <w:tabs>
          <w:tab w:val="center" w:pos="4100"/>
          <w:tab w:val="right" w:pos="8300"/>
        </w:tabs>
        <w:spacing w:before="120" w:after="120" w:line="360" w:lineRule="auto"/>
      </w:pPr>
      <w:r>
        <w:tab/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 xml:space="preserve"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c,d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= </m:t>
        </m:r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  <w:sz w:val="24"/>
                <w:szCs w:val="24"/>
              </w:rPr>
              <m:t xml:space="preserve">i∈c</m:t>
            </m:r>
          </m:sub>
          <m:sup/>
          <m:e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e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i</m:t>
                </m:r>
              </m:sub>
            </m:sSub>
          </m:e>
        </m:nary>
      </m:oMath>
      <w:r>
        <w:rPr>
          <w:rFonts w:ascii="Times New Roman" w:hAnsi="Times New Roman" w:eastAsia="宋体"/>
          <w:sz w:val="24"/>
          <w:szCs w:val="24"/>
        </w:rPr>
        <w:tab/>
        <w:t>（4）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再乘以渠道权重并按渠道上限截断，最后跨渠道求和，得到该维度的有效证据量，见式（5）。截断作用在汇总值上而不是按上传批次截断，因此结果与上传顺序完全无关，任何时候重算都一致；同时它限制了单一渠道的刷量空间——把一个渠道刷到上限之后，继续刷就不再涨分，必须换一种学习行为。</w:t>
      </w:r>
    </w:p>
    <w:p>
      <w:pPr>
        <w:tabs>
          <w:tab w:val="center" w:pos="4100"/>
          <w:tab w:val="right" w:pos="8300"/>
        </w:tabs>
        <w:spacing w:before="120" w:after="120" w:line="360" w:lineRule="auto"/>
      </w:pPr>
      <w:r>
        <w:tab/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 xml:space="preserve"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d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= </m:t>
        </m:r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  <w:sz w:val="24"/>
                <w:szCs w:val="24"/>
              </w:rPr>
              <m:t xml:space="preserve">c</m:t>
            </m:r>
          </m:sub>
          <m:sup/>
          <m:e>
            <m:r>
              <w:rPr>
                <w:rFonts w:ascii="Cambria Math" w:hAnsi="Cambria Math"/>
                <w:sz w:val="24"/>
                <w:szCs w:val="24"/>
              </w:rPr>
              <m:t xml:space="preserve">min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c,d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· </m:t>
                </m:r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w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c,d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, </m:t>
                </m:r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c</m:t>
                    </m:r>
                  </m:sub>
                </m:sSub>
              </m:e>
            </m:d>
          </m:e>
        </m:nary>
      </m:oMath>
      <w:r>
        <w:rPr>
          <w:rFonts w:ascii="Times New Roman" w:hAnsi="Times New Roman" w:eastAsia="宋体"/>
          <w:sz w:val="24"/>
          <w:szCs w:val="24"/>
        </w:rPr>
        <w:tab/>
        <w:t>（5）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渠道—维度权重矩阵与各渠道上限如图 4 与表 7 所示。矩阵中六个渠道按性质分成两类：文化对话、课程作业、学生作业成果、学生自建智能体属于“投入型”，需要学生实际付出时间与思考；文化课程报名、课程视频属于“参与型”，反映的是参与意愿而非素养水平。两类渠道的权重量级相差一个数量级，这正是第四章标定工作的核心结论。</w:t>
      </w:r>
    </w:p>
    <w:p>
      <w:pPr>
        <w:keepNext/>
        <w:spacing w:before="1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26019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eight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601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图 4　渠道—维度贡献权重矩阵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7　渠道—维度贡献权重与渠道上限</w:t>
      </w:r>
    </w:p>
    <w:tbl>
      <w:tblPr>
        <w:tblStyle w:val="TableGrid"/>
        <w:tblW w:type="dxa" w:w="7711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17"/>
        <w:gridCol w:w="793"/>
        <w:gridCol w:w="907"/>
        <w:gridCol w:w="907"/>
        <w:gridCol w:w="907"/>
        <w:gridCol w:w="907"/>
        <w:gridCol w:w="907"/>
        <w:gridCol w:w="963"/>
      </w:tblGrid>
      <w:tr>
        <w:trPr>
          <w:cantSplit w:val="true"/>
          <w:tblHeader w:val="true"/>
        </w:trPr>
        <w:tc>
          <w:tcPr>
            <w:tcW w:type="dxa" w:w="141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证据渠道</w:t>
            </w:r>
          </w:p>
        </w:tc>
        <w:tc>
          <w:tcPr>
            <w:tcW w:type="dxa" w:w="79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类型</w:t>
            </w:r>
          </w:p>
        </w:tc>
        <w:tc>
          <w:tcPr>
            <w:tcW w:type="dxa" w:w="90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文化体验</w:t>
            </w:r>
          </w:p>
        </w:tc>
        <w:tc>
          <w:tcPr>
            <w:tcW w:type="dxa" w:w="90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文化认知</w:t>
            </w:r>
          </w:p>
        </w:tc>
        <w:tc>
          <w:tcPr>
            <w:tcW w:type="dxa" w:w="90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文化志趣</w:t>
            </w:r>
          </w:p>
        </w:tc>
        <w:tc>
          <w:tcPr>
            <w:tcW w:type="dxa" w:w="90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文化认同</w:t>
            </w:r>
          </w:p>
        </w:tc>
        <w:tc>
          <w:tcPr>
            <w:tcW w:type="dxa" w:w="90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文化研创</w:t>
            </w:r>
          </w:p>
        </w:tc>
        <w:tc>
          <w:tcPr>
            <w:tcW w:type="dxa" w:w="96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渠道上限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文化对话</w:t>
            </w:r>
          </w:p>
        </w:tc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投入型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0.640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1.760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1.600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1.280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0.800</w:t>
            </w:r>
          </w:p>
        </w:tc>
        <w:tc>
          <w:tcPr>
            <w:tcW w:type="dxa" w:w="96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10.0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课程作业</w:t>
            </w:r>
          </w:p>
        </w:tc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投入型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0.350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0.910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0.560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0.280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0.490</w:t>
            </w:r>
          </w:p>
        </w:tc>
        <w:tc>
          <w:tcPr>
            <w:tcW w:type="dxa" w:w="96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8.0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学生作业成果</w:t>
            </w:r>
          </w:p>
        </w:tc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投入型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0.473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0.608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0.405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0.540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1.148</w:t>
            </w:r>
          </w:p>
        </w:tc>
        <w:tc>
          <w:tcPr>
            <w:tcW w:type="dxa" w:w="96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12.0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学生自建智能体</w:t>
            </w:r>
          </w:p>
        </w:tc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投入型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0.270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0.675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0.540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0.473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1.350</w:t>
            </w:r>
          </w:p>
        </w:tc>
        <w:tc>
          <w:tcPr>
            <w:tcW w:type="dxa" w:w="96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12.0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文化课程报名</w:t>
            </w:r>
          </w:p>
        </w:tc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参与型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0.140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0.088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0.210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0.088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0.035</w:t>
            </w:r>
          </w:p>
        </w:tc>
        <w:tc>
          <w:tcPr>
            <w:tcW w:type="dxa" w:w="96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3.0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课程视频</w:t>
            </w:r>
          </w:p>
        </w:tc>
        <w:tc>
          <w:tcPr>
            <w:tcW w:type="dxa" w:w="79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参与型</w:t>
            </w:r>
          </w:p>
        </w:tc>
        <w:tc>
          <w:tcPr>
            <w:tcW w:type="dxa" w:w="90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0.240</w:t>
            </w:r>
          </w:p>
        </w:tc>
        <w:tc>
          <w:tcPr>
            <w:tcW w:type="dxa" w:w="90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0.180</w:t>
            </w:r>
          </w:p>
        </w:tc>
        <w:tc>
          <w:tcPr>
            <w:tcW w:type="dxa" w:w="90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0.140</w:t>
            </w:r>
          </w:p>
        </w:tc>
        <w:tc>
          <w:tcPr>
            <w:tcW w:type="dxa" w:w="90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0.080</w:t>
            </w:r>
          </w:p>
        </w:tc>
        <w:tc>
          <w:tcPr>
            <w:tcW w:type="dxa" w:w="90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0.020</w:t>
            </w:r>
          </w:p>
        </w:tc>
        <w:tc>
          <w:tcPr>
            <w:tcW w:type="dxa" w:w="96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4.0</w:t>
            </w:r>
          </w:p>
        </w:tc>
      </w:tr>
    </w:tbl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3.5　第四步：问卷初始得分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开课第一节课的五维问卷提供每名学生的起点。问卷是自陈量表，只能说明入学时的自我认知水平，不能直接当作素养水平——若照搬问卷均分，学生每题都选最高档就能一次拿满分，四年的成长再也无从体现。因此问卷分两步换算，如图 5 所示。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第一步是直线作答折减。判据是题目级作答的标准差：整份问卷每题都选同一档时标准差为零，说明这份作答没有任何区分度，不能据此认为该生五维素养全面拔尖。折减系数按式（6）计算，其中 σ 为该生全部作答的标准差，阈值 </w:t>
      </w:r>
      <w:r>
        <w:rPr>
          <w:rFonts w:ascii="Times New Roman" w:hAnsi="Times New Roman" w:eastAsia="宋体" w:cs="Times New Roman"/>
          <w:b w:val="0"/>
          <w:i w:val="0"/>
          <w:sz w:val="24"/>
        </w:rPr>
        <w:t>σ</w:t>
      </w:r>
      <w:r>
        <w:rPr>
          <w:rFonts w:ascii="Times New Roman" w:hAnsi="Times New Roman" w:eastAsia="宋体" w:cs="Times New Roman"/>
          <w:b w:val="0"/>
          <w:i w:val="0"/>
          <w:sz w:val="24"/>
          <w:vertAlign w:val="subscript"/>
        </w:rPr>
        <w:t>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取 0.18，最大折减 0.72。</w:t>
      </w:r>
    </w:p>
    <w:p>
      <w:pPr>
        <w:tabs>
          <w:tab w:val="center" w:pos="4100"/>
          <w:tab w:val="right" w:pos="8300"/>
        </w:tabs>
        <w:spacing w:before="120" w:after="120" w:line="360" w:lineRule="auto"/>
      </w:pPr>
      <w:r>
        <w:tab/>
      </w:r>
      <m:oMath>
        <m:r>
          <w:rPr>
            <w:rFonts w:ascii="Cambria Math" w:hAnsi="Cambria Math"/>
            <w:sz w:val="24"/>
            <w:szCs w:val="24"/>
          </w:rPr>
          <m:t xml:space="preserve">π</m:t>
        </m:r>
        <m:r>
          <w:rPr>
            <w:rFonts w:ascii="Cambria Math" w:hAnsi="Cambria Math"/>
            <w:sz w:val="24"/>
            <w:szCs w:val="24"/>
          </w:rPr>
          <m:t xml:space="preserve"> = 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 xml:space="preserve">π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0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+ 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  <w:sz w:val="24"/>
                <w:szCs w:val="24"/>
              </w:rPr>
              <m:t xml:space="preserve">1 − </m:t>
            </m:r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π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0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· </m:t>
        </m:r>
        <m:r>
          <w:rPr>
            <w:rFonts w:ascii="Cambria Math" w:hAnsi="Cambria Math"/>
            <w:sz w:val="24"/>
            <w:szCs w:val="24"/>
          </w:rPr>
          <m:t xml:space="preserve">min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  <w:sz w:val="24"/>
                <w:szCs w:val="24"/>
              </w:rPr>
              <m:t xml:space="preserve">1, σ ⁄ </m:t>
            </m:r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σ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0</m:t>
                </m:r>
              </m:sub>
            </m:sSub>
          </m:e>
        </m:d>
      </m:oMath>
      <w:r>
        <w:rPr>
          <w:rFonts w:ascii="Times New Roman" w:hAnsi="Times New Roman" w:eastAsia="宋体"/>
          <w:sz w:val="24"/>
          <w:szCs w:val="24"/>
        </w:rPr>
        <w:tab/>
        <w:t>（6）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折减只在存在拔高动机时生效：当整份问卷的均分低于 0.80 时，折减按式（7）逐步撤销，如实报告中低分的学生完全不受影响；题量不足 8 题时无法判断区分度，一律不折减。</w:t>
      </w:r>
    </w:p>
    <w:p>
      <w:pPr>
        <w:tabs>
          <w:tab w:val="center" w:pos="4100"/>
          <w:tab w:val="right" w:pos="8300"/>
        </w:tabs>
        <w:spacing w:before="120" w:after="120" w:line="360" w:lineRule="auto"/>
      </w:pPr>
      <w:r>
        <w:tab/>
      </w:r>
      <m:oMath>
        <m:r>
          <w:rPr>
            <w:rFonts w:ascii="Cambria Math" w:hAnsi="Cambria Math"/>
            <w:sz w:val="24"/>
            <w:szCs w:val="24"/>
          </w:rPr>
          <m:t xml:space="preserve">π′</m:t>
        </m:r>
        <m:r>
          <w:rPr>
            <w:rFonts w:ascii="Cambria Math" w:hAnsi="Cambria Math"/>
            <w:sz w:val="24"/>
            <w:szCs w:val="24"/>
          </w:rPr>
          <m:t xml:space="preserve"> = </m:t>
        </m:r>
        <m:r>
          <w:rPr>
            <w:rFonts w:ascii="Cambria Math" w:hAnsi="Cambria Math"/>
            <w:sz w:val="24"/>
            <w:szCs w:val="24"/>
          </w:rPr>
          <m:t xml:space="preserve">π</m:t>
        </m:r>
        <m:r>
          <w:rPr>
            <w:rFonts w:ascii="Cambria Math" w:hAnsi="Cambria Math"/>
            <w:sz w:val="24"/>
            <w:szCs w:val="24"/>
          </w:rPr>
          <m:t xml:space="preserve"> + 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  <w:sz w:val="24"/>
                <w:szCs w:val="24"/>
              </w:rPr>
              <m:t xml:space="preserve">1 − π</m:t>
            </m:r>
          </m:e>
        </m:d>
        <m:r>
          <w:rPr>
            <w:rFonts w:ascii="Cambria Math" w:hAnsi="Cambria Math"/>
            <w:sz w:val="24"/>
            <w:szCs w:val="24"/>
          </w:rPr>
          <m:t xml:space="preserve"> · </m:t>
        </m:r>
        <m:r>
          <w:rPr>
            <w:rFonts w:ascii="Cambria Math" w:hAnsi="Cambria Math"/>
            <w:sz w:val="24"/>
            <w:szCs w:val="24"/>
          </w:rPr>
          <m:t xml:space="preserve">clip</m:t>
        </m:r>
        <m:d>
          <m:dPr>
            <m:begChr m:val="("/>
            <m:endChr m:val=")"/>
          </m:dPr>
          <m:e>
            <m:f>
              <m:num>
                <m:r>
                  <w:rPr>
                    <w:rFonts w:ascii="Cambria Math" w:hAnsi="Cambria Math"/>
                    <w:sz w:val="24"/>
                    <w:szCs w:val="24"/>
                  </w:rPr>
                  <m:t xml:space="preserve">0.80 − </m:t>
                </m:r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均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 xml:space="preserve">0.15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 xml:space="preserve">, 0, 1</m:t>
            </m:r>
          </m:e>
        </m:d>
      </m:oMath>
      <w:r>
        <w:rPr>
          <w:rFonts w:ascii="Times New Roman" w:hAnsi="Times New Roman" w:eastAsia="宋体"/>
          <w:sz w:val="24"/>
          <w:szCs w:val="24"/>
        </w:rPr>
        <w:tab/>
        <w:t>（7）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第二步是窄带压缩。把折减后的作答强度按式（8）映射到 [0.15, 0.50] 这一条窄带上，指数取 2.0 使高分段更难触顶。这样一来，问卷本身的天花板只有 0.50，另一半分数必须靠四年的平台使用去挣。</w:t>
      </w:r>
    </w:p>
    <w:p>
      <w:pPr>
        <w:tabs>
          <w:tab w:val="center" w:pos="4100"/>
          <w:tab w:val="right" w:pos="8300"/>
        </w:tabs>
        <w:spacing w:before="120" w:after="120" w:line="360" w:lineRule="auto"/>
      </w:pPr>
      <w:r>
        <w:tab/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 xml:space="preserve">B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d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= 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 xml:space="preserve">B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min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+ </m:t>
        </m:r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B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max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 xml:space="preserve"> − </m:t>
            </m:r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B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min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· </m:t>
        </m:r>
        <m:sSup>
          <m:e>
            <m:d>
              <m:dPr>
                <m:begChr m:val="("/>
                <m:endChr m:val=")"/>
              </m:dPr>
              <m:e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· π′</m:t>
                </m:r>
              </m:e>
            </m:d>
          </m:e>
          <m:sup>
            <m:r>
              <w:rPr>
                <w:rFonts w:ascii="Cambria Math" w:hAnsi="Cambria Math"/>
                <w:sz w:val="24"/>
                <w:szCs w:val="24"/>
              </w:rPr>
              <m:t xml:space="preserve">γ</m:t>
            </m:r>
          </m:sup>
        </m:sSup>
      </m:oMath>
      <w:r>
        <w:rPr>
          <w:rFonts w:ascii="Times New Roman" w:hAnsi="Times New Roman" w:eastAsia="宋体"/>
          <w:sz w:val="24"/>
          <w:szCs w:val="24"/>
        </w:rPr>
        <w:tab/>
        <w:t>（8）</w:t>
      </w:r>
    </w:p>
    <w:p>
      <w:pPr>
        <w:keepNext/>
        <w:spacing w:before="1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21228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stionnaire_mapp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122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图 5　问卷到初始得分的两步换算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五种典型作答方式的换算结果列于表 8。可以看到，刻意每题都选最高档所得的初始得分低于认真作答、自评偏高的学生，恰好扭转了刷分的收益方向；而“几乎都选最高档、偶尔次高”这种介于两者之间的作答，折减后也只能落到与认真作答者相同的水平，拿不到额外好处。需要强调的是，折减的对象是作答的区分度而不是作答的高低——如实报告自己水平较高的学生不受任何影响。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8　五种典型作答方式的换算结果</w:t>
      </w:r>
    </w:p>
    <w:tbl>
      <w:tblPr>
        <w:tblStyle w:val="TableGrid"/>
        <w:tblW w:type="dxa" w:w="827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1134"/>
        <w:gridCol w:w="1134"/>
        <w:gridCol w:w="1134"/>
        <w:gridCol w:w="1134"/>
        <w:gridCol w:w="1134"/>
      </w:tblGrid>
      <w:tr>
        <w:trPr>
          <w:cantSplit w:val="true"/>
          <w:tblHeader w:val="true"/>
        </w:trPr>
        <w:tc>
          <w:tcPr>
            <w:tcW w:type="dxa" w:w="2608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作答方式</w:t>
            </w:r>
          </w:p>
        </w:tc>
        <w:tc>
          <w:tcPr>
            <w:tcW w:type="dxa" w:w="113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问卷均分</w:t>
            </w:r>
          </w:p>
        </w:tc>
        <w:tc>
          <w:tcPr>
            <w:tcW w:type="dxa" w:w="113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题目 σ</w:t>
            </w:r>
          </w:p>
        </w:tc>
        <w:tc>
          <w:tcPr>
            <w:tcW w:type="dxa" w:w="113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折减系数</w:t>
            </w:r>
          </w:p>
        </w:tc>
        <w:tc>
          <w:tcPr>
            <w:tcW w:type="dxa" w:w="113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作答强度</w:t>
            </w:r>
          </w:p>
        </w:tc>
        <w:tc>
          <w:tcPr>
            <w:tcW w:type="dxa" w:w="113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初始得分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每题都选“完全符合”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1.00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0.000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0.72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0.72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0.33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几乎都选最高档，偶尔次高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0.96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0.089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0.86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0.83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0.39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认真作答、自评偏高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0.85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0.166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0.98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0.83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0.39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认真作答、自评中等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0.53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0.175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1.00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0.53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0.25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认真作答、自评偏低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0.25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0.177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1.00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0.25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0.17</w:t>
            </w:r>
          </w:p>
        </w:tc>
      </w:tr>
    </w:tbl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数据库中存储的是折减后的“作答强度”而非初始得分本身，窄带映射放在打分时进行。这样做的好处是：日后若要调整窄带区间或折减力度，只改配置文件即可重算，不必重新导入问卷。大二及以后不再重做问卷，初始得分自动承接上一学年的最终得分；两者皆无时取中性值 0.30。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3.6　第五步：维度合成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维度得分由初始得分与有效证据量按式（9）合成。</w:t>
      </w:r>
    </w:p>
    <w:p>
      <w:pPr>
        <w:tabs>
          <w:tab w:val="center" w:pos="4100"/>
          <w:tab w:val="right" w:pos="8300"/>
        </w:tabs>
        <w:spacing w:before="120" w:after="120" w:line="360" w:lineRule="auto"/>
      </w:pPr>
      <w:r>
        <w:tab/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 xml:space="preserve"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d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= 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 xml:space="preserve">B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d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+ 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  <w:sz w:val="24"/>
                <w:szCs w:val="24"/>
              </w:rPr>
              <m:t xml:space="preserve">1 − </m:t>
            </m:r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B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d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· 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  <w:sz w:val="24"/>
                <w:szCs w:val="24"/>
              </w:rPr>
              <m:t xml:space="preserve">1 − 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e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 xml:space="preserve">−</m:t>
                </m:r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A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⁄ </m:t>
                </m:r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κ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d</m:t>
                    </m:r>
                  </m:sub>
                </m:sSub>
              </m:sup>
            </m:sSup>
          </m:e>
        </m:d>
      </m:oMath>
      <w:r>
        <w:rPr>
          <w:rFonts w:ascii="Times New Roman" w:hAnsi="Times New Roman" w:eastAsia="宋体"/>
          <w:sz w:val="24"/>
          <w:szCs w:val="24"/>
        </w:rPr>
        <w:tab/>
        <w:t>（9）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这个式子同时满足第 1.2 节的三条硬约束：当 </w:t>
      </w:r>
      <w:r>
        <w:rPr>
          <w:rFonts w:ascii="Times New Roman" w:hAnsi="Times New Roman" w:eastAsia="宋体" w:cs="Times New Roman"/>
          <w:b w:val="0"/>
          <w:i/>
          <w:sz w:val="24"/>
        </w:rPr>
        <w:t>A</w:t>
      </w:r>
      <w:r>
        <w:rPr>
          <w:rFonts w:ascii="Times New Roman" w:hAnsi="Times New Roman" w:eastAsia="宋体" w:cs="Times New Roman"/>
          <w:b w:val="0"/>
          <w:i/>
          <w:sz w:val="24"/>
          <w:vertAlign w:val="subscript"/>
        </w:rPr>
        <w:t>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 0 时 </w:t>
      </w:r>
      <w:r>
        <w:rPr>
          <w:rFonts w:ascii="Times New Roman" w:hAnsi="Times New Roman" w:eastAsia="宋体" w:cs="Times New Roman"/>
          <w:b w:val="0"/>
          <w:i/>
          <w:sz w:val="24"/>
        </w:rPr>
        <w:t>S</w:t>
      </w:r>
      <w:r>
        <w:rPr>
          <w:rFonts w:ascii="Times New Roman" w:hAnsi="Times New Roman" w:eastAsia="宋体" w:cs="Times New Roman"/>
          <w:b w:val="0"/>
          <w:i/>
          <w:sz w:val="24"/>
          <w:vertAlign w:val="subscript"/>
        </w:rPr>
        <w:t>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恰等于初始得分；</w:t>
      </w:r>
      <w:r>
        <w:rPr>
          <w:rFonts w:ascii="Times New Roman" w:hAnsi="Times New Roman" w:eastAsia="宋体" w:cs="Times New Roman"/>
          <w:b w:val="0"/>
          <w:i/>
          <w:sz w:val="24"/>
        </w:rPr>
        <w:t>S</w:t>
      </w:r>
      <w:r>
        <w:rPr>
          <w:rFonts w:ascii="Times New Roman" w:hAnsi="Times New Roman" w:eastAsia="宋体" w:cs="Times New Roman"/>
          <w:b w:val="0"/>
          <w:i/>
          <w:sz w:val="24"/>
          <w:vertAlign w:val="subscript"/>
        </w:rPr>
        <w:t>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对 </w:t>
      </w:r>
      <w:r>
        <w:rPr>
          <w:rFonts w:ascii="Times New Roman" w:hAnsi="Times New Roman" w:eastAsia="宋体" w:cs="Times New Roman"/>
          <w:b w:val="0"/>
          <w:i/>
          <w:sz w:val="24"/>
        </w:rPr>
        <w:t>A</w:t>
      </w:r>
      <w:r>
        <w:rPr>
          <w:rFonts w:ascii="Times New Roman" w:hAnsi="Times New Roman" w:eastAsia="宋体" w:cs="Times New Roman"/>
          <w:b w:val="0"/>
          <w:i/>
          <w:sz w:val="24"/>
          <w:vertAlign w:val="subscript"/>
        </w:rPr>
        <w:t>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严格单调递增；</w:t>
      </w:r>
      <w:r>
        <w:rPr>
          <w:rFonts w:ascii="Times New Roman" w:hAnsi="Times New Roman" w:eastAsia="宋体" w:cs="Times New Roman"/>
          <w:b w:val="0"/>
          <w:i/>
          <w:sz w:val="24"/>
        </w:rPr>
        <w:t>A</w:t>
      </w:r>
      <w:r>
        <w:rPr>
          <w:rFonts w:ascii="Times New Roman" w:hAnsi="Times New Roman" w:eastAsia="宋体" w:cs="Times New Roman"/>
          <w:b w:val="0"/>
          <w:i/>
          <w:sz w:val="24"/>
          <w:vertAlign w:val="subscript"/>
        </w:rPr>
        <w:t>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趋于无穷时 </w:t>
      </w:r>
      <w:r>
        <w:rPr>
          <w:rFonts w:ascii="Times New Roman" w:hAnsi="Times New Roman" w:eastAsia="宋体" w:cs="Times New Roman"/>
          <w:b w:val="0"/>
          <w:i/>
          <w:sz w:val="24"/>
        </w:rPr>
        <w:t>S</w:t>
      </w:r>
      <w:r>
        <w:rPr>
          <w:rFonts w:ascii="Times New Roman" w:hAnsi="Times New Roman" w:eastAsia="宋体" w:cs="Times New Roman"/>
          <w:b w:val="0"/>
          <w:i/>
          <w:sz w:val="24"/>
          <w:vertAlign w:val="subscript"/>
        </w:rPr>
        <w:t>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趋于 1 但恒小于 1，因此永远不会越界。参数 </w:t>
      </w:r>
      <w:r>
        <w:rPr>
          <w:rFonts w:ascii="Times New Roman" w:hAnsi="Times New Roman" w:eastAsia="宋体" w:cs="Times New Roman"/>
          <w:b w:val="0"/>
          <w:i w:val="0"/>
          <w:sz w:val="24"/>
        </w:rPr>
        <w:t>κ</w:t>
      </w:r>
      <w:r>
        <w:rPr>
          <w:rFonts w:ascii="Times New Roman" w:hAnsi="Times New Roman" w:eastAsia="宋体" w:cs="Times New Roman"/>
          <w:b w:val="0"/>
          <w:i/>
          <w:sz w:val="24"/>
          <w:vertAlign w:val="subscript"/>
        </w:rPr>
        <w:t>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称为证据饱和常数，含义是“证据量达到 κ 时，与满分的差距缩小约 63%”，数值越小则同样的材料带来的提分越快。κ 与初始得分对曲线的影响见图 6，取值见表 9。</w:t>
      </w:r>
    </w:p>
    <w:p>
      <w:pPr>
        <w:keepNext/>
        <w:spacing w:before="1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21228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atu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122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图 6　维度合成的饱和函数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9　各维度的证据饱和常数</w:t>
      </w:r>
    </w:p>
    <w:tbl>
      <w:tblPr>
        <w:tblStyle w:val="TableGrid"/>
        <w:tblW w:type="dxa" w:w="827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247"/>
        <w:gridCol w:w="1247"/>
        <w:gridCol w:w="1247"/>
        <w:gridCol w:w="1247"/>
        <w:gridCol w:w="1247"/>
      </w:tblGrid>
      <w:tr>
        <w:trPr>
          <w:cantSplit w:val="true"/>
          <w:tblHeader w:val="true"/>
        </w:trPr>
        <w:tc>
          <w:tcPr>
            <w:tcW w:type="dxa" w:w="204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124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文化体验</w:t>
            </w:r>
          </w:p>
        </w:tc>
        <w:tc>
          <w:tcPr>
            <w:tcW w:type="dxa" w:w="124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文化认知</w:t>
            </w:r>
          </w:p>
        </w:tc>
        <w:tc>
          <w:tcPr>
            <w:tcW w:type="dxa" w:w="124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文化志趣</w:t>
            </w:r>
          </w:p>
        </w:tc>
        <w:tc>
          <w:tcPr>
            <w:tcW w:type="dxa" w:w="124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文化认同</w:t>
            </w:r>
          </w:p>
        </w:tc>
        <w:tc>
          <w:tcPr>
            <w:tcW w:type="dxa" w:w="124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文化研创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证据饱和常数 κ</w:t>
            </w:r>
          </w:p>
        </w:tc>
        <w:tc>
          <w:tcPr>
            <w:tcW w:type="dxa" w:w="124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6.5</w:t>
            </w:r>
          </w:p>
        </w:tc>
        <w:tc>
          <w:tcPr>
            <w:tcW w:type="dxa" w:w="124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7.0</w:t>
            </w:r>
          </w:p>
        </w:tc>
        <w:tc>
          <w:tcPr>
            <w:tcW w:type="dxa" w:w="124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6.5</w:t>
            </w:r>
          </w:p>
        </w:tc>
        <w:tc>
          <w:tcPr>
            <w:tcW w:type="dxa" w:w="124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5.5</w:t>
            </w:r>
          </w:p>
        </w:tc>
        <w:tc>
          <w:tcPr>
            <w:tcW w:type="dxa" w:w="124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5.0</w:t>
            </w:r>
          </w:p>
        </w:tc>
      </w:tr>
    </w:tbl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文化研创的 κ 取值最小，是因为研创类材料（作品、报告、自建智能体）本身稀缺，一旦出现就应当给予明显的回报；文化认知的 κ 取值最大，是因为认知类证据来源最广，需要更多材料才能支撑同等幅度的提分。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3.7　综合指数与发展性等级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综合文化素养指数按式（10）取五维等权算术平均。等权是有意的选择：五个维度构成完整的育人链条，任何一维的加权都意味着对某一环节的偏废。</w:t>
      </w:r>
    </w:p>
    <w:p>
      <w:pPr>
        <w:tabs>
          <w:tab w:val="center" w:pos="4100"/>
          <w:tab w:val="right" w:pos="8300"/>
        </w:tabs>
        <w:spacing w:before="120" w:after="120" w:line="360" w:lineRule="auto"/>
      </w:pPr>
      <w:r>
        <w:tab/>
      </w:r>
      <m:oMath>
        <m:r>
          <w:rPr>
            <w:rFonts w:ascii="Cambria Math" w:hAnsi="Cambria Math"/>
            <w:sz w:val="24"/>
            <w:szCs w:val="24"/>
          </w:rPr>
          <m:t xml:space="preserve">CCI</m:t>
        </m:r>
        <m:r>
          <w:rPr>
            <w:rFonts w:ascii="Cambria Math" w:hAnsi="Cambria Math"/>
            <w:sz w:val="24"/>
            <w:szCs w:val="24"/>
          </w:rPr>
          <m:t xml:space="preserve"> = </m:t>
        </m:r>
        <m:f>
          <m:num>
            <m:nary>
              <m:naryPr>
                <m:chr m:val="∑"/>
                <m:limLoc m:val="undOvr"/>
                <m:supHide m:val="1"/>
              </m:naryPr>
              <m: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d=1</m:t>
                </m:r>
              </m:sub>
              <m:sup/>
              <m:e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d</m:t>
                    </m:r>
                  </m:sub>
                </m:sSub>
              </m:e>
            </m:nary>
          </m:num>
          <m:den>
            <m:r>
              <w:rPr>
                <w:rFonts w:ascii="Cambria Math" w:hAnsi="Cambria Math"/>
                <w:sz w:val="24"/>
                <w:szCs w:val="24"/>
              </w:rPr>
              <m:t xml:space="preserve">5</m:t>
            </m:r>
          </m:den>
        </m:f>
      </m:oMath>
      <w:r>
        <w:rPr>
          <w:rFonts w:ascii="Times New Roman" w:hAnsi="Times New Roman" w:eastAsia="宋体"/>
          <w:sz w:val="24"/>
          <w:szCs w:val="24"/>
        </w:rPr>
        <w:tab/>
        <w:t>（10）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等级采用随年级递增的发展性常模，按式（11）判定，其中 g 为年级序号（大一取 0，大四取 3）。同一个分数在大一算“发展级”，到大四只能算“起步级”，原地不动即等于退步，四年的成长因此在等级上也看得见。阈值见表 10，两类学生的四年轨迹与等级阶梯见图 8。</w:t>
      </w:r>
    </w:p>
    <w:p>
      <w:pPr>
        <w:tabs>
          <w:tab w:val="center" w:pos="4100"/>
          <w:tab w:val="right" w:pos="8300"/>
        </w:tabs>
        <w:spacing w:before="120" w:after="120" w:line="360" w:lineRule="auto"/>
      </w:pPr>
      <w:r>
        <w:tab/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 xml:space="preserve">τ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(g)</m:t>
        </m:r>
        <m:r>
          <w:rPr>
            <w:rFonts w:ascii="Cambria Math" w:hAnsi="Cambria Math"/>
            <w:sz w:val="24"/>
            <w:szCs w:val="24"/>
          </w:rPr>
          <m:t xml:space="preserve"> = 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 xml:space="preserve">τ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(0)</m:t>
        </m:r>
        <m:r>
          <w:rPr>
            <w:rFonts w:ascii="Cambria Math" w:hAnsi="Cambria Math"/>
            <w:sz w:val="24"/>
            <w:szCs w:val="24"/>
          </w:rPr>
          <m:t xml:space="preserve"> + </m:t>
        </m:r>
        <m:r>
          <w:rPr>
            <w:rFonts w:ascii="Cambria Math" w:hAnsi="Cambria Math"/>
            <w:sz w:val="24"/>
            <w:szCs w:val="24"/>
          </w:rPr>
          <m:t xml:space="preserve">Δ</m:t>
        </m:r>
        <m:r>
          <w:rPr>
            <w:rFonts w:ascii="Cambria Math" w:hAnsi="Cambria Math"/>
            <w:sz w:val="24"/>
            <w:szCs w:val="24"/>
          </w:rPr>
          <m:t xml:space="preserve"> · </m:t>
        </m:r>
        <m:r>
          <w:rPr>
            <w:rFonts w:ascii="Cambria Math" w:hAnsi="Cambria Math"/>
            <w:sz w:val="24"/>
            <w:szCs w:val="24"/>
          </w:rPr>
          <m:t xml:space="preserve">g</m:t>
        </m:r>
        <m:r>
          <w:rPr>
            <w:rFonts w:ascii="Cambria Math" w:hAnsi="Cambria Math"/>
            <w:sz w:val="24"/>
            <w:szCs w:val="24"/>
          </w:rPr>
          <m:t xml:space="preserve">,　　k ∈ {A, B, C}</m:t>
        </m:r>
      </m:oMath>
      <w:r>
        <w:rPr>
          <w:rFonts w:ascii="Times New Roman" w:hAnsi="Times New Roman" w:eastAsia="宋体"/>
          <w:sz w:val="24"/>
          <w:szCs w:val="24"/>
        </w:rPr>
        <w:tab/>
        <w:t>（11）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10　发展性等级阈值</w:t>
      </w:r>
    </w:p>
    <w:tbl>
      <w:tblPr>
        <w:tblStyle w:val="TableGrid"/>
        <w:tblW w:type="dxa" w:w="827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1701"/>
        <w:gridCol w:w="1701"/>
        <w:gridCol w:w="1701"/>
      </w:tblGrid>
      <w:tr>
        <w:trPr>
          <w:cantSplit w:val="true"/>
          <w:tblHeader w:val="true"/>
        </w:trPr>
        <w:tc>
          <w:tcPr>
            <w:tcW w:type="dxa" w:w="147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年级</w:t>
            </w:r>
          </w:p>
        </w:tc>
        <w:tc>
          <w:tcPr>
            <w:tcW w:type="dxa" w:w="170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A 引领级</w:t>
            </w:r>
          </w:p>
        </w:tc>
        <w:tc>
          <w:tcPr>
            <w:tcW w:type="dxa" w:w="170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B 胜任级</w:t>
            </w:r>
          </w:p>
        </w:tc>
        <w:tc>
          <w:tcPr>
            <w:tcW w:type="dxa" w:w="170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C 发展级</w:t>
            </w:r>
          </w:p>
        </w:tc>
        <w:tc>
          <w:tcPr>
            <w:tcW w:type="dxa" w:w="170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D 起步级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大一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0.60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0.48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0.36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&lt; 0.36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大二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0.68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0.56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0.44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&lt; 0.44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大三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0.76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0.64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0.52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&lt; 0.52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大四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0.84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0.72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0.60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&lt; 0.60</w:t>
            </w:r>
          </w:p>
        </w:tc>
      </w:tr>
    </w:tbl>
    <w:p>
      <w:pPr>
        <w:keepNext/>
        <w:spacing w:before="320" w:after="200" w:line="360" w:lineRule="auto"/>
        <w:jc w:val="center"/>
        <w:outlineLvl w:val="0"/>
      </w:pPr>
      <w:r>
        <w:rPr>
          <w:rFonts w:ascii="黑体" w:hAnsi="黑体" w:eastAsia="黑体" w:cs="黑体"/>
          <w:b/>
          <w:i w:val="0"/>
          <w:sz w:val="30"/>
        </w:rPr>
        <w:t>四、权重与参数的标定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4.1　标定原则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权重不是拍脑袋定的，而是按一条可检验的原则标定：单位行为的证据当量应当与该行为所需的投入强度成正比。所谓证据当量，是指一次典型行为经过三因子计量与渠道加权后，在五个维度上折算出的证据量合计。若“点一下报名”与“写一篇调研报告”折算出相近的证据当量，指标体系就失真了。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4.2　标定依据：现有数据暴露的计量失衡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以贵校 5307 名大一学生、61,565 条证据的真实导出数据实测，标定前的证据当量结构存在明显失衡：报名 1 门文化课程的证据当量为 1.36，而 1 轮文化对话仅为 0.16，前者约等于后者的 8 倍——而报名只是一次点击，一轮有质量的文化对话则需要真实的阅读、思考与表达。其直接后果是：全体学生都报了课、都看了视频，分数被这两个参与型渠道顶得很高，真正体现投入的对话、作业、作品反而没有分量，学生即使今后大量使用文化对话，也换不来相应的分数增长。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据此把参与型渠道整体压到原来的 0.35~0.40，投入型渠道整体抬高，其中文化对话提高 3.2 倍。标定后，1 轮文化对话的证据当量为 0.53，与报名 1 门课程的 0.48 基本相当，计量重新与投入强度对齐。各单位行为的证据当量对照见图 7(a)，具体数值见表 11。</w:t>
      </w:r>
    </w:p>
    <w:p>
      <w:pPr>
        <w:keepNext/>
        <w:spacing w:before="1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20724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libration_contra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72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图 7　标定前后的证据当量结构与分数分布对照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11　单位行为的证据当量（标定前后）</w:t>
      </w:r>
    </w:p>
    <w:tbl>
      <w:tblPr>
        <w:tblStyle w:val="TableGrid"/>
        <w:tblW w:type="dxa" w:w="7711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721"/>
        <w:gridCol w:w="1020"/>
        <w:gridCol w:w="1360"/>
        <w:gridCol w:w="1360"/>
        <w:gridCol w:w="1247"/>
      </w:tblGrid>
      <w:tr>
        <w:trPr>
          <w:cantSplit w:val="true"/>
          <w:tblHeader w:val="true"/>
        </w:trPr>
        <w:tc>
          <w:tcPr>
            <w:tcW w:type="dxa" w:w="272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单位行为</w:t>
            </w:r>
          </w:p>
        </w:tc>
        <w:tc>
          <w:tcPr>
            <w:tcW w:type="dxa" w:w="1020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类型</w:t>
            </w:r>
          </w:p>
        </w:tc>
        <w:tc>
          <w:tcPr>
            <w:tcW w:type="dxa" w:w="136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标定前</w:t>
            </w:r>
          </w:p>
        </w:tc>
        <w:tc>
          <w:tcPr>
            <w:tcW w:type="dxa" w:w="136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标定后</w:t>
            </w:r>
          </w:p>
        </w:tc>
        <w:tc>
          <w:tcPr>
            <w:tcW w:type="dxa" w:w="124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倍数</w:t>
            </w:r>
          </w:p>
        </w:tc>
      </w:tr>
      <w:tr>
        <w:trPr>
          <w:cantSplit w:val="true"/>
        </w:trPr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报名 1 门文化课程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参与型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1.36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0.48</w:t>
            </w:r>
          </w:p>
        </w:tc>
        <w:tc>
          <w:tcPr>
            <w:tcW w:type="dxa" w:w="124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0.35</w:t>
            </w:r>
          </w:p>
        </w:tc>
      </w:tr>
      <w:tr>
        <w:trPr>
          <w:cantSplit w:val="true"/>
        </w:trPr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学完 1 门课程的视频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参与型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1.98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0.79</w:t>
            </w:r>
          </w:p>
        </w:tc>
        <w:tc>
          <w:tcPr>
            <w:tcW w:type="dxa" w:w="124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0.40</w:t>
            </w:r>
          </w:p>
        </w:tc>
      </w:tr>
      <w:tr>
        <w:trPr>
          <w:cantSplit w:val="true"/>
        </w:trPr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完成 1 门课程的作业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投入型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1.48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2.07</w:t>
            </w:r>
          </w:p>
        </w:tc>
        <w:tc>
          <w:tcPr>
            <w:tcW w:type="dxa" w:w="124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1.40</w:t>
            </w:r>
          </w:p>
        </w:tc>
      </w:tr>
      <w:tr>
        <w:trPr>
          <w:cantSplit w:val="true"/>
        </w:trPr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 轮文化对话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投入型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0.16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0.53</w:t>
            </w:r>
          </w:p>
        </w:tc>
        <w:tc>
          <w:tcPr>
            <w:tcW w:type="dxa" w:w="124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3.20</w:t>
            </w:r>
          </w:p>
        </w:tc>
      </w:tr>
      <w:tr>
        <w:trPr>
          <w:cantSplit w:val="true"/>
        </w:trPr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提交 1 份作业成果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投入型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3.11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4.21</w:t>
            </w:r>
          </w:p>
        </w:tc>
        <w:tc>
          <w:tcPr>
            <w:tcW w:type="dxa" w:w="124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1.35</w:t>
            </w:r>
          </w:p>
        </w:tc>
      </w:tr>
      <w:tr>
        <w:trPr>
          <w:cantSplit w:val="true"/>
        </w:trPr>
        <w:tc>
          <w:tcPr>
            <w:tcW w:type="dxa" w:w="272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自建 1 个文化智能体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投入型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4.98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6.72</w:t>
            </w:r>
          </w:p>
        </w:tc>
        <w:tc>
          <w:tcPr>
            <w:tcW w:type="dxa" w:w="124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1.35</w:t>
            </w:r>
          </w:p>
        </w:tc>
      </w:tr>
    </w:tbl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4.3　参数总表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本次标定涉及的全部参数及其调整前后取值列于表 12。除权重矩阵外，证据饱和常数整体抬高，使四年的持续投入能拉出台阶；文化对话的渠道上限提高，保证今后大量使用对话时仍有持续的上升空间；参与型渠道的上限压低，抑制“报课不学”与“挂机刷视频”。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12　标定前后的参数对照</w:t>
      </w:r>
    </w:p>
    <w:tbl>
      <w:tblPr>
        <w:tblStyle w:val="TableGrid"/>
        <w:tblW w:type="dxa" w:w="827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2608"/>
        <w:gridCol w:w="3175"/>
      </w:tblGrid>
      <w:tr>
        <w:trPr>
          <w:cantSplit w:val="true"/>
          <w:tblHeader w:val="true"/>
        </w:trPr>
        <w:tc>
          <w:tcPr>
            <w:tcW w:type="dxa" w:w="249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参数</w:t>
            </w:r>
          </w:p>
        </w:tc>
        <w:tc>
          <w:tcPr>
            <w:tcW w:type="dxa" w:w="2608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标定前</w:t>
            </w:r>
          </w:p>
        </w:tc>
        <w:tc>
          <w:tcPr>
            <w:tcW w:type="dxa" w:w="3175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标定后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初始得分（未做问卷）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0.50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0.30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问卷映射方式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直接取问卷均分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窄带压缩至 [0.15, 0.50]，指数 2.0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直线作答折减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无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σ 阈值 0.18，最大折减 0.72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文化对话　权重量级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0.20、0.55、0.50、0.40、0.25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0.640、1.760、1.600、1.280、0.800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课程作业　权重量级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0.25、0.65、0.40、0.20、0.35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0.350、0.910、0.560、0.280、0.490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学生作业成果　权重量级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0.35、0.45、0.30、0.40、0.85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0.473、0.608、0.405、0.540、1.148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学生自建智能体　权重量级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0.20、0.50、0.40、0.35、1.00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0.270、0.675、0.540、0.473、1.350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文化课程报名　权重量级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0.40、0.25、0.60、0.25、0.10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0.140、0.088、0.210、0.088、0.035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课程视频　权重量级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0.60、0.45、0.35、0.20、0.05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0.240、0.180、0.140、0.080、0.020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文化对话　渠道上限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6.0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10.0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课程作业　渠道上限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8.0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8.0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学生作业成果　渠道上限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12.0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12.0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学生自建智能体　渠道上限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12.0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12.0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文化课程报名　渠道上限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6.0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3.0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课程视频　渠道上限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6.0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4.0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证据饱和常数 κ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4.5、5.0、4.5、4.0、3.5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6.5、7.0、6.5、5.5、5.0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等级阈值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A≥0.85、B≥0.70、C≥0.55（各年级相同）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大一 A≥0.60、B≥0.48、C≥0.36，每升一个年级 +0.08</w:t>
            </w:r>
          </w:p>
        </w:tc>
      </w:tr>
    </w:tbl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4.4　标定效果检验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在 5307 名大一学生的真实数据上重算（该批学生尚未做问卷，初始得分取默认值），综合指数的分布对照见图 7(b) 与表 13。中位数由 0.56 降至 0.32，最高分由 0.90 降至 0.69，上方留出了四年成长所需的空间；同时分数并未压平——分布仍保持可分辨的层次。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13　大一全体学生综合指数的分布对照</w:t>
      </w:r>
    </w:p>
    <w:tbl>
      <w:tblPr>
        <w:tblStyle w:val="TableGrid"/>
        <w:tblW w:type="dxa" w:w="810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963"/>
        <w:gridCol w:w="963"/>
        <w:gridCol w:w="1077"/>
        <w:gridCol w:w="963"/>
        <w:gridCol w:w="963"/>
        <w:gridCol w:w="963"/>
        <w:gridCol w:w="1077"/>
      </w:tblGrid>
      <w:tr>
        <w:trPr>
          <w:cantSplit w:val="true"/>
          <w:tblHeader w:val="true"/>
        </w:trPr>
        <w:tc>
          <w:tcPr>
            <w:tcW w:type="dxa" w:w="113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</w:r>
          </w:p>
        </w:tc>
        <w:tc>
          <w:tcPr>
            <w:tcW w:type="dxa" w:w="96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P10</w:t>
            </w:r>
          </w:p>
        </w:tc>
        <w:tc>
          <w:tcPr>
            <w:tcW w:type="dxa" w:w="96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P25</w:t>
            </w:r>
          </w:p>
        </w:tc>
        <w:tc>
          <w:tcPr>
            <w:tcW w:type="dxa" w:w="107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中位数</w:t>
            </w:r>
          </w:p>
        </w:tc>
        <w:tc>
          <w:tcPr>
            <w:tcW w:type="dxa" w:w="96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P75</w:t>
            </w:r>
          </w:p>
        </w:tc>
        <w:tc>
          <w:tcPr>
            <w:tcW w:type="dxa" w:w="96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P90</w:t>
            </w:r>
          </w:p>
        </w:tc>
        <w:tc>
          <w:tcPr>
            <w:tcW w:type="dxa" w:w="96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P99</w:t>
            </w:r>
          </w:p>
        </w:tc>
        <w:tc>
          <w:tcPr>
            <w:tcW w:type="dxa" w:w="107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最高分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标定前</w:t>
            </w:r>
          </w:p>
        </w:tc>
        <w:tc>
          <w:tcPr>
            <w:tcW w:type="dxa" w:w="96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0.56</w:t>
            </w:r>
          </w:p>
        </w:tc>
        <w:tc>
          <w:tcPr>
            <w:tcW w:type="dxa" w:w="96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0.56</w:t>
            </w:r>
          </w:p>
        </w:tc>
        <w:tc>
          <w:tcPr>
            <w:tcW w:type="dxa" w:w="107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0.56</w:t>
            </w:r>
          </w:p>
        </w:tc>
        <w:tc>
          <w:tcPr>
            <w:tcW w:type="dxa" w:w="96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0.57</w:t>
            </w:r>
          </w:p>
        </w:tc>
        <w:tc>
          <w:tcPr>
            <w:tcW w:type="dxa" w:w="96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0.59</w:t>
            </w:r>
          </w:p>
        </w:tc>
        <w:tc>
          <w:tcPr>
            <w:tcW w:type="dxa" w:w="96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0.73</w:t>
            </w:r>
          </w:p>
        </w:tc>
        <w:tc>
          <w:tcPr>
            <w:tcW w:type="dxa" w:w="107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0.90</w:t>
            </w:r>
          </w:p>
        </w:tc>
      </w:tr>
      <w:tr>
        <w:trPr>
          <w:cantSplit w:val="true"/>
        </w:trPr>
        <w:tc>
          <w:tcPr>
            <w:tcW w:type="dxa" w:w="113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标定后</w:t>
            </w:r>
          </w:p>
        </w:tc>
        <w:tc>
          <w:tcPr>
            <w:tcW w:type="dxa" w:w="96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0.32</w:t>
            </w:r>
          </w:p>
        </w:tc>
        <w:tc>
          <w:tcPr>
            <w:tcW w:type="dxa" w:w="96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0.32</w:t>
            </w:r>
          </w:p>
        </w:tc>
        <w:tc>
          <w:tcPr>
            <w:tcW w:type="dxa" w:w="107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0.32</w:t>
            </w:r>
          </w:p>
        </w:tc>
        <w:tc>
          <w:tcPr>
            <w:tcW w:type="dxa" w:w="96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0.33</w:t>
            </w:r>
          </w:p>
        </w:tc>
        <w:tc>
          <w:tcPr>
            <w:tcW w:type="dxa" w:w="96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0.35</w:t>
            </w:r>
          </w:p>
        </w:tc>
        <w:tc>
          <w:tcPr>
            <w:tcW w:type="dxa" w:w="96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0.45</w:t>
            </w:r>
          </w:p>
        </w:tc>
        <w:tc>
          <w:tcPr>
            <w:tcW w:type="dxa" w:w="107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0.69</w:t>
            </w:r>
          </w:p>
        </w:tc>
      </w:tr>
    </w:tbl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文化对话的上升空间是本次标定的重点检验项。取一名处于中位水平的学生，分别追加 10、30、60 轮有质量的文化对话，其综合指数的变化见表 14。标定前该生起点已在 0.56，距满分只剩 0.44 的空间，追加 60 轮换来 +0.157；标定后起点降到 0.32，空间放大到 0.68，同样的投入换来 +0.412，是原来的 2.6 倍。两点变化叠加，文化对话才真正成为可以持续积累四年的成长通道，而不是很快就顶到天花板的一次性加分项。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14　中位学生追加文化对话后的综合指数</w:t>
      </w:r>
    </w:p>
    <w:tbl>
      <w:tblPr>
        <w:tblStyle w:val="TableGrid"/>
        <w:tblW w:type="dxa" w:w="8051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1360"/>
        <w:gridCol w:w="1814"/>
        <w:gridCol w:w="1814"/>
        <w:gridCol w:w="1814"/>
      </w:tblGrid>
      <w:tr>
        <w:trPr>
          <w:cantSplit w:val="true"/>
          <w:tblHeader w:val="true"/>
        </w:trPr>
        <w:tc>
          <w:tcPr>
            <w:tcW w:type="dxa" w:w="1247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</w:r>
          </w:p>
        </w:tc>
        <w:tc>
          <w:tcPr>
            <w:tcW w:type="dxa" w:w="136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追加前</w:t>
            </w:r>
          </w:p>
        </w:tc>
        <w:tc>
          <w:tcPr>
            <w:tcW w:type="dxa" w:w="181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追加 10 轮</w:t>
            </w:r>
          </w:p>
        </w:tc>
        <w:tc>
          <w:tcPr>
            <w:tcW w:type="dxa" w:w="181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追加 30 轮</w:t>
            </w:r>
          </w:p>
        </w:tc>
        <w:tc>
          <w:tcPr>
            <w:tcW w:type="dxa" w:w="181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追加 60 轮</w:t>
            </w:r>
          </w:p>
        </w:tc>
      </w:tr>
      <w:tr>
        <w:trPr>
          <w:cantSplit w:val="true"/>
        </w:trPr>
        <w:tc>
          <w:tcPr>
            <w:tcW w:type="dxa" w:w="124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标定前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0.56</w:t>
            </w:r>
          </w:p>
        </w:tc>
        <w:tc>
          <w:tcPr>
            <w:tcW w:type="dxa" w:w="181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0.593（+0.032）</w:t>
            </w:r>
          </w:p>
        </w:tc>
        <w:tc>
          <w:tcPr>
            <w:tcW w:type="dxa" w:w="181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0.649（+0.088）</w:t>
            </w:r>
          </w:p>
        </w:tc>
        <w:tc>
          <w:tcPr>
            <w:tcW w:type="dxa" w:w="181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0.717（+0.157）</w:t>
            </w:r>
          </w:p>
        </w:tc>
      </w:tr>
      <w:tr>
        <w:trPr>
          <w:cantSplit w:val="true"/>
        </w:trPr>
        <w:tc>
          <w:tcPr>
            <w:tcW w:type="dxa" w:w="1247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标定后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0.32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0.429（+0.105）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0.588（+0.264）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0.736（+0.412）</w:t>
            </w:r>
          </w:p>
        </w:tc>
      </w:tr>
    </w:tbl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四年的成长性与防刷分效果同时检验。取两名典型学生：一名逐年加大投入，一名只在入学时把问卷刷满分、其后基本不使用平台。二者的四年轨迹见表 15 与图 8。持续投入的学生四年间由发展级升至引领级；只刷问卷的学生四年停留在起步级，分数虽略有累积，但始终追不上逐年抬高的等级线。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15　两类学生的四年成长轨迹</w:t>
      </w:r>
    </w:p>
    <w:tbl>
      <w:tblPr>
        <w:tblStyle w:val="TableGrid"/>
        <w:tblW w:type="dxa" w:w="827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3061"/>
        <w:gridCol w:w="850"/>
        <w:gridCol w:w="1190"/>
        <w:gridCol w:w="1190"/>
        <w:gridCol w:w="1190"/>
      </w:tblGrid>
      <w:tr>
        <w:trPr>
          <w:cantSplit w:val="true"/>
          <w:tblHeader w:val="true"/>
        </w:trPr>
        <w:tc>
          <w:tcPr>
            <w:tcW w:type="dxa" w:w="794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学年</w:t>
            </w:r>
          </w:p>
        </w:tc>
        <w:tc>
          <w:tcPr>
            <w:tcW w:type="dxa" w:w="306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持续投入者当年的材料</w:t>
            </w:r>
          </w:p>
        </w:tc>
        <w:tc>
          <w:tcPr>
            <w:tcW w:type="dxa" w:w="850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CCI</w:t>
            </w:r>
          </w:p>
        </w:tc>
        <w:tc>
          <w:tcPr>
            <w:tcW w:type="dxa" w:w="119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等级</w:t>
            </w:r>
          </w:p>
        </w:tc>
        <w:tc>
          <w:tcPr>
            <w:tcW w:type="dxa" w:w="119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只刷问卷者 CCI</w:t>
            </w:r>
          </w:p>
        </w:tc>
        <w:tc>
          <w:tcPr>
            <w:tcW w:type="dxa" w:w="1191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18"/>
              </w:rPr>
              <w:t>等级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大一</w:t>
            </w: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1 门课 + 1 门课的视频 + 2 轮对话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0.44</w:t>
            </w:r>
          </w:p>
        </w:tc>
        <w:tc>
          <w:tcPr>
            <w:tcW w:type="dxa" w:w="119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C 发展级</w:t>
            </w:r>
          </w:p>
        </w:tc>
        <w:tc>
          <w:tcPr>
            <w:tcW w:type="dxa" w:w="119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0.35</w:t>
            </w:r>
          </w:p>
        </w:tc>
        <w:tc>
          <w:tcPr>
            <w:tcW w:type="dxa" w:w="119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D 起步级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大二</w:t>
            </w: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2 门课 + 2 门课的视频 + 2 门作业 + 15 轮对话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0.64</w:t>
            </w:r>
          </w:p>
        </w:tc>
        <w:tc>
          <w:tcPr>
            <w:tcW w:type="dxa" w:w="119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B 胜任级</w:t>
            </w:r>
          </w:p>
        </w:tc>
        <w:tc>
          <w:tcPr>
            <w:tcW w:type="dxa" w:w="119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0.36</w:t>
            </w:r>
          </w:p>
        </w:tc>
        <w:tc>
          <w:tcPr>
            <w:tcW w:type="dxa" w:w="119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D 起步级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大三</w:t>
            </w: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3 门课 + 3 门课的视频 + 4 门作业 + 35 轮对话 + 2 份成果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0.89</w:t>
            </w:r>
          </w:p>
        </w:tc>
        <w:tc>
          <w:tcPr>
            <w:tcW w:type="dxa" w:w="119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A 引领级</w:t>
            </w:r>
          </w:p>
        </w:tc>
        <w:tc>
          <w:tcPr>
            <w:tcW w:type="dxa" w:w="119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0.38</w:t>
            </w:r>
          </w:p>
        </w:tc>
        <w:tc>
          <w:tcPr>
            <w:tcW w:type="dxa" w:w="119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D 起步级</w:t>
            </w:r>
          </w:p>
        </w:tc>
      </w:tr>
      <w:tr>
        <w:trPr>
          <w:cantSplit w:val="true"/>
        </w:trPr>
        <w:tc>
          <w:tcPr>
            <w:tcW w:type="dxa" w:w="794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大四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4 门课 + 4 门课的视频 + 6 门作业 + 60 轮对话 + 4 份成果 + 2 个智能体</w:t>
            </w:r>
          </w:p>
        </w:tc>
        <w:tc>
          <w:tcPr>
            <w:tcW w:type="dxa" w:w="850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0.99</w:t>
            </w:r>
          </w:p>
        </w:tc>
        <w:tc>
          <w:tcPr>
            <w:tcW w:type="dxa" w:w="119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A 引领级</w:t>
            </w:r>
          </w:p>
        </w:tc>
        <w:tc>
          <w:tcPr>
            <w:tcW w:type="dxa" w:w="119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0.39</w:t>
            </w:r>
          </w:p>
        </w:tc>
        <w:tc>
          <w:tcPr>
            <w:tcW w:type="dxa" w:w="1191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D 起步级</w:t>
            </w:r>
          </w:p>
        </w:tc>
      </w:tr>
    </w:tbl>
    <w:p>
      <w:pPr>
        <w:keepNext/>
        <w:spacing w:before="1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26348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rowth_lad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634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图 8　发展性等级阶梯与两类学生的四年轨迹</w:t>
      </w:r>
    </w:p>
    <w:p>
      <w:pPr>
        <w:keepNext/>
        <w:spacing w:before="320" w:after="200" w:line="360" w:lineRule="auto"/>
        <w:jc w:val="center"/>
        <w:outlineLvl w:val="0"/>
      </w:pPr>
      <w:r>
        <w:rPr>
          <w:rFonts w:ascii="黑体" w:hAnsi="黑体" w:eastAsia="黑体" w:cs="黑体"/>
          <w:b/>
          <w:i w:val="0"/>
          <w:sz w:val="30"/>
        </w:rPr>
        <w:t>五、稳定性、可复算与可审计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5.1　内容指纹与幂等性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每条证据都带内容指纹，按式（12）生成，其中 h 为 SHA-256 摘要函数，k 为该条证据的业务主键。指纹相同的证据在入库时被直接忽略，因此“同样的内容反复上传得分完全不变”由存储层强制保证。</w:t>
      </w:r>
    </w:p>
    <w:p>
      <w:pPr>
        <w:tabs>
          <w:tab w:val="center" w:pos="4100"/>
          <w:tab w:val="right" w:pos="8300"/>
        </w:tabs>
        <w:spacing w:before="120" w:after="120" w:line="360" w:lineRule="auto"/>
      </w:pPr>
      <w:r>
        <w:tab/>
      </w:r>
      <m:oMath>
        <m:r>
          <w:rPr>
            <w:rFonts w:ascii="Cambria Math" w:hAnsi="Cambria Math"/>
            <w:sz w:val="24"/>
            <w:szCs w:val="24"/>
          </w:rPr>
          <m:t xml:space="preserve">fp</m:t>
        </m:r>
        <m:r>
          <w:rPr>
            <w:rFonts w:ascii="Cambria Math" w:hAnsi="Cambria Math"/>
            <w:sz w:val="24"/>
            <w:szCs w:val="24"/>
          </w:rPr>
          <m:t xml:space="preserve"> = </m:t>
        </m:r>
        <m:r>
          <w:rPr>
            <w:rFonts w:ascii="Cambria Math" w:hAnsi="Cambria Math"/>
            <w:sz w:val="24"/>
            <w:szCs w:val="24"/>
          </w:rPr>
          <m:t xml:space="preserve">h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  <w:sz w:val="24"/>
                <w:szCs w:val="24"/>
              </w:rPr>
              <m:t xml:space="preserve">sid ‖ grade ‖ c ‖ d ‖ k</m:t>
            </m:r>
          </m:e>
        </m:d>
      </m:oMath>
      <w:r>
        <w:rPr>
          <w:rFonts w:ascii="Times New Roman" w:hAnsi="Times New Roman" w:eastAsia="宋体"/>
          <w:sz w:val="24"/>
          <w:szCs w:val="24"/>
        </w:rPr>
        <w:tab/>
        <w:t>（12）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5.2　与上传顺序无关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式（5）的截断作用在汇总值上而非按上传批次截断，因此无论材料分几次上传、按什么顺序上传，重算结果始终一致。这一点对多学期、多教师协作录入的场景尤为重要。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5.3　一致性检验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系统提供网页版与 Python 服务端两套实现，二者必须给出逐位一致的结果。检验结果列于表 16。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16　一致性与稳定性检验结果</w:t>
      </w:r>
    </w:p>
    <w:tbl>
      <w:tblPr>
        <w:tblStyle w:val="TableGrid"/>
        <w:tblW w:type="dxa" w:w="827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309"/>
        <w:gridCol w:w="3969"/>
      </w:tblGrid>
      <w:tr>
        <w:trPr>
          <w:cantSplit w:val="true"/>
          <w:tblHeader w:val="true"/>
        </w:trPr>
        <w:tc>
          <w:tcPr>
            <w:tcW w:type="dxa" w:w="4309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检验项</w:t>
            </w:r>
          </w:p>
        </w:tc>
        <w:tc>
          <w:tcPr>
            <w:tcW w:type="dxa" w:w="3969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430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四张导出表全部重复导入一遍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新增 0 条，五维得分逐位不变</w:t>
            </w:r>
          </w:p>
        </w:tc>
      </w:tr>
      <w:tr>
        <w:trPr>
          <w:cantSplit w:val="true"/>
        </w:trPr>
        <w:tc>
          <w:tcPr>
            <w:tcW w:type="dxa" w:w="430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同一份作业改文件名后再传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按内容去重，未重复计分</w:t>
            </w:r>
          </w:p>
        </w:tc>
      </w:tr>
      <w:tr>
        <w:trPr>
          <w:cantSplit w:val="true"/>
        </w:trPr>
        <w:tc>
          <w:tcPr>
            <w:tcW w:type="dxa" w:w="430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连续灌入 40 份不同作品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各维度均未越过 1.0</w:t>
            </w:r>
          </w:p>
        </w:tc>
      </w:tr>
      <w:tr>
        <w:trPr>
          <w:cantSplit w:val="true"/>
        </w:trPr>
        <w:tc>
          <w:tcPr>
            <w:tcW w:type="dxa" w:w="430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网页版与 Python 版算分对照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40 名学生 × 5 维，最大差异 0.000e+00</w:t>
            </w:r>
          </w:p>
        </w:tc>
      </w:tr>
      <w:tr>
        <w:trPr>
          <w:cantSplit w:val="true"/>
        </w:trPr>
        <w:tc>
          <w:tcPr>
            <w:tcW w:type="dxa" w:w="430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网页版与 Python 版排序依据对照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40 名学生逐项一致，差异 0.000e+00</w:t>
            </w:r>
          </w:p>
        </w:tc>
      </w:tr>
      <w:tr>
        <w:trPr>
          <w:cantSplit w:val="true"/>
        </w:trPr>
        <w:tc>
          <w:tcPr>
            <w:tcW w:type="dxa" w:w="4309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问卷题目自动归类（推荐题本 20 题）</w:t>
            </w:r>
          </w:p>
        </w:tc>
        <w:tc>
          <w:tcPr>
            <w:tcW w:type="dxa" w:w="3969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20/20 全对</w:t>
            </w:r>
          </w:p>
        </w:tc>
      </w:tr>
    </w:tbl>
    <w:p>
      <w:pPr>
        <w:keepNext/>
        <w:spacing w:before="320" w:after="200" w:line="360" w:lineRule="auto"/>
        <w:jc w:val="center"/>
        <w:outlineLvl w:val="0"/>
      </w:pPr>
      <w:r>
        <w:rPr>
          <w:rFonts w:ascii="黑体" w:hAnsi="黑体" w:eastAsia="黑体" w:cs="黑体"/>
          <w:b/>
          <w:i w:val="0"/>
          <w:sz w:val="30"/>
        </w:rPr>
        <w:t>六、参数维护</w:t>
      </w:r>
    </w:p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6.1　可热改的参数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表 12 中的绝大多数参数都放在与程序同目录的 weights.json 中，改完刷新页面（服务端为重启服务）即可生效，无需重新导入任何材料——因为权重、上限、饱和常数、问卷窄带与等级阈值都是在打分时套用的，而不是写进证据记录里的。可热改的配置项见表 17。</w:t>
      </w:r>
    </w:p>
    <w:p>
      <w:pPr>
        <w:keepNext/>
        <w:spacing w:before="200" w:after="60" w:line="240" w:lineRule="auto"/>
        <w:jc w:val="center"/>
      </w:pPr>
      <w:r>
        <w:rPr>
          <w:rFonts w:ascii="黑体" w:hAnsi="黑体" w:eastAsia="黑体" w:cs="黑体"/>
          <w:b w:val="0"/>
          <w:i w:val="0"/>
          <w:sz w:val="21"/>
        </w:rPr>
        <w:t>表 17　weights.json 可热改的配置项</w:t>
      </w:r>
    </w:p>
    <w:tbl>
      <w:tblPr>
        <w:tblStyle w:val="TableGrid"/>
        <w:tblW w:type="dxa" w:w="8278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5670"/>
      </w:tblGrid>
      <w:tr>
        <w:trPr>
          <w:cantSplit w:val="true"/>
          <w:tblHeader w:val="true"/>
        </w:trPr>
        <w:tc>
          <w:tcPr>
            <w:tcW w:type="dxa" w:w="2608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配置项</w:t>
            </w:r>
          </w:p>
        </w:tc>
        <w:tc>
          <w:tcPr>
            <w:tcW w:type="dxa" w:w="5669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center"/>
            </w:pPr>
            <w:r>
              <w:rPr>
                <w:rFonts w:ascii="黑体" w:hAnsi="黑体" w:eastAsia="黑体" w:cs="黑体"/>
                <w:b w:val="0"/>
                <w:i w:val="0"/>
                <w:sz w:val="21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channel_weights</w:t>
            </w:r>
          </w:p>
        </w:tc>
        <w:tc>
          <w:tcPr>
            <w:tcW w:type="dxa" w:w="56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渠道—维度贡献权重矩阵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kappa</w:t>
            </w:r>
          </w:p>
        </w:tc>
        <w:tc>
          <w:tcPr>
            <w:tcW w:type="dxa" w:w="56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各维度的证据饱和常数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channel_cap</w:t>
            </w:r>
          </w:p>
        </w:tc>
        <w:tc>
          <w:tcPr>
            <w:tcW w:type="dxa" w:w="56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各渠道的证据量上限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baseline_band</w:t>
            </w:r>
          </w:p>
        </w:tc>
        <w:tc>
          <w:tcPr>
            <w:tcW w:type="dxa" w:w="56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问卷窄带区间、指数与默认初始得分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straight_line</w:t>
            </w:r>
          </w:p>
        </w:tc>
        <w:tc>
          <w:tcPr>
            <w:tcW w:type="dxa" w:w="56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直线作答折减的阈值与力度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level</w:t>
            </w:r>
          </w:p>
        </w:tc>
        <w:tc>
          <w:tcPr>
            <w:tcW w:type="dxa" w:w="5669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发展性等级的大一阈值与年级步长</w:t>
            </w:r>
          </w:p>
        </w:tc>
      </w:tr>
    </w:tbl>
    <w:p>
      <w:pPr>
        <w:keepNext/>
        <w:spacing w:before="200" w:after="120" w:line="360" w:lineRule="auto"/>
        <w:jc w:val="left"/>
        <w:outlineLvl w:val="1"/>
      </w:pPr>
      <w:r>
        <w:rPr>
          <w:rFonts w:ascii="黑体" w:hAnsi="黑体" w:eastAsia="黑体" w:cs="黑体"/>
          <w:b w:val="0"/>
          <w:i w:val="0"/>
          <w:sz w:val="28"/>
        </w:rPr>
        <w:t>6.2　需要重新导入的情形</w:t>
      </w:r>
    </w:p>
    <w:p>
      <w:pPr>
        <w:keepNext w:val="0"/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b w:val="0"/>
          <w:i w:val="0"/>
          <w:sz w:val="24"/>
        </w:rPr>
        <w:t>词典（lexicon.json 中的文化词表）与各渠道的计量口径会写进证据记录，改动后需要先清空过程证据再重新导入四张表，学生库与问卷结果会被保留。此外，若从旧版本升级，建议把问卷重新上传一次，使直线作答折减生效；平台四张导出表、学生作业与自建智能体则不必重传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i w:val="0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