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方正小标宋简体"/>
          <w:b w:val="0"/>
          <w:sz w:val="44"/>
        </w:rPr>
        <w:t>浙江省社科规划“党的二十届四中全会和省委十五届八次全会精神研究阐释”专项课题项目研究报告</w:t>
      </w:r>
    </w:p>
    <w:p/>
    <w:p/>
    <w:p/>
    <w:p>
      <w:pPr>
        <w:spacing w:line="360" w:lineRule="auto" w:after="120"/>
        <w:jc w:val="both"/>
      </w:pPr>
      <w:r>
        <w:rPr>
          <w:rFonts w:ascii="Times New Roman" w:hAnsi="Times New Roman" w:eastAsia="仿宋_GB2312"/>
          <w:b w:val="0"/>
          <w:sz w:val="30"/>
        </w:rPr>
        <w:t>报告名称：新质生产力赋能共同富裕的浙江实践与“十五五”路径研究——基于“势能—动能—效能”三阶转化框架的理论与实证</w:t>
      </w:r>
    </w:p>
    <w:p>
      <w:pPr>
        <w:spacing w:line="360" w:lineRule="auto" w:after="120"/>
        <w:jc w:val="both"/>
      </w:pPr>
      <w:r>
        <w:rPr>
          <w:rFonts w:ascii="Times New Roman" w:hAnsi="Times New Roman" w:eastAsia="仿宋_GB2312"/>
          <w:b w:val="0"/>
          <w:sz w:val="30"/>
        </w:rPr>
        <w:t>成果作者：蔡鑫宇</w:t>
      </w:r>
    </w:p>
    <w:p>
      <w:pPr>
        <w:spacing w:line="360" w:lineRule="auto" w:after="120"/>
        <w:jc w:val="both"/>
      </w:pPr>
      <w:r>
        <w:rPr>
          <w:rFonts w:ascii="Times New Roman" w:hAnsi="Times New Roman" w:eastAsia="仿宋_GB2312"/>
          <w:b w:val="0"/>
          <w:sz w:val="30"/>
        </w:rPr>
        <w:t>所在单位：嘉兴大学</w:t>
      </w:r>
    </w:p>
    <w:p>
      <w:pPr>
        <w:spacing w:line="360" w:lineRule="auto" w:after="120"/>
        <w:jc w:val="both"/>
      </w:pPr>
      <w:r>
        <w:rPr>
          <w:rFonts w:ascii="Times New Roman" w:hAnsi="Times New Roman" w:eastAsia="仿宋_GB2312"/>
          <w:b w:val="0"/>
          <w:sz w:val="30"/>
        </w:rPr>
        <w:t>形成时间：2026年6月30日</w:t>
      </w:r>
    </w:p>
    <w:p/>
    <w:p/>
    <w:p/>
    <w:p/>
    <w:p/>
    <w:p/>
    <w:p>
      <w:pPr>
        <w:spacing w:line="360" w:lineRule="auto" w:after="120"/>
        <w:jc w:val="center"/>
      </w:pPr>
      <w:r>
        <w:rPr>
          <w:rFonts w:ascii="Times New Roman" w:hAnsi="Times New Roman" w:eastAsia="黑体"/>
          <w:b/>
          <w:sz w:val="36"/>
        </w:rPr>
        <w:t>新质生产力赋能共同富裕的浙江实践与“十五五”路径研究——基于“势能—动能—效能”三阶转化框架的理论与实证</w:t>
      </w:r>
    </w:p>
    <w:p>
      <w:pPr>
        <w:spacing w:line="324" w:lineRule="auto" w:after="120"/>
        <w:ind w:firstLine="480"/>
        <w:jc w:val="both"/>
      </w:pPr>
      <w:r>
        <w:rPr>
          <w:rFonts w:ascii="Times New Roman" w:hAnsi="Times New Roman" w:eastAsia="宋体"/>
          <w:b/>
          <w:sz w:val="24"/>
        </w:rPr>
        <w:t>摘要</w:t>
      </w:r>
      <w:r>
        <w:rPr>
          <w:rFonts w:ascii="Times New Roman" w:hAnsi="Times New Roman" w:eastAsia="宋体"/>
          <w:b w:val="0"/>
          <w:sz w:val="24"/>
        </w:rPr>
        <w:t>：党的二十届四中全会通过的《中共中央关于制定国民经济和社会发展第十五个五年规划的建议》将“因地制宜发展新质生产力”与“推动人的全面发展、全体人民共同富裕迈出坚实步伐”确立为“十五五”时期相互贯通的重大命题；省委十五届八次全会通过浙江省“十五五”规划建议，确立了高质量发展建设共同富裕示范区取得决定性进展的总目标。本报告聚焦新质生产力发展与共同富裕推进之间“创新极化—均衡共享”的内在张力，提出“共富型新质生产力”概念，构建“势能—动能—效能”三阶转化理论框架，将新质生产力赋能共同富裕的机制解构为创新势能积蓄、产业动能转换、富民效能释放三个阶段和成果转化、就业分配、人力资本反哺三大转化关口，并阐明关口失灵与城乡、地区、收入“三大差距”生成机理的对应关系；进而在罗默式内生增长与卢卡斯人力资本框架基础上构建数理模型，将三大关口参数化嵌入“知识生产—产出形成—收入分配—人力资本再生产”循环，推导出增长、分配与城乡差距的传导方程和双系统耦合动力学的稳定均衡，证明双向赋能的合成效应大于两个单向效应之和，据此形成三个可检验命题。实证部分以2015—2024年浙江省数据为样本，综合运用熵值法、耦合协调度模型、障碍度模型、相对发展度、灰色关联分析与模糊集定性比较分析（fsQCA）开展多层次检验，并以粤苏鲁浙四省对照定位浙江方位。研究发现：（1）浙江新质生产力发展指数与共同富裕指数十年间分别由0.130、0.108提高至0.802、0.824，两大系统高度同向共进（相关系数0.9941），耦合协调度由0.345（轻度失调）跃升至0.902（优质协调），经历磨合追赶、协调起步、高水平耦合跃升三个阶段，共同富裕示范区建设启动后四年间先后跃上中级、良好、优质三个协调等级，敏感性检验表明这一演进形态对赋权方法、标准化参数与指标取舍均稳健；（2）2024年共同富裕指数（0.824）反超新质生产力发展指数（0.802），相对发展度连续四年处于同步发展区间并收敛于1附近，共同富裕对新质生产力的反哺效应开始显现，“双向赋能”命题得到经验支持；障碍度诊断进一步显示，新质生产力系统的第一障碍因子已由全员劳动生产率转换为R&amp;D经费投入强度，共同富裕系统的障碍结构由总量类指标向城乡结构类指标迁移，指明“十五五”攻坚方向；（3）基于31个省份的组态分析识别出“创新—人才引领型”与“创新—民营协同型”两条高共富绩效路径，创新投入、数字普惠金融与城镇化构成核心条件组合，浙江是同时落入两条路径且以民营经济活力为最具辨识度条件的“全要素协同型”省份，而“创新孤岛型”非高绩效组态则从反面印证了转化关口失灵的理论命题；（4）粤苏鲁浙四省对照表明，浙江以居民收入最高、城乡差距最小、民营经济最活跃、数字金融最普惠的结构组合成为头部省份中的“转化效率高地”，其比较优势在转化关口的完整畅通而非投入强度的绝对领先。报告最后立足三大转化关口与制度转化器，提出“十五五”时期建设创新浙江厚积创新势能、实施“人工智能+”畅通势能转化、壮大现代化产业体系扩容就业质量、深化山海协作畅通空间传导、健全分配制度做实扩中提低、推进公共服务一体化夯实反哺循环等六条深化路径。</w:t>
      </w:r>
    </w:p>
    <w:p>
      <w:pPr>
        <w:spacing w:line="324" w:lineRule="auto" w:after="120"/>
        <w:ind w:firstLine="480"/>
        <w:jc w:val="both"/>
      </w:pPr>
      <w:r>
        <w:rPr>
          <w:rFonts w:ascii="Times New Roman" w:hAnsi="Times New Roman" w:eastAsia="宋体"/>
          <w:b/>
          <w:sz w:val="24"/>
        </w:rPr>
        <w:t>关键词</w:t>
      </w:r>
      <w:r>
        <w:rPr>
          <w:rFonts w:ascii="Times New Roman" w:hAnsi="Times New Roman" w:eastAsia="宋体"/>
          <w:b w:val="0"/>
          <w:sz w:val="24"/>
        </w:rPr>
        <w:t>：新质生产力；共同富裕；耦合协调；组态分析；浙江实践</w:t>
      </w:r>
    </w:p>
    <w:p>
      <w:pPr>
        <w:spacing w:line="360" w:lineRule="auto" w:after="160"/>
        <w:jc w:val="center"/>
      </w:pPr>
      <w:r>
        <w:rPr>
          <w:rFonts w:ascii="Times New Roman" w:hAnsi="Times New Roman" w:eastAsia="黑体"/>
          <w:b/>
          <w:sz w:val="32"/>
        </w:rPr>
        <w:t>一、引言</w:t>
      </w:r>
    </w:p>
    <w:p>
      <w:pPr>
        <w:spacing w:line="360" w:lineRule="auto" w:after="80"/>
        <w:jc w:val="left"/>
      </w:pPr>
      <w:r>
        <w:rPr>
          <w:rFonts w:ascii="Times New Roman" w:hAnsi="Times New Roman" w:eastAsia="黑体"/>
          <w:b/>
          <w:sz w:val="28"/>
        </w:rPr>
        <w:t>（一）研究背景与问题提出</w:t>
      </w:r>
    </w:p>
    <w:p>
      <w:pPr>
        <w:spacing w:line="360" w:lineRule="auto" w:after="0"/>
        <w:ind w:firstLine="480"/>
        <w:jc w:val="both"/>
      </w:pPr>
      <w:r>
        <w:rPr>
          <w:rFonts w:ascii="Times New Roman" w:hAnsi="Times New Roman" w:eastAsia="宋体"/>
          <w:b w:val="0"/>
          <w:sz w:val="24"/>
        </w:rPr>
        <w:t>党的二十届四中全会于2025年10月20日至23日在北京举行，审议通过《中共中央关于制定国民经济和社会发展第十五个五年规划的建议》（以下简称《建议》）</w:t>
      </w:r>
      <w:r>
        <w:rPr>
          <w:rFonts w:ascii="Times New Roman" w:hAnsi="Times New Roman" w:eastAsia="宋体"/>
          <w:b w:val="0"/>
          <w:sz w:val="24"/>
          <w:vertAlign w:val="superscript"/>
        </w:rPr>
        <w:t>[1]</w:t>
      </w:r>
      <w:r>
        <w:rPr>
          <w:rFonts w:ascii="Times New Roman" w:hAnsi="Times New Roman" w:eastAsia="宋体"/>
          <w:b w:val="0"/>
          <w:sz w:val="24"/>
        </w:rPr>
        <w:t>，明确指出“‘十五五’时期在基本实现社会主义现代化进程中具有承前启后的重要地位”，是“基本实现社会主义现代化夯实基础、全面发力的关键时期”。审视《建议》的总体布局，一条贯穿始终的主线是生产力命题与民生命题的内在统一。一方面，《建议》在“坚持高质量发展”的原则中要求“以新发展理念引领发展，因地制宜发展新质生产力”，并在第四部分专章部署“加快高水平科技自立自强，引领发展新质生产力”，强调“抓住新一轮科技革命和产业变革历史机遇，统筹教育强国、科技强国、人才强国建设，提升国家创新体系整体效能，全面增强自主创新能力，抢占科技发展制高点，不断催生新质生产力”；另一方面，《建议》确立了“推动人的全面发展、全体人民共同富裕迈出坚实步伐”的目标要求，第十一部分明确“实现人民对美好生活的向往是中国式现代化的出发点和落脚点”，提出“使居民收入增长和经济增长同步、劳动报酬提高和劳动生产率提高同步”、持续扩大中等收入群体等制度安排。这表明，“十五五”时期的发展命题已不再是“先做大蛋糕、后分好蛋糕”的时序问题，而是生产力跃迁与共享发展如何在同一进程中相互成就的结构问题。</w:t>
      </w:r>
    </w:p>
    <w:p>
      <w:pPr>
        <w:spacing w:line="360" w:lineRule="auto" w:after="0"/>
        <w:ind w:firstLine="480"/>
        <w:jc w:val="both"/>
      </w:pPr>
      <w:r>
        <w:rPr>
          <w:rFonts w:ascii="Times New Roman" w:hAnsi="Times New Roman" w:eastAsia="宋体"/>
          <w:b w:val="0"/>
          <w:sz w:val="24"/>
        </w:rPr>
        <w:t>深入研读《建议》文本可以发现，生产力命题与民生命题的统一并非抽象宣示，而是落实在目标体系的具体设计之中。《建议》全文约2万字、共15个部分、分为三大板块，于2025年10月28日由新华社受权全文播发。其指导思想强调“以推动高质量发展为主题，以改革创新为根本动力，以满足人民日益增长的美好生活需要为根本目的”，要求“推动经济实现质的有效提升和量的合理增长，推动人的全面发展、全体人民共同富裕迈出坚实步伐，确保基本实现社会主义现代化取得决定性进展”。在“十五五”时期经济社会发展主要目标的七个方面中，“高质量发展取得显著成效”与“人民生活品质不断提高”并列其中：前者细化为“经济增长保持在合理区间，全要素生产率稳步提升，居民消费率明显提高，内需拉动经济增长主动力作用持续增强”；后者细化为“高质量充分就业取得新进展，居民收入增长和经济增长同步、劳动报酬提高和劳动生产率提高同步，分配结构得到优化，中等收入群体持续扩大，社会保障制度更加优化更可持续，基本公共服务均等化水平明显提升”。再往远处看，2035年远景目标锚定“人均国内生产总值达到中等发达国家水平，人民生活更加幸福美好，基本实现社会主义现代化”。目标体系的这种双轨并置、相互咬合表明，“十五五”规划的顶层设计已经把“发展”与“共享”作为同一枚硬币的两面加以统筹，任何一翼的缺位都将使基本实现社会主义现代化的进程失去支点。</w:t>
      </w:r>
    </w:p>
    <w:p>
      <w:pPr>
        <w:spacing w:line="360" w:lineRule="auto" w:after="0"/>
        <w:ind w:firstLine="480"/>
        <w:jc w:val="both"/>
      </w:pPr>
      <w:r>
        <w:rPr>
          <w:rFonts w:ascii="Times New Roman" w:hAnsi="Times New Roman" w:eastAsia="宋体"/>
          <w:b w:val="0"/>
          <w:sz w:val="24"/>
        </w:rPr>
        <w:t>从发展阶段看，这一统一具有鲜明的时代必然性。随着人口红利消退与刘易斯转折点的到来，中国经济的传统增长源泉趋于收窄，增长动力亟须转向全要素生产率驱动</w:t>
      </w:r>
      <w:r>
        <w:rPr>
          <w:rFonts w:ascii="Times New Roman" w:hAnsi="Times New Roman" w:eastAsia="宋体"/>
          <w:b w:val="0"/>
          <w:sz w:val="24"/>
          <w:vertAlign w:val="superscript"/>
        </w:rPr>
        <w:t>[2,3]</w:t>
      </w:r>
      <w:r>
        <w:rPr>
          <w:rFonts w:ascii="Times New Roman" w:hAnsi="Times New Roman" w:eastAsia="宋体"/>
          <w:b w:val="0"/>
          <w:sz w:val="24"/>
        </w:rPr>
        <w:t>；跨越中等收入阶段的国际比较研究亦表明，能否在增长换挡期同步改善收入分配、持续扩大中等收入群体，直接关系到一个经济体能否顺利迈入高收入行列</w:t>
      </w:r>
      <w:r>
        <w:rPr>
          <w:rFonts w:ascii="Times New Roman" w:hAnsi="Times New Roman" w:eastAsia="宋体"/>
          <w:b w:val="0"/>
          <w:sz w:val="24"/>
          <w:vertAlign w:val="superscript"/>
        </w:rPr>
        <w:t>[4]</w:t>
      </w:r>
      <w:r>
        <w:rPr>
          <w:rFonts w:ascii="Times New Roman" w:hAnsi="Times New Roman" w:eastAsia="宋体"/>
          <w:b w:val="0"/>
          <w:sz w:val="24"/>
        </w:rPr>
        <w:t>。从理论渊源看，这一统一有着深刻的政治经济学根据。习近平总书记指出：“概括地说，新质生产力是创新起主导作用，摆脱传统经济增长方式、生产力发展路径，具有高科技、高效能、高质量特征，符合新发展理念的先进生产力质态”，并强调“发展新质生产力，必须进一步全面深化改革，形成与之相适应的新型生产关系”</w:t>
      </w:r>
      <w:r>
        <w:rPr>
          <w:rFonts w:ascii="Times New Roman" w:hAnsi="Times New Roman" w:eastAsia="宋体"/>
          <w:b w:val="0"/>
          <w:sz w:val="24"/>
          <w:vertAlign w:val="superscript"/>
        </w:rPr>
        <w:t>[5]</w:t>
      </w:r>
      <w:r>
        <w:rPr>
          <w:rFonts w:ascii="Times New Roman" w:hAnsi="Times New Roman" w:eastAsia="宋体"/>
          <w:b w:val="0"/>
          <w:sz w:val="24"/>
        </w:rPr>
        <w:t>；同时强调“共同富裕是社会主义的本质要求，是中国式现代化的重要特征”，要“坚持以人民为中心的发展思想，在高质量发展中促进共同富裕”</w:t>
      </w:r>
      <w:r>
        <w:rPr>
          <w:rFonts w:ascii="Times New Roman" w:hAnsi="Times New Roman" w:eastAsia="宋体"/>
          <w:b w:val="0"/>
          <w:sz w:val="24"/>
          <w:vertAlign w:val="superscript"/>
        </w:rPr>
        <w:t>[6]</w:t>
      </w:r>
      <w:r>
        <w:rPr>
          <w:rFonts w:ascii="Times New Roman" w:hAnsi="Times New Roman" w:eastAsia="宋体"/>
          <w:b w:val="0"/>
          <w:sz w:val="24"/>
        </w:rPr>
        <w:t>。前者规定了生产力跃迁的方向与质态，后者规定了发展成果分配的价值取向，二者经由“新型生产关系”这一枢纽实现贯通。《建议》的部署与之呼应：一面要求“全面实施‘人工智能+’行动，以人工智能引领科研范式变革，加强人工智能同产业发展、文化建设、民生保障、社会治理相结合，抢占人工智能产业应用制高点，全方位赋能千行百业”，推动“量子科技、生物制造、氢能和核聚变能、脑机接口、具身智能、第六代移动通信等成为新的经济增长点”；一面要求“坚持尽力而为、量力而行，加强普惠性、基础性、兜底性民生建设，解决好人民群众急难愁盼问题，畅通社会流动渠道，提高人民生活品质”。生产力条线负责把“蛋糕”的增量做在新赛道上，民生条线负责让增量的分配惠及最广大人民，两条线在“十五五”这一“承前启后”的关键时期必须同步推进、互为条件。</w:t>
      </w:r>
    </w:p>
    <w:p>
      <w:pPr>
        <w:spacing w:line="360" w:lineRule="auto" w:after="0"/>
        <w:ind w:firstLine="480"/>
        <w:jc w:val="both"/>
      </w:pPr>
      <w:r>
        <w:rPr>
          <w:rFonts w:ascii="Times New Roman" w:hAnsi="Times New Roman" w:eastAsia="宋体"/>
          <w:b w:val="0"/>
          <w:sz w:val="24"/>
        </w:rPr>
        <w:t>省委十五届八次全会于2025年11月14日在杭州举行，审议通过《中共浙江省委关于制定浙江省国民经济和社会发展第十五个五年规划的建议》</w:t>
      </w:r>
      <w:r>
        <w:rPr>
          <w:rFonts w:ascii="Times New Roman" w:hAnsi="Times New Roman" w:eastAsia="宋体"/>
          <w:b w:val="0"/>
          <w:sz w:val="24"/>
          <w:vertAlign w:val="superscript"/>
        </w:rPr>
        <w:t>[7]</w:t>
      </w:r>
      <w:r>
        <w:rPr>
          <w:rFonts w:ascii="Times New Roman" w:hAnsi="Times New Roman" w:eastAsia="宋体"/>
          <w:b w:val="0"/>
          <w:sz w:val="24"/>
        </w:rPr>
        <w:t>，确立了“高质量发展建设共同富裕示范区取得决定性进展，率先呈现基本实现社会主义现代化的生动图景”的“十五五”总目标，《建议》起草说明进一步指出，“十五五”时期是浙江持续夯实基础、全面发力、突破提升、高质量发展建设共同富裕示范区的决定性阶段。全会一方面部署加快建设创新浙江、因地制宜发展新质生产力，以人工智能为核心变量、以先进制造业为骨干打造浙江特色现代化产业体系；另一方面明确“把缩小城乡差距、地区差距、收入差距作为主攻方向”，并提出到2030年人均地区生产总值接近发达经济体水平（约17万元）、全社会研发投入强度3.5%以上、居民人均可支配收入9万元左右、城乡居民收入倍差缩小至1.8以内等量化目标。可以看出，中央部署与浙江落点高度同构：发展新质生产力与扎实推进共同富裕，构成同一张“十五五”施工图的两翼。</w:t>
      </w:r>
    </w:p>
    <w:p>
      <w:pPr>
        <w:spacing w:line="360" w:lineRule="auto" w:after="0"/>
        <w:ind w:firstLine="480"/>
        <w:jc w:val="both"/>
      </w:pPr>
      <w:r>
        <w:rPr>
          <w:rFonts w:ascii="Times New Roman" w:hAnsi="Times New Roman" w:eastAsia="宋体"/>
          <w:b w:val="0"/>
          <w:sz w:val="24"/>
        </w:rPr>
        <w:t>浙江能够承担这一探路使命，有其深厚的战略铺垫与制度积累。2003年，习近平同志在浙江工作期间擘画“八八战略”，为浙江发展确立了总纲领总方略；2021年6月，《中共中央、国务院关于支持浙江高质量发展建设共同富裕示范区的意见》正式发布，浙江成为全国唯一的共同富裕示范区</w:t>
      </w:r>
      <w:r>
        <w:rPr>
          <w:rFonts w:ascii="Times New Roman" w:hAnsi="Times New Roman" w:eastAsia="宋体"/>
          <w:b w:val="0"/>
          <w:sz w:val="24"/>
          <w:vertAlign w:val="superscript"/>
        </w:rPr>
        <w:t>[8]</w:t>
      </w:r>
      <w:r>
        <w:rPr>
          <w:rFonts w:ascii="Times New Roman" w:hAnsi="Times New Roman" w:eastAsia="宋体"/>
          <w:b w:val="0"/>
          <w:sz w:val="24"/>
        </w:rPr>
        <w:t>。进入“十五五”谋划阶段，浙江的部署呈现“两翼递进、最终合流”的清晰节奏：2025年3月，省委一号文件《关于以“千万工程”牵引城乡融合发展缩小“三大差距”推进共同富裕先行示范的实施方案》出台，明确以“千万工程”为牵引、以城乡融合高质量发展为根本路径、以缩小“三大差距”为主攻方向，确立2027年取得突破性成果、2030年取得跨越式成效、2035年全省域基本实现共同富裕的阶段目标</w:t>
      </w:r>
      <w:r>
        <w:rPr>
          <w:rFonts w:ascii="Times New Roman" w:hAnsi="Times New Roman" w:eastAsia="宋体"/>
          <w:b w:val="0"/>
          <w:sz w:val="24"/>
          <w:vertAlign w:val="superscript"/>
        </w:rPr>
        <w:t>[9]</w:t>
      </w:r>
      <w:r>
        <w:rPr>
          <w:rFonts w:ascii="Times New Roman" w:hAnsi="Times New Roman" w:eastAsia="宋体"/>
          <w:b w:val="0"/>
          <w:sz w:val="24"/>
        </w:rPr>
        <w:t>；2025年7月，省委十五届七次全会审议通过《中共浙江省委关于加快建设创新浙江因地制宜发展新质生产力的决定》，明确“人工智能将成为创新浙江的最鲜明标识、最核心支撑”</w:t>
      </w:r>
      <w:r>
        <w:rPr>
          <w:rFonts w:ascii="Times New Roman" w:hAnsi="Times New Roman" w:eastAsia="宋体"/>
          <w:b w:val="0"/>
          <w:sz w:val="24"/>
          <w:vertAlign w:val="superscript"/>
        </w:rPr>
        <w:t>[10]</w:t>
      </w:r>
      <w:r>
        <w:rPr>
          <w:rFonts w:ascii="Times New Roman" w:hAnsi="Times New Roman" w:eastAsia="宋体"/>
          <w:b w:val="0"/>
          <w:sz w:val="24"/>
        </w:rPr>
        <w:t>；同年11月，省委十五届八次全会将两翼合流于“十五五”建议，提出必须始终坚持以“八八战略”为总纲领总方略、必须牢牢扭住高质量发展建设共同富裕示范区这一核心任务等“5个必须”，并在“六个重大突破”中将“创新浙江建设、现代化产业体系构建实现重大突破”与“城乡一体融合高质量发展实现重大突破，全体人民共享高品质幸福生活更加可感可及”并列部署</w:t>
      </w:r>
      <w:r>
        <w:rPr>
          <w:rFonts w:ascii="Times New Roman" w:hAnsi="Times New Roman" w:eastAsia="宋体"/>
          <w:b w:val="0"/>
          <w:sz w:val="24"/>
          <w:vertAlign w:val="superscript"/>
        </w:rPr>
        <w:t>[7]</w:t>
      </w:r>
      <w:r>
        <w:rPr>
          <w:rFonts w:ascii="Times New Roman" w:hAnsi="Times New Roman" w:eastAsia="宋体"/>
          <w:b w:val="0"/>
          <w:sz w:val="24"/>
        </w:rPr>
        <w:t>。这种“一手抓创新跃迁、一手抓共富共享”的部署结构，正是中央层面生产力命题与民生命题内在统一在省域施工图上的具体投影；浙江作为示范区的探路意义，也正在于以省域实践检验并丰富这一统一命题的实现形态，为全国提供可观察、可比较、可制度化的先行样本。</w:t>
      </w:r>
    </w:p>
    <w:p>
      <w:pPr>
        <w:spacing w:line="360" w:lineRule="auto" w:after="0"/>
        <w:ind w:firstLine="480"/>
        <w:jc w:val="both"/>
      </w:pPr>
      <w:r>
        <w:rPr>
          <w:rFonts w:ascii="Times New Roman" w:hAnsi="Times New Roman" w:eastAsia="宋体"/>
          <w:b w:val="0"/>
          <w:sz w:val="24"/>
        </w:rPr>
        <w:t>然而，两翼齐飞并非自然而然，其间存在深刻的理论张力，本报告将其概括为“创新极化—均衡共享”悖论。从生产力运行规律看，新质生产力以科技创新为主导，创新要素因知识溢出的局域性与收益递增效应而天然趋向高能级城市集聚，呈现显著的空间极化特征；从生产关系的价值要求看，共同富裕强调发展成果的普惠共享与空间均衡，二者在机理上存在紧张关系。这一张力在经验层面具有典型化表现：就全国而言，2024年城乡居民收入倍差仍达2.34；就浙江省内而言，创新要素的极化同样明显——全省10家省实验室中7家布局于杭州，2024年杭州数字经济核心产业增加值达6305亿元、占其GDP的28.8%，占全省数字经济核心产业增加值（11060亿元）的比重超过一半，11个设区市人均GDP最高最低倍差为2.20、居民收入最高最低倍差为1.54。但耐人寻味的是，作为数字经济先发省与区域创新能力稳居全国第4的创新大省，浙江同时是全国城乡差距最小的省份之一：2024年城乡居民收入倍差1.83、显著低于全国的2.34，农村居民收入连续40年居全国省区第一，所有设区市居民收入均超过全国平均水平（全国唯一）。作为全国唯一的共同富裕示范区，浙江在创新领先与差距收敛之间实现的“并存”，为破解“极化—共享”悖论提供了极为珍贵的“实践原型”。由此，本报告的核心问题可分解为三个递进层次：其一，新质生产力究竟经由何种机制链条赋能共同富裕，链条的哪些环节容易断裂？其二，浙江两大系统的协同演进达到了何种水平、呈现何种阶段特征，其背后的机制归因是什么？其三，“十五五”时期浙江应沿何种路径深化这一实践，使之上升为可复制、可推广的制度性经验？</w:t>
      </w:r>
    </w:p>
    <w:p>
      <w:pPr>
        <w:spacing w:line="360" w:lineRule="auto" w:after="0"/>
        <w:ind w:firstLine="480"/>
        <w:jc w:val="both"/>
      </w:pPr>
      <w:r>
        <w:rPr>
          <w:rFonts w:ascii="Times New Roman" w:hAnsi="Times New Roman" w:eastAsia="宋体"/>
          <w:b w:val="0"/>
          <w:sz w:val="24"/>
        </w:rPr>
        <w:t>需要指出的是，“创新极化—均衡共享”张力并非中国特有的现象，而是植根于现代经济增长一般机理的世界性难题。经典的倒U形假说曾预期收入不平等将随发展水平提高而自动收敛</w:t>
      </w:r>
      <w:r>
        <w:rPr>
          <w:rFonts w:ascii="Times New Roman" w:hAnsi="Times New Roman" w:eastAsia="宋体"/>
          <w:b w:val="0"/>
          <w:sz w:val="24"/>
          <w:vertAlign w:val="superscript"/>
        </w:rPr>
        <w:t>[11]</w:t>
      </w:r>
      <w:r>
        <w:rPr>
          <w:rFonts w:ascii="Times New Roman" w:hAnsi="Times New Roman" w:eastAsia="宋体"/>
          <w:b w:val="0"/>
          <w:sz w:val="24"/>
        </w:rPr>
        <w:t>，但长期收入分配研究显示，20世纪后期以来主要发达经济体的不平等重新扩大，自动收敛并未如期而至</w:t>
      </w:r>
      <w:r>
        <w:rPr>
          <w:rFonts w:ascii="Times New Roman" w:hAnsi="Times New Roman" w:eastAsia="宋体"/>
          <w:b w:val="0"/>
          <w:sz w:val="24"/>
          <w:vertAlign w:val="superscript"/>
        </w:rPr>
        <w:t>[12]</w:t>
      </w:r>
      <w:r>
        <w:rPr>
          <w:rFonts w:ascii="Times New Roman" w:hAnsi="Times New Roman" w:eastAsia="宋体"/>
          <w:b w:val="0"/>
          <w:sz w:val="24"/>
        </w:rPr>
        <w:t>。空间经济研究表明，经济活动向少数地区集聚是生产率提升的重要源泉，集聚与平衡的权衡构成区域发展政策的永恒主题</w:t>
      </w:r>
      <w:r>
        <w:rPr>
          <w:rFonts w:ascii="Times New Roman" w:hAnsi="Times New Roman" w:eastAsia="宋体"/>
          <w:b w:val="0"/>
          <w:sz w:val="24"/>
          <w:vertAlign w:val="superscript"/>
        </w:rPr>
        <w:t>[13,14]</w:t>
      </w:r>
      <w:r>
        <w:rPr>
          <w:rFonts w:ascii="Times New Roman" w:hAnsi="Times New Roman" w:eastAsia="宋体"/>
          <w:b w:val="0"/>
          <w:sz w:val="24"/>
        </w:rPr>
        <w:t>，产业集聚会显著拉大地区间劳动生产率差异</w:t>
      </w:r>
      <w:r>
        <w:rPr>
          <w:rFonts w:ascii="Times New Roman" w:hAnsi="Times New Roman" w:eastAsia="宋体"/>
          <w:b w:val="0"/>
          <w:sz w:val="24"/>
          <w:vertAlign w:val="superscript"/>
        </w:rPr>
        <w:t>[15]</w:t>
      </w:r>
      <w:r>
        <w:rPr>
          <w:rFonts w:ascii="Times New Roman" w:hAnsi="Times New Roman" w:eastAsia="宋体"/>
          <w:b w:val="0"/>
          <w:sz w:val="24"/>
        </w:rPr>
        <w:t>，城市倾向的经济政策则曾是我国城乡收入差距扩大的重要制度成因</w:t>
      </w:r>
      <w:r>
        <w:rPr>
          <w:rFonts w:ascii="Times New Roman" w:hAnsi="Times New Roman" w:eastAsia="宋体"/>
          <w:b w:val="0"/>
          <w:sz w:val="24"/>
          <w:vertAlign w:val="superscript"/>
        </w:rPr>
        <w:t>[16]</w:t>
      </w:r>
      <w:r>
        <w:rPr>
          <w:rFonts w:ascii="Times New Roman" w:hAnsi="Times New Roman" w:eastAsia="宋体"/>
          <w:b w:val="0"/>
          <w:sz w:val="24"/>
        </w:rPr>
        <w:t>。技术进步的分配效应研究进一步表明，技能偏向型技术变迁提高了高技能劳动的相对回报与技能溢价</w:t>
      </w:r>
      <w:r>
        <w:rPr>
          <w:rFonts w:ascii="Times New Roman" w:hAnsi="Times New Roman" w:eastAsia="宋体"/>
          <w:b w:val="0"/>
          <w:sz w:val="24"/>
          <w:vertAlign w:val="superscript"/>
        </w:rPr>
        <w:t>[17,18]</w:t>
      </w:r>
      <w:r>
        <w:rPr>
          <w:rFonts w:ascii="Times New Roman" w:hAnsi="Times New Roman" w:eastAsia="宋体"/>
          <w:b w:val="0"/>
          <w:sz w:val="24"/>
        </w:rPr>
        <w:t>，自动化与机器人应用对常规岗位形成替代压力</w:t>
      </w:r>
      <w:r>
        <w:rPr>
          <w:rFonts w:ascii="Times New Roman" w:hAnsi="Times New Roman" w:eastAsia="宋体"/>
          <w:b w:val="0"/>
          <w:sz w:val="24"/>
          <w:vertAlign w:val="superscript"/>
        </w:rPr>
        <w:t>[19-21]</w:t>
      </w:r>
      <w:r>
        <w:rPr>
          <w:rFonts w:ascii="Times New Roman" w:hAnsi="Times New Roman" w:eastAsia="宋体"/>
          <w:b w:val="0"/>
          <w:sz w:val="24"/>
        </w:rPr>
        <w:t>，多数经济体的劳动收入份额趋于下降</w:t>
      </w:r>
      <w:r>
        <w:rPr>
          <w:rFonts w:ascii="Times New Roman" w:hAnsi="Times New Roman" w:eastAsia="宋体"/>
          <w:b w:val="0"/>
          <w:sz w:val="24"/>
          <w:vertAlign w:val="superscript"/>
        </w:rPr>
        <w:t>[22,23]</w:t>
      </w:r>
      <w:r>
        <w:rPr>
          <w:rFonts w:ascii="Times New Roman" w:hAnsi="Times New Roman" w:eastAsia="宋体"/>
          <w:b w:val="0"/>
          <w:sz w:val="24"/>
        </w:rPr>
        <w:t>。这些机制相互叠加意味着：若听任市场机制单独运行而缺乏有效的制度安排，创新驱动的增长过程极有可能内生地扩大城乡、地区与收入差距。新时代以来我国区域协调发展虽取得明显成效，但缩小差距仍然任重道远</w:t>
      </w:r>
      <w:r>
        <w:rPr>
          <w:rFonts w:ascii="Times New Roman" w:hAnsi="Times New Roman" w:eastAsia="宋体"/>
          <w:b w:val="0"/>
          <w:sz w:val="24"/>
          <w:vertAlign w:val="superscript"/>
        </w:rPr>
        <w:t>[24]</w:t>
      </w:r>
      <w:r>
        <w:rPr>
          <w:rFonts w:ascii="Times New Roman" w:hAnsi="Times New Roman" w:eastAsia="宋体"/>
          <w:b w:val="0"/>
          <w:sz w:val="24"/>
        </w:rPr>
        <w:t>。这正是“极化—共享”悖论的深层机理，也是审视浙江经验的理论参照。</w:t>
      </w:r>
    </w:p>
    <w:p>
      <w:pPr>
        <w:spacing w:line="360" w:lineRule="auto" w:after="0"/>
        <w:ind w:firstLine="480"/>
        <w:jc w:val="both"/>
      </w:pPr>
      <w:r>
        <w:rPr>
          <w:rFonts w:ascii="Times New Roman" w:hAnsi="Times New Roman" w:eastAsia="宋体"/>
          <w:b w:val="0"/>
          <w:sz w:val="24"/>
        </w:rPr>
        <w:t>与上述一般机理形成对照，浙江在创新领先与差距收敛之间的“并存”有着长期制度经营的支撑。从时间纵深看，“千万工程”自2003年实施以来持续迭代深化，城乡居民收入倍差从2003年的2.43一路缩小至2024年的1.83</w:t>
      </w:r>
      <w:r>
        <w:rPr>
          <w:rFonts w:ascii="Times New Roman" w:hAnsi="Times New Roman" w:eastAsia="宋体"/>
          <w:b w:val="0"/>
          <w:sz w:val="24"/>
          <w:vertAlign w:val="superscript"/>
        </w:rPr>
        <w:t>[25]</w:t>
      </w:r>
      <w:r>
        <w:rPr>
          <w:rFonts w:ascii="Times New Roman" w:hAnsi="Times New Roman" w:eastAsia="宋体"/>
          <w:b w:val="0"/>
          <w:sz w:val="24"/>
        </w:rPr>
        <w:t>；2025年，全省居民人均可支配收入达70240元、首次突破7万元，倍差进一步降至1.81；低收入农户人均可支配收入2024年达23830元、增长11.1%，明显快于全省居民平均增速；2024年民生支出占一般公共预算支出的比重达76.4%。与此同时，创新一翼毫不逊色：2024年全省研发经费达2901.4亿元、居全国第4位，人均生产总值达135565元（按年均汇率折算为19035美元）</w:t>
      </w:r>
      <w:r>
        <w:rPr>
          <w:rFonts w:ascii="Times New Roman" w:hAnsi="Times New Roman" w:eastAsia="宋体"/>
          <w:b w:val="0"/>
          <w:sz w:val="24"/>
          <w:vertAlign w:val="superscript"/>
        </w:rPr>
        <w:t>[25]</w:t>
      </w:r>
      <w:r>
        <w:rPr>
          <w:rFonts w:ascii="Times New Roman" w:hAnsi="Times New Roman" w:eastAsia="宋体"/>
          <w:b w:val="0"/>
          <w:sz w:val="24"/>
        </w:rPr>
        <w:t>。“创新居前、差距最小”的双重事实说明，极化与共享并非注定此消彼长，关键在于是否存在一套将创新势能持续转化为富民效能、又让共富成果反哺创新的制度安排——这正是本报告试图打开的“黑箱”。由此，前述三个递进问题在逻辑上环环相扣：第一问是机制识别问题，机制不明则测度无纲；第二问是水平与阶段判定问题，测度不实则归因无据；第三问是路径设计问题，路径无据则示范难行。三问依次递进、层层收拢，共同构成本报告的问题链条。</w:t>
      </w:r>
    </w:p>
    <w:p>
      <w:pPr>
        <w:spacing w:line="360" w:lineRule="auto" w:after="80"/>
        <w:jc w:val="left"/>
      </w:pPr>
      <w:r>
        <w:rPr>
          <w:rFonts w:ascii="Times New Roman" w:hAnsi="Times New Roman" w:eastAsia="黑体"/>
          <w:b/>
          <w:sz w:val="28"/>
        </w:rPr>
        <w:t>（二）国内外研究现状</w:t>
      </w:r>
    </w:p>
    <w:p>
      <w:pPr>
        <w:spacing w:line="360" w:lineRule="auto" w:after="0"/>
        <w:ind w:firstLine="480"/>
        <w:jc w:val="both"/>
      </w:pPr>
      <w:r>
        <w:rPr>
          <w:rFonts w:ascii="Times New Roman" w:hAnsi="Times New Roman" w:eastAsia="宋体"/>
          <w:b w:val="0"/>
          <w:sz w:val="24"/>
        </w:rPr>
        <w:t>围绕上述问题，既有研究大体沿三条脉络展开。第一支是新质生产力研究。自2023年9月习近平总书记提出这一重大概念以来，学界围绕其科学内涵、生成逻辑与测度方法形成了较为丰富的成果</w:t>
      </w:r>
      <w:r>
        <w:rPr>
          <w:rFonts w:ascii="Times New Roman" w:hAnsi="Times New Roman" w:eastAsia="宋体"/>
          <w:b w:val="0"/>
          <w:sz w:val="24"/>
          <w:vertAlign w:val="superscript"/>
        </w:rPr>
        <w:t>[26,27]</w:t>
      </w:r>
      <w:r>
        <w:rPr>
          <w:rFonts w:ascii="Times New Roman" w:hAnsi="Times New Roman" w:eastAsia="宋体"/>
          <w:b w:val="0"/>
          <w:sz w:val="24"/>
        </w:rPr>
        <w:t>，普遍认为新质生产力以科技创新为主导、以全要素生产率大幅提升为核心标志，并尝试从劳动者、劳动资料、劳动对象及其优化组合的跃升出发构建评价指标体系，考察其区域差异与动态演进。第二支是共同富裕研究。伴随共同富裕示范区建设的推进，研究重心从内涵阐释转向量化测度与路径设计，多从富裕性、共享性、可持续性等维度构建指数</w:t>
      </w:r>
      <w:r>
        <w:rPr>
          <w:rFonts w:ascii="Times New Roman" w:hAnsi="Times New Roman" w:eastAsia="宋体"/>
          <w:b w:val="0"/>
          <w:sz w:val="24"/>
          <w:vertAlign w:val="superscript"/>
        </w:rPr>
        <w:t>[28-30]</w:t>
      </w:r>
      <w:r>
        <w:rPr>
          <w:rFonts w:ascii="Times New Roman" w:hAnsi="Times New Roman" w:eastAsia="宋体"/>
          <w:b w:val="0"/>
          <w:sz w:val="24"/>
        </w:rPr>
        <w:t>，并围绕缩小城乡差距、地区差距、收入差距的实现机制展开讨论</w:t>
      </w:r>
      <w:r>
        <w:rPr>
          <w:rFonts w:ascii="Times New Roman" w:hAnsi="Times New Roman" w:eastAsia="宋体"/>
          <w:b w:val="0"/>
          <w:sz w:val="24"/>
          <w:vertAlign w:val="superscript"/>
        </w:rPr>
        <w:t>[31]</w:t>
      </w:r>
      <w:r>
        <w:rPr>
          <w:rFonts w:ascii="Times New Roman" w:hAnsi="Times New Roman" w:eastAsia="宋体"/>
          <w:b w:val="0"/>
          <w:sz w:val="24"/>
        </w:rPr>
        <w:t>，形成了收入分配、公共服务、城乡融合等多个政策研究方向。第三支是二者关系研究，目前尚处起步阶段：既有成果或从理论上阐释新质生产力对共同富裕的支撑作用，或以计量模型检验前者对后者的线性促进效应，初步确认了“生产力发展有利于共同富裕”的总体判断。</w:t>
      </w:r>
    </w:p>
    <w:p>
      <w:pPr>
        <w:spacing w:line="360" w:lineRule="auto" w:after="0"/>
        <w:ind w:firstLine="480"/>
        <w:jc w:val="both"/>
      </w:pPr>
      <w:r>
        <w:rPr>
          <w:rFonts w:ascii="Times New Roman" w:hAnsi="Times New Roman" w:eastAsia="宋体"/>
          <w:b w:val="0"/>
          <w:sz w:val="24"/>
        </w:rPr>
        <w:t>上述概览勾勒了文献版图的基本轮廓。为更准确地定位本报告的学术坐标，以下按四条线索对相关研究进展作系统述评：前三条对应上述三支实体性文献，第四条为支撑本报告实证设计的方法论文献。需要说明的是，四条线索并非彼此孤立：新质生产力研究提供“生产力侧”的概念与测度资源，共同富裕研究提供“共享侧”的维度与指标资源，关系研究提示二者联结的复杂性与条件性，方法论文献则提供把握这种复杂性的分析工具，四者共同构成本报告立论的学术地基。每条线索之后附以简要评论，为归纳研究缺口作铺垫。</w:t>
      </w:r>
    </w:p>
    <w:p>
      <w:pPr>
        <w:spacing w:line="360" w:lineRule="auto" w:after="0"/>
        <w:ind w:firstLine="480"/>
        <w:jc w:val="both"/>
      </w:pPr>
      <w:r>
        <w:rPr>
          <w:rFonts w:ascii="Times New Roman" w:hAnsi="Times New Roman" w:eastAsia="宋体"/>
          <w:b w:val="0"/>
          <w:sz w:val="24"/>
        </w:rPr>
        <w:t>1．新质生产力研究。2023年9月，习近平总书记在黑龙江考察期间首次提出“新质生产力”重大概念；2024年1月31日，中央政治局第十一次集体学习对其作出系统阐述，给出了权威定义：“概括地说，新质生产力是创新起主导作用，摆脱传统经济增长方式、生产力发展路径，具有高科技、高效能、高质量特征，符合新发展理念的先进生产力质态”，并指明“新质生产力主要由技术革命性突破催生而成，科技创新是发展新质生产力的核心要素”</w:t>
      </w:r>
      <w:r>
        <w:rPr>
          <w:rFonts w:ascii="Times New Roman" w:hAnsi="Times New Roman" w:eastAsia="宋体"/>
          <w:b w:val="0"/>
          <w:sz w:val="24"/>
          <w:vertAlign w:val="superscript"/>
        </w:rPr>
        <w:t>[5]</w:t>
      </w:r>
      <w:r>
        <w:rPr>
          <w:rFonts w:ascii="Times New Roman" w:hAnsi="Times New Roman" w:eastAsia="宋体"/>
          <w:b w:val="0"/>
          <w:sz w:val="24"/>
        </w:rPr>
        <w:t>。围绕这一重大概念，学界迅速形成研究热潮。在内涵界定方面，研究者或考察重要论述的生成逻辑、理论创新与时代价值</w:t>
      </w:r>
      <w:r>
        <w:rPr>
          <w:rFonts w:ascii="Times New Roman" w:hAnsi="Times New Roman" w:eastAsia="宋体"/>
          <w:b w:val="0"/>
          <w:sz w:val="24"/>
          <w:vertAlign w:val="superscript"/>
        </w:rPr>
        <w:t>[32]</w:t>
      </w:r>
      <w:r>
        <w:rPr>
          <w:rFonts w:ascii="Times New Roman" w:hAnsi="Times New Roman" w:eastAsia="宋体"/>
          <w:b w:val="0"/>
          <w:sz w:val="24"/>
        </w:rPr>
        <w:t>，或从内涵特征、内在逻辑与实现途径切入将其解读为推进中国式现代化的新动能</w:t>
      </w:r>
      <w:r>
        <w:rPr>
          <w:rFonts w:ascii="Times New Roman" w:hAnsi="Times New Roman" w:eastAsia="宋体"/>
          <w:b w:val="0"/>
          <w:sz w:val="24"/>
          <w:vertAlign w:val="superscript"/>
        </w:rPr>
        <w:t>[33,34]</w:t>
      </w:r>
      <w:r>
        <w:rPr>
          <w:rFonts w:ascii="Times New Roman" w:hAnsi="Times New Roman" w:eastAsia="宋体"/>
          <w:b w:val="0"/>
          <w:sz w:val="24"/>
        </w:rPr>
        <w:t>，或提炼其时空向度、结构向度、科技向度的三重规定性</w:t>
      </w:r>
      <w:r>
        <w:rPr>
          <w:rFonts w:ascii="Times New Roman" w:hAnsi="Times New Roman" w:eastAsia="宋体"/>
          <w:b w:val="0"/>
          <w:sz w:val="24"/>
          <w:vertAlign w:val="superscript"/>
        </w:rPr>
        <w:t>[35]</w:t>
      </w:r>
      <w:r>
        <w:rPr>
          <w:rFonts w:ascii="Times New Roman" w:hAnsi="Times New Roman" w:eastAsia="宋体"/>
          <w:b w:val="0"/>
          <w:sz w:val="24"/>
        </w:rPr>
        <w:t>，或从提出逻辑与多维内涵出发揭示其政治经济学意义</w:t>
      </w:r>
      <w:r>
        <w:rPr>
          <w:rFonts w:ascii="Times New Roman" w:hAnsi="Times New Roman" w:eastAsia="宋体"/>
          <w:b w:val="0"/>
          <w:sz w:val="24"/>
          <w:vertAlign w:val="superscript"/>
        </w:rPr>
        <w:t>[26,36]</w:t>
      </w:r>
      <w:r>
        <w:rPr>
          <w:rFonts w:ascii="Times New Roman" w:hAnsi="Times New Roman" w:eastAsia="宋体"/>
          <w:b w:val="0"/>
          <w:sz w:val="24"/>
        </w:rPr>
        <w:t>；还有研究梳理其基本意涵与历史演进</w:t>
      </w:r>
      <w:r>
        <w:rPr>
          <w:rFonts w:ascii="Times New Roman" w:hAnsi="Times New Roman" w:eastAsia="宋体"/>
          <w:b w:val="0"/>
          <w:sz w:val="24"/>
          <w:vertAlign w:val="superscript"/>
        </w:rPr>
        <w:t>[37]</w:t>
      </w:r>
      <w:r>
        <w:rPr>
          <w:rFonts w:ascii="Times New Roman" w:hAnsi="Times New Roman" w:eastAsia="宋体"/>
          <w:b w:val="0"/>
          <w:sz w:val="24"/>
        </w:rPr>
        <w:t>，从要素特质、结构承载与功能取向刻画新质生产力系统</w:t>
      </w:r>
      <w:r>
        <w:rPr>
          <w:rFonts w:ascii="Times New Roman" w:hAnsi="Times New Roman" w:eastAsia="宋体"/>
          <w:b w:val="0"/>
          <w:sz w:val="24"/>
          <w:vertAlign w:val="superscript"/>
        </w:rPr>
        <w:t>[38]</w:t>
      </w:r>
      <w:r>
        <w:rPr>
          <w:rFonts w:ascii="Times New Roman" w:hAnsi="Times New Roman" w:eastAsia="宋体"/>
          <w:b w:val="0"/>
          <w:sz w:val="24"/>
        </w:rPr>
        <w:t>，从形成逻辑、新质特征与理论要素进行整体性建构</w:t>
      </w:r>
      <w:r>
        <w:rPr>
          <w:rFonts w:ascii="Times New Roman" w:hAnsi="Times New Roman" w:eastAsia="宋体"/>
          <w:b w:val="0"/>
          <w:sz w:val="24"/>
          <w:vertAlign w:val="superscript"/>
        </w:rPr>
        <w:t>[39]</w:t>
      </w:r>
      <w:r>
        <w:rPr>
          <w:rFonts w:ascii="Times New Roman" w:hAnsi="Times New Roman" w:eastAsia="宋体"/>
          <w:b w:val="0"/>
          <w:sz w:val="24"/>
        </w:rPr>
        <w:t>。在生成逻辑方面，研究普遍认为新质生产力是生产力现代化转型的产物，须以科学认识为前提、以切实发展为归依</w:t>
      </w:r>
      <w:r>
        <w:rPr>
          <w:rFonts w:ascii="Times New Roman" w:hAnsi="Times New Roman" w:eastAsia="宋体"/>
          <w:b w:val="0"/>
          <w:sz w:val="24"/>
          <w:vertAlign w:val="superscript"/>
        </w:rPr>
        <w:t>[40,41]</w:t>
      </w:r>
      <w:r>
        <w:rPr>
          <w:rFonts w:ascii="Times New Roman" w:hAnsi="Times New Roman" w:eastAsia="宋体"/>
          <w:b w:val="0"/>
          <w:sz w:val="24"/>
        </w:rPr>
        <w:t>，其培育和发展离不开与之相适应的新型生产关系与体制机制变革</w:t>
      </w:r>
      <w:r>
        <w:rPr>
          <w:rFonts w:ascii="Times New Roman" w:hAnsi="Times New Roman" w:eastAsia="宋体"/>
          <w:b w:val="0"/>
          <w:sz w:val="24"/>
          <w:vertAlign w:val="superscript"/>
        </w:rPr>
        <w:t>[27]</w:t>
      </w:r>
      <w:r>
        <w:rPr>
          <w:rFonts w:ascii="Times New Roman" w:hAnsi="Times New Roman" w:eastAsia="宋体"/>
          <w:b w:val="0"/>
          <w:sz w:val="24"/>
        </w:rPr>
        <w:t>。</w:t>
      </w:r>
    </w:p>
    <w:p>
      <w:pPr>
        <w:spacing w:line="360" w:lineRule="auto" w:after="0"/>
        <w:ind w:firstLine="480"/>
        <w:jc w:val="both"/>
      </w:pPr>
      <w:r>
        <w:rPr>
          <w:rFonts w:ascii="Times New Roman" w:hAnsi="Times New Roman" w:eastAsia="宋体"/>
          <w:b w:val="0"/>
          <w:sz w:val="24"/>
        </w:rPr>
        <w:t>在测度评价方面，研究者多从劳动者、劳动资料、劳动对象及其优化组合的跃升出发构建指标体系，对中国省域新质生产力水平进行评价并刻画其空间格局与演化特征</w:t>
      </w:r>
      <w:r>
        <w:rPr>
          <w:rFonts w:ascii="Times New Roman" w:hAnsi="Times New Roman" w:eastAsia="宋体"/>
          <w:b w:val="0"/>
          <w:sz w:val="24"/>
          <w:vertAlign w:val="superscript"/>
        </w:rPr>
        <w:t>[42,43]</w:t>
      </w:r>
      <w:r>
        <w:rPr>
          <w:rFonts w:ascii="Times New Roman" w:hAnsi="Times New Roman" w:eastAsia="宋体"/>
          <w:b w:val="0"/>
          <w:sz w:val="24"/>
        </w:rPr>
        <w:t>，测算其发展水平、区域差异与提升路径</w:t>
      </w:r>
      <w:r>
        <w:rPr>
          <w:rFonts w:ascii="Times New Roman" w:hAnsi="Times New Roman" w:eastAsia="宋体"/>
          <w:b w:val="0"/>
          <w:sz w:val="24"/>
          <w:vertAlign w:val="superscript"/>
        </w:rPr>
        <w:t>[44]</w:t>
      </w:r>
      <w:r>
        <w:rPr>
          <w:rFonts w:ascii="Times New Roman" w:hAnsi="Times New Roman" w:eastAsia="宋体"/>
          <w:b w:val="0"/>
          <w:sz w:val="24"/>
        </w:rPr>
        <w:t>，并将测度结果与中国经济增长新动能相关联</w:t>
      </w:r>
      <w:r>
        <w:rPr>
          <w:rFonts w:ascii="Times New Roman" w:hAnsi="Times New Roman" w:eastAsia="宋体"/>
          <w:b w:val="0"/>
          <w:sz w:val="24"/>
          <w:vertAlign w:val="superscript"/>
        </w:rPr>
        <w:t>[45]</w:t>
      </w:r>
      <w:r>
        <w:rPr>
          <w:rFonts w:ascii="Times New Roman" w:hAnsi="Times New Roman" w:eastAsia="宋体"/>
          <w:b w:val="0"/>
          <w:sz w:val="24"/>
        </w:rPr>
        <w:t>。在赋能效应与产业落点方面，研究者论证了新质生产力赋能高质量发展的内在逻辑与实践构想</w:t>
      </w:r>
      <w:r>
        <w:rPr>
          <w:rFonts w:ascii="Times New Roman" w:hAnsi="Times New Roman" w:eastAsia="宋体"/>
          <w:b w:val="0"/>
          <w:sz w:val="24"/>
          <w:vertAlign w:val="superscript"/>
        </w:rPr>
        <w:t>[46,47]</w:t>
      </w:r>
      <w:r>
        <w:rPr>
          <w:rFonts w:ascii="Times New Roman" w:hAnsi="Times New Roman" w:eastAsia="宋体"/>
          <w:b w:val="0"/>
          <w:sz w:val="24"/>
        </w:rPr>
        <w:t>，提出新型支柱产业是发展新质生产力的主阵地并讨论了相应政策选择</w:t>
      </w:r>
      <w:r>
        <w:rPr>
          <w:rFonts w:ascii="Times New Roman" w:hAnsi="Times New Roman" w:eastAsia="宋体"/>
          <w:b w:val="0"/>
          <w:sz w:val="24"/>
          <w:vertAlign w:val="superscript"/>
        </w:rPr>
        <w:t>[48,49]</w:t>
      </w:r>
      <w:r>
        <w:rPr>
          <w:rFonts w:ascii="Times New Roman" w:hAnsi="Times New Roman" w:eastAsia="宋体"/>
          <w:b w:val="0"/>
          <w:sz w:val="24"/>
        </w:rPr>
        <w:t>，考察了数字经济加速新质生产力生成的内在逻辑与实现路径</w:t>
      </w:r>
      <w:r>
        <w:rPr>
          <w:rFonts w:ascii="Times New Roman" w:hAnsi="Times New Roman" w:eastAsia="宋体"/>
          <w:b w:val="0"/>
          <w:sz w:val="24"/>
          <w:vertAlign w:val="superscript"/>
        </w:rPr>
        <w:t>[50]</w:t>
      </w:r>
      <w:r>
        <w:rPr>
          <w:rFonts w:ascii="Times New Roman" w:hAnsi="Times New Roman" w:eastAsia="宋体"/>
          <w:b w:val="0"/>
          <w:sz w:val="24"/>
        </w:rPr>
        <w:t>，并将视野延伸至农业领域，探讨数字新质生产力与人工智能赋能农业高质量发展的实现逻辑与运行机制</w:t>
      </w:r>
      <w:r>
        <w:rPr>
          <w:rFonts w:ascii="Times New Roman" w:hAnsi="Times New Roman" w:eastAsia="宋体"/>
          <w:b w:val="0"/>
          <w:sz w:val="24"/>
          <w:vertAlign w:val="superscript"/>
        </w:rPr>
        <w:t>[51,52]</w:t>
      </w:r>
      <w:r>
        <w:rPr>
          <w:rFonts w:ascii="Times New Roman" w:hAnsi="Times New Roman" w:eastAsia="宋体"/>
          <w:b w:val="0"/>
          <w:sz w:val="24"/>
        </w:rPr>
        <w:t>。简要述评：这支文献在概念阐释与水平测度上进展迅速，为本报告界定与测度新质生产力发展指数（</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）提供了直接基础；但其分析单元多囿于生产力系统自身，对新质生产力如何经由就业与分配环节作用于民生福祉、又如何受制于共享侧条件反哺的研究相对薄弱，恰为本报告的框架建构留下了对接空间。</w:t>
      </w:r>
    </w:p>
    <w:p>
      <w:pPr>
        <w:spacing w:line="360" w:lineRule="auto" w:after="0"/>
        <w:ind w:firstLine="480"/>
        <w:jc w:val="both"/>
      </w:pPr>
      <w:r>
        <w:rPr>
          <w:rFonts w:ascii="Times New Roman" w:hAnsi="Times New Roman" w:eastAsia="宋体"/>
          <w:b w:val="0"/>
          <w:sz w:val="24"/>
        </w:rPr>
        <w:t>2．共同富裕研究。共同富裕研究的升温与2021年8月中央财经委员会第十次会议的战略部署、共同富裕示范区设立的政策进程同步。在理论内涵层面，学界系统梳理了共同富裕思想的演进历程、现实意蕴及路径选择</w:t>
      </w:r>
      <w:r>
        <w:rPr>
          <w:rFonts w:ascii="Times New Roman" w:hAnsi="Times New Roman" w:eastAsia="宋体"/>
          <w:b w:val="0"/>
          <w:sz w:val="24"/>
          <w:vertAlign w:val="superscript"/>
        </w:rPr>
        <w:t>[53]</w:t>
      </w:r>
      <w:r>
        <w:rPr>
          <w:rFonts w:ascii="Times New Roman" w:hAnsi="Times New Roman" w:eastAsia="宋体"/>
          <w:b w:val="0"/>
          <w:sz w:val="24"/>
        </w:rPr>
        <w:t>，阐释了共同富裕的内涵特征与实践路径</w:t>
      </w:r>
      <w:r>
        <w:rPr>
          <w:rFonts w:ascii="Times New Roman" w:hAnsi="Times New Roman" w:eastAsia="宋体"/>
          <w:b w:val="0"/>
          <w:sz w:val="24"/>
          <w:vertAlign w:val="superscript"/>
        </w:rPr>
        <w:t>[54]</w:t>
      </w:r>
      <w:r>
        <w:rPr>
          <w:rFonts w:ascii="Times New Roman" w:hAnsi="Times New Roman" w:eastAsia="宋体"/>
          <w:b w:val="0"/>
          <w:sz w:val="24"/>
        </w:rPr>
        <w:t>，厘定了其理论内涵与政策议程</w:t>
      </w:r>
      <w:r>
        <w:rPr>
          <w:rFonts w:ascii="Times New Roman" w:hAnsi="Times New Roman" w:eastAsia="宋体"/>
          <w:b w:val="0"/>
          <w:sz w:val="24"/>
          <w:vertAlign w:val="superscript"/>
        </w:rPr>
        <w:t>[55]</w:t>
      </w:r>
      <w:r>
        <w:rPr>
          <w:rFonts w:ascii="Times New Roman" w:hAnsi="Times New Roman" w:eastAsia="宋体"/>
          <w:b w:val="0"/>
          <w:sz w:val="24"/>
        </w:rPr>
        <w:t>，界定了促进共同富裕的战略目标与政策措施</w:t>
      </w:r>
      <w:r>
        <w:rPr>
          <w:rFonts w:ascii="Times New Roman" w:hAnsi="Times New Roman" w:eastAsia="宋体"/>
          <w:b w:val="0"/>
          <w:sz w:val="24"/>
          <w:vertAlign w:val="superscript"/>
        </w:rPr>
        <w:t>[56,57]</w:t>
      </w:r>
      <w:r>
        <w:rPr>
          <w:rFonts w:ascii="Times New Roman" w:hAnsi="Times New Roman" w:eastAsia="宋体"/>
          <w:b w:val="0"/>
          <w:sz w:val="24"/>
        </w:rPr>
        <w:t>，主张以包容效率与公平的改革促进共同富裕</w:t>
      </w:r>
      <w:r>
        <w:rPr>
          <w:rFonts w:ascii="Times New Roman" w:hAnsi="Times New Roman" w:eastAsia="宋体"/>
          <w:b w:val="0"/>
          <w:sz w:val="24"/>
          <w:vertAlign w:val="superscript"/>
        </w:rPr>
        <w:t>[58]</w:t>
      </w:r>
      <w:r>
        <w:rPr>
          <w:rFonts w:ascii="Times New Roman" w:hAnsi="Times New Roman" w:eastAsia="宋体"/>
          <w:b w:val="0"/>
          <w:sz w:val="24"/>
        </w:rPr>
        <w:t>；“在高质量发展中促进共同富裕”的命题还带动了共同富裕与高质量发展关系的深入讨论</w:t>
      </w:r>
      <w:r>
        <w:rPr>
          <w:rFonts w:ascii="Times New Roman" w:hAnsi="Times New Roman" w:eastAsia="宋体"/>
          <w:b w:val="0"/>
          <w:sz w:val="24"/>
          <w:vertAlign w:val="superscript"/>
        </w:rPr>
        <w:t>[59,60]</w:t>
      </w:r>
      <w:r>
        <w:rPr>
          <w:rFonts w:ascii="Times New Roman" w:hAnsi="Times New Roman" w:eastAsia="宋体"/>
          <w:b w:val="0"/>
          <w:sz w:val="24"/>
        </w:rPr>
        <w:t>。在量化测度层面，研究者提出了共同富裕的内涵、实现路径与测度方法</w:t>
      </w:r>
      <w:r>
        <w:rPr>
          <w:rFonts w:ascii="Times New Roman" w:hAnsi="Times New Roman" w:eastAsia="宋体"/>
          <w:b w:val="0"/>
          <w:sz w:val="24"/>
          <w:vertAlign w:val="superscript"/>
        </w:rPr>
        <w:t>[28]</w:t>
      </w:r>
      <w:r>
        <w:rPr>
          <w:rFonts w:ascii="Times New Roman" w:hAnsi="Times New Roman" w:eastAsia="宋体"/>
          <w:b w:val="0"/>
          <w:sz w:val="24"/>
        </w:rPr>
        <w:t>，构建了理论内涵与量化方法的对应框架</w:t>
      </w:r>
      <w:r>
        <w:rPr>
          <w:rFonts w:ascii="Times New Roman" w:hAnsi="Times New Roman" w:eastAsia="宋体"/>
          <w:b w:val="0"/>
          <w:sz w:val="24"/>
          <w:vertAlign w:val="superscript"/>
        </w:rPr>
        <w:t>[29]</w:t>
      </w:r>
      <w:r>
        <w:rPr>
          <w:rFonts w:ascii="Times New Roman" w:hAnsi="Times New Roman" w:eastAsia="宋体"/>
          <w:b w:val="0"/>
          <w:sz w:val="24"/>
        </w:rPr>
        <w:t>、共同富裕指数模型</w:t>
      </w:r>
      <w:r>
        <w:rPr>
          <w:rFonts w:ascii="Times New Roman" w:hAnsi="Times New Roman" w:eastAsia="宋体"/>
          <w:b w:val="0"/>
          <w:sz w:val="24"/>
          <w:vertAlign w:val="superscript"/>
        </w:rPr>
        <w:t>[30]</w:t>
      </w:r>
      <w:r>
        <w:rPr>
          <w:rFonts w:ascii="Times New Roman" w:hAnsi="Times New Roman" w:eastAsia="宋体"/>
          <w:b w:val="0"/>
          <w:sz w:val="24"/>
        </w:rPr>
        <w:t>与统计监测评价体系</w:t>
      </w:r>
      <w:r>
        <w:rPr>
          <w:rFonts w:ascii="Times New Roman" w:hAnsi="Times New Roman" w:eastAsia="宋体"/>
          <w:b w:val="0"/>
          <w:sz w:val="24"/>
          <w:vertAlign w:val="superscript"/>
        </w:rPr>
        <w:t>[61]</w:t>
      </w:r>
      <w:r>
        <w:rPr>
          <w:rFonts w:ascii="Times New Roman" w:hAnsi="Times New Roman" w:eastAsia="宋体"/>
          <w:b w:val="0"/>
          <w:sz w:val="24"/>
        </w:rPr>
        <w:t>，对中国省域共同富裕进行了测度与评价</w:t>
      </w:r>
      <w:r>
        <w:rPr>
          <w:rFonts w:ascii="Times New Roman" w:hAnsi="Times New Roman" w:eastAsia="宋体"/>
          <w:b w:val="0"/>
          <w:sz w:val="24"/>
          <w:vertAlign w:val="superscript"/>
        </w:rPr>
        <w:t>[62]</w:t>
      </w:r>
      <w:r>
        <w:rPr>
          <w:rFonts w:ascii="Times New Roman" w:hAnsi="Times New Roman" w:eastAsia="宋体"/>
          <w:b w:val="0"/>
          <w:sz w:val="24"/>
        </w:rPr>
        <w:t>，论证了共同富裕的测度指标和阶段性进展程度</w:t>
      </w:r>
      <w:r>
        <w:rPr>
          <w:rFonts w:ascii="Times New Roman" w:hAnsi="Times New Roman" w:eastAsia="宋体"/>
          <w:b w:val="0"/>
          <w:sz w:val="24"/>
          <w:vertAlign w:val="superscript"/>
        </w:rPr>
        <w:t>[63]</w:t>
      </w:r>
      <w:r>
        <w:rPr>
          <w:rFonts w:ascii="Times New Roman" w:hAnsi="Times New Roman" w:eastAsia="宋体"/>
          <w:b w:val="0"/>
          <w:sz w:val="24"/>
        </w:rPr>
        <w:t>，并将测度与驱动机制研究相结合</w:t>
      </w:r>
      <w:r>
        <w:rPr>
          <w:rFonts w:ascii="Times New Roman" w:hAnsi="Times New Roman" w:eastAsia="宋体"/>
          <w:b w:val="0"/>
          <w:sz w:val="24"/>
          <w:vertAlign w:val="superscript"/>
        </w:rPr>
        <w:t>[64]</w:t>
      </w:r>
      <w:r>
        <w:rPr>
          <w:rFonts w:ascii="Times New Roman" w:hAnsi="Times New Roman" w:eastAsia="宋体"/>
          <w:b w:val="0"/>
          <w:sz w:val="24"/>
        </w:rPr>
        <w:t>。在实现路径层面，研究聚焦收入分配制度改革</w:t>
      </w:r>
      <w:r>
        <w:rPr>
          <w:rFonts w:ascii="Times New Roman" w:hAnsi="Times New Roman" w:eastAsia="宋体"/>
          <w:b w:val="0"/>
          <w:sz w:val="24"/>
          <w:vertAlign w:val="superscript"/>
        </w:rPr>
        <w:t>[31,65]</w:t>
      </w:r>
      <w:r>
        <w:rPr>
          <w:rFonts w:ascii="Times New Roman" w:hAnsi="Times New Roman" w:eastAsia="宋体"/>
          <w:b w:val="0"/>
          <w:sz w:val="24"/>
        </w:rPr>
        <w:t>与居民收入差距的变动分析</w:t>
      </w:r>
      <w:r>
        <w:rPr>
          <w:rFonts w:ascii="Times New Roman" w:hAnsi="Times New Roman" w:eastAsia="宋体"/>
          <w:b w:val="0"/>
          <w:sz w:val="24"/>
          <w:vertAlign w:val="superscript"/>
        </w:rPr>
        <w:t>[66]</w:t>
      </w:r>
      <w:r>
        <w:rPr>
          <w:rFonts w:ascii="Times New Roman" w:hAnsi="Times New Roman" w:eastAsia="宋体"/>
          <w:b w:val="0"/>
          <w:sz w:val="24"/>
        </w:rPr>
        <w:t>，强调机会公平对低收入群体增收的关键意义</w:t>
      </w:r>
      <w:r>
        <w:rPr>
          <w:rFonts w:ascii="Times New Roman" w:hAnsi="Times New Roman" w:eastAsia="宋体"/>
          <w:b w:val="0"/>
          <w:sz w:val="24"/>
          <w:vertAlign w:val="superscript"/>
        </w:rPr>
        <w:t>[67]</w:t>
      </w:r>
      <w:r>
        <w:rPr>
          <w:rFonts w:ascii="Times New Roman" w:hAnsi="Times New Roman" w:eastAsia="宋体"/>
          <w:b w:val="0"/>
          <w:sz w:val="24"/>
        </w:rPr>
        <w:t>，探讨走向共同富裕的相对贫困治理思路</w:t>
      </w:r>
      <w:r>
        <w:rPr>
          <w:rFonts w:ascii="Times New Roman" w:hAnsi="Times New Roman" w:eastAsia="宋体"/>
          <w:b w:val="0"/>
          <w:sz w:val="24"/>
          <w:vertAlign w:val="superscript"/>
        </w:rPr>
        <w:t>[68]</w:t>
      </w:r>
      <w:r>
        <w:rPr>
          <w:rFonts w:ascii="Times New Roman" w:hAnsi="Times New Roman" w:eastAsia="宋体"/>
          <w:b w:val="0"/>
          <w:sz w:val="24"/>
        </w:rPr>
        <w:t>，检验了城镇化的共同富裕效应</w:t>
      </w:r>
      <w:r>
        <w:rPr>
          <w:rFonts w:ascii="Times New Roman" w:hAnsi="Times New Roman" w:eastAsia="宋体"/>
          <w:b w:val="0"/>
          <w:sz w:val="24"/>
          <w:vertAlign w:val="superscript"/>
        </w:rPr>
        <w:t>[69]</w:t>
      </w:r>
      <w:r>
        <w:rPr>
          <w:rFonts w:ascii="Times New Roman" w:hAnsi="Times New Roman" w:eastAsia="宋体"/>
          <w:b w:val="0"/>
          <w:sz w:val="24"/>
        </w:rPr>
        <w:t>以及创新型城市试点、科技金融等政策工具的作用</w:t>
      </w:r>
      <w:r>
        <w:rPr>
          <w:rFonts w:ascii="Times New Roman" w:hAnsi="Times New Roman" w:eastAsia="宋体"/>
          <w:b w:val="0"/>
          <w:sz w:val="24"/>
          <w:vertAlign w:val="superscript"/>
        </w:rPr>
        <w:t>[70,71]</w:t>
      </w:r>
      <w:r>
        <w:rPr>
          <w:rFonts w:ascii="Times New Roman" w:hAnsi="Times New Roman" w:eastAsia="宋体"/>
          <w:b w:val="0"/>
          <w:sz w:val="24"/>
        </w:rPr>
        <w:t>。</w:t>
      </w:r>
    </w:p>
    <w:p>
      <w:pPr>
        <w:spacing w:line="360" w:lineRule="auto" w:after="0"/>
        <w:ind w:firstLine="480"/>
        <w:jc w:val="both"/>
      </w:pPr>
      <w:r>
        <w:rPr>
          <w:rFonts w:ascii="Times New Roman" w:hAnsi="Times New Roman" w:eastAsia="宋体"/>
          <w:b w:val="0"/>
          <w:sz w:val="24"/>
        </w:rPr>
        <w:t>在示范区与浙江实践层面，伴随2021年6月中央《意见》将浙江确立为全国唯一的共同富裕示范区</w:t>
      </w:r>
      <w:r>
        <w:rPr>
          <w:rFonts w:ascii="Times New Roman" w:hAnsi="Times New Roman" w:eastAsia="宋体"/>
          <w:b w:val="0"/>
          <w:sz w:val="24"/>
          <w:vertAlign w:val="superscript"/>
        </w:rPr>
        <w:t>[8]</w:t>
      </w:r>
      <w:r>
        <w:rPr>
          <w:rFonts w:ascii="Times New Roman" w:hAnsi="Times New Roman" w:eastAsia="宋体"/>
          <w:b w:val="0"/>
          <w:sz w:val="24"/>
        </w:rPr>
        <w:t>，一批成果聚焦浙江经验展开：有的总结“千万工程”推进乡村全面振兴、建设宜居宜业和美乡村的实践逻辑与经验启示</w:t>
      </w:r>
      <w:r>
        <w:rPr>
          <w:rFonts w:ascii="Times New Roman" w:hAnsi="Times New Roman" w:eastAsia="宋体"/>
          <w:b w:val="0"/>
          <w:sz w:val="24"/>
          <w:vertAlign w:val="superscript"/>
        </w:rPr>
        <w:t>[72-74]</w:t>
      </w:r>
      <w:r>
        <w:rPr>
          <w:rFonts w:ascii="Times New Roman" w:hAnsi="Times New Roman" w:eastAsia="宋体"/>
          <w:b w:val="0"/>
          <w:sz w:val="24"/>
        </w:rPr>
        <w:t>，有的将“山海协作”提炼为一项中国特色的区域协调发展制度安排</w:t>
      </w:r>
      <w:r>
        <w:rPr>
          <w:rFonts w:ascii="Times New Roman" w:hAnsi="Times New Roman" w:eastAsia="宋体"/>
          <w:b w:val="0"/>
          <w:sz w:val="24"/>
          <w:vertAlign w:val="superscript"/>
        </w:rPr>
        <w:t>[75]</w:t>
      </w:r>
      <w:r>
        <w:rPr>
          <w:rFonts w:ascii="Times New Roman" w:hAnsi="Times New Roman" w:eastAsia="宋体"/>
          <w:b w:val="0"/>
          <w:sz w:val="24"/>
        </w:rPr>
        <w:t>，有的基于浙江样本检验农村集体经济组织公司化运营能否壮大集体经济</w:t>
      </w:r>
      <w:r>
        <w:rPr>
          <w:rFonts w:ascii="Times New Roman" w:hAnsi="Times New Roman" w:eastAsia="宋体"/>
          <w:b w:val="0"/>
          <w:sz w:val="24"/>
          <w:vertAlign w:val="superscript"/>
        </w:rPr>
        <w:t>[76]</w:t>
      </w:r>
      <w:r>
        <w:rPr>
          <w:rFonts w:ascii="Times New Roman" w:hAnsi="Times New Roman" w:eastAsia="宋体"/>
          <w:b w:val="0"/>
          <w:sz w:val="24"/>
        </w:rPr>
        <w:t>、新型农村集体经济何以促进共同富裕</w:t>
      </w:r>
      <w:r>
        <w:rPr>
          <w:rFonts w:ascii="Times New Roman" w:hAnsi="Times New Roman" w:eastAsia="宋体"/>
          <w:b w:val="0"/>
          <w:sz w:val="24"/>
          <w:vertAlign w:val="superscript"/>
        </w:rPr>
        <w:t>[77]</w:t>
      </w:r>
      <w:r>
        <w:rPr>
          <w:rFonts w:ascii="Times New Roman" w:hAnsi="Times New Roman" w:eastAsia="宋体"/>
          <w:b w:val="0"/>
          <w:sz w:val="24"/>
        </w:rPr>
        <w:t>，还有研究剖析浙江教育、科技、人才一体化改革的机制、成效与深化路径</w:t>
      </w:r>
      <w:r>
        <w:rPr>
          <w:rFonts w:ascii="Times New Roman" w:hAnsi="Times New Roman" w:eastAsia="宋体"/>
          <w:b w:val="0"/>
          <w:sz w:val="24"/>
          <w:vertAlign w:val="superscript"/>
        </w:rPr>
        <w:t>[78]</w:t>
      </w:r>
      <w:r>
        <w:rPr>
          <w:rFonts w:ascii="Times New Roman" w:hAnsi="Times New Roman" w:eastAsia="宋体"/>
          <w:b w:val="0"/>
          <w:sz w:val="24"/>
        </w:rPr>
        <w:t>。更宏观的城乡融合与乡村振兴研究，则为理解“三大差距”的生成与收敛提供了空间维度的理论支撑</w:t>
      </w:r>
      <w:r>
        <w:rPr>
          <w:rFonts w:ascii="Times New Roman" w:hAnsi="Times New Roman" w:eastAsia="宋体"/>
          <w:b w:val="0"/>
          <w:sz w:val="24"/>
          <w:vertAlign w:val="superscript"/>
        </w:rPr>
        <w:t>[79-83]</w:t>
      </w:r>
      <w:r>
        <w:rPr>
          <w:rFonts w:ascii="Times New Roman" w:hAnsi="Times New Roman" w:eastAsia="宋体"/>
          <w:b w:val="0"/>
          <w:sz w:val="24"/>
        </w:rPr>
        <w:t>。简要述评：这支文献完成了从内涵阐释到量化测度再到路径设计的递进，为本报告构建共同富裕指数（</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）提供了维度参照与指标资源；但其分析重心仍在共同富裕系统自身，较少将共享进程与生产力跃迁进程纳入同一分析框架，浙江案例研究也多为单项制度经验的总结，缺乏对省域两大系统整体互动的贯通考察。</w:t>
      </w:r>
    </w:p>
    <w:p>
      <w:pPr>
        <w:spacing w:line="360" w:lineRule="auto" w:after="0"/>
        <w:ind w:firstLine="480"/>
        <w:jc w:val="both"/>
      </w:pPr>
      <w:r>
        <w:rPr>
          <w:rFonts w:ascii="Times New Roman" w:hAnsi="Times New Roman" w:eastAsia="宋体"/>
          <w:b w:val="0"/>
          <w:sz w:val="24"/>
        </w:rPr>
        <w:t>3．两者关系及数字经济赋能研究。直接讨论新质生产力与共同富裕关系的文献尚处起步阶段，代表性成果阐释了新质生产力赋能共同富裕的内在逻辑与推进路径</w:t>
      </w:r>
      <w:r>
        <w:rPr>
          <w:rFonts w:ascii="Times New Roman" w:hAnsi="Times New Roman" w:eastAsia="宋体"/>
          <w:b w:val="0"/>
          <w:sz w:val="24"/>
          <w:vertAlign w:val="superscript"/>
        </w:rPr>
        <w:t>[84]</w:t>
      </w:r>
      <w:r>
        <w:rPr>
          <w:rFonts w:ascii="Times New Roman" w:hAnsi="Times New Roman" w:eastAsia="宋体"/>
          <w:b w:val="0"/>
          <w:sz w:val="24"/>
        </w:rPr>
        <w:t>，多数研究则以“赋能高质量发展”为中介间接触及共享议题</w:t>
      </w:r>
      <w:r>
        <w:rPr>
          <w:rFonts w:ascii="Times New Roman" w:hAnsi="Times New Roman" w:eastAsia="宋体"/>
          <w:b w:val="0"/>
          <w:sz w:val="24"/>
          <w:vertAlign w:val="superscript"/>
        </w:rPr>
        <w:t>[46]</w:t>
      </w:r>
      <w:r>
        <w:rPr>
          <w:rFonts w:ascii="Times New Roman" w:hAnsi="Times New Roman" w:eastAsia="宋体"/>
          <w:b w:val="0"/>
          <w:sz w:val="24"/>
        </w:rPr>
        <w:t>。相对成熟的是数字经济与共同富裕关系的研究，可视为本议题的先行形态。其一，在测度基础上，研究者构建了中国数字经济发展水平及其演变的测度框架</w:t>
      </w:r>
      <w:r>
        <w:rPr>
          <w:rFonts w:ascii="Times New Roman" w:hAnsi="Times New Roman" w:eastAsia="宋体"/>
          <w:b w:val="0"/>
          <w:sz w:val="24"/>
          <w:vertAlign w:val="superscript"/>
        </w:rPr>
        <w:t>[85,86]</w:t>
      </w:r>
      <w:r>
        <w:rPr>
          <w:rFonts w:ascii="Times New Roman" w:hAnsi="Times New Roman" w:eastAsia="宋体"/>
          <w:b w:val="0"/>
          <w:sz w:val="24"/>
        </w:rPr>
        <w:t>，数字普惠金融指数的编制则为区域与微观研究提供了广为使用的数据基础</w:t>
      </w:r>
      <w:r>
        <w:rPr>
          <w:rFonts w:ascii="Times New Roman" w:hAnsi="Times New Roman" w:eastAsia="宋体"/>
          <w:b w:val="0"/>
          <w:sz w:val="24"/>
          <w:vertAlign w:val="superscript"/>
        </w:rPr>
        <w:t>[87,88]</w:t>
      </w:r>
      <w:r>
        <w:rPr>
          <w:rFonts w:ascii="Times New Roman" w:hAnsi="Times New Roman" w:eastAsia="宋体"/>
          <w:b w:val="0"/>
          <w:sz w:val="24"/>
        </w:rPr>
        <w:t>。其二，在分配效应上，数字经济、普惠金融与包容性增长的研究确认了数字技术的普惠潜力</w:t>
      </w:r>
      <w:r>
        <w:rPr>
          <w:rFonts w:ascii="Times New Roman" w:hAnsi="Times New Roman" w:eastAsia="宋体"/>
          <w:b w:val="0"/>
          <w:sz w:val="24"/>
          <w:vertAlign w:val="superscript"/>
        </w:rPr>
        <w:t>[89]</w:t>
      </w:r>
      <w:r>
        <w:rPr>
          <w:rFonts w:ascii="Times New Roman" w:hAnsi="Times New Roman" w:eastAsia="宋体"/>
          <w:b w:val="0"/>
          <w:sz w:val="24"/>
        </w:rPr>
        <w:t>，数字金融被证明能够促进居民消费增长</w:t>
      </w:r>
      <w:r>
        <w:rPr>
          <w:rFonts w:ascii="Times New Roman" w:hAnsi="Times New Roman" w:eastAsia="宋体"/>
          <w:b w:val="0"/>
          <w:sz w:val="24"/>
          <w:vertAlign w:val="superscript"/>
        </w:rPr>
        <w:t>[90]</w:t>
      </w:r>
      <w:r>
        <w:rPr>
          <w:rFonts w:ascii="Times New Roman" w:hAnsi="Times New Roman" w:eastAsia="宋体"/>
          <w:b w:val="0"/>
          <w:sz w:val="24"/>
        </w:rPr>
        <w:t>、缩小数字鸿沟</w:t>
      </w:r>
      <w:r>
        <w:rPr>
          <w:rFonts w:ascii="Times New Roman" w:hAnsi="Times New Roman" w:eastAsia="宋体"/>
          <w:b w:val="0"/>
          <w:sz w:val="24"/>
          <w:vertAlign w:val="superscript"/>
        </w:rPr>
        <w:t>[91]</w:t>
      </w:r>
      <w:r>
        <w:rPr>
          <w:rFonts w:ascii="Times New Roman" w:hAnsi="Times New Roman" w:eastAsia="宋体"/>
          <w:b w:val="0"/>
          <w:sz w:val="24"/>
        </w:rPr>
        <w:t>并推进家庭层面的共同富裕</w:t>
      </w:r>
      <w:r>
        <w:rPr>
          <w:rFonts w:ascii="Times New Roman" w:hAnsi="Times New Roman" w:eastAsia="宋体"/>
          <w:b w:val="0"/>
          <w:sz w:val="24"/>
          <w:vertAlign w:val="superscript"/>
        </w:rPr>
        <w:t>[92]</w:t>
      </w:r>
      <w:r>
        <w:rPr>
          <w:rFonts w:ascii="Times New Roman" w:hAnsi="Times New Roman" w:eastAsia="宋体"/>
          <w:b w:val="0"/>
          <w:sz w:val="24"/>
        </w:rPr>
        <w:t>；但亦有研究提示“数字红利”与“数字鸿沟”并存</w:t>
      </w:r>
      <w:r>
        <w:rPr>
          <w:rFonts w:ascii="Times New Roman" w:hAnsi="Times New Roman" w:eastAsia="宋体"/>
          <w:b w:val="0"/>
          <w:sz w:val="24"/>
          <w:vertAlign w:val="superscript"/>
        </w:rPr>
        <w:t>[93,94]</w:t>
      </w:r>
      <w:r>
        <w:rPr>
          <w:rFonts w:ascii="Times New Roman" w:hAnsi="Times New Roman" w:eastAsia="宋体"/>
          <w:b w:val="0"/>
          <w:sz w:val="24"/>
        </w:rPr>
        <w:t>，互联网普及与数字经济发展对城乡收入差距的影响存在显著的条件性与阶段性</w:t>
      </w:r>
      <w:r>
        <w:rPr>
          <w:rFonts w:ascii="Times New Roman" w:hAnsi="Times New Roman" w:eastAsia="宋体"/>
          <w:b w:val="0"/>
          <w:sz w:val="24"/>
          <w:vertAlign w:val="superscript"/>
        </w:rPr>
        <w:t>[95-97]</w:t>
      </w:r>
      <w:r>
        <w:rPr>
          <w:rFonts w:ascii="Times New Roman" w:hAnsi="Times New Roman" w:eastAsia="宋体"/>
          <w:b w:val="0"/>
          <w:sz w:val="24"/>
        </w:rPr>
        <w:t>，数字经济还可能挤压中低技能劳动者权益</w:t>
      </w:r>
      <w:r>
        <w:rPr>
          <w:rFonts w:ascii="Times New Roman" w:hAnsi="Times New Roman" w:eastAsia="宋体"/>
          <w:b w:val="0"/>
          <w:sz w:val="24"/>
          <w:vertAlign w:val="superscript"/>
        </w:rPr>
        <w:t>[98]</w:t>
      </w:r>
      <w:r>
        <w:rPr>
          <w:rFonts w:ascii="Times New Roman" w:hAnsi="Times New Roman" w:eastAsia="宋体"/>
          <w:b w:val="0"/>
          <w:sz w:val="24"/>
        </w:rPr>
        <w:t>，而城乡收入差距本身又会反作用于经济增长</w:t>
      </w:r>
      <w:r>
        <w:rPr>
          <w:rFonts w:ascii="Times New Roman" w:hAnsi="Times New Roman" w:eastAsia="宋体"/>
          <w:b w:val="0"/>
          <w:sz w:val="24"/>
          <w:vertAlign w:val="superscript"/>
        </w:rPr>
        <w:t>[99]</w:t>
      </w:r>
      <w:r>
        <w:rPr>
          <w:rFonts w:ascii="Times New Roman" w:hAnsi="Times New Roman" w:eastAsia="宋体"/>
          <w:b w:val="0"/>
          <w:sz w:val="24"/>
        </w:rPr>
        <w:t>。其三，在综合效应上，数字经济的共同富裕效应获得系统检验[100]，其作用路径涵盖非农就业与社会分工深化[101]、创业活跃度提升[102]，相应的政策设计研究也相继展开[103,104]。</w:t>
      </w:r>
    </w:p>
    <w:p>
      <w:pPr>
        <w:spacing w:line="360" w:lineRule="auto" w:after="0"/>
        <w:ind w:firstLine="480"/>
        <w:jc w:val="both"/>
      </w:pPr>
      <w:r>
        <w:rPr>
          <w:rFonts w:ascii="Times New Roman" w:hAnsi="Times New Roman" w:eastAsia="宋体"/>
          <w:b w:val="0"/>
          <w:sz w:val="24"/>
        </w:rPr>
        <w:t>与此相关，技术进步的分配效应研究构成这支文献的理论底色：技能偏向与任务模型揭示了技术变迁作用于就业结构与技能溢价的微观机制</w:t>
      </w:r>
      <w:r>
        <w:rPr>
          <w:rFonts w:ascii="Times New Roman" w:hAnsi="Times New Roman" w:eastAsia="宋体"/>
          <w:b w:val="0"/>
          <w:sz w:val="24"/>
          <w:vertAlign w:val="superscript"/>
        </w:rPr>
        <w:t>[17,18]</w:t>
      </w:r>
      <w:r>
        <w:rPr>
          <w:rFonts w:ascii="Times New Roman" w:hAnsi="Times New Roman" w:eastAsia="宋体"/>
          <w:b w:val="0"/>
          <w:sz w:val="24"/>
        </w:rPr>
        <w:t>，定向技术变迁理论说明技术进步的偏向本身是内生可塑的[105]，人机竞赛模型刻画了自动化替代效应与新任务创造效应之间的平衡条件</w:t>
      </w:r>
      <w:r>
        <w:rPr>
          <w:rFonts w:ascii="Times New Roman" w:hAnsi="Times New Roman" w:eastAsia="宋体"/>
          <w:b w:val="0"/>
          <w:sz w:val="24"/>
          <w:vertAlign w:val="superscript"/>
        </w:rPr>
        <w:t>[19]</w:t>
      </w:r>
      <w:r>
        <w:rPr>
          <w:rFonts w:ascii="Times New Roman" w:hAnsi="Times New Roman" w:eastAsia="宋体"/>
          <w:b w:val="0"/>
          <w:sz w:val="24"/>
        </w:rPr>
        <w:t>，就业可计算机化风险的测算曾引发广泛讨论[106]，机器人冲击就业与工资的经验证据在美国与中国劳动力市场均获支持</w:t>
      </w:r>
      <w:r>
        <w:rPr>
          <w:rFonts w:ascii="Times New Roman" w:hAnsi="Times New Roman" w:eastAsia="宋体"/>
          <w:b w:val="0"/>
          <w:sz w:val="24"/>
          <w:vertAlign w:val="superscript"/>
        </w:rPr>
        <w:t>[20,21]</w:t>
      </w:r>
      <w:r>
        <w:rPr>
          <w:rFonts w:ascii="Times New Roman" w:hAnsi="Times New Roman" w:eastAsia="宋体"/>
          <w:b w:val="0"/>
          <w:sz w:val="24"/>
        </w:rPr>
        <w:t>，人工智能对产业结构转型与劳动收入份额的影响亦得到中国情境下的模型推演与分类评估[107,108]，关于我国国民收入要素分配的统计核算研究则为判断分配走势提供了基准[109]。简要述评：这支文献确认了“技术—分配”关系的复杂性与条件依赖性，提示新质生产力赋能共同富裕绝非自动实现、其效应方向取决于制度条件；但既有研究多以数字经济为对象、以线性净效应为方法框架，对新质生产力与共同富裕的双向耦合动态，以及“何种条件组合足以产生高共富绩效”的组态问题，尚缺乏系统回答。</w:t>
      </w:r>
    </w:p>
    <w:p>
      <w:pPr>
        <w:spacing w:line="360" w:lineRule="auto" w:after="0"/>
        <w:ind w:firstLine="480"/>
        <w:jc w:val="both"/>
      </w:pPr>
      <w:r>
        <w:rPr>
          <w:rFonts w:ascii="Times New Roman" w:hAnsi="Times New Roman" w:eastAsia="宋体"/>
          <w:b w:val="0"/>
          <w:sz w:val="24"/>
        </w:rPr>
        <w:t>4．方法论研究：耦合协调分析与定性比较分析。本报告实证设计所依托的两类方法均有成熟的学术谱系。耦合协调分析源于物理学容量耦合概念在区域系统研究中的移植：廖重斌较早给出环境与经济协调发展的定量评判及其分类体系[110]，刘耀彬等将耦合度分析引入中国城市化与生态环境关系研究[111]，其后该方法在城镇化与生态环境交互[112-114]、科技金融与科技创新[115-117]、数字金融与科技创新[118]、乡村振兴与新型城镇化[119]、数字经济及数字乡村与乡村振兴[120,121]、区域经济—生态环境—旅游产业[122]、乡村三生空间功能[123]、科技创新—经济增长—生态效益[124]等双系统与多系统情境中广泛应用，并发展出基于距离的协调度模型等改进形式[125]。尤须注意的是，近年的方法论反思系统指出了耦合度模型在公式形式、取值区间与经济含义上的常见误用，并给出了修正方案[126,127]；本报告的模型设定即以修正后的规范形式为基准，以保证测度结果的可比性与可信度。</w:t>
      </w:r>
    </w:p>
    <w:p>
      <w:pPr>
        <w:spacing w:line="360" w:lineRule="auto" w:after="0"/>
        <w:ind w:firstLine="480"/>
        <w:jc w:val="both"/>
      </w:pPr>
      <w:r>
        <w:rPr>
          <w:rFonts w:ascii="Times New Roman" w:hAnsi="Times New Roman" w:eastAsia="宋体"/>
          <w:b w:val="0"/>
          <w:sz w:val="24"/>
        </w:rPr>
        <w:t>定性比较分析（QCA）由拉金开创，主张超越定性与定量研究的二元对立、以集合逻辑处理多重并发因果[128]，经模糊集拓展后形成能够兼容隶属程度差异的成熟工具[129]；菲斯将其引入组织与管理研究，确立了组态理论化的范式地位[130,131]，新组态视角进一步倡导拥抱因果复杂性并提出组态理论化的启发式策略[132,133]，伍德赛德呼吁数据分析范式从对称思维转向非对称思维[134]，必要条件分析则细化了“必要而不充分”因果的识别逻辑[135]，方法教程与最佳实践指南亦日臻完备[136-138]。在中文学界，组态视角与QCA方法经系统引介后迅速扩散[139-141]，应用已覆盖企业跨国并购[142]、战略变革绩效[143]、政府公共卫生治理绩效[144]、创业活动的制度与认知激活条件[145]、地方政府网站建设[146]、营商环境生态与城市高质量发展[147,148]、人才高地建设路径[149,150]等议题，显示出该方法对中国区域与政策研究情境的良好适配性。简要述评：耦合协调分析长于刻画双系统互动的时序过程，QCA长于识别截面上通往结果的条件组态，二者与指数测度相组合恰好覆盖“水平—过程—条件”三个证据层次；但迄今尚无研究将这一方法组合系统地应用于新质生产力与共同富裕议题，方法资源与理论议题之间存在明显的结合空间。</w:t>
      </w:r>
    </w:p>
    <w:p>
      <w:pPr>
        <w:spacing w:line="360" w:lineRule="auto" w:after="0"/>
        <w:ind w:firstLine="480"/>
        <w:jc w:val="both"/>
      </w:pPr>
      <w:r>
        <w:rPr>
          <w:rFonts w:ascii="Times New Roman" w:hAnsi="Times New Roman" w:eastAsia="宋体"/>
          <w:b w:val="0"/>
          <w:sz w:val="24"/>
        </w:rPr>
        <w:t>既往研究为本报告奠定了重要基础，但对照“十五五”时期统筹发展新质生产力与扎实推进共同富裕的实践需要，仍存在三点不足。一是“机制黑箱”。多数研究停留在“新质生产力促进共同富裕”的总量判断，缺乏对“创新投入—产业转化—就业分配—收入改善”这一传导链条的环节化刻画，难以回答赋能过程在哪个关口容易中断、断点如何与“三大差距”的生成机理相对应，理论解释力受限。二是“单向视角”。既有文献多考察生产力对共同富裕的单向促进，较少关注共同富裕通过人力资本积累、内需市场扩容、社会预期稳定等渠道对新质生产力的反哺效应，对两大系统耦合互动、双向赋能的动态关系缺乏系统建模与实证检验。三是“经验碎片”。相关案例研究多为点状经验的罗列，缺少以一个完整省域为样本、贯通“理论建构—历程考察—水平测度—组态比较”的系统性研究；尤其是浙江作为全国唯一共同富裕示范区兼数字经济先发省的双重身份所蕴含的样本价值，尚未在全国坐标系中得到充分定位。弥补上述不足，正是本报告的努力方向。</w:t>
      </w:r>
    </w:p>
    <w:p>
      <w:pPr>
        <w:spacing w:line="360" w:lineRule="auto" w:after="0"/>
        <w:ind w:firstLine="480"/>
        <w:jc w:val="both"/>
      </w:pPr>
      <w:r>
        <w:rPr>
          <w:rFonts w:ascii="Times New Roman" w:hAnsi="Times New Roman" w:eastAsia="宋体"/>
          <w:b w:val="0"/>
          <w:sz w:val="24"/>
        </w:rPr>
        <w:t>将上述三点不足对照四条文献线索的整体进展，可以进一步提炼出本报告所要填补的三个研究缺口。其一，缺整合性理论框架。新质生产力研究与共同富裕研究各自繁荣却相互分立，既有关系研究多停留在“促进论”的定性判断或线性检验层面，尚无一个能够同时容纳“传导链条—双向反馈—制度条件”三重要素的整合性分析装置，“机制黑箱”由此难以打开。其二，缺省域双系统耦合的系统证据。耦合协调方法虽已在诸多双系统情境中成熟运用，但以一个完整省域为样本、对新质生产力与共同富裕两大系统进行长时序测度与耦合分析的研究尚付阙如，浙江这一“最优观察窗口”的样本价值远未被充分挖掘。其三，缺组态视角的跨省比较。既有跨省研究以回归分析的“净效应”逻辑为主，难以回答“哪些条件组合足以产生高共富绩效”“浙江组态在全国坐标系中处于何种位置、对何类省份具有可迁移性”等组态性问题。本报告的研究定位正由此确立：以“共富型新质生产力”概念与“势能—动能—效能”三阶转化框架回应第一个缺口，以浙江省2015—2024年双系统指数测度与耦合协调分析回应第二个缺口，以全国31个省份的fsQCA组态比较回应第三个缺口，三者环环相扣、互为支撑。</w:t>
      </w:r>
    </w:p>
    <w:p>
      <w:pPr>
        <w:spacing w:line="360" w:lineRule="auto" w:after="80"/>
        <w:jc w:val="left"/>
      </w:pPr>
      <w:r>
        <w:rPr>
          <w:rFonts w:ascii="Times New Roman" w:hAnsi="Times New Roman" w:eastAsia="黑体"/>
          <w:b/>
          <w:sz w:val="28"/>
        </w:rPr>
        <w:t>（三）研究思路、方法与边际贡献</w:t>
      </w:r>
    </w:p>
    <w:p>
      <w:pPr>
        <w:spacing w:line="360" w:lineRule="auto" w:after="0"/>
        <w:ind w:firstLine="480"/>
        <w:jc w:val="both"/>
      </w:pPr>
      <w:r>
        <w:rPr>
          <w:rFonts w:ascii="Times New Roman" w:hAnsi="Times New Roman" w:eastAsia="宋体"/>
          <w:b w:val="0"/>
          <w:sz w:val="24"/>
        </w:rPr>
        <w:t>在研究思路上，本报告遵循“理论构建—实践考察—实证检验—路径设计”的四步框架。第一步，理论构建：提出“共富型新质生产力”概念，构建“势能—动能—效能”三阶转化分析框架，界定创新势能、产业动能、富民效能三个阶段及其间的三大转化关口（成果转化关、就业分配关、人力资本反哺关），阐明关口失灵与“三大差距”生成机理的对应关系，并纳入双向赋能机制与“有为政府×有效市场×有感社会”的制度转化器，据此提出可检验的研究命题。第二步，实践考察：系统回顾浙江统筹新质生产力发展与共同富裕示范的探索历程，提炼典型化事实，形成待检验的经验假说。第三步，实证检验：以三个递进的实证模块对理论命题进行检验。第四步，路径设计：立足实证发现，围绕三大转化关口与制度转化器，提出“十五五”时期深化浙江实践的政策路径。</w:t>
      </w:r>
    </w:p>
    <w:p>
      <w:pPr>
        <w:spacing w:line="360" w:lineRule="auto" w:after="0"/>
        <w:ind w:firstLine="480"/>
        <w:jc w:val="both"/>
      </w:pPr>
      <w:r>
        <w:rPr>
          <w:rFonts w:ascii="Times New Roman" w:hAnsi="Times New Roman" w:eastAsia="宋体"/>
          <w:b w:val="0"/>
          <w:sz w:val="24"/>
        </w:rPr>
        <w:t>进一步展开，上述四步框架在报告中落实为“理论建构—数理模型—实践考察—三重实证—省际比较—路径设计”的完整技术路线。理论建构环节（第三章）完成概念界定与分析框架搭建；数理模型环节（第四章）在新古典增长与内生增长理论的谱系上[151-154]，引入刻画成果转化、就业分配与人力资本反哺的结构参数，将三阶转化机制形式化为可作比较静态分析的模型命题，使理论框架从概念叙述上升为可推导、可证伪的严格表述；实践考察环节（第五章）以历史与制度分析提供质性证据；三重实证环节（第六至九章）依次完成水平测度、耦合协调分析与跨省组态比较；省际比较环节（第十章）在粤苏鲁浙四省坐标中定位浙江方位；路径设计环节（第十一章）将实证发现转化为可操作的政策方案。这一技术路线的要义在于：让每一个理论命题都有对应的证据模块，让每一条政策建议都有对应的实证依据，从而实现“理论—证据—政策”的完整闭环。</w:t>
      </w:r>
    </w:p>
    <w:p>
      <w:pPr>
        <w:spacing w:line="360" w:lineRule="auto" w:after="0"/>
        <w:ind w:firstLine="480"/>
        <w:jc w:val="both"/>
      </w:pPr>
      <w:r>
        <w:rPr>
          <w:rFonts w:ascii="Times New Roman" w:hAnsi="Times New Roman" w:eastAsia="宋体"/>
          <w:b w:val="0"/>
          <w:sz w:val="24"/>
        </w:rPr>
        <w:t>在研究方法上，本报告综合运用三种互补的实证工具。一是熵值法指数测度。基于2015—2024年浙江省时间序列数据，采用极值标准化与熵值法客观赋权，分别测度新质生产力发展指数（</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）与共同富裕指数（</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），以规避主观赋权可能引致的测度偏误，刻画两大系统各自的水平演进与结构特征。二是耦合协调度模型。借鉴系统科学中的耦合理论，通过耦合度、综合协调指数与耦合协调度（</w:t>
      </w:r>
      <m:oMath>
        <m:r>
          <w:rPr>
            <w:rFonts w:ascii="Cambria Math" w:hAnsi="Cambria Math"/>
          </w:rPr>
          <m:t xml:space="preserve">D</m:t>
        </m:r>
      </m:oMath>
      <w:r>
        <w:rPr>
          <w:rFonts w:ascii="Times New Roman" w:hAnsi="Times New Roman" w:eastAsia="宋体"/>
          <w:b w:val="0"/>
          <w:sz w:val="24"/>
        </w:rPr>
        <w:t>）的测算及等级划分，考察两大系统协同演化的时序轨迹与阶段跃迁，检验“耦合协调度随时间上升”的理论命题。三是模糊集定性比较分析（fsQCA）。以全国31个省（自治区、直辖市）为案例，以共富绩效为结果变量，纳入创新投入强度、数字普惠金融、人力资本水平、民营经济活力、城镇化水平五个条件变量，运用直接校准法与组态分析识别高共富绩效的多元等效路径。选择fsQCA基于双重考量：从方法论适配性看，共同富裕是多重条件并发作用的复杂结果，组态视角能够捕捉“殊途同归”的等效路径与因果非对称性[139]，弥补传统回归“净效应”思维之不足；从研究情境适配性看，31个省份构成的中等规模样本恰为QCA方法的适用区间[155]，且便于在全国坐标系中定位“浙江组态”。</w:t>
      </w:r>
    </w:p>
    <w:p>
      <w:pPr>
        <w:spacing w:line="360" w:lineRule="auto" w:after="0"/>
        <w:ind w:firstLine="480"/>
        <w:jc w:val="both"/>
      </w:pPr>
      <w:r>
        <w:rPr>
          <w:rFonts w:ascii="Times New Roman" w:hAnsi="Times New Roman" w:eastAsia="宋体"/>
          <w:b w:val="0"/>
          <w:sz w:val="24"/>
        </w:rPr>
        <w:t>三种方法的组合遵循“证据三角互证”的方法论逻辑，而非工具的简单堆砌。指数测度回答“两大系统各自处于什么水平、结构短板何在”的静态问题；耦合协调分析回答“两大系统如何互动、协同演化经历了怎样的阶段”的过程问题，其模型设定充分吸收了关于耦合度模型误用的方法论反思与修正方案[126,127]；fsQCA回答“何种条件组合产生高共富绩效”的组态问题，其集合论基础与组态思维源自比较社会科学的方法创新[128,139]。三类证据的性质互补：时序证据揭示演化过程但样本单一，截面组态证据扩展外部效度但牺牲动态信息；将两者结合，并辅以障碍度诊断、相对发展度与灰色关联分析等工具，可以在承认单案例时序研究因果识别边界的前提下，最大限度提高结论的稳健性。在数据来源上，省域测度指标取自历年统计公报与科技经费投入统计公报等官方口径[25,156]，跨省条件变量则利用第七次全国人口普查资料与北京大学数字普惠金融指数等公开数据[157,158]，以保证测算过程的透明与可复核。</w:t>
      </w:r>
    </w:p>
    <w:p>
      <w:pPr>
        <w:spacing w:line="360" w:lineRule="auto" w:after="0"/>
        <w:ind w:firstLine="480"/>
        <w:jc w:val="both"/>
      </w:pPr>
      <w:r>
        <w:rPr>
          <w:rFonts w:ascii="Times New Roman" w:hAnsi="Times New Roman" w:eastAsia="宋体"/>
          <w:b w:val="0"/>
          <w:sz w:val="24"/>
        </w:rPr>
        <w:t>在边际贡献上，本报告力求在三个层面有所推进。一是理论层面，提出“共富型新质生产力”概念与“势能—动能—效能”三阶转化框架，以三大转化关口打开新质生产力赋能共同富裕的“机制黑箱”，并将关口失灵与城乡差距、地区差距、收入差距的生成机理相对接，为理解“极化—共享”悖论的破解提供了整合性分析工具。二是实证层面，首次对浙江省新质生产力与共同富裕两大系统进行系统性的指数测度与耦合协调分析，以十年时序数据刻画两大系统从失调到协调的演化全景，为“示范区建设成效”提供了可量化的学理证据。三是比较层面，以fsQCA识别共富型发展的多元组态路径，将浙江经验置于全国31个省份的组态坐标中加以定位，回答了“浙江路径是什么、何以独特、能否推广”的问题，为其他地区因地制宜借鉴浙江经验提供了参照系。</w:t>
      </w:r>
    </w:p>
    <w:p>
      <w:pPr>
        <w:spacing w:line="360" w:lineRule="auto" w:after="0"/>
        <w:ind w:firstLine="480"/>
        <w:jc w:val="both"/>
      </w:pPr>
      <w:r>
        <w:rPr>
          <w:rFonts w:ascii="Times New Roman" w:hAnsi="Times New Roman" w:eastAsia="宋体"/>
          <w:b w:val="0"/>
          <w:sz w:val="24"/>
        </w:rPr>
        <w:t>在上述三个层面之外，本报告还自觉追求第四个层面的边际贡献，即政策转化层面：研究设计自始即对接党的二十届四中全会《建议》与省委十五届八次全会的部署结构，并将实证发现逐条转化为衔接“十五五”规划实施的路径安排与量化锚点，使学理结论具备直接进入政策议程的可操作形态。合并观之，本报告的边际贡献可凝练为四点：一是概念与框架的原创性，提出“共富型新质生产力”与“势能—动能—效能”三阶转化框架；二是数理模型的支撑，以结构参数刻画三大转化关口与双向赋能机制，使概念框架获得可推导、可检验的模型基础，弥合概念阐释与经验检验之间的“中间层”缺失；三是方法组合的贯通，将指数测度、耦合协调分析与组态分析整合为“水平—过程—条件”三位一体的证据体系；四是政策转化的自觉，使研究成果与省域“十五五”施工图形成逐条对应关系。</w:t>
      </w:r>
    </w:p>
    <w:p>
      <w:pPr>
        <w:spacing w:line="360" w:lineRule="auto" w:after="0"/>
        <w:ind w:firstLine="480"/>
        <w:jc w:val="both"/>
      </w:pPr>
      <w:r>
        <w:rPr>
          <w:rFonts w:ascii="Times New Roman" w:hAnsi="Times New Roman" w:eastAsia="宋体"/>
          <w:b w:val="0"/>
          <w:sz w:val="24"/>
        </w:rPr>
        <w:t>本报告余下部分安排如下：第二章阐释两个全会关于新质生产力与共同富裕的部署逻辑；第三章构建“共富型新质生产力”与“势能—动能—效能”三阶转化的理论框架；第四章给出理论框架的数理模型，推导可检验的模型命题；第五章考察浙江实践的探索历程与典型化事实；第六章说明研究设计；第七至九章依次报告水平测度与障碍度诊断、耦合协调的时序演进与稳健性检验、跨省组态分析的实证结果；第十章在粤苏鲁浙四省坐标中定位浙江方位；第十一章提出“十五五”路径与政策建议；第十二章总结全文。</w:t>
      </w:r>
    </w:p>
    <w:p>
      <w:pPr>
        <w:spacing w:line="360" w:lineRule="auto" w:after="160"/>
        <w:jc w:val="center"/>
      </w:pPr>
      <w:r>
        <w:rPr>
          <w:rFonts w:ascii="Times New Roman" w:hAnsi="Times New Roman" w:eastAsia="黑体"/>
          <w:b/>
          <w:sz w:val="32"/>
        </w:rPr>
        <w:t>二、党的二十届四中全会与省委十五届八次全会关于新质生产力与共同富裕的部署逻辑</w:t>
      </w:r>
    </w:p>
    <w:p>
      <w:pPr>
        <w:spacing w:line="360" w:lineRule="auto" w:after="0"/>
        <w:ind w:firstLine="480"/>
        <w:jc w:val="both"/>
      </w:pPr>
      <w:r>
        <w:rPr>
          <w:rFonts w:ascii="Times New Roman" w:hAnsi="Times New Roman" w:eastAsia="宋体"/>
          <w:b w:val="0"/>
          <w:sz w:val="24"/>
        </w:rPr>
        <w:t>准确把握新质生产力与共同富裕在党和国家战略体系中的部署逻辑，是本研究得以展开的政策原点。党的二十届四中全会审议通过的《中共中央关于制定国民经济和社会发展第十五个五年规划的建议》（以下简称《建议》）与省委十五届八次全会审议通过的浙江省“十五五”规划建议，分别在国家层面与省域层面对“因地制宜发展新质生产力”与“扎实推进全体人民共同富裕”作出系统安排。本章循“中央部署—理论渊源—浙江落点—内在逻辑”的次序，对两个全会的文本结构与部署逻辑进行学理化解读，为后续理论构建与实证检验确立政策坐标。</w:t>
      </w:r>
    </w:p>
    <w:p>
      <w:pPr>
        <w:spacing w:line="360" w:lineRule="auto" w:after="0"/>
        <w:ind w:firstLine="480"/>
        <w:jc w:val="both"/>
      </w:pPr>
      <w:r>
        <w:rPr>
          <w:rFonts w:ascii="Times New Roman" w:hAnsi="Times New Roman" w:eastAsia="宋体"/>
          <w:b w:val="0"/>
          <w:sz w:val="24"/>
        </w:rPr>
        <w:t>从方法论上说，规划建议类文献是观察党和国家战略意图最重要的一类文本，其篇章结构、目标排序、指标设置与表述强度都承载着明确的政策信息。对这类文本进行结构化解读，不仅要提取“说了什么”，更要辨析“如何安排”——哪些命题被置于原则层面、哪些被置于任务层面、哪些被赋予量化指标、命题之间以何种机制相互勾连。</w:t>
      </w:r>
    </w:p>
    <w:p>
      <w:pPr>
        <w:spacing w:line="360" w:lineRule="auto" w:after="80"/>
        <w:jc w:val="left"/>
      </w:pPr>
      <w:r>
        <w:rPr>
          <w:rFonts w:ascii="Times New Roman" w:hAnsi="Times New Roman" w:eastAsia="黑体"/>
          <w:b/>
          <w:sz w:val="28"/>
        </w:rPr>
        <w:t>（一）党的二十届四中全会的战略部署：从“两大命题”到“一个统一体”</w:t>
      </w:r>
    </w:p>
    <w:p>
      <w:pPr>
        <w:spacing w:line="360" w:lineRule="auto" w:after="0"/>
        <w:ind w:firstLine="480"/>
        <w:jc w:val="both"/>
      </w:pPr>
      <w:r>
        <w:rPr>
          <w:rFonts w:ascii="Times New Roman" w:hAnsi="Times New Roman" w:eastAsia="宋体"/>
          <w:b w:val="0"/>
          <w:sz w:val="24"/>
        </w:rPr>
        <w:t>党的二十届四中全会于2025年10月20日至23日召开，审议通过的《建议》约2万字、15个部分、三大板块，是指导“十五五”时期经济社会发展的纲领性文件。全会明确，“‘十五五’时期在基本实现社会主义现代化进程中具有承前启后的重要地位”，是“基本实现社会主义现代化夯实基础、全面发力的关键时期”。尤为值得注意的是《建议》指导思想的表述结构：“以推动高质量发展为主题，以改革创新为根本动力，以满足人民日益增长的美好生活需要为根本目的……推动经济实现质的有效提升和量的合理增长，推动人的全面发展、全体人民共同富裕迈出坚实步伐，确保基本实现社会主义现代化取得决定性进展”。在这一表述中，“质的有效提升和量的合理增长”与“全体人民共同富裕迈出坚实步伐”被并置于同一目标函数之内，生产力命题与共同富裕命题在指导思想层面即被锚定为不可分割的整体，这构成理解《建议》全部部署的总纲。</w:t>
      </w:r>
    </w:p>
    <w:p>
      <w:pPr>
        <w:spacing w:line="360" w:lineRule="auto" w:after="0"/>
        <w:ind w:firstLine="480"/>
        <w:jc w:val="both"/>
      </w:pPr>
      <w:r>
        <w:rPr>
          <w:rFonts w:ascii="Times New Roman" w:hAnsi="Times New Roman" w:eastAsia="宋体"/>
          <w:b w:val="0"/>
          <w:sz w:val="24"/>
        </w:rPr>
        <w:t>与指导思想相呼应，《建议》确立的“六个坚持”原则——坚持党的全面领导、坚持人民至上、坚持高质量发展、坚持全面深化改革、坚持有效市场和有为政府相结合、坚持统筹发展和安全——同样体现了生产力命题与民生命题的双重在场。“坚持人民至上”规定了发展的价值立场，“坚持高质量发展”规定了发展的动力结构，而“坚持有效市场和有为政府相结合”则规定了两大命题赖以贯通的制度方式：要素配置的效率改进主要依托市场机制完成，成果分享的公平保障则须借助政府的再分配职能与公共服务供给，二者的结合构成生产力增量转化为民生福祉的制度通道。这一原则序列表明，《建议》对“发展为了谁、依靠什么发展、如何组织发展”三个基本问题给出了一体化回答，与本研究关注的“转化”问题高度同构。</w:t>
      </w:r>
    </w:p>
    <w:p>
      <w:pPr>
        <w:spacing w:line="360" w:lineRule="auto" w:after="0"/>
        <w:ind w:firstLine="480"/>
        <w:jc w:val="both"/>
      </w:pPr>
      <w:r>
        <w:rPr>
          <w:rFonts w:ascii="Times New Roman" w:hAnsi="Times New Roman" w:eastAsia="宋体"/>
          <w:b w:val="0"/>
          <w:sz w:val="24"/>
        </w:rPr>
        <w:t>就生产力命题而言，《建议》形成了“原则—产业—科技”三层递进的部署链条。一是在“坚持高质量发展”原则中明确“以新发展理念引领发展，因地制宜发展新质生产力，做强国内大循环，畅通国内国际双循环……加快培育新动能，促进经济结构优化升级，做优增量、盘活存量”，将新质生产力确立为高质量发展的动力内核。二是在“建设现代化产业体系，巩固壮大实体经济根基”部分强调“现代化产业体系是中国式现代化的物质技术基础。坚持把发展经济的着力点放在实体经济上，坚持智能化、绿色化、融合化方向……保持制造业合理比重，构建以先进制造业为骨干的现代化产业体系”，并前瞻部署“推动量子科技、生物制造、氢能和核聚变能、脑机接口、具身智能、第六代移动通信等成为新的经济增长点”。三是以专门部分部署“加快高水平科技自立自强，引领发展新质生产力”，提出“中国式现代化要靠科技现代化作支撑。抓住新一轮科技革命和产业变革历史机遇，统筹教育强国、科技强国、人才强国建设，提升国家创新体系整体效能，全面增强自主创新能力，抢占科技发展制高点，不断催生新质生产力”，其下设的加强原始创新和关键核心技术攻关、推动科技创新和产业创新深度融合、一体推进教育科技人才发展、深入推进数字中国建设四个方面，恰好覆盖了创新势能的积蓄与释放全链条；“全面实施‘人工智能+’行动，以人工智能引领科研范式变革，加强人工智能同产业发展、文化建设、民生保障、社会治理相结合，抢占人工智能产业应用制高点，全方位赋能千行百业”的部署，则为势能向产业动能的转化指明了通用技术路径。</w:t>
      </w:r>
    </w:p>
    <w:p>
      <w:pPr>
        <w:spacing w:line="360" w:lineRule="auto" w:after="0"/>
        <w:ind w:firstLine="480"/>
        <w:jc w:val="both"/>
      </w:pPr>
      <w:r>
        <w:rPr>
          <w:rFonts w:ascii="Times New Roman" w:hAnsi="Times New Roman" w:eastAsia="宋体"/>
          <w:b w:val="0"/>
          <w:sz w:val="24"/>
        </w:rPr>
        <w:t>现代化产业体系部分把实体经济与先进制造业确立为骨干，强调智能化、绿色化、融合化方向，实质是为新质生产力规定了产业落点，防止创新资源脱实向虚；对量子科技、生物制造等未来产业的前瞻部署，则是在既有支柱产业之外预置新的增长点，体现了以新型支柱产业承载新质生产力的战略考量</w:t>
      </w:r>
      <w:r>
        <w:rPr>
          <w:rFonts w:ascii="Times New Roman" w:hAnsi="Times New Roman" w:eastAsia="宋体"/>
          <w:b w:val="0"/>
          <w:sz w:val="24"/>
          <w:vertAlign w:val="superscript"/>
        </w:rPr>
        <w:t>[48,49]</w:t>
      </w:r>
      <w:r>
        <w:rPr>
          <w:rFonts w:ascii="Times New Roman" w:hAnsi="Times New Roman" w:eastAsia="宋体"/>
          <w:b w:val="0"/>
          <w:sz w:val="24"/>
        </w:rPr>
        <w:t>。科技自立自强部分下设的四个方面，依次对应知识生产、成果转化、要素供给与数字基础设施，恰是国家创新体系整体效能提升的完整闭环，与学界关于新质生产力是由要素、结构、功能共同构成的系统性范畴的判断相互印证</w:t>
      </w:r>
      <w:r>
        <w:rPr>
          <w:rFonts w:ascii="Times New Roman" w:hAnsi="Times New Roman" w:eastAsia="宋体"/>
          <w:b w:val="0"/>
          <w:sz w:val="24"/>
          <w:vertAlign w:val="superscript"/>
        </w:rPr>
        <w:t>[38,46]</w:t>
      </w:r>
      <w:r>
        <w:rPr>
          <w:rFonts w:ascii="Times New Roman" w:hAnsi="Times New Roman" w:eastAsia="宋体"/>
          <w:b w:val="0"/>
          <w:sz w:val="24"/>
        </w:rPr>
        <w:t>。“人工智能+”行动的部署尤具枢纽意义：人工智能作为通用目的技术，既是科研范式变革的引擎，又直接联通“产业发展、文化建设、民生保障、社会治理”，其“全方位赋能千行百业”的定位，天然地跨越了生产力条线与民生条线的边界。</w:t>
      </w:r>
    </w:p>
    <w:p>
      <w:pPr>
        <w:spacing w:line="360" w:lineRule="auto" w:after="0"/>
        <w:ind w:firstLine="480"/>
        <w:jc w:val="both"/>
      </w:pPr>
      <w:r>
        <w:rPr>
          <w:rFonts w:ascii="Times New Roman" w:hAnsi="Times New Roman" w:eastAsia="宋体"/>
          <w:b w:val="0"/>
          <w:sz w:val="24"/>
        </w:rPr>
        <w:t>就共同富裕命题而言，《建议》第十一部分“加大保障和改善民生力度，扎实推进全体人民共同富裕”开宗明义：“实现人民对美好生活的向往是中国式现代化的出发点和落脚点。坚持尽力而为、量力而行，加强普惠性、基础性、兜底性民生建设，解决好人民群众急难愁盼问题，畅通社会流动渠道，提高人民生活品质。”在目标层面，《建议》将民生目标细化为“高质量充分就业取得新进展，居民收入增长和经济增长同步、劳动报酬提高和劳动生产率提高同步，分配结构得到优化，中等收入群体持续扩大，社会保障制度更加优化更可持续，基本公共服务均等化水平明显提升”；在城乡与区域维度，明确“坚持农业农村优先发展，坚持城乡融合发展……缩小城乡发展差距”、“学习运用‘千万工程’经验”，并强调“区域协调发展是中国式现代化的内在要求……巩固提升京津冀、长三角、粤港澳大湾区高质量发展动力源作用”。</w:t>
      </w:r>
    </w:p>
    <w:p>
      <w:pPr>
        <w:spacing w:line="360" w:lineRule="auto" w:after="0"/>
        <w:ind w:firstLine="480"/>
        <w:jc w:val="both"/>
      </w:pPr>
      <w:r>
        <w:rPr>
          <w:rFonts w:ascii="Times New Roman" w:hAnsi="Times New Roman" w:eastAsia="宋体"/>
          <w:b w:val="0"/>
          <w:sz w:val="24"/>
        </w:rPr>
        <w:t>民生条线的部署同样呈现出严密的层次结构。在分配制度层面，“两个同步”将居民收入与经济增长、劳动报酬与劳动生产率捆绑联动，其要义在于以规则化方式稳定劳动收入份额，防止生产率进步的成果过度偏向资本一端，这与学界关于初次分配是决定共同富裕成色的基础性环节的判断相一致</w:t>
      </w:r>
      <w:r>
        <w:rPr>
          <w:rFonts w:ascii="Times New Roman" w:hAnsi="Times New Roman" w:eastAsia="宋体"/>
          <w:b w:val="0"/>
          <w:sz w:val="24"/>
          <w:vertAlign w:val="superscript"/>
        </w:rPr>
        <w:t>[31,65]</w:t>
      </w:r>
      <w:r>
        <w:rPr>
          <w:rFonts w:ascii="Times New Roman" w:hAnsi="Times New Roman" w:eastAsia="宋体"/>
          <w:b w:val="0"/>
          <w:sz w:val="24"/>
        </w:rPr>
        <w:t>。在群体结构层面，“中等收入群体持续扩大”指向橄榄型分配格局的形成，是分配结构优化最直观的结构性标尺；“畅通社会流动渠道”则关乎机会公平，即通过教育、就业与创业通道的开放，使低收入群体获得凭借自身努力向上流动的现实可能</w:t>
      </w:r>
      <w:r>
        <w:rPr>
          <w:rFonts w:ascii="Times New Roman" w:hAnsi="Times New Roman" w:eastAsia="宋体"/>
          <w:b w:val="0"/>
          <w:sz w:val="24"/>
          <w:vertAlign w:val="superscript"/>
        </w:rPr>
        <w:t>[56,67]</w:t>
      </w:r>
      <w:r>
        <w:rPr>
          <w:rFonts w:ascii="Times New Roman" w:hAnsi="Times New Roman" w:eastAsia="宋体"/>
          <w:b w:val="0"/>
          <w:sz w:val="24"/>
        </w:rPr>
        <w:t>。在公共服务层面，普惠性、基础性、兜底性民生建设与基本公共服务均等化构成再分配与社会保障的制度安排。在空间维度上，缩小城乡发展差距与区域协调发展的部署，把共同富裕从个体层面的分配问题拓展为城乡结构与区域结构问题。由此，民生条线实际覆盖了初次分配、再分配、机会公平与空间均衡四个层面，与生产力条线的创新链条形成严整的对偶结构。</w:t>
      </w:r>
    </w:p>
    <w:p>
      <w:pPr>
        <w:spacing w:line="360" w:lineRule="auto" w:after="0"/>
        <w:ind w:firstLine="480"/>
        <w:jc w:val="both"/>
      </w:pPr>
      <w:r>
        <w:rPr>
          <w:rFonts w:ascii="Times New Roman" w:hAnsi="Times New Roman" w:eastAsia="宋体"/>
          <w:b w:val="0"/>
          <w:sz w:val="24"/>
        </w:rPr>
        <w:t>更进一步的文本细读表明，《建议》并非将两大命题作平行罗列，而是以三重机制将其缝合为“一个统一体”。其一，“十五五”七方面主要目标中，“高质量发展取得显著成效”与“人民生活品质不断提高”同列并举，且高质量发展目标本身即包含“经济增长保持在合理区间，全要素生产率稳步提升，居民消费率明显提高，内需拉动经济增长主动力作用持续增强”——全要素生产率（生产力指标）与居民消费率（民生指标）同框，意味着增长质量的评判标准内嵌了共享维度。其二，“两个同步”即“使居民收入增长和经济增长同步、劳动报酬提高和劳动生产率提高同步”，把分配规则直接锚定于生产率变量，从制度上规定了生产力增量必须按同步比例转化为居民收入增量。其三，2035年远景目标“人均国内生产总值达到中等发达国家水平，人民生活更加幸福美好，基本实现社会主义现代化”，以人均量纲统摄发展与共享的双重内涵。由此观之，四中全会的部署逻辑，正是本研究“势能—动能—效能”三阶转化命题在国家规划文本中的典型化呈现。</w:t>
      </w:r>
    </w:p>
    <w:p>
      <w:pPr>
        <w:spacing w:line="360" w:lineRule="auto" w:after="80"/>
        <w:jc w:val="left"/>
      </w:pPr>
      <w:r>
        <w:rPr>
          <w:rFonts w:ascii="Times New Roman" w:hAnsi="Times New Roman" w:eastAsia="黑体"/>
          <w:b/>
          <w:sz w:val="28"/>
        </w:rPr>
        <w:t>（二）习近平经济思想中生产力与共同富裕的理论一脉</w:t>
      </w:r>
    </w:p>
    <w:p>
      <w:pPr>
        <w:spacing w:line="360" w:lineRule="auto" w:after="0"/>
        <w:ind w:firstLine="480"/>
        <w:jc w:val="both"/>
      </w:pPr>
      <w:r>
        <w:rPr>
          <w:rFonts w:ascii="Times New Roman" w:hAnsi="Times New Roman" w:eastAsia="宋体"/>
          <w:b w:val="0"/>
          <w:sz w:val="24"/>
        </w:rPr>
        <w:t>四中全会的部署并非孤立的规划安排，而是习近平经济思想中生产力理论与共同富裕理论长期演进、彼此贯通的规划化表达。从时序看，共同富裕的系统论述在先。2021年8月17日，习近平总书记在中央财经委员会第十次会议上发表重要讲话（后以《扎实推动共同富裕》为题刊于《求是》2021年第20期）</w:t>
      </w:r>
      <w:r>
        <w:rPr>
          <w:rFonts w:ascii="Times New Roman" w:hAnsi="Times New Roman" w:eastAsia="宋体"/>
          <w:b w:val="0"/>
          <w:sz w:val="24"/>
          <w:vertAlign w:val="superscript"/>
        </w:rPr>
        <w:t>[6]</w:t>
      </w:r>
      <w:r>
        <w:rPr>
          <w:rFonts w:ascii="Times New Roman" w:hAnsi="Times New Roman" w:eastAsia="宋体"/>
          <w:b w:val="0"/>
          <w:sz w:val="24"/>
        </w:rPr>
        <w:t>，明确指出“共同富裕是社会主义的本质要求，是中国式现代化的重要特征”，强调“要坚持以人民为中心的发展思想，在高质量发展中促进共同富裕”。“在高质量发展中促进共同富裕”这一方法论命题，从一开始就否定了脱离生产力发展谈分配的路径，确立了以发展为前提、以共享为取向的分析基线。</w:t>
      </w:r>
    </w:p>
    <w:p>
      <w:pPr>
        <w:spacing w:line="360" w:lineRule="auto" w:after="0"/>
        <w:ind w:firstLine="480"/>
        <w:jc w:val="both"/>
      </w:pPr>
      <w:r>
        <w:rPr>
          <w:rFonts w:ascii="Times New Roman" w:hAnsi="Times New Roman" w:eastAsia="宋体"/>
          <w:b w:val="0"/>
          <w:sz w:val="24"/>
        </w:rPr>
        <w:t>新质生产力概念的提出与体系化则回答了“以何种发展促进共同富裕”的问题。2023年9月，习近平总书记在黑龙江考察期间首次提出“新质生产力”；2024年1月31日，在中央政治局第十一次集体学习时给出经典界定</w:t>
      </w:r>
      <w:r>
        <w:rPr>
          <w:rFonts w:ascii="Times New Roman" w:hAnsi="Times New Roman" w:eastAsia="宋体"/>
          <w:b w:val="0"/>
          <w:sz w:val="24"/>
          <w:vertAlign w:val="superscript"/>
        </w:rPr>
        <w:t>[5]</w:t>
      </w:r>
      <w:r>
        <w:rPr>
          <w:rFonts w:ascii="Times New Roman" w:hAnsi="Times New Roman" w:eastAsia="宋体"/>
          <w:b w:val="0"/>
          <w:sz w:val="24"/>
        </w:rPr>
        <w:t>：“概括地说，新质生产力是创新起主导作用，摆脱传统经济增长方式、生产力发展路径，具有高科技、高效能、高质量特征，符合新发展理念的先进生产力质态。”并指出“新质生产力主要由技术革命性突破催生而成，科技创新是发展新质生产力的核心要素”。这一界定以“符合新发展理念”为限定语，而新发展理念中的共享理念本身即指向共同富裕，故新质生产力自其概念生成之时便携带着价值规定性，并非单纯的效率范畴。</w:t>
      </w:r>
    </w:p>
    <w:p>
      <w:pPr>
        <w:spacing w:line="360" w:lineRule="auto" w:after="0"/>
        <w:ind w:firstLine="480"/>
        <w:jc w:val="both"/>
      </w:pPr>
      <w:r>
        <w:rPr>
          <w:rFonts w:ascii="Times New Roman" w:hAnsi="Times New Roman" w:eastAsia="宋体"/>
          <w:b w:val="0"/>
          <w:sz w:val="24"/>
        </w:rPr>
        <w:t>从理论渊源看，这一概念体系植根于马克思主义生产力理论。历史唯物主义把生产力视为社会发展的最终决定力量，把科学技术视为生产力中最活跃的革命性要素；社会主义的本质规定，正是在解放和发展生产力的基础上逐步走向共同富裕，实现效率与公平的历史性统一。新质生产力概念的提出，是马克思主义生产力理论同中国发展实践相结合的最新成果：它以“创新起主导作用”回应了科学技术是第一生产力的经典命题，以“高科技、高效能、高质量”刻画了生产力质态跃迁的时代特征，以“符合新发展理念”确立了生产力发展的价值坐标</w:t>
      </w:r>
      <w:r>
        <w:rPr>
          <w:rFonts w:ascii="Times New Roman" w:hAnsi="Times New Roman" w:eastAsia="宋体"/>
          <w:b w:val="0"/>
          <w:sz w:val="24"/>
          <w:vertAlign w:val="superscript"/>
        </w:rPr>
        <w:t>[32,36]</w:t>
      </w:r>
      <w:r>
        <w:rPr>
          <w:rFonts w:ascii="Times New Roman" w:hAnsi="Times New Roman" w:eastAsia="宋体"/>
          <w:b w:val="0"/>
          <w:sz w:val="24"/>
        </w:rPr>
        <w:t>。学界普遍认为，这一概念既延续了马克思主义关于生产力诸要素及其优化组合的分析传统，又针对新一轮科技革命条件下劳动者、劳动资料、劳动对象的质变作出了原创性概括，实现了对传统生产力理论的守正创新</w:t>
      </w:r>
      <w:r>
        <w:rPr>
          <w:rFonts w:ascii="Times New Roman" w:hAnsi="Times New Roman" w:eastAsia="宋体"/>
          <w:b w:val="0"/>
          <w:sz w:val="24"/>
          <w:vertAlign w:val="superscript"/>
        </w:rPr>
        <w:t>[26,27,37]</w:t>
      </w:r>
      <w:r>
        <w:rPr>
          <w:rFonts w:ascii="Times New Roman" w:hAnsi="Times New Roman" w:eastAsia="宋体"/>
          <w:b w:val="0"/>
          <w:sz w:val="24"/>
        </w:rPr>
        <w:t>。</w:t>
      </w:r>
    </w:p>
    <w:p>
      <w:pPr>
        <w:spacing w:line="360" w:lineRule="auto" w:after="0"/>
        <w:ind w:firstLine="480"/>
        <w:jc w:val="both"/>
      </w:pPr>
      <w:r>
        <w:rPr>
          <w:rFonts w:ascii="Times New Roman" w:hAnsi="Times New Roman" w:eastAsia="宋体"/>
          <w:b w:val="0"/>
          <w:sz w:val="24"/>
        </w:rPr>
        <w:t>贯通两大命题的理论枢纽，是关于新型生产关系的重要论断：“发展新质生产力，必须进一步全面深化改革，形成与之相适应的新型生产关系。”依循历史唯物主义的分析框架，生产力的质态跃迁必然要求生产关系的适应性变革，而分配关系是生产关系的核心构成——共同富裕所要求的分配结构优化、中等收入群体扩大、基本公共服务均等化，正是与新质生产力相适应的新型生产关系在分配与再分配领域的具体展开。由此，“新质生产力—新型生产关系—共同富裕”构成一条完整的理论链条，四中全会《建议》则是这条理论链条在“十五五”时期的任务化、指标化落地。</w:t>
      </w:r>
    </w:p>
    <w:p>
      <w:pPr>
        <w:spacing w:line="360" w:lineRule="auto" w:after="0"/>
        <w:ind w:firstLine="480"/>
        <w:jc w:val="both"/>
      </w:pPr>
      <w:r>
        <w:rPr>
          <w:rFonts w:ascii="Times New Roman" w:hAnsi="Times New Roman" w:eastAsia="宋体"/>
          <w:b w:val="0"/>
          <w:sz w:val="24"/>
        </w:rPr>
        <w:t>进一步看，新发展理念中的共享理念为两大命题的贯通提供了价值论基础。在创新、协调、绿色、开放、共享五大理念中，创新居于发展全局的核心位置，回答的是动力问题；共享体现中国特色社会主义的本质要求，回答的是目的问题——发展成果由人民共享、发展过程由人民参与、发展差距渐进缩小。共同富裕思想的演进历程表明，从“共同富裕”概念的提出，到“先富带后富”的阶段性策略，再到新时代“扎实推动共同富裕”的系统部署，党对效率与公平关系的认识不断深化，最终凝结为“在高质量发展中促进共同富裕”的方法论自觉</w:t>
      </w:r>
      <w:r>
        <w:rPr>
          <w:rFonts w:ascii="Times New Roman" w:hAnsi="Times New Roman" w:eastAsia="宋体"/>
          <w:b w:val="0"/>
          <w:sz w:val="24"/>
          <w:vertAlign w:val="superscript"/>
        </w:rPr>
        <w:t>[53,54]</w:t>
      </w:r>
      <w:r>
        <w:rPr>
          <w:rFonts w:ascii="Times New Roman" w:hAnsi="Times New Roman" w:eastAsia="宋体"/>
          <w:b w:val="0"/>
          <w:sz w:val="24"/>
        </w:rPr>
        <w:t>。这一方法论的政策含义是双重的：既要以包容效率与公平的制度安排使发展更有温度，又要防止脱离发展阶段的福利主义与平均主义倾向</w:t>
      </w:r>
      <w:r>
        <w:rPr>
          <w:rFonts w:ascii="Times New Roman" w:hAnsi="Times New Roman" w:eastAsia="宋体"/>
          <w:b w:val="0"/>
          <w:sz w:val="24"/>
          <w:vertAlign w:val="superscript"/>
        </w:rPr>
        <w:t>[55,58]</w:t>
      </w:r>
      <w:r>
        <w:rPr>
          <w:rFonts w:ascii="Times New Roman" w:hAnsi="Times New Roman" w:eastAsia="宋体"/>
          <w:b w:val="0"/>
          <w:sz w:val="24"/>
        </w:rPr>
        <w:t>。新质生产力与共同富裕在四中全会文本中的并轨部署，正是共享理念对生产力命题进行价值校准的规划表达，也是学界所论“新质生产力赋能共同富裕”内在逻辑的制度确认</w:t>
      </w:r>
      <w:r>
        <w:rPr>
          <w:rFonts w:ascii="Times New Roman" w:hAnsi="Times New Roman" w:eastAsia="宋体"/>
          <w:b w:val="0"/>
          <w:sz w:val="24"/>
          <w:vertAlign w:val="superscript"/>
        </w:rPr>
        <w:t>[84]</w:t>
      </w:r>
      <w:r>
        <w:rPr>
          <w:rFonts w:ascii="Times New Roman" w:hAnsi="Times New Roman" w:eastAsia="宋体"/>
          <w:b w:val="0"/>
          <w:sz w:val="24"/>
        </w:rPr>
        <w:t>。</w:t>
      </w:r>
    </w:p>
    <w:p>
      <w:pPr>
        <w:spacing w:line="360" w:lineRule="auto" w:after="80"/>
        <w:jc w:val="left"/>
      </w:pPr>
      <w:r>
        <w:rPr>
          <w:rFonts w:ascii="Times New Roman" w:hAnsi="Times New Roman" w:eastAsia="黑体"/>
          <w:b/>
          <w:sz w:val="28"/>
        </w:rPr>
        <w:t>（三）省委十五届八次全会的浙江落点</w:t>
      </w:r>
    </w:p>
    <w:p>
      <w:pPr>
        <w:spacing w:line="360" w:lineRule="auto" w:after="0"/>
        <w:ind w:firstLine="480"/>
        <w:jc w:val="both"/>
      </w:pPr>
      <w:r>
        <w:rPr>
          <w:rFonts w:ascii="Times New Roman" w:hAnsi="Times New Roman" w:eastAsia="宋体"/>
          <w:b w:val="0"/>
          <w:sz w:val="24"/>
        </w:rPr>
        <w:t>省委十五届八次全会于2025年11月14日在杭州召开，审议通过《中共浙江省委关于制定浙江省国民经济和社会发展第十五个五年规划的建议》。全会主题鲜明：深入学习贯彻党的二十届四中全会精神和习近平总书记考察浙江重要讲话精神，深入践行“八八战略”，高质量发展建设共同富裕示范区、加快打造“重要窗口”、奋力谱写中国式现代化浙江新篇章。全会确立的“十五五”总目标是“高质量发展建设共同富裕示范区取得决定性进展，率先呈现基本实现社会主义现代化的生动图景”；《建议》起草说明进一步阐明，“十五五”时期是浙江持续夯实基础、全面发力、突破提升、高质量发展建设共同富裕示范区的决定性阶段。这意味着浙江的“十五五”叙事以共同富裕示范区为核心任务统领全局，新质生产力发展被内置于共富示范的总体框架之中。</w:t>
      </w:r>
    </w:p>
    <w:p>
      <w:pPr>
        <w:spacing w:line="360" w:lineRule="auto" w:after="0"/>
        <w:ind w:firstLine="480"/>
        <w:jc w:val="both"/>
      </w:pPr>
      <w:r>
        <w:rPr>
          <w:rFonts w:ascii="Times New Roman" w:hAnsi="Times New Roman" w:eastAsia="宋体"/>
          <w:b w:val="0"/>
          <w:sz w:val="24"/>
        </w:rPr>
        <w:t>从目标体系看，省全会确定的2030年量化目标呈现出鲜明的“双重锚定”特征：生产力侧，人均地区生产总值接近发达经济体水平（约17万元）、全社会研发投入强度3.5%以上、全员劳动生产率30万元/人左右；共富侧，居民人均可支配收入9万元左右、常住人口城镇化率78%左右、城乡居民收入倍差缩小至1.8以内。生产率指标与收入分配指标同表共列、互为约束，正是四中全会“一个统一体”部署逻辑的省域投影。从任务体系看，“六个重大突破”中，“创新浙江建设、现代化产业体系构建实现重大突破，科创高地、先进制造业基地和人工智能创新发展高地全球竞争力影响力更加凸显”与“城乡一体融合高质量发展实现重大突破，全体人民共享高品质幸福生活更加可感可及”分别对应两大命题；10个方面重点任务中，加快建设创新浙江、因地制宜发展新质生产力被置于首位，同时明确“把缩小城乡差距、地区差距、收入差距作为主攻方向，充分运用‘千万工程’蕴含的理念方法机制，聚焦山区海岛县和农村农民，围绕‘富民’统筹推进‘强城’‘兴村’‘融合’三篇文章”。在具体抓手上，全会部署以人工智能为核心变量、以先进制造业为骨干、以现代服务业为重要支撑，深入实施“315”科技创新体系建设工程、“415X”先进制造业集群培育工程，提出全省规模以上人工智能核心产业营业收入达到1.2万亿元的量化目标；在教科人一体方面部署“双一流196”工程、“135”人才强省体系建设工程，深化“校（院）企双聘”、完善“科技副总”“产业教授”机制；在民营经济方面提出支持民企参与新能源、人工智能、低空经济等领域投资，铁路、核电等领域民企持股比例提高到10%以上，并推进杭甬温要素市场化配置综合改革试点。</w:t>
      </w:r>
    </w:p>
    <w:p>
      <w:pPr>
        <w:spacing w:line="360" w:lineRule="auto" w:after="0"/>
        <w:ind w:firstLine="480"/>
        <w:jc w:val="both"/>
      </w:pPr>
      <w:r>
        <w:rPr>
          <w:rFonts w:ascii="Times New Roman" w:hAnsi="Times New Roman" w:eastAsia="宋体"/>
          <w:b w:val="0"/>
          <w:sz w:val="24"/>
        </w:rPr>
        <w:t>将省域文本与中央文本进行系统对表，可以在目标体系、任务体系、机制体系三个层面识别出承接与转译的具体方式。就目标体系层面而言，省全会目标是中央目标的省域具体化与进度提前量。《建议》确定的2035年远景目标是“人均国内生产总值达到中等发达国家水平”，浙江则把人均地区生产总值接近发达经济体水平（约17万元）设定在2030年，体现了示范区先行探路的进度要求；中央目标中的“全要素生产率稳步提升”，在浙江转译为全员劳动生产率30万元/人左右的可考核指标；中央“居民收入增长和经济增长同步”的规则性要求，在浙江落地为居民人均可支配收入9万元左右的水平值与城乡倍差1.8以内的结构值。全会强调的“5个必须”中，“必须牢牢扭住高质量发展建设共同富裕示范区这一核心任务”居于枢纽位置，表明浙江以共富示范统摄整个目标体系：生产力指标为共富目标提供可行性支撑，共富指标为生产力发展划定价值边界。</w:t>
      </w:r>
    </w:p>
    <w:p>
      <w:pPr>
        <w:spacing w:line="360" w:lineRule="auto" w:after="0"/>
        <w:ind w:firstLine="480"/>
        <w:jc w:val="both"/>
      </w:pPr>
      <w:r>
        <w:rPr>
          <w:rFonts w:ascii="Times New Roman" w:hAnsi="Times New Roman" w:eastAsia="宋体"/>
          <w:b w:val="0"/>
          <w:sz w:val="24"/>
        </w:rPr>
        <w:t>就任务体系层面而言，中央部署的每一条主线都能在省域任务清单中找到对应物。对应“加快高水平科技自立自强，引领发展新质生产力”，浙江以创新浙江建设为总抓手，实施“315”科技创新体系建设工程，并按配套实施方案设定2027年研发投入强度3.4%以上、全国重点实验室27家以上、每万人高价值发明专利25件、技术交易总额5300亿元以上的阶段目标；对应“构建以先进制造业为骨干的现代化产业体系”，浙江部署“415X”先进制造业集群培育工程；对应“全面实施‘人工智能+’行动”，浙江直接给出规模以上人工智能核心产业营业收入1.2万亿元的量化标尺；对应“统筹教育强国、科技强国、人才强国建设”，浙江以教育科技人才一体改革发展为主要支撑，其“校（院）企双聘”“科技副总”“产业教授”等机制创新已显现出贯通教育链、创新链与产业链的制度效应</w:t>
      </w:r>
      <w:r>
        <w:rPr>
          <w:rFonts w:ascii="Times New Roman" w:hAnsi="Times New Roman" w:eastAsia="宋体"/>
          <w:b w:val="0"/>
          <w:sz w:val="24"/>
          <w:vertAlign w:val="superscript"/>
        </w:rPr>
        <w:t>[78]</w:t>
      </w:r>
      <w:r>
        <w:rPr>
          <w:rFonts w:ascii="Times New Roman" w:hAnsi="Times New Roman" w:eastAsia="宋体"/>
          <w:b w:val="0"/>
          <w:sz w:val="24"/>
        </w:rPr>
        <w:t>。在民生条线，对应“学习运用‘千万工程’经验”，浙江以“千万工程”为牵引一体推进“强城”“兴村”“融合”</w:t>
      </w:r>
      <w:r>
        <w:rPr>
          <w:rFonts w:ascii="Times New Roman" w:hAnsi="Times New Roman" w:eastAsia="宋体"/>
          <w:b w:val="0"/>
          <w:sz w:val="24"/>
          <w:vertAlign w:val="superscript"/>
        </w:rPr>
        <w:t>[72]</w:t>
      </w:r>
      <w:r>
        <w:rPr>
          <w:rFonts w:ascii="Times New Roman" w:hAnsi="Times New Roman" w:eastAsia="宋体"/>
          <w:b w:val="0"/>
          <w:sz w:val="24"/>
        </w:rPr>
        <w:t>；对应区域协调发展的要求，浙江强化陆海联动、山海协作，形成双城牵引、区域协调发展新格局——山海协作作为一项中国特色的区域协调发展制度安排，正是省域内先富带后富机制的成熟形态</w:t>
      </w:r>
      <w:r>
        <w:rPr>
          <w:rFonts w:ascii="Times New Roman" w:hAnsi="Times New Roman" w:eastAsia="宋体"/>
          <w:b w:val="0"/>
          <w:sz w:val="24"/>
          <w:vertAlign w:val="superscript"/>
        </w:rPr>
        <w:t>[75]</w:t>
      </w:r>
      <w:r>
        <w:rPr>
          <w:rFonts w:ascii="Times New Roman" w:hAnsi="Times New Roman" w:eastAsia="宋体"/>
          <w:b w:val="0"/>
          <w:sz w:val="24"/>
        </w:rPr>
        <w:t>。</w:t>
      </w:r>
    </w:p>
    <w:p>
      <w:pPr>
        <w:spacing w:line="360" w:lineRule="auto" w:after="0"/>
        <w:ind w:firstLine="480"/>
        <w:jc w:val="both"/>
      </w:pPr>
      <w:r>
        <w:rPr>
          <w:rFonts w:ascii="Times New Roman" w:hAnsi="Times New Roman" w:eastAsia="宋体"/>
          <w:b w:val="0"/>
          <w:sz w:val="24"/>
        </w:rPr>
        <w:t>就机制体系层面而言，两级部署共享“有效市场和有为政府相结合”的制度内核。中央层面把这一结合确立为“十五五”发展的基本原则，浙江层面则以更具操作性的改革举措加以承接：落实“两个毫不动摇”、支持民企参与新能源、人工智能、低空经济等领域投资，铁路、核电等领域民企持股比例提高到10%以上，是以市场准入的实质性开放激发最具活力的经营主体；杭甬温要素市场化配置综合改革试点，则是以要素市场化改革疏通创新要素流向实体经济的通道。更为独特的机制资源在于示范区制度框架本身：2021年6月，中共中央、国务院出台《关于支持浙江高质量发展建设共同富裕示范区的意见》，浙江成为全国唯一的共同富裕示范区</w:t>
      </w:r>
      <w:r>
        <w:rPr>
          <w:rFonts w:ascii="Times New Roman" w:hAnsi="Times New Roman" w:eastAsia="宋体"/>
          <w:b w:val="0"/>
          <w:sz w:val="24"/>
          <w:vertAlign w:val="superscript"/>
        </w:rPr>
        <w:t>[8]</w:t>
      </w:r>
      <w:r>
        <w:rPr>
          <w:rFonts w:ascii="Times New Roman" w:hAnsi="Times New Roman" w:eastAsia="宋体"/>
          <w:b w:val="0"/>
          <w:sz w:val="24"/>
        </w:rPr>
        <w:t>，由此形成的央地协同机制，使浙江在生产力布局与分配制度改革上获得先行先试的授权空间。三个层面的对表分析表明，省委全会对中央部署的承接不是简单的条目复制，而是结合省情禀赋的创造性转译。</w:t>
      </w:r>
    </w:p>
    <w:p>
      <w:pPr>
        <w:spacing w:line="360" w:lineRule="auto" w:after="0"/>
        <w:ind w:firstLine="480"/>
        <w:jc w:val="both"/>
      </w:pPr>
      <w:r>
        <w:rPr>
          <w:rFonts w:ascii="Times New Roman" w:hAnsi="Times New Roman" w:eastAsia="宋体"/>
          <w:b w:val="0"/>
          <w:sz w:val="24"/>
        </w:rPr>
        <w:t>对省全会的理解还须置于2025年浙江省级部署的完整链条中加以贯通。一是2025年3月省委一号文件出台《关于以“千万工程”牵引城乡融合发展缩小“三大差距”推进共同富裕先行示范的实施方案》</w:t>
      </w:r>
      <w:r>
        <w:rPr>
          <w:rFonts w:ascii="Times New Roman" w:hAnsi="Times New Roman" w:eastAsia="宋体"/>
          <w:b w:val="0"/>
          <w:sz w:val="24"/>
          <w:vertAlign w:val="superscript"/>
        </w:rPr>
        <w:t>[9]</w:t>
      </w:r>
      <w:r>
        <w:rPr>
          <w:rFonts w:ascii="Times New Roman" w:hAnsi="Times New Roman" w:eastAsia="宋体"/>
          <w:b w:val="0"/>
          <w:sz w:val="24"/>
        </w:rPr>
        <w:t>，明确“千万工程”是牵引、城乡融合高质量发展是根本路径、缩小“三大差距”是主攻方向、推进共同富裕先行示范是重大使命，并给出2027年山区海岛县居民收入与全省平均比值达77%、2030年城乡倍差缩小至1.8以内、2035年全省域基本实现共同富裕的阶梯式目标，回答了“共富怎么推”。二是2025年7月省委十五届七次全会审议通过《中共浙江省委关于加快建设创新浙江因地制宜发展新质生产力的决定》</w:t>
      </w:r>
      <w:r>
        <w:rPr>
          <w:rFonts w:ascii="Times New Roman" w:hAnsi="Times New Roman" w:eastAsia="宋体"/>
          <w:b w:val="0"/>
          <w:sz w:val="24"/>
          <w:vertAlign w:val="superscript"/>
        </w:rPr>
        <w:t>[10]</w:t>
      </w:r>
      <w:r>
        <w:rPr>
          <w:rFonts w:ascii="Times New Roman" w:hAnsi="Times New Roman" w:eastAsia="宋体"/>
          <w:b w:val="0"/>
          <w:sz w:val="24"/>
        </w:rPr>
        <w:t>，确立“坚持教育科技人才一体改革发展为主要支撑、科技创新和产业创新深度融合为关键路径、人工智能为核心变量，加快建设创新浙江”的总体思路，强调“人工智能将成为创新浙江的最鲜明标识、最核心支撑”，回答了“生产力怎么育”。三是11月八次全会以“十五五”建议将前两者整合进五年规划框架，回答了“两者怎么统”。三份文件依次递进、首尾闭合，表明浙江已在制度设计层面自觉地将新质生产力培育与“三大差距”缩小纳入同一政策回路，这为本研究提出的共富型新质生产力概念提供了最直接的实践注脚。</w:t>
      </w:r>
    </w:p>
    <w:p>
      <w:pPr>
        <w:spacing w:line="360" w:lineRule="auto" w:after="80"/>
        <w:jc w:val="left"/>
      </w:pPr>
      <w:r>
        <w:rPr>
          <w:rFonts w:ascii="Times New Roman" w:hAnsi="Times New Roman" w:eastAsia="黑体"/>
          <w:b/>
          <w:sz w:val="28"/>
        </w:rPr>
        <w:t>（四）两大命题统一于中国式现代化的内在逻辑</w:t>
      </w:r>
    </w:p>
    <w:p>
      <w:pPr>
        <w:spacing w:line="360" w:lineRule="auto" w:after="0"/>
        <w:ind w:firstLine="480"/>
        <w:jc w:val="both"/>
      </w:pPr>
      <w:r>
        <w:rPr>
          <w:rFonts w:ascii="Times New Roman" w:hAnsi="Times New Roman" w:eastAsia="宋体"/>
          <w:b w:val="0"/>
          <w:sz w:val="24"/>
        </w:rPr>
        <w:t>从学理层面审视，两个全会将新质生产力与共同富裕并轨部署，其深层依据在于生产力与生产关系的辩证运动规律。新质生产力代表生产力的质态跃迁，共同富裕则集中体现生产关系尤其是分配关系的优化方向；“形成与之相适应的新型生产关系”的重要论断，为两者提供了理论接口——生产力跃迁若无分配制度的适应性变革，其成果无法普惠于民；分配制度变革若无生产力跃迁的支撑，则将陷于无源之水。中国式现代化正是在这一辩证结构中同时容纳了“做大蛋糕”与“分好蛋糕”的双重要求。</w:t>
      </w:r>
    </w:p>
    <w:p>
      <w:pPr>
        <w:spacing w:line="360" w:lineRule="auto" w:after="0"/>
        <w:ind w:firstLine="480"/>
        <w:jc w:val="both"/>
      </w:pPr>
      <w:r>
        <w:rPr>
          <w:rFonts w:ascii="Times New Roman" w:hAnsi="Times New Roman" w:eastAsia="宋体"/>
          <w:b w:val="0"/>
          <w:sz w:val="24"/>
        </w:rPr>
        <w:t>进一步看，这一统一体呈现为双向的因果结构。一方面，高质量发展是共同富裕的物质前提。“两个同步”的经济学含义在于，劳动报酬的可持续提高以劳动生产率的提高为上限约束，居民收入的持续增长以经济增长为总量边界；离开全要素生产率的稳步提升，任何收入增长目标都不具备可持续性。浙江2030年目标中全员劳动生产率30万元/人左右与居民人均可支配收入9万元左右的并列设定，正体现了以生产率锚定收入的目标设计逻辑。另一方面，共同富裕是高质量发展的价值归宿，同时也是其动力来源。《建议》提出“居民消费率明显提高，内需拉动经济增长主动力作用持续增强”，其实现有赖于中等收入群体持续扩大所形成的需求侧支撑；基本公共服务均等化水平的提升，将扩大人力资本积累的社会覆盖面；“畅通社会流动渠道”则维系着创新创业的社会预期。共同富裕由此从单纯的分配结果转化为生产力再生产的投入变量，这正是理论框架部分所论“双向赋能”机制的政策依据。</w:t>
      </w:r>
    </w:p>
    <w:p>
      <w:pPr>
        <w:spacing w:line="360" w:lineRule="auto" w:after="0"/>
        <w:ind w:firstLine="480"/>
        <w:jc w:val="both"/>
      </w:pPr>
      <w:r>
        <w:rPr>
          <w:rFonts w:ascii="Times New Roman" w:hAnsi="Times New Roman" w:eastAsia="宋体"/>
          <w:b w:val="0"/>
          <w:sz w:val="24"/>
        </w:rPr>
        <w:t>这一部署逻辑也构成对经济发展理论中增长与分配关系经典命题的实践回应。库兹涅茨曾提出，收入差距随经济发展呈现先扩大后缩小的倒U形轨迹</w:t>
      </w:r>
      <w:r>
        <w:rPr>
          <w:rFonts w:ascii="Times New Roman" w:hAnsi="Times New Roman" w:eastAsia="宋体"/>
          <w:b w:val="0"/>
          <w:sz w:val="24"/>
          <w:vertAlign w:val="superscript"/>
        </w:rPr>
        <w:t>[11]</w:t>
      </w:r>
      <w:r>
        <w:rPr>
          <w:rFonts w:ascii="Times New Roman" w:hAnsi="Times New Roman" w:eastAsia="宋体"/>
          <w:b w:val="0"/>
          <w:sz w:val="24"/>
        </w:rPr>
        <w:t>，其隐含的政策姿态是等待增长自动改善分配；而四中全会与省委全会的部署表明，中国式现代化选择的是以制度安排主动缝合增长与分配的路径——“两个同步”把分配改善内生于增长过程，而非置于增长之后。这与高质量发展研究的基本共识相通：发展的“质量”本身即包含分配公平、民生改善与可持续性等多维内涵，速度指标无法单独定义发展绩效</w:t>
      </w:r>
      <w:r>
        <w:rPr>
          <w:rFonts w:ascii="Times New Roman" w:hAnsi="Times New Roman" w:eastAsia="宋体"/>
          <w:b w:val="0"/>
          <w:sz w:val="24"/>
          <w:vertAlign w:val="superscript"/>
        </w:rPr>
        <w:t>[59,60]</w:t>
      </w:r>
      <w:r>
        <w:rPr>
          <w:rFonts w:ascii="Times New Roman" w:hAnsi="Times New Roman" w:eastAsia="宋体"/>
          <w:b w:val="0"/>
          <w:sz w:val="24"/>
        </w:rPr>
        <w:t>。就浙江而言，其部署的深层含义还在于对“势能—动能—效能”转化链条的制度自觉：创新浙江建设着力于创新势能的积蓄与产业动能的转换，缩小“三大差距”着力于富民效能的释放，而三份省级文件的闭环设计，则试图确保三个环节不因政策条线分立而彼此脱节。</w:t>
      </w:r>
    </w:p>
    <w:p>
      <w:pPr>
        <w:spacing w:line="360" w:lineRule="auto" w:after="0"/>
        <w:ind w:firstLine="480"/>
        <w:jc w:val="both"/>
      </w:pPr>
      <w:r>
        <w:rPr>
          <w:rFonts w:ascii="Times New Roman" w:hAnsi="Times New Roman" w:eastAsia="宋体"/>
          <w:b w:val="0"/>
          <w:sz w:val="24"/>
        </w:rPr>
        <w:t>综上，党的二十届四中全会与省委十五届八次全会的部署逻辑，可以凝练为“以新质生产力厚植共同富裕的物质基础，以共同富裕校准新质生产力的价值方向”。这一逻辑内在地要求打通从创新势能积蓄、产业动能转换到富民效能释放的完整转化链条，守好成果转化关、就业分配关、人力资本反哺关三大转化关口。两个全会的文本为本研究提供了双重坐标：中央部署给出了“因地制宜发展新质生产力”与“扎实推进全体人民共同富裕”相统一的国家框架，省委部署则给出了以创新浙江建设与缩小“三大差距”为两翼的浙江方案。后续章节将在此政策坐标之上，构建“共富型新质生产力”的理论框架，并以浙江2015—2024年的经验数据检验两大系统耦合协调的演进轨迹与机制条件。</w:t>
      </w:r>
    </w:p>
    <w:p>
      <w:pPr>
        <w:spacing w:line="360" w:lineRule="auto" w:after="160"/>
        <w:jc w:val="center"/>
      </w:pPr>
      <w:r>
        <w:rPr>
          <w:rFonts w:ascii="Times New Roman" w:hAnsi="Times New Roman" w:eastAsia="黑体"/>
          <w:b/>
          <w:sz w:val="32"/>
        </w:rPr>
        <w:t>三、“共富型新质生产力”与“势能—动能—效能”三阶转化框架</w:t>
      </w:r>
    </w:p>
    <w:p>
      <w:pPr>
        <w:spacing w:line="360" w:lineRule="auto" w:after="0"/>
        <w:ind w:firstLine="480"/>
        <w:jc w:val="both"/>
      </w:pPr>
      <w:r>
        <w:rPr>
          <w:rFonts w:ascii="Times New Roman" w:hAnsi="Times New Roman" w:eastAsia="宋体"/>
          <w:b w:val="0"/>
          <w:sz w:val="24"/>
        </w:rPr>
        <w:t>习近平总书记在中央政治局第十一次集体学习时深刻指出：“概括地说，新质生产力是创新起主导作用，摆脱传统经济增长方式、生产力发展路径，具有高科技、高效能、高质量特征，符合新发展理念的先进生产力质态。”在中央财经委员会第十次会议上，习近平总书记强调，“共同富裕是社会主义的本质要求，是中国式现代化的重要特征”，“要坚持以人民为中心的发展思想，在高质量发展中促进共同富裕”。党的二十届四中全会通过的《建议》进一步将“因地制宜发展新质生产力”与“推动人的全面发展、全体人民共同富裕迈出坚实步伐”纳入同一战略部署，省委十五届八次全会则明确提出“高质量发展建设共同富裕示范区取得决定性进展，率先呈现基本实现社会主义现代化的生动图景”的总目标。两大命题如何在省域尺度上实现内在贯通，既往研究或止于政策解读，或囿于单向的“生产力促共富”视角，尚未打开从创新投入到居民获得的完整传导链条这一“机制黑箱”。本章立足马克思主义政治经济学关于生产力与生产关系矛盾运动的基本原理，提出“共富型新质生产力”这一核心概念，构建“势能—动能—效能”三阶转化框架，刻画三大转化关口的失灵机理与制度修复逻辑，并在此基础上凝练三个可检验的研究命题，为后续的实践考察与实证检验提供统一的理论基准。</w:t>
      </w:r>
    </w:p>
    <w:p>
      <w:pPr>
        <w:spacing w:line="360" w:lineRule="auto" w:after="0"/>
        <w:ind w:firstLine="480"/>
        <w:jc w:val="both"/>
      </w:pPr>
      <w:r>
        <w:rPr>
          <w:rFonts w:ascii="Times New Roman" w:hAnsi="Times New Roman" w:eastAsia="宋体"/>
          <w:b w:val="0"/>
          <w:sz w:val="24"/>
        </w:rPr>
        <w:t>从文献谱系看，本章的理论建构处于两大研究脉络的交汇点上。近年来学界围绕新质生产力的内涵界定与水平测度、围绕共同富裕的理论内涵与量化监测，分别形成了迅速扩展的文献群</w:t>
      </w:r>
      <w:r>
        <w:rPr>
          <w:rFonts w:ascii="Times New Roman" w:hAnsi="Times New Roman" w:eastAsia="宋体"/>
          <w:b w:val="0"/>
          <w:sz w:val="24"/>
          <w:vertAlign w:val="superscript"/>
        </w:rPr>
        <w:t>[28,36,43,64]</w:t>
      </w:r>
      <w:r>
        <w:rPr>
          <w:rFonts w:ascii="Times New Roman" w:hAnsi="Times New Roman" w:eastAsia="宋体"/>
          <w:b w:val="0"/>
          <w:sz w:val="24"/>
        </w:rPr>
        <w:t>；但两条脉络大体平行推进，涉及两者关系的研究又多停留在“新质生产力赋能共同富裕”的单向叙事</w:t>
      </w:r>
      <w:r>
        <w:rPr>
          <w:rFonts w:ascii="Times New Roman" w:hAnsi="Times New Roman" w:eastAsia="宋体"/>
          <w:b w:val="0"/>
          <w:sz w:val="24"/>
          <w:vertAlign w:val="superscript"/>
        </w:rPr>
        <w:t>[84]</w:t>
      </w:r>
      <w:r>
        <w:rPr>
          <w:rFonts w:ascii="Times New Roman" w:hAnsi="Times New Roman" w:eastAsia="宋体"/>
          <w:b w:val="0"/>
          <w:sz w:val="24"/>
        </w:rPr>
        <w:t>，对共同富裕反哺生产力的回路与传导链条中间的断点缺乏系统的机制分析。本章的理论工作正是针对这一缺口展开，沿概念建构、机制刻画、失灵诊断、制度修复四个层次层层递进，形成整合性的分析框架。</w:t>
      </w:r>
    </w:p>
    <w:p>
      <w:pPr>
        <w:spacing w:line="360" w:lineRule="auto" w:after="80"/>
        <w:jc w:val="left"/>
      </w:pPr>
      <w:r>
        <w:rPr>
          <w:rFonts w:ascii="Times New Roman" w:hAnsi="Times New Roman" w:eastAsia="黑体"/>
          <w:b/>
          <w:sz w:val="28"/>
        </w:rPr>
        <w:t>（一）核心概念：“共富型新质生产力”</w:t>
      </w:r>
    </w:p>
    <w:p>
      <w:pPr>
        <w:spacing w:line="360" w:lineRule="auto" w:after="0"/>
        <w:ind w:firstLine="480"/>
        <w:jc w:val="both"/>
      </w:pPr>
      <w:r>
        <w:rPr>
          <w:rFonts w:ascii="Times New Roman" w:hAnsi="Times New Roman" w:eastAsia="宋体"/>
          <w:b w:val="0"/>
          <w:sz w:val="24"/>
        </w:rPr>
        <w:t>本报告将“共富型新质生产力”界定为：以全要素生产率提升为内核、以普惠共享为价值取向、创新势能能够顺畅转化为产业动能并最终沉淀为富民效能的生产力形态。习近平总书记指出，“新质生产力主要由技术革命性突破催生而成，科技创新是发展新质生产力的核心要素”。这一论断揭示了新质生产力的技术源头；而“共富型”的限定则进一步指明其运行方向——技术革命性突破所释放的生产力增量，必须经由生产、分配、流通、消费的社会再生产全过程，转化为全体人民可感可及的生活品质改善。据此，共富型新质生产力包含三重规定性。一是效率规定性，即以全要素生产率提升为内核。这与《建议》提出的“全要素生产率稳步提升”目标直接对应：脱离效率支撑的共享是低水平的均贫，唯有依靠创新驱动做大蛋糕，共同富裕才具备可持续的物质基础。二是结构规定性，即产业体系必须保持足够的就业包容度。新质生产力的产业载体若过度偏向资本密集与技能密集环节，则技术进步的红利将集中于少数要素所有者；只有当现代化产业体系能够创造规模可观、结构多元、质量较高的就业岗位时，生产力跃迁才能通过劳动报酬渠道惠及大多数劳动者，这正是《建议》将“高质量充分就业取得新进展”列入民生目标的深层逻辑。三是价值规定性，即发展成果的普惠共享。《建议》明确要求“使居民收入增长和经济增长同步、劳动报酬提高和劳动生产率提高同步”，“两个同步”构成检验生产力发展是否具有共富属性的价值标尺。</w:t>
      </w:r>
    </w:p>
    <w:p>
      <w:pPr>
        <w:spacing w:line="360" w:lineRule="auto" w:after="0"/>
        <w:ind w:firstLine="480"/>
        <w:jc w:val="both"/>
      </w:pPr>
      <w:r>
        <w:rPr>
          <w:rFonts w:ascii="Times New Roman" w:hAnsi="Times New Roman" w:eastAsia="宋体"/>
          <w:b w:val="0"/>
          <w:sz w:val="24"/>
        </w:rPr>
        <w:t>从学理根基看，共富型新质生产力概念深植于马克思主义政治经济学的分析传统。生产力与生产关系矛盾运动的原理表明，分配关系本质上从属于生产关系，共同富裕不可能仅靠再分配的事后修补实现，必须深入到生产力组织方式与生产关系塑造之中求解。学界的政治经济学阐释已经指出，新质生产力以劳动者、劳动资料、劳动对象及其优化组合的跃升为基本内涵，以全要素生产率大幅提升为核心标志，其发展必然要求生产关系的适应性变革</w:t>
      </w:r>
      <w:r>
        <w:rPr>
          <w:rFonts w:ascii="Times New Roman" w:hAnsi="Times New Roman" w:eastAsia="宋体"/>
          <w:b w:val="0"/>
          <w:sz w:val="24"/>
          <w:vertAlign w:val="superscript"/>
        </w:rPr>
        <w:t>[26,38,40]</w:t>
      </w:r>
      <w:r>
        <w:rPr>
          <w:rFonts w:ascii="Times New Roman" w:hAnsi="Times New Roman" w:eastAsia="宋体"/>
          <w:b w:val="0"/>
          <w:sz w:val="24"/>
        </w:rPr>
        <w:t>；共同富裕研究则确立了发展性与共享性相统一、效率与公平相兼顾的理论基线</w:t>
      </w:r>
      <w:r>
        <w:rPr>
          <w:rFonts w:ascii="Times New Roman" w:hAnsi="Times New Roman" w:eastAsia="宋体"/>
          <w:b w:val="0"/>
          <w:sz w:val="24"/>
          <w:vertAlign w:val="superscript"/>
        </w:rPr>
        <w:t>[31,54]</w:t>
      </w:r>
      <w:r>
        <w:rPr>
          <w:rFonts w:ascii="Times New Roman" w:hAnsi="Times New Roman" w:eastAsia="宋体"/>
          <w:b w:val="0"/>
          <w:sz w:val="24"/>
        </w:rPr>
        <w:t>。共富型新质生产力概念正站在两大谱系的交汇处：它以生产力范畴为本体、以生产关系范畴为定向，把普惠共享的价值要求前置到生产力形态的塑造之中，使“先进生产力质态”与“社会主义本质要求”在概念层面实现内在统一。</w:t>
      </w:r>
    </w:p>
    <w:p>
      <w:pPr>
        <w:spacing w:line="360" w:lineRule="auto" w:after="0"/>
        <w:ind w:firstLine="480"/>
        <w:jc w:val="both"/>
      </w:pPr>
      <w:r>
        <w:rPr>
          <w:rFonts w:ascii="Times New Roman" w:hAnsi="Times New Roman" w:eastAsia="宋体"/>
          <w:b w:val="0"/>
          <w:sz w:val="24"/>
        </w:rPr>
        <w:t>需要着重辨明的是，共富型新质生产力不是在一般新质生产力之外另立一种生产力类型，而是生产力跃迁与生产关系优化的统一形态。习近平总书记强调：“发展新质生产力，必须进一步全面深化改革，形成与之相适应的新型生产关系。”这意味着新质生产力命题本身即内含生产关系变革的要求；共富型新质生产力概念正是对这一要求的理论展开——它把“生产什么样的力”与“为谁生产、成果归谁”两个问题统一起来，直面新质生产力发展中的“极化—共享”张力：创新要素遵循集聚规律向高能级城市与头部主体集中，而共同富裕要求发展成果在城乡、区域、群体之间均衡分布。能否将创新集聚的“极化势能”转化为普惠共享的“扩散效能”，构成共富型新质生产力的核心理论问题，也是浙江作为全国唯一的共同富裕示范区（2021年6月中央出台《关于支持浙江高质量发展建设共同富裕示范区的意见》</w:t>
      </w:r>
      <w:r>
        <w:rPr>
          <w:rFonts w:ascii="Times New Roman" w:hAnsi="Times New Roman" w:eastAsia="宋体"/>
          <w:b w:val="0"/>
          <w:sz w:val="24"/>
          <w:vertAlign w:val="superscript"/>
        </w:rPr>
        <w:t>[8]</w:t>
      </w:r>
      <w:r>
        <w:rPr>
          <w:rFonts w:ascii="Times New Roman" w:hAnsi="Times New Roman" w:eastAsia="宋体"/>
          <w:b w:val="0"/>
          <w:sz w:val="24"/>
        </w:rPr>
        <w:t>）所承担的先行探路使命。</w:t>
      </w:r>
    </w:p>
    <w:p>
      <w:pPr>
        <w:spacing w:line="360" w:lineRule="auto" w:after="0"/>
        <w:ind w:firstLine="480"/>
        <w:jc w:val="both"/>
      </w:pPr>
      <w:r>
        <w:rPr>
          <w:rFonts w:ascii="Times New Roman" w:hAnsi="Times New Roman" w:eastAsia="宋体"/>
          <w:b w:val="0"/>
          <w:sz w:val="24"/>
        </w:rPr>
        <w:t>为进一步廓清概念边界，还需将其与若干相邻概念系统辨析。其一是“包容性增长”。包容性增长强调增长过程的广泛参与和成果的普遍分享，国内研究多以数字经济、普惠金融为载体考察其实现机制</w:t>
      </w:r>
      <w:r>
        <w:rPr>
          <w:rFonts w:ascii="Times New Roman" w:hAnsi="Times New Roman" w:eastAsia="宋体"/>
          <w:b w:val="0"/>
          <w:sz w:val="24"/>
          <w:vertAlign w:val="superscript"/>
        </w:rPr>
        <w:t>[89]</w:t>
      </w:r>
      <w:r>
        <w:rPr>
          <w:rFonts w:ascii="Times New Roman" w:hAnsi="Times New Roman" w:eastAsia="宋体"/>
          <w:b w:val="0"/>
          <w:sz w:val="24"/>
        </w:rPr>
        <w:t>。共富型新质生产力吸收其“过程包容”的合理内核，但更进一步：一是以生产力质态跃迁为动力源，把包容性要求锚定在技术—产业结构的源头塑造上，而非仅在结果端“做加法”；二是嵌入社会主义制度语境，共享不是增长的副产品，而是生产目的本身的规定。其二是“益贫式增长”。益贫式增长以低收入群体收入增速快于总体平均为标尺，指向分配底部的相对改善</w:t>
      </w:r>
      <w:r>
        <w:rPr>
          <w:rFonts w:ascii="Times New Roman" w:hAnsi="Times New Roman" w:eastAsia="宋体"/>
          <w:b w:val="0"/>
          <w:sz w:val="24"/>
          <w:vertAlign w:val="superscript"/>
        </w:rPr>
        <w:t>[68]</w:t>
      </w:r>
      <w:r>
        <w:rPr>
          <w:rFonts w:ascii="Times New Roman" w:hAnsi="Times New Roman" w:eastAsia="宋体"/>
          <w:b w:val="0"/>
          <w:sz w:val="24"/>
        </w:rPr>
        <w:t>；共富型新质生产力涵盖这一要求——浙江“扩中提低”改革即其体现——但视野更宽，强调中等收入群体扩容与分配结构整体优化的系统推进。</w:t>
      </w:r>
    </w:p>
    <w:p>
      <w:pPr>
        <w:spacing w:line="360" w:lineRule="auto" w:after="0"/>
        <w:ind w:firstLine="480"/>
        <w:jc w:val="both"/>
      </w:pPr>
      <w:r>
        <w:rPr>
          <w:rFonts w:ascii="Times New Roman" w:hAnsi="Times New Roman" w:eastAsia="宋体"/>
          <w:b w:val="0"/>
          <w:sz w:val="24"/>
        </w:rPr>
        <w:t>其三是“高质量发展”。高质量发展是对经济发展总体状态的规定，内涵覆盖创新、协调、绿色、开放、共享多个维度</w:t>
      </w:r>
      <w:r>
        <w:rPr>
          <w:rFonts w:ascii="Times New Roman" w:hAnsi="Times New Roman" w:eastAsia="宋体"/>
          <w:b w:val="0"/>
          <w:sz w:val="24"/>
          <w:vertAlign w:val="superscript"/>
        </w:rPr>
        <w:t>[59,60]</w:t>
      </w:r>
      <w:r>
        <w:rPr>
          <w:rFonts w:ascii="Times New Roman" w:hAnsi="Times New Roman" w:eastAsia="宋体"/>
          <w:b w:val="0"/>
          <w:sz w:val="24"/>
        </w:rPr>
        <w:t>；共富型新质生产力则聚焦其中最具张力的关系——生产力跃迁与成果共享如何贯通，是该命题在“生产力—分配”维度上的深化与操作化。与既有“新质生产力赋能共同富裕”研究相比</w:t>
      </w:r>
      <w:r>
        <w:rPr>
          <w:rFonts w:ascii="Times New Roman" w:hAnsi="Times New Roman" w:eastAsia="宋体"/>
          <w:b w:val="0"/>
          <w:sz w:val="24"/>
          <w:vertAlign w:val="superscript"/>
        </w:rPr>
        <w:t>[46,84]</w:t>
      </w:r>
      <w:r>
        <w:rPr>
          <w:rFonts w:ascii="Times New Roman" w:hAnsi="Times New Roman" w:eastAsia="宋体"/>
          <w:b w:val="0"/>
          <w:sz w:val="24"/>
        </w:rPr>
        <w:t>，本概念的理论增量有三：一是“型”的规定，共富属性内生于生产力形态本身；二是“双向”的结构，共同富裕既是产出变量也是投入变量；三是“关口”的机制，指明转化断点及其制度修复方式，把抽象的赋能关系转译为可检验的机制命题。</w:t>
      </w:r>
    </w:p>
    <w:p>
      <w:pPr>
        <w:spacing w:line="360" w:lineRule="auto" w:after="80"/>
        <w:jc w:val="left"/>
      </w:pPr>
      <w:r>
        <w:rPr>
          <w:rFonts w:ascii="Times New Roman" w:hAnsi="Times New Roman" w:eastAsia="黑体"/>
          <w:b/>
          <w:sz w:val="28"/>
        </w:rPr>
        <w:t>（二）“势能—动能—效能”三阶转化机制</w:t>
      </w:r>
    </w:p>
    <w:p>
      <w:pPr>
        <w:spacing w:line="360" w:lineRule="auto" w:after="0"/>
        <w:ind w:firstLine="480"/>
        <w:jc w:val="both"/>
      </w:pPr>
      <w:r>
        <w:rPr>
          <w:rFonts w:ascii="Times New Roman" w:hAnsi="Times New Roman" w:eastAsia="宋体"/>
          <w:b w:val="0"/>
          <w:sz w:val="24"/>
        </w:rPr>
        <w:t>共富型新质生产力的运行过程，可以借助物理学“势能—动能—效能”的能量转化隐喻加以刻画，但每一阶段均须给出严格的经济学界定。1．创新势能（Potential），指科技、教育、人才三大要素长期积蓄形成的、尚未完全进入现实生产函数的知识资本与人力资本存量，其经济学实质是潜在全要素生产率，载体包括省实验室体系、高水平大学、新型研发机构与区域人才生态。势能的特征在于“位高而未动”：研发投入、专利产出、人才集聚本身并不直接构成产出增长，而是为后续转化储备了“位能”。2．产业动能（Kinetic），指创新势能经科技成果转化落入产业体系后形成的现实生产能力，其经济学实质是由技术进步驱动的产业增加值创造能力，载体包括数字经济核心产业、“415X”先进制造业集群、未来工厂与量大面广的民营经济主体。动能的特征在于“动而生值”：只有当新技术物化为新产品、新工艺、新业态，势能才转化为可度量的经济增长。3．富民效能（Effectiveness），指产业动能经由就业创造、收入分配、公共服务三条渠道传导后形成的居民可支配收入增长与生活品质改善，其经济学实质是生产力发展成果向居民福利的最终沉淀，载体表现为就业岗位、劳动报酬、财产性与转移性收入以及均等化的公共服务供给。三阶依次转化、闭环运行，构成共富型新质生产力的完整链条。</w:t>
      </w:r>
    </w:p>
    <w:p>
      <w:pPr>
        <w:spacing w:line="360" w:lineRule="auto" w:after="0"/>
        <w:ind w:firstLine="480"/>
        <w:jc w:val="both"/>
      </w:pPr>
      <w:r>
        <w:rPr>
          <w:rFonts w:ascii="Times New Roman" w:hAnsi="Times New Roman" w:eastAsia="宋体"/>
          <w:b w:val="0"/>
          <w:sz w:val="24"/>
        </w:rPr>
        <w:t>就创新势能的积蓄而言，其要素结构呈现“科技—教育—人才”三位一体的特征。内生增长理论早已阐明，知识的非竞争性与人力资本的积累外溢是长期增长的根本引擎[152,153]。据此，势能积蓄表现为双重存量的同步扩张：一是以研发投入、重大科创平台、高价值专利为载体的知识资本存量，二是以高等教育、技能培训、人才集聚为载体的人力资本存量。两类存量互为条件——缺乏人力资本承接的研发投入会沉淀为低效资产，缺乏科研平台牵引的人才集聚则会流于闲置，这正是浙江推进教育科技人才一体改革发展的深层理论依据</w:t>
      </w:r>
      <w:r>
        <w:rPr>
          <w:rFonts w:ascii="Times New Roman" w:hAnsi="Times New Roman" w:eastAsia="宋体"/>
          <w:b w:val="0"/>
          <w:sz w:val="24"/>
          <w:vertAlign w:val="superscript"/>
        </w:rPr>
        <w:t>[78]</w:t>
      </w:r>
      <w:r>
        <w:rPr>
          <w:rFonts w:ascii="Times New Roman" w:hAnsi="Times New Roman" w:eastAsia="宋体"/>
          <w:b w:val="0"/>
          <w:sz w:val="24"/>
        </w:rPr>
        <w:t>。“十四五”末浙江区域创新能力稳居全国第4位，但势能之“高”并不自动等于动能之“强”与效能之“实”，这恰是三阶转化框架的问题意识所在。</w:t>
      </w:r>
    </w:p>
    <w:p>
      <w:pPr>
        <w:spacing w:line="360" w:lineRule="auto" w:after="0"/>
        <w:ind w:firstLine="480"/>
        <w:jc w:val="both"/>
      </w:pPr>
      <w:r>
        <w:rPr>
          <w:rFonts w:ascii="Times New Roman" w:hAnsi="Times New Roman" w:eastAsia="宋体"/>
          <w:b w:val="0"/>
          <w:sz w:val="24"/>
        </w:rPr>
        <w:t>就产业动能的形成而言，关键在于产业载体的选择与培育。新技术只有找到与本地要素禀赋、产业基础相匹配的支柱产业作为落点，才能规模化地转化为现实增加值；产业结构的变迁本身就是技术进步的实现形式[48,159]。浙江的动能载体呈现“数字经济引领、先进制造支撑、民营主体承接”的三层结构：数字经济核心产业增加值2024年突破万亿元、占GDP比重达12.3%，构成动能的第一引擎；“415X”先进制造业集群提供厚实的产业腹地；量大面广的民营企业则构成新技术商业化落地的毛细血管网络。动能形成的质量不能只看增长速度，更要看就业包容度与产业关联度——能否带动广泛的中小企业与就业群体，是共富型动能与一般动能的分野所在。</w:t>
      </w:r>
    </w:p>
    <w:p>
      <w:pPr>
        <w:spacing w:line="360" w:lineRule="auto" w:after="0"/>
        <w:ind w:firstLine="480"/>
        <w:jc w:val="both"/>
      </w:pPr>
      <w:r>
        <w:rPr>
          <w:rFonts w:ascii="Times New Roman" w:hAnsi="Times New Roman" w:eastAsia="宋体"/>
          <w:b w:val="0"/>
          <w:sz w:val="24"/>
        </w:rPr>
        <w:t>就富民效能的释放而言，三条分配通道各有其机理、相互补位。就业通道居于首位：产业动能通过创造岗位把增长转化为劳动者的初次分配所得，数字经济尤其通过催生新业态、扩大非农就业容量而拓宽这一通道[101]。报酬通道决定分配质量：“两个同步”使技术红利在要素之间合理分割，防止生产率曲线与工资曲线脱钩</w:t>
      </w:r>
      <w:r>
        <w:rPr>
          <w:rFonts w:ascii="Times New Roman" w:hAnsi="Times New Roman" w:eastAsia="宋体"/>
          <w:b w:val="0"/>
          <w:sz w:val="24"/>
          <w:vertAlign w:val="superscript"/>
        </w:rPr>
        <w:t>[65]</w:t>
      </w:r>
      <w:r>
        <w:rPr>
          <w:rFonts w:ascii="Times New Roman" w:hAnsi="Times New Roman" w:eastAsia="宋体"/>
          <w:b w:val="0"/>
          <w:sz w:val="24"/>
        </w:rPr>
        <w:t>。公共服务通道承担再分配与能力建设的双重功能：基本公共服务的均等化既直接改善低收入群体的实际生活品质，又为其人力资本积累创造条件。三条通道的关系可以概括为：就业决定“有没有”，报酬决定“多与少”，公共服务决定“稳不稳”，任何一条堵塞都会使效能释放大打折扣。</w:t>
      </w:r>
    </w:p>
    <w:p>
      <w:pPr>
        <w:spacing w:line="360" w:lineRule="auto" w:after="0"/>
        <w:ind w:firstLine="480"/>
        <w:jc w:val="both"/>
      </w:pPr>
      <w:r>
        <w:rPr>
          <w:rFonts w:ascii="Times New Roman" w:hAnsi="Times New Roman" w:eastAsia="宋体"/>
          <w:b w:val="0"/>
          <w:sz w:val="24"/>
        </w:rPr>
        <w:t>链条的关键在于三大转化关口，它们既是能量传导的枢纽，也是最易发生断裂的节点，且每一关口的失灵都对应着一类差距的生成机理。关口Ⅰ为成果转化关（势能→动能）。科技成果从实验室走向生产线，需要跨越中试熟化、风险资本、应用场景等多重门槛；一旦转化通道不畅，创新势能便滞留于少数高能级平台，形成“创新孤岛”——研发投入高企而周边区域难以分享产业化红利。由于创新要素天然向中心城市集聚（如全省10家省实验室中7家布局杭州），若缺乏跨区域的成果扩散与产业转移机制，关口Ⅰ失灵将直接加剧地区差距。关口Ⅱ为就业分配关（动能→效能）。技术进步具有资本偏向与技能偏向特征，自动化与智能化在提升劳动生产率的同时可能压缩中低技能岗位、压低劳动报酬份额，导致“增长不增收”——产业动能强劲而居民收入增长滞后于经济增长。关口Ⅱ失灵意味着“两个同步”落空，初次分配格局恶化，直接加剧收入差距。关口Ⅲ为人力资本反哺关（效能→势能）。富民效能若不能通过教育、医疗等公共服务转化为下一轮人力资本积累，低收入群体与农村居民将被锁定在低技能—低收入—低积累的“低水平循环”之中，其子代难以进入创新部门就业；关口Ⅲ失灵使城乡之间的人力资本差距代际传递，固化城乡差距。由此，“三大差距”并非外生于新质生产力发展的孤立现象，而是三大转化关口失灵的系统性后果；省委十五届八次全会提出“把缩小城乡差距、地区差距、收入差距作为主攻方向”，在本框架中即表现为对三大关口的靶向修复。</w:t>
      </w:r>
    </w:p>
    <w:p>
      <w:pPr>
        <w:spacing w:line="360" w:lineRule="auto" w:after="0"/>
        <w:ind w:firstLine="480"/>
        <w:jc w:val="both"/>
      </w:pPr>
      <w:r>
        <w:rPr>
          <w:rFonts w:ascii="Times New Roman" w:hAnsi="Times New Roman" w:eastAsia="宋体"/>
          <w:b w:val="0"/>
          <w:sz w:val="24"/>
        </w:rPr>
        <w:t>三大关口的失灵并非理论虚构，国内外发展实践中均可找到典型情形。就成果转化关而言，最常见的失灵形态是“有研发、无转化”：一些区域科研机构密集、论文与专利产出可观，但因中试熟化平台缺位、耐心资本短缺、应用场景不足，成果或束之高阁，或“墙内开花墙外香”——在本地研发、在外地产业化，本地难以分享产业增值的回流。空间经济学研究表明，创新活动的集聚收益显著高于一般生产环节，若无有意识的制度安排促成扩散，市场力量将持续强化“中心—外围”格局，创新高地与周边腹地的差距趋于自我放大</w:t>
      </w:r>
      <w:r>
        <w:rPr>
          <w:rFonts w:ascii="Times New Roman" w:hAnsi="Times New Roman" w:eastAsia="宋体"/>
          <w:b w:val="0"/>
          <w:sz w:val="24"/>
          <w:vertAlign w:val="superscript"/>
        </w:rPr>
        <w:t>[13,15]</w:t>
      </w:r>
      <w:r>
        <w:rPr>
          <w:rFonts w:ascii="Times New Roman" w:hAnsi="Times New Roman" w:eastAsia="宋体"/>
          <w:b w:val="0"/>
          <w:sz w:val="24"/>
        </w:rPr>
        <w:t>。这正是浙江以山海协作、产业飞地、科创飞地等机制修复成果转化关空间断点的针对性所在。</w:t>
      </w:r>
    </w:p>
    <w:p>
      <w:pPr>
        <w:spacing w:line="360" w:lineRule="auto" w:after="0"/>
        <w:ind w:firstLine="480"/>
        <w:jc w:val="both"/>
      </w:pPr>
      <w:r>
        <w:rPr>
          <w:rFonts w:ascii="Times New Roman" w:hAnsi="Times New Roman" w:eastAsia="宋体"/>
          <w:b w:val="0"/>
          <w:sz w:val="24"/>
        </w:rPr>
        <w:t>就业分配关的失灵在国际范围内有更充分的经验教训。近几十年来主要经济体普遍出现劳动收入份额下降的趋势，其成因既包括资本对劳动替代的加速，也包括“超级明星企业”崛起带来的市场集中</w:t>
      </w:r>
      <w:r>
        <w:rPr>
          <w:rFonts w:ascii="Times New Roman" w:hAnsi="Times New Roman" w:eastAsia="宋体"/>
          <w:b w:val="0"/>
          <w:sz w:val="24"/>
          <w:vertAlign w:val="superscript"/>
        </w:rPr>
        <w:t>[22,23]</w:t>
      </w:r>
      <w:r>
        <w:rPr>
          <w:rFonts w:ascii="Times New Roman" w:hAnsi="Times New Roman" w:eastAsia="宋体"/>
          <w:b w:val="0"/>
          <w:sz w:val="24"/>
        </w:rPr>
        <w:t>；自动化与机器人应用对中低技能岗位的替代效应已获得大量证据支持，技术进步的技能偏向使技能溢价扩大、劳动力市场呈现极化态势</w:t>
      </w:r>
      <w:r>
        <w:rPr>
          <w:rFonts w:ascii="Times New Roman" w:hAnsi="Times New Roman" w:eastAsia="宋体"/>
          <w:b w:val="0"/>
          <w:sz w:val="24"/>
          <w:vertAlign w:val="superscript"/>
        </w:rPr>
        <w:t>[17,19,20]</w:t>
      </w:r>
      <w:r>
        <w:rPr>
          <w:rFonts w:ascii="Times New Roman" w:hAnsi="Times New Roman" w:eastAsia="宋体"/>
          <w:b w:val="0"/>
          <w:sz w:val="24"/>
        </w:rPr>
        <w:t>。国内研究同样发现，机器人使用与人工智能发展对不同技能劳动者的就业和报酬影响高度不对称[21,107,108]。历史地看，收入分配并不会随增长自动改善——库兹涅茨倒U形假说所预期的自发均等化进程，在不少经济体被长期的分配恶化所打断</w:t>
      </w:r>
      <w:r>
        <w:rPr>
          <w:rFonts w:ascii="Times New Roman" w:hAnsi="Times New Roman" w:eastAsia="宋体"/>
          <w:b w:val="0"/>
          <w:sz w:val="24"/>
          <w:vertAlign w:val="superscript"/>
        </w:rPr>
        <w:t>[11,12]</w:t>
      </w:r>
      <w:r>
        <w:rPr>
          <w:rFonts w:ascii="Times New Roman" w:hAnsi="Times New Roman" w:eastAsia="宋体"/>
          <w:b w:val="0"/>
          <w:sz w:val="24"/>
        </w:rPr>
        <w:t>。这些教训表明，就业分配关的打通必须依靠积极的制度供给，而不能寄望于技术进步的自然涓滴。</w:t>
      </w:r>
    </w:p>
    <w:p>
      <w:pPr>
        <w:spacing w:line="360" w:lineRule="auto" w:after="0"/>
        <w:ind w:firstLine="480"/>
        <w:jc w:val="both"/>
      </w:pPr>
      <w:r>
        <w:rPr>
          <w:rFonts w:ascii="Times New Roman" w:hAnsi="Times New Roman" w:eastAsia="宋体"/>
          <w:b w:val="0"/>
          <w:sz w:val="24"/>
        </w:rPr>
        <w:t>人力资本反哺关的失灵则以更隐蔽、更长期的方式发生。当教育、医疗等公共服务在城乡与区域之间配置失衡时，低收入家庭子女的人力资本投资长期不足，机会不平等经由教育渠道转化为收入不平等的代际再生产；城乡差距一旦固化，还会通过抑制人力资本积累与消费需求反噬增长本身</w:t>
      </w:r>
      <w:r>
        <w:rPr>
          <w:rFonts w:ascii="Times New Roman" w:hAnsi="Times New Roman" w:eastAsia="宋体"/>
          <w:b w:val="0"/>
          <w:sz w:val="24"/>
          <w:vertAlign w:val="superscript"/>
        </w:rPr>
        <w:t>[16,67,99]</w:t>
      </w:r>
      <w:r>
        <w:rPr>
          <w:rFonts w:ascii="Times New Roman" w:hAnsi="Times New Roman" w:eastAsia="宋体"/>
          <w:b w:val="0"/>
          <w:sz w:val="24"/>
        </w:rPr>
        <w:t>。在增长动力转向全要素生产率驱动的背景下，这一关口的战略意义更加凸显：未来的创新势能取决于今天的教育公平，效能向势能的回流一旦中断，双向赋能的螺旋结构便退化为单向链条。可见，三大关口失灵形态各异，共同后果都是能量传导截断与差距累积扩大，修复必须整体推进、不可偏废。</w:t>
      </w:r>
    </w:p>
    <w:p>
      <w:pPr>
        <w:spacing w:line="360" w:lineRule="auto" w:after="80"/>
        <w:jc w:val="left"/>
      </w:pPr>
      <w:r>
        <w:rPr>
          <w:rFonts w:ascii="Times New Roman" w:hAnsi="Times New Roman" w:eastAsia="黑体"/>
          <w:b/>
          <w:sz w:val="28"/>
        </w:rPr>
        <w:t>（三）双向赋能与动态耦合</w:t>
      </w:r>
    </w:p>
    <w:p>
      <w:pPr>
        <w:spacing w:line="360" w:lineRule="auto" w:after="0"/>
        <w:ind w:firstLine="480"/>
        <w:jc w:val="both"/>
      </w:pPr>
      <w:r>
        <w:rPr>
          <w:rFonts w:ascii="Times New Roman" w:hAnsi="Times New Roman" w:eastAsia="宋体"/>
          <w:b w:val="0"/>
          <w:sz w:val="24"/>
        </w:rPr>
        <w:t>共同富裕不仅是新质生产力发展的结果变量，更是其投入变量——这是本框架区别于单向赋能论的关键命题。共同富裕反哺新质生产力的渠道有三。一是人力资本积累渠道。教育公平与公共服务均等化提升全社会劳动力质量，扩大创新人才的供给基数，直接充实创新势能；共享度的提高意味着人力资本投资在城乡、区域间更均衡地配置，从而提升全省人力资本存量的边际产出。二是内需市场扩容渠道。中等收入群体持续扩大形成规模化、多层次的国内需求，《建议》提出“居民消费率明显提高，内需拉动经济增长主动力作用持续增强”，需求引致创新机制由此启动——庞大且升级中的消费市场为新技术、新产品提供了商业化验证场景，降低了创新的市场风险。三是社会预期稳定渠道。更加优化更可持续的社会保障制度降低居民预防性储蓄动机与创业就业的后顾之忧，稳定企业家投资预期，提高全社会的风险承担意愿与创新容错空间。三条渠道共同作用，使富民效能回流为创新势能，形成“生产力跃迁—共同富裕—更高水平生产力跃迁”的双螺旋上升结构。</w:t>
      </w:r>
    </w:p>
    <w:p>
      <w:pPr>
        <w:spacing w:line="360" w:lineRule="auto" w:after="0"/>
        <w:ind w:firstLine="480"/>
        <w:jc w:val="both"/>
      </w:pPr>
      <w:r>
        <w:rPr>
          <w:rFonts w:ascii="Times New Roman" w:hAnsi="Times New Roman" w:eastAsia="宋体"/>
          <w:b w:val="0"/>
          <w:sz w:val="24"/>
        </w:rPr>
        <w:t>三条反哺渠道在既有研究中均可找到经验支撑。人力资本渠道与内生增长理论关于人力资本外溢的机制一脉相承：教育公平的改善，实质是把更广泛的群体纳入人力资本积累进程，提高全社会的积累效率。内需渠道方面，数字金融的普及显著促进了居民消费增长，城镇化推进对共同富裕的正向效应亦获得证据支持</w:t>
      </w:r>
      <w:r>
        <w:rPr>
          <w:rFonts w:ascii="Times New Roman" w:hAnsi="Times New Roman" w:eastAsia="宋体"/>
          <w:b w:val="0"/>
          <w:sz w:val="24"/>
          <w:vertAlign w:val="superscript"/>
        </w:rPr>
        <w:t>[69,90]</w:t>
      </w:r>
      <w:r>
        <w:rPr>
          <w:rFonts w:ascii="Times New Roman" w:hAnsi="Times New Roman" w:eastAsia="宋体"/>
          <w:b w:val="0"/>
          <w:sz w:val="24"/>
        </w:rPr>
        <w:t>——中低收入群体的边际消费倾向更高，其收入改善将同步扩大总需求规模、升级需求结构。三条渠道的作用强度依赖于分配状况本身——共享度越高，渠道越宽，这正是“共同富裕是投入变量”命题的微观基础。</w:t>
      </w:r>
    </w:p>
    <w:p>
      <w:pPr>
        <w:spacing w:line="360" w:lineRule="auto" w:after="0"/>
        <w:ind w:firstLine="480"/>
        <w:jc w:val="both"/>
      </w:pPr>
      <w:r>
        <w:rPr>
          <w:rFonts w:ascii="Times New Roman" w:hAnsi="Times New Roman" w:eastAsia="宋体"/>
          <w:b w:val="0"/>
          <w:sz w:val="24"/>
        </w:rPr>
        <w:t>基于双向赋能逻辑，本框架进一步提出两大系统耦合协调的动态演化阶段假说：在发展初期，新质生产力系统与共同富裕系统各自水平较低、互动微弱，处于低水平耦合阶段；随着创新投入加码与分配制度完善，两系统进入磨合提升阶段，转化关口逐一打通，耦合协调度稳步上升但仍存在阶段性错位（如技术冲击期的收入波动）；当三大关口全部实现制度化修复、双向赋能渠道充分畅通后，两系统进入高水平协调阶段，呈现同频共振、互促共进的稳态特征。这一假说将在实证章借助新质生产力发展指数（</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）、共同富裕指数（</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）与耦合协调度（</w:t>
      </w:r>
      <m:oMath>
        <m:r>
          <w:rPr>
            <w:rFonts w:ascii="Cambria Math" w:hAnsi="Cambria Math"/>
          </w:rPr>
          <m:t xml:space="preserve">D</m:t>
        </m:r>
      </m:oMath>
      <w:r>
        <w:rPr>
          <w:rFonts w:ascii="Times New Roman" w:hAnsi="Times New Roman" w:eastAsia="宋体"/>
          <w:b w:val="0"/>
          <w:sz w:val="24"/>
        </w:rPr>
        <w:t>）的时序测度加以检验。</w:t>
      </w:r>
    </w:p>
    <w:p>
      <w:pPr>
        <w:spacing w:line="360" w:lineRule="auto" w:after="0"/>
        <w:ind w:firstLine="480"/>
        <w:jc w:val="both"/>
      </w:pPr>
      <w:r>
        <w:rPr>
          <w:rFonts w:ascii="Times New Roman" w:hAnsi="Times New Roman" w:eastAsia="宋体"/>
          <w:b w:val="0"/>
          <w:sz w:val="24"/>
        </w:rPr>
        <w:t>以“耦合”刻画两大系统的互动关系，在方法论上有其学术源流。耦合概念源于物理学，经地理学与区域科学的引入而被广泛用于刻画系统间的交互强度与协调水平，近年方法论研究又对耦合协调模型的常见误用作了系统澄清与修正[110,111,127]。本章在理论层面强调，耦合协调不是两个指数的简单并置，而是具有明确机制内容的关系范畴：耦合对应双向赋能渠道的通畅程度，协调对应两系统发展水平的匹配程度。阶段假说的价值在于提供了可观察的动态标尺——如果实证测度显示耦合协调度持续上升并出现阶段跃迁，且跃迁时点与重大制度供给的时点相吻合，则双向赋能逻辑便获得时序证据的支持。</w:t>
      </w:r>
    </w:p>
    <w:p>
      <w:pPr>
        <w:spacing w:line="360" w:lineRule="auto" w:after="80"/>
        <w:jc w:val="left"/>
      </w:pPr>
      <w:r>
        <w:rPr>
          <w:rFonts w:ascii="Times New Roman" w:hAnsi="Times New Roman" w:eastAsia="黑体"/>
          <w:b/>
          <w:sz w:val="28"/>
        </w:rPr>
        <w:t>（四）制度转化器：有为政府×有效市场×有感社会</w:t>
      </w:r>
    </w:p>
    <w:p>
      <w:pPr>
        <w:spacing w:line="360" w:lineRule="auto" w:after="0"/>
        <w:ind w:firstLine="480"/>
        <w:jc w:val="both"/>
      </w:pPr>
      <w:r>
        <w:rPr>
          <w:rFonts w:ascii="Times New Roman" w:hAnsi="Times New Roman" w:eastAsia="宋体"/>
          <w:b w:val="0"/>
          <w:sz w:val="24"/>
        </w:rPr>
        <w:t>三阶转化不会自动完成，关口能否打通取决于制度供给的质量。《建议》将“坚持有效市场和有为政府相结合”列为“十五五”时期经济社会发展必须遵循的原则，本框架在此基础上引入“有感社会”维度，提出“有为政府×有效市场×有感社会”三位一体的制度转化器概念：制度供给的功能在于降低三大关口的转化成本——降低成果转化关的信息搜寻与风险分担成本，降低就业分配关的劳动力市场匹配与再分配执行成本，降低人力资本反哺关的公共服务可及成本。有为政府以规划引领与改革供给校正市场失灵，浙江二十余年一以贯之实施“八八战略”、接续推进共同富裕示范区与创新浙江建设，体现了规划的连续性对转化预期的稳定作用；有效市场以充分竞争与要素流动提高转化效率，浙江民营经济增加值占GDP的67.4%（2024年），量大面广的民营主体构成势能落地为动能的最活跃承接面；有感社会以数字治理与基层善治增强成果分配的可及性与精准性，使富民效能真正抵达“最后一公里”。</w:t>
      </w:r>
    </w:p>
    <w:p>
      <w:pPr>
        <w:spacing w:line="360" w:lineRule="auto" w:after="0"/>
        <w:ind w:firstLine="480"/>
        <w:jc w:val="both"/>
      </w:pPr>
      <w:r>
        <w:rPr>
          <w:rFonts w:ascii="Times New Roman" w:hAnsi="Times New Roman" w:eastAsia="宋体"/>
          <w:b w:val="0"/>
          <w:sz w:val="24"/>
        </w:rPr>
        <w:t>制度转化器的三个维度各有其学理依据。有效市场与有为政府的结合是社会主义市场经济体制的核心命题：市场在资源配置中起决定性作用，保证转化过程的效率与活力；政府则在基础研究的正外部性、成果转化的高风险、初次分配的失衡倾向等市场失灵环节提供校正性制度供给，以包容效率与公平的改革促进共同富裕</w:t>
      </w:r>
      <w:r>
        <w:rPr>
          <w:rFonts w:ascii="Times New Roman" w:hAnsi="Times New Roman" w:eastAsia="宋体"/>
          <w:b w:val="0"/>
          <w:sz w:val="24"/>
          <w:vertAlign w:val="superscript"/>
        </w:rPr>
        <w:t>[58]</w:t>
      </w:r>
      <w:r>
        <w:rPr>
          <w:rFonts w:ascii="Times New Roman" w:hAnsi="Times New Roman" w:eastAsia="宋体"/>
          <w:b w:val="0"/>
          <w:sz w:val="24"/>
        </w:rPr>
        <w:t>。组态研究的证据也表明，高水平的区域发展绩效往往产生于政府能力与市场活力的匹配组合，而非单一要素的极致化[147]。“有感社会”维度的引入，则回应了共同富裕的治理之维：共同富裕不仅是经济过程，更是社会建设与治理现代化的过程，成果分配的“最后一公里”依赖基层治理网络、社会力量与数字化手段的协同，使制度供给被居民真实感知、便捷获取</w:t>
      </w:r>
      <w:r>
        <w:rPr>
          <w:rFonts w:ascii="Times New Roman" w:hAnsi="Times New Roman" w:eastAsia="宋体"/>
          <w:b w:val="0"/>
          <w:sz w:val="24"/>
          <w:vertAlign w:val="superscript"/>
        </w:rPr>
        <w:t>[30,55]</w:t>
      </w:r>
      <w:r>
        <w:rPr>
          <w:rFonts w:ascii="Times New Roman" w:hAnsi="Times New Roman" w:eastAsia="宋体"/>
          <w:b w:val="0"/>
          <w:sz w:val="24"/>
        </w:rPr>
        <w:t>。三个维度政府定向、市场提效、社会传导，功能互补，共同压低三大关口的转化成本。</w:t>
      </w:r>
    </w:p>
    <w:p>
      <w:pPr>
        <w:spacing w:line="360" w:lineRule="auto" w:after="0"/>
        <w:ind w:firstLine="480"/>
        <w:jc w:val="both"/>
      </w:pPr>
      <w:r>
        <w:rPr>
          <w:rFonts w:ascii="Times New Roman" w:hAnsi="Times New Roman" w:eastAsia="宋体"/>
          <w:b w:val="0"/>
          <w:sz w:val="24"/>
        </w:rPr>
        <w:t>上述三维制度框架在浙江有着深厚的实践积淀与研究印证。学界研究认为，山海协作是一项富有中国特色的区域协调发展制度安排，要义在于以制度化结对推动要素跨区域流动；对“千万工程”的研究表明，其能够持续牵引乡村全面振兴，关键在于理念、方法与机制的系统性；对强村公司与新型农村集体经济的实证研究则显示，公司化运营能够有效壮大集体经济、拓宽农民增收渠道</w:t>
      </w:r>
      <w:r>
        <w:rPr>
          <w:rFonts w:ascii="Times New Roman" w:hAnsi="Times New Roman" w:eastAsia="宋体"/>
          <w:b w:val="0"/>
          <w:sz w:val="24"/>
          <w:vertAlign w:val="superscript"/>
        </w:rPr>
        <w:t>[72,75,76]</w:t>
      </w:r>
      <w:r>
        <w:rPr>
          <w:rFonts w:ascii="Times New Roman" w:hAnsi="Times New Roman" w:eastAsia="宋体"/>
          <w:b w:val="0"/>
          <w:sz w:val="24"/>
        </w:rPr>
        <w:t>。伴随这些制度安排的长期运行，全省城乡居民收入倍差从2003年的2.43缩小至2024年的1.83，为制度转化器的有效性提供了长周期的经验注脚。</w:t>
      </w:r>
    </w:p>
    <w:p>
      <w:pPr>
        <w:spacing w:line="360" w:lineRule="auto" w:after="0"/>
        <w:ind w:firstLine="480"/>
        <w:jc w:val="both"/>
      </w:pPr>
      <w:r>
        <w:rPr>
          <w:rFonts w:ascii="Times New Roman" w:hAnsi="Times New Roman" w:eastAsia="宋体"/>
          <w:b w:val="0"/>
          <w:sz w:val="24"/>
        </w:rPr>
        <w:t>浙江的标志性制度安排与三大关口存在清晰的对应关系：山海协作工程（2002年启动）及其“产业飞地”“科创飞地”机制，通过跨区域的产业合作与创新资源输送修复关口Ⅰ的空间断点，遏制“创新孤岛”对地区差距的放大；“千万工程”（2003年启动）、强村公司与“扩中提低”改革，通过壮大集体经济、拓宽增收渠道修复关口Ⅱ的分配断点，保障“增长必增收”；教育科技人才一体改革发展与基本公共服务一体化，通过均衡配置人力资本投资修复关口Ⅲ的循环断点，阻断城乡差距的代际传递。三大制度群与三大关口的精准咬合，构成浙江能够率先探索共富型新质生产力的深层禀赋。综上，本章构建的理论模型以“势能—动能—效能”三阶转化为主轴，以三大转化关口为枢纽，以双向赋能为回路，以制度转化器为保障，其整体逻辑如图1所示。</w:t>
      </w:r>
    </w:p>
    <w:p>
      <w:pPr>
        <w:spacing w:before="120"/>
        <w:jc w:val="center"/>
      </w:pPr>
      <w:r>
        <w:drawing>
          <wp:inline xmlns:a="http://schemas.openxmlformats.org/drawingml/2006/main" xmlns:pic="http://schemas.openxmlformats.org/drawingml/2006/picture">
            <wp:extent cx="4829738" cy="3044220"/>
            <wp:docPr id="1" name="Picture 1"/>
            <wp:cNvGraphicFramePr>
              <a:graphicFrameLocks noChangeAspect="1"/>
            </wp:cNvGraphicFramePr>
            <a:graphic>
              <a:graphicData uri="http://schemas.openxmlformats.org/drawingml/2006/picture">
                <pic:pic>
                  <pic:nvPicPr>
                    <pic:cNvPr id="0" name="fig01_framework.png"/>
                    <pic:cNvPicPr/>
                  </pic:nvPicPr>
                  <pic:blipFill>
                    <a:blip r:embed="rId9"/>
                    <a:stretch>
                      <a:fillRect/>
                    </a:stretch>
                  </pic:blipFill>
                  <pic:spPr>
                    <a:xfrm>
                      <a:off x="0" y="0"/>
                      <a:ext cx="4829738" cy="3044220"/>
                    </a:xfrm>
                    <a:prstGeom prst="rect"/>
                  </pic:spPr>
                </pic:pic>
              </a:graphicData>
            </a:graphic>
          </wp:inline>
        </w:drawing>
      </w:r>
    </w:p>
    <w:p>
      <w:pPr>
        <w:spacing w:after="80"/>
        <w:jc w:val="center"/>
      </w:pPr>
      <w:r>
        <w:rPr>
          <w:rFonts w:ascii="Times New Roman" w:hAnsi="Times New Roman" w:eastAsia="黑体"/>
          <w:b/>
          <w:sz w:val="21"/>
        </w:rPr>
        <w:t xml:space="preserve">图1　</w:t>
      </w:r>
      <w:r>
        <w:rPr>
          <w:rFonts w:ascii="Times New Roman" w:hAnsi="Times New Roman" w:eastAsia="宋体"/>
          <w:b/>
          <w:sz w:val="21"/>
        </w:rPr>
        <w:t>共富型新质生产力：“势能—动能—效能”三阶转化与双向耦合机制</w:t>
      </w:r>
    </w:p>
    <w:p>
      <w:pPr>
        <w:spacing w:line="360" w:lineRule="auto" w:after="0"/>
        <w:ind w:firstLine="480"/>
        <w:jc w:val="both"/>
      </w:pPr>
      <w:r>
        <w:rPr>
          <w:rFonts w:ascii="Times New Roman" w:hAnsi="Times New Roman" w:eastAsia="宋体"/>
          <w:b w:val="0"/>
          <w:sz w:val="24"/>
        </w:rPr>
        <w:t>图1所示框架的阅读要领有三。其一，主轴自左向右刻画“势能→动能→效能”的正向转化，三大转化关口作为枢纽嵌于环节衔接处，其开合状态决定链条的整体通量；其二，底部回路自右向左刻画共同富裕对创新势能的反哺，三条渠道使框架闭环运行；其三，制度转化器作用于全链条，自外而内地降低各关口的转化成本。框架还内嵌了差距生成的病理学：三大关口分别对应地区差距、收入差距、城乡差距的生成机理，把“发展”与“共享”之间的张力还原为可定位、可修复的机制断点，为后续各章提供了统一的分析语言与检验对象。</w:t>
      </w:r>
    </w:p>
    <w:p>
      <w:pPr>
        <w:spacing w:line="360" w:lineRule="auto" w:after="80"/>
        <w:jc w:val="left"/>
      </w:pPr>
      <w:r>
        <w:rPr>
          <w:rFonts w:ascii="Times New Roman" w:hAnsi="Times New Roman" w:eastAsia="黑体"/>
          <w:b/>
          <w:sz w:val="28"/>
        </w:rPr>
        <w:t>（五）研究命题的提出</w:t>
      </w:r>
    </w:p>
    <w:p>
      <w:pPr>
        <w:spacing w:line="360" w:lineRule="auto" w:after="0"/>
        <w:ind w:firstLine="480"/>
        <w:jc w:val="both"/>
      </w:pPr>
      <w:r>
        <w:rPr>
          <w:rFonts w:ascii="Times New Roman" w:hAnsi="Times New Roman" w:eastAsia="宋体"/>
          <w:b w:val="0"/>
          <w:sz w:val="24"/>
        </w:rPr>
        <w:t>基于上述框架，本报告提出三个可检验的研究命题。命题P1（同向演进命题）：新质生产力发展指数（</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）与共同富裕指数（</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）总体同向上升，两系统耦合协调度（</w:t>
      </w:r>
      <m:oMath>
        <m:r>
          <w:rPr>
            <w:rFonts w:ascii="Cambria Math" w:hAnsi="Cambria Math"/>
          </w:rPr>
          <m:t xml:space="preserve">D</m:t>
        </m:r>
      </m:oMath>
      <w:r>
        <w:rPr>
          <w:rFonts w:ascii="Times New Roman" w:hAnsi="Times New Roman" w:eastAsia="宋体"/>
          <w:b w:val="0"/>
          <w:sz w:val="24"/>
        </w:rPr>
        <w:t>）随时间呈持续上升态势，并依次经历“低水平耦合—磨合提升—高水平协调”的阶段跃迁。其机理在于双向赋能回路一经启动即具有自我强化性质，重大制度供给（如共同富裕示范区建设）将成为阶段跃迁的触发点。命题P2（关口修复命题）：转化关口修复机制越健全，耦合协调水平越高；三大关口同时获得制度性修复的区域，其</w:t>
      </w:r>
      <m:oMath>
        <m:r>
          <w:rPr>
            <w:rFonts w:ascii="Cambria Math" w:hAnsi="Cambria Math"/>
          </w:rPr>
          <m:t xml:space="preserve">D</m:t>
        </m:r>
      </m:oMath>
      <w:r>
        <w:rPr>
          <w:rFonts w:ascii="Times New Roman" w:hAnsi="Times New Roman" w:eastAsia="宋体"/>
          <w:b w:val="0"/>
          <w:sz w:val="24"/>
        </w:rPr>
        <w:t>值等级跃升更快、更稳。其机理在于任一关口失灵都会截断能量传导，制度转化器的完备程度决定链条的整体通量。命题P3（多元组态命题）：共富型发展不存在单一必要条件，高共富绩效由创新投入、金融支持、人力资本、民营活力、城镇化等条件的多种组态等效驱动，存在多元等效的组态路径；而创新要素单兵突进、转化配套缺失的区域，将因关口失灵陷于非高绩效状态。其机理在于三阶转化是条件组合共同作用的系统过程，符合组态因果的殊途同归逻辑，这也为“因地制宜发展新质生产力”提供了理论注脚。命题P1、P2将主要通过指数测度与耦合协调分析检验，命题P3将通过全国省份样本的fsQCA组态分析检验，详见实证各章。</w:t>
      </w:r>
    </w:p>
    <w:p>
      <w:pPr>
        <w:spacing w:line="360" w:lineRule="auto" w:after="0"/>
        <w:ind w:firstLine="480"/>
        <w:jc w:val="both"/>
      </w:pPr>
      <w:r>
        <w:rPr>
          <w:rFonts w:ascii="Times New Roman" w:hAnsi="Times New Roman" w:eastAsia="宋体"/>
          <w:b w:val="0"/>
          <w:sz w:val="24"/>
        </w:rPr>
        <w:t>三个命题的检验设计与证伪条件需要预先言明。命题P1的支持性证据是</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时序上的总体同向上升与</w:t>
      </w:r>
      <m:oMath>
        <m:r>
          <w:rPr>
            <w:rFonts w:ascii="Cambria Math" w:hAnsi="Cambria Math"/>
          </w:rPr>
          <m:t xml:space="preserve">D</m:t>
        </m:r>
      </m:oMath>
      <w:r>
        <w:rPr>
          <w:rFonts w:ascii="Times New Roman" w:hAnsi="Times New Roman" w:eastAsia="宋体"/>
          <w:b w:val="0"/>
          <w:sz w:val="24"/>
        </w:rPr>
        <w:t>值的阶段跃迁；若两大指数长期背离，或耦合协调度在创新加速期不升反降，则命题即被证伪。命题P2的支持性证据是关口修复的制度供给密度与耦合协调水平之间的时序对应——重大制度供给节点之后，</w:t>
      </w:r>
      <m:oMath>
        <m:r>
          <w:rPr>
            <w:rFonts w:ascii="Cambria Math" w:hAnsi="Cambria Math"/>
          </w:rPr>
          <m:t xml:space="preserve">D</m:t>
        </m:r>
      </m:oMath>
      <w:r>
        <w:rPr>
          <w:rFonts w:ascii="Times New Roman" w:hAnsi="Times New Roman" w:eastAsia="宋体"/>
          <w:b w:val="0"/>
          <w:sz w:val="24"/>
        </w:rPr>
        <w:t>值等级跃升应当加快，反之则命题不成立。还应说明单一省域时序证据的边界：浙江样本能够提供机制存在性与时序一致性的证据，严格的因果识别则有赖于更大样本的比较设计，这正是引入全国省份组态比较的动因。</w:t>
      </w:r>
    </w:p>
    <w:p>
      <w:pPr>
        <w:spacing w:line="360" w:lineRule="auto" w:after="0"/>
        <w:ind w:firstLine="480"/>
        <w:jc w:val="both"/>
      </w:pPr>
      <w:r>
        <w:rPr>
          <w:rFonts w:ascii="Times New Roman" w:hAnsi="Times New Roman" w:eastAsia="宋体"/>
          <w:b w:val="0"/>
          <w:sz w:val="24"/>
        </w:rPr>
        <w:t>命题P3植根于组态因果观。与传统回归分析关注单个变量的平均净效应不同，组态视角认为社会经济结果由多个条件的组合共同塑造：同一结果可以由不同组态等效引致，即“殊途同归”的等效性；导致高绩效与非高绩效的原因集合并不互为镜像，即因果的非对称性[128,129,141]。这一因果观与三阶转化框架高度契合——链条的整体通量取决于各环节条件的匹配组合，而非某一条件的单兵突进；不同区域可以依据自身禀赋选择不同的条件组合实现共富型发展，这正是“因地制宜发展新质生产力”的方法论表达。若组态分析显示存在单一必要条件，或所有高绩效省份收敛于唯一组态，则命题P3被证伪。三个命题环环相扣：P1检验总体走势，P2检验机制通道，P3检验路径多样性，构成对理论框架的三重检验。至此，本章完成了从概念建构到命题凝练的理论准备，下一章将以数理模型给出框架的形式化表达。</w:t>
      </w:r>
    </w:p>
    <w:p>
      <w:pPr>
        <w:spacing w:line="360" w:lineRule="auto" w:after="160"/>
        <w:jc w:val="center"/>
      </w:pPr>
      <w:r>
        <w:rPr>
          <w:rFonts w:ascii="Times New Roman" w:hAnsi="Times New Roman" w:eastAsia="黑体"/>
          <w:b/>
          <w:sz w:val="32"/>
        </w:rPr>
        <w:t>四、理论模型：“势能—动能—效能”三阶转化的数理刻画</w:t>
      </w:r>
    </w:p>
    <w:p>
      <w:pPr>
        <w:spacing w:line="360" w:lineRule="auto" w:after="0"/>
        <w:ind w:firstLine="480"/>
        <w:jc w:val="both"/>
      </w:pPr>
      <w:r>
        <w:rPr>
          <w:rFonts w:ascii="Times New Roman" w:hAnsi="Times New Roman" w:eastAsia="宋体"/>
          <w:b w:val="0"/>
          <w:sz w:val="24"/>
        </w:rPr>
        <w:t>第三章以质性语言构建了共富型新质生产力的三阶转化框架，本章进一步给出其数理表述。构建数理模型的目的有三：一是把“创新势能积蓄—产业动能转换—富民效能释放”的传导链条转写为可推导的方程系统，使三大转化关口的经济学含义获得参数化的精确界定；二是在统一模型中推演三大关口参数变动的比较静态与动态后果，从而为第三章提出的研究命题P1、P2、P3提供数理基础；三是刻画新质生产力系统与共同富裕系统双向赋能的耦合动力学，说明“高水平协同均衡”与“创新孤岛式低水平均衡”分化的参数条件，为实证章的耦合协调测度与组态分析提供理论预期。模型在罗默式内生增长框架[152]与卢卡斯人力资本框架[153]的基础上进行扩展，将三大转化关口作为楔子（wedge）嵌入“知识生产—产出形成—收入分配—人力资本再生产”的完整循环，其建模思路亦借鉴了技能偏向型技术进步文献[17,105]关于技术变迁分配效应的处理方式。</w:t>
      </w:r>
    </w:p>
    <w:p>
      <w:pPr>
        <w:spacing w:line="360" w:lineRule="auto" w:after="0"/>
        <w:ind w:firstLine="480"/>
        <w:jc w:val="both"/>
      </w:pPr>
      <w:r>
        <w:rPr>
          <w:rFonts w:ascii="Times New Roman" w:hAnsi="Times New Roman" w:eastAsia="宋体"/>
          <w:b w:val="0"/>
          <w:sz w:val="24"/>
        </w:rPr>
        <w:t>从增长理论的谱系看，本模型的定位可由三条线索说明。第一条是知识驱动增长的主线：索洛模型将技术进步视为外生给定的剩余[151]，罗默模型以知识的非竞争性使长期增速内生化，卢卡斯模型把人力资本积累确立为并行的增长引擎，创造性破坏模型则刻画了创新对旧技术与旧岗位的替代更迭[154]。这条主线回答“增长从何而来”，但对“增长向谁而去”着墨不多。第二条是技能偏向型技术进步文献，它补上了“技术—分配”一环，却未把分配结果反馈到知识生产与人力资本积累之中。第三条是系统耦合分析传统，长于刻画协同演化，却缺乏结构性的微观基础。本章正是在罗默—卢卡斯框架的骨架上，以三个关口参数打通“技术—产出—分配—人力资本”的全链条，再以耦合动力学方程闭合循环，把三条线索缝合为一个可推导、可检验的整体。</w:t>
      </w:r>
    </w:p>
    <w:p>
      <w:pPr>
        <w:spacing w:line="360" w:lineRule="auto" w:after="0"/>
        <w:ind w:firstLine="480"/>
        <w:jc w:val="both"/>
      </w:pPr>
      <w:r>
        <w:rPr>
          <w:rFonts w:ascii="Times New Roman" w:hAnsi="Times New Roman" w:eastAsia="宋体"/>
          <w:b w:val="0"/>
          <w:sz w:val="24"/>
        </w:rPr>
        <w:t>在建模技术上，本章以“楔子”方法处理制度摩擦：把成果转化、就业分配、人力资本反哺三个环节的制度不完善压缩为介于0与1之间的效率参数，取值越低表示摩擦越重、渗漏越多。其好处有二：一是保持模型可解性，三大关口可在同一框架内作比较静态与动态分析；二是每个参数都有明确的政策对应物——</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对应中试熟化、科技金融与场景开放，</w:t>
      </w:r>
      <m:oMath>
        <m:sSub>
          <m:e>
            <m:r>
              <w:rPr>
                <w:rFonts w:ascii="Cambria Math" w:hAnsi="Cambria Math"/>
              </w:rPr>
              <m:t xml:space="preserve">θ</m:t>
            </m:r>
          </m:e>
          <m:sub>
            <m:r>
              <w:rPr>
                <w:rFonts w:ascii="Cambria Math" w:hAnsi="Cambria Math"/>
              </w:rPr>
              <m:t xml:space="preserve">2</m:t>
            </m:r>
          </m:sub>
        </m:sSub>
      </m:oMath>
      <w:r>
        <w:rPr>
          <w:rFonts w:ascii="Times New Roman" w:hAnsi="Times New Roman" w:eastAsia="宋体"/>
          <w:b w:val="0"/>
          <w:sz w:val="24"/>
        </w:rPr>
        <w:t>对应就业优先、扩中提低与要素参与分配，</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对应基本公共服务的城乡均等化配置——从而在“制度语言—参数语言—实证语言”之间架起翻译通道。</w:t>
      </w:r>
    </w:p>
    <w:p>
      <w:pPr>
        <w:spacing w:line="360" w:lineRule="auto" w:after="80"/>
        <w:jc w:val="left"/>
      </w:pPr>
      <w:r>
        <w:rPr>
          <w:rFonts w:ascii="Times New Roman" w:hAnsi="Times New Roman" w:eastAsia="黑体"/>
          <w:b/>
          <w:sz w:val="28"/>
        </w:rPr>
        <w:t>（一）模型环境与基本设定</w:t>
      </w:r>
    </w:p>
    <w:p>
      <w:pPr>
        <w:spacing w:line="360" w:lineRule="auto" w:after="0"/>
        <w:ind w:firstLine="480"/>
        <w:jc w:val="both"/>
      </w:pPr>
      <w:r>
        <w:rPr>
          <w:rFonts w:ascii="Times New Roman" w:hAnsi="Times New Roman" w:eastAsia="宋体"/>
          <w:b w:val="0"/>
          <w:sz w:val="24"/>
        </w:rPr>
        <w:t>考虑一个连续时间的省域经济，由创新部门与最终品生产部门构成，劳动力分为城镇劳动者与农村劳动者两类。经济的总量生产函数采用扩展的柯布—道格拉斯形式：</w:t>
      </w:r>
    </w:p>
    <w:p>
      <w:pPr>
        <w:tabs>
          <w:tab w:pos="4156" w:val="center"/>
          <w:tab w:pos="8311" w:val="right"/>
        </w:tabs>
        <w:spacing w:before="80" w:after="80" w:line="360" w:lineRule="auto"/>
        <w:jc w:val="left"/>
      </w:pPr>
      <w:r>
        <w:tab/>
      </w:r>
      <m:oMath>
        <m:r>
          <w:rPr>
            <w:rFonts w:ascii="Cambria Math" w:hAnsi="Cambria Math"/>
          </w:rPr>
          <m:t xml:space="preserve">Y</m:t>
        </m:r>
        <m:d>
          <m:dPr>
            <m:begChr m:val="("/>
            <m:endChr m:val=")"/>
          </m:dPr>
          <m:e>
            <m:r>
              <w:rPr>
                <w:rFonts w:ascii="Cambria Math" w:hAnsi="Cambria Math"/>
              </w:rPr>
              <m:t xml:space="preserve">t</m:t>
            </m:r>
          </m:e>
        </m:d>
        <m:r>
          <w:rPr>
            <w:rFonts w:ascii="Cambria Math" w:hAnsi="Cambria Math"/>
          </w:rPr>
          <m:t xml:space="preserve">=</m:t>
        </m:r>
        <m:sSup>
          <m:e>
            <m:sSub>
              <m:e>
                <m:r>
                  <w:rPr>
                    <w:rFonts w:ascii="Cambria Math" w:hAnsi="Cambria Math"/>
                  </w:rPr>
                  <m:t xml:space="preserve">A</m:t>
                </m:r>
                <m:d>
                  <m:dPr>
                    <m:begChr m:val="("/>
                    <m:endChr m:val=")"/>
                  </m:dPr>
                  <m:e>
                    <m:r>
                      <w:rPr>
                        <w:rFonts w:ascii="Cambria Math" w:hAnsi="Cambria Math"/>
                      </w:rPr>
                      <m:t xml:space="preserve">t</m:t>
                    </m:r>
                  </m:e>
                </m:d>
              </m:e>
              <m:sub>
                <m:r>
                  <w:rPr>
                    <w:rFonts w:ascii="Cambria Math" w:hAnsi="Cambria Math"/>
                  </w:rPr>
                  <m:t xml:space="preserve">e</m:t>
                </m:r>
              </m:sub>
            </m:sSub>
          </m:e>
          <m:sup>
            <m:r>
              <w:rPr>
                <w:rFonts w:ascii="Cambria Math" w:hAnsi="Cambria Math"/>
              </w:rPr>
              <m:t xml:space="preserve">σ</m:t>
            </m:r>
          </m:sup>
        </m:sSup>
        <m:r>
          <w:rPr>
            <w:rFonts w:ascii="Cambria Math" w:hAnsi="Cambria Math"/>
          </w:rPr>
          <m:t xml:space="preserve">·</m:t>
        </m:r>
        <m:sSup>
          <m:e>
            <m:r>
              <w:rPr>
                <w:rFonts w:ascii="Cambria Math" w:hAnsi="Cambria Math"/>
              </w:rPr>
              <m:t xml:space="preserve">K</m:t>
            </m:r>
            <m:d>
              <m:dPr>
                <m:begChr m:val="("/>
                <m:endChr m:val=")"/>
              </m:dPr>
              <m:e>
                <m:r>
                  <w:rPr>
                    <w:rFonts w:ascii="Cambria Math" w:hAnsi="Cambria Math"/>
                  </w:rPr>
                  <m:t xml:space="preserve">t</m:t>
                </m:r>
              </m:e>
            </m:d>
          </m:e>
          <m:sup>
            <m:r>
              <w:rPr>
                <w:rFonts w:ascii="Cambria Math" w:hAnsi="Cambria Math"/>
              </w:rPr>
              <m:t xml:space="preserve">α</m:t>
            </m:r>
          </m:sup>
        </m:sSup>
        <m:r>
          <w:rPr>
            <w:rFonts w:ascii="Cambria Math" w:hAnsi="Cambria Math"/>
          </w:rPr>
          <m:t xml:space="preserve">·</m:t>
        </m:r>
        <m:sSup>
          <m:e>
            <m:d>
              <m:dPr>
                <m:begChr m:val="("/>
                <m:endChr m:val=")"/>
              </m:dPr>
              <m:e>
                <m:r>
                  <w:rPr>
                    <w:rFonts w:ascii="Cambria Math" w:hAnsi="Cambria Math"/>
                  </w:rPr>
                  <m:t xml:space="preserve">h</m:t>
                </m:r>
                <m:d>
                  <m:dPr>
                    <m:begChr m:val="("/>
                    <m:endChr m:val=")"/>
                  </m:dPr>
                  <m:e>
                    <m:r>
                      <w:rPr>
                        <w:rFonts w:ascii="Cambria Math" w:hAnsi="Cambria Math"/>
                      </w:rPr>
                      <m:t xml:space="preserve">t</m:t>
                    </m:r>
                  </m:e>
                </m:d>
                <m:r>
                  <w:rPr>
                    <w:rFonts w:ascii="Cambria Math" w:hAnsi="Cambria Math"/>
                  </w:rPr>
                  <m:t xml:space="preserve">L</m:t>
                </m:r>
                <m:d>
                  <m:dPr>
                    <m:begChr m:val="("/>
                    <m:endChr m:val=")"/>
                  </m:dPr>
                  <m:e>
                    <m:r>
                      <w:rPr>
                        <w:rFonts w:ascii="Cambria Math" w:hAnsi="Cambria Math"/>
                      </w:rPr>
                      <m:t xml:space="preserve">t</m:t>
                    </m:r>
                  </m:e>
                </m:d>
              </m:e>
            </m:d>
          </m:e>
          <m:sup>
            <m:r>
              <w:rPr>
                <w:rFonts w:ascii="Cambria Math" w:hAnsi="Cambria Math"/>
              </w:rPr>
              <m:t xml:space="preserve">1−α</m:t>
            </m:r>
          </m:sup>
        </m:sSup>
      </m:oMath>
      <w:r>
        <w:tab/>
      </w:r>
      <w:r>
        <w:rPr>
          <w:rFonts w:ascii="Times New Roman" w:hAnsi="Times New Roman" w:eastAsia="宋体"/>
          <w:b w:val="0"/>
          <w:sz w:val="24"/>
        </w:rPr>
        <w:t>（1）</w:t>
      </w:r>
    </w:p>
    <w:p>
      <w:pPr>
        <w:spacing w:line="360" w:lineRule="auto" w:after="0"/>
        <w:ind w:firstLine="480"/>
        <w:jc w:val="both"/>
      </w:pPr>
      <w:r>
        <w:rPr>
          <w:rFonts w:ascii="Times New Roman" w:hAnsi="Times New Roman" w:eastAsia="宋体"/>
          <w:b w:val="0"/>
          <w:sz w:val="24"/>
        </w:rPr>
        <w:t>其中，</w:t>
      </w:r>
      <m:oMath>
        <m:r>
          <w:rPr>
            <w:rFonts w:ascii="Cambria Math" w:hAnsi="Cambria Math"/>
          </w:rPr>
          <m:t xml:space="preserve">Y</m:t>
        </m:r>
        <m:d>
          <m:dPr>
            <m:begChr m:val="("/>
            <m:endChr m:val=")"/>
          </m:dPr>
          <m:e>
            <m:r>
              <w:rPr>
                <w:rFonts w:ascii="Cambria Math" w:hAnsi="Cambria Math"/>
              </w:rPr>
              <m:t xml:space="preserve">t</m:t>
            </m:r>
          </m:e>
        </m:d>
      </m:oMath>
      <w:r>
        <w:rPr>
          <w:rFonts w:ascii="Times New Roman" w:hAnsi="Times New Roman" w:eastAsia="宋体"/>
          <w:b w:val="0"/>
          <w:sz w:val="24"/>
        </w:rPr>
        <w:t>为总产出，</w:t>
      </w:r>
      <m:oMath>
        <m:r>
          <w:rPr>
            <w:rFonts w:ascii="Cambria Math" w:hAnsi="Cambria Math"/>
          </w:rPr>
          <m:t xml:space="preserve">K</m:t>
        </m:r>
        <m:d>
          <m:dPr>
            <m:begChr m:val="("/>
            <m:endChr m:val=")"/>
          </m:dPr>
          <m:e>
            <m:r>
              <w:rPr>
                <w:rFonts w:ascii="Cambria Math" w:hAnsi="Cambria Math"/>
              </w:rPr>
              <m:t xml:space="preserve">t</m:t>
            </m:r>
          </m:e>
        </m:d>
      </m:oMath>
      <w:r>
        <w:rPr>
          <w:rFonts w:ascii="Times New Roman" w:hAnsi="Times New Roman" w:eastAsia="宋体"/>
          <w:b w:val="0"/>
          <w:sz w:val="24"/>
        </w:rPr>
        <w:t>为物质资本，</w:t>
      </w:r>
      <m:oMath>
        <m:r>
          <w:rPr>
            <w:rFonts w:ascii="Cambria Math" w:hAnsi="Cambria Math"/>
          </w:rPr>
          <m:t xml:space="preserve">L</m:t>
        </m:r>
        <m:d>
          <m:dPr>
            <m:begChr m:val="("/>
            <m:endChr m:val=")"/>
          </m:dPr>
          <m:e>
            <m:r>
              <w:rPr>
                <w:rFonts w:ascii="Cambria Math" w:hAnsi="Cambria Math"/>
              </w:rPr>
              <m:t xml:space="preserve">t</m:t>
            </m:r>
          </m:e>
        </m:d>
      </m:oMath>
      <w:r>
        <w:rPr>
          <w:rFonts w:ascii="Times New Roman" w:hAnsi="Times New Roman" w:eastAsia="宋体"/>
          <w:b w:val="0"/>
          <w:sz w:val="24"/>
        </w:rPr>
        <w:t>为就业总量，</w:t>
      </w:r>
      <m:oMath>
        <m:r>
          <w:rPr>
            <w:rFonts w:ascii="Cambria Math" w:hAnsi="Cambria Math"/>
          </w:rPr>
          <m:t xml:space="preserve">h</m:t>
        </m:r>
        <m:d>
          <m:dPr>
            <m:begChr m:val="("/>
            <m:endChr m:val=")"/>
          </m:dPr>
          <m:e>
            <m:r>
              <w:rPr>
                <w:rFonts w:ascii="Cambria Math" w:hAnsi="Cambria Math"/>
              </w:rPr>
              <m:t xml:space="preserve">t</m:t>
            </m:r>
          </m:e>
        </m:d>
      </m:oMath>
      <w:r>
        <w:rPr>
          <w:rFonts w:ascii="Times New Roman" w:hAnsi="Times New Roman" w:eastAsia="宋体"/>
          <w:b w:val="0"/>
          <w:sz w:val="24"/>
        </w:rPr>
        <w:t>为平均人力资本水平，</w:t>
      </w:r>
      <m:oMath>
        <m:sSub>
          <m:e>
            <m:r>
              <w:rPr>
                <w:rFonts w:ascii="Cambria Math" w:hAnsi="Cambria Math"/>
              </w:rPr>
              <m:t xml:space="preserve">A</m:t>
            </m:r>
            <m:d>
              <m:dPr>
                <m:begChr m:val="("/>
                <m:endChr m:val=")"/>
              </m:dPr>
              <m:e>
                <m:r>
                  <w:rPr>
                    <w:rFonts w:ascii="Cambria Math" w:hAnsi="Cambria Math"/>
                  </w:rPr>
                  <m:t xml:space="preserve">t</m:t>
                </m:r>
              </m:e>
            </m:d>
          </m:e>
          <m:sub>
            <m:r>
              <w:rPr>
                <w:rFonts w:ascii="Cambria Math" w:hAnsi="Cambria Math"/>
              </w:rPr>
              <m:t xml:space="preserve">e</m:t>
            </m:r>
          </m:sub>
        </m:sSub>
      </m:oMath>
      <w:r>
        <w:rPr>
          <w:rFonts w:ascii="Times New Roman" w:hAnsi="Times New Roman" w:eastAsia="宋体"/>
          <w:b w:val="0"/>
          <w:sz w:val="24"/>
        </w:rPr>
        <w:t>为进入现实生产过程的有效技术存量，</w:t>
      </w:r>
      <m:oMath>
        <m:r>
          <w:rPr>
            <w:rFonts w:ascii="Cambria Math" w:hAnsi="Cambria Math"/>
          </w:rPr>
          <m:t xml:space="preserve">σ</m:t>
        </m:r>
      </m:oMath>
      <w:r>
        <w:rPr>
          <w:rFonts w:ascii="Times New Roman" w:hAnsi="Times New Roman" w:eastAsia="宋体"/>
          <w:b w:val="0"/>
          <w:sz w:val="24"/>
        </w:rPr>
        <w:t>&gt;0度量技术对产出的弹性，</w:t>
      </w:r>
      <m:oMath>
        <m:r>
          <w:rPr>
            <w:rFonts w:ascii="Cambria Math" w:hAnsi="Cambria Math"/>
          </w:rPr>
          <m:t xml:space="preserve">α</m:t>
        </m:r>
      </m:oMath>
      <w:r>
        <w:rPr>
          <w:rFonts w:ascii="Times New Roman" w:hAnsi="Times New Roman" w:eastAsia="宋体"/>
          <w:b w:val="0"/>
          <w:sz w:val="24"/>
        </w:rPr>
        <w:t>∈</w:t>
      </w:r>
      <m:oMath>
        <m:d>
          <m:dPr>
            <m:begChr m:val="("/>
            <m:endChr m:val=")"/>
          </m:dPr>
          <m:e>
            <m:r>
              <w:rPr>
                <w:rFonts w:ascii="Cambria Math" w:hAnsi="Cambria Math"/>
              </w:rPr>
              <m:t xml:space="preserve">0,1</m:t>
            </m:r>
          </m:e>
        </m:d>
      </m:oMath>
      <w:r>
        <w:rPr>
          <w:rFonts w:ascii="Times New Roman" w:hAnsi="Times New Roman" w:eastAsia="宋体"/>
          <w:b w:val="0"/>
          <w:sz w:val="24"/>
        </w:rPr>
        <w:t>为资本产出弹性。式(1)的关键设定在于区分“知识存量”与“有效技术”：知识存量</w:t>
      </w:r>
      <m:oMath>
        <m:r>
          <w:rPr>
            <w:rFonts w:ascii="Cambria Math" w:hAnsi="Cambria Math"/>
          </w:rPr>
          <m:t xml:space="preserve">A</m:t>
        </m:r>
        <m:d>
          <m:dPr>
            <m:begChr m:val="("/>
            <m:endChr m:val=")"/>
          </m:dPr>
          <m:e>
            <m:r>
              <w:rPr>
                <w:rFonts w:ascii="Cambria Math" w:hAnsi="Cambria Math"/>
              </w:rPr>
              <m:t xml:space="preserve">t</m:t>
            </m:r>
          </m:e>
        </m:d>
      </m:oMath>
      <w:r>
        <w:rPr>
          <w:rFonts w:ascii="Times New Roman" w:hAnsi="Times New Roman" w:eastAsia="宋体"/>
          <w:b w:val="0"/>
          <w:sz w:val="24"/>
        </w:rPr>
        <w:t>是创新部门积蓄的全部创新势能，但只有跨越成果转化关的部分才能落入生产函数，故定义</w:t>
      </w:r>
    </w:p>
    <w:p>
      <w:pPr>
        <w:tabs>
          <w:tab w:pos="4156" w:val="center"/>
          <w:tab w:pos="8311" w:val="right"/>
        </w:tabs>
        <w:spacing w:before="80" w:after="80" w:line="360" w:lineRule="auto"/>
        <w:jc w:val="left"/>
      </w:pPr>
      <w:r>
        <w:tab/>
      </w:r>
      <m:oMath>
        <m:sSub>
          <m:e>
            <m:r>
              <w:rPr>
                <w:rFonts w:ascii="Cambria Math" w:hAnsi="Cambria Math"/>
              </w:rPr>
              <m:t xml:space="preserve">A</m:t>
            </m:r>
            <m:d>
              <m:dPr>
                <m:begChr m:val="("/>
                <m:endChr m:val=")"/>
              </m:dPr>
              <m:e>
                <m:r>
                  <w:rPr>
                    <w:rFonts w:ascii="Cambria Math" w:hAnsi="Cambria Math"/>
                  </w:rPr>
                  <m:t xml:space="preserve">t</m:t>
                </m:r>
              </m:e>
            </m:d>
          </m:e>
          <m:sub>
            <m:r>
              <w:rPr>
                <w:rFonts w:ascii="Cambria Math" w:hAnsi="Cambria Math"/>
              </w:rPr>
              <m:t xml:space="preserve">e</m:t>
            </m:r>
          </m:sub>
        </m:sSub>
        <m:r>
          <w:rPr>
            <w:rFonts w:ascii="Cambria Math" w:hAnsi="Cambria Math"/>
          </w:rPr>
          <m:t xml:space="preserve">=</m:t>
        </m:r>
        <m:sSub>
          <m:e>
            <m:r>
              <w:rPr>
                <w:rFonts w:ascii="Cambria Math" w:hAnsi="Cambria Math"/>
              </w:rPr>
              <m:t xml:space="preserve">θ</m:t>
            </m:r>
          </m:e>
          <m:sub>
            <m:r>
              <w:rPr>
                <w:rFonts w:ascii="Cambria Math" w:hAnsi="Cambria Math"/>
              </w:rPr>
              <m:t xml:space="preserve">1</m:t>
            </m:r>
          </m:sub>
        </m:sSub>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t</m:t>
            </m:r>
          </m:e>
        </m:d>
      </m:oMath>
      <w:r>
        <w:rPr>
          <w:rFonts w:ascii="Times New Roman" w:hAnsi="Times New Roman" w:eastAsia="宋体"/>
          <w:b w:val="0"/>
          <w:sz w:val="24"/>
        </w:rPr>
        <w:t>，</w:t>
      </w:r>
      <m:oMath>
        <m:sSub>
          <m:e>
            <m:r>
              <w:rPr>
                <w:rFonts w:ascii="Cambria Math" w:hAnsi="Cambria Math"/>
              </w:rPr>
              <m:t xml:space="preserve">θ</m:t>
            </m:r>
          </m:e>
          <m:sub>
            <m:r>
              <w:rPr>
                <w:rFonts w:ascii="Cambria Math" w:hAnsi="Cambria Math"/>
              </w:rPr>
              <m:t xml:space="preserve">1</m:t>
            </m:r>
          </m:sub>
        </m:sSub>
        <m:r>
          <w:rPr>
            <w:rFonts w:ascii="Cambria Math" w:hAnsi="Cambria Math"/>
          </w:rPr>
          <m:t xml:space="preserve">∈</m:t>
        </m:r>
        <m:d>
          <m:dPr>
            <m:begChr m:val="("/>
            <m:endChr m:val="]"/>
          </m:dPr>
          <m:e>
            <m:r>
              <w:rPr>
                <w:rFonts w:ascii="Cambria Math" w:hAnsi="Cambria Math"/>
              </w:rPr>
              <m:t xml:space="preserve">0,1</m:t>
            </m:r>
          </m:e>
        </m:d>
      </m:oMath>
      <w:r>
        <w:tab/>
      </w:r>
      <w:r>
        <w:rPr>
          <w:rFonts w:ascii="Times New Roman" w:hAnsi="Times New Roman" w:eastAsia="宋体"/>
          <w:b w:val="0"/>
          <w:sz w:val="24"/>
        </w:rPr>
        <w:t>（2）</w:t>
      </w:r>
    </w:p>
    <w:p>
      <w:pPr>
        <w:spacing w:line="360" w:lineRule="auto" w:after="0"/>
        <w:ind w:firstLine="480"/>
        <w:jc w:val="both"/>
      </w:pP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即成果转化关（关口Ⅰ）的转化效率参数：</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越接近1，表明中试熟化、风险资本、应用场景等转化条件越完备，创新势能滞留于“孤岛”的比例越低。知识存量的积累由研发投入驱动：</w:t>
      </w:r>
    </w:p>
    <w:p>
      <w:pPr>
        <w:tabs>
          <w:tab w:pos="4156" w:val="center"/>
          <w:tab w:pos="8311" w:val="right"/>
        </w:tabs>
        <w:spacing w:before="80" w:after="80" w:line="360" w:lineRule="auto"/>
        <w:jc w:val="left"/>
      </w:pPr>
      <w:r>
        <w:tab/>
      </w:r>
      <m:oMath>
        <m:f>
          <m:num>
            <m:r>
              <w:rPr>
                <w:rFonts w:ascii="Cambria Math" w:hAnsi="Cambria Math"/>
              </w:rPr>
              <m:t xml:space="preserve">d</m:t>
            </m:r>
            <m:r>
              <w:rPr>
                <w:rFonts w:ascii="Cambria Math" w:hAnsi="Cambria Math"/>
              </w:rPr>
              <m:t xml:space="preserve">A</m:t>
            </m:r>
            <m:d>
              <m:dPr>
                <m:begChr m:val="("/>
                <m:endChr m:val=")"/>
              </m:dPr>
              <m:e>
                <m:r>
                  <w:rPr>
                    <w:rFonts w:ascii="Cambria Math" w:hAnsi="Cambria Math"/>
                  </w:rPr>
                  <m:t xml:space="preserve">t</m:t>
                </m:r>
              </m:e>
            </m:d>
          </m:num>
          <m:den>
            <m:r>
              <w:rPr>
                <w:rFonts w:ascii="Cambria Math" w:hAnsi="Cambria Math"/>
              </w:rPr>
              <m:t xml:space="preserve">d</m:t>
            </m:r>
            <m:r>
              <w:rPr>
                <w:rFonts w:ascii="Cambria Math" w:hAnsi="Cambria Math"/>
              </w:rPr>
              <m:t xml:space="preserve">t</m:t>
            </m:r>
          </m:den>
        </m:f>
        <m:r>
          <w:rPr>
            <w:rFonts w:ascii="Cambria Math" w:hAnsi="Cambria Math"/>
          </w:rPr>
          <m:t xml:space="preserve">=</m:t>
        </m:r>
        <m:r>
          <w:rPr>
            <w:rFonts w:ascii="Cambria Math" w:hAnsi="Cambria Math"/>
          </w:rPr>
          <m:t xml:space="preserve">δ</m:t>
        </m:r>
        <m:r>
          <w:rPr>
            <w:rFonts w:ascii="Cambria Math" w:hAnsi="Cambria Math"/>
          </w:rPr>
          <m:t xml:space="preserve">·</m:t>
        </m:r>
        <m:sSub>
          <m:e>
            <m:r>
              <w:rPr>
                <w:rFonts w:ascii="Cambria Math" w:hAnsi="Cambria Math"/>
              </w:rPr>
              <m:t xml:space="preserve">s</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θ</m:t>
            </m:r>
          </m:e>
          <m:sub>
            <m:r>
              <w:rPr>
                <w:rFonts w:ascii="Cambria Math" w:hAnsi="Cambria Math"/>
              </w:rPr>
              <m:t xml:space="preserve">0</m:t>
            </m:r>
          </m:sub>
        </m:sSub>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t</m:t>
            </m:r>
          </m:e>
        </m:d>
      </m:oMath>
      <w:r>
        <w:tab/>
      </w:r>
      <w:r>
        <w:rPr>
          <w:rFonts w:ascii="Times New Roman" w:hAnsi="Times New Roman" w:eastAsia="宋体"/>
          <w:b w:val="0"/>
          <w:sz w:val="24"/>
        </w:rPr>
        <w:t>（3）</w:t>
      </w:r>
    </w:p>
    <w:p>
      <w:pPr>
        <w:spacing w:line="360" w:lineRule="auto" w:after="0"/>
        <w:ind w:firstLine="480"/>
        <w:jc w:val="both"/>
      </w:pPr>
      <w:r>
        <w:rPr>
          <w:rFonts w:ascii="Times New Roman" w:hAnsi="Times New Roman" w:eastAsia="宋体"/>
          <w:b w:val="0"/>
          <w:sz w:val="24"/>
        </w:rPr>
        <w:t>其中</w:t>
      </w:r>
      <m:oMath>
        <m:sSub>
          <m:e>
            <m:r>
              <w:rPr>
                <w:rFonts w:ascii="Cambria Math" w:hAnsi="Cambria Math"/>
              </w:rPr>
              <m:t xml:space="preserve">s</m:t>
            </m:r>
          </m:e>
          <m:sub>
            <m:r>
              <w:rPr>
                <w:rFonts w:ascii="Cambria Math" w:hAnsi="Cambria Math"/>
              </w:rPr>
              <m:t xml:space="preserve">R</m:t>
            </m:r>
          </m:sub>
        </m:sSub>
      </m:oMath>
      <w:r>
        <w:rPr>
          <w:rFonts w:ascii="Times New Roman" w:hAnsi="Times New Roman" w:eastAsia="宋体"/>
          <w:b w:val="0"/>
          <w:sz w:val="24"/>
        </w:rPr>
        <w:t>为全社会研发投入率（对应R&amp;D经费投入强度），</w:t>
      </w:r>
      <m:oMath>
        <m:r>
          <w:rPr>
            <w:rFonts w:ascii="Cambria Math" w:hAnsi="Cambria Math"/>
          </w:rPr>
          <m:t xml:space="preserve">δ</m:t>
        </m:r>
      </m:oMath>
      <w:r>
        <w:rPr>
          <w:rFonts w:ascii="Times New Roman" w:hAnsi="Times New Roman" w:eastAsia="宋体"/>
          <w:b w:val="0"/>
          <w:sz w:val="24"/>
        </w:rPr>
        <w:t>为知识生产率参数，</w:t>
      </w:r>
      <m:oMath>
        <m:sSub>
          <m:e>
            <m:r>
              <w:rPr>
                <w:rFonts w:ascii="Cambria Math" w:hAnsi="Cambria Math"/>
              </w:rPr>
              <m:t xml:space="preserve">θ</m:t>
            </m:r>
          </m:e>
          <m:sub>
            <m:r>
              <w:rPr>
                <w:rFonts w:ascii="Cambria Math" w:hAnsi="Cambria Math"/>
              </w:rPr>
              <m:t xml:space="preserve">0</m:t>
            </m:r>
          </m:sub>
        </m:sSub>
      </m:oMath>
      <w:r>
        <w:rPr>
          <w:rFonts w:ascii="Times New Roman" w:hAnsi="Times New Roman" w:eastAsia="宋体"/>
          <w:b w:val="0"/>
          <w:sz w:val="24"/>
        </w:rPr>
        <w:t>∈(0,1]为基础研究组织效率。式(3)采用知识生产对既有存量线性的罗默式设定[152]，意味着知识增速</w:t>
      </w:r>
      <m:oMath>
        <m:sSub>
          <m:e>
            <m:r>
              <w:rPr>
                <w:rFonts w:ascii="Cambria Math" w:hAnsi="Cambria Math"/>
              </w:rPr>
              <m:t xml:space="preserve">g</m:t>
            </m:r>
          </m:e>
          <m:sub>
            <m:r>
              <w:rPr>
                <w:rFonts w:ascii="Cambria Math" w:hAnsi="Cambria Math"/>
              </w:rPr>
              <m:t xml:space="preserve">A</m:t>
            </m:r>
          </m:sub>
        </m:sSub>
      </m:oMath>
      <w:r>
        <w:rPr>
          <w:rFonts w:ascii="Times New Roman" w:hAnsi="Times New Roman" w:eastAsia="宋体"/>
          <w:b w:val="0"/>
          <w:sz w:val="24"/>
        </w:rPr>
        <w:t>＝</w:t>
      </w:r>
      <m:oMath>
        <m:r>
          <w:rPr>
            <w:rFonts w:ascii="Cambria Math" w:hAnsi="Cambria Math"/>
          </w:rPr>
          <m:t xml:space="preserve">δ</m:t>
        </m:r>
      </m:oMath>
      <w:r>
        <w:rPr>
          <w:rFonts w:ascii="Times New Roman" w:hAnsi="Times New Roman" w:eastAsia="宋体"/>
          <w:b w:val="0"/>
          <w:sz w:val="24"/>
        </w:rPr>
        <w:t>·</w:t>
      </w:r>
      <m:oMath>
        <m:sSub>
          <m:e>
            <m:r>
              <w:rPr>
                <w:rFonts w:ascii="Cambria Math" w:hAnsi="Cambria Math"/>
              </w:rPr>
              <m:t xml:space="preserve">s</m:t>
            </m:r>
          </m:e>
          <m:sub>
            <m:r>
              <w:rPr>
                <w:rFonts w:ascii="Cambria Math" w:hAnsi="Cambria Math"/>
              </w:rPr>
              <m:t xml:space="preserve">R</m:t>
            </m:r>
          </m:sub>
        </m:sSub>
      </m:oMath>
      <w:r>
        <w:rPr>
          <w:rFonts w:ascii="Times New Roman" w:hAnsi="Times New Roman" w:eastAsia="宋体"/>
          <w:b w:val="0"/>
          <w:sz w:val="24"/>
        </w:rPr>
        <w:t>·</w:t>
      </w:r>
      <m:oMath>
        <m:sSub>
          <m:e>
            <m:r>
              <w:rPr>
                <w:rFonts w:ascii="Cambria Math" w:hAnsi="Cambria Math"/>
              </w:rPr>
              <m:t xml:space="preserve">θ</m:t>
            </m:r>
          </m:e>
          <m:sub>
            <m:r>
              <w:rPr>
                <w:rFonts w:ascii="Cambria Math" w:hAnsi="Cambria Math"/>
              </w:rPr>
              <m:t xml:space="preserve">0</m:t>
            </m:r>
          </m:sub>
        </m:sSub>
      </m:oMath>
      <w:r>
        <w:rPr>
          <w:rFonts w:ascii="Times New Roman" w:hAnsi="Times New Roman" w:eastAsia="宋体"/>
          <w:b w:val="0"/>
          <w:sz w:val="24"/>
        </w:rPr>
        <w:t>由投入率与组织效率内生决定；教育科技人才一体化改革所改进的正是</w:t>
      </w:r>
      <m:oMath>
        <m:r>
          <w:rPr>
            <w:rFonts w:ascii="Cambria Math" w:hAnsi="Cambria Math"/>
          </w:rPr>
          <m:t xml:space="preserve">δ</m:t>
        </m:r>
      </m:oMath>
      <w:r>
        <w:rPr>
          <w:rFonts w:ascii="Times New Roman" w:hAnsi="Times New Roman" w:eastAsia="宋体"/>
          <w:b w:val="0"/>
          <w:sz w:val="24"/>
        </w:rPr>
        <w:t>与</w:t>
      </w:r>
      <m:oMath>
        <m:sSub>
          <m:e>
            <m:r>
              <w:rPr>
                <w:rFonts w:ascii="Cambria Math" w:hAnsi="Cambria Math"/>
              </w:rPr>
              <m:t xml:space="preserve">θ</m:t>
            </m:r>
          </m:e>
          <m:sub>
            <m:r>
              <w:rPr>
                <w:rFonts w:ascii="Cambria Math" w:hAnsi="Cambria Math"/>
              </w:rPr>
              <m:t xml:space="preserve">0</m:t>
            </m:r>
          </m:sub>
        </m:sSub>
      </m:oMath>
      <w:r>
        <w:rPr>
          <w:rFonts w:ascii="Times New Roman" w:hAnsi="Times New Roman" w:eastAsia="宋体"/>
          <w:b w:val="0"/>
          <w:sz w:val="24"/>
        </w:rPr>
        <w:t>，研发投入强度的提升所改进的是</w:t>
      </w:r>
      <m:oMath>
        <m:sSub>
          <m:e>
            <m:r>
              <w:rPr>
                <w:rFonts w:ascii="Cambria Math" w:hAnsi="Cambria Math"/>
              </w:rPr>
              <m:t xml:space="preserve">s</m:t>
            </m:r>
          </m:e>
          <m:sub>
            <m:r>
              <w:rPr>
                <w:rFonts w:ascii="Cambria Math" w:hAnsi="Cambria Math"/>
              </w:rPr>
              <m:t xml:space="preserve">R</m:t>
            </m:r>
          </m:sub>
        </m:sSub>
      </m:oMath>
      <w:r>
        <w:rPr>
          <w:rFonts w:ascii="Times New Roman" w:hAnsi="Times New Roman" w:eastAsia="宋体"/>
          <w:b w:val="0"/>
          <w:sz w:val="24"/>
        </w:rPr>
        <w:t>。</w:t>
      </w:r>
    </w:p>
    <w:p>
      <w:pPr>
        <w:spacing w:line="360" w:lineRule="auto" w:after="0"/>
        <w:ind w:firstLine="480"/>
        <w:jc w:val="both"/>
      </w:pPr>
      <w:r>
        <w:rPr>
          <w:rFonts w:ascii="Times New Roman" w:hAnsi="Times New Roman" w:eastAsia="宋体"/>
          <w:b w:val="0"/>
          <w:sz w:val="24"/>
        </w:rPr>
        <w:t>区分“知识存量”与“有效技术”，是本模型对内生增长框架最关键的改造。标准罗默模型中新知识一经生产便自动进入生产过程，不存在制度摩擦；而现实中专利沉睡、成果难以跨越中试与产业化之间“死亡之谷”的现象普遍存在，创新链与产业链的断点正是转化关失灵的表现。式(2)把这一断点显性化：</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不是技术参数而是制度参数，涵盖中试熟化平台的完备度、风险资本对早期项目的覆盖度、应用场景的开放度与技术市场的交易效率。由此，“推动科技创新和产业创新深度融合”获得了严格的模型语义——深度融合就是</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向1逼近的过程。</w:t>
      </w:r>
    </w:p>
    <w:p>
      <w:pPr>
        <w:spacing w:line="360" w:lineRule="auto" w:after="0"/>
        <w:ind w:firstLine="480"/>
        <w:jc w:val="both"/>
      </w:pPr>
      <w:r>
        <w:rPr>
          <w:rFonts w:ascii="Times New Roman" w:hAnsi="Times New Roman" w:eastAsia="宋体"/>
          <w:b w:val="0"/>
          <w:sz w:val="24"/>
        </w:rPr>
        <w:t>式(3)的线性设定亦需作方法论说明。该式假定新知识产出与既有存量成正比，知识增速完全内生，属罗默式强内生设定；“半内生增长”争论则认为知识生产对存量的弹性可能小于1，研发投入率的持久提高只带来水平效应，长期增速最终受人口增长等外生因素牵引。本报告不必介入这一争论：本章核心结论在两类设定下方向一致，差别仅在于研发投入提升表现为增速的永久抬升还是漫长的水平跃迁，在省域尺度与规划期时长内两者几乎无法区分；线性设定只为表达简洁，不影响命题的稳健性。</w:t>
      </w:r>
    </w:p>
    <w:p>
      <w:pPr>
        <w:spacing w:line="360" w:lineRule="auto" w:after="0"/>
        <w:ind w:firstLine="480"/>
        <w:jc w:val="both"/>
      </w:pPr>
      <w:r>
        <w:rPr>
          <w:rFonts w:ascii="Times New Roman" w:hAnsi="Times New Roman" w:eastAsia="宋体"/>
          <w:b w:val="0"/>
          <w:sz w:val="24"/>
        </w:rPr>
        <w:t>模型参数在浙江语境中均有明确的经验对应。</w:t>
      </w:r>
      <m:oMath>
        <m:sSub>
          <m:e>
            <m:r>
              <w:rPr>
                <w:rFonts w:ascii="Cambria Math" w:hAnsi="Cambria Math"/>
              </w:rPr>
              <m:t xml:space="preserve">s</m:t>
            </m:r>
          </m:e>
          <m:sub>
            <m:r>
              <w:rPr>
                <w:rFonts w:ascii="Cambria Math" w:hAnsi="Cambria Math"/>
              </w:rPr>
              <m:t xml:space="preserve">R</m:t>
            </m:r>
          </m:sub>
        </m:sSub>
      </m:oMath>
      <w:r>
        <w:rPr>
          <w:rFonts w:ascii="Times New Roman" w:hAnsi="Times New Roman" w:eastAsia="宋体"/>
          <w:b w:val="0"/>
          <w:sz w:val="24"/>
        </w:rPr>
        <w:t>对应全社会研发经费投入强度，浙江该指标已由2015年的2.33%提高至2024年的3.22%，省委“十五五”建议进一步锚定2030年3.5%以上的目标；</w:t>
      </w:r>
      <m:oMath>
        <m:r>
          <w:rPr>
            <w:rFonts w:ascii="Cambria Math" w:hAnsi="Cambria Math"/>
          </w:rPr>
          <m:t xml:space="preserve">δ</m:t>
        </m:r>
      </m:oMath>
      <w:r>
        <w:rPr>
          <w:rFonts w:ascii="Times New Roman" w:hAnsi="Times New Roman" w:eastAsia="宋体"/>
          <w:b w:val="0"/>
          <w:sz w:val="24"/>
        </w:rPr>
        <w:t>与</w:t>
      </w:r>
      <m:oMath>
        <m:sSub>
          <m:e>
            <m:r>
              <w:rPr>
                <w:rFonts w:ascii="Cambria Math" w:hAnsi="Cambria Math"/>
              </w:rPr>
              <m:t xml:space="preserve">θ</m:t>
            </m:r>
          </m:e>
          <m:sub>
            <m:r>
              <w:rPr>
                <w:rFonts w:ascii="Cambria Math" w:hAnsi="Cambria Math"/>
              </w:rPr>
              <m:t xml:space="preserve">0</m:t>
            </m:r>
          </m:sub>
        </m:sSub>
      </m:oMath>
      <w:r>
        <w:rPr>
          <w:rFonts w:ascii="Times New Roman" w:hAnsi="Times New Roman" w:eastAsia="宋体"/>
          <w:b w:val="0"/>
          <w:sz w:val="24"/>
        </w:rPr>
        <w:t>对应知识生产的组织方式，教育科技人才一体改革发展与省实验室体系布局改进的正是这两个参数</w:t>
      </w:r>
      <w:r>
        <w:rPr>
          <w:rFonts w:ascii="Times New Roman" w:hAnsi="Times New Roman" w:eastAsia="宋体"/>
          <w:b w:val="0"/>
          <w:sz w:val="24"/>
          <w:vertAlign w:val="superscript"/>
        </w:rPr>
        <w:t>[78]</w:t>
      </w:r>
      <w:r>
        <w:rPr>
          <w:rFonts w:ascii="Times New Roman" w:hAnsi="Times New Roman" w:eastAsia="宋体"/>
          <w:b w:val="0"/>
          <w:sz w:val="24"/>
        </w:rPr>
        <w:t>。把劳动力区分为城镇与农村两类，则为技能溢价与城乡差距动态预留了接口，使城乡收入倍差成为模型的内生变量。</w:t>
      </w:r>
    </w:p>
    <w:p>
      <w:pPr>
        <w:spacing w:line="360" w:lineRule="auto" w:after="80"/>
        <w:jc w:val="left"/>
      </w:pPr>
      <w:r>
        <w:rPr>
          <w:rFonts w:ascii="Times New Roman" w:hAnsi="Times New Roman" w:eastAsia="黑体"/>
          <w:b/>
          <w:sz w:val="28"/>
        </w:rPr>
        <w:t>（二）三大转化关口的参数化与增长—分配后果</w:t>
      </w:r>
    </w:p>
    <w:p>
      <w:pPr>
        <w:spacing w:line="360" w:lineRule="auto" w:after="0"/>
        <w:ind w:firstLine="480"/>
        <w:jc w:val="both"/>
      </w:pPr>
      <w:r>
        <w:rPr>
          <w:rFonts w:ascii="Times New Roman" w:hAnsi="Times New Roman" w:eastAsia="宋体"/>
          <w:b w:val="0"/>
          <w:sz w:val="24"/>
        </w:rPr>
        <w:t>1．成果转化关（关口Ⅰ）与增长。将式(2)(3)代入式(1)，沿平衡增长路径（资本产出比不变、就业增速为</w:t>
      </w:r>
      <m:oMath>
        <m:r>
          <w:rPr>
            <w:rFonts w:ascii="Cambria Math" w:hAnsi="Cambria Math"/>
          </w:rPr>
          <m:t xml:space="preserve">n</m:t>
        </m:r>
      </m:oMath>
      <w:r>
        <w:rPr>
          <w:rFonts w:ascii="Times New Roman" w:hAnsi="Times New Roman" w:eastAsia="宋体"/>
          <w:b w:val="0"/>
          <w:sz w:val="24"/>
        </w:rPr>
        <w:t>、人力资本增速为</w:t>
      </w:r>
      <m:oMath>
        <m:sSub>
          <m:e>
            <m:r>
              <w:rPr>
                <w:rFonts w:ascii="Cambria Math" w:hAnsi="Cambria Math"/>
              </w:rPr>
              <m:t xml:space="preserve">γ</m:t>
            </m:r>
          </m:e>
          <m:sub>
            <m:r>
              <w:rPr>
                <w:rFonts w:ascii="Cambria Math" w:hAnsi="Cambria Math"/>
              </w:rPr>
              <m:t xml:space="preserve">h</m:t>
            </m:r>
          </m:sub>
        </m:sSub>
      </m:oMath>
      <w:r>
        <w:rPr>
          <w:rFonts w:ascii="Times New Roman" w:hAnsi="Times New Roman" w:eastAsia="宋体"/>
          <w:b w:val="0"/>
          <w:sz w:val="24"/>
        </w:rPr>
        <w:t>），可得人均产出稳态增速：</w:t>
      </w:r>
    </w:p>
    <w:p>
      <w:pPr>
        <w:tabs>
          <w:tab w:pos="4156" w:val="center"/>
          <w:tab w:pos="8311" w:val="right"/>
        </w:tabs>
        <w:spacing w:before="80" w:after="80" w:line="360" w:lineRule="auto"/>
        <w:jc w:val="left"/>
      </w:pPr>
      <w:r>
        <w:tab/>
      </w:r>
      <m:oMath>
        <m:sSup>
          <m:e>
            <m:r>
              <w:rPr>
                <w:rFonts w:ascii="Cambria Math" w:hAnsi="Cambria Math"/>
              </w:rPr>
              <m:t xml:space="preserve">g</m:t>
            </m:r>
          </m:e>
          <m:sup>
            <m:r>
              <w:rPr>
                <w:rFonts w:ascii="Cambria Math" w:hAnsi="Cambria Math"/>
              </w:rPr>
              <m:t xml:space="preserve">*</m:t>
            </m:r>
          </m:sup>
        </m:sSup>
        <m:r>
          <w:rPr>
            <w:rFonts w:ascii="Cambria Math" w:hAnsi="Cambria Math"/>
          </w:rPr>
          <m:t xml:space="preserve">=</m:t>
        </m:r>
        <m:f>
          <m:num>
            <m:r>
              <w:rPr>
                <w:rFonts w:ascii="Cambria Math" w:hAnsi="Cambria Math"/>
              </w:rPr>
              <m:t xml:space="preserve">σ</m:t>
            </m:r>
          </m:num>
          <m:den>
            <m:r>
              <w:rPr>
                <w:rFonts w:ascii="Cambria Math" w:hAnsi="Cambria Math"/>
              </w:rPr>
              <m:t xml:space="preserve">1−α</m:t>
            </m:r>
          </m:den>
        </m:f>
        <m:r>
          <w:rPr>
            <w:rFonts w:ascii="Cambria Math" w:hAnsi="Cambria Math"/>
          </w:rPr>
          <m:t xml:space="preserve">·</m:t>
        </m:r>
        <m:r>
          <w:rPr>
            <w:rFonts w:ascii="Cambria Math" w:hAnsi="Cambria Math"/>
          </w:rPr>
          <m:t xml:space="preserve">δ</m:t>
        </m:r>
        <m:r>
          <w:rPr>
            <w:rFonts w:ascii="Cambria Math" w:hAnsi="Cambria Math"/>
          </w:rPr>
          <m:t xml:space="preserve">·</m:t>
        </m:r>
        <m:sSub>
          <m:e>
            <m:r>
              <w:rPr>
                <w:rFonts w:ascii="Cambria Math" w:hAnsi="Cambria Math"/>
              </w:rPr>
              <m:t xml:space="preserve">s</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θ</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γ</m:t>
            </m:r>
          </m:e>
          <m:sub>
            <m:r>
              <w:rPr>
                <w:rFonts w:ascii="Cambria Math" w:hAnsi="Cambria Math"/>
              </w:rPr>
              <m:t xml:space="preserve">h</m:t>
            </m:r>
          </m:sub>
        </m:sSub>
      </m:oMath>
      <w:r>
        <w:tab/>
      </w:r>
      <w:r>
        <w:rPr>
          <w:rFonts w:ascii="Times New Roman" w:hAnsi="Times New Roman" w:eastAsia="宋体"/>
          <w:b w:val="0"/>
          <w:sz w:val="24"/>
        </w:rPr>
        <w:t>（4）</w:t>
      </w:r>
    </w:p>
    <w:p>
      <w:pPr>
        <w:spacing w:line="360" w:lineRule="auto" w:after="0"/>
        <w:ind w:firstLine="480"/>
        <w:jc w:val="both"/>
      </w:pPr>
      <w:r>
        <w:rPr>
          <w:rFonts w:ascii="Times New Roman" w:hAnsi="Times New Roman" w:eastAsia="宋体"/>
          <w:b w:val="0"/>
          <w:sz w:val="24"/>
        </w:rPr>
        <w:t>同时，</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以水平效应进入产出：</w:t>
      </w:r>
      <m:oMath>
        <m:f>
          <m:num>
            <m:r>
              <w:rPr>
                <w:rFonts w:ascii="Cambria Math" w:hAnsi="Cambria Math"/>
              </w:rPr>
              <m:t xml:space="preserve">∂</m:t>
            </m:r>
            <m:r>
              <m:rPr>
                <m:sty m:val="p"/>
              </m:rPr>
              <w:rPr>
                <w:rFonts w:ascii="Cambria Math" w:hAnsi="Cambria Math"/>
              </w:rPr>
              <m:t xml:space="preserve">ln</m:t>
            </m:r>
            <m:r>
              <w:rPr>
                <w:rFonts w:ascii="Cambria Math" w:hAnsi="Cambria Math"/>
              </w:rPr>
              <m:t xml:space="preserve">Y</m:t>
            </m:r>
          </m:num>
          <m:den>
            <m:r>
              <w:rPr>
                <w:rFonts w:ascii="Cambria Math" w:hAnsi="Cambria Math"/>
              </w:rPr>
              <m:t xml:space="preserve">∂</m:t>
            </m:r>
            <m:r>
              <m:rPr>
                <m:sty m:val="p"/>
              </m:rPr>
              <w:rPr>
                <w:rFonts w:ascii="Cambria Math" w:hAnsi="Cambria Math"/>
              </w:rPr>
              <m:t xml:space="preserve">ln</m:t>
            </m:r>
            <m:sSub>
              <m:e>
                <m:r>
                  <w:rPr>
                    <w:rFonts w:ascii="Cambria Math" w:hAnsi="Cambria Math"/>
                  </w:rPr>
                  <m:t xml:space="preserve">θ</m:t>
                </m:r>
              </m:e>
              <m:sub>
                <m:r>
                  <w:rPr>
                    <w:rFonts w:ascii="Cambria Math" w:hAnsi="Cambria Math"/>
                  </w:rPr>
                  <m:t xml:space="preserve">1</m:t>
                </m:r>
              </m:sub>
            </m:sSub>
          </m:den>
        </m:f>
      </m:oMath>
      <w:r>
        <w:rPr>
          <w:rFonts w:ascii="Times New Roman" w:hAnsi="Times New Roman" w:eastAsia="宋体"/>
          <w:b w:val="0"/>
          <w:sz w:val="24"/>
        </w:rPr>
        <w:t>＝</w:t>
      </w:r>
      <m:oMath>
        <m:r>
          <w:rPr>
            <w:rFonts w:ascii="Cambria Math" w:hAnsi="Cambria Math"/>
          </w:rPr>
          <m:t xml:space="preserve">σ</m:t>
        </m:r>
      </m:oMath>
      <w:r>
        <w:rPr>
          <w:rFonts w:ascii="Times New Roman" w:hAnsi="Times New Roman" w:eastAsia="宋体"/>
          <w:b w:val="0"/>
          <w:sz w:val="24"/>
        </w:rPr>
        <w:t>&gt;0。由此得到两点含义：其一，长期增速由研发投入率、知识生产组织效率与人力资本增速共同决定；其二，成果转化效率</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的提升虽不改变稳态增速，但产生持久的水平效应，并在</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跃升后的转型期内形成一段增长加速窗口。这正是“创新孤岛”现象的数理表述——若</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低下，则即便</w:t>
      </w:r>
      <m:oMath>
        <m:r>
          <w:rPr>
            <w:rFonts w:ascii="Cambria Math" w:hAnsi="Cambria Math"/>
          </w:rPr>
          <m:t xml:space="preserve">A</m:t>
        </m:r>
        <m:d>
          <m:dPr>
            <m:begChr m:val="("/>
            <m:endChr m:val=")"/>
          </m:dPr>
          <m:e>
            <m:r>
              <w:rPr>
                <w:rFonts w:ascii="Cambria Math" w:hAnsi="Cambria Math"/>
              </w:rPr>
              <m:t xml:space="preserve">t</m:t>
            </m:r>
          </m:e>
        </m:d>
      </m:oMath>
      <w:r>
        <w:rPr>
          <w:rFonts w:ascii="Times New Roman" w:hAnsi="Times New Roman" w:eastAsia="宋体"/>
          <w:b w:val="0"/>
          <w:sz w:val="24"/>
        </w:rPr>
        <w:t>高速积累，有效技术</w:t>
      </w:r>
      <m:oMath>
        <m:sSub>
          <m:e>
            <m:r>
              <w:rPr>
                <w:rFonts w:ascii="Cambria Math" w:hAnsi="Cambria Math"/>
              </w:rPr>
              <m:t xml:space="preserve">A</m:t>
            </m:r>
            <m:d>
              <m:dPr>
                <m:begChr m:val="("/>
                <m:endChr m:val=")"/>
              </m:dPr>
              <m:e>
                <m:r>
                  <w:rPr>
                    <w:rFonts w:ascii="Cambria Math" w:hAnsi="Cambria Math"/>
                  </w:rPr>
                  <m:t xml:space="preserve">t</m:t>
                </m:r>
              </m:e>
            </m:d>
          </m:e>
          <m:sub>
            <m:r>
              <w:rPr>
                <w:rFonts w:ascii="Cambria Math" w:hAnsi="Cambria Math"/>
              </w:rPr>
              <m:t xml:space="preserve">e</m:t>
            </m:r>
          </m:sub>
        </m:sSub>
      </m:oMath>
      <w:r>
        <w:rPr>
          <w:rFonts w:ascii="Times New Roman" w:hAnsi="Times New Roman" w:eastAsia="宋体"/>
          <w:b w:val="0"/>
          <w:sz w:val="24"/>
        </w:rPr>
        <w:t>与现实产出仍可能增长乏力，创新势能无法转化为产业动能。</w:t>
      </w:r>
    </w:p>
    <w:p>
      <w:pPr>
        <w:spacing w:line="360" w:lineRule="auto" w:after="0"/>
        <w:ind w:firstLine="480"/>
        <w:jc w:val="both"/>
      </w:pPr>
      <w:r>
        <w:rPr>
          <w:rFonts w:ascii="Times New Roman" w:hAnsi="Times New Roman" w:eastAsia="宋体"/>
          <w:b w:val="0"/>
          <w:sz w:val="24"/>
        </w:rPr>
        <w:t>式(4)的推导逻辑可用文字复述。沿平衡增长路径，资本产出比保持不变，意味着资本与产出以相同速度增长；对式(1)取对数求导，资本项的贡献按</w:t>
      </w:r>
      <m:oMath>
        <m:r>
          <w:rPr>
            <w:rFonts w:ascii="Cambria Math" w:hAnsi="Cambria Math"/>
          </w:rPr>
          <m:t xml:space="preserve">α</m:t>
        </m:r>
      </m:oMath>
      <w:r>
        <w:rPr>
          <w:rFonts w:ascii="Times New Roman" w:hAnsi="Times New Roman" w:eastAsia="宋体"/>
          <w:b w:val="0"/>
          <w:sz w:val="24"/>
        </w:rPr>
        <w:t>的比例“复制”产出增速，移项整理后，技术进步的贡献由直接弹性</w:t>
      </w:r>
      <m:oMath>
        <m:r>
          <w:rPr>
            <w:rFonts w:ascii="Cambria Math" w:hAnsi="Cambria Math"/>
          </w:rPr>
          <m:t xml:space="preserve">σ</m:t>
        </m:r>
      </m:oMath>
      <w:r>
        <w:rPr>
          <w:rFonts w:ascii="Times New Roman" w:hAnsi="Times New Roman" w:eastAsia="宋体"/>
          <w:b w:val="0"/>
          <w:sz w:val="24"/>
        </w:rPr>
        <w:t>放大为</w:t>
      </w:r>
      <m:oMath>
        <m:r>
          <w:rPr>
            <w:rFonts w:ascii="Cambria Math" w:hAnsi="Cambria Math"/>
          </w:rPr>
          <m:t xml:space="preserve">σ</m:t>
        </m:r>
      </m:oMath>
      <w:r>
        <w:rPr>
          <w:rFonts w:ascii="Times New Roman" w:hAnsi="Times New Roman" w:eastAsia="宋体"/>
          <w:b w:val="0"/>
          <w:sz w:val="24"/>
        </w:rPr>
        <w:t>/(1−</w:t>
      </w:r>
      <m:oMath>
        <m:r>
          <w:rPr>
            <w:rFonts w:ascii="Cambria Math" w:hAnsi="Cambria Math"/>
          </w:rPr>
          <m:t xml:space="preserve">α</m:t>
        </m:r>
      </m:oMath>
      <w:r>
        <w:rPr>
          <w:rFonts w:ascii="Times New Roman" w:hAnsi="Times New Roman" w:eastAsia="宋体"/>
          <w:b w:val="0"/>
          <w:sz w:val="24"/>
        </w:rPr>
        <w:t>)。其机理在于资本积累的“放大器”作用：技术上升提高资本边际产品，诱致投资，再推高产出，直至资本产出比复归稳态。人均化后扣除就业增长的稀释效应，即得式(4)。</w:t>
      </w:r>
    </w:p>
    <w:p>
      <w:pPr>
        <w:spacing w:line="360" w:lineRule="auto" w:after="0"/>
        <w:ind w:firstLine="480"/>
        <w:jc w:val="both"/>
      </w:pP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为何只有水平效应而无增长效应，值得进一步展开。由式(2)，ln</w:t>
      </w:r>
      <m:oMath>
        <m:sSub>
          <m:e>
            <m:r>
              <w:rPr>
                <w:rFonts w:ascii="Cambria Math" w:hAnsi="Cambria Math"/>
              </w:rPr>
              <m:t xml:space="preserve">A</m:t>
            </m:r>
          </m:e>
          <m:sub>
            <m:r>
              <w:rPr>
                <w:rFonts w:ascii="Cambria Math" w:hAnsi="Cambria Math"/>
              </w:rPr>
              <m:t xml:space="preserve">e</m:t>
            </m:r>
          </m:sub>
        </m:sSub>
      </m:oMath>
      <w:r>
        <w:rPr>
          <w:rFonts w:ascii="Times New Roman" w:hAnsi="Times New Roman" w:eastAsia="宋体"/>
          <w:b w:val="0"/>
          <w:sz w:val="24"/>
        </w:rPr>
        <w:t>与lnA仅相差常数ln</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，而</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不进入知识积累方程(3)，故有效技术的长期增速与知识增速完全一致，</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只决定有效技术相对知识存量的“折扣率”。但水平效应绝非无足轻重。其一，</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跃升使有效技术一次性上台阶，原有资本存量相对不足，投资随之加速，转型期内实际增速持续高于稳态水平，形成增长加速窗口——转化型改革的红利正表现为阶段性超常增长而非永久增速抬升。其二，水平效应是持久的：</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每提高一个刻度，人均产出路径便整体上移一次。这一分解也给出“创新孤岛”的诊断标准：研发投入与知识产出持续走高而产出增长响应微弱，问题大概率不在</w:t>
      </w:r>
      <m:oMath>
        <m:sSub>
          <m:e>
            <m:r>
              <w:rPr>
                <w:rFonts w:ascii="Cambria Math" w:hAnsi="Cambria Math"/>
              </w:rPr>
              <m:t xml:space="preserve">s</m:t>
            </m:r>
          </m:e>
          <m:sub>
            <m:r>
              <w:rPr>
                <w:rFonts w:ascii="Cambria Math" w:hAnsi="Cambria Math"/>
              </w:rPr>
              <m:t xml:space="preserve">R</m:t>
            </m:r>
          </m:sub>
        </m:sSub>
      </m:oMath>
      <w:r>
        <w:rPr>
          <w:rFonts w:ascii="Times New Roman" w:hAnsi="Times New Roman" w:eastAsia="宋体"/>
          <w:b w:val="0"/>
          <w:sz w:val="24"/>
        </w:rPr>
        <w:t>与</w:t>
      </w:r>
      <m:oMath>
        <m:sSub>
          <m:e>
            <m:r>
              <w:rPr>
                <w:rFonts w:ascii="Cambria Math" w:hAnsi="Cambria Math"/>
              </w:rPr>
              <m:t xml:space="preserve">θ</m:t>
            </m:r>
          </m:e>
          <m:sub>
            <m:r>
              <w:rPr>
                <w:rFonts w:ascii="Cambria Math" w:hAnsi="Cambria Math"/>
              </w:rPr>
              <m:t xml:space="preserve">0</m:t>
            </m:r>
          </m:sub>
        </m:sSub>
      </m:oMath>
      <w:r>
        <w:rPr>
          <w:rFonts w:ascii="Times New Roman" w:hAnsi="Times New Roman" w:eastAsia="宋体"/>
          <w:b w:val="0"/>
          <w:sz w:val="24"/>
        </w:rPr>
        <w:t>，而在</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w:t>
      </w:r>
    </w:p>
    <w:p>
      <w:pPr>
        <w:spacing w:line="360" w:lineRule="auto" w:after="0"/>
        <w:ind w:firstLine="480"/>
        <w:jc w:val="both"/>
      </w:pP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还有重要的空间含义。创新势能在地理上高度集聚于创新极，若缺乏跨区域转化通道，欠发达地区面对的实际上是更低的</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。浙江的山海协作机制对此提供了制度化解法：产业飞地把山区海岛县的发展需求与发达地区的转化条件对接，科创飞地则让欠发达县在创新极内就地吸纳成果与人才，其实质都是对区域间</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差异的制度性平抑</w:t>
      </w:r>
      <w:r>
        <w:rPr>
          <w:rFonts w:ascii="Times New Roman" w:hAnsi="Times New Roman" w:eastAsia="宋体"/>
          <w:b w:val="0"/>
          <w:sz w:val="24"/>
          <w:vertAlign w:val="superscript"/>
        </w:rPr>
        <w:t>[75]</w:t>
      </w:r>
      <w:r>
        <w:rPr>
          <w:rFonts w:ascii="Times New Roman" w:hAnsi="Times New Roman" w:eastAsia="宋体"/>
          <w:b w:val="0"/>
          <w:sz w:val="24"/>
        </w:rPr>
        <w:t>。“创新浙江”建设将2027年技术交易总额5300亿元以上列为标志性目标，亦可读作对</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的量化锚定。</w:t>
      </w:r>
    </w:p>
    <w:p>
      <w:pPr>
        <w:spacing w:line="360" w:lineRule="auto" w:after="0"/>
        <w:ind w:firstLine="480"/>
        <w:jc w:val="both"/>
      </w:pPr>
      <w:r>
        <w:rPr>
          <w:rFonts w:ascii="Times New Roman" w:hAnsi="Times New Roman" w:eastAsia="宋体"/>
          <w:b w:val="0"/>
          <w:sz w:val="24"/>
        </w:rPr>
        <w:t>2．就业分配关（关口Ⅱ）与居民收入。设劳动报酬占产出份额为λ，其大小取决于产业体系的就业包容度与分配制度的完善程度，记为</w:t>
      </w:r>
      <m:oMath>
        <m:r>
          <w:rPr>
            <w:rFonts w:ascii="Cambria Math" w:hAnsi="Cambria Math"/>
          </w:rPr>
          <m:t xml:space="preserve">λ</m:t>
        </m:r>
        <m:d>
          <m:dPr>
            <m:begChr m:val="("/>
            <m:endChr m:val=")"/>
          </m:dPr>
          <m:e>
            <m:sSub>
              <m:e>
                <m:r>
                  <w:rPr>
                    <w:rFonts w:ascii="Cambria Math" w:hAnsi="Cambria Math"/>
                  </w:rPr>
                  <m:t xml:space="preserve">θ</m:t>
                </m:r>
              </m:e>
              <m:sub>
                <m:r>
                  <w:rPr>
                    <w:rFonts w:ascii="Cambria Math" w:hAnsi="Cambria Math"/>
                  </w:rPr>
                  <m:t xml:space="preserve">2</m:t>
                </m:r>
              </m:sub>
            </m:sSub>
          </m:e>
        </m:d>
      </m:oMath>
      <w:r>
        <w:rPr>
          <w:rFonts w:ascii="Times New Roman" w:hAnsi="Times New Roman" w:eastAsia="宋体"/>
          <w:b w:val="0"/>
          <w:sz w:val="24"/>
        </w:rPr>
        <w:t>，</w:t>
      </w:r>
      <m:oMath>
        <m:r>
          <w:rPr>
            <w:rFonts w:ascii="Cambria Math" w:hAnsi="Cambria Math"/>
          </w:rPr>
          <m:t xml:space="preserve">λ′</m:t>
        </m:r>
        <m:d>
          <m:dPr>
            <m:begChr m:val="("/>
            <m:endChr m:val=")"/>
          </m:dPr>
          <m:e>
            <m:sSub>
              <m:e>
                <m:r>
                  <w:rPr>
                    <w:rFonts w:ascii="Cambria Math" w:hAnsi="Cambria Math"/>
                  </w:rPr>
                  <m:t xml:space="preserve">θ</m:t>
                </m:r>
              </m:e>
              <m:sub>
                <m:r>
                  <w:rPr>
                    <w:rFonts w:ascii="Cambria Math" w:hAnsi="Cambria Math"/>
                  </w:rPr>
                  <m:t xml:space="preserve">2</m:t>
                </m:r>
              </m:sub>
            </m:sSub>
          </m:e>
        </m:d>
      </m:oMath>
      <w:r>
        <w:rPr>
          <w:rFonts w:ascii="Times New Roman" w:hAnsi="Times New Roman" w:eastAsia="宋体"/>
          <w:b w:val="0"/>
          <w:sz w:val="24"/>
        </w:rPr>
        <w:t>&gt;0，</w:t>
      </w:r>
      <m:oMath>
        <m:sSub>
          <m:e>
            <m:r>
              <w:rPr>
                <w:rFonts w:ascii="Cambria Math" w:hAnsi="Cambria Math"/>
              </w:rPr>
              <m:t xml:space="preserve">θ</m:t>
            </m:r>
          </m:e>
          <m:sub>
            <m:r>
              <w:rPr>
                <w:rFonts w:ascii="Cambria Math" w:hAnsi="Cambria Math"/>
              </w:rPr>
              <m:t xml:space="preserve">2</m:t>
            </m:r>
          </m:sub>
        </m:sSub>
      </m:oMath>
      <w:r>
        <w:rPr>
          <w:rFonts w:ascii="Times New Roman" w:hAnsi="Times New Roman" w:eastAsia="宋体"/>
          <w:b w:val="0"/>
          <w:sz w:val="24"/>
        </w:rPr>
        <w:t>∈(0,1]为就业分配关的传导效率参数：</w:t>
      </w:r>
    </w:p>
    <w:p>
      <w:pPr>
        <w:tabs>
          <w:tab w:pos="4156" w:val="center"/>
          <w:tab w:pos="8311" w:val="right"/>
        </w:tabs>
        <w:spacing w:before="80" w:after="80" w:line="360" w:lineRule="auto"/>
        <w:jc w:val="left"/>
      </w:pPr>
      <w:r>
        <w:tab/>
      </w:r>
      <m:oMath>
        <m:r>
          <w:rPr>
            <w:rFonts w:ascii="Cambria Math" w:hAnsi="Cambria Math"/>
          </w:rPr>
          <m:t xml:space="preserve">w</m:t>
        </m:r>
        <m:d>
          <m:dPr>
            <m:begChr m:val="("/>
            <m:endChr m:val=")"/>
          </m:dPr>
          <m:e>
            <m:r>
              <w:rPr>
                <w:rFonts w:ascii="Cambria Math" w:hAnsi="Cambria Math"/>
              </w:rPr>
              <m:t xml:space="preserve">t</m:t>
            </m:r>
          </m:e>
        </m:d>
        <m:r>
          <w:rPr>
            <w:rFonts w:ascii="Cambria Math" w:hAnsi="Cambria Math"/>
          </w:rPr>
          <m:t xml:space="preserve">L</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λ</m:t>
        </m:r>
        <m:d>
          <m:dPr>
            <m:begChr m:val="("/>
            <m:endChr m:val=")"/>
          </m:dPr>
          <m:e>
            <m:sSub>
              <m:e>
                <m:r>
                  <w:rPr>
                    <w:rFonts w:ascii="Cambria Math" w:hAnsi="Cambria Math"/>
                  </w:rPr>
                  <m:t xml:space="preserve">θ</m:t>
                </m:r>
              </m:e>
              <m:sub>
                <m:r>
                  <w:rPr>
                    <w:rFonts w:ascii="Cambria Math" w:hAnsi="Cambria Math"/>
                  </w:rPr>
                  <m:t xml:space="preserve">2</m:t>
                </m:r>
              </m:sub>
            </m:sSub>
          </m:e>
        </m:d>
        <m:r>
          <w:rPr>
            <w:rFonts w:ascii="Cambria Math" w:hAnsi="Cambria Math"/>
          </w:rPr>
          <m:t xml:space="preserve">·</m:t>
        </m:r>
        <m:r>
          <w:rPr>
            <w:rFonts w:ascii="Cambria Math" w:hAnsi="Cambria Math"/>
          </w:rPr>
          <m:t xml:space="preserve">Y</m:t>
        </m:r>
        <m:d>
          <m:dPr>
            <m:begChr m:val="("/>
            <m:endChr m:val=")"/>
          </m:dPr>
          <m:e>
            <m:r>
              <w:rPr>
                <w:rFonts w:ascii="Cambria Math" w:hAnsi="Cambria Math"/>
              </w:rPr>
              <m:t xml:space="preserve">t</m:t>
            </m:r>
          </m:e>
        </m:d>
      </m:oMath>
      <w:r>
        <w:tab/>
      </w:r>
      <w:r>
        <w:rPr>
          <w:rFonts w:ascii="Times New Roman" w:hAnsi="Times New Roman" w:eastAsia="宋体"/>
          <w:b w:val="0"/>
          <w:sz w:val="24"/>
        </w:rPr>
        <w:t>（5）</w:t>
      </w:r>
    </w:p>
    <w:p>
      <w:pPr>
        <w:spacing w:line="360" w:lineRule="auto" w:after="0"/>
        <w:ind w:firstLine="480"/>
        <w:jc w:val="both"/>
      </w:pPr>
      <w:r>
        <w:rPr>
          <w:rFonts w:ascii="Times New Roman" w:hAnsi="Times New Roman" w:eastAsia="宋体"/>
          <w:b w:val="0"/>
          <w:sz w:val="24"/>
        </w:rPr>
        <w:t>居民人均可支配收入由劳动报酬与转移净收入构成：</w:t>
      </w:r>
    </w:p>
    <w:p>
      <w:pPr>
        <w:tabs>
          <w:tab w:pos="4156" w:val="center"/>
          <w:tab w:pos="8311" w:val="right"/>
        </w:tabs>
        <w:spacing w:before="80" w:after="80" w:line="360" w:lineRule="auto"/>
        <w:jc w:val="left"/>
      </w:pPr>
      <w:r>
        <w:tab/>
      </w:r>
      <m:oMath>
        <m:r>
          <w:rPr>
            <w:rFonts w:ascii="Cambria Math" w:hAnsi="Cambria Math"/>
          </w:rPr>
          <m:t xml:space="preserve">y</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λ</m:t>
        </m:r>
        <m:d>
          <m:dPr>
            <m:begChr m:val="("/>
            <m:endChr m:val=")"/>
          </m:dPr>
          <m:e>
            <m:sSub>
              <m:e>
                <m:r>
                  <w:rPr>
                    <w:rFonts w:ascii="Cambria Math" w:hAnsi="Cambria Math"/>
                  </w:rPr>
                  <m:t xml:space="preserve">θ</m:t>
                </m:r>
              </m:e>
              <m:sub>
                <m:r>
                  <w:rPr>
                    <w:rFonts w:ascii="Cambria Math" w:hAnsi="Cambria Math"/>
                  </w:rPr>
                  <m:t xml:space="preserve">2</m:t>
                </m:r>
              </m:sub>
            </m:sSub>
          </m:e>
        </m:d>
        <m:r>
          <w:rPr>
            <w:rFonts w:ascii="Cambria Math" w:hAnsi="Cambria Math"/>
          </w:rPr>
          <m:t xml:space="preserve">·</m:t>
        </m:r>
        <m:f>
          <m:num>
            <m:r>
              <w:rPr>
                <w:rFonts w:ascii="Cambria Math" w:hAnsi="Cambria Math"/>
              </w:rPr>
              <m:t xml:space="preserve">Y</m:t>
            </m:r>
            <m:d>
              <m:dPr>
                <m:begChr m:val="("/>
                <m:endChr m:val=")"/>
              </m:dPr>
              <m:e>
                <m:r>
                  <w:rPr>
                    <w:rFonts w:ascii="Cambria Math" w:hAnsi="Cambria Math"/>
                  </w:rPr>
                  <m:t xml:space="preserve">t</m:t>
                </m:r>
              </m:e>
            </m:d>
          </m:num>
          <m:den>
            <m:r>
              <w:rPr>
                <w:rFonts w:ascii="Cambria Math" w:hAnsi="Cambria Math"/>
              </w:rPr>
              <m:t xml:space="preserve">L</m:t>
            </m:r>
            <m:d>
              <m:dPr>
                <m:begChr m:val="("/>
                <m:endChr m:val=")"/>
              </m:dPr>
              <m:e>
                <m:r>
                  <w:rPr>
                    <w:rFonts w:ascii="Cambria Math" w:hAnsi="Cambria Math"/>
                  </w:rPr>
                  <m:t xml:space="preserve">t</m:t>
                </m:r>
              </m:e>
            </m:d>
          </m:den>
        </m:f>
        <m:r>
          <w:rPr>
            <w:rFonts w:ascii="Cambria Math" w:hAnsi="Cambria Math"/>
          </w:rPr>
          <m:t xml:space="preserve">+</m:t>
        </m:r>
        <m:r>
          <w:rPr>
            <w:rFonts w:ascii="Cambria Math" w:hAnsi="Cambria Math"/>
          </w:rPr>
          <m:t xml:space="preserve">τ</m:t>
        </m:r>
        <m:d>
          <m:dPr>
            <m:begChr m:val="("/>
            <m:endChr m:val=")"/>
          </m:dPr>
          <m:e>
            <m:r>
              <w:rPr>
                <w:rFonts w:ascii="Cambria Math" w:hAnsi="Cambria Math"/>
              </w:rPr>
              <m:t xml:space="preserve">t</m:t>
            </m:r>
          </m:e>
        </m:d>
      </m:oMath>
      <w:r>
        <w:tab/>
      </w:r>
      <w:r>
        <w:rPr>
          <w:rFonts w:ascii="Times New Roman" w:hAnsi="Times New Roman" w:eastAsia="宋体"/>
          <w:b w:val="0"/>
          <w:sz w:val="24"/>
        </w:rPr>
        <w:t>（6）</w:t>
      </w:r>
    </w:p>
    <w:p>
      <w:pPr>
        <w:spacing w:line="360" w:lineRule="auto" w:after="0"/>
        <w:ind w:firstLine="480"/>
        <w:jc w:val="both"/>
      </w:pPr>
      <w:r>
        <w:rPr>
          <w:rFonts w:ascii="Times New Roman" w:hAnsi="Times New Roman" w:eastAsia="宋体"/>
          <w:b w:val="0"/>
          <w:sz w:val="24"/>
        </w:rPr>
        <w:t>对式(6)取对数并对时间求导（忽略转移项的短期波动），得居民收入增速与经济增速的关系：</w:t>
      </w:r>
    </w:p>
    <w:p>
      <w:pPr>
        <w:tabs>
          <w:tab w:pos="4156" w:val="center"/>
          <w:tab w:pos="8311" w:val="right"/>
        </w:tabs>
        <w:spacing w:before="80" w:after="80" w:line="360" w:lineRule="auto"/>
        <w:jc w:val="left"/>
      </w:pPr>
      <w:r>
        <w:tab/>
      </w:r>
      <m:oMath>
        <m:sSub>
          <m:e>
            <m:r>
              <w:rPr>
                <w:rFonts w:ascii="Cambria Math" w:hAnsi="Cambria Math"/>
              </w:rPr>
              <m:t xml:space="preserve">γ</m:t>
            </m:r>
          </m:e>
          <m:sub>
            <m:r>
              <w:rPr>
                <w:rFonts w:ascii="Cambria Math" w:hAnsi="Cambria Math"/>
              </w:rPr>
              <m:t xml:space="preserve">y</m:t>
            </m:r>
          </m:sub>
        </m:sSub>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r>
          <w:rPr>
            <w:rFonts w:ascii="Cambria Math" w:hAnsi="Cambria Math"/>
          </w:rPr>
          <m:t xml:space="preserve">=</m:t>
        </m:r>
        <m:f>
          <m:num>
            <m:r>
              <w:rPr>
                <w:rFonts w:ascii="Cambria Math" w:hAnsi="Cambria Math"/>
              </w:rPr>
              <m:t xml:space="preserve">d</m:t>
            </m:r>
            <m:r>
              <m:rPr>
                <m:sty m:val="p"/>
              </m:rPr>
              <w:rPr>
                <w:rFonts w:ascii="Cambria Math" w:hAnsi="Cambria Math"/>
              </w:rPr>
              <m:t xml:space="preserve">ln</m:t>
            </m:r>
            <m:r>
              <w:rPr>
                <w:rFonts w:ascii="Cambria Math" w:hAnsi="Cambria Math"/>
              </w:rPr>
              <m:t xml:space="preserve">λ</m:t>
            </m:r>
            <m:d>
              <m:dPr>
                <m:begChr m:val="("/>
                <m:endChr m:val=")"/>
              </m:dPr>
              <m:e>
                <m:sSub>
                  <m:e>
                    <m:r>
                      <w:rPr>
                        <w:rFonts w:ascii="Cambria Math" w:hAnsi="Cambria Math"/>
                      </w:rPr>
                      <m:t xml:space="preserve">θ</m:t>
                    </m:r>
                  </m:e>
                  <m:sub>
                    <m:r>
                      <w:rPr>
                        <w:rFonts w:ascii="Cambria Math" w:hAnsi="Cambria Math"/>
                      </w:rPr>
                      <m:t xml:space="preserve">2</m:t>
                    </m:r>
                  </m:sub>
                </m:sSub>
              </m:e>
            </m:d>
          </m:num>
          <m:den>
            <m:r>
              <w:rPr>
                <w:rFonts w:ascii="Cambria Math" w:hAnsi="Cambria Math"/>
              </w:rPr>
              <m:t xml:space="preserve">d</m:t>
            </m:r>
            <m:r>
              <w:rPr>
                <w:rFonts w:ascii="Cambria Math" w:hAnsi="Cambria Math"/>
              </w:rPr>
              <m:t xml:space="preserve">t</m:t>
            </m:r>
          </m:den>
        </m:f>
      </m:oMath>
      <w:r>
        <w:tab/>
      </w:r>
      <w:r>
        <w:rPr>
          <w:rFonts w:ascii="Times New Roman" w:hAnsi="Times New Roman" w:eastAsia="宋体"/>
          <w:b w:val="0"/>
          <w:sz w:val="24"/>
        </w:rPr>
        <w:t>（7）</w:t>
      </w:r>
    </w:p>
    <w:p>
      <w:pPr>
        <w:spacing w:line="360" w:lineRule="auto" w:after="0"/>
        <w:ind w:firstLine="480"/>
        <w:jc w:val="both"/>
      </w:pPr>
      <w:r>
        <w:rPr>
          <w:rFonts w:ascii="Times New Roman" w:hAnsi="Times New Roman" w:eastAsia="宋体"/>
          <w:b w:val="0"/>
          <w:sz w:val="24"/>
        </w:rPr>
        <w:t>式(7)给出“两个同步”的模型判据：当且仅当劳动报酬份额不随技术进步而下滑（</w:t>
      </w:r>
      <m:oMath>
        <m:f>
          <m:num>
            <m:r>
              <w:rPr>
                <w:rFonts w:ascii="Cambria Math" w:hAnsi="Cambria Math"/>
              </w:rPr>
              <m:t xml:space="preserve">d</m:t>
            </m:r>
            <m:r>
              <m:rPr>
                <m:sty m:val="p"/>
              </m:rPr>
              <w:rPr>
                <w:rFonts w:ascii="Cambria Math" w:hAnsi="Cambria Math"/>
              </w:rPr>
              <m:t xml:space="preserve">ln</m:t>
            </m:r>
            <m:r>
              <w:rPr>
                <w:rFonts w:ascii="Cambria Math" w:hAnsi="Cambria Math"/>
              </w:rPr>
              <m:t xml:space="preserve">λ</m:t>
            </m:r>
          </m:num>
          <m:den>
            <m:r>
              <w:rPr>
                <w:rFonts w:ascii="Cambria Math" w:hAnsi="Cambria Math"/>
              </w:rPr>
              <m:t xml:space="preserve">d</m:t>
            </m:r>
            <m:r>
              <w:rPr>
                <w:rFonts w:ascii="Cambria Math" w:hAnsi="Cambria Math"/>
              </w:rPr>
              <m:t xml:space="preserve">t</m:t>
            </m:r>
          </m:den>
        </m:f>
      </m:oMath>
      <w:r>
        <w:rPr>
          <w:rFonts w:ascii="Times New Roman" w:hAnsi="Times New Roman" w:eastAsia="宋体"/>
          <w:b w:val="0"/>
          <w:sz w:val="24"/>
        </w:rPr>
        <w:t>≥0），居民收入增长才能与经济增长同步。若智能化改造对劳动的替代效应压低λ，则出现</w:t>
      </w:r>
      <m:oMath>
        <m:sSub>
          <m:e>
            <m:r>
              <w:rPr>
                <w:rFonts w:ascii="Cambria Math" w:hAnsi="Cambria Math"/>
              </w:rPr>
              <m:t xml:space="preserve">γ</m:t>
            </m:r>
          </m:e>
          <m:sub>
            <m:r>
              <w:rPr>
                <w:rFonts w:ascii="Cambria Math" w:hAnsi="Cambria Math"/>
              </w:rPr>
              <m:t xml:space="preserve">y</m:t>
            </m:r>
          </m:sub>
        </m:sSub>
      </m:oMath>
      <w:r>
        <w:rPr>
          <w:rFonts w:ascii="Times New Roman" w:hAnsi="Times New Roman" w:eastAsia="宋体"/>
          <w:b w:val="0"/>
          <w:sz w:val="24"/>
        </w:rPr>
        <w:t>&lt;</w:t>
      </w:r>
      <m:oMath>
        <m:sSup>
          <m:e>
            <m:r>
              <w:rPr>
                <w:rFonts w:ascii="Cambria Math" w:hAnsi="Cambria Math"/>
              </w:rPr>
              <m:t xml:space="preserve">g</m:t>
            </m:r>
          </m:e>
          <m:sup>
            <m:r>
              <w:rPr>
                <w:rFonts w:ascii="Cambria Math" w:hAnsi="Cambria Math"/>
              </w:rPr>
              <m:t xml:space="preserve">*</m:t>
            </m:r>
          </m:sup>
        </m:sSup>
      </m:oMath>
      <w:r>
        <w:rPr>
          <w:rFonts w:ascii="Times New Roman" w:hAnsi="Times New Roman" w:eastAsia="宋体"/>
          <w:b w:val="0"/>
          <w:sz w:val="24"/>
        </w:rPr>
        <w:t>的“增长不增收”，此即关口Ⅱ失灵的数理表述；</w:t>
      </w:r>
      <m:oMath>
        <m:sSub>
          <m:e>
            <m:r>
              <w:rPr>
                <w:rFonts w:ascii="Cambria Math" w:hAnsi="Cambria Math"/>
              </w:rPr>
              <m:t xml:space="preserve">θ</m:t>
            </m:r>
          </m:e>
          <m:sub>
            <m:r>
              <w:rPr>
                <w:rFonts w:ascii="Cambria Math" w:hAnsi="Cambria Math"/>
              </w:rPr>
              <m:t xml:space="preserve">2</m:t>
            </m:r>
          </m:sub>
        </m:sSub>
      </m:oMath>
      <w:r>
        <w:rPr>
          <w:rFonts w:ascii="Times New Roman" w:hAnsi="Times New Roman" w:eastAsia="宋体"/>
          <w:b w:val="0"/>
          <w:sz w:val="24"/>
        </w:rPr>
        <w:t>的制度含义（促进高质量充分就业、扩大中等收入群体、健全要素参与分配机制）正是保证λ稳中有升的政策安排。</w:t>
      </w:r>
    </w:p>
    <w:p>
      <w:pPr>
        <w:spacing w:line="360" w:lineRule="auto" w:after="0"/>
        <w:ind w:firstLine="480"/>
        <w:jc w:val="both"/>
      </w:pPr>
      <w:r>
        <w:rPr>
          <w:rFonts w:ascii="Times New Roman" w:hAnsi="Times New Roman" w:eastAsia="宋体"/>
          <w:b w:val="0"/>
          <w:sz w:val="24"/>
        </w:rPr>
        <w:t>将劳动报酬份额写成制度参数的函数</w:t>
      </w:r>
      <m:oMath>
        <m:r>
          <w:rPr>
            <w:rFonts w:ascii="Cambria Math" w:hAnsi="Cambria Math"/>
          </w:rPr>
          <m:t xml:space="preserve">λ</m:t>
        </m:r>
        <m:d>
          <m:dPr>
            <m:begChr m:val="("/>
            <m:endChr m:val=")"/>
          </m:dPr>
          <m:e>
            <m:sSub>
              <m:e>
                <m:r>
                  <w:rPr>
                    <w:rFonts w:ascii="Cambria Math" w:hAnsi="Cambria Math"/>
                  </w:rPr>
                  <m:t xml:space="preserve">θ</m:t>
                </m:r>
              </m:e>
              <m:sub>
                <m:r>
                  <w:rPr>
                    <w:rFonts w:ascii="Cambria Math" w:hAnsi="Cambria Math"/>
                  </w:rPr>
                  <m:t xml:space="preserve">2</m:t>
                </m:r>
              </m:sub>
            </m:sSub>
          </m:e>
        </m:d>
      </m:oMath>
      <w:r>
        <w:rPr>
          <w:rFonts w:ascii="Times New Roman" w:hAnsi="Times New Roman" w:eastAsia="宋体"/>
          <w:b w:val="0"/>
          <w:sz w:val="24"/>
        </w:rPr>
        <w:t>而非技术给定的常数，有充分的经验依据。跨国证据显示，近几十年全球劳动收入份额趋势性下降，驱动因素包括资本替代与“超级明星企业”崛起带来的市场集中</w:t>
      </w:r>
      <w:r>
        <w:rPr>
          <w:rFonts w:ascii="Times New Roman" w:hAnsi="Times New Roman" w:eastAsia="宋体"/>
          <w:b w:val="0"/>
          <w:sz w:val="24"/>
          <w:vertAlign w:val="superscript"/>
        </w:rPr>
        <w:t>[22,23]</w:t>
      </w:r>
      <w:r>
        <w:rPr>
          <w:rFonts w:ascii="Times New Roman" w:hAnsi="Times New Roman" w:eastAsia="宋体"/>
          <w:b w:val="0"/>
          <w:sz w:val="24"/>
        </w:rPr>
        <w:t>；中国的要素分配格局同样经历了显著波动[109]。自动化文献进一步表明，技术进步对劳动份额的净效应取决于替代效应与新任务创造效应的赛跑</w:t>
      </w:r>
      <w:r>
        <w:rPr>
          <w:rFonts w:ascii="Times New Roman" w:hAnsi="Times New Roman" w:eastAsia="宋体"/>
          <w:b w:val="0"/>
          <w:sz w:val="24"/>
          <w:vertAlign w:val="superscript"/>
        </w:rPr>
        <w:t>[19,21]</w:t>
      </w:r>
      <w:r>
        <w:rPr>
          <w:rFonts w:ascii="Times New Roman" w:hAnsi="Times New Roman" w:eastAsia="宋体"/>
          <w:b w:val="0"/>
          <w:sz w:val="24"/>
        </w:rPr>
        <w:t>；就中国而言，人工智能对劳动份额的影响与产业结构转型路径、劳动者技能结构密切相关[107,108]。这些证据共同说明，λ的走向并非技术宿命，而是制度选择的结果，此即</w:t>
      </w:r>
      <m:oMath>
        <m:r>
          <w:rPr>
            <w:rFonts w:ascii="Cambria Math" w:hAnsi="Cambria Math"/>
          </w:rPr>
          <m:t xml:space="preserve">λ′</m:t>
        </m:r>
        <m:d>
          <m:dPr>
            <m:begChr m:val="("/>
            <m:endChr m:val=")"/>
          </m:dPr>
          <m:e>
            <m:sSub>
              <m:e>
                <m:r>
                  <w:rPr>
                    <w:rFonts w:ascii="Cambria Math" w:hAnsi="Cambria Math"/>
                  </w:rPr>
                  <m:t xml:space="preserve">θ</m:t>
                </m:r>
              </m:e>
              <m:sub>
                <m:r>
                  <w:rPr>
                    <w:rFonts w:ascii="Cambria Math" w:hAnsi="Cambria Math"/>
                  </w:rPr>
                  <m:t xml:space="preserve">2</m:t>
                </m:r>
              </m:sub>
            </m:sSub>
          </m:e>
        </m:d>
      </m:oMath>
      <w:r>
        <w:rPr>
          <w:rFonts w:ascii="Times New Roman" w:hAnsi="Times New Roman" w:eastAsia="宋体"/>
          <w:b w:val="0"/>
          <w:sz w:val="24"/>
        </w:rPr>
        <w:t>&gt;0的经验基础。</w:t>
      </w:r>
    </w:p>
    <w:p>
      <w:pPr>
        <w:spacing w:line="360" w:lineRule="auto" w:after="0"/>
        <w:ind w:firstLine="480"/>
        <w:jc w:val="both"/>
      </w:pPr>
      <m:oMath>
        <m:sSub>
          <m:e>
            <m:r>
              <w:rPr>
                <w:rFonts w:ascii="Cambria Math" w:hAnsi="Cambria Math"/>
              </w:rPr>
              <m:t xml:space="preserve">θ</m:t>
            </m:r>
          </m:e>
          <m:sub>
            <m:r>
              <w:rPr>
                <w:rFonts w:ascii="Cambria Math" w:hAnsi="Cambria Math"/>
              </w:rPr>
              <m:t xml:space="preserve">2</m:t>
            </m:r>
          </m:sub>
        </m:sSub>
      </m:oMath>
      <w:r>
        <w:rPr>
          <w:rFonts w:ascii="Times New Roman" w:hAnsi="Times New Roman" w:eastAsia="宋体"/>
          <w:b w:val="0"/>
          <w:sz w:val="24"/>
        </w:rPr>
        <w:t>的制度内容可分解为三层。第一层是产业结构的就业包容度：产业体系在智能化升级的同时能否保持岗位创造能力，对不同技能层次的劳动力形成梯度吸纳。第二层是劳动力市场制度：就业优先、技能培训与工资合理增长机制决定劳动者分享生产率红利的地位。第三层是初次分配安排：劳动、知识、技术、数据等要素按贡献参与分配的机制越健全，λ对技术冲击的韧性越强。“十五五”规划《建议》明确要求“使居民收入增长和经济增长同步、劳动报酬提高和劳动生产率提高同步”</w:t>
      </w:r>
      <w:r>
        <w:rPr>
          <w:rFonts w:ascii="Times New Roman" w:hAnsi="Times New Roman" w:eastAsia="宋体"/>
          <w:b w:val="0"/>
          <w:sz w:val="24"/>
          <w:vertAlign w:val="superscript"/>
        </w:rPr>
        <w:t>[1]</w:t>
      </w:r>
      <w:r>
        <w:rPr>
          <w:rFonts w:ascii="Times New Roman" w:hAnsi="Times New Roman" w:eastAsia="宋体"/>
          <w:b w:val="0"/>
          <w:sz w:val="24"/>
        </w:rPr>
        <w:t>；由式(7)可知，“两个同步”成立的充要条件正是劳动报酬份额稳中有升，</w:t>
      </w:r>
      <m:oMath>
        <m:sSub>
          <m:e>
            <m:r>
              <w:rPr>
                <w:rFonts w:ascii="Cambria Math" w:hAnsi="Cambria Math"/>
              </w:rPr>
              <m:t xml:space="preserve">θ</m:t>
            </m:r>
          </m:e>
          <m:sub>
            <m:r>
              <w:rPr>
                <w:rFonts w:ascii="Cambria Math" w:hAnsi="Cambria Math"/>
              </w:rPr>
              <m:t xml:space="preserve">2</m:t>
            </m:r>
          </m:sub>
        </m:sSub>
      </m:oMath>
      <w:r>
        <w:rPr>
          <w:rFonts w:ascii="Times New Roman" w:hAnsi="Times New Roman" w:eastAsia="宋体"/>
          <w:b w:val="0"/>
          <w:sz w:val="24"/>
        </w:rPr>
        <w:t>因而成为这一民生目标的模型枢纽。</w:t>
      </w:r>
    </w:p>
    <w:p>
      <w:pPr>
        <w:spacing w:line="360" w:lineRule="auto" w:after="0"/>
        <w:ind w:firstLine="480"/>
        <w:jc w:val="both"/>
      </w:pPr>
      <w:r>
        <w:rPr>
          <w:rFonts w:ascii="Times New Roman" w:hAnsi="Times New Roman" w:eastAsia="宋体"/>
          <w:b w:val="0"/>
          <w:sz w:val="24"/>
        </w:rPr>
        <w:t>浙江实践为</w:t>
      </w:r>
      <m:oMath>
        <m:sSub>
          <m:e>
            <m:r>
              <w:rPr>
                <w:rFonts w:ascii="Cambria Math" w:hAnsi="Cambria Math"/>
              </w:rPr>
              <m:t xml:space="preserve">θ</m:t>
            </m:r>
          </m:e>
          <m:sub>
            <m:r>
              <w:rPr>
                <w:rFonts w:ascii="Cambria Math" w:hAnsi="Cambria Math"/>
              </w:rPr>
              <m:t xml:space="preserve">2</m:t>
            </m:r>
          </m:sub>
        </m:sSub>
      </m:oMath>
      <w:r>
        <w:rPr>
          <w:rFonts w:ascii="Times New Roman" w:hAnsi="Times New Roman" w:eastAsia="宋体"/>
          <w:b w:val="0"/>
          <w:sz w:val="24"/>
        </w:rPr>
        <w:t>提供了具体注脚。扩中提低行动在全国率先划定家庭年收入10万元的中等收入群体标准线，2021年全省家庭年可支配收入10万—50万元群体比例达72.4%，比2016年提高24.3个百分点——中等收入群体的持续扩大正是</w:t>
      </w:r>
      <m:oMath>
        <m:r>
          <w:rPr>
            <w:rFonts w:ascii="Cambria Math" w:hAnsi="Cambria Math"/>
          </w:rPr>
          <m:t xml:space="preserve">λ</m:t>
        </m:r>
        <m:d>
          <m:dPr>
            <m:begChr m:val="("/>
            <m:endChr m:val=")"/>
          </m:dPr>
          <m:e>
            <m:sSub>
              <m:e>
                <m:r>
                  <w:rPr>
                    <w:rFonts w:ascii="Cambria Math" w:hAnsi="Cambria Math"/>
                  </w:rPr>
                  <m:t xml:space="preserve">θ</m:t>
                </m:r>
              </m:e>
              <m:sub>
                <m:r>
                  <w:rPr>
                    <w:rFonts w:ascii="Cambria Math" w:hAnsi="Cambria Math"/>
                  </w:rPr>
                  <m:t xml:space="preserve">2</m:t>
                </m:r>
              </m:sub>
            </m:sSub>
          </m:e>
        </m:d>
      </m:oMath>
      <w:r>
        <w:rPr>
          <w:rFonts w:ascii="Times New Roman" w:hAnsi="Times New Roman" w:eastAsia="宋体"/>
          <w:b w:val="0"/>
          <w:sz w:val="24"/>
        </w:rPr>
        <w:t>稳中有升在收入分布上的表现；民营经济作为就业主体，其活跃程度直接关系就业包容度。至于式(6)中的转移项</w:t>
      </w:r>
      <m:oMath>
        <m:r>
          <w:rPr>
            <w:rFonts w:ascii="Cambria Math" w:hAnsi="Cambria Math"/>
          </w:rPr>
          <m:t xml:space="preserve">τ</m:t>
        </m:r>
      </m:oMath>
      <w:r>
        <w:rPr>
          <w:rFonts w:ascii="Times New Roman" w:hAnsi="Times New Roman" w:eastAsia="宋体"/>
          <w:b w:val="0"/>
          <w:sz w:val="24"/>
        </w:rPr>
        <w:t>(t)，对应再分配与兜底安排，浙江2022年在全国率先实现低保标准市域同标即属此类。模型将</w:t>
      </w:r>
      <m:oMath>
        <m:r>
          <w:rPr>
            <w:rFonts w:ascii="Cambria Math" w:hAnsi="Cambria Math"/>
          </w:rPr>
          <m:t xml:space="preserve">τ</m:t>
        </m:r>
      </m:oMath>
      <w:r>
        <w:rPr>
          <w:rFonts w:ascii="Times New Roman" w:hAnsi="Times New Roman" w:eastAsia="宋体"/>
          <w:b w:val="0"/>
          <w:sz w:val="24"/>
        </w:rPr>
        <w:t>(t)与</w:t>
      </w:r>
      <m:oMath>
        <m:r>
          <w:rPr>
            <w:rFonts w:ascii="Cambria Math" w:hAnsi="Cambria Math"/>
          </w:rPr>
          <m:t xml:space="preserve">λ</m:t>
        </m:r>
        <m:d>
          <m:dPr>
            <m:begChr m:val="("/>
            <m:endChr m:val=")"/>
          </m:dPr>
          <m:e>
            <m:sSub>
              <m:e>
                <m:r>
                  <w:rPr>
                    <w:rFonts w:ascii="Cambria Math" w:hAnsi="Cambria Math"/>
                  </w:rPr>
                  <m:t xml:space="preserve">θ</m:t>
                </m:r>
              </m:e>
              <m:sub>
                <m:r>
                  <w:rPr>
                    <w:rFonts w:ascii="Cambria Math" w:hAnsi="Cambria Math"/>
                  </w:rPr>
                  <m:t xml:space="preserve">2</m:t>
                </m:r>
              </m:sub>
            </m:sSub>
          </m:e>
        </m:d>
      </m:oMath>
      <w:r>
        <w:rPr>
          <w:rFonts w:ascii="Times New Roman" w:hAnsi="Times New Roman" w:eastAsia="宋体"/>
          <w:b w:val="0"/>
          <w:sz w:val="24"/>
        </w:rPr>
        <w:t>分列，意在强调共同富裕的主渠道在于初次分配环节的就业与劳动报酬，转移支付托底而不替代——这正是关口Ⅱ以“就业分配”命名的原因。</w:t>
      </w:r>
    </w:p>
    <w:p>
      <w:pPr>
        <w:spacing w:line="360" w:lineRule="auto" w:after="0"/>
        <w:ind w:firstLine="480"/>
        <w:jc w:val="both"/>
      </w:pPr>
      <w:r>
        <w:rPr>
          <w:rFonts w:ascii="Times New Roman" w:hAnsi="Times New Roman" w:eastAsia="宋体"/>
          <w:b w:val="0"/>
          <w:sz w:val="24"/>
        </w:rPr>
        <w:t>3．人力资本反哺关（关口Ⅲ）与城乡差距动态。设城镇、农村劳动者人力资本分别为</w:t>
      </w:r>
      <m:oMath>
        <m:sSub>
          <m:e>
            <m:r>
              <w:rPr>
                <w:rFonts w:ascii="Cambria Math" w:hAnsi="Cambria Math"/>
              </w:rPr>
              <m:t xml:space="preserve">h</m:t>
            </m:r>
          </m:e>
          <m:sub>
            <m:r>
              <w:rPr>
                <w:rFonts w:ascii="Cambria Math" w:hAnsi="Cambria Math"/>
              </w:rPr>
              <m:t xml:space="preserve">u</m:t>
            </m:r>
          </m:sub>
        </m:sSub>
      </m:oMath>
      <w:r>
        <w:rPr>
          <w:rFonts w:ascii="Times New Roman" w:hAnsi="Times New Roman" w:eastAsia="宋体"/>
          <w:b w:val="0"/>
          <w:sz w:val="24"/>
        </w:rPr>
        <w:t>与</w:t>
      </w:r>
      <m:oMath>
        <m:sSub>
          <m:e>
            <m:r>
              <w:rPr>
                <w:rFonts w:ascii="Cambria Math" w:hAnsi="Cambria Math"/>
              </w:rPr>
              <m:t xml:space="preserve">h</m:t>
            </m:r>
          </m:e>
          <m:sub>
            <m:r>
              <w:rPr>
                <w:rFonts w:ascii="Cambria Math" w:hAnsi="Cambria Math"/>
              </w:rPr>
              <m:t xml:space="preserve">r</m:t>
            </m:r>
          </m:sub>
        </m:sSub>
      </m:oMath>
      <w:r>
        <w:rPr>
          <w:rFonts w:ascii="Times New Roman" w:hAnsi="Times New Roman" w:eastAsia="宋体"/>
          <w:b w:val="0"/>
          <w:sz w:val="24"/>
        </w:rPr>
        <w:t>，技能偏向型技术进步使工资比呈现：</w:t>
      </w:r>
    </w:p>
    <w:p>
      <w:pPr>
        <w:tabs>
          <w:tab w:pos="4156" w:val="center"/>
          <w:tab w:pos="8311" w:val="right"/>
        </w:tabs>
        <w:spacing w:before="80" w:after="80" w:line="360" w:lineRule="auto"/>
        <w:jc w:val="left"/>
      </w:pPr>
      <w:r>
        <w:tab/>
      </w:r>
      <m:oMath>
        <m:f>
          <m:num>
            <m:sSub>
              <m:e>
                <m:r>
                  <w:rPr>
                    <w:rFonts w:ascii="Cambria Math" w:hAnsi="Cambria Math"/>
                  </w:rPr>
                  <m:t xml:space="preserve">w</m:t>
                </m:r>
              </m:e>
              <m:sub>
                <m:r>
                  <w:rPr>
                    <w:rFonts w:ascii="Cambria Math" w:hAnsi="Cambria Math"/>
                  </w:rPr>
                  <m:t xml:space="preserve">u</m:t>
                </m:r>
              </m:sub>
            </m:sSub>
          </m:num>
          <m:den>
            <m:sSub>
              <m:e>
                <m:r>
                  <w:rPr>
                    <w:rFonts w:ascii="Cambria Math" w:hAnsi="Cambria Math"/>
                  </w:rPr>
                  <m:t xml:space="preserve">w</m:t>
                </m:r>
              </m:e>
              <m:sub>
                <m:r>
                  <w:rPr>
                    <w:rFonts w:ascii="Cambria Math" w:hAnsi="Cambria Math"/>
                  </w:rPr>
                  <m:t xml:space="preserve">r</m:t>
                </m:r>
              </m:sub>
            </m:sSub>
          </m:den>
        </m:f>
        <m:r>
          <w:rPr>
            <w:rFonts w:ascii="Cambria Math" w:hAnsi="Cambria Math"/>
          </w:rPr>
          <m:t xml:space="preserve">=</m:t>
        </m:r>
        <m:sSup>
          <m:e>
            <m:d>
              <m:dPr>
                <m:begChr m:val="("/>
                <m:endChr m:val=")"/>
              </m:dPr>
              <m:e>
                <m:f>
                  <m:num>
                    <m:sSub>
                      <m:e>
                        <m:r>
                          <w:rPr>
                            <w:rFonts w:ascii="Cambria Math" w:hAnsi="Cambria Math"/>
                          </w:rPr>
                          <m:t xml:space="preserve">h</m:t>
                        </m:r>
                      </m:e>
                      <m:sub>
                        <m:r>
                          <w:rPr>
                            <w:rFonts w:ascii="Cambria Math" w:hAnsi="Cambria Math"/>
                          </w:rPr>
                          <m:t xml:space="preserve">u</m:t>
                        </m:r>
                      </m:sub>
                    </m:sSub>
                  </m:num>
                  <m:den>
                    <m:sSub>
                      <m:e>
                        <m:r>
                          <w:rPr>
                            <w:rFonts w:ascii="Cambria Math" w:hAnsi="Cambria Math"/>
                          </w:rPr>
                          <m:t xml:space="preserve">h</m:t>
                        </m:r>
                      </m:e>
                      <m:sub>
                        <m:r>
                          <w:rPr>
                            <w:rFonts w:ascii="Cambria Math" w:hAnsi="Cambria Math"/>
                          </w:rPr>
                          <m:t xml:space="preserve">r</m:t>
                        </m:r>
                      </m:sub>
                    </m:sSub>
                  </m:den>
                </m:f>
              </m:e>
            </m:d>
          </m:e>
          <m:sup>
            <m:r>
              <w:rPr>
                <w:rFonts w:ascii="Cambria Math" w:hAnsi="Cambria Math"/>
              </w:rPr>
              <m:t xml:space="preserve">ε</m:t>
            </m:r>
          </m:sup>
        </m:sSup>
      </m:oMath>
      <w:r>
        <w:rPr>
          <w:rFonts w:ascii="Times New Roman" w:hAnsi="Times New Roman" w:eastAsia="宋体"/>
          <w:b w:val="0"/>
          <w:sz w:val="24"/>
        </w:rPr>
        <w:t>，</w:t>
      </w:r>
      <m:oMath>
        <m:r>
          <w:rPr>
            <w:rFonts w:ascii="Cambria Math" w:hAnsi="Cambria Math"/>
          </w:rPr>
          <m:t xml:space="preserve">ε</m:t>
        </m:r>
        <m:r>
          <w:rPr>
            <w:rFonts w:ascii="Cambria Math" w:hAnsi="Cambria Math"/>
          </w:rPr>
          <m:t xml:space="preserve">&gt;</m:t>
        </m:r>
        <m:r>
          <w:rPr>
            <w:rFonts w:ascii="Cambria Math" w:hAnsi="Cambria Math"/>
          </w:rPr>
          <m:t xml:space="preserve">1</m:t>
        </m:r>
      </m:oMath>
      <w:r>
        <w:tab/>
      </w:r>
      <w:r>
        <w:rPr>
          <w:rFonts w:ascii="Times New Roman" w:hAnsi="Times New Roman" w:eastAsia="宋体"/>
          <w:b w:val="0"/>
          <w:sz w:val="24"/>
        </w:rPr>
        <w:t>（8）</w:t>
      </w:r>
    </w:p>
    <w:p>
      <w:pPr>
        <w:spacing w:line="360" w:lineRule="auto" w:after="0"/>
        <w:ind w:firstLine="480"/>
        <w:jc w:val="both"/>
      </w:pPr>
      <w:r>
        <w:rPr>
          <w:rFonts w:ascii="Times New Roman" w:hAnsi="Times New Roman" w:eastAsia="宋体"/>
          <w:b w:val="0"/>
          <w:sz w:val="24"/>
        </w:rPr>
        <w:t>其中</w:t>
      </w:r>
      <m:oMath>
        <m:r>
          <w:rPr>
            <w:rFonts w:ascii="Cambria Math" w:hAnsi="Cambria Math"/>
          </w:rPr>
          <m:t xml:space="preserve">ε</m:t>
        </m:r>
      </m:oMath>
      <w:r>
        <w:rPr>
          <w:rFonts w:ascii="Times New Roman" w:hAnsi="Times New Roman" w:eastAsia="宋体"/>
          <w:b w:val="0"/>
          <w:sz w:val="24"/>
        </w:rPr>
        <w:t>为技能溢价弹性，</w:t>
      </w:r>
      <m:oMath>
        <m:r>
          <w:rPr>
            <w:rFonts w:ascii="Cambria Math" w:hAnsi="Cambria Math"/>
          </w:rPr>
          <m:t xml:space="preserve">ε</m:t>
        </m:r>
      </m:oMath>
      <w:r>
        <w:rPr>
          <w:rFonts w:ascii="Times New Roman" w:hAnsi="Times New Roman" w:eastAsia="宋体"/>
          <w:b w:val="0"/>
          <w:sz w:val="24"/>
        </w:rPr>
        <w:t>&gt;1刻画新技术对高技能劳动的偏向[105]。农村人力资本的积累依赖基本公共服务投入：</w:t>
      </w:r>
    </w:p>
    <w:p>
      <w:pPr>
        <w:tabs>
          <w:tab w:pos="4156" w:val="center"/>
          <w:tab w:pos="8311" w:val="right"/>
        </w:tabs>
        <w:spacing w:before="80" w:after="80" w:line="360" w:lineRule="auto"/>
        <w:jc w:val="left"/>
      </w:pPr>
      <w:r>
        <w:tab/>
      </w:r>
      <m:oMath>
        <m:f>
          <m:num>
            <m:r>
              <w:rPr>
                <w:rFonts w:ascii="Cambria Math" w:hAnsi="Cambria Math"/>
              </w:rPr>
              <m:t xml:space="preserve">d</m:t>
            </m:r>
            <m:sSub>
              <m:e>
                <m:r>
                  <w:rPr>
                    <w:rFonts w:ascii="Cambria Math" w:hAnsi="Cambria Math"/>
                  </w:rPr>
                  <m:t xml:space="preserve">h</m:t>
                </m:r>
                <m:d>
                  <m:dPr>
                    <m:begChr m:val="("/>
                    <m:endChr m:val=")"/>
                  </m:dPr>
                  <m:e>
                    <m:r>
                      <w:rPr>
                        <w:rFonts w:ascii="Cambria Math" w:hAnsi="Cambria Math"/>
                      </w:rPr>
                      <m:t xml:space="preserve">t</m:t>
                    </m:r>
                  </m:e>
                </m:d>
              </m:e>
              <m:sub>
                <m:r>
                  <w:rPr>
                    <w:rFonts w:ascii="Cambria Math" w:hAnsi="Cambria Math"/>
                  </w:rPr>
                  <m:t xml:space="preserve">r</m:t>
                </m:r>
              </m:sub>
            </m:sSub>
          </m:num>
          <m:den>
            <m:r>
              <w:rPr>
                <w:rFonts w:ascii="Cambria Math" w:hAnsi="Cambria Math"/>
              </w:rPr>
              <m:t xml:space="preserve">d</m:t>
            </m:r>
            <m:r>
              <w:rPr>
                <w:rFonts w:ascii="Cambria Math" w:hAnsi="Cambria Math"/>
              </w:rPr>
              <m:t xml:space="preserve">t</m:t>
            </m:r>
          </m:den>
        </m:f>
        <m:r>
          <w:rPr>
            <w:rFonts w:ascii="Cambria Math" w:hAnsi="Cambria Math"/>
          </w:rPr>
          <m:t xml:space="preserve">=</m:t>
        </m:r>
        <m:r>
          <w:rPr>
            <w:rFonts w:ascii="Cambria Math" w:hAnsi="Cambria Math"/>
          </w:rPr>
          <m:t xml:space="preserve">ψ</m:t>
        </m:r>
        <m:r>
          <w:rPr>
            <w:rFonts w:ascii="Cambria Math" w:hAnsi="Cambria Math"/>
          </w:rPr>
          <m:t xml:space="preserve">·</m:t>
        </m:r>
        <m:sSub>
          <m:e>
            <m:r>
              <w:rPr>
                <w:rFonts w:ascii="Cambria Math" w:hAnsi="Cambria Math"/>
              </w:rPr>
              <m:t xml:space="preserve">θ</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G</m:t>
            </m:r>
          </m:sub>
        </m:sSub>
        <m:r>
          <w:rPr>
            <w:rFonts w:ascii="Cambria Math" w:hAnsi="Cambria Math"/>
          </w:rPr>
          <m:t xml:space="preserve">·</m:t>
        </m:r>
        <m:f>
          <m:num>
            <m:r>
              <w:rPr>
                <w:rFonts w:ascii="Cambria Math" w:hAnsi="Cambria Math"/>
              </w:rPr>
              <m:t xml:space="preserve">Y</m:t>
            </m:r>
            <m:d>
              <m:dPr>
                <m:begChr m:val="("/>
                <m:endChr m:val=")"/>
              </m:dPr>
              <m:e>
                <m:r>
                  <w:rPr>
                    <w:rFonts w:ascii="Cambria Math" w:hAnsi="Cambria Math"/>
                  </w:rPr>
                  <m:t xml:space="preserve">t</m:t>
                </m:r>
              </m:e>
            </m:d>
          </m:num>
          <m:den>
            <m:r>
              <w:rPr>
                <w:rFonts w:ascii="Cambria Math" w:hAnsi="Cambria Math"/>
              </w:rPr>
              <m:t xml:space="preserve">L</m:t>
            </m:r>
            <m:d>
              <m:dPr>
                <m:begChr m:val="("/>
                <m:endChr m:val=")"/>
              </m:dPr>
              <m:e>
                <m:r>
                  <w:rPr>
                    <w:rFonts w:ascii="Cambria Math" w:hAnsi="Cambria Math"/>
                  </w:rPr>
                  <m:t xml:space="preserve">t</m:t>
                </m:r>
              </m:e>
            </m:d>
          </m:den>
        </m:f>
        <m:r>
          <w:rPr>
            <w:rFonts w:ascii="Cambria Math" w:hAnsi="Cambria Math"/>
          </w:rPr>
          <m:t xml:space="preserve">·</m:t>
        </m:r>
        <m:sSup>
          <m:e>
            <m:sSub>
              <m:e>
                <m:r>
                  <w:rPr>
                    <w:rFonts w:ascii="Cambria Math" w:hAnsi="Cambria Math"/>
                  </w:rPr>
                  <m:t xml:space="preserve">h</m:t>
                </m:r>
                <m:d>
                  <m:dPr>
                    <m:begChr m:val="("/>
                    <m:endChr m:val=")"/>
                  </m:dPr>
                  <m:e>
                    <m:r>
                      <w:rPr>
                        <w:rFonts w:ascii="Cambria Math" w:hAnsi="Cambria Math"/>
                      </w:rPr>
                      <m:t xml:space="preserve">t</m:t>
                    </m:r>
                  </m:e>
                </m:d>
              </m:e>
              <m:sub>
                <m:r>
                  <w:rPr>
                    <w:rFonts w:ascii="Cambria Math" w:hAnsi="Cambria Math"/>
                  </w:rPr>
                  <m:t xml:space="preserve">r</m:t>
                </m:r>
              </m:sub>
            </m:sSub>
          </m:e>
          <m:sup>
            <m:r>
              <w:rPr>
                <w:rFonts w:ascii="Cambria Math" w:hAnsi="Cambria Math"/>
              </w:rPr>
              <m:t xml:space="preserve">1−ν</m:t>
            </m:r>
          </m:sup>
        </m:sSup>
      </m:oMath>
      <w:r>
        <w:tab/>
      </w:r>
      <w:r>
        <w:rPr>
          <w:rFonts w:ascii="Times New Roman" w:hAnsi="Times New Roman" w:eastAsia="宋体"/>
          <w:b w:val="0"/>
          <w:sz w:val="24"/>
        </w:rPr>
        <w:t>（9）</w:t>
      </w:r>
    </w:p>
    <w:p>
      <w:pPr>
        <w:spacing w:line="360" w:lineRule="auto" w:after="0"/>
        <w:ind w:firstLine="480"/>
        <w:jc w:val="both"/>
      </w:pPr>
      <w:r>
        <w:rPr>
          <w:rFonts w:ascii="Times New Roman" w:hAnsi="Times New Roman" w:eastAsia="宋体"/>
          <w:b w:val="0"/>
          <w:sz w:val="24"/>
        </w:rPr>
        <w:t>其中</w:t>
      </w:r>
      <m:oMath>
        <m:sSub>
          <m:e>
            <m:r>
              <w:rPr>
                <w:rFonts w:ascii="Cambria Math" w:hAnsi="Cambria Math"/>
              </w:rPr>
              <m:t xml:space="preserve">q</m:t>
            </m:r>
          </m:e>
          <m:sub>
            <m:r>
              <w:rPr>
                <w:rFonts w:ascii="Cambria Math" w:hAnsi="Cambria Math"/>
              </w:rPr>
              <m:t xml:space="preserve">G</m:t>
            </m:r>
          </m:sub>
        </m:sSub>
      </m:oMath>
      <w:r>
        <w:rPr>
          <w:rFonts w:ascii="Times New Roman" w:hAnsi="Times New Roman" w:eastAsia="宋体"/>
          <w:b w:val="0"/>
          <w:sz w:val="24"/>
        </w:rPr>
        <w:t>为公共服务投入占产出比重，</w:t>
      </w:r>
      <m:oMath>
        <m:r>
          <w:rPr>
            <w:rFonts w:ascii="Cambria Math" w:hAnsi="Cambria Math"/>
          </w:rPr>
          <m:t xml:space="preserve">ψ</m:t>
        </m:r>
      </m:oMath>
      <w:r>
        <w:rPr>
          <w:rFonts w:ascii="Times New Roman" w:hAnsi="Times New Roman" w:eastAsia="宋体"/>
          <w:b w:val="0"/>
          <w:sz w:val="24"/>
        </w:rPr>
        <w:t>为人力资本生产效率，</w:t>
      </w:r>
      <m:oMath>
        <m:r>
          <w:rPr>
            <w:rFonts w:ascii="Cambria Math" w:hAnsi="Cambria Math"/>
          </w:rPr>
          <m:t xml:space="preserve">ν</m:t>
        </m:r>
      </m:oMath>
      <w:r>
        <w:rPr>
          <w:rFonts w:ascii="Times New Roman" w:hAnsi="Times New Roman" w:eastAsia="宋体"/>
          <w:b w:val="0"/>
          <w:sz w:val="24"/>
        </w:rPr>
        <w:t>∈</w:t>
      </w:r>
      <m:oMath>
        <m:d>
          <m:dPr>
            <m:begChr m:val="("/>
            <m:endChr m:val=")"/>
          </m:dPr>
          <m:e>
            <m:r>
              <w:rPr>
                <w:rFonts w:ascii="Cambria Math" w:hAnsi="Cambria Math"/>
              </w:rPr>
              <m:t xml:space="preserve">0,1</m:t>
            </m:r>
          </m:e>
        </m:d>
      </m:oMath>
      <w:r>
        <w:rPr>
          <w:rFonts w:ascii="Times New Roman" w:hAnsi="Times New Roman" w:eastAsia="宋体"/>
          <w:b w:val="0"/>
          <w:sz w:val="24"/>
        </w:rPr>
        <w:t>刻画积累的边际递减，</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∈(0,1]为人力资本反哺关的效率参数——教育医疗等公共服务在城乡间配置越均等、可及性越高，</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越大。定义城乡收入倍差</w:t>
      </w:r>
      <m:oMath>
        <m:r>
          <w:rPr>
            <w:rFonts w:ascii="Cambria Math" w:hAnsi="Cambria Math"/>
          </w:rPr>
          <m:t xml:space="preserve">B</m:t>
        </m:r>
        <m:d>
          <m:dPr>
            <m:begChr m:val="("/>
            <m:endChr m:val=")"/>
          </m:dPr>
          <m:e>
            <m:r>
              <w:rPr>
                <w:rFonts w:ascii="Cambria Math" w:hAnsi="Cambria Math"/>
              </w:rPr>
              <m:t xml:space="preserve">t</m:t>
            </m:r>
          </m:e>
        </m:d>
      </m:oMath>
      <w:r>
        <w:rPr>
          <w:rFonts w:ascii="Times New Roman" w:hAnsi="Times New Roman" w:eastAsia="宋体"/>
          <w:b w:val="0"/>
          <w:sz w:val="24"/>
        </w:rPr>
        <w:t>＝</w:t>
      </w:r>
      <m:oMath>
        <m:sSub>
          <m:e>
            <m:r>
              <w:rPr>
                <w:rFonts w:ascii="Cambria Math" w:hAnsi="Cambria Math"/>
              </w:rPr>
              <m:t xml:space="preserve">y</m:t>
            </m:r>
            <m:d>
              <m:dPr>
                <m:begChr m:val="("/>
                <m:endChr m:val=")"/>
              </m:dPr>
              <m:e>
                <m:r>
                  <w:rPr>
                    <w:rFonts w:ascii="Cambria Math" w:hAnsi="Cambria Math"/>
                  </w:rPr>
                  <m:t xml:space="preserve">t</m:t>
                </m:r>
              </m:e>
            </m:d>
          </m:e>
          <m:sub>
            <m:r>
              <w:rPr>
                <w:rFonts w:ascii="Cambria Math" w:hAnsi="Cambria Math"/>
              </w:rPr>
              <m:t xml:space="preserve">u</m:t>
            </m:r>
          </m:sub>
        </m:sSub>
      </m:oMath>
      <w:r>
        <w:rPr>
          <w:rFonts w:ascii="Times New Roman" w:hAnsi="Times New Roman" w:eastAsia="宋体"/>
          <w:b w:val="0"/>
          <w:sz w:val="24"/>
        </w:rPr>
        <w:t>/</w:t>
      </w:r>
      <m:oMath>
        <m:sSub>
          <m:e>
            <m:r>
              <w:rPr>
                <w:rFonts w:ascii="Cambria Math" w:hAnsi="Cambria Math"/>
              </w:rPr>
              <m:t xml:space="preserve">y</m:t>
            </m:r>
            <m:d>
              <m:dPr>
                <m:begChr m:val="("/>
                <m:endChr m:val=")"/>
              </m:dPr>
              <m:e>
                <m:r>
                  <w:rPr>
                    <w:rFonts w:ascii="Cambria Math" w:hAnsi="Cambria Math"/>
                  </w:rPr>
                  <m:t xml:space="preserve">t</m:t>
                </m:r>
              </m:e>
            </m:d>
          </m:e>
          <m:sub>
            <m:r>
              <w:rPr>
                <w:rFonts w:ascii="Cambria Math" w:hAnsi="Cambria Math"/>
              </w:rPr>
              <m:t xml:space="preserve">r</m:t>
            </m:r>
          </m:sub>
        </m:sSub>
      </m:oMath>
      <w:r>
        <w:rPr>
          <w:rFonts w:ascii="Times New Roman" w:hAnsi="Times New Roman" w:eastAsia="宋体"/>
          <w:b w:val="0"/>
          <w:sz w:val="24"/>
        </w:rPr>
        <w:t>，结合式(8)(9)，其动态方程为：</w:t>
      </w:r>
    </w:p>
    <w:p>
      <w:pPr>
        <w:tabs>
          <w:tab w:pos="4156" w:val="center"/>
          <w:tab w:pos="8311" w:val="right"/>
        </w:tabs>
        <w:spacing w:before="80" w:after="80" w:line="360" w:lineRule="auto"/>
        <w:jc w:val="left"/>
      </w:pPr>
      <w:r>
        <w:tab/>
      </w:r>
      <m:oMath>
        <m:f>
          <m:num>
            <m:r>
              <w:rPr>
                <w:rFonts w:ascii="Cambria Math" w:hAnsi="Cambria Math"/>
              </w:rPr>
              <m:t xml:space="preserve">d</m:t>
            </m:r>
            <m:r>
              <m:rPr>
                <m:sty m:val="p"/>
              </m:rPr>
              <w:rPr>
                <w:rFonts w:ascii="Cambria Math" w:hAnsi="Cambria Math"/>
              </w:rPr>
              <m:t xml:space="preserve">ln</m:t>
            </m:r>
            <m:r>
              <w:rPr>
                <w:rFonts w:ascii="Cambria Math" w:hAnsi="Cambria Math"/>
              </w:rPr>
              <m:t xml:space="preserve">B</m:t>
            </m:r>
            <m:d>
              <m:dPr>
                <m:begChr m:val="("/>
                <m:endChr m:val=")"/>
              </m:dPr>
              <m:e>
                <m:r>
                  <w:rPr>
                    <w:rFonts w:ascii="Cambria Math" w:hAnsi="Cambria Math"/>
                  </w:rPr>
                  <m:t xml:space="preserve">t</m:t>
                </m:r>
              </m:e>
            </m:d>
          </m:num>
          <m:den>
            <m:r>
              <w:rPr>
                <w:rFonts w:ascii="Cambria Math" w:hAnsi="Cambria Math"/>
              </w:rPr>
              <m:t xml:space="preserve">d</m:t>
            </m:r>
            <m:r>
              <w:rPr>
                <w:rFonts w:ascii="Cambria Math" w:hAnsi="Cambria Math"/>
              </w:rPr>
              <m:t xml:space="preserve">t</m:t>
            </m:r>
          </m:den>
        </m:f>
        <m:r>
          <w:rPr>
            <w:rFonts w:ascii="Cambria Math" w:hAnsi="Cambria Math"/>
          </w:rPr>
          <m:t xml:space="preserve">=</m:t>
        </m:r>
        <m:r>
          <w:rPr>
            <w:rFonts w:ascii="Cambria Math" w:hAnsi="Cambria Math"/>
          </w:rPr>
          <m:t xml:space="preserve">ε</m:t>
        </m:r>
        <m:r>
          <w:rPr>
            <w:rFonts w:ascii="Cambria Math" w:hAnsi="Cambria Math"/>
          </w:rPr>
          <m:t xml:space="preserve">·</m:t>
        </m:r>
        <m:d>
          <m:dPr>
            <m:begChr m:val="("/>
            <m:endChr m:val=")"/>
          </m:dPr>
          <m:e>
            <m:sSub>
              <m:e>
                <m:r>
                  <w:rPr>
                    <w:rFonts w:ascii="Cambria Math" w:hAnsi="Cambria Math"/>
                  </w:rPr>
                  <m:t xml:space="preserve">γ</m:t>
                </m:r>
              </m:e>
              <m:sub>
                <m:r>
                  <w:rPr>
                    <w:rFonts w:ascii="Cambria Math" w:hAnsi="Cambria Math"/>
                  </w:rPr>
                  <m:t xml:space="preserve">u</m:t>
                </m:r>
              </m:sub>
            </m:sSub>
            <m:r>
              <w:rPr>
                <w:rFonts w:ascii="Cambria Math" w:hAnsi="Cambria Math"/>
              </w:rPr>
              <m:t xml:space="preserve">−</m:t>
            </m:r>
            <m:r>
              <w:rPr>
                <w:rFonts w:ascii="Cambria Math" w:hAnsi="Cambria Math"/>
              </w:rPr>
              <m:t xml:space="preserve">ψ</m:t>
            </m:r>
            <m:r>
              <w:rPr>
                <w:rFonts w:ascii="Cambria Math" w:hAnsi="Cambria Math"/>
              </w:rPr>
              <m:t xml:space="preserve">·</m:t>
            </m:r>
            <m:sSub>
              <m:e>
                <m:r>
                  <w:rPr>
                    <w:rFonts w:ascii="Cambria Math" w:hAnsi="Cambria Math"/>
                  </w:rPr>
                  <m:t xml:space="preserve">θ</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G</m:t>
                </m:r>
              </m:sub>
            </m:sSub>
          </m:e>
        </m:d>
      </m:oMath>
      <w:r>
        <w:tab/>
      </w:r>
      <w:r>
        <w:rPr>
          <w:rFonts w:ascii="Times New Roman" w:hAnsi="Times New Roman" w:eastAsia="宋体"/>
          <w:b w:val="0"/>
          <w:sz w:val="24"/>
        </w:rPr>
        <w:t>（10）</w:t>
      </w:r>
    </w:p>
    <w:p>
      <w:pPr>
        <w:spacing w:line="360" w:lineRule="auto" w:after="0"/>
        <w:ind w:firstLine="480"/>
        <w:jc w:val="both"/>
      </w:pPr>
      <w:r>
        <w:rPr>
          <w:rFonts w:ascii="Times New Roman" w:hAnsi="Times New Roman" w:eastAsia="宋体"/>
          <w:b w:val="0"/>
          <w:sz w:val="24"/>
        </w:rPr>
        <w:t>其中</w:t>
      </w:r>
      <m:oMath>
        <m:sSub>
          <m:e>
            <m:r>
              <w:rPr>
                <w:rFonts w:ascii="Cambria Math" w:hAnsi="Cambria Math"/>
              </w:rPr>
              <m:t xml:space="preserve">γ</m:t>
            </m:r>
          </m:e>
          <m:sub>
            <m:r>
              <w:rPr>
                <w:rFonts w:ascii="Cambria Math" w:hAnsi="Cambria Math"/>
              </w:rPr>
              <m:t xml:space="preserve">u</m:t>
            </m:r>
          </m:sub>
        </m:sSub>
      </m:oMath>
      <w:r>
        <w:rPr>
          <w:rFonts w:ascii="Times New Roman" w:hAnsi="Times New Roman" w:eastAsia="宋体"/>
          <w:b w:val="0"/>
          <w:sz w:val="24"/>
        </w:rPr>
        <w:t>为城镇人力资本增速。令式(10)等于零，得倍差收敛的阈值条件：</w:t>
      </w:r>
    </w:p>
    <w:p>
      <w:pPr>
        <w:tabs>
          <w:tab w:pos="4156" w:val="center"/>
          <w:tab w:pos="8311" w:val="right"/>
        </w:tabs>
        <w:spacing w:before="80" w:after="80" w:line="360" w:lineRule="auto"/>
        <w:jc w:val="left"/>
      </w:pPr>
      <w:r>
        <w:tab/>
      </w:r>
      <m:oMath>
        <m:sSub>
          <m:e>
            <m:r>
              <w:rPr>
                <w:rFonts w:ascii="Cambria Math" w:hAnsi="Cambria Math"/>
              </w:rPr>
              <m:t xml:space="preserve">θ̃</m:t>
            </m:r>
          </m:e>
          <m:sub>
            <m:r>
              <w:rPr>
                <w:rFonts w:ascii="Cambria Math" w:hAnsi="Cambria Math"/>
              </w:rPr>
              <m:t xml:space="preserve">3</m:t>
            </m:r>
          </m:sub>
        </m:sSub>
        <m:r>
          <w:rPr>
            <w:rFonts w:ascii="Cambria Math" w:hAnsi="Cambria Math"/>
          </w:rPr>
          <m:t xml:space="preserve">=</m:t>
        </m:r>
        <m:f>
          <m:num>
            <m:sSub>
              <m:e>
                <m:r>
                  <w:rPr>
                    <w:rFonts w:ascii="Cambria Math" w:hAnsi="Cambria Math"/>
                  </w:rPr>
                  <m:t xml:space="preserve">γ</m:t>
                </m:r>
              </m:e>
              <m:sub>
                <m:r>
                  <w:rPr>
                    <w:rFonts w:ascii="Cambria Math" w:hAnsi="Cambria Math"/>
                  </w:rPr>
                  <m:t xml:space="preserve">u</m:t>
                </m:r>
              </m:sub>
            </m:sSub>
          </m:num>
          <m:den>
            <m:r>
              <w:rPr>
                <w:rFonts w:ascii="Cambria Math" w:hAnsi="Cambria Math"/>
              </w:rPr>
              <m:t xml:space="preserve">ψ</m:t>
            </m:r>
            <m:r>
              <w:rPr>
                <w:rFonts w:ascii="Cambria Math" w:hAnsi="Cambria Math"/>
              </w:rPr>
              <m:t xml:space="preserve">·</m:t>
            </m:r>
            <m:sSub>
              <m:e>
                <m:r>
                  <w:rPr>
                    <w:rFonts w:ascii="Cambria Math" w:hAnsi="Cambria Math"/>
                  </w:rPr>
                  <m:t xml:space="preserve">q</m:t>
                </m:r>
              </m:e>
              <m:sub>
                <m:r>
                  <w:rPr>
                    <w:rFonts w:ascii="Cambria Math" w:hAnsi="Cambria Math"/>
                  </w:rPr>
                  <m:t xml:space="preserve">G</m:t>
                </m:r>
              </m:sub>
            </m:sSub>
          </m:den>
        </m:f>
      </m:oMath>
      <w:r>
        <w:tab/>
      </w:r>
      <w:r>
        <w:rPr>
          <w:rFonts w:ascii="Times New Roman" w:hAnsi="Times New Roman" w:eastAsia="宋体"/>
          <w:b w:val="0"/>
          <w:sz w:val="24"/>
        </w:rPr>
        <w:t>（11）</w:t>
      </w:r>
    </w:p>
    <w:p>
      <w:pPr>
        <w:spacing w:line="360" w:lineRule="auto" w:after="0"/>
        <w:ind w:firstLine="480"/>
        <w:jc w:val="both"/>
      </w:pPr>
      <w:r>
        <w:rPr>
          <w:rFonts w:ascii="Times New Roman" w:hAnsi="Times New Roman" w:eastAsia="宋体"/>
          <w:b w:val="0"/>
          <w:sz w:val="24"/>
        </w:rPr>
        <w:t>当</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&gt;</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时</w:t>
      </w:r>
      <m:oMath>
        <m:f>
          <m:num>
            <m:r>
              <w:rPr>
                <w:rFonts w:ascii="Cambria Math" w:hAnsi="Cambria Math"/>
              </w:rPr>
              <m:t xml:space="preserve">d</m:t>
            </m:r>
            <m:r>
              <w:rPr>
                <w:rFonts w:ascii="Cambria Math" w:hAnsi="Cambria Math"/>
              </w:rPr>
              <m:t xml:space="preserve">B</m:t>
            </m:r>
          </m:num>
          <m:den>
            <m:r>
              <w:rPr>
                <w:rFonts w:ascii="Cambria Math" w:hAnsi="Cambria Math"/>
              </w:rPr>
              <m:t xml:space="preserve">d</m:t>
            </m:r>
            <m:r>
              <w:rPr>
                <w:rFonts w:ascii="Cambria Math" w:hAnsi="Cambria Math"/>
              </w:rPr>
              <m:t xml:space="preserve">t</m:t>
            </m:r>
          </m:den>
        </m:f>
      </m:oMath>
      <w:r>
        <w:rPr>
          <w:rFonts w:ascii="Times New Roman" w:hAnsi="Times New Roman" w:eastAsia="宋体"/>
          <w:b w:val="0"/>
          <w:sz w:val="24"/>
        </w:rPr>
        <w:t>&lt;0，城乡倍差持续收敛；当</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&lt;</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时，技能溢价机制将放大初始差距，倍差发散并通过子代人力资本代际传递而固化。式(10)(11)表明：在技能偏向型技术进步背景下，城乡差距的走向并非由技术本身决定，而是由公共服务均等化的制度参数</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决定——这为“千万工程”、教共体、基本公共服务一体化等浙江实践提供了严格的理论定位。</w:t>
      </w:r>
    </w:p>
    <w:p>
      <w:pPr>
        <w:spacing w:line="360" w:lineRule="auto" w:after="0"/>
        <w:ind w:firstLine="480"/>
        <w:jc w:val="both"/>
      </w:pPr>
      <w:r>
        <w:rPr>
          <w:rFonts w:ascii="Times New Roman" w:hAnsi="Times New Roman" w:eastAsia="宋体"/>
          <w:b w:val="0"/>
          <w:sz w:val="24"/>
        </w:rPr>
        <w:t>式(8)承接方向性技术变迁文献的核心结论：新技术与高技能劳动互补、与程序化任务相替代，中国的经验研究亦确认了技术进步方向对技能溢价的解释力</w:t>
      </w:r>
      <w:r>
        <w:rPr>
          <w:rFonts w:ascii="Times New Roman" w:hAnsi="Times New Roman" w:eastAsia="宋体"/>
          <w:b w:val="0"/>
          <w:sz w:val="24"/>
          <w:vertAlign w:val="superscript"/>
        </w:rPr>
        <w:t>[17,18]</w:t>
      </w:r>
      <w:r>
        <w:rPr>
          <w:rFonts w:ascii="Times New Roman" w:hAnsi="Times New Roman" w:eastAsia="宋体"/>
          <w:b w:val="0"/>
          <w:sz w:val="24"/>
        </w:rPr>
        <w:t>。</w:t>
      </w:r>
      <m:oMath>
        <m:r>
          <w:rPr>
            <w:rFonts w:ascii="Cambria Math" w:hAnsi="Cambria Math"/>
          </w:rPr>
          <m:t xml:space="preserve">ε</m:t>
        </m:r>
      </m:oMath>
      <w:r>
        <w:rPr>
          <w:rFonts w:ascii="Times New Roman" w:hAnsi="Times New Roman" w:eastAsia="宋体"/>
          <w:b w:val="0"/>
          <w:sz w:val="24"/>
        </w:rPr>
        <w:t>&gt;1意味着人力资本差距会被技术以放大的方式写入工资差距，这正是数字时代城乡差距治理的难点所在。式(9)的两处设定亦各有深意：边际递减参数</w:t>
      </w:r>
      <m:oMath>
        <m:r>
          <w:rPr>
            <w:rFonts w:ascii="Cambria Math" w:hAnsi="Cambria Math"/>
          </w:rPr>
          <m:t xml:space="preserve">ν</m:t>
        </m:r>
      </m:oMath>
      <w:r>
        <w:rPr>
          <w:rFonts w:ascii="Times New Roman" w:hAnsi="Times New Roman" w:eastAsia="宋体"/>
          <w:b w:val="0"/>
          <w:sz w:val="24"/>
        </w:rPr>
        <w:t>刻画人力资本积累的后发优势——农村人力资本基数越低，同等公共投入的边际产出越高，这为公共服务资源向农村倾斜提供了效率依据而不仅是公平依据；</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与</w:t>
      </w:r>
      <m:oMath>
        <m:sSub>
          <m:e>
            <m:r>
              <w:rPr>
                <w:rFonts w:ascii="Cambria Math" w:hAnsi="Cambria Math"/>
              </w:rPr>
              <m:t xml:space="preserve">q</m:t>
            </m:r>
          </m:e>
          <m:sub>
            <m:r>
              <w:rPr>
                <w:rFonts w:ascii="Cambria Math" w:hAnsi="Cambria Math"/>
              </w:rPr>
              <m:t xml:space="preserve">G</m:t>
            </m:r>
          </m:sub>
        </m:sSub>
      </m:oMath>
      <w:r>
        <w:rPr>
          <w:rFonts w:ascii="Times New Roman" w:hAnsi="Times New Roman" w:eastAsia="宋体"/>
          <w:b w:val="0"/>
          <w:sz w:val="24"/>
        </w:rPr>
        <w:t>的分离则强调投入规模与配置结构是两回事：同样的投入占比若在城乡间配置失衡，反哺农村的有效强度依然很低，这正是“均等化”成为关键词的原因。</w:t>
      </w:r>
    </w:p>
    <w:p>
      <w:pPr>
        <w:spacing w:line="360" w:lineRule="auto" w:after="0"/>
        <w:ind w:firstLine="480"/>
        <w:jc w:val="both"/>
      </w:pPr>
      <w:r>
        <w:rPr>
          <w:rFonts w:ascii="Times New Roman" w:hAnsi="Times New Roman" w:eastAsia="宋体"/>
          <w:b w:val="0"/>
          <w:sz w:val="24"/>
        </w:rPr>
        <w:t>阈值条件(11)的直观含义是一场积累速度的赛跑。城镇人力资本凭借集聚效应与优质教育资源以速率</w:t>
      </w:r>
      <m:oMath>
        <m:sSub>
          <m:e>
            <m:r>
              <w:rPr>
                <w:rFonts w:ascii="Cambria Math" w:hAnsi="Cambria Math"/>
              </w:rPr>
              <m:t xml:space="preserve">γ</m:t>
            </m:r>
          </m:e>
          <m:sub>
            <m:r>
              <w:rPr>
                <w:rFonts w:ascii="Cambria Math" w:hAnsi="Cambria Math"/>
              </w:rPr>
              <m:t xml:space="preserve">u</m:t>
            </m:r>
          </m:sub>
        </m:sSub>
      </m:oMath>
      <w:r>
        <w:rPr>
          <w:rFonts w:ascii="Times New Roman" w:hAnsi="Times New Roman" w:eastAsia="宋体"/>
          <w:b w:val="0"/>
          <w:sz w:val="24"/>
        </w:rPr>
        <w:t>自我累积，农村人力资本则主要依赖公共服务反哺；只有当反哺的有效强度使农村积累速度追平城镇，倍差才进入收敛通道，否则技能溢价机制将持续放大初始差距并代际固化。这一视角对经典倒U假说构成修正：库兹涅茨曲线预言的差距自动回落并无必然性，发达经济体收入差距在二十世纪后期重新扩大即为明证</w:t>
      </w:r>
      <w:r>
        <w:rPr>
          <w:rFonts w:ascii="Times New Roman" w:hAnsi="Times New Roman" w:eastAsia="宋体"/>
          <w:b w:val="0"/>
          <w:sz w:val="24"/>
          <w:vertAlign w:val="superscript"/>
        </w:rPr>
        <w:t>[11,12]</w:t>
      </w:r>
      <w:r>
        <w:rPr>
          <w:rFonts w:ascii="Times New Roman" w:hAnsi="Times New Roman" w:eastAsia="宋体"/>
          <w:b w:val="0"/>
          <w:sz w:val="24"/>
        </w:rPr>
        <w:t>；若公共资源配置存在系统性城市倾向，</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将被制度性压低，收敛更无从谈起</w:t>
      </w:r>
      <w:r>
        <w:rPr>
          <w:rFonts w:ascii="Times New Roman" w:hAnsi="Times New Roman" w:eastAsia="宋体"/>
          <w:b w:val="0"/>
          <w:sz w:val="24"/>
          <w:vertAlign w:val="superscript"/>
        </w:rPr>
        <w:t>[16]</w:t>
      </w:r>
      <w:r>
        <w:rPr>
          <w:rFonts w:ascii="Times New Roman" w:hAnsi="Times New Roman" w:eastAsia="宋体"/>
          <w:b w:val="0"/>
          <w:sz w:val="24"/>
        </w:rPr>
        <w:t>。模型由此把城乡差距走向的答案，从技术与市场手中转交到制度参数手中。</w:t>
      </w:r>
    </w:p>
    <w:p>
      <w:pPr>
        <w:spacing w:line="360" w:lineRule="auto" w:after="0"/>
        <w:ind w:firstLine="480"/>
        <w:jc w:val="both"/>
      </w:pPr>
      <w:r>
        <w:rPr>
          <w:rFonts w:ascii="Times New Roman" w:hAnsi="Times New Roman" w:eastAsia="宋体"/>
          <w:b w:val="0"/>
          <w:sz w:val="24"/>
        </w:rPr>
        <w:t>浙江经验恰好提供了</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&gt;</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情形的长周期样本。自2003年“千万工程”实施以来，全省城乡居民收入倍差由2.43持续缩小至2024年的1.83，显著低于同期全国的2.34；城乡义务教育共同体覆盖所有乡村学校，2022年公办学校结对覆盖率达95%以上，县域医共体建设与“一市三县”基本公共服务一体化试点推动优质公共服务下沉。以模型语言概括：二十余年一以贯之的均等化制度供给使</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长期稳定在阈值之上，倍差的单调收敛正是式(10)在收敛域内运行的经验轨迹；反面风险同样存在——倘若均等化停滞而技术偏向加深，</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水涨船高，收敛态势并非不可逆转。</w:t>
      </w:r>
    </w:p>
    <w:p>
      <w:pPr>
        <w:spacing w:line="360" w:lineRule="auto" w:after="80"/>
        <w:jc w:val="left"/>
      </w:pPr>
      <w:r>
        <w:rPr>
          <w:rFonts w:ascii="Times New Roman" w:hAnsi="Times New Roman" w:eastAsia="黑体"/>
          <w:b/>
          <w:sz w:val="28"/>
        </w:rPr>
        <w:t>（三）双系统耦合的动态演化与均衡分析</w:t>
      </w:r>
    </w:p>
    <w:p>
      <w:pPr>
        <w:spacing w:line="360" w:lineRule="auto" w:after="0"/>
        <w:ind w:firstLine="480"/>
        <w:jc w:val="both"/>
      </w:pPr>
      <w:r>
        <w:rPr>
          <w:rFonts w:ascii="Times New Roman" w:hAnsi="Times New Roman" w:eastAsia="宋体"/>
          <w:b w:val="0"/>
          <w:sz w:val="24"/>
        </w:rPr>
        <w:t>将上述结构性机制压缩为两个系统综合水平的交互动态。设</w:t>
      </w:r>
      <m:oMath>
        <m:sSub>
          <m:e>
            <m:r>
              <w:rPr>
                <w:rFonts w:ascii="Cambria Math" w:hAnsi="Cambria Math"/>
              </w:rPr>
              <m:t xml:space="preserve">U</m:t>
            </m:r>
            <m:d>
              <m:dPr>
                <m:begChr m:val="("/>
                <m:endChr m:val=")"/>
              </m:dPr>
              <m:e>
                <m:r>
                  <w:rPr>
                    <w:rFonts w:ascii="Cambria Math" w:hAnsi="Cambria Math"/>
                  </w:rPr>
                  <m:t xml:space="preserve">t</m:t>
                </m:r>
              </m:e>
            </m:d>
          </m:e>
          <m:sub>
            <m:r>
              <w:rPr>
                <w:rFonts w:ascii="Cambria Math" w:hAnsi="Cambria Math"/>
              </w:rPr>
              <m:t xml:space="preserve">1</m:t>
            </m:r>
          </m:sub>
        </m:sSub>
      </m:oMath>
      <w:r>
        <w:rPr>
          <w:rFonts w:ascii="Times New Roman" w:hAnsi="Times New Roman" w:eastAsia="宋体"/>
          <w:b w:val="0"/>
          <w:sz w:val="24"/>
        </w:rPr>
        <w:t>、</w:t>
      </w:r>
      <m:oMath>
        <m:sSub>
          <m:e>
            <m:r>
              <w:rPr>
                <w:rFonts w:ascii="Cambria Math" w:hAnsi="Cambria Math"/>
              </w:rPr>
              <m:t xml:space="preserve">U</m:t>
            </m:r>
            <m:d>
              <m:dPr>
                <m:begChr m:val="("/>
                <m:endChr m:val=")"/>
              </m:dPr>
              <m:e>
                <m:r>
                  <w:rPr>
                    <w:rFonts w:ascii="Cambria Math" w:hAnsi="Cambria Math"/>
                  </w:rPr>
                  <m:t xml:space="preserve">t</m:t>
                </m:r>
              </m:e>
            </m:d>
          </m:e>
          <m:sub>
            <m:r>
              <w:rPr>
                <w:rFonts w:ascii="Cambria Math" w:hAnsi="Cambria Math"/>
              </w:rPr>
              <m:t xml:space="preserve">2</m:t>
            </m:r>
          </m:sub>
        </m:sSub>
      </m:oMath>
      <w:r>
        <w:rPr>
          <w:rFonts w:ascii="Times New Roman" w:hAnsi="Times New Roman" w:eastAsia="宋体"/>
          <w:b w:val="0"/>
          <w:sz w:val="24"/>
        </w:rPr>
        <w:t>分别为新质生产力系统与共同富裕系统的综合发展水平（与实证章的指数测度对应），借鉴系统耦合分析的建模传统[126,127]，采用带交互项的逻辑斯蒂增长方程刻画其协同演化：</w:t>
      </w:r>
    </w:p>
    <w:p>
      <w:pPr>
        <w:tabs>
          <w:tab w:pos="4156" w:val="center"/>
          <w:tab w:pos="8311" w:val="right"/>
        </w:tabs>
        <w:spacing w:before="80" w:after="80" w:line="360" w:lineRule="auto"/>
        <w:jc w:val="left"/>
      </w:pPr>
      <w:r>
        <w:tab/>
      </w:r>
      <m:oMath>
        <m:f>
          <m:num>
            <m:r>
              <w:rPr>
                <w:rFonts w:ascii="Cambria Math" w:hAnsi="Cambria Math"/>
              </w:rPr>
              <m:t xml:space="preserve">d</m:t>
            </m:r>
            <m:sSub>
              <m:e>
                <m:r>
                  <w:rPr>
                    <w:rFonts w:ascii="Cambria Math" w:hAnsi="Cambria Math"/>
                  </w:rPr>
                  <m:t xml:space="preserve">U</m:t>
                </m:r>
              </m:e>
              <m:sub>
                <m:r>
                  <w:rPr>
                    <w:rFonts w:ascii="Cambria Math" w:hAnsi="Cambria Math"/>
                  </w:rPr>
                  <m:t xml:space="preserve">1</m:t>
                </m:r>
              </m:sub>
            </m:sSub>
          </m:num>
          <m:den>
            <m:r>
              <w:rPr>
                <w:rFonts w:ascii="Cambria Math" w:hAnsi="Cambria Math"/>
              </w:rPr>
              <m:t xml:space="preserve">d</m:t>
            </m:r>
            <m:r>
              <w:rPr>
                <w:rFonts w:ascii="Cambria Math" w:hAnsi="Cambria Math"/>
              </w:rPr>
              <m:t xml:space="preserve">t</m:t>
            </m:r>
          </m:den>
        </m:f>
        <m:r>
          <w:rPr>
            <w:rFonts w:ascii="Cambria Math" w:hAnsi="Cambria Math"/>
          </w:rPr>
          <m:t xml:space="preserve">=</m:t>
        </m:r>
        <m:sSub>
          <m:e>
            <m:r>
              <w:rPr>
                <w:rFonts w:ascii="Cambria Math" w:hAnsi="Cambria Math"/>
              </w:rPr>
              <m:t xml:space="preserve">r</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1</m:t>
            </m:r>
          </m:sub>
        </m:sSub>
        <m:r>
          <w:rPr>
            <w:rFonts w:ascii="Cambria Math" w:hAnsi="Cambria Math"/>
          </w:rPr>
          <m:t xml:space="preserve">·</m:t>
        </m:r>
        <m:d>
          <m:dPr>
            <m:begChr m:val="("/>
            <m:endChr m:val=")"/>
          </m:dPr>
          <m:e>
            <m:r>
              <w:rPr>
                <w:rFonts w:ascii="Cambria Math" w:hAnsi="Cambria Math"/>
              </w:rPr>
              <m:t xml:space="preserve">1−</m:t>
            </m:r>
            <m:sSub>
              <m:e>
                <m:r>
                  <w:rPr>
                    <w:rFonts w:ascii="Cambria Math" w:hAnsi="Cambria Math"/>
                  </w:rPr>
                  <m:t xml:space="preserve">U</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η</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2</m:t>
                </m:r>
              </m:sub>
            </m:sSub>
          </m:e>
        </m:d>
      </m:oMath>
      <w:r>
        <w:tab/>
      </w:r>
      <w:r>
        <w:rPr>
          <w:rFonts w:ascii="Times New Roman" w:hAnsi="Times New Roman" w:eastAsia="宋体"/>
          <w:b w:val="0"/>
          <w:sz w:val="24"/>
        </w:rPr>
        <w:t>（12）</w:t>
      </w:r>
    </w:p>
    <w:p>
      <w:pPr>
        <w:tabs>
          <w:tab w:pos="4156" w:val="center"/>
          <w:tab w:pos="8311" w:val="right"/>
        </w:tabs>
        <w:spacing w:before="80" w:after="80" w:line="360" w:lineRule="auto"/>
        <w:jc w:val="left"/>
      </w:pPr>
      <w:r>
        <w:tab/>
      </w:r>
      <m:oMath>
        <m:f>
          <m:num>
            <m:r>
              <w:rPr>
                <w:rFonts w:ascii="Cambria Math" w:hAnsi="Cambria Math"/>
              </w:rPr>
              <m:t xml:space="preserve">d</m:t>
            </m:r>
            <m:sSub>
              <m:e>
                <m:r>
                  <w:rPr>
                    <w:rFonts w:ascii="Cambria Math" w:hAnsi="Cambria Math"/>
                  </w:rPr>
                  <m:t xml:space="preserve">U</m:t>
                </m:r>
              </m:e>
              <m:sub>
                <m:r>
                  <w:rPr>
                    <w:rFonts w:ascii="Cambria Math" w:hAnsi="Cambria Math"/>
                  </w:rPr>
                  <m:t xml:space="preserve">2</m:t>
                </m:r>
              </m:sub>
            </m:sSub>
          </m:num>
          <m:den>
            <m:r>
              <w:rPr>
                <w:rFonts w:ascii="Cambria Math" w:hAnsi="Cambria Math"/>
              </w:rPr>
              <m:t xml:space="preserve">d</m:t>
            </m:r>
            <m:r>
              <w:rPr>
                <w:rFonts w:ascii="Cambria Math" w:hAnsi="Cambria Math"/>
              </w:rPr>
              <m:t xml:space="preserve">t</m:t>
            </m:r>
          </m:den>
        </m:f>
        <m:r>
          <w:rPr>
            <w:rFonts w:ascii="Cambria Math" w:hAnsi="Cambria Math"/>
          </w:rPr>
          <m:t xml:space="preserve">=</m:t>
        </m:r>
        <m:sSub>
          <m:e>
            <m:r>
              <w:rPr>
                <w:rFonts w:ascii="Cambria Math" w:hAnsi="Cambria Math"/>
              </w:rPr>
              <m:t xml:space="preserve">r</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2</m:t>
            </m:r>
          </m:sub>
        </m:sSub>
        <m:r>
          <w:rPr>
            <w:rFonts w:ascii="Cambria Math" w:hAnsi="Cambria Math"/>
          </w:rPr>
          <m:t xml:space="preserve">·</m:t>
        </m:r>
        <m:d>
          <m:dPr>
            <m:begChr m:val="("/>
            <m:endChr m:val=")"/>
          </m:dPr>
          <m:e>
            <m:r>
              <w:rPr>
                <w:rFonts w:ascii="Cambria Math" w:hAnsi="Cambria Math"/>
              </w:rPr>
              <m:t xml:space="preserve">1−</m:t>
            </m:r>
            <m:sSub>
              <m:e>
                <m:r>
                  <w:rPr>
                    <w:rFonts w:ascii="Cambria Math" w:hAnsi="Cambria Math"/>
                  </w:rPr>
                  <m:t xml:space="preserve">U</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η</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1</m:t>
                </m:r>
              </m:sub>
            </m:sSub>
          </m:e>
        </m:d>
      </m:oMath>
      <w:r>
        <w:tab/>
      </w:r>
      <w:r>
        <w:rPr>
          <w:rFonts w:ascii="Times New Roman" w:hAnsi="Times New Roman" w:eastAsia="宋体"/>
          <w:b w:val="0"/>
          <w:sz w:val="24"/>
        </w:rPr>
        <w:t>（13）</w:t>
      </w:r>
    </w:p>
    <w:p>
      <w:pPr>
        <w:spacing w:line="360" w:lineRule="auto" w:after="0"/>
        <w:ind w:firstLine="480"/>
        <w:jc w:val="both"/>
      </w:pPr>
      <w:r>
        <w:rPr>
          <w:rFonts w:ascii="Times New Roman" w:hAnsi="Times New Roman" w:eastAsia="宋体"/>
          <w:b w:val="0"/>
          <w:sz w:val="24"/>
        </w:rPr>
        <w:t>其中</w:t>
      </w:r>
      <m:oMath>
        <m:sSub>
          <m:e>
            <m:r>
              <w:rPr>
                <w:rFonts w:ascii="Cambria Math" w:hAnsi="Cambria Math"/>
              </w:rPr>
              <m:t xml:space="preserve">r</m:t>
            </m:r>
          </m:e>
          <m:sub>
            <m:r>
              <w:rPr>
                <w:rFonts w:ascii="Cambria Math" w:hAnsi="Cambria Math"/>
              </w:rPr>
              <m:t xml:space="preserve">1</m:t>
            </m:r>
          </m:sub>
        </m:sSub>
      </m:oMath>
      <w:r>
        <w:rPr>
          <w:rFonts w:ascii="Times New Roman" w:hAnsi="Times New Roman" w:eastAsia="宋体"/>
          <w:b w:val="0"/>
          <w:sz w:val="24"/>
        </w:rPr>
        <w:t>、</w:t>
      </w:r>
      <m:oMath>
        <m:sSub>
          <m:e>
            <m:r>
              <w:rPr>
                <w:rFonts w:ascii="Cambria Math" w:hAnsi="Cambria Math"/>
              </w:rPr>
              <m:t xml:space="preserve">r</m:t>
            </m:r>
          </m:e>
          <m:sub>
            <m:r>
              <w:rPr>
                <w:rFonts w:ascii="Cambria Math" w:hAnsi="Cambria Math"/>
              </w:rPr>
              <m:t xml:space="preserve">2</m:t>
            </m:r>
          </m:sub>
        </m:sSub>
      </m:oMath>
      <w:r>
        <w:rPr>
          <w:rFonts w:ascii="Times New Roman" w:hAnsi="Times New Roman" w:eastAsia="宋体"/>
          <w:b w:val="0"/>
          <w:sz w:val="24"/>
        </w:rPr>
        <w:t>&gt;0为两系统的自我发展速率；</w:t>
      </w:r>
      <m:oMath>
        <m:sSub>
          <m:e>
            <m:r>
              <w:rPr>
                <w:rFonts w:ascii="Cambria Math" w:hAnsi="Cambria Math"/>
              </w:rPr>
              <m:t xml:space="preserve">η</m:t>
            </m:r>
          </m:e>
          <m:sub>
            <m:r>
              <w:rPr>
                <w:rFonts w:ascii="Cambria Math" w:hAnsi="Cambria Math"/>
              </w:rPr>
              <m:t xml:space="preserve">2</m:t>
            </m:r>
          </m:sub>
        </m:sSub>
      </m:oMath>
      <w:r>
        <w:rPr>
          <w:rFonts w:ascii="Times New Roman" w:hAnsi="Times New Roman" w:eastAsia="宋体"/>
          <w:b w:val="0"/>
          <w:sz w:val="24"/>
        </w:rPr>
        <w:t>≥0为新质生产力对共同富裕的赋能强度，由关口Ⅰ、关口Ⅱ的参数决定，</w:t>
      </w:r>
      <m:oMath>
        <m:sSub>
          <m:e>
            <m:r>
              <w:rPr>
                <w:rFonts w:ascii="Cambria Math" w:hAnsi="Cambria Math"/>
              </w:rPr>
              <m:t xml:space="preserve">η</m:t>
            </m:r>
          </m:e>
          <m:sub>
            <m:r>
              <w:rPr>
                <w:rFonts w:ascii="Cambria Math" w:hAnsi="Cambria Math"/>
              </w:rPr>
              <m:t xml:space="preserve">2</m:t>
            </m:r>
          </m:sub>
        </m:sSub>
      </m:oMath>
      <w:r>
        <w:rPr>
          <w:rFonts w:ascii="Times New Roman" w:hAnsi="Times New Roman" w:eastAsia="宋体"/>
          <w:b w:val="0"/>
          <w:sz w:val="24"/>
        </w:rPr>
        <w:t>＝</w:t>
      </w:r>
      <m:oMath>
        <m:sSub>
          <m:e>
            <m:r>
              <w:rPr>
                <w:rFonts w:ascii="Cambria Math" w:hAnsi="Cambria Math"/>
              </w:rPr>
              <m:t xml:space="preserve">η</m:t>
            </m:r>
          </m:e>
          <m:sub>
            <m:r>
              <w:rPr>
                <w:rFonts w:ascii="Cambria Math" w:hAnsi="Cambria Math"/>
              </w:rPr>
              <m:t xml:space="preserve">2</m:t>
            </m:r>
          </m:sub>
        </m:sSub>
      </m:oMath>
      <w:r>
        <w:rPr>
          <w:rFonts w:ascii="Times New Roman" w:hAnsi="Times New Roman" w:eastAsia="宋体"/>
          <w:b w:val="0"/>
          <w:sz w:val="24"/>
        </w:rPr>
        <w:t>(</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w:t>
      </w:r>
      <m:oMath>
        <m:sSub>
          <m:e>
            <m:r>
              <w:rPr>
                <w:rFonts w:ascii="Cambria Math" w:hAnsi="Cambria Math"/>
              </w:rPr>
              <m:t xml:space="preserve">θ</m:t>
            </m:r>
          </m:e>
          <m:sub>
            <m:r>
              <w:rPr>
                <w:rFonts w:ascii="Cambria Math" w:hAnsi="Cambria Math"/>
              </w:rPr>
              <m:t xml:space="preserve">2</m:t>
            </m:r>
          </m:sub>
        </m:sSub>
      </m:oMath>
      <w:r>
        <w:rPr>
          <w:rFonts w:ascii="Times New Roman" w:hAnsi="Times New Roman" w:eastAsia="宋体"/>
          <w:b w:val="0"/>
          <w:sz w:val="24"/>
        </w:rPr>
        <w:t>)且对两者均递增；</w:t>
      </w:r>
      <m:oMath>
        <m:sSub>
          <m:e>
            <m:r>
              <w:rPr>
                <w:rFonts w:ascii="Cambria Math" w:hAnsi="Cambria Math"/>
              </w:rPr>
              <m:t xml:space="preserve">η</m:t>
            </m:r>
          </m:e>
          <m:sub>
            <m:r>
              <w:rPr>
                <w:rFonts w:ascii="Cambria Math" w:hAnsi="Cambria Math"/>
              </w:rPr>
              <m:t xml:space="preserve">1</m:t>
            </m:r>
          </m:sub>
        </m:sSub>
      </m:oMath>
      <w:r>
        <w:rPr>
          <w:rFonts w:ascii="Times New Roman" w:hAnsi="Times New Roman" w:eastAsia="宋体"/>
          <w:b w:val="0"/>
          <w:sz w:val="24"/>
        </w:rPr>
        <w:t>≥0为共同富裕对新质生产力的反哺强度，由关口Ⅲ的参数决定，</w:t>
      </w:r>
      <m:oMath>
        <m:sSub>
          <m:e>
            <m:r>
              <w:rPr>
                <w:rFonts w:ascii="Cambria Math" w:hAnsi="Cambria Math"/>
              </w:rPr>
              <m:t xml:space="preserve">η</m:t>
            </m:r>
          </m:e>
          <m:sub>
            <m:r>
              <w:rPr>
                <w:rFonts w:ascii="Cambria Math" w:hAnsi="Cambria Math"/>
              </w:rPr>
              <m:t xml:space="preserve">1</m:t>
            </m:r>
          </m:sub>
        </m:sSub>
      </m:oMath>
      <w:r>
        <w:rPr>
          <w:rFonts w:ascii="Times New Roman" w:hAnsi="Times New Roman" w:eastAsia="宋体"/>
          <w:b w:val="0"/>
          <w:sz w:val="24"/>
        </w:rPr>
        <w:t>＝</w:t>
      </w:r>
      <m:oMath>
        <m:sSub>
          <m:e>
            <m:r>
              <w:rPr>
                <w:rFonts w:ascii="Cambria Math" w:hAnsi="Cambria Math"/>
              </w:rPr>
              <m:t xml:space="preserve">η</m:t>
            </m:r>
          </m:e>
          <m:sub>
            <m:r>
              <w:rPr>
                <w:rFonts w:ascii="Cambria Math" w:hAnsi="Cambria Math"/>
              </w:rPr>
              <m:t xml:space="preserve">1</m:t>
            </m:r>
          </m:sub>
        </m:sSub>
      </m:oMath>
      <w:r>
        <w:rPr>
          <w:rFonts w:ascii="Times New Roman" w:hAnsi="Times New Roman" w:eastAsia="宋体"/>
          <w:b w:val="0"/>
          <w:sz w:val="24"/>
        </w:rPr>
        <w:t>(</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)且递增。1为各系统以自身要素所能达到的潜在容量基准，交互项</w:t>
      </w:r>
      <m:oMath>
        <m:sSub>
          <m:e>
            <m:r>
              <w:rPr>
                <w:rFonts w:ascii="Cambria Math" w:hAnsi="Cambria Math"/>
              </w:rPr>
              <m:t xml:space="preserve">η</m:t>
            </m:r>
          </m:e>
          <m:sub>
            <m:r>
              <w:rPr>
                <w:rFonts w:ascii="Cambria Math" w:hAnsi="Cambria Math"/>
              </w:rPr>
              <m:t xml:space="preserve">1</m:t>
            </m:r>
          </m:sub>
        </m:sSub>
      </m:oMath>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与</w:t>
      </w:r>
      <m:oMath>
        <m:sSub>
          <m:e>
            <m:r>
              <w:rPr>
                <w:rFonts w:ascii="Cambria Math" w:hAnsi="Cambria Math"/>
              </w:rPr>
              <m:t xml:space="preserve">η</m:t>
            </m:r>
          </m:e>
          <m:sub>
            <m:r>
              <w:rPr>
                <w:rFonts w:ascii="Cambria Math" w:hAnsi="Cambria Math"/>
              </w:rPr>
              <m:t xml:space="preserve">2</m:t>
            </m:r>
          </m:sub>
        </m:sSub>
      </m:oMath>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表示对方系统的发展对本系统容量边界的扩张效应。</w:t>
      </w:r>
    </w:p>
    <w:p>
      <w:pPr>
        <w:spacing w:line="360" w:lineRule="auto" w:after="0"/>
        <w:ind w:firstLine="480"/>
        <w:jc w:val="both"/>
      </w:pPr>
      <w:r>
        <w:rPr>
          <w:rFonts w:ascii="Times New Roman" w:hAnsi="Times New Roman" w:eastAsia="宋体"/>
          <w:b w:val="0"/>
          <w:sz w:val="24"/>
        </w:rPr>
        <w:t>方程(12)(13)的设定有明确的生态学渊源。逻辑斯蒂增长刻画资源约束下起步缓慢、中段加速、逼近容量后饱和的S形成长，与制度系统能力建设的节奏吻合；带正交互项的双逻辑斯蒂系统则源于种群生态学的互惠共生模型，两个种群通过相互提供资源扩张对方的生境容量。移植到本报告语境：新质生产力系统输送就业岗位、财政能力与优质供给，共同富裕系统回馈人力资本、内需市场与稳定预期，恰构成制度意义上的互惠共生。系统耦合研究在国内地理学与经济学中积累深厚[110,111]，近年发展出系统化概念框架[113,114]，但多数应用停留在指数层面的耦合度计算，动力学基础薄弱且时有误用[126,127]；本模型反其道而行，先立动力学结构，再嵌入协调度指标，使实证测度获得动力学解释。</w:t>
      </w:r>
    </w:p>
    <w:p>
      <w:pPr>
        <w:spacing w:line="360" w:lineRule="auto" w:after="0"/>
        <w:ind w:firstLine="480"/>
        <w:jc w:val="both"/>
      </w:pPr>
      <w:r>
        <w:rPr>
          <w:rFonts w:ascii="Times New Roman" w:hAnsi="Times New Roman" w:eastAsia="宋体"/>
          <w:b w:val="0"/>
          <w:sz w:val="24"/>
        </w:rPr>
        <w:t>联立</w:t>
      </w:r>
      <m:oMath>
        <m:f>
          <m:num>
            <m:r>
              <w:rPr>
                <w:rFonts w:ascii="Cambria Math" w:hAnsi="Cambria Math"/>
              </w:rPr>
              <m:t xml:space="preserve">d</m:t>
            </m:r>
            <m:sSub>
              <m:e>
                <m:r>
                  <w:rPr>
                    <w:rFonts w:ascii="Cambria Math" w:hAnsi="Cambria Math"/>
                  </w:rPr>
                  <m:t xml:space="preserve">U</m:t>
                </m:r>
              </m:e>
              <m:sub>
                <m:r>
                  <w:rPr>
                    <w:rFonts w:ascii="Cambria Math" w:hAnsi="Cambria Math"/>
                  </w:rPr>
                  <m:t xml:space="preserve">1</m:t>
                </m:r>
              </m:sub>
            </m:sSub>
          </m:num>
          <m:den>
            <m:r>
              <w:rPr>
                <w:rFonts w:ascii="Cambria Math" w:hAnsi="Cambria Math"/>
              </w:rPr>
              <m:t xml:space="preserve">d</m:t>
            </m:r>
            <m:r>
              <w:rPr>
                <w:rFonts w:ascii="Cambria Math" w:hAnsi="Cambria Math"/>
              </w:rPr>
              <m:t xml:space="preserve">t</m:t>
            </m:r>
          </m:den>
        </m:f>
        <m:r>
          <w:rPr>
            <w:rFonts w:ascii="Cambria Math" w:hAnsi="Cambria Math"/>
          </w:rPr>
          <m:t xml:space="preserve">=0</m:t>
        </m:r>
        <m:r>
          <w:rPr>
            <w:rFonts w:ascii="Cambria Math" w:hAnsi="Cambria Math"/>
          </w:rPr>
          <m:t xml:space="preserve"> 与 </m:t>
        </m:r>
        <m:f>
          <m:num>
            <m:r>
              <w:rPr>
                <w:rFonts w:ascii="Cambria Math" w:hAnsi="Cambria Math"/>
              </w:rPr>
              <m:t xml:space="preserve">d</m:t>
            </m:r>
            <m:sSub>
              <m:e>
                <m:r>
                  <w:rPr>
                    <w:rFonts w:ascii="Cambria Math" w:hAnsi="Cambria Math"/>
                  </w:rPr>
                  <m:t xml:space="preserve">U</m:t>
                </m:r>
              </m:e>
              <m:sub>
                <m:r>
                  <w:rPr>
                    <w:rFonts w:ascii="Cambria Math" w:hAnsi="Cambria Math"/>
                  </w:rPr>
                  <m:t xml:space="preserve">2</m:t>
                </m:r>
              </m:sub>
            </m:sSub>
          </m:num>
          <m:den>
            <m:r>
              <w:rPr>
                <w:rFonts w:ascii="Cambria Math" w:hAnsi="Cambria Math"/>
              </w:rPr>
              <m:t xml:space="preserve">d</m:t>
            </m:r>
            <m:r>
              <w:rPr>
                <w:rFonts w:ascii="Cambria Math" w:hAnsi="Cambria Math"/>
              </w:rPr>
              <m:t xml:space="preserve">t</m:t>
            </m:r>
          </m:den>
        </m:f>
        <m:r>
          <w:rPr>
            <w:rFonts w:ascii="Cambria Math" w:hAnsi="Cambria Math"/>
          </w:rPr>
          <m:t xml:space="preserve">=0</m:t>
        </m:r>
      </m:oMath>
      <w:r>
        <w:rPr>
          <w:rFonts w:ascii="Times New Roman" w:hAnsi="Times New Roman" w:eastAsia="宋体"/>
          <w:b w:val="0"/>
          <w:sz w:val="24"/>
        </w:rPr>
        <w:t>的非平凡解，得系统的正均衡：</w:t>
      </w:r>
    </w:p>
    <w:p>
      <w:pPr>
        <w:tabs>
          <w:tab w:pos="4156" w:val="center"/>
          <w:tab w:pos="8311" w:val="right"/>
        </w:tabs>
        <w:spacing w:before="80" w:after="80" w:line="360" w:lineRule="auto"/>
        <w:jc w:val="left"/>
      </w:pPr>
      <w:r>
        <w:tab/>
      </w:r>
      <m:oMath>
        <m:sSubSup>
          <m:e>
            <m:r>
              <w:rPr>
                <w:rFonts w:ascii="Cambria Math" w:hAnsi="Cambria Math"/>
              </w:rPr>
              <m:t xml:space="preserve">U</m:t>
            </m:r>
          </m:e>
          <m:sub>
            <m:r>
              <w:rPr>
                <w:rFonts w:ascii="Cambria Math" w:hAnsi="Cambria Math"/>
              </w:rPr>
              <m:t xml:space="preserve">1</m:t>
            </m:r>
          </m:sub>
          <m:sup>
            <m:r>
              <w:rPr>
                <w:rFonts w:ascii="Cambria Math" w:hAnsi="Cambria Math"/>
              </w:rPr>
              <m:t xml:space="preserve">*</m:t>
            </m:r>
          </m:sup>
        </m:sSubSup>
        <m:r>
          <w:rPr>
            <w:rFonts w:ascii="Cambria Math" w:hAnsi="Cambria Math"/>
          </w:rPr>
          <m:t xml:space="preserve">=</m:t>
        </m:r>
        <m:f>
          <m:num>
            <m:r>
              <w:rPr>
                <w:rFonts w:ascii="Cambria Math" w:hAnsi="Cambria Math"/>
              </w:rPr>
              <m:t xml:space="preserve">1+</m:t>
            </m:r>
            <m:sSub>
              <m:e>
                <m:r>
                  <w:rPr>
                    <w:rFonts w:ascii="Cambria Math" w:hAnsi="Cambria Math"/>
                  </w:rPr>
                  <m:t xml:space="preserve">η</m:t>
                </m:r>
              </m:e>
              <m:sub>
                <m:r>
                  <w:rPr>
                    <w:rFonts w:ascii="Cambria Math" w:hAnsi="Cambria Math"/>
                  </w:rPr>
                  <m:t xml:space="preserve">1</m:t>
                </m:r>
              </m:sub>
            </m:sSub>
          </m:num>
          <m:den>
            <m:r>
              <w:rPr>
                <w:rFonts w:ascii="Cambria Math" w:hAnsi="Cambria Math"/>
              </w:rPr>
              <m:t xml:space="preserve">1−</m:t>
            </m:r>
            <m:sSub>
              <m:e>
                <m:r>
                  <w:rPr>
                    <w:rFonts w:ascii="Cambria Math" w:hAnsi="Cambria Math"/>
                  </w:rPr>
                  <m:t xml:space="preserve">η</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η</m:t>
                </m:r>
              </m:e>
              <m:sub>
                <m:r>
                  <w:rPr>
                    <w:rFonts w:ascii="Cambria Math" w:hAnsi="Cambria Math"/>
                  </w:rPr>
                  <m:t xml:space="preserve">2</m:t>
                </m:r>
              </m:sub>
            </m:sSub>
          </m:den>
        </m:f>
      </m:oMath>
      <w:r>
        <w:rPr>
          <w:rFonts w:ascii="Times New Roman" w:hAnsi="Times New Roman" w:eastAsia="宋体"/>
          <w:b w:val="0"/>
          <w:sz w:val="24"/>
        </w:rPr>
        <w:t>，</w:t>
      </w:r>
      <m:oMath>
        <m:sSubSup>
          <m:e>
            <m:r>
              <w:rPr>
                <w:rFonts w:ascii="Cambria Math" w:hAnsi="Cambria Math"/>
              </w:rPr>
              <m:t xml:space="preserve">U</m:t>
            </m:r>
          </m:e>
          <m:sub>
            <m:r>
              <w:rPr>
                <w:rFonts w:ascii="Cambria Math" w:hAnsi="Cambria Math"/>
              </w:rPr>
              <m:t xml:space="preserve">2</m:t>
            </m:r>
          </m:sub>
          <m:sup>
            <m:r>
              <w:rPr>
                <w:rFonts w:ascii="Cambria Math" w:hAnsi="Cambria Math"/>
              </w:rPr>
              <m:t xml:space="preserve">*</m:t>
            </m:r>
          </m:sup>
        </m:sSubSup>
        <m:r>
          <w:rPr>
            <w:rFonts w:ascii="Cambria Math" w:hAnsi="Cambria Math"/>
          </w:rPr>
          <m:t xml:space="preserve">=</m:t>
        </m:r>
        <m:f>
          <m:num>
            <m:r>
              <w:rPr>
                <w:rFonts w:ascii="Cambria Math" w:hAnsi="Cambria Math"/>
              </w:rPr>
              <m:t xml:space="preserve">1+</m:t>
            </m:r>
            <m:sSub>
              <m:e>
                <m:r>
                  <w:rPr>
                    <w:rFonts w:ascii="Cambria Math" w:hAnsi="Cambria Math"/>
                  </w:rPr>
                  <m:t xml:space="preserve">η</m:t>
                </m:r>
              </m:e>
              <m:sub>
                <m:r>
                  <w:rPr>
                    <w:rFonts w:ascii="Cambria Math" w:hAnsi="Cambria Math"/>
                  </w:rPr>
                  <m:t xml:space="preserve">2</m:t>
                </m:r>
              </m:sub>
            </m:sSub>
          </m:num>
          <m:den>
            <m:r>
              <w:rPr>
                <w:rFonts w:ascii="Cambria Math" w:hAnsi="Cambria Math"/>
              </w:rPr>
              <m:t xml:space="preserve">1−</m:t>
            </m:r>
            <m:sSub>
              <m:e>
                <m:r>
                  <w:rPr>
                    <w:rFonts w:ascii="Cambria Math" w:hAnsi="Cambria Math"/>
                  </w:rPr>
                  <m:t xml:space="preserve">η</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η</m:t>
                </m:r>
              </m:e>
              <m:sub>
                <m:r>
                  <w:rPr>
                    <w:rFonts w:ascii="Cambria Math" w:hAnsi="Cambria Math"/>
                  </w:rPr>
                  <m:t xml:space="preserve">2</m:t>
                </m:r>
              </m:sub>
            </m:sSub>
          </m:den>
        </m:f>
      </m:oMath>
      <w:r>
        <w:tab/>
      </w:r>
      <w:r>
        <w:rPr>
          <w:rFonts w:ascii="Times New Roman" w:hAnsi="Times New Roman" w:eastAsia="宋体"/>
          <w:b w:val="0"/>
          <w:sz w:val="24"/>
        </w:rPr>
        <w:t>（14）</w:t>
      </w:r>
    </w:p>
    <w:p>
      <w:pPr>
        <w:spacing w:line="360" w:lineRule="auto" w:after="0"/>
        <w:ind w:firstLine="480"/>
        <w:jc w:val="both"/>
      </w:pPr>
      <w:r>
        <w:rPr>
          <w:rFonts w:ascii="Times New Roman" w:hAnsi="Times New Roman" w:eastAsia="宋体"/>
          <w:b w:val="0"/>
          <w:sz w:val="24"/>
        </w:rPr>
        <w:t>在</w:t>
      </w:r>
      <m:oMath>
        <m:sSub>
          <m:e>
            <m:r>
              <w:rPr>
                <w:rFonts w:ascii="Cambria Math" w:hAnsi="Cambria Math"/>
              </w:rPr>
              <m:t xml:space="preserve">η</m:t>
            </m:r>
          </m:e>
          <m:sub>
            <m:r>
              <w:rPr>
                <w:rFonts w:ascii="Cambria Math" w:hAnsi="Cambria Math"/>
              </w:rPr>
              <m:t xml:space="preserve">1</m:t>
            </m:r>
          </m:sub>
        </m:sSub>
      </m:oMath>
      <w:r>
        <w:rPr>
          <w:rFonts w:ascii="Times New Roman" w:hAnsi="Times New Roman" w:eastAsia="宋体"/>
          <w:b w:val="0"/>
          <w:sz w:val="24"/>
        </w:rPr>
        <w:t>·</w:t>
      </w:r>
      <m:oMath>
        <m:sSub>
          <m:e>
            <m:r>
              <w:rPr>
                <w:rFonts w:ascii="Cambria Math" w:hAnsi="Cambria Math"/>
              </w:rPr>
              <m:t xml:space="preserve">η</m:t>
            </m:r>
          </m:e>
          <m:sub>
            <m:r>
              <w:rPr>
                <w:rFonts w:ascii="Cambria Math" w:hAnsi="Cambria Math"/>
              </w:rPr>
              <m:t xml:space="preserve">2</m:t>
            </m:r>
          </m:sub>
        </m:sSub>
      </m:oMath>
      <w:r>
        <w:rPr>
          <w:rFonts w:ascii="Times New Roman" w:hAnsi="Times New Roman" w:eastAsia="宋体"/>
          <w:b w:val="0"/>
          <w:sz w:val="24"/>
        </w:rPr>
        <w:t>&lt;1条件下，均衡点的雅可比矩阵两特征根均为负，正均衡局部渐近稳定。式(14)蕴含三点性质。第一，</w:t>
      </w:r>
      <m:oMath>
        <m:f>
          <m:num>
            <m:r>
              <w:rPr>
                <w:rFonts w:ascii="Cambria Math" w:hAnsi="Cambria Math"/>
              </w:rPr>
              <m:t xml:space="preserve">∂</m:t>
            </m:r>
            <m:sSubSup>
              <m:e>
                <m:r>
                  <w:rPr>
                    <w:rFonts w:ascii="Cambria Math" w:hAnsi="Cambria Math"/>
                  </w:rPr>
                  <m:t xml:space="preserve">U</m:t>
                </m:r>
              </m:e>
              <m:sub>
                <m:r>
                  <w:rPr>
                    <w:rFonts w:ascii="Cambria Math" w:hAnsi="Cambria Math"/>
                  </w:rPr>
                  <m:t xml:space="preserve">1</m:t>
                </m:r>
              </m:sub>
              <m:sup>
                <m:r>
                  <w:rPr>
                    <w:rFonts w:ascii="Cambria Math" w:hAnsi="Cambria Math"/>
                  </w:rPr>
                  <m:t xml:space="preserve">*</m:t>
                </m:r>
              </m:sup>
            </m:sSubSup>
          </m:num>
          <m:den>
            <m:r>
              <w:rPr>
                <w:rFonts w:ascii="Cambria Math" w:hAnsi="Cambria Math"/>
              </w:rPr>
              <m:t xml:space="preserve">∂</m:t>
            </m:r>
            <m:sSub>
              <m:e>
                <m:r>
                  <w:rPr>
                    <w:rFonts w:ascii="Cambria Math" w:hAnsi="Cambria Math"/>
                  </w:rPr>
                  <m:t xml:space="preserve">η</m:t>
                </m:r>
              </m:e>
              <m:sub>
                <m:r>
                  <w:rPr>
                    <w:rFonts w:ascii="Cambria Math" w:hAnsi="Cambria Math"/>
                  </w:rPr>
                  <m:t xml:space="preserve">1</m:t>
                </m:r>
              </m:sub>
            </m:sSub>
          </m:den>
        </m:f>
      </m:oMath>
      <w:r>
        <w:rPr>
          <w:rFonts w:ascii="Times New Roman" w:hAnsi="Times New Roman" w:eastAsia="宋体"/>
          <w:b w:val="0"/>
          <w:sz w:val="24"/>
        </w:rPr>
        <w:t>&gt;0、</w:t>
      </w:r>
      <m:oMath>
        <m:f>
          <m:num>
            <m:r>
              <w:rPr>
                <w:rFonts w:ascii="Cambria Math" w:hAnsi="Cambria Math"/>
              </w:rPr>
              <m:t xml:space="preserve">∂</m:t>
            </m:r>
            <m:sSubSup>
              <m:e>
                <m:r>
                  <w:rPr>
                    <w:rFonts w:ascii="Cambria Math" w:hAnsi="Cambria Math"/>
                  </w:rPr>
                  <m:t xml:space="preserve">U</m:t>
                </m:r>
              </m:e>
              <m:sub>
                <m:r>
                  <w:rPr>
                    <w:rFonts w:ascii="Cambria Math" w:hAnsi="Cambria Math"/>
                  </w:rPr>
                  <m:t xml:space="preserve">1</m:t>
                </m:r>
              </m:sub>
              <m:sup>
                <m:r>
                  <w:rPr>
                    <w:rFonts w:ascii="Cambria Math" w:hAnsi="Cambria Math"/>
                  </w:rPr>
                  <m:t xml:space="preserve">*</m:t>
                </m:r>
              </m:sup>
            </m:sSubSup>
          </m:num>
          <m:den>
            <m:r>
              <w:rPr>
                <w:rFonts w:ascii="Cambria Math" w:hAnsi="Cambria Math"/>
              </w:rPr>
              <m:t xml:space="preserve">∂</m:t>
            </m:r>
            <m:sSub>
              <m:e>
                <m:r>
                  <w:rPr>
                    <w:rFonts w:ascii="Cambria Math" w:hAnsi="Cambria Math"/>
                  </w:rPr>
                  <m:t xml:space="preserve">η</m:t>
                </m:r>
              </m:e>
              <m:sub>
                <m:r>
                  <w:rPr>
                    <w:rFonts w:ascii="Cambria Math" w:hAnsi="Cambria Math"/>
                  </w:rPr>
                  <m:t xml:space="preserve">2</m:t>
                </m:r>
              </m:sub>
            </m:sSub>
          </m:den>
        </m:f>
      </m:oMath>
      <w:r>
        <w:rPr>
          <w:rFonts w:ascii="Times New Roman" w:hAnsi="Times New Roman" w:eastAsia="宋体"/>
          <w:b w:val="0"/>
          <w:sz w:val="24"/>
        </w:rPr>
        <w:t>&gt;0且对</w:t>
      </w:r>
      <m:oMath>
        <m:sSubSup>
          <m:e>
            <m:r>
              <w:rPr>
                <w:rFonts w:ascii="Cambria Math" w:hAnsi="Cambria Math"/>
              </w:rPr>
              <m:t xml:space="preserve">U</m:t>
            </m:r>
          </m:e>
          <m:sub>
            <m:r>
              <w:rPr>
                <w:rFonts w:ascii="Cambria Math" w:hAnsi="Cambria Math"/>
              </w:rPr>
              <m:t xml:space="preserve">2</m:t>
            </m:r>
          </m:sub>
          <m:sup>
            <m:r>
              <w:rPr>
                <w:rFonts w:ascii="Cambria Math" w:hAnsi="Cambria Math"/>
              </w:rPr>
              <m:t xml:space="preserve">*</m:t>
            </m:r>
          </m:sup>
        </m:sSubSup>
      </m:oMath>
      <w:r>
        <w:rPr>
          <w:rFonts w:ascii="Times New Roman" w:hAnsi="Times New Roman" w:eastAsia="宋体"/>
          <w:b w:val="0"/>
          <w:sz w:val="24"/>
        </w:rPr>
        <w:t>对称成立：任一方向赋能强度的提高都会同时抬升两个系统的均衡水平，且由于分母1−</w:t>
      </w:r>
      <m:oMath>
        <m:sSub>
          <m:e>
            <m:r>
              <w:rPr>
                <w:rFonts w:ascii="Cambria Math" w:hAnsi="Cambria Math"/>
              </w:rPr>
              <m:t xml:space="preserve">η</m:t>
            </m:r>
          </m:e>
          <m:sub>
            <m:r>
              <w:rPr>
                <w:rFonts w:ascii="Cambria Math" w:hAnsi="Cambria Math"/>
              </w:rPr>
              <m:t xml:space="preserve">1</m:t>
            </m:r>
          </m:sub>
        </m:sSub>
      </m:oMath>
      <m:oMath>
        <m:sSub>
          <m:e>
            <m:r>
              <w:rPr>
                <w:rFonts w:ascii="Cambria Math" w:hAnsi="Cambria Math"/>
              </w:rPr>
              <m:t xml:space="preserve">η</m:t>
            </m:r>
          </m:e>
          <m:sub>
            <m:r>
              <w:rPr>
                <w:rFonts w:ascii="Cambria Math" w:hAnsi="Cambria Math"/>
              </w:rPr>
              <m:t xml:space="preserve">2</m:t>
            </m:r>
          </m:sub>
        </m:sSub>
      </m:oMath>
      <w:r>
        <w:rPr>
          <w:rFonts w:ascii="Times New Roman" w:hAnsi="Times New Roman" w:eastAsia="宋体"/>
          <w:b w:val="0"/>
          <w:sz w:val="24"/>
        </w:rPr>
        <w:t>的放大作用，双向赋能的合成效应大于两个单向效应之和——这构成“双向赋能优于单向赋能”的数理表述。第二，当</w:t>
      </w:r>
      <m:oMath>
        <m:sSub>
          <m:e>
            <m:r>
              <w:rPr>
                <w:rFonts w:ascii="Cambria Math" w:hAnsi="Cambria Math"/>
              </w:rPr>
              <m:t xml:space="preserve">η</m:t>
            </m:r>
          </m:e>
          <m:sub>
            <m:r>
              <w:rPr>
                <w:rFonts w:ascii="Cambria Math" w:hAnsi="Cambria Math"/>
              </w:rPr>
              <m:t xml:space="preserve">1</m:t>
            </m:r>
          </m:sub>
        </m:sSub>
      </m:oMath>
      <w:r>
        <w:rPr>
          <w:rFonts w:ascii="Times New Roman" w:hAnsi="Times New Roman" w:eastAsia="宋体"/>
          <w:b w:val="0"/>
          <w:sz w:val="24"/>
        </w:rPr>
        <w:t>→0（反哺链路断裂）时，</w:t>
      </w:r>
      <m:oMath>
        <m:sSubSup>
          <m:e>
            <m:r>
              <w:rPr>
                <w:rFonts w:ascii="Cambria Math" w:hAnsi="Cambria Math"/>
              </w:rPr>
              <m:t xml:space="preserve">U</m:t>
            </m:r>
          </m:e>
          <m:sub>
            <m:r>
              <w:rPr>
                <w:rFonts w:ascii="Cambria Math" w:hAnsi="Cambria Math"/>
              </w:rPr>
              <m:t xml:space="preserve">1</m:t>
            </m:r>
          </m:sub>
          <m:sup>
            <m:r>
              <w:rPr>
                <w:rFonts w:ascii="Cambria Math" w:hAnsi="Cambria Math"/>
              </w:rPr>
              <m:t xml:space="preserve">*</m:t>
            </m:r>
          </m:sup>
        </m:sSubSup>
      </m:oMath>
      <w:r>
        <w:rPr>
          <w:rFonts w:ascii="Times New Roman" w:hAnsi="Times New Roman" w:eastAsia="宋体"/>
          <w:b w:val="0"/>
          <w:sz w:val="24"/>
        </w:rPr>
        <w:t>退化为1、</w:t>
      </w:r>
      <m:oMath>
        <m:sSubSup>
          <m:e>
            <m:r>
              <w:rPr>
                <w:rFonts w:ascii="Cambria Math" w:hAnsi="Cambria Math"/>
              </w:rPr>
              <m:t xml:space="preserve">U</m:t>
            </m:r>
          </m:e>
          <m:sub>
            <m:r>
              <w:rPr>
                <w:rFonts w:ascii="Cambria Math" w:hAnsi="Cambria Math"/>
              </w:rPr>
              <m:t xml:space="preserve">2</m:t>
            </m:r>
          </m:sub>
          <m:sup>
            <m:r>
              <w:rPr>
                <w:rFonts w:ascii="Cambria Math" w:hAnsi="Cambria Math"/>
              </w:rPr>
              <m:t xml:space="preserve">*</m:t>
            </m:r>
          </m:sup>
        </m:sSubSup>
      </m:oMath>
      <w:r>
        <w:rPr>
          <w:rFonts w:ascii="Times New Roman" w:hAnsi="Times New Roman" w:eastAsia="宋体"/>
          <w:b w:val="0"/>
          <w:sz w:val="24"/>
        </w:rPr>
        <w:t>退化为1＋</w:t>
      </w:r>
      <m:oMath>
        <m:sSub>
          <m:e>
            <m:r>
              <w:rPr>
                <w:rFonts w:ascii="Cambria Math" w:hAnsi="Cambria Math"/>
              </w:rPr>
              <m:t xml:space="preserve">η</m:t>
            </m:r>
          </m:e>
          <m:sub>
            <m:r>
              <w:rPr>
                <w:rFonts w:ascii="Cambria Math" w:hAnsi="Cambria Math"/>
              </w:rPr>
              <m:t xml:space="preserve">2</m:t>
            </m:r>
          </m:sub>
        </m:sSub>
      </m:oMath>
      <w:r>
        <w:rPr>
          <w:rFonts w:ascii="Times New Roman" w:hAnsi="Times New Roman" w:eastAsia="宋体"/>
          <w:b w:val="0"/>
          <w:sz w:val="24"/>
        </w:rPr>
        <w:t>：共同富裕仍可被生产力单向拉动，但新质生产力将失去人力资本积累、内需扩容与预期稳定的反哺，锁定在自身容量边界上，系统整体停留在较低的均衡组合，这正是相位图（图2）左幅所示的低水平均衡情形。第三，均衡水平对(</w:t>
      </w:r>
      <m:oMath>
        <m:sSub>
          <m:e>
            <m:r>
              <w:rPr>
                <w:rFonts w:ascii="Cambria Math" w:hAnsi="Cambria Math"/>
              </w:rPr>
              <m:t xml:space="preserve">η</m:t>
            </m:r>
          </m:e>
          <m:sub>
            <m:r>
              <w:rPr>
                <w:rFonts w:ascii="Cambria Math" w:hAnsi="Cambria Math"/>
              </w:rPr>
              <m:t xml:space="preserve">1</m:t>
            </m:r>
          </m:sub>
        </m:sSub>
      </m:oMath>
      <w:r>
        <w:rPr>
          <w:rFonts w:ascii="Times New Roman" w:hAnsi="Times New Roman" w:eastAsia="宋体"/>
          <w:b w:val="0"/>
          <w:sz w:val="24"/>
        </w:rPr>
        <w:t>,</w:t>
      </w:r>
      <m:oMath>
        <m:sSub>
          <m:e>
            <m:r>
              <w:rPr>
                <w:rFonts w:ascii="Cambria Math" w:hAnsi="Cambria Math"/>
              </w:rPr>
              <m:t xml:space="preserve">η</m:t>
            </m:r>
          </m:e>
          <m:sub>
            <m:r>
              <w:rPr>
                <w:rFonts w:ascii="Cambria Math" w:hAnsi="Cambria Math"/>
              </w:rPr>
              <m:t xml:space="preserve">2</m:t>
            </m:r>
          </m:sub>
        </m:sSub>
      </m:oMath>
      <w:r>
        <w:rPr>
          <w:rFonts w:ascii="Times New Roman" w:hAnsi="Times New Roman" w:eastAsia="宋体"/>
          <w:b w:val="0"/>
          <w:sz w:val="24"/>
        </w:rPr>
        <w:t>)的联合弹性随</w:t>
      </w:r>
      <m:oMath>
        <m:sSub>
          <m:e>
            <m:r>
              <w:rPr>
                <w:rFonts w:ascii="Cambria Math" w:hAnsi="Cambria Math"/>
              </w:rPr>
              <m:t xml:space="preserve">η</m:t>
            </m:r>
          </m:e>
          <m:sub>
            <m:r>
              <w:rPr>
                <w:rFonts w:ascii="Cambria Math" w:hAnsi="Cambria Math"/>
              </w:rPr>
              <m:t xml:space="preserve">1</m:t>
            </m:r>
          </m:sub>
        </m:sSub>
      </m:oMath>
      <m:oMath>
        <m:sSub>
          <m:e>
            <m:r>
              <w:rPr>
                <w:rFonts w:ascii="Cambria Math" w:hAnsi="Cambria Math"/>
              </w:rPr>
              <m:t xml:space="preserve">η</m:t>
            </m:r>
          </m:e>
          <m:sub>
            <m:r>
              <w:rPr>
                <w:rFonts w:ascii="Cambria Math" w:hAnsi="Cambria Math"/>
              </w:rPr>
              <m:t xml:space="preserve">2</m:t>
            </m:r>
          </m:sub>
        </m:sSub>
      </m:oMath>
      <w:r>
        <w:rPr>
          <w:rFonts w:ascii="Times New Roman" w:hAnsi="Times New Roman" w:eastAsia="宋体"/>
          <w:b w:val="0"/>
          <w:sz w:val="24"/>
        </w:rPr>
        <w:t>上升而增大，意味着当两条赋能链路同时接近畅通时，系统呈现加速上升的“双螺旋”特征——这与实证章观察到的2021年以后耦合协调度逐级跃升的经验事实相互印证。</w:t>
      </w:r>
    </w:p>
    <w:p>
      <w:pPr>
        <w:spacing w:line="360" w:lineRule="auto" w:after="0"/>
        <w:ind w:firstLine="480"/>
        <w:jc w:val="both"/>
      </w:pPr>
      <w:r>
        <w:rPr>
          <w:rFonts w:ascii="Times New Roman" w:hAnsi="Times New Roman" w:eastAsia="宋体"/>
          <w:b w:val="0"/>
          <w:sz w:val="24"/>
        </w:rPr>
        <w:t>雅可比稳定性判别的直观含义可用经济语言复述。两特征根均为负，意味着系统受扰偏离均衡后会自行回落：若</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冲高越过均衡水平，逼近容量边界后自我发展空间收窄的拥挤效应将占据主导，把它拉回轨道，</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对称。条件</w:t>
      </w:r>
      <m:oMath>
        <m:sSub>
          <m:e>
            <m:r>
              <w:rPr>
                <w:rFonts w:ascii="Cambria Math" w:hAnsi="Cambria Math"/>
              </w:rPr>
              <m:t xml:space="preserve">η</m:t>
            </m:r>
          </m:e>
          <m:sub>
            <m:r>
              <w:rPr>
                <w:rFonts w:ascii="Cambria Math" w:hAnsi="Cambria Math"/>
              </w:rPr>
              <m:t xml:space="preserve">1</m:t>
            </m:r>
          </m:sub>
        </m:sSub>
      </m:oMath>
      <w:r>
        <w:rPr>
          <w:rFonts w:ascii="Times New Roman" w:hAnsi="Times New Roman" w:eastAsia="宋体"/>
          <w:b w:val="0"/>
          <w:sz w:val="24"/>
        </w:rPr>
        <w:t>·</w:t>
      </w:r>
      <m:oMath>
        <m:sSub>
          <m:e>
            <m:r>
              <w:rPr>
                <w:rFonts w:ascii="Cambria Math" w:hAnsi="Cambria Math"/>
              </w:rPr>
              <m:t xml:space="preserve">η</m:t>
            </m:r>
          </m:e>
          <m:sub>
            <m:r>
              <w:rPr>
                <w:rFonts w:ascii="Cambria Math" w:hAnsi="Cambria Math"/>
              </w:rPr>
              <m:t xml:space="preserve">2</m:t>
            </m:r>
          </m:sub>
        </m:sSub>
      </m:oMath>
      <w:r>
        <w:rPr>
          <w:rFonts w:ascii="Times New Roman" w:hAnsi="Times New Roman" w:eastAsia="宋体"/>
          <w:b w:val="0"/>
          <w:sz w:val="24"/>
        </w:rPr>
        <w:t>&lt;1则可读作双向赋能的“反馈环增益”小于1：生产力抬升共同富裕、共同富裕再反哺生产力的循环每转一圈，增量按</w:t>
      </w:r>
      <m:oMath>
        <m:sSub>
          <m:e>
            <m:r>
              <w:rPr>
                <w:rFonts w:ascii="Cambria Math" w:hAnsi="Cambria Math"/>
              </w:rPr>
              <m:t xml:space="preserve">η</m:t>
            </m:r>
          </m:e>
          <m:sub>
            <m:r>
              <w:rPr>
                <w:rFonts w:ascii="Cambria Math" w:hAnsi="Cambria Math"/>
              </w:rPr>
              <m:t xml:space="preserve">1</m:t>
            </m:r>
          </m:sub>
        </m:sSub>
      </m:oMath>
      <m:oMath>
        <m:sSub>
          <m:e>
            <m:r>
              <w:rPr>
                <w:rFonts w:ascii="Cambria Math" w:hAnsi="Cambria Math"/>
              </w:rPr>
              <m:t xml:space="preserve">η</m:t>
            </m:r>
          </m:e>
          <m:sub>
            <m:r>
              <w:rPr>
                <w:rFonts w:ascii="Cambria Math" w:hAnsi="Cambria Math"/>
              </w:rPr>
              <m:t xml:space="preserve">2</m:t>
            </m:r>
          </m:sub>
        </m:sSub>
      </m:oMath>
      <w:r>
        <w:rPr>
          <w:rFonts w:ascii="Times New Roman" w:hAnsi="Times New Roman" w:eastAsia="宋体"/>
          <w:b w:val="0"/>
          <w:sz w:val="24"/>
        </w:rPr>
        <w:t>的比例衰减，累积效应收敛，系统停靠在有限的正均衡上，这正是式(14)分母的由来。反之，若两方向赋能强度之积不小于1，模型不存在有限的内点均衡，预言两系统相互推升至无穷，显然违背资源环境约束；</w:t>
      </w:r>
      <m:oMath>
        <m:sSub>
          <m:e>
            <m:r>
              <w:rPr>
                <w:rFonts w:ascii="Cambria Math" w:hAnsi="Cambria Math"/>
              </w:rPr>
              <m:t xml:space="preserve">η</m:t>
            </m:r>
          </m:e>
          <m:sub>
            <m:r>
              <w:rPr>
                <w:rFonts w:ascii="Cambria Math" w:hAnsi="Cambria Math"/>
              </w:rPr>
              <m:t xml:space="preserve">1</m:t>
            </m:r>
          </m:sub>
        </m:sSub>
      </m:oMath>
      <w:r>
        <w:rPr>
          <w:rFonts w:ascii="Times New Roman" w:hAnsi="Times New Roman" w:eastAsia="宋体"/>
          <w:b w:val="0"/>
          <w:sz w:val="24"/>
        </w:rPr>
        <w:t>·</w:t>
      </w:r>
      <m:oMath>
        <m:sSub>
          <m:e>
            <m:r>
              <w:rPr>
                <w:rFonts w:ascii="Cambria Math" w:hAnsi="Cambria Math"/>
              </w:rPr>
              <m:t xml:space="preserve">η</m:t>
            </m:r>
          </m:e>
          <m:sub>
            <m:r>
              <w:rPr>
                <w:rFonts w:ascii="Cambria Math" w:hAnsi="Cambria Math"/>
              </w:rPr>
              <m:t xml:space="preserve">2</m:t>
            </m:r>
          </m:sub>
        </m:sSub>
      </m:oMath>
      <w:r>
        <w:rPr>
          <w:rFonts w:ascii="Times New Roman" w:hAnsi="Times New Roman" w:eastAsia="宋体"/>
          <w:b w:val="0"/>
          <w:sz w:val="24"/>
        </w:rPr>
        <w:t>&lt;1因而既是数学存在性条件，也是经济合理性条件。</w:t>
      </w:r>
    </w:p>
    <w:p>
      <w:pPr>
        <w:spacing w:before="120"/>
        <w:jc w:val="center"/>
      </w:pPr>
      <w:r>
        <w:drawing>
          <wp:inline xmlns:a="http://schemas.openxmlformats.org/drawingml/2006/main" xmlns:pic="http://schemas.openxmlformats.org/drawingml/2006/picture">
            <wp:extent cx="5256000" cy="2438730"/>
            <wp:docPr id="2" name="Picture 2"/>
            <wp:cNvGraphicFramePr>
              <a:graphicFrameLocks noChangeAspect="1"/>
            </wp:cNvGraphicFramePr>
            <a:graphic>
              <a:graphicData uri="http://schemas.openxmlformats.org/drawingml/2006/picture">
                <pic:pic>
                  <pic:nvPicPr>
                    <pic:cNvPr id="0" name="fig17_phase.png"/>
                    <pic:cNvPicPr/>
                  </pic:nvPicPr>
                  <pic:blipFill>
                    <a:blip r:embed="rId10"/>
                    <a:stretch>
                      <a:fillRect/>
                    </a:stretch>
                  </pic:blipFill>
                  <pic:spPr>
                    <a:xfrm>
                      <a:off x="0" y="0"/>
                      <a:ext cx="5256000" cy="2438730"/>
                    </a:xfrm>
                    <a:prstGeom prst="rect"/>
                  </pic:spPr>
                </pic:pic>
              </a:graphicData>
            </a:graphic>
          </wp:inline>
        </w:drawing>
      </w:r>
    </w:p>
    <w:p>
      <w:pPr>
        <w:spacing w:after="80"/>
        <w:jc w:val="center"/>
      </w:pPr>
      <w:r>
        <w:rPr>
          <w:rFonts w:ascii="Times New Roman" w:hAnsi="Times New Roman" w:eastAsia="黑体"/>
          <w:b/>
          <w:sz w:val="21"/>
        </w:rPr>
        <w:t xml:space="preserve">图2　</w:t>
      </w:r>
      <w:r>
        <w:rPr>
          <w:rFonts w:ascii="Times New Roman" w:hAnsi="Times New Roman" w:eastAsia="宋体"/>
          <w:b/>
          <w:sz w:val="21"/>
        </w:rPr>
        <w:t>双系统耦合演化的相位图：低水平均衡与高水平协同均衡</w:t>
      </w:r>
    </w:p>
    <w:p>
      <w:pPr>
        <w:spacing w:after="120"/>
        <w:jc w:val="left"/>
      </w:pPr>
      <w:r>
        <w:rPr>
          <w:rFonts w:ascii="Times New Roman" w:hAnsi="Times New Roman" w:eastAsia="宋体"/>
          <w:b w:val="0"/>
          <w:sz w:val="21"/>
        </w:rPr>
        <w:t>注：左、右两幅分别对应赋能强度较低（</w:t>
      </w:r>
      <m:oMath>
        <m:sSub>
          <m:e>
            <m:r>
              <w:rPr>
                <w:rFonts w:ascii="Cambria Math" w:hAnsi="Cambria Math"/>
              </w:rPr>
              <m:t xml:space="preserve">η</m:t>
            </m:r>
          </m:e>
          <m:sub>
            <m:r>
              <w:rPr>
                <w:rFonts w:ascii="Cambria Math" w:hAnsi="Cambria Math"/>
              </w:rPr>
              <m:t xml:space="preserve">1</m:t>
            </m:r>
          </m:sub>
        </m:sSub>
      </m:oMath>
      <w:r>
        <w:rPr>
          <w:rFonts w:ascii="Times New Roman" w:hAnsi="Times New Roman" w:eastAsia="宋体"/>
          <w:b w:val="0"/>
          <w:sz w:val="21"/>
        </w:rPr>
        <w:t>＝0.10、</w:t>
      </w:r>
      <m:oMath>
        <m:sSub>
          <m:e>
            <m:r>
              <w:rPr>
                <w:rFonts w:ascii="Cambria Math" w:hAnsi="Cambria Math"/>
              </w:rPr>
              <m:t xml:space="preserve">η</m:t>
            </m:r>
          </m:e>
          <m:sub>
            <m:r>
              <w:rPr>
                <w:rFonts w:ascii="Cambria Math" w:hAnsi="Cambria Math"/>
              </w:rPr>
              <m:t xml:space="preserve">2</m:t>
            </m:r>
          </m:sub>
        </m:sSub>
      </m:oMath>
      <w:r>
        <w:rPr>
          <w:rFonts w:ascii="Times New Roman" w:hAnsi="Times New Roman" w:eastAsia="宋体"/>
          <w:b w:val="0"/>
          <w:sz w:val="21"/>
        </w:rPr>
        <w:t>＝0.12）与较高（</w:t>
      </w:r>
      <m:oMath>
        <m:sSub>
          <m:e>
            <m:r>
              <w:rPr>
                <w:rFonts w:ascii="Cambria Math" w:hAnsi="Cambria Math"/>
              </w:rPr>
              <m:t xml:space="preserve">η</m:t>
            </m:r>
          </m:e>
          <m:sub>
            <m:r>
              <w:rPr>
                <w:rFonts w:ascii="Cambria Math" w:hAnsi="Cambria Math"/>
              </w:rPr>
              <m:t xml:space="preserve">1</m:t>
            </m:r>
          </m:sub>
        </m:sSub>
      </m:oMath>
      <w:r>
        <w:rPr>
          <w:rFonts w:ascii="Times New Roman" w:hAnsi="Times New Roman" w:eastAsia="宋体"/>
          <w:b w:val="0"/>
          <w:sz w:val="21"/>
        </w:rPr>
        <w:t>＝0.30、</w:t>
      </w:r>
      <m:oMath>
        <m:sSub>
          <m:e>
            <m:r>
              <w:rPr>
                <w:rFonts w:ascii="Cambria Math" w:hAnsi="Cambria Math"/>
              </w:rPr>
              <m:t xml:space="preserve">η</m:t>
            </m:r>
          </m:e>
          <m:sub>
            <m:r>
              <w:rPr>
                <w:rFonts w:ascii="Cambria Math" w:hAnsi="Cambria Math"/>
              </w:rPr>
              <m:t xml:space="preserve">2</m:t>
            </m:r>
          </m:sub>
        </m:sSub>
      </m:oMath>
      <w:r>
        <w:rPr>
          <w:rFonts w:ascii="Times New Roman" w:hAnsi="Times New Roman" w:eastAsia="宋体"/>
          <w:b w:val="0"/>
          <w:sz w:val="21"/>
        </w:rPr>
        <w:t>＝0.35）的参数情形；蓝、绿实线分别为</w:t>
      </w:r>
      <m:oMath>
        <m:f>
          <m:num>
            <m:r>
              <w:rPr>
                <w:rFonts w:ascii="Cambria Math" w:hAnsi="Cambria Math"/>
              </w:rPr>
              <m:t xml:space="preserve">d</m:t>
            </m:r>
            <m:sSub>
              <m:e>
                <m:r>
                  <w:rPr>
                    <w:rFonts w:ascii="Cambria Math" w:hAnsi="Cambria Math"/>
                  </w:rPr>
                  <m:t xml:space="preserve">U</m:t>
                </m:r>
              </m:e>
              <m:sub>
                <m:r>
                  <w:rPr>
                    <w:rFonts w:ascii="Cambria Math" w:hAnsi="Cambria Math"/>
                  </w:rPr>
                  <m:t xml:space="preserve">1</m:t>
                </m:r>
              </m:sub>
            </m:sSub>
          </m:num>
          <m:den>
            <m:r>
              <w:rPr>
                <w:rFonts w:ascii="Cambria Math" w:hAnsi="Cambria Math"/>
              </w:rPr>
              <m:t xml:space="preserve">d</m:t>
            </m:r>
            <m:r>
              <w:rPr>
                <w:rFonts w:ascii="Cambria Math" w:hAnsi="Cambria Math"/>
              </w:rPr>
              <m:t xml:space="preserve">t</m:t>
            </m:r>
          </m:den>
        </m:f>
        <m:r>
          <w:rPr>
            <w:rFonts w:ascii="Cambria Math" w:hAnsi="Cambria Math"/>
          </w:rPr>
          <m:t xml:space="preserve">=0</m:t>
        </m:r>
        <m:r>
          <w:rPr>
            <w:rFonts w:ascii="Cambria Math" w:hAnsi="Cambria Math"/>
          </w:rPr>
          <m:t xml:space="preserve"> 与 </m:t>
        </m:r>
        <m:f>
          <m:num>
            <m:r>
              <w:rPr>
                <w:rFonts w:ascii="Cambria Math" w:hAnsi="Cambria Math"/>
              </w:rPr>
              <m:t xml:space="preserve">d</m:t>
            </m:r>
            <m:sSub>
              <m:e>
                <m:r>
                  <w:rPr>
                    <w:rFonts w:ascii="Cambria Math" w:hAnsi="Cambria Math"/>
                  </w:rPr>
                  <m:t xml:space="preserve">U</m:t>
                </m:r>
              </m:e>
              <m:sub>
                <m:r>
                  <w:rPr>
                    <w:rFonts w:ascii="Cambria Math" w:hAnsi="Cambria Math"/>
                  </w:rPr>
                  <m:t xml:space="preserve">2</m:t>
                </m:r>
              </m:sub>
            </m:sSub>
          </m:num>
          <m:den>
            <m:r>
              <w:rPr>
                <w:rFonts w:ascii="Cambria Math" w:hAnsi="Cambria Math"/>
              </w:rPr>
              <m:t xml:space="preserve">d</m:t>
            </m:r>
            <m:r>
              <w:rPr>
                <w:rFonts w:ascii="Cambria Math" w:hAnsi="Cambria Math"/>
              </w:rPr>
              <m:t xml:space="preserve">t</m:t>
            </m:r>
          </m:den>
        </m:f>
        <m:r>
          <w:rPr>
            <w:rFonts w:ascii="Cambria Math" w:hAnsi="Cambria Math"/>
          </w:rPr>
          <m:t xml:space="preserve">=0</m:t>
        </m:r>
      </m:oMath>
      <w:r>
        <w:rPr>
          <w:rFonts w:ascii="Times New Roman" w:hAnsi="Times New Roman" w:eastAsia="宋体"/>
          <w:b w:val="0"/>
          <w:sz w:val="21"/>
        </w:rPr>
        <w:t>的零增长线，星号为正均衡点，箭头为系统演化的方向场。依据式(12)—(14)绘制。</w:t>
      </w:r>
    </w:p>
    <w:p>
      <w:pPr>
        <w:spacing w:line="360" w:lineRule="auto" w:after="0"/>
        <w:ind w:firstLine="480"/>
        <w:jc w:val="both"/>
      </w:pPr>
      <w:r>
        <w:rPr>
          <w:rFonts w:ascii="Times New Roman" w:hAnsi="Times New Roman" w:eastAsia="宋体"/>
          <w:b w:val="0"/>
          <w:sz w:val="24"/>
        </w:rPr>
        <w:t>相位图左幅讲述低水平均衡的经济故事：赋能强度较低时，两条零增长线的交点仅略高于各系统孤立发展的容量基准，方向场显示无论初值如何，系统都收敛于“各自到顶、互不成就”的组合。此时即便新质生产力系统凭借强投入一度冲高，由于传导渠道狭窄，共同富裕系统水平低迷，反过来无法为前者扩张容量，冲高部分终将回落——这正是“创新孤岛式”均衡的动态版本；它同时刻画了单向依赖的极限——赋能链路只有一条时，被拉动方尚可有限提升，拉动方却困守自身容量边界。</w:t>
      </w:r>
    </w:p>
    <w:p>
      <w:pPr>
        <w:spacing w:line="360" w:lineRule="auto" w:after="0"/>
        <w:ind w:firstLine="480"/>
        <w:jc w:val="both"/>
      </w:pPr>
      <w:r>
        <w:rPr>
          <w:rFonts w:ascii="Times New Roman" w:hAnsi="Times New Roman" w:eastAsia="宋体"/>
          <w:b w:val="0"/>
          <w:sz w:val="24"/>
        </w:rPr>
        <w:t>右幅则对应高水平协同均衡：赋能强度提高使两条零增长线同时外移、交点显著抬升，轨道呈现相互抬升、交替领先的“双螺旋”形态，任何一方的进步都通过交互项转化为对方的容量扩张，再反馈回自身，形成自我强化的良性循环。以浙江经验对照：2021年6月中央赋予浙江高质量发展建设共同富裕示范区使命之后，围绕成果转化、扩中提低、公共服务均等化的制度供给密集落地，相当于同时上调</w:t>
      </w:r>
      <m:oMath>
        <m:sSub>
          <m:e>
            <m:r>
              <w:rPr>
                <w:rFonts w:ascii="Cambria Math" w:hAnsi="Cambria Math"/>
              </w:rPr>
              <m:t xml:space="preserve">η</m:t>
            </m:r>
          </m:e>
          <m:sub>
            <m:r>
              <w:rPr>
                <w:rFonts w:ascii="Cambria Math" w:hAnsi="Cambria Math"/>
              </w:rPr>
              <m:t xml:space="preserve">1</m:t>
            </m:r>
          </m:sub>
        </m:sSub>
      </m:oMath>
      <w:r>
        <w:rPr>
          <w:rFonts w:ascii="Times New Roman" w:hAnsi="Times New Roman" w:eastAsia="宋体"/>
          <w:b w:val="0"/>
          <w:sz w:val="24"/>
        </w:rPr>
        <w:t>与</w:t>
      </w:r>
      <m:oMath>
        <m:sSub>
          <m:e>
            <m:r>
              <w:rPr>
                <w:rFonts w:ascii="Cambria Math" w:hAnsi="Cambria Math"/>
              </w:rPr>
              <m:t xml:space="preserve">η</m:t>
            </m:r>
          </m:e>
          <m:sub>
            <m:r>
              <w:rPr>
                <w:rFonts w:ascii="Cambria Math" w:hAnsi="Cambria Math"/>
              </w:rPr>
              <m:t xml:space="preserve">2</m:t>
            </m:r>
          </m:sub>
        </m:sSub>
      </m:oMath>
      <w:r>
        <w:rPr>
          <w:rFonts w:ascii="Times New Roman" w:hAnsi="Times New Roman" w:eastAsia="宋体"/>
          <w:b w:val="0"/>
          <w:sz w:val="24"/>
        </w:rPr>
        <w:t>，把系统由左幅参数域推入右幅参数域；实证Ⅱ章观察到的耦合协调度在2021年以后逐级跃升，可理解为系统沿新轨道向更高均衡爬升的过程。</w:t>
      </w:r>
    </w:p>
    <w:p>
      <w:pPr>
        <w:spacing w:line="360" w:lineRule="auto" w:after="0"/>
        <w:ind w:firstLine="480"/>
        <w:jc w:val="both"/>
      </w:pPr>
      <w:r>
        <w:rPr>
          <w:rFonts w:ascii="Times New Roman" w:hAnsi="Times New Roman" w:eastAsia="宋体"/>
          <w:b w:val="0"/>
          <w:sz w:val="24"/>
        </w:rPr>
        <w:t>进一步将耦合协调度指标嵌入模型。实证章使用的耦合协调度</w:t>
      </w:r>
      <m:oMath>
        <m:r>
          <w:rPr>
            <w:rFonts w:ascii="Cambria Math" w:hAnsi="Cambria Math"/>
          </w:rPr>
          <m:t xml:space="preserve">D</m:t>
        </m:r>
      </m:oMath>
      <w:r>
        <w:rPr>
          <w:rFonts w:ascii="Times New Roman" w:hAnsi="Times New Roman" w:eastAsia="宋体"/>
          <w:b w:val="0"/>
          <w:sz w:val="24"/>
        </w:rPr>
        <w:t>＝√(</w:t>
      </w:r>
      <m:oMath>
        <m:r>
          <w:rPr>
            <w:rFonts w:ascii="Cambria Math" w:hAnsi="Cambria Math"/>
          </w:rPr>
          <m:t xml:space="preserve">C</m:t>
        </m:r>
      </m:oMath>
      <w:r>
        <w:rPr>
          <w:rFonts w:ascii="Times New Roman" w:hAnsi="Times New Roman" w:eastAsia="宋体"/>
          <w:b w:val="0"/>
          <w:sz w:val="24"/>
        </w:rPr>
        <w:t>·</w:t>
      </w:r>
      <m:oMath>
        <m:r>
          <w:rPr>
            <w:rFonts w:ascii="Cambria Math" w:hAnsi="Cambria Math"/>
          </w:rPr>
          <m:t xml:space="preserve">T</m:t>
        </m:r>
      </m:oMath>
      <w:r>
        <w:rPr>
          <w:rFonts w:ascii="Times New Roman" w:hAnsi="Times New Roman" w:eastAsia="宋体"/>
          <w:b w:val="0"/>
          <w:sz w:val="24"/>
        </w:rPr>
        <w:t>)沿系统轨道单调映射于(</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)：在(12)(13)的稳定轨道上，</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与</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同向上升且差距有界，耦合度</w:t>
      </w:r>
      <m:oMath>
        <m:r>
          <w:rPr>
            <w:rFonts w:ascii="Cambria Math" w:hAnsi="Cambria Math"/>
          </w:rPr>
          <m:t xml:space="preserve">C</m:t>
        </m:r>
      </m:oMath>
      <w:r>
        <w:rPr>
          <w:rFonts w:ascii="Times New Roman" w:hAnsi="Times New Roman" w:eastAsia="宋体"/>
          <w:b w:val="0"/>
          <w:sz w:val="24"/>
        </w:rPr>
        <w:t>保持高位，协调指数</w:t>
      </w:r>
      <m:oMath>
        <m:r>
          <w:rPr>
            <w:rFonts w:ascii="Cambria Math" w:hAnsi="Cambria Math"/>
          </w:rPr>
          <m:t xml:space="preserve">T</m:t>
        </m:r>
      </m:oMath>
      <w:r>
        <w:rPr>
          <w:rFonts w:ascii="Times New Roman" w:hAnsi="Times New Roman" w:eastAsia="宋体"/>
          <w:b w:val="0"/>
          <w:sz w:val="24"/>
        </w:rPr>
        <w:t>随两系统水平提高而上升，故</w:t>
      </w:r>
      <m:oMath>
        <m:r>
          <w:rPr>
            <w:rFonts w:ascii="Cambria Math" w:hAnsi="Cambria Math"/>
          </w:rPr>
          <m:t xml:space="preserve">D</m:t>
        </m:r>
      </m:oMath>
      <w:r>
        <w:rPr>
          <w:rFonts w:ascii="Times New Roman" w:hAnsi="Times New Roman" w:eastAsia="宋体"/>
          <w:b w:val="0"/>
          <w:sz w:val="24"/>
        </w:rPr>
        <w:t>沿轨道递增并收敛于均衡对应的水平</w:t>
      </w:r>
      <m:oMath>
        <m:sSubSup>
          <m:e>
            <m:r>
              <w:rPr>
                <w:rFonts w:ascii="Cambria Math" w:hAnsi="Cambria Math"/>
              </w:rPr>
              <m:t xml:space="preserve">D</m:t>
            </m:r>
          </m:e>
          <m:sub>
            <m:r>
              <w:rPr>
                <w:rFonts w:ascii="Cambria Math" w:hAnsi="Cambria Math"/>
              </w:rPr>
              <m:t xml:space="preserve"/>
            </m:r>
          </m:sub>
          <m:sup>
            <m:r>
              <w:rPr>
                <w:rFonts w:ascii="Cambria Math" w:hAnsi="Cambria Math"/>
              </w:rPr>
              <m:t xml:space="preserve">*</m:t>
            </m:r>
          </m:sup>
        </m:sSubSup>
      </m:oMath>
      <w:r>
        <w:rPr>
          <w:rFonts w:ascii="Times New Roman" w:hAnsi="Times New Roman" w:eastAsia="宋体"/>
          <w:b w:val="0"/>
          <w:sz w:val="24"/>
        </w:rPr>
        <w:t>。由此，θ参数—η强度—均衡水平—协调度四者形成完整的传导链：三大转化关口的制度参数决定赋能强度，赋能强度决定均衡位置，均衡位置决定耦合协调度的可达上限。</w:t>
      </w:r>
    </w:p>
    <w:p>
      <w:pPr>
        <w:spacing w:line="360" w:lineRule="auto" w:after="0"/>
        <w:ind w:firstLine="480"/>
        <w:jc w:val="both"/>
      </w:pPr>
      <w:r>
        <w:rPr>
          <w:rFonts w:ascii="Times New Roman" w:hAnsi="Times New Roman" w:eastAsia="宋体"/>
          <w:b w:val="0"/>
          <w:sz w:val="24"/>
        </w:rPr>
        <w:t>这条传导链蕴含一个重要政策论断：耦合协调度存在由制度参数决定的“天花板”。加大要素投入（提高</w:t>
      </w:r>
      <m:oMath>
        <m:sSub>
          <m:e>
            <m:r>
              <w:rPr>
                <w:rFonts w:ascii="Cambria Math" w:hAnsi="Cambria Math"/>
              </w:rPr>
              <m:t xml:space="preserve">r</m:t>
            </m:r>
          </m:e>
          <m:sub>
            <m:r>
              <w:rPr>
                <w:rFonts w:ascii="Cambria Math" w:hAnsi="Cambria Math"/>
              </w:rPr>
              <m:t xml:space="preserve">1</m:t>
            </m:r>
          </m:sub>
        </m:sSub>
      </m:oMath>
      <w:r>
        <w:rPr>
          <w:rFonts w:ascii="Times New Roman" w:hAnsi="Times New Roman" w:eastAsia="宋体"/>
          <w:b w:val="0"/>
          <w:sz w:val="24"/>
        </w:rPr>
        <w:t>或</w:t>
      </w:r>
      <m:oMath>
        <m:sSub>
          <m:e>
            <m:r>
              <w:rPr>
                <w:rFonts w:ascii="Cambria Math" w:hAnsi="Cambria Math"/>
              </w:rPr>
              <m:t xml:space="preserve">r</m:t>
            </m:r>
          </m:e>
          <m:sub>
            <m:r>
              <w:rPr>
                <w:rFonts w:ascii="Cambria Math" w:hAnsi="Cambria Math"/>
              </w:rPr>
              <m:t xml:space="preserve">2</m:t>
            </m:r>
          </m:sub>
        </m:sSub>
      </m:oMath>
      <w:r>
        <w:rPr>
          <w:rFonts w:ascii="Times New Roman" w:hAnsi="Times New Roman" w:eastAsia="宋体"/>
          <w:b w:val="0"/>
          <w:sz w:val="24"/>
        </w:rPr>
        <w:t>）只能加快逼近既有均衡，而不能抬高均衡本身；要打开上行空间，必须作用于</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w:t>
      </w:r>
      <m:oMath>
        <m:sSub>
          <m:e>
            <m:r>
              <w:rPr>
                <w:rFonts w:ascii="Cambria Math" w:hAnsi="Cambria Math"/>
              </w:rPr>
              <m:t xml:space="preserve">θ</m:t>
            </m:r>
          </m:e>
          <m:sub>
            <m:r>
              <w:rPr>
                <w:rFonts w:ascii="Cambria Math" w:hAnsi="Cambria Math"/>
              </w:rPr>
              <m:t xml:space="preserve">2</m:t>
            </m:r>
          </m:sub>
        </m:sSub>
      </m:oMath>
      <w:r>
        <w:rPr>
          <w:rFonts w:ascii="Times New Roman" w:hAnsi="Times New Roman" w:eastAsia="宋体"/>
          <w:b w:val="0"/>
          <w:sz w:val="24"/>
        </w:rPr>
        <w:t>、</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，经由赋能强度的提高外移均衡位置。因此，当协调度改善边际放缓时，恰当的政策反应不是加码投入，而是诊断哪一道关口构成短板——后文路径设计正是循此逻辑展开。</w:t>
      </w:r>
    </w:p>
    <w:p>
      <w:pPr>
        <w:spacing w:line="360" w:lineRule="auto" w:after="80"/>
        <w:jc w:val="left"/>
      </w:pPr>
      <w:r>
        <w:rPr>
          <w:rFonts w:ascii="Times New Roman" w:hAnsi="Times New Roman" w:eastAsia="黑体"/>
          <w:b/>
          <w:sz w:val="28"/>
        </w:rPr>
        <w:t>（四）模型命题及其与实证检验的对应</w:t>
      </w:r>
    </w:p>
    <w:p>
      <w:pPr>
        <w:spacing w:line="360" w:lineRule="auto" w:after="0"/>
        <w:ind w:firstLine="480"/>
        <w:jc w:val="both"/>
      </w:pPr>
      <w:r>
        <w:rPr>
          <w:rFonts w:ascii="Times New Roman" w:hAnsi="Times New Roman" w:eastAsia="宋体"/>
          <w:b w:val="0"/>
          <w:sz w:val="24"/>
        </w:rPr>
        <w:t>综合上述推导，模型给出如下可检验命题。</w:t>
      </w:r>
    </w:p>
    <w:p>
      <w:pPr>
        <w:spacing w:line="360" w:lineRule="auto" w:after="0"/>
        <w:ind w:firstLine="480"/>
        <w:jc w:val="both"/>
      </w:pPr>
      <w:r>
        <w:rPr>
          <w:rFonts w:ascii="Times New Roman" w:hAnsi="Times New Roman" w:eastAsia="宋体"/>
          <w:b w:val="0"/>
          <w:sz w:val="24"/>
        </w:rPr>
        <w:t>命题M1（同向演进）：在</w:t>
      </w:r>
      <m:oMath>
        <m:sSub>
          <m:e>
            <m:r>
              <w:rPr>
                <w:rFonts w:ascii="Cambria Math" w:hAnsi="Cambria Math"/>
              </w:rPr>
              <m:t xml:space="preserve">η</m:t>
            </m:r>
          </m:e>
          <m:sub>
            <m:r>
              <w:rPr>
                <w:rFonts w:ascii="Cambria Math" w:hAnsi="Cambria Math"/>
              </w:rPr>
              <m:t xml:space="preserve">1</m:t>
            </m:r>
          </m:sub>
        </m:sSub>
      </m:oMath>
      <m:oMath>
        <m:sSub>
          <m:e>
            <m:r>
              <w:rPr>
                <w:rFonts w:ascii="Cambria Math" w:hAnsi="Cambria Math"/>
              </w:rPr>
              <m:t xml:space="preserve">η</m:t>
            </m:r>
          </m:e>
          <m:sub>
            <m:r>
              <w:rPr>
                <w:rFonts w:ascii="Cambria Math" w:hAnsi="Cambria Math"/>
              </w:rPr>
              <m:t xml:space="preserve">2</m:t>
            </m:r>
          </m:sub>
        </m:sSub>
      </m:oMath>
      <w:r>
        <w:rPr>
          <w:rFonts w:ascii="Times New Roman" w:hAnsi="Times New Roman" w:eastAsia="宋体"/>
          <w:b w:val="0"/>
          <w:sz w:val="24"/>
        </w:rPr>
        <w:t>&lt;1且</w:t>
      </w:r>
      <m:oMath>
        <m:sSub>
          <m:e>
            <m:r>
              <w:rPr>
                <w:rFonts w:ascii="Cambria Math" w:hAnsi="Cambria Math"/>
              </w:rPr>
              <m:t xml:space="preserve">η</m:t>
            </m:r>
          </m:e>
          <m:sub>
            <m:r>
              <w:rPr>
                <w:rFonts w:ascii="Cambria Math" w:hAnsi="Cambria Math"/>
              </w:rPr>
              <m:t xml:space="preserve">1</m:t>
            </m:r>
          </m:sub>
        </m:sSub>
      </m:oMath>
      <w:r>
        <w:rPr>
          <w:rFonts w:ascii="Times New Roman" w:hAnsi="Times New Roman" w:eastAsia="宋体"/>
          <w:b w:val="0"/>
          <w:sz w:val="24"/>
        </w:rPr>
        <w:t>、</w:t>
      </w:r>
      <m:oMath>
        <m:sSub>
          <m:e>
            <m:r>
              <w:rPr>
                <w:rFonts w:ascii="Cambria Math" w:hAnsi="Cambria Math"/>
              </w:rPr>
              <m:t xml:space="preserve">η</m:t>
            </m:r>
          </m:e>
          <m:sub>
            <m:r>
              <w:rPr>
                <w:rFonts w:ascii="Cambria Math" w:hAnsi="Cambria Math"/>
              </w:rPr>
              <m:t xml:space="preserve">2</m:t>
            </m:r>
          </m:sub>
        </m:sSub>
      </m:oMath>
      <w:r>
        <w:rPr>
          <w:rFonts w:ascii="Times New Roman" w:hAnsi="Times New Roman" w:eastAsia="宋体"/>
          <w:b w:val="0"/>
          <w:sz w:val="24"/>
        </w:rPr>
        <w:t>&gt;0的参数域内，从任意正初值出发，(</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)沿稳定轨道同向上升并收敛于正均衡，耦合协调度</w:t>
      </w:r>
      <m:oMath>
        <m:r>
          <w:rPr>
            <w:rFonts w:ascii="Cambria Math" w:hAnsi="Cambria Math"/>
          </w:rPr>
          <m:t xml:space="preserve">D</m:t>
        </m:r>
      </m:oMath>
      <w:r>
        <w:rPr>
          <w:rFonts w:ascii="Times New Roman" w:hAnsi="Times New Roman" w:eastAsia="宋体"/>
          <w:b w:val="0"/>
          <w:sz w:val="24"/>
        </w:rPr>
        <w:t>沿轨道单调上升。该命题对应第三章命题P1，其检验落在实证Ⅱ章的时序分析——若浙江样本期内</w:t>
      </w:r>
      <m:oMath>
        <m:r>
          <w:rPr>
            <w:rFonts w:ascii="Cambria Math" w:hAnsi="Cambria Math"/>
          </w:rPr>
          <m:t xml:space="preserve">D</m:t>
        </m:r>
      </m:oMath>
      <w:r>
        <w:rPr>
          <w:rFonts w:ascii="Times New Roman" w:hAnsi="Times New Roman" w:eastAsia="宋体"/>
          <w:b w:val="0"/>
          <w:sz w:val="24"/>
        </w:rPr>
        <w:t>持续上升并呈阶段跃迁，则与命题预期一致。</w:t>
      </w:r>
    </w:p>
    <w:p>
      <w:pPr>
        <w:spacing w:line="360" w:lineRule="auto" w:after="0"/>
        <w:ind w:firstLine="480"/>
        <w:jc w:val="both"/>
      </w:pPr>
      <w:r>
        <w:rPr>
          <w:rFonts w:ascii="Times New Roman" w:hAnsi="Times New Roman" w:eastAsia="宋体"/>
          <w:b w:val="0"/>
          <w:sz w:val="24"/>
        </w:rPr>
        <w:t>具体而言，M1的证据链由两段构成：实证Ⅰ章给出</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指数序列，实证Ⅱ章据此计算</w:t>
      </w:r>
      <m:oMath>
        <m:r>
          <w:rPr>
            <w:rFonts w:ascii="Cambria Math" w:hAnsi="Cambria Math"/>
          </w:rPr>
          <m:t xml:space="preserve">C</m:t>
        </m:r>
      </m:oMath>
      <w:r>
        <w:rPr>
          <w:rFonts w:ascii="Times New Roman" w:hAnsi="Times New Roman" w:eastAsia="宋体"/>
          <w:b w:val="0"/>
          <w:sz w:val="24"/>
        </w:rPr>
        <w:t>、</w:t>
      </w:r>
      <m:oMath>
        <m:r>
          <w:rPr>
            <w:rFonts w:ascii="Cambria Math" w:hAnsi="Cambria Math"/>
          </w:rPr>
          <m:t xml:space="preserve">T</m:t>
        </m:r>
      </m:oMath>
      <w:r>
        <w:rPr>
          <w:rFonts w:ascii="Times New Roman" w:hAnsi="Times New Roman" w:eastAsia="宋体"/>
          <w:b w:val="0"/>
          <w:sz w:val="24"/>
        </w:rPr>
        <w:t>与</w:t>
      </w:r>
      <m:oMath>
        <m:r>
          <w:rPr>
            <w:rFonts w:ascii="Cambria Math" w:hAnsi="Cambria Math"/>
          </w:rPr>
          <m:t xml:space="preserve">D</m:t>
        </m:r>
      </m:oMath>
      <w:r>
        <w:rPr>
          <w:rFonts w:ascii="Times New Roman" w:hAnsi="Times New Roman" w:eastAsia="宋体"/>
          <w:b w:val="0"/>
          <w:sz w:val="24"/>
        </w:rPr>
        <w:t>的时序轨迹。与命题一致的形态是两系统同向上升、差距有界，</w:t>
      </w:r>
      <m:oMath>
        <m:r>
          <w:rPr>
            <w:rFonts w:ascii="Cambria Math" w:hAnsi="Cambria Math"/>
          </w:rPr>
          <m:t xml:space="preserve">D</m:t>
        </m:r>
      </m:oMath>
      <w:r>
        <w:rPr>
          <w:rFonts w:ascii="Times New Roman" w:hAnsi="Times New Roman" w:eastAsia="宋体"/>
          <w:b w:val="0"/>
          <w:sz w:val="24"/>
        </w:rPr>
        <w:t>单调上升并呈阶段跃迁；证伪形态则是两系统长期背离，或</w:t>
      </w:r>
      <m:oMath>
        <m:r>
          <w:rPr>
            <w:rFonts w:ascii="Cambria Math" w:hAnsi="Cambria Math"/>
          </w:rPr>
          <m:t xml:space="preserve">D</m:t>
        </m:r>
      </m:oMath>
      <w:r>
        <w:rPr>
          <w:rFonts w:ascii="Times New Roman" w:hAnsi="Times New Roman" w:eastAsia="宋体"/>
          <w:b w:val="0"/>
          <w:sz w:val="24"/>
        </w:rPr>
        <w:t>长期徘徊乃至回落且无法归因于可识别的短期冲击。个别年份因外部冲击出现的回调属于扰动而非趋势，不构成证伪。</w:t>
      </w:r>
    </w:p>
    <w:p>
      <w:pPr>
        <w:spacing w:line="360" w:lineRule="auto" w:after="0"/>
        <w:ind w:firstLine="480"/>
        <w:jc w:val="both"/>
      </w:pPr>
      <w:r>
        <w:rPr>
          <w:rFonts w:ascii="Times New Roman" w:hAnsi="Times New Roman" w:eastAsia="宋体"/>
          <w:b w:val="0"/>
          <w:sz w:val="24"/>
        </w:rPr>
        <w:t>命题M2（关口决定）：均衡水平(</w:t>
      </w:r>
      <m:oMath>
        <m:sSubSup>
          <m:e>
            <m:r>
              <w:rPr>
                <w:rFonts w:ascii="Cambria Math" w:hAnsi="Cambria Math"/>
              </w:rPr>
              <m:t xml:space="preserve">U</m:t>
            </m:r>
          </m:e>
          <m:sub>
            <m:r>
              <w:rPr>
                <w:rFonts w:ascii="Cambria Math" w:hAnsi="Cambria Math"/>
              </w:rPr>
              <m:t xml:space="preserve">1</m:t>
            </m:r>
          </m:sub>
          <m:sup>
            <m:r>
              <w:rPr>
                <w:rFonts w:ascii="Cambria Math" w:hAnsi="Cambria Math"/>
              </w:rPr>
              <m:t xml:space="preserve">*</m:t>
            </m:r>
          </m:sup>
        </m:sSubSup>
      </m:oMath>
      <w:r>
        <w:rPr>
          <w:rFonts w:ascii="Times New Roman" w:hAnsi="Times New Roman" w:eastAsia="宋体"/>
          <w:b w:val="0"/>
          <w:sz w:val="24"/>
        </w:rPr>
        <w:t>,</w:t>
      </w:r>
      <m:oMath>
        <m:sSubSup>
          <m:e>
            <m:r>
              <w:rPr>
                <w:rFonts w:ascii="Cambria Math" w:hAnsi="Cambria Math"/>
              </w:rPr>
              <m:t xml:space="preserve">U</m:t>
            </m:r>
          </m:e>
          <m:sub>
            <m:r>
              <w:rPr>
                <w:rFonts w:ascii="Cambria Math" w:hAnsi="Cambria Math"/>
              </w:rPr>
              <m:t xml:space="preserve">2</m:t>
            </m:r>
          </m:sub>
          <m:sup>
            <m:r>
              <w:rPr>
                <w:rFonts w:ascii="Cambria Math" w:hAnsi="Cambria Math"/>
              </w:rPr>
              <m:t xml:space="preserve">*</m:t>
            </m:r>
          </m:sup>
        </m:sSubSup>
      </m:oMath>
      <w:r>
        <w:rPr>
          <w:rFonts w:ascii="Times New Roman" w:hAnsi="Times New Roman" w:eastAsia="宋体"/>
          <w:b w:val="0"/>
          <w:sz w:val="24"/>
        </w:rPr>
        <w:t>)与协调度上限</w:t>
      </w:r>
      <m:oMath>
        <m:sSubSup>
          <m:e>
            <m:r>
              <w:rPr>
                <w:rFonts w:ascii="Cambria Math" w:hAnsi="Cambria Math"/>
              </w:rPr>
              <m:t xml:space="preserve">D</m:t>
            </m:r>
          </m:e>
          <m:sub>
            <m:r>
              <w:rPr>
                <w:rFonts w:ascii="Cambria Math" w:hAnsi="Cambria Math"/>
              </w:rPr>
              <m:t xml:space="preserve"/>
            </m:r>
          </m:sub>
          <m:sup>
            <m:r>
              <w:rPr>
                <w:rFonts w:ascii="Cambria Math" w:hAnsi="Cambria Math"/>
              </w:rPr>
              <m:t xml:space="preserve">*</m:t>
            </m:r>
          </m:sup>
        </m:sSubSup>
      </m:oMath>
      <w:r>
        <w:rPr>
          <w:rFonts w:ascii="Times New Roman" w:hAnsi="Times New Roman" w:eastAsia="宋体"/>
          <w:b w:val="0"/>
          <w:sz w:val="24"/>
        </w:rPr>
        <w:t>是</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w:t>
      </w:r>
      <m:oMath>
        <m:sSub>
          <m:e>
            <m:r>
              <w:rPr>
                <w:rFonts w:ascii="Cambria Math" w:hAnsi="Cambria Math"/>
              </w:rPr>
              <m:t xml:space="preserve">θ</m:t>
            </m:r>
          </m:e>
          <m:sub>
            <m:r>
              <w:rPr>
                <w:rFonts w:ascii="Cambria Math" w:hAnsi="Cambria Math"/>
              </w:rPr>
              <m:t xml:space="preserve">2</m:t>
            </m:r>
          </m:sub>
        </m:sSub>
      </m:oMath>
      <w:r>
        <w:rPr>
          <w:rFonts w:ascii="Times New Roman" w:hAnsi="Times New Roman" w:eastAsia="宋体"/>
          <w:b w:val="0"/>
          <w:sz w:val="24"/>
        </w:rPr>
        <w:t>、</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的递增函数；任一关口参数趋于零都会显著压低均衡水平并使系统偏向单向依赖结构。该命题对应命题P2，其检验有二：时序上，重大关口修复性制度供给（如共同富裕示范区建设对</w:t>
      </w:r>
      <m:oMath>
        <m:sSub>
          <m:e>
            <m:r>
              <w:rPr>
                <w:rFonts w:ascii="Cambria Math" w:hAnsi="Cambria Math"/>
              </w:rPr>
              <m:t xml:space="preserve">θ</m:t>
            </m:r>
          </m:e>
          <m:sub>
            <m:r>
              <w:rPr>
                <w:rFonts w:ascii="Cambria Math" w:hAnsi="Cambria Math"/>
              </w:rPr>
              <m:t xml:space="preserve">2</m:t>
            </m:r>
          </m:sub>
        </m:sSub>
      </m:oMath>
      <w:r>
        <w:rPr>
          <w:rFonts w:ascii="Times New Roman" w:hAnsi="Times New Roman" w:eastAsia="宋体"/>
          <w:b w:val="0"/>
          <w:sz w:val="24"/>
        </w:rPr>
        <w:t>、</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的系统性改进）应对应</w:t>
      </w:r>
      <m:oMath>
        <m:r>
          <w:rPr>
            <w:rFonts w:ascii="Cambria Math" w:hAnsi="Cambria Math"/>
          </w:rPr>
          <m:t xml:space="preserve">D</m:t>
        </m:r>
      </m:oMath>
      <w:r>
        <w:rPr>
          <w:rFonts w:ascii="Times New Roman" w:hAnsi="Times New Roman" w:eastAsia="宋体"/>
          <w:b w:val="0"/>
          <w:sz w:val="24"/>
        </w:rPr>
        <w:t>的加速跃升；截面上，关口配套缺失的地区应稳定落入低绩效集合。</w:t>
      </w:r>
    </w:p>
    <w:p>
      <w:pPr>
        <w:spacing w:line="360" w:lineRule="auto" w:after="0"/>
        <w:ind w:firstLine="480"/>
        <w:jc w:val="both"/>
      </w:pPr>
      <w:r>
        <w:rPr>
          <w:rFonts w:ascii="Times New Roman" w:hAnsi="Times New Roman" w:eastAsia="宋体"/>
          <w:b w:val="0"/>
          <w:sz w:val="24"/>
        </w:rPr>
        <w:t>M2检验的两类证据各有分工。时序上，共同富裕示范区建设可视为对</w:t>
      </w:r>
      <m:oMath>
        <m:sSub>
          <m:e>
            <m:r>
              <w:rPr>
                <w:rFonts w:ascii="Cambria Math" w:hAnsi="Cambria Math"/>
              </w:rPr>
              <m:t xml:space="preserve">θ</m:t>
            </m:r>
          </m:e>
          <m:sub>
            <m:r>
              <w:rPr>
                <w:rFonts w:ascii="Cambria Math" w:hAnsi="Cambria Math"/>
              </w:rPr>
              <m:t xml:space="preserve">2</m:t>
            </m:r>
          </m:sub>
        </m:sSub>
      </m:oMath>
      <w:r>
        <w:rPr>
          <w:rFonts w:ascii="Times New Roman" w:hAnsi="Times New Roman" w:eastAsia="宋体"/>
          <w:b w:val="0"/>
          <w:sz w:val="24"/>
        </w:rPr>
        <w:t>、</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实施系统性改进的标志性事件：2021年6月中央《意见》及省实施方案围绕扩中提低、公共服务优质共享、山区26县发展作出成体系部署，按模型逻辑应对应协调度的加速跃升，若此后</w:t>
      </w:r>
      <m:oMath>
        <m:r>
          <w:rPr>
            <w:rFonts w:ascii="Cambria Math" w:hAnsi="Cambria Math"/>
          </w:rPr>
          <m:t xml:space="preserve">D</m:t>
        </m:r>
      </m:oMath>
      <w:r>
        <w:rPr>
          <w:rFonts w:ascii="Times New Roman" w:hAnsi="Times New Roman" w:eastAsia="宋体"/>
          <w:b w:val="0"/>
          <w:sz w:val="24"/>
        </w:rPr>
        <w:t>的改善反而放缓即构成反证。截面上，实证Ⅲ章以转化条件为前因开展组态分析，预期关口配套缺失的省份稳定落入非高绩效集合，若大量缺口省份仍达到高水平耦合协调，关口决定说即被削弱。实证Ⅰ章的障碍度诊断则提供操作化影子指标：障碍度居前的指标所指向的关口，应与协调度改善的瓶颈相互印证，构成第三重旁证。</w:t>
      </w:r>
    </w:p>
    <w:p>
      <w:pPr>
        <w:spacing w:line="360" w:lineRule="auto" w:after="0"/>
        <w:ind w:firstLine="480"/>
        <w:jc w:val="both"/>
      </w:pPr>
      <w:r>
        <w:rPr>
          <w:rFonts w:ascii="Times New Roman" w:hAnsi="Times New Roman" w:eastAsia="宋体"/>
          <w:b w:val="0"/>
          <w:sz w:val="24"/>
        </w:rPr>
        <w:t>命题M3（组态等效与非对称）：由</w:t>
      </w:r>
      <m:oMath>
        <m:sSub>
          <m:e>
            <m:r>
              <w:rPr>
                <w:rFonts w:ascii="Cambria Math" w:hAnsi="Cambria Math"/>
              </w:rPr>
              <m:t xml:space="preserve">η</m:t>
            </m:r>
          </m:e>
          <m:sub>
            <m:r>
              <w:rPr>
                <w:rFonts w:ascii="Cambria Math" w:hAnsi="Cambria Math"/>
              </w:rPr>
              <m:t xml:space="preserve">2</m:t>
            </m:r>
          </m:sub>
        </m:sSub>
      </m:oMath>
      <w:r>
        <w:rPr>
          <w:rFonts w:ascii="Times New Roman" w:hAnsi="Times New Roman" w:eastAsia="宋体"/>
          <w:b w:val="0"/>
          <w:sz w:val="24"/>
        </w:rPr>
        <w:t>＝</w:t>
      </w:r>
      <m:oMath>
        <m:sSub>
          <m:e>
            <m:r>
              <w:rPr>
                <w:rFonts w:ascii="Cambria Math" w:hAnsi="Cambria Math"/>
              </w:rPr>
              <m:t xml:space="preserve">η</m:t>
            </m:r>
          </m:e>
          <m:sub>
            <m:r>
              <w:rPr>
                <w:rFonts w:ascii="Cambria Math" w:hAnsi="Cambria Math"/>
              </w:rPr>
              <m:t xml:space="preserve">2</m:t>
            </m:r>
          </m:sub>
        </m:sSub>
      </m:oMath>
      <w:r>
        <w:rPr>
          <w:rFonts w:ascii="Times New Roman" w:hAnsi="Times New Roman" w:eastAsia="宋体"/>
          <w:b w:val="0"/>
          <w:sz w:val="24"/>
        </w:rPr>
        <w:t>(</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w:t>
      </w:r>
      <m:oMath>
        <m:sSub>
          <m:e>
            <m:r>
              <w:rPr>
                <w:rFonts w:ascii="Cambria Math" w:hAnsi="Cambria Math"/>
              </w:rPr>
              <m:t xml:space="preserve">θ</m:t>
            </m:r>
          </m:e>
          <m:sub>
            <m:r>
              <w:rPr>
                <w:rFonts w:ascii="Cambria Math" w:hAnsi="Cambria Math"/>
              </w:rPr>
              <m:t xml:space="preserve">2</m:t>
            </m:r>
          </m:sub>
        </m:sSub>
      </m:oMath>
      <w:r>
        <w:rPr>
          <w:rFonts w:ascii="Times New Roman" w:hAnsi="Times New Roman" w:eastAsia="宋体"/>
          <w:b w:val="0"/>
          <w:sz w:val="24"/>
        </w:rPr>
        <w:t>)的复合结构可知，不同的(</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w:t>
      </w:r>
      <m:oMath>
        <m:sSub>
          <m:e>
            <m:r>
              <w:rPr>
                <w:rFonts w:ascii="Cambria Math" w:hAnsi="Cambria Math"/>
              </w:rPr>
              <m:t xml:space="preserve">θ</m:t>
            </m:r>
          </m:e>
          <m:sub>
            <m:r>
              <w:rPr>
                <w:rFonts w:ascii="Cambria Math" w:hAnsi="Cambria Math"/>
              </w:rPr>
              <m:t xml:space="preserve">2</m:t>
            </m:r>
          </m:sub>
        </m:sSub>
      </m:oMath>
      <w:r>
        <w:rPr>
          <w:rFonts w:ascii="Times New Roman" w:hAnsi="Times New Roman" w:eastAsia="宋体"/>
          <w:b w:val="0"/>
          <w:sz w:val="24"/>
        </w:rPr>
        <w:t>,</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)组合可以生成相同的赋能强度与相近的均衡水平，故高水平协同不存在唯一的参数路径；反之，</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较高而</w:t>
      </w:r>
      <m:oMath>
        <m:sSub>
          <m:e>
            <m:r>
              <w:rPr>
                <w:rFonts w:ascii="Cambria Math" w:hAnsi="Cambria Math"/>
              </w:rPr>
              <m:t xml:space="preserve">θ</m:t>
            </m:r>
          </m:e>
          <m:sub>
            <m:r>
              <w:rPr>
                <w:rFonts w:ascii="Cambria Math" w:hAnsi="Cambria Math"/>
              </w:rPr>
              <m:t xml:space="preserve">2</m:t>
            </m:r>
          </m:sub>
        </m:sSub>
      </m:oMath>
      <w:r>
        <w:rPr>
          <w:rFonts w:ascii="Times New Roman" w:hAnsi="Times New Roman" w:eastAsia="宋体"/>
          <w:b w:val="0"/>
          <w:sz w:val="24"/>
        </w:rPr>
        <w:t>、</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低下的组合（创新孤岛型参数结构）无法达到高均衡，且其失败机理与低</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组合并不对称。该命题对应命题P3，直接构成实证Ⅲ章fsQCA组态分析的理论预期。</w:t>
      </w:r>
    </w:p>
    <w:p>
      <w:pPr>
        <w:spacing w:line="360" w:lineRule="auto" w:after="0"/>
        <w:ind w:firstLine="480"/>
        <w:jc w:val="both"/>
      </w:pPr>
      <w:r>
        <w:rPr>
          <w:rFonts w:ascii="Times New Roman" w:hAnsi="Times New Roman" w:eastAsia="宋体"/>
          <w:b w:val="0"/>
          <w:sz w:val="24"/>
        </w:rPr>
        <w:t>用集合论语言重述，M3包含两个推断。其一是等效性：不同的关口参数组合可生成相近的均衡水平，对应多条高绩效路径并存的预期，实证Ⅲ章识别的路径若在核心条件上确有实质差异，即为其证据。其二是非对称性：高绩效组态的“取反”并不自动构成低绩效的解释；其中</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领先而</w:t>
      </w:r>
      <m:oMath>
        <m:sSub>
          <m:e>
            <m:r>
              <w:rPr>
                <w:rFonts w:ascii="Cambria Math" w:hAnsi="Cambria Math"/>
              </w:rPr>
              <m:t xml:space="preserve">θ</m:t>
            </m:r>
          </m:e>
          <m:sub>
            <m:r>
              <w:rPr>
                <w:rFonts w:ascii="Cambria Math" w:hAnsi="Cambria Math"/>
              </w:rPr>
              <m:t xml:space="preserve">2</m:t>
            </m:r>
          </m:sub>
        </m:sSub>
      </m:oMath>
      <w:r>
        <w:rPr>
          <w:rFonts w:ascii="Times New Roman" w:hAnsi="Times New Roman" w:eastAsia="宋体"/>
          <w:b w:val="0"/>
          <w:sz w:val="24"/>
        </w:rPr>
        <w:t>、</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滞后的“创新孤岛型”参数结构尤具理论意味，它表明单一关口的优势无法替代关口体系的整体贯通。证伪条件同样清晰：若组态分析得出唯一高绩效路径，或高、低绩效的解互为镜像，命题即被证伪。省际比较章从另一侧面复核M3：四省参数结构差异若与协调绩效差异一致对应，则命题获得跨案例支持。</w:t>
      </w:r>
    </w:p>
    <w:p>
      <w:pPr>
        <w:spacing w:line="360" w:lineRule="auto" w:after="0"/>
        <w:ind w:firstLine="480"/>
        <w:jc w:val="both"/>
      </w:pPr>
      <w:r>
        <w:rPr>
          <w:rFonts w:ascii="Times New Roman" w:hAnsi="Times New Roman" w:eastAsia="宋体"/>
          <w:b w:val="0"/>
          <w:sz w:val="24"/>
        </w:rPr>
        <w:t>需要说明模型的三点简化及其影响。其一，模型未显式刻画空间维度，地区差距被吸收进</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的空间含义（创新势能的跨区域转化）之中，山海协作等空间传导机制可理解为对区域间</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差异的制度性平抑；其二，</w:t>
      </w:r>
      <m:oMath>
        <m:r>
          <w:rPr>
            <w:rFonts w:ascii="Cambria Math" w:hAnsi="Cambria Math"/>
          </w:rPr>
          <m:t xml:space="preserve">λ</m:t>
        </m:r>
        <m:d>
          <m:dPr>
            <m:begChr m:val="("/>
            <m:endChr m:val=")"/>
          </m:dPr>
          <m:e>
            <m:sSub>
              <m:e>
                <m:r>
                  <w:rPr>
                    <w:rFonts w:ascii="Cambria Math" w:hAnsi="Cambria Math"/>
                  </w:rPr>
                  <m:t xml:space="preserve">θ</m:t>
                </m:r>
              </m:e>
              <m:sub>
                <m:r>
                  <w:rPr>
                    <w:rFonts w:ascii="Cambria Math" w:hAnsi="Cambria Math"/>
                  </w:rPr>
                  <m:t xml:space="preserve">2</m:t>
                </m:r>
              </m:sub>
            </m:sSub>
          </m:e>
        </m:d>
      </m:oMath>
      <w:r>
        <w:rPr>
          <w:rFonts w:ascii="Times New Roman" w:hAnsi="Times New Roman" w:eastAsia="宋体"/>
          <w:b w:val="0"/>
          <w:sz w:val="24"/>
        </w:rPr>
        <w:t>与η函数未给出显式函数形式，这不影响比较静态结论的方向，但意味着模型只提供定性预期而非数值预测；其三，双系统方程(12)(13)是对多重结构机制的降维概括，其参数</w:t>
      </w:r>
      <m:oMath>
        <m:sSub>
          <m:e>
            <m:r>
              <w:rPr>
                <w:rFonts w:ascii="Cambria Math" w:hAnsi="Cambria Math"/>
              </w:rPr>
              <m:t xml:space="preserve">η</m:t>
            </m:r>
          </m:e>
          <m:sub>
            <m:r>
              <w:rPr>
                <w:rFonts w:ascii="Cambria Math" w:hAnsi="Cambria Math"/>
              </w:rPr>
              <m:t xml:space="preserve">1</m:t>
            </m:r>
          </m:sub>
        </m:sSub>
      </m:oMath>
      <w:r>
        <w:rPr>
          <w:rFonts w:ascii="Times New Roman" w:hAnsi="Times New Roman" w:eastAsia="宋体"/>
          <w:b w:val="0"/>
          <w:sz w:val="24"/>
        </w:rPr>
        <w:t>、</w:t>
      </w:r>
      <m:oMath>
        <m:sSub>
          <m:e>
            <m:r>
              <w:rPr>
                <w:rFonts w:ascii="Cambria Math" w:hAnsi="Cambria Math"/>
              </w:rPr>
              <m:t xml:space="preserve">η</m:t>
            </m:r>
          </m:e>
          <m:sub>
            <m:r>
              <w:rPr>
                <w:rFonts w:ascii="Cambria Math" w:hAnsi="Cambria Math"/>
              </w:rPr>
              <m:t xml:space="preserve">2</m:t>
            </m:r>
          </m:sub>
        </m:sSub>
      </m:oMath>
      <w:r>
        <w:rPr>
          <w:rFonts w:ascii="Times New Roman" w:hAnsi="Times New Roman" w:eastAsia="宋体"/>
          <w:b w:val="0"/>
          <w:sz w:val="24"/>
        </w:rPr>
        <w:t>应理解为制度综合体的约简表达。上述简化决定了模型的恰当使用方式：为实证分析提供机制假说与解释框架，而非替代实证检验本身。</w:t>
      </w:r>
    </w:p>
    <w:p>
      <w:pPr>
        <w:spacing w:line="360" w:lineRule="auto" w:after="0"/>
        <w:ind w:firstLine="480"/>
        <w:jc w:val="both"/>
      </w:pPr>
      <w:r>
        <w:rPr>
          <w:rFonts w:ascii="Times New Roman" w:hAnsi="Times New Roman" w:eastAsia="宋体"/>
          <w:b w:val="0"/>
          <w:sz w:val="24"/>
        </w:rPr>
        <w:t>至此，本章完成了从质性框架到参数语言的翻译：三大转化关口对应</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w:t>
      </w:r>
      <m:oMath>
        <m:sSub>
          <m:e>
            <m:r>
              <w:rPr>
                <w:rFonts w:ascii="Cambria Math" w:hAnsi="Cambria Math"/>
              </w:rPr>
              <m:t xml:space="preserve">θ</m:t>
            </m:r>
          </m:e>
          <m:sub>
            <m:r>
              <w:rPr>
                <w:rFonts w:ascii="Cambria Math" w:hAnsi="Cambria Math"/>
              </w:rPr>
              <m:t xml:space="preserve">2</m:t>
            </m:r>
          </m:sub>
        </m:sSub>
      </m:oMath>
      <w:r>
        <w:rPr>
          <w:rFonts w:ascii="Times New Roman" w:hAnsi="Times New Roman" w:eastAsia="宋体"/>
          <w:b w:val="0"/>
          <w:sz w:val="24"/>
        </w:rPr>
        <w:t>、</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，“制度转化器”对应</w:t>
      </w:r>
      <m:oMath>
        <m:sSub>
          <m:e>
            <m:r>
              <w:rPr>
                <w:rFonts w:ascii="Cambria Math" w:hAnsi="Cambria Math"/>
              </w:rPr>
              <m:t xml:space="preserve">θ</m:t>
            </m:r>
          </m:e>
          <m:sub>
            <m:r>
              <w:rPr>
                <w:rFonts w:ascii="Cambria Math" w:hAnsi="Cambria Math"/>
              </w:rPr>
              <m:t xml:space="preserve">0</m:t>
            </m:r>
          </m:sub>
        </m:sSub>
      </m:oMath>
      <w:r>
        <w:rPr>
          <w:rFonts w:ascii="Times New Roman" w:hAnsi="Times New Roman" w:eastAsia="宋体"/>
          <w:b w:val="0"/>
          <w:sz w:val="24"/>
        </w:rPr>
        <w:t>、</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w:t>
      </w:r>
      <m:oMath>
        <m:sSub>
          <m:e>
            <m:r>
              <w:rPr>
                <w:rFonts w:ascii="Cambria Math" w:hAnsi="Cambria Math"/>
              </w:rPr>
              <m:t xml:space="preserve">θ</m:t>
            </m:r>
          </m:e>
          <m:sub>
            <m:r>
              <w:rPr>
                <w:rFonts w:ascii="Cambria Math" w:hAnsi="Cambria Math"/>
              </w:rPr>
              <m:t xml:space="preserve">2</m:t>
            </m:r>
          </m:sub>
        </m:sSub>
      </m:oMath>
      <w:r>
        <w:rPr>
          <w:rFonts w:ascii="Times New Roman" w:hAnsi="Times New Roman" w:eastAsia="宋体"/>
          <w:b w:val="0"/>
          <w:sz w:val="24"/>
        </w:rPr>
        <w:t>、</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参数束的整体校准，“双向赋能”对应</w:t>
      </w:r>
      <m:oMath>
        <m:sSub>
          <m:e>
            <m:r>
              <w:rPr>
                <w:rFonts w:ascii="Cambria Math" w:hAnsi="Cambria Math"/>
              </w:rPr>
              <m:t xml:space="preserve">η</m:t>
            </m:r>
          </m:e>
          <m:sub>
            <m:r>
              <w:rPr>
                <w:rFonts w:ascii="Cambria Math" w:hAnsi="Cambria Math"/>
              </w:rPr>
              <m:t xml:space="preserve">1</m:t>
            </m:r>
          </m:sub>
        </m:sSub>
      </m:oMath>
      <w:r>
        <w:rPr>
          <w:rFonts w:ascii="Times New Roman" w:hAnsi="Times New Roman" w:eastAsia="宋体"/>
          <w:b w:val="0"/>
          <w:sz w:val="24"/>
        </w:rPr>
        <w:t>、</w:t>
      </w:r>
      <m:oMath>
        <m:sSub>
          <m:e>
            <m:r>
              <w:rPr>
                <w:rFonts w:ascii="Cambria Math" w:hAnsi="Cambria Math"/>
              </w:rPr>
              <m:t xml:space="preserve">η</m:t>
            </m:r>
          </m:e>
          <m:sub>
            <m:r>
              <w:rPr>
                <w:rFonts w:ascii="Cambria Math" w:hAnsi="Cambria Math"/>
              </w:rPr>
              <m:t xml:space="preserve">2</m:t>
            </m:r>
          </m:sub>
        </m:sSub>
      </m:oMath>
      <w:r>
        <w:rPr>
          <w:rFonts w:ascii="Times New Roman" w:hAnsi="Times New Roman" w:eastAsia="宋体"/>
          <w:b w:val="0"/>
          <w:sz w:val="24"/>
        </w:rPr>
        <w:t>同时为正的耦合结构，共富型新质生产力所追求的高水平协同均衡对应式(14)的正均衡。命题M1、M2、M3把这些判断转写为可证伪的经验陈述，分别交由时序证据、事件对照证据与组态证据检验；省际比较提供横向参照，路径设计再把参数改进方向翻译回制度安排。数理模型由此成为贯通全报告理论与实证的枢纽：向前为理论框架提供自洽性检查，向后为实证发现提供机制解释的坐标系，使经验结果能够回溯到明确的制度参数与传导链条。</w:t>
      </w:r>
    </w:p>
    <w:p>
      <w:pPr>
        <w:spacing w:line="360" w:lineRule="auto" w:after="160"/>
        <w:jc w:val="center"/>
      </w:pPr>
      <w:r>
        <w:rPr>
          <w:rFonts w:ascii="Times New Roman" w:hAnsi="Times New Roman" w:eastAsia="黑体"/>
          <w:b/>
          <w:sz w:val="32"/>
        </w:rPr>
        <w:t>五、浙江统筹新质生产力发展与共同富裕示范的探索历程与典型化事实</w:t>
      </w:r>
    </w:p>
    <w:p>
      <w:pPr>
        <w:spacing w:line="360" w:lineRule="auto" w:after="0"/>
        <w:ind w:firstLine="480"/>
        <w:jc w:val="both"/>
      </w:pPr>
      <w:r>
        <w:rPr>
          <w:rFonts w:ascii="Times New Roman" w:hAnsi="Times New Roman" w:eastAsia="宋体"/>
          <w:b w:val="0"/>
          <w:sz w:val="24"/>
        </w:rPr>
        <w:t>党的二十届四中全会通过的《建议》提出“因地制宜发展新质生产力”，并将“人民生活品质不断提高”列为“十五五”时期主要目标，要求“推动人的全面发展、全体人民共同富裕迈出坚实步伐”。2021年6月，中共中央、国务院印发《关于支持浙江高质量发展建设共同富裕示范区的意见》，浙江成为全国唯一的共同富裕示范区；省委十五届八次全会及其《建议》起草说明进一步阐明，“十五五”时期是浙江持续夯实基础、全面发力、突破提升、高质量发展建设共同富裕示范区的决定性阶段，总目标是“高质量发展建设共同富裕示范区取得决定性进展，率先呈现基本实现社会主义现代化的生动图景”。本章以“势能—动能—效能”三阶转化框架为分析透镜，系统回溯浙江统筹新质生产力发展与共同富裕示范建设的探索历程，从创新势能积蓄、产业动能转换、富民效能释放三个维度考察其实践图景，并提炼若干典型化事实，为后续实证测度提供经验基础。</w:t>
      </w:r>
    </w:p>
    <w:p>
      <w:pPr>
        <w:spacing w:line="360" w:lineRule="auto" w:after="0"/>
        <w:ind w:firstLine="480"/>
        <w:jc w:val="both"/>
      </w:pPr>
      <w:r>
        <w:rPr>
          <w:rFonts w:ascii="Times New Roman" w:hAnsi="Times New Roman" w:eastAsia="宋体"/>
          <w:b w:val="0"/>
          <w:sz w:val="24"/>
        </w:rPr>
        <w:t>选择浙江作为实践考察对象，具有方法论上的“关键案例”意义。经济思想史上，增长与分配长期被视为一对难以调和的矛盾，库兹涅茨的倒U型假说更将“发展初期差距扩大”刻画为近乎规律性的代价</w:t>
      </w:r>
      <w:r>
        <w:rPr>
          <w:rFonts w:ascii="Times New Roman" w:hAnsi="Times New Roman" w:eastAsia="宋体"/>
          <w:b w:val="0"/>
          <w:sz w:val="24"/>
          <w:vertAlign w:val="superscript"/>
        </w:rPr>
        <w:t>[11]</w:t>
      </w:r>
      <w:r>
        <w:rPr>
          <w:rFonts w:ascii="Times New Roman" w:hAnsi="Times New Roman" w:eastAsia="宋体"/>
          <w:b w:val="0"/>
          <w:sz w:val="24"/>
        </w:rPr>
        <w:t>。倘若创新驱动的生产力跃迁必然伴随收入分化，那么“共富型新质生产力”便只能是一个规范性愿景；反之，若存在一个省域样本，在创新要素高度集聚、生产力加速跃迁的同时实现了差距持续收敛，则表明二者的兼容并非逻辑上的不可能，关键在于其间的制度安排。浙江恰恰提供了这样的观察窗口：它既是市场化改革先发省份与民营经济大省，又是全国唯一的共同富裕示范区，创新势能、产业动能与富民效能在同一空间内高强度并存，三大转化关口的运行状态在这里得到最充分的展示。本章的考察遵循“制度—数据—案例”三线互证的原则；典型化事实本身不构成因果证明，但它划定了任何合格解释都必须覆盖的现象清单，也为理论框架部分的研究命题提供初步的经验直观。</w:t>
      </w:r>
    </w:p>
    <w:p>
      <w:pPr>
        <w:spacing w:line="360" w:lineRule="auto" w:after="80"/>
        <w:jc w:val="left"/>
      </w:pPr>
      <w:r>
        <w:rPr>
          <w:rFonts w:ascii="Times New Roman" w:hAnsi="Times New Roman" w:eastAsia="黑体"/>
          <w:b/>
          <w:sz w:val="28"/>
        </w:rPr>
        <w:t>（一）历程回顾：从“八八战略”到“十五五”决定性阶段的四期演进</w:t>
      </w:r>
    </w:p>
    <w:p>
      <w:pPr>
        <w:spacing w:line="360" w:lineRule="auto" w:after="0"/>
        <w:ind w:firstLine="480"/>
        <w:jc w:val="both"/>
      </w:pPr>
      <w:r>
        <w:rPr>
          <w:rFonts w:ascii="Times New Roman" w:hAnsi="Times New Roman" w:eastAsia="宋体"/>
          <w:b w:val="0"/>
          <w:sz w:val="24"/>
        </w:rPr>
        <w:t>浙江统筹生产力跃迁与共同富裕的探索并非始于示范区获批，而是一个跨越二十余年、制度供给不断加密的连续过程。以标志性部署为界，可划分为四个阶段，其演进逻辑恰与“势能—动能—效能”三阶转化链条的逐级贯通相对应。</w:t>
      </w:r>
    </w:p>
    <w:p>
      <w:pPr>
        <w:spacing w:line="360" w:lineRule="auto" w:after="0"/>
        <w:ind w:firstLine="480"/>
        <w:jc w:val="both"/>
      </w:pPr>
      <w:r>
        <w:rPr>
          <w:rFonts w:ascii="Times New Roman" w:hAnsi="Times New Roman" w:eastAsia="宋体"/>
          <w:b w:val="0"/>
          <w:sz w:val="24"/>
        </w:rPr>
        <w:t>1．奠基期（2003—2012年）。2003年，“八八战略”作出发挥八个方面优势、推进八个方面举措的系统部署，为此后二十余年发展确立了总纲领；同年6月，习近平同志亲自部署“千村示范、万村整治”工程，开启城乡融合的先手棋</w:t>
      </w:r>
      <w:r>
        <w:rPr>
          <w:rFonts w:ascii="Times New Roman" w:hAnsi="Times New Roman" w:eastAsia="宋体"/>
          <w:b w:val="0"/>
          <w:sz w:val="24"/>
          <w:vertAlign w:val="superscript"/>
        </w:rPr>
        <w:t>[82]</w:t>
      </w:r>
      <w:r>
        <w:rPr>
          <w:rFonts w:ascii="Times New Roman" w:hAnsi="Times New Roman" w:eastAsia="宋体"/>
          <w:b w:val="0"/>
          <w:sz w:val="24"/>
        </w:rPr>
        <w:t>；更早的2002年，山海协作工程启动，构建起发达地区与山区县的跨空间要素对流通道。这一时期的制度安排看似分散，实则为后来三大转化关口——成果转化关、就业分配关、人力资本反哺关——的修复预置了机制原型。</w:t>
      </w:r>
    </w:p>
    <w:p>
      <w:pPr>
        <w:spacing w:line="360" w:lineRule="auto" w:after="0"/>
        <w:ind w:firstLine="480"/>
        <w:jc w:val="both"/>
      </w:pPr>
      <w:r>
        <w:rPr>
          <w:rFonts w:ascii="Times New Roman" w:hAnsi="Times New Roman" w:eastAsia="宋体"/>
          <w:b w:val="0"/>
          <w:sz w:val="24"/>
        </w:rPr>
        <w:t>这一阶段可称为“八八战略奠基期”。“八八战略”的要义在于把浙江的体制机制优势、块状特色产业优势、城乡协调发展基础等既有禀赋转化为系统性战略部署，其总纲领地位使此后历届省委的接续探索始终保持方向一致、路径连贯。“千万工程”从人居环境整治切入，实质启动了公共资源配置向乡村倾斜的长周期进程，研究者将其经验概括为坚持人民立场、系统观念与久久为功的实践逻辑</w:t>
      </w:r>
      <w:r>
        <w:rPr>
          <w:rFonts w:ascii="Times New Roman" w:hAnsi="Times New Roman" w:eastAsia="宋体"/>
          <w:b w:val="0"/>
          <w:sz w:val="24"/>
          <w:vertAlign w:val="superscript"/>
        </w:rPr>
        <w:t>[72,74]</w:t>
      </w:r>
      <w:r>
        <w:rPr>
          <w:rFonts w:ascii="Times New Roman" w:hAnsi="Times New Roman" w:eastAsia="宋体"/>
          <w:b w:val="0"/>
          <w:sz w:val="24"/>
        </w:rPr>
        <w:t>；山海协作则以结对帮扶与项目合作的方式，在市场自发集聚力量之外植入了一条政府引导的跨区域要素回流通道</w:t>
      </w:r>
      <w:r>
        <w:rPr>
          <w:rFonts w:ascii="Times New Roman" w:hAnsi="Times New Roman" w:eastAsia="宋体"/>
          <w:b w:val="0"/>
          <w:sz w:val="24"/>
          <w:vertAlign w:val="superscript"/>
        </w:rPr>
        <w:t>[75]</w:t>
      </w:r>
      <w:r>
        <w:rPr>
          <w:rFonts w:ascii="Times New Roman" w:hAnsi="Times New Roman" w:eastAsia="宋体"/>
          <w:b w:val="0"/>
          <w:sz w:val="24"/>
        </w:rPr>
        <w:t>。三者在当时并未被冠以“共同富裕”之名，但事后看，它们分别预置了城乡断点修复、空间断点修复与制度供给持续加密的机制原型，构成此后二十年制度演化的“初始条件”。</w:t>
      </w:r>
    </w:p>
    <w:p>
      <w:pPr>
        <w:spacing w:line="360" w:lineRule="auto" w:after="0"/>
        <w:ind w:firstLine="480"/>
        <w:jc w:val="both"/>
      </w:pPr>
      <w:r>
        <w:rPr>
          <w:rFonts w:ascii="Times New Roman" w:hAnsi="Times New Roman" w:eastAsia="宋体"/>
          <w:b w:val="0"/>
          <w:sz w:val="24"/>
        </w:rPr>
        <w:t>2．转型期（2013—2020年）。浙江以数字化为主线推动动能转换与治理变革：2016年底启动“最多跑一次”改革并于2018年写入国务院政府工作报告；2017年将数字经济确立为“一号工程”，数字经济核心产业增加值占GDP比重由2015年的7.9%持续攀升。这一阶段的关键在于把先发的市场化优势转化为数字时代的产业动能，为势能向动能的转化搭建了产业载体。</w:t>
      </w:r>
    </w:p>
    <w:p>
      <w:pPr>
        <w:spacing w:line="360" w:lineRule="auto" w:after="0"/>
        <w:ind w:firstLine="480"/>
        <w:jc w:val="both"/>
      </w:pPr>
      <w:r>
        <w:rPr>
          <w:rFonts w:ascii="Times New Roman" w:hAnsi="Times New Roman" w:eastAsia="宋体"/>
          <w:b w:val="0"/>
          <w:sz w:val="24"/>
        </w:rPr>
        <w:t>这一阶段可称为“数字经济先发期”。2003年“数字浙江”部署使浙江成为最早把数字化上升为全局战略的省份之一，2016年G20杭州峰会向世界展示了数字经济的城市样本，2017年“一号工程”则把数字经济推向产业主战场。数据显示，数字经济核心产业增加值由2015年的3373亿元增至2020年的7020亿元，同期R&amp;D经费投入强度由2.33%升至2.88%，高新技术企业由7905家增至2.22万家，势能积蓄与动能转换在这一时期形成第一轮正反馈。更重要的是“最多跑一次”改革所代表的政府侧变革——它以办事流程再造倒逼数据共享与部门协同，实质是把数字技术引入制度转化器本身，为此后数字化改革的整体推进探明了路径。数字经济之所以能在浙江率先成势，根本在于先发的市场化优势、庞大的民营企业群体与数字技术的通用目的性相互成就。</w:t>
      </w:r>
    </w:p>
    <w:p>
      <w:pPr>
        <w:spacing w:line="360" w:lineRule="auto" w:after="0"/>
        <w:ind w:firstLine="480"/>
        <w:jc w:val="both"/>
      </w:pPr>
      <w:r>
        <w:rPr>
          <w:rFonts w:ascii="Times New Roman" w:hAnsi="Times New Roman" w:eastAsia="宋体"/>
          <w:b w:val="0"/>
          <w:sz w:val="24"/>
        </w:rPr>
        <w:t>3．示范期（2021—2025年）。2021年中央《意见》赋予浙江共同富裕示范区使命，同年2月数字化改革以“1+5+2”体系整体推进；2023年部署数字经济创新提质、营商环境优化提升、“地瓜经济”提能升级三个“一号工程”，并以政务服务增值化改革打造营商环境“一号改革工程”。这一阶段的鲜明特征是把“富民效能”从增长的附属结果提升为制度设计的直接目标，扩中提低、低保市域同标等分配侧改革密集落地。</w:t>
      </w:r>
    </w:p>
    <w:p>
      <w:pPr>
        <w:spacing w:line="360" w:lineRule="auto" w:after="0"/>
        <w:ind w:firstLine="480"/>
        <w:jc w:val="both"/>
      </w:pPr>
      <w:r>
        <w:rPr>
          <w:rFonts w:ascii="Times New Roman" w:hAnsi="Times New Roman" w:eastAsia="宋体"/>
          <w:b w:val="0"/>
          <w:sz w:val="24"/>
        </w:rPr>
        <w:t>这一阶段可称为“示范区建设期”。中央《意见》使浙江从自发探索转入国家战略框架下的系统试验</w:t>
      </w:r>
      <w:r>
        <w:rPr>
          <w:rFonts w:ascii="Times New Roman" w:hAnsi="Times New Roman" w:eastAsia="宋体"/>
          <w:b w:val="0"/>
          <w:sz w:val="24"/>
          <w:vertAlign w:val="superscript"/>
        </w:rPr>
        <w:t>[8]</w:t>
      </w:r>
      <w:r>
        <w:rPr>
          <w:rFonts w:ascii="Times New Roman" w:hAnsi="Times New Roman" w:eastAsia="宋体"/>
          <w:b w:val="0"/>
          <w:sz w:val="24"/>
        </w:rPr>
        <w:t>，其标志性变化有三。其一，目标体系显性化：示范区建设明确了2025年城乡倍差1.9以内、地区人均GDP最高最低倍差2.1以内、家庭年可支配收入10万—50万元群体比例80%等量化坐标，使“分好蛋糕”第一次拥有了与“做大蛋糕”同等刚性的考核锚点。其二，改革工具体系化：扩中提低行动在全国率先划定中等收入群体线，低保标准于2022年12月率先实现市域同标，分配侧改革从零散举措走向制度集成。其三，数字化改革与共同富裕互为支撑：“1+5+2”体系把先富带后富的政策意图转化为可运行、可迭代的应用场景。三个“一号工程”的部署则表明，示范区建设并未以牺牲动能为代价，而是把营商环境与开放能级作为富民的前置条件。</w:t>
      </w:r>
    </w:p>
    <w:p>
      <w:pPr>
        <w:spacing w:line="360" w:lineRule="auto" w:after="0"/>
        <w:ind w:firstLine="480"/>
        <w:jc w:val="both"/>
      </w:pPr>
      <w:r>
        <w:rPr>
          <w:rFonts w:ascii="Times New Roman" w:hAnsi="Times New Roman" w:eastAsia="宋体"/>
          <w:b w:val="0"/>
          <w:sz w:val="24"/>
        </w:rPr>
        <w:t>4．跃升期（2026年起）。自2024年底省委经济工作会议部署、2025年1月实施方案出台，到2025年7月省委十五届七次全会通过《关于加快建设创新浙江因地制宜发展新质生产力的决定》，“创新浙江”成为新阶段总抓手；2025年11月省委十五届八次全会通过浙江“十五五”建议，2026年1月省十四届人大四次会议通过“十五五”规划纲要，明确把缩小城乡差距、地区差距、收入差距作为主攻方向，围绕“富民”统筹推进“强城”“兴村”“融合”三篇文章。至此，创新势能、产业动能与富民效能的统筹进入一体设计、闭环运行的新阶段。</w:t>
      </w:r>
    </w:p>
    <w:p>
      <w:pPr>
        <w:spacing w:line="360" w:lineRule="auto" w:after="0"/>
        <w:ind w:firstLine="480"/>
        <w:jc w:val="both"/>
      </w:pPr>
      <w:r>
        <w:rPr>
          <w:rFonts w:ascii="Times New Roman" w:hAnsi="Times New Roman" w:eastAsia="宋体"/>
          <w:b w:val="0"/>
          <w:sz w:val="24"/>
        </w:rPr>
        <w:t>这一阶段可称为“创新浙江深化期”。省委十五届七次全会《决定》把创新浙江确立为因地制宜发展新质生产力的总抓手</w:t>
      </w:r>
      <w:r>
        <w:rPr>
          <w:rFonts w:ascii="Times New Roman" w:hAnsi="Times New Roman" w:eastAsia="宋体"/>
          <w:b w:val="0"/>
          <w:sz w:val="24"/>
          <w:vertAlign w:val="superscript"/>
        </w:rPr>
        <w:t>[10]</w:t>
      </w:r>
      <w:r>
        <w:rPr>
          <w:rFonts w:ascii="Times New Roman" w:hAnsi="Times New Roman" w:eastAsia="宋体"/>
          <w:b w:val="0"/>
          <w:sz w:val="24"/>
        </w:rPr>
        <w:t>；省委十五届八次全会进一步把2030年蓝图具体化为人均地区生产总值约17万元、全社会研发投入强度3.5%以上、全员劳动生产率30万元/人左右、居民人均可支配收入9万元左右、城乡倍差缩小至1.8以内等相互勾稽的指标组</w:t>
      </w:r>
      <w:r>
        <w:rPr>
          <w:rFonts w:ascii="Times New Roman" w:hAnsi="Times New Roman" w:eastAsia="宋体"/>
          <w:b w:val="0"/>
          <w:sz w:val="24"/>
          <w:vertAlign w:val="superscript"/>
        </w:rPr>
        <w:t>[7]</w:t>
      </w:r>
      <w:r>
        <w:rPr>
          <w:rFonts w:ascii="Times New Roman" w:hAnsi="Times New Roman" w:eastAsia="宋体"/>
          <w:b w:val="0"/>
          <w:sz w:val="24"/>
        </w:rPr>
        <w:t>。值得注意的是，这组指标把创新投入、生产效率与居民收入、城乡差距置于同一目标框架，正是“势能—动能—效能”一体设计的规划表达；缩小“三大差距”实施方案则给出了阶梯式路线图，明确2035年全省域基本实现共同富裕</w:t>
      </w:r>
      <w:r>
        <w:rPr>
          <w:rFonts w:ascii="Times New Roman" w:hAnsi="Times New Roman" w:eastAsia="宋体"/>
          <w:b w:val="0"/>
          <w:sz w:val="24"/>
          <w:vertAlign w:val="superscript"/>
        </w:rPr>
        <w:t>[9]</w:t>
      </w:r>
      <w:r>
        <w:rPr>
          <w:rFonts w:ascii="Times New Roman" w:hAnsi="Times New Roman" w:eastAsia="宋体"/>
          <w:b w:val="0"/>
          <w:sz w:val="24"/>
        </w:rPr>
        <w:t>。</w:t>
      </w:r>
    </w:p>
    <w:p>
      <w:pPr>
        <w:spacing w:line="360" w:lineRule="auto" w:after="0"/>
        <w:ind w:firstLine="480"/>
        <w:jc w:val="both"/>
      </w:pPr>
      <w:r>
        <w:rPr>
          <w:rFonts w:ascii="Times New Roman" w:hAnsi="Times New Roman" w:eastAsia="宋体"/>
          <w:b w:val="0"/>
          <w:sz w:val="24"/>
        </w:rPr>
        <w:t>纵观四期演进，可以提炼两条贯穿性线索。其一，制度供给的次序与三阶转化的次序高度吻合：奠基期主要修复空间与城乡断点、蓄积市场化势能，先发期集中打通势能向动能转化的产业载体，示范期把动能向效能的分配传导上升为国家试验，深化期则追求三阶转化的闭环运行——这种“依次开闸、逐级贯通”的时序特征，为理论框架的阶段划分提供了历史注脚。其二，每一期的核心制度创新都不是对前一期的替代而是叠加：山海协作从结对帮扶迭代出产业飞地与科创飞地，千万工程从环境整治迭代出强村富民与和美乡村建设，数字浙江从产业培育迭代出数字化改革与“人工智能+”行动，制度转化器由此呈现累积增厚、功能复合的演化形态。</w:t>
      </w:r>
    </w:p>
    <w:p>
      <w:pPr>
        <w:spacing w:line="360" w:lineRule="auto" w:after="80"/>
        <w:jc w:val="left"/>
      </w:pPr>
      <w:r>
        <w:rPr>
          <w:rFonts w:ascii="Times New Roman" w:hAnsi="Times New Roman" w:eastAsia="黑体"/>
          <w:b/>
          <w:sz w:val="28"/>
        </w:rPr>
        <w:t>（二）创新势能积蓄：教育科技人才一体化的浙江答卷</w:t>
      </w:r>
    </w:p>
    <w:p>
      <w:pPr>
        <w:spacing w:line="360" w:lineRule="auto" w:after="0"/>
        <w:ind w:firstLine="480"/>
        <w:jc w:val="both"/>
      </w:pPr>
      <w:r>
        <w:rPr>
          <w:rFonts w:ascii="Times New Roman" w:hAnsi="Times New Roman" w:eastAsia="宋体"/>
          <w:b w:val="0"/>
          <w:sz w:val="24"/>
        </w:rPr>
        <w:t>创新势能是共富型新质生产力的源头蓄积。省委十五届七次全会明确“坚持教育科技人才一体改革发展为主要支撑、科技创新和产业创新深度融合为关键路径、人工智能为核心变量”，浙江的势能积蓄呈现投入、平台、主体、制度四个层面的递进逻辑。</w:t>
      </w:r>
    </w:p>
    <w:p>
      <w:pPr>
        <w:spacing w:line="360" w:lineRule="auto" w:after="0"/>
        <w:ind w:firstLine="480"/>
        <w:jc w:val="both"/>
      </w:pPr>
      <w:r>
        <w:rPr>
          <w:rFonts w:ascii="Times New Roman" w:hAnsi="Times New Roman" w:eastAsia="宋体"/>
          <w:b w:val="0"/>
          <w:sz w:val="24"/>
        </w:rPr>
        <w:t>从学理上看，创新势能之所以构成三阶转化的起点，在于知识与人力资本积累具有报酬递增与溢出外部性，是长期增长最深层的发动机[152,153]。但正因为知识生产存在外部性与不确定性，单靠市场自发投入往往不足，需要政府在基础研究、平台建设与人才制度上超前布局；而势能积蓄一旦越过临界规模，又会通过人才回流、资本集聚与创业衍生形成自我强化。浙江十年间的势能曲线，正是这一“政府点火、市场接续”机制的写照。</w:t>
      </w:r>
    </w:p>
    <w:p>
      <w:pPr>
        <w:spacing w:line="360" w:lineRule="auto" w:after="0"/>
        <w:ind w:firstLine="480"/>
        <w:jc w:val="both"/>
      </w:pPr>
      <w:r>
        <w:rPr>
          <w:rFonts w:ascii="Times New Roman" w:hAnsi="Times New Roman" w:eastAsia="宋体"/>
          <w:b w:val="0"/>
          <w:sz w:val="24"/>
        </w:rPr>
        <w:t>一是研发投入强度持续攀升并拉大对全国的领先幅度。据历年《浙江省国民经济和社会发展统计公报》与《全国科技经费投入统计公报》[25,156]，浙江R&amp;D经费投入强度由2015年的2.33%升至2024年的3.22%，同期全国平均由2.07%升至2.69%，领先幅度由0.26个百分点扩大至0.53个百分点；2024年全省R&amp;D经费达2901.4亿元，居全国第4位，区域创新能力至“十四五”末稳居全国第4。如图3所示，浙江研发投入曲线始终运行于全国平均线之上，且呈“加速上翘”形态。</w:t>
      </w:r>
    </w:p>
    <w:p>
      <w:pPr>
        <w:spacing w:before="120"/>
        <w:jc w:val="center"/>
      </w:pPr>
      <w:r>
        <w:drawing>
          <wp:inline xmlns:a="http://schemas.openxmlformats.org/drawingml/2006/main" xmlns:pic="http://schemas.openxmlformats.org/drawingml/2006/picture">
            <wp:extent cx="4596384" cy="2139087"/>
            <wp:docPr id="3" name="Picture 3"/>
            <wp:cNvGraphicFramePr>
              <a:graphicFrameLocks noChangeAspect="1"/>
            </wp:cNvGraphicFramePr>
            <a:graphic>
              <a:graphicData uri="http://schemas.openxmlformats.org/drawingml/2006/picture">
                <pic:pic>
                  <pic:nvPicPr>
                    <pic:cNvPr id="0" name="fig02_rd.png"/>
                    <pic:cNvPicPr/>
                  </pic:nvPicPr>
                  <pic:blipFill>
                    <a:blip r:embed="rId11"/>
                    <a:stretch>
                      <a:fillRect/>
                    </a:stretch>
                  </pic:blipFill>
                  <pic:spPr>
                    <a:xfrm>
                      <a:off x="0" y="0"/>
                      <a:ext cx="4596384" cy="2139087"/>
                    </a:xfrm>
                    <a:prstGeom prst="rect"/>
                  </pic:spPr>
                </pic:pic>
              </a:graphicData>
            </a:graphic>
          </wp:inline>
        </w:drawing>
      </w:r>
    </w:p>
    <w:p>
      <w:pPr>
        <w:spacing w:after="80"/>
        <w:jc w:val="center"/>
      </w:pPr>
      <w:r>
        <w:rPr>
          <w:rFonts w:ascii="Times New Roman" w:hAnsi="Times New Roman" w:eastAsia="黑体"/>
          <w:b/>
          <w:sz w:val="21"/>
        </w:rPr>
        <w:t xml:space="preserve">图3　</w:t>
      </w:r>
      <w:r>
        <w:rPr>
          <w:rFonts w:ascii="Times New Roman" w:hAnsi="Times New Roman" w:eastAsia="宋体"/>
          <w:b/>
          <w:sz w:val="21"/>
        </w:rPr>
        <w:t>2015—2024年浙江省R&amp;D经费及投入强度（与全国比较）</w:t>
      </w:r>
    </w:p>
    <w:p>
      <w:pPr>
        <w:spacing w:after="120"/>
        <w:jc w:val="left"/>
      </w:pPr>
      <w:r>
        <w:rPr>
          <w:rFonts w:ascii="Times New Roman" w:hAnsi="Times New Roman" w:eastAsia="宋体"/>
          <w:b w:val="0"/>
          <w:sz w:val="21"/>
        </w:rPr>
        <w:t>注：2018年浙江R&amp;D经费为按当年统计公报公布比重推算值，投入强度序列口径详见附录说明；数据来源为历年《浙江省国民经济和社会发展统计公报》《全国科技经费投入统计公报》。</w:t>
      </w:r>
    </w:p>
    <w:p>
      <w:pPr>
        <w:spacing w:line="360" w:lineRule="auto" w:after="0"/>
        <w:ind w:firstLine="480"/>
        <w:jc w:val="both"/>
      </w:pPr>
      <w:r>
        <w:rPr>
          <w:rFonts w:ascii="Times New Roman" w:hAnsi="Times New Roman" w:eastAsia="宋体"/>
          <w:b w:val="0"/>
          <w:sz w:val="24"/>
        </w:rPr>
        <w:t>图3揭示的典型化事实可以概括为“三个持续”。一是水平持续领先，浙江曲线全程运行于全国平均线之上；二是领先幅度持续扩大，由2015年的0.26个百分点扩大至2024年的0.53个百分点，表明浙江的势能蓄积速率高于全国平均；三是攀升节奏持续加快，投入强度在“十三五”前期由2.33%升至2019年的2.60%，爬坡相对平缓，2020年跃上2.88%后又依次越过2021年的2.94%、2022年的3.11%、2023年的3.20%，2024年达3.22%，曲线呈明显的“加速上翘”。对照创新浙江建设2027年3.4%以上、“十五五”规划2030年3.5%以上的目标锚点，这一轨迹意味着浙江研发投入已进入目标牵引下的稳定爬升通道。</w:t>
      </w:r>
    </w:p>
    <w:p>
      <w:pPr>
        <w:spacing w:line="360" w:lineRule="auto" w:after="0"/>
        <w:ind w:firstLine="480"/>
        <w:jc w:val="both"/>
      </w:pPr>
      <w:r>
        <w:rPr>
          <w:rFonts w:ascii="Times New Roman" w:hAnsi="Times New Roman" w:eastAsia="宋体"/>
          <w:b w:val="0"/>
          <w:sz w:val="24"/>
        </w:rPr>
        <w:t>从机制上看，投入强度的加速攀升并非单一财政变量的结果，而是“财政引导、企业主体、平台承接、人才集聚”四类力量的合成：省实验室体系与高能级科创平台为大规模研发活动提供了组织载体，高新技术企业与科技型中小企业的金字塔式扩张提供了微观投入主体，教科人一体化改革则持续降低创新要素跨界流动的制度成本。在本报告的分析框架中，研发经费是势能的流量补给，平台、人才与知识产权是势能的存量载体；投入强度对全国领先幅度的扩大，意味着浙江在“势能蓄水位”上建立了相对优势，但势能只有通过成果转化关落入产业体系才能避免“库存化”，这正是下文考察产业动能的逻辑起点。</w:t>
      </w:r>
    </w:p>
    <w:p>
      <w:pPr>
        <w:spacing w:line="360" w:lineRule="auto" w:after="0"/>
        <w:ind w:firstLine="480"/>
        <w:jc w:val="both"/>
      </w:pPr>
      <w:r>
        <w:rPr>
          <w:rFonts w:ascii="Times New Roman" w:hAnsi="Times New Roman" w:eastAsia="宋体"/>
          <w:b w:val="0"/>
          <w:sz w:val="24"/>
        </w:rPr>
        <w:t>二是战略科技力量体系化布局。全省建成之江、湖畔、良渚、西湖、瓯江、甬江、天目山、白马湖、东海、湘湖10家省实验室，其中7家布局杭州；之江实验室2017年9月由省政府、浙江大学与阿里巴巴共建成立，西湖大学2018年成立、系全国第一所社会力量举办且国家重点支持的新型研究型大学；杭州城西科创大走廊2016年启动，形成紫金港、未来、青山湖三大科技城联动格局。</w:t>
      </w:r>
    </w:p>
    <w:p>
      <w:pPr>
        <w:spacing w:line="360" w:lineRule="auto" w:after="0"/>
        <w:ind w:firstLine="480"/>
        <w:jc w:val="both"/>
      </w:pPr>
      <w:r>
        <w:rPr>
          <w:rFonts w:ascii="Times New Roman" w:hAnsi="Times New Roman" w:eastAsia="宋体"/>
          <w:b w:val="0"/>
          <w:sz w:val="24"/>
        </w:rPr>
        <w:t>平台体系的布局逻辑值得细读。之江实验室由省政府、浙江大学与阿里巴巴三方共建，开创了政产学研合一的新型研发机构组织形态，其要义在于以混合治理结构同时对冲纯行政科研的市场脱节与纯企业研发的短期导向；西湖大学以社会力量办学承接基础研究的长周期投入，拓展了创新投入的社会化渠道；城西科创大走廊则以空间集聚强化知识溢出，体现了创新活动对密度与邻近性的内在需求</w:t>
      </w:r>
      <w:r>
        <w:rPr>
          <w:rFonts w:ascii="Times New Roman" w:hAnsi="Times New Roman" w:eastAsia="宋体"/>
          <w:b w:val="0"/>
          <w:sz w:val="24"/>
          <w:vertAlign w:val="superscript"/>
        </w:rPr>
        <w:t>[15]</w:t>
      </w:r>
      <w:r>
        <w:rPr>
          <w:rFonts w:ascii="Times New Roman" w:hAnsi="Times New Roman" w:eastAsia="宋体"/>
          <w:b w:val="0"/>
          <w:sz w:val="24"/>
        </w:rPr>
        <w:t>。同时也应看到，10家省实验室中7家布局杭州，创新平台的空间集中度较高，这既符合创新集聚的效率逻辑，也潜藏创新收益空间分化的风险——正因如此，科创飞地、山海协作等空间再平衡机制在浙江制度体系中具有不可或缺的地位，这一点将在富民效能部分展开。</w:t>
      </w:r>
    </w:p>
    <w:p>
      <w:pPr>
        <w:spacing w:line="360" w:lineRule="auto" w:after="0"/>
        <w:ind w:firstLine="480"/>
        <w:jc w:val="both"/>
      </w:pPr>
      <w:r>
        <w:rPr>
          <w:rFonts w:ascii="Times New Roman" w:hAnsi="Times New Roman" w:eastAsia="宋体"/>
          <w:b w:val="0"/>
          <w:sz w:val="24"/>
        </w:rPr>
        <w:t>三是创新主体量质齐升。高新技术企业由2015年的7905家增至2024年的4.75万家左右，科技型中小企业2024年累计达13.1万家，创新主体的金字塔式扩张为势能沉淀提供了微观基础。</w:t>
      </w:r>
    </w:p>
    <w:p>
      <w:pPr>
        <w:spacing w:line="360" w:lineRule="auto" w:after="0"/>
        <w:ind w:firstLine="480"/>
        <w:jc w:val="both"/>
      </w:pPr>
      <w:r>
        <w:rPr>
          <w:rFonts w:ascii="Times New Roman" w:hAnsi="Times New Roman" w:eastAsia="宋体"/>
          <w:b w:val="0"/>
          <w:sz w:val="24"/>
        </w:rPr>
        <w:t>四是教科人一体化的制度供给持续加密</w:t>
      </w:r>
      <w:r>
        <w:rPr>
          <w:rFonts w:ascii="Times New Roman" w:hAnsi="Times New Roman" w:eastAsia="宋体"/>
          <w:b w:val="0"/>
          <w:sz w:val="24"/>
          <w:vertAlign w:val="superscript"/>
        </w:rPr>
        <w:t>[78]</w:t>
      </w:r>
      <w:r>
        <w:rPr>
          <w:rFonts w:ascii="Times New Roman" w:hAnsi="Times New Roman" w:eastAsia="宋体"/>
          <w:b w:val="0"/>
          <w:sz w:val="24"/>
        </w:rPr>
        <w:t>。省委十五届八次全会部署实施“双一流196”工程、“135”人才强省体系建设工程，支持浙江大学加快迈向世界一流大学前列、西湖大学建设世界一流新型研究型大学，深化“校（院）企双聘”，完善“科技副总”“产业教授”机制；创新浙江建设明确2027年R&amp;D强度3.4%以上、全国重点实验室27家以上、每万人高价值发明专利25件、技术交易总额5300亿元以上的量化锚点。</w:t>
      </w:r>
    </w:p>
    <w:p>
      <w:pPr>
        <w:spacing w:line="360" w:lineRule="auto" w:after="0"/>
        <w:ind w:firstLine="480"/>
        <w:jc w:val="both"/>
      </w:pPr>
      <w:r>
        <w:rPr>
          <w:rFonts w:ascii="Times New Roman" w:hAnsi="Times New Roman" w:eastAsia="宋体"/>
          <w:b w:val="0"/>
          <w:sz w:val="24"/>
        </w:rPr>
        <w:t>创新势能积蓄的微观表征，集中体现于2025年引发全国关注的杭州“六小龙”现象。深度求索（DeepSeek）2023年成立，其2025年1月发布的R1模型性能比肩OpenAI o1并登顶中美应用商店免费榜；宇树科技2016年创立，2024年机器狗全球市场占有率约70%、人形机器人交付超1500台、营收超10亿元；游戏科学的《黑神话：悟空》2024年8月发售3天销量即超1000万套，至2025年1月约2800万套、销售额约90亿元；强脑科技2018年落户杭州、系非侵入式脑机接口头部企业；群核科技2026年4月在港交所上市、成为“六小龙”首家上市企业；云深处科技2017年依托浙江大学创立，其四足机器人实现全国第一家变电站全自主巡检。“六小龙”均为民营科技企业，其涌现并非单点偶然，而是研发投入、平台体系、人才生态与场景开放长期耦合的必然产物，直观展示了浙江成果转化关的相对畅通——创新势能没有滞留于实验室，而是快速落入产业体系。</w:t>
      </w:r>
    </w:p>
    <w:p>
      <w:pPr>
        <w:spacing w:line="360" w:lineRule="auto" w:after="0"/>
        <w:ind w:firstLine="480"/>
        <w:jc w:val="both"/>
      </w:pPr>
      <w:r>
        <w:rPr>
          <w:rFonts w:ascii="Times New Roman" w:hAnsi="Times New Roman" w:eastAsia="宋体"/>
          <w:b w:val="0"/>
          <w:sz w:val="24"/>
        </w:rPr>
        <w:t>从机制上解剖，“六小龙”现象至少包含四重要素的耦合。一是人才生态，浙江大学等高校提供了源源不断的创业型工程师供给，云深处科技即依托浙江大学创立；二是场景与资本，民营经济发达带来多元应用场景与活跃的社会资本；三是政府行为模式，“无事不扰、有求必应”的服务型定位背后，是“最多跑一次”以来持续迭代的政务服务增值化改革；四是产业配套，数字经济核心产业的长期积累为人工智能、机器人等新赛道提供了算力、数据与供应链支撑。宇树科技16台人形机器人登上2025年央视春晚舞台，成为公众感知新质生产力的标志性瞬间。其理论意涵在于：当创新势能的积蓄与民营经济的转化能力在同一空间耦合时，成果转化关便呈现“低摩擦”状态，新质生产力的生成可以主要依托市场机制完成，政府的功能重心从直接选择赛道转向培育创新生态</w:t>
      </w:r>
      <w:r>
        <w:rPr>
          <w:rFonts w:ascii="Times New Roman" w:hAnsi="Times New Roman" w:eastAsia="宋体"/>
          <w:b w:val="0"/>
          <w:sz w:val="24"/>
          <w:vertAlign w:val="superscript"/>
        </w:rPr>
        <w:t>[46,84]</w:t>
      </w:r>
      <w:r>
        <w:rPr>
          <w:rFonts w:ascii="Times New Roman" w:hAnsi="Times New Roman" w:eastAsia="宋体"/>
          <w:b w:val="0"/>
          <w:sz w:val="24"/>
        </w:rPr>
        <w:t>。</w:t>
      </w:r>
    </w:p>
    <w:p>
      <w:pPr>
        <w:spacing w:line="360" w:lineRule="auto" w:after="80"/>
        <w:jc w:val="left"/>
      </w:pPr>
      <w:r>
        <w:rPr>
          <w:rFonts w:ascii="Times New Roman" w:hAnsi="Times New Roman" w:eastAsia="黑体"/>
          <w:b/>
          <w:sz w:val="28"/>
        </w:rPr>
        <w:t>（三）产业动能转换：数字经济引领与现代化产业体系构建</w:t>
      </w:r>
    </w:p>
    <w:p>
      <w:pPr>
        <w:spacing w:line="360" w:lineRule="auto" w:after="0"/>
        <w:ind w:firstLine="480"/>
        <w:jc w:val="both"/>
      </w:pPr>
      <w:r>
        <w:rPr>
          <w:rFonts w:ascii="Times New Roman" w:hAnsi="Times New Roman" w:eastAsia="宋体"/>
          <w:b w:val="0"/>
          <w:sz w:val="24"/>
        </w:rPr>
        <w:t>产业动能是创新势能的产业化形态，其强弱直接决定势能能否避免“创新孤岛”化。从总量看，据历年统计公报，浙江地区生产总值由2015年的42886亿元增至2024年的90131亿元、2025年达94545亿元（增长5.5%），除2020年、2022年受疫情冲击外各年增速均保持在5.5%以上；2024年人均GDP达135565元（折19035美元），全员劳动生产率由2020年的16.6万元/人提高到2024年的22.9万元/人，表明增长的驱动结构正由要素投入转向效率提升，如图4所示。</w:t>
      </w:r>
    </w:p>
    <w:p>
      <w:pPr>
        <w:spacing w:before="120"/>
        <w:jc w:val="center"/>
      </w:pPr>
      <w:r>
        <w:drawing>
          <wp:inline xmlns:a="http://schemas.openxmlformats.org/drawingml/2006/main" xmlns:pic="http://schemas.openxmlformats.org/drawingml/2006/picture">
            <wp:extent cx="4663561" cy="2220407"/>
            <wp:docPr id="4" name="Picture 4"/>
            <wp:cNvGraphicFramePr>
              <a:graphicFrameLocks noChangeAspect="1"/>
            </wp:cNvGraphicFramePr>
            <a:graphic>
              <a:graphicData uri="http://schemas.openxmlformats.org/drawingml/2006/picture">
                <pic:pic>
                  <pic:nvPicPr>
                    <pic:cNvPr id="0" name="fig03_gdp.png"/>
                    <pic:cNvPicPr/>
                  </pic:nvPicPr>
                  <pic:blipFill>
                    <a:blip r:embed="rId12"/>
                    <a:stretch>
                      <a:fillRect/>
                    </a:stretch>
                  </pic:blipFill>
                  <pic:spPr>
                    <a:xfrm>
                      <a:off x="0" y="0"/>
                      <a:ext cx="4663561" cy="2220407"/>
                    </a:xfrm>
                    <a:prstGeom prst="rect"/>
                  </pic:spPr>
                </pic:pic>
              </a:graphicData>
            </a:graphic>
          </wp:inline>
        </w:drawing>
      </w:r>
    </w:p>
    <w:p>
      <w:pPr>
        <w:spacing w:after="80"/>
        <w:jc w:val="center"/>
      </w:pPr>
      <w:r>
        <w:rPr>
          <w:rFonts w:ascii="Times New Roman" w:hAnsi="Times New Roman" w:eastAsia="黑体"/>
          <w:b/>
          <w:sz w:val="21"/>
        </w:rPr>
        <w:t xml:space="preserve">图4　</w:t>
      </w:r>
      <w:r>
        <w:rPr>
          <w:rFonts w:ascii="Times New Roman" w:hAnsi="Times New Roman" w:eastAsia="宋体"/>
          <w:b/>
          <w:sz w:val="21"/>
        </w:rPr>
        <w:t>2015—2025年浙江省地区生产总值及增速</w:t>
      </w:r>
    </w:p>
    <w:p>
      <w:pPr>
        <w:spacing w:after="120"/>
        <w:jc w:val="left"/>
      </w:pPr>
      <w:r>
        <w:rPr>
          <w:rFonts w:ascii="Times New Roman" w:hAnsi="Times New Roman" w:eastAsia="宋体"/>
          <w:b w:val="0"/>
          <w:sz w:val="21"/>
        </w:rPr>
        <w:t>注：数据来源为历年《浙江省国民经济和社会发展统计公报》。</w:t>
      </w:r>
    </w:p>
    <w:p>
      <w:pPr>
        <w:spacing w:line="360" w:lineRule="auto" w:after="0"/>
        <w:ind w:firstLine="480"/>
        <w:jc w:val="both"/>
      </w:pPr>
      <w:r>
        <w:rPr>
          <w:rFonts w:ascii="Times New Roman" w:hAnsi="Times New Roman" w:eastAsia="宋体"/>
          <w:b w:val="0"/>
          <w:sz w:val="24"/>
        </w:rPr>
        <w:t>图4的增长曲线呈现两个典型化事实。其一是抗冲击的韧性：2020年、2022年增速分别探底至3.6%与3.1%，但随即在2021年反弹至8.5%、2023年回升至6.0%，2024年、2025年稳定于5.5%，冲击后的快速回归表明浙江增长动力结构具有较强的自我修复能力，其微观基础正是量大面广、进退灵活的民营企业群体。其二是效率驱动特征的显性化：全员劳动生产率由2020年的16.6万元/人升至2023年的21.2万元/人、2024年的22.9万元/人，规上工业劳动生产率达29.1万元/人；2024年工业增加值30072亿元、增长6.9%，战略性新兴产业增加值增长7.5%，总量攀升与效率提升、结构升级同步，符合增长动力由要素投入转向全要素生产率驱动的转型方向</w:t>
      </w:r>
      <w:r>
        <w:rPr>
          <w:rFonts w:ascii="Times New Roman" w:hAnsi="Times New Roman" w:eastAsia="宋体"/>
          <w:b w:val="0"/>
          <w:sz w:val="24"/>
          <w:vertAlign w:val="superscript"/>
        </w:rPr>
        <w:t>[3]</w:t>
      </w:r>
      <w:r>
        <w:rPr>
          <w:rFonts w:ascii="Times New Roman" w:hAnsi="Times New Roman" w:eastAsia="宋体"/>
          <w:b w:val="0"/>
          <w:sz w:val="24"/>
        </w:rPr>
        <w:t>。</w:t>
      </w:r>
    </w:p>
    <w:p>
      <w:pPr>
        <w:spacing w:line="360" w:lineRule="auto" w:after="0"/>
        <w:ind w:firstLine="480"/>
        <w:jc w:val="both"/>
      </w:pPr>
      <w:r>
        <w:rPr>
          <w:rFonts w:ascii="Times New Roman" w:hAnsi="Times New Roman" w:eastAsia="宋体"/>
          <w:b w:val="0"/>
          <w:sz w:val="24"/>
        </w:rPr>
        <w:t>在“势能—动能—效能”框架中，产业动能的质量比速度更重要：同样的增速，若由要素堆积驱动，则势能并未真正转化，且难以持续；若由效率与结构升级驱动，则表明创新势能已内化为产业体系的技术含量。浙江在人均GDP接近两万美元的高基数上仍保持稳定增速，说明其动能补给并未衰竭，这在很大程度上得益于数字经济、人工智能等新赛道的接续发力，亦即下文所考察的动能载体迭代。</w:t>
      </w:r>
    </w:p>
    <w:p>
      <w:pPr>
        <w:spacing w:line="360" w:lineRule="auto" w:after="0"/>
        <w:ind w:firstLine="480"/>
        <w:jc w:val="both"/>
      </w:pPr>
      <w:r>
        <w:rPr>
          <w:rFonts w:ascii="Times New Roman" w:hAnsi="Times New Roman" w:eastAsia="宋体"/>
          <w:b w:val="0"/>
          <w:sz w:val="24"/>
        </w:rPr>
        <w:t>一是数字经济从“一号工程”跃升为万亿级核心产业。自2003年“数字浙江”部署、2017年数字经济“一号工程”到2023年数字经济创新提质“一号发展工程”，浙江数字经济核心产业增加值由2015年的3373亿元（占GDP7.9%）增至2024年的11060亿元（占GDP12.3%），实现总量破万亿；同期全国数字经济核心产业增加值占GDP比重为10.5%（2024年），浙江领先1.8个百分点；广义口径下2023年全省数字经济增加值4.33万亿元、占GDP比重52.5%，2027年目标为数字经济增加值7万亿元、核心产业增加值1.6万亿元。如图5所示，核心产业增加值及占比呈现“双升”轨迹。</w:t>
      </w:r>
    </w:p>
    <w:p>
      <w:pPr>
        <w:spacing w:before="120"/>
        <w:jc w:val="center"/>
      </w:pPr>
      <w:r>
        <w:drawing>
          <wp:inline xmlns:a="http://schemas.openxmlformats.org/drawingml/2006/main" xmlns:pic="http://schemas.openxmlformats.org/drawingml/2006/picture">
            <wp:extent cx="4617598" cy="2139086"/>
            <wp:docPr id="5" name="Picture 5"/>
            <wp:cNvGraphicFramePr>
              <a:graphicFrameLocks noChangeAspect="1"/>
            </wp:cNvGraphicFramePr>
            <a:graphic>
              <a:graphicData uri="http://schemas.openxmlformats.org/drawingml/2006/picture">
                <pic:pic>
                  <pic:nvPicPr>
                    <pic:cNvPr id="0" name="fig04_digital.png"/>
                    <pic:cNvPicPr/>
                  </pic:nvPicPr>
                  <pic:blipFill>
                    <a:blip r:embed="rId13"/>
                    <a:stretch>
                      <a:fillRect/>
                    </a:stretch>
                  </pic:blipFill>
                  <pic:spPr>
                    <a:xfrm>
                      <a:off x="0" y="0"/>
                      <a:ext cx="4617598" cy="2139086"/>
                    </a:xfrm>
                    <a:prstGeom prst="rect"/>
                  </pic:spPr>
                </pic:pic>
              </a:graphicData>
            </a:graphic>
          </wp:inline>
        </w:drawing>
      </w:r>
    </w:p>
    <w:p>
      <w:pPr>
        <w:spacing w:after="80"/>
        <w:jc w:val="center"/>
      </w:pPr>
      <w:r>
        <w:rPr>
          <w:rFonts w:ascii="Times New Roman" w:hAnsi="Times New Roman" w:eastAsia="黑体"/>
          <w:b/>
          <w:sz w:val="21"/>
        </w:rPr>
        <w:t xml:space="preserve">图5　</w:t>
      </w:r>
      <w:r>
        <w:rPr>
          <w:rFonts w:ascii="Times New Roman" w:hAnsi="Times New Roman" w:eastAsia="宋体"/>
          <w:b/>
          <w:sz w:val="21"/>
        </w:rPr>
        <w:t>2015—2024年浙江省数字经济核心产业增加值及占GDP比重</w:t>
      </w:r>
    </w:p>
    <w:p>
      <w:pPr>
        <w:spacing w:after="120"/>
        <w:jc w:val="left"/>
      </w:pPr>
      <w:r>
        <w:rPr>
          <w:rFonts w:ascii="Times New Roman" w:hAnsi="Times New Roman" w:eastAsia="宋体"/>
          <w:b w:val="0"/>
          <w:sz w:val="21"/>
        </w:rPr>
        <w:t>注：2015—2017年为“信息经济核心产业”口径，官方统计序列可衔接；数据来源为历年《浙江省国民经济和社会发展统计公报》。</w:t>
      </w:r>
    </w:p>
    <w:p>
      <w:pPr>
        <w:spacing w:line="360" w:lineRule="auto" w:after="0"/>
        <w:ind w:firstLine="480"/>
        <w:jc w:val="both"/>
      </w:pPr>
      <w:r>
        <w:rPr>
          <w:rFonts w:ascii="Times New Roman" w:hAnsi="Times New Roman" w:eastAsia="宋体"/>
          <w:b w:val="0"/>
          <w:sz w:val="24"/>
        </w:rPr>
        <w:t>图5“双升”轨迹的节点值得逐段细读。2015—2017年为稳步爬升期，核心产业占GDP比重由7.9%升至9.4%；2018—2020年占比由9.9%升至10.9%、跨上10%台阶，数字经济在疫情冲击年份逆势扩张，凸显其抗周期属性；2021—2024年进入万亿冲刺期，2024年核心产业增加值11060亿元、占比12.3%，高出全国平均1.8个百分点。分空间看，杭州2024年数字经济核心产业增加值达6305亿元、占GDP比重28.8%，构成全省数字动能的极核；而广义口径下数字经济增加值占GDP比重已过半，表明数字技术对传统产业的渗透已成为比核心产业扩张更具规模意义的动能来源。</w:t>
      </w:r>
    </w:p>
    <w:p>
      <w:pPr>
        <w:spacing w:line="360" w:lineRule="auto" w:after="0"/>
        <w:ind w:firstLine="480"/>
        <w:jc w:val="both"/>
      </w:pPr>
      <w:r>
        <w:rPr>
          <w:rFonts w:ascii="Times New Roman" w:hAnsi="Times New Roman" w:eastAsia="宋体"/>
          <w:b w:val="0"/>
          <w:sz w:val="24"/>
        </w:rPr>
        <w:t>数字经济之所以被置于动能转换的中枢位置，在于其兼具“生产力属性”与“分配属性”的双重品格。就前者而言，数据要素的非竞争性与数字技术的通用目的性使其成为新质生产力生成的加速器</w:t>
      </w:r>
      <w:r>
        <w:rPr>
          <w:rFonts w:ascii="Times New Roman" w:hAnsi="Times New Roman" w:eastAsia="宋体"/>
          <w:b w:val="0"/>
          <w:sz w:val="24"/>
          <w:vertAlign w:val="superscript"/>
        </w:rPr>
        <w:t>[50]</w:t>
      </w:r>
      <w:r>
        <w:rPr>
          <w:rFonts w:ascii="Times New Roman" w:hAnsi="Times New Roman" w:eastAsia="宋体"/>
          <w:b w:val="0"/>
          <w:sz w:val="24"/>
        </w:rPr>
        <w:t>；就后者而言，数字经济既可能通过降低参与门槛产生普惠效应、助推包容性增长，也可能因数字鸿沟而加剧城乡与技能分化[89,94,103]。浙江的实践取向是主动放大普惠面：电子商务深入县域乡村，“浙里办”注册用户达1.3亿，数字政府把公共服务的边际供给成本大幅压低。可见数字动能的分配品格并非技术内生给定，而是制度选择的结果，这正是“制度转化器”命题在数字经济领域的具体体现。</w:t>
      </w:r>
    </w:p>
    <w:p>
      <w:pPr>
        <w:spacing w:line="360" w:lineRule="auto" w:after="0"/>
        <w:ind w:firstLine="480"/>
        <w:jc w:val="both"/>
      </w:pPr>
      <w:r>
        <w:rPr>
          <w:rFonts w:ascii="Times New Roman" w:hAnsi="Times New Roman" w:eastAsia="宋体"/>
          <w:b w:val="0"/>
          <w:sz w:val="24"/>
        </w:rPr>
        <w:t>二是“人工智能+”成为动能转换的核心变量。省委十五届七次全会提出“人工智能将成为创新浙江的最鲜明标识、最核心支撑”；《浙江省“人工智能+”行动计划（2024—2027年）》明确2027年培育10个以上全国一流垂直行业大模型、500个以上标杆应用场景；2025年1—11月全省规模以上人工智能核心产业营业收入6294亿元、增长21.6%，2025年底建成投用总算力超156EFLOPS；省委十五届八次全会进一步锚定全省规上人工智能核心产业营业收入1.2万亿元的目标。</w:t>
      </w:r>
    </w:p>
    <w:p>
      <w:pPr>
        <w:spacing w:line="360" w:lineRule="auto" w:after="0"/>
        <w:ind w:firstLine="480"/>
        <w:jc w:val="both"/>
      </w:pPr>
      <w:r>
        <w:rPr>
          <w:rFonts w:ascii="Times New Roman" w:hAnsi="Times New Roman" w:eastAsia="宋体"/>
          <w:b w:val="0"/>
          <w:sz w:val="24"/>
        </w:rPr>
        <w:t>需要指出，人工智能作为“核心变量”具有双刃属性：文献反复警示，自动化技术可能替代常规岗位、压低中低技能劳动者的收入份额[20,108]。浙江的应对思路是以“人工智能+”拓展新场景、新业态、新职业，使替代效应与创造效应在动态中再平衡——2026年总算力将提升至200EFLOPS以上，宁波人形机器人创新中心发布“领航者2号”，新赛道的本地化落地为劳动力结构调整预留了吸纳空间。人工智能能否在赋能生产率的同时不撕裂就业分配关，将是“十五五”时期检验共富型新质生产力成色的关键观测点。</w:t>
      </w:r>
    </w:p>
    <w:p>
      <w:pPr>
        <w:spacing w:line="360" w:lineRule="auto" w:after="0"/>
        <w:ind w:firstLine="480"/>
        <w:jc w:val="both"/>
      </w:pPr>
      <w:r>
        <w:rPr>
          <w:rFonts w:ascii="Times New Roman" w:hAnsi="Times New Roman" w:eastAsia="宋体"/>
          <w:b w:val="0"/>
          <w:sz w:val="24"/>
        </w:rPr>
        <w:t>三是“415X”集群与制造业智能化重塑产业体系骨架。按照“415X”先进制造业集群培育工程，浙江构建4个万亿级世界级产业群、15个千亿级特色产业集群和若干百亿级“新星”产业群的梯度体系；累计培育省级“未来工厂”93家（2025年1月，杭州23家居首），拥有犀牛智造、隆基绿能嘉兴、三门核电3家全球“灯塔工厂”；2024年装备制造业、高新技术产业、高技术制造业增加值占规上工业比重分别达48.9%、69.0%、17.2%，国家级专精特新“小巨人”企业1807家、居全国第三，制造业单项冠军278家、居全国第一（2025年12月第九批发布后），其中宁波104家、连续7年居全国城市首位。</w:t>
      </w:r>
    </w:p>
    <w:p>
      <w:pPr>
        <w:spacing w:line="360" w:lineRule="auto" w:after="0"/>
        <w:ind w:firstLine="480"/>
        <w:jc w:val="both"/>
      </w:pPr>
      <w:r>
        <w:rPr>
          <w:rFonts w:ascii="Times New Roman" w:hAnsi="Times New Roman" w:eastAsia="宋体"/>
          <w:b w:val="0"/>
          <w:sz w:val="24"/>
        </w:rPr>
        <w:t>“专精特新”生态的分布逻辑尤具浙江特色。中小企业深耕细分市场、以专业化协作嵌入产业链，是浙江块状经济传统在新发展阶段的升级形态；宁波单项冠军连续7年居全国城市首位，表明“隐形冠军”生态已在非省会城市成型，先进制造的话语权并未向单一极核集中。专精特新企业根植县域、贴近就业，使制造业升级的收益能够在地理与人群两个维度更均匀地散布——这是产业动能天然携带就业包容度的重要微观注脚，也意味着智能化改造在浙江更多表现为“技改提效与就业转型并行”，而非简单的机器替人。</w:t>
      </w:r>
    </w:p>
    <w:p>
      <w:pPr>
        <w:spacing w:line="360" w:lineRule="auto" w:after="0"/>
        <w:ind w:firstLine="480"/>
        <w:jc w:val="both"/>
      </w:pPr>
      <w:r>
        <w:rPr>
          <w:rFonts w:ascii="Times New Roman" w:hAnsi="Times New Roman" w:eastAsia="宋体"/>
          <w:b w:val="0"/>
          <w:sz w:val="24"/>
        </w:rPr>
        <w:t>四是民营经济构成动能转换与就业吸纳的主体力量。2024年民营经济增加值占GDP的67.4%，规上工业民营企业5.5万家、占比92.7%，增加值占比72.4%，民营企业进出口占全省的80.8%；全省在册经营主体1095.17万户、其中民营企业380.77万户，中国民营企业500强入围107家（2025年）、连续27年居全国第一。民营经济点多面广、根植县域的组织形态，使产业动能天然携带较高的就业包容度，这正是动能顺畅通过就业分配关传导为居民收入的结构性前提。</w:t>
      </w:r>
    </w:p>
    <w:p>
      <w:pPr>
        <w:spacing w:line="360" w:lineRule="auto" w:after="0"/>
        <w:ind w:firstLine="480"/>
        <w:jc w:val="both"/>
      </w:pPr>
      <w:r>
        <w:rPr>
          <w:rFonts w:ascii="Times New Roman" w:hAnsi="Times New Roman" w:eastAsia="宋体"/>
          <w:b w:val="0"/>
          <w:sz w:val="24"/>
        </w:rPr>
        <w:t>民营经济的动能意义之外还有开放通道的支撑。2024年全省进出口首破5万亿元，义乌进出口达6689.3亿元、增长18.2%，在册经营主体超110万户、居全国县域第一；宁波舟山港2025年12月年集装箱吞吐量突破4000万标准箱、成为全球第三个跨越该门槛的港口，货物吞吐量14亿吨、连续17年居全球第一。开放经济与县域市场体系相结合，使“地瓜经济”的藤蔓延展与块茎坐大并行不悖。从理论上看，民营经济占GDP近七成、吸纳就业面广的所有制结构，决定了增长成果在初次分配环节即以工资、经营收入等形式广泛分散，这是浙江收入分配格局优于全国的最重要结构性变量，也是就业分配关得以畅通的所有制基础。</w:t>
      </w:r>
    </w:p>
    <w:p>
      <w:pPr>
        <w:spacing w:line="360" w:lineRule="auto" w:after="80"/>
        <w:jc w:val="left"/>
      </w:pPr>
      <w:r>
        <w:rPr>
          <w:rFonts w:ascii="Times New Roman" w:hAnsi="Times New Roman" w:eastAsia="黑体"/>
          <w:b/>
          <w:sz w:val="28"/>
        </w:rPr>
        <w:t>（四）富民效能释放：千万工程、山海协作与扩中提低的系统集成</w:t>
      </w:r>
    </w:p>
    <w:p>
      <w:pPr>
        <w:spacing w:line="360" w:lineRule="auto" w:after="0"/>
        <w:ind w:firstLine="480"/>
        <w:jc w:val="both"/>
      </w:pPr>
      <w:r>
        <w:rPr>
          <w:rFonts w:ascii="Times New Roman" w:hAnsi="Times New Roman" w:eastAsia="宋体"/>
          <w:b w:val="0"/>
          <w:sz w:val="24"/>
        </w:rPr>
        <w:t>富民效能是三阶转化的落脚点，也是检验新质生产力“共富成色”的最终标尺。从总量指标看，浙江居民人均可支配收入由2015年的35537元增至2024年的67013元、2025年达70240元并首破7万元；农村居民人均可支配收入由21125元增至2024年的42786元、2025年的45154元，连续40年居全国省区第一，城镇居民收入连续24年居全国省区第一；城乡居民收入倍差由2015年的2.07持续收敛至2024年的1.83、2025年的1.81，而同期全国倍差为2.34（2024年）。如图6所示，浙江呈现“收入水平上台阶、城乡倍差下台阶”的剪刀差形态，这在全国范围内具有稀缺性。</w:t>
      </w:r>
    </w:p>
    <w:p>
      <w:pPr>
        <w:spacing w:before="120"/>
        <w:jc w:val="center"/>
      </w:pPr>
      <w:r>
        <w:drawing>
          <wp:inline xmlns:a="http://schemas.openxmlformats.org/drawingml/2006/main" xmlns:pic="http://schemas.openxmlformats.org/drawingml/2006/picture">
            <wp:extent cx="4684776" cy="2220407"/>
            <wp:docPr id="6" name="Picture 6"/>
            <wp:cNvGraphicFramePr>
              <a:graphicFrameLocks noChangeAspect="1"/>
            </wp:cNvGraphicFramePr>
            <a:graphic>
              <a:graphicData uri="http://schemas.openxmlformats.org/drawingml/2006/picture">
                <pic:pic>
                  <pic:nvPicPr>
                    <pic:cNvPr id="0" name="fig05_income.png"/>
                    <pic:cNvPicPr/>
                  </pic:nvPicPr>
                  <pic:blipFill>
                    <a:blip r:embed="rId14"/>
                    <a:stretch>
                      <a:fillRect/>
                    </a:stretch>
                  </pic:blipFill>
                  <pic:spPr>
                    <a:xfrm>
                      <a:off x="0" y="0"/>
                      <a:ext cx="4684776" cy="2220407"/>
                    </a:xfrm>
                    <a:prstGeom prst="rect"/>
                  </pic:spPr>
                </pic:pic>
              </a:graphicData>
            </a:graphic>
          </wp:inline>
        </w:drawing>
      </w:r>
    </w:p>
    <w:p>
      <w:pPr>
        <w:spacing w:after="80"/>
        <w:jc w:val="center"/>
      </w:pPr>
      <w:r>
        <w:rPr>
          <w:rFonts w:ascii="Times New Roman" w:hAnsi="Times New Roman" w:eastAsia="黑体"/>
          <w:b/>
          <w:sz w:val="21"/>
        </w:rPr>
        <w:t xml:space="preserve">图6　</w:t>
      </w:r>
      <w:r>
        <w:rPr>
          <w:rFonts w:ascii="Times New Roman" w:hAnsi="Times New Roman" w:eastAsia="宋体"/>
          <w:b/>
          <w:sz w:val="21"/>
        </w:rPr>
        <w:t>2015—2025年浙江省城乡居民收入及倍差变化</w:t>
      </w:r>
    </w:p>
    <w:p>
      <w:pPr>
        <w:spacing w:after="120"/>
        <w:jc w:val="left"/>
      </w:pPr>
      <w:r>
        <w:rPr>
          <w:rFonts w:ascii="Times New Roman" w:hAnsi="Times New Roman" w:eastAsia="宋体"/>
          <w:b w:val="0"/>
          <w:sz w:val="21"/>
        </w:rPr>
        <w:t>注：数据来源为历年《浙江省国民经济和社会发展统计公报》。</w:t>
      </w:r>
    </w:p>
    <w:p>
      <w:pPr>
        <w:spacing w:line="360" w:lineRule="auto" w:after="0"/>
        <w:ind w:firstLine="480"/>
        <w:jc w:val="both"/>
      </w:pPr>
      <w:r>
        <w:rPr>
          <w:rFonts w:ascii="Times New Roman" w:hAnsi="Times New Roman" w:eastAsia="宋体"/>
          <w:b w:val="0"/>
          <w:sz w:val="24"/>
        </w:rPr>
        <w:t>图6的“剪刀差”形态可分解为三段。2015—2019年，倍差由2.07缓慢降至2.01，收敛速率温和；2020年首次跌破2、降至1.96，疫情冲击下农村居民收入的相对韧性与兜底政策的托底作用叠加显现；2021年以后进入加速收敛段，倍差依次降至1.94、1.90、1.86、1.83，2025年达1.81，与2030年1.8以内的目标已近在咫尺。同期全国倍差由2.73降至2.34，浙江不仅水平显著更低，收敛亦未因基数较低而减速。收入端与倍差端的同步改善，构成对“效率与公平不可兼得”直觉的经验反例。</w:t>
      </w:r>
    </w:p>
    <w:p>
      <w:pPr>
        <w:spacing w:line="360" w:lineRule="auto" w:after="0"/>
        <w:ind w:firstLine="480"/>
        <w:jc w:val="both"/>
      </w:pPr>
      <w:r>
        <w:rPr>
          <w:rFonts w:ascii="Times New Roman" w:hAnsi="Times New Roman" w:eastAsia="宋体"/>
          <w:b w:val="0"/>
          <w:sz w:val="24"/>
        </w:rPr>
        <w:t>从机制与理论层面看，这一形态的意义在于对倒U型“先扩大后缩小”路径的压缩与超越。倍差收敛发生在创新投入强度快速攀升、数字经济加速扩张的同一时段，说明浙江存在有效的中介机制把技术进步的收益导入农村与低收入群体：一是民营经济与县域产业提供的非农就业机会，支撑农村居民工资性收入持续增长；二是“千万工程”与强村富民改革打通了经营性、财产性收入通道；三是公共服务均等化压低了城乡实际福利差距。城乡差距研究早已指出，倍差走向在很大程度上取决于公共资源配置的城乡取向</w:t>
      </w:r>
      <w:r>
        <w:rPr>
          <w:rFonts w:ascii="Times New Roman" w:hAnsi="Times New Roman" w:eastAsia="宋体"/>
          <w:b w:val="0"/>
          <w:sz w:val="24"/>
          <w:vertAlign w:val="superscript"/>
        </w:rPr>
        <w:t>[16]</w:t>
      </w:r>
      <w:r>
        <w:rPr>
          <w:rFonts w:ascii="Times New Roman" w:hAnsi="Times New Roman" w:eastAsia="宋体"/>
          <w:b w:val="0"/>
          <w:sz w:val="24"/>
        </w:rPr>
        <w:t>；浙江经验恰从正面证明，当配置取向系统性转向城乡融合时，倍差收敛完全可以与高增长并行。</w:t>
      </w:r>
    </w:p>
    <w:p>
      <w:pPr>
        <w:spacing w:line="360" w:lineRule="auto" w:after="0"/>
        <w:ind w:firstLine="480"/>
        <w:jc w:val="both"/>
      </w:pPr>
      <w:r>
        <w:rPr>
          <w:rFonts w:ascii="Times New Roman" w:hAnsi="Times New Roman" w:eastAsia="宋体"/>
          <w:b w:val="0"/>
          <w:sz w:val="24"/>
        </w:rPr>
        <w:t>一是以“千万工程”牵引城乡分配结构优化，修复就业分配关的城乡断点。“千万工程”自2003年6月部署以来，2018年获联合国“地球卫士奖”，90%以上村庄达到新时代美丽乡村标准，农村居民收入从2003年的5431元增至2023年的40311元，城乡倍差从2003年的2.43缩小至2024年的1.83。在其牵引下，强村富民机制持续深化：至2025年全省强村公司达2278家、参股行政村11280个、年利润21.7亿元、村均分红15.4万元；226个省级重点村片区带动1447个村组团发展；2024年集体经济经营性收入50万元以上行政村占比达60%。集体经济的组织化增收，使产业动能得以通过财产性、经营性收入渠道向农民传导。</w:t>
      </w:r>
    </w:p>
    <w:p>
      <w:pPr>
        <w:spacing w:line="360" w:lineRule="auto" w:after="0"/>
        <w:ind w:firstLine="480"/>
        <w:jc w:val="both"/>
      </w:pPr>
      <w:r>
        <w:rPr>
          <w:rFonts w:ascii="Times New Roman" w:hAnsi="Times New Roman" w:eastAsia="宋体"/>
          <w:b w:val="0"/>
          <w:sz w:val="24"/>
        </w:rPr>
        <w:t>强村公司机制的精髓，在于以公司化组织把分散的集体资产、资源与农户劳动整合为可经营的市场主体，基于浙江样本的实证研究表明，这一运营形态能够显著壮大集体经济；新型农村集体经济通过利益联结把发展成果沉淀为村庄公共积累与农户分红，是共同富裕在微观组织层面的实现装置</w:t>
      </w:r>
      <w:r>
        <w:rPr>
          <w:rFonts w:ascii="Times New Roman" w:hAnsi="Times New Roman" w:eastAsia="宋体"/>
          <w:b w:val="0"/>
          <w:sz w:val="24"/>
          <w:vertAlign w:val="superscript"/>
        </w:rPr>
        <w:t>[76,77]</w:t>
      </w:r>
      <w:r>
        <w:rPr>
          <w:rFonts w:ascii="Times New Roman" w:hAnsi="Times New Roman" w:eastAsia="宋体"/>
          <w:b w:val="0"/>
          <w:sz w:val="24"/>
        </w:rPr>
        <w:t>。片区组团则把单村难以承载的产业项目升维到片区尺度配置，按照部署，2027年省级重点村片区将达500个以上、宜居宜业和美乡村覆盖率达90%以上。在框架意义上，强村富民体系解决的是就业分配关中的“组织缺位”问题——当农户以个体形式面对市场时，其在增值链条中的分享份额往往偏低；集体经济的组织化介入提高了农民的谈判地位与分享比例，使动能向效能的传导有了稳定的组织通道。</w:t>
      </w:r>
    </w:p>
    <w:p>
      <w:pPr>
        <w:spacing w:line="360" w:lineRule="auto" w:after="0"/>
        <w:ind w:firstLine="480"/>
        <w:jc w:val="both"/>
      </w:pPr>
      <w:r>
        <w:rPr>
          <w:rFonts w:ascii="Times New Roman" w:hAnsi="Times New Roman" w:eastAsia="宋体"/>
          <w:b w:val="0"/>
          <w:sz w:val="24"/>
        </w:rPr>
        <w:t>二是以山海协作修复成果转化关的空间断点，遏制地区差距扩大。山海协作工程实施20年来，山区26县累计获援助资金近1000亿元、落地产业合作项目12438个、投资7305亿元；签约共建“产业飞地”18个，“消薄飞地”30个实现26县全覆盖、累计返利超2亿元，丽水共建科创飞地30块；“1+1+1+1”新型结对机制下，50个经济强县结对26县，仅2023年合作项目225个、到位资金320亿元。其成效体现为：2023年山区26县GDP全部超百亿元、平均增速高于全省1个百分点，居民收入与全省平均之比达0.745；2024年8月，山区26县动态调整为“山区23县+2海岛县”，并力争2027年山区海岛县减至20个以下。</w:t>
      </w:r>
    </w:p>
    <w:p>
      <w:pPr>
        <w:spacing w:line="360" w:lineRule="auto" w:after="0"/>
        <w:ind w:firstLine="480"/>
        <w:jc w:val="both"/>
      </w:pPr>
      <w:r>
        <w:rPr>
          <w:rFonts w:ascii="Times New Roman" w:hAnsi="Times New Roman" w:eastAsia="宋体"/>
          <w:b w:val="0"/>
          <w:sz w:val="24"/>
        </w:rPr>
        <w:t>三类飞地对应三种断点修复逻辑：产业飞地让山区县在发达地区的产业平台上“借地生金”，破解本地环境与要素承载力约束；“消薄飞地”以异地物业投资为薄弱村集体提供稳定现金流；科创飞地则让山区企业在杭州等创新极核就近取才用智，丽水共建30块飞地即为典型。这一制度安排的深层智慧在于顺应而非对抗集聚经济规律——它不要求创新与产业活动在空间上均匀铺开，而是让集聚产生的收益通过股权、返利与项目分成回流山区，实现“在集聚中走向平衡”</w:t>
      </w:r>
      <w:r>
        <w:rPr>
          <w:rFonts w:ascii="Times New Roman" w:hAnsi="Times New Roman" w:eastAsia="宋体"/>
          <w:b w:val="0"/>
          <w:sz w:val="24"/>
          <w:vertAlign w:val="superscript"/>
        </w:rPr>
        <w:t>[13,75]</w:t>
      </w:r>
      <w:r>
        <w:rPr>
          <w:rFonts w:ascii="Times New Roman" w:hAnsi="Times New Roman" w:eastAsia="宋体"/>
          <w:b w:val="0"/>
          <w:sz w:val="24"/>
        </w:rPr>
        <w:t>。从目标坐标看，示范区建设明确2025年地区人均GDP最高最低倍差2.1以内、地区人均收入最高最低倍差1.55以内；2024年设区市人均GDP最高最低倍差为2.20（舟山与丽水），空间收敛仍在途中，但方向清晰、机制在位。</w:t>
      </w:r>
    </w:p>
    <w:p>
      <w:pPr>
        <w:spacing w:line="360" w:lineRule="auto" w:after="0"/>
        <w:ind w:firstLine="480"/>
        <w:jc w:val="both"/>
      </w:pPr>
      <w:r>
        <w:rPr>
          <w:rFonts w:ascii="Times New Roman" w:hAnsi="Times New Roman" w:eastAsia="宋体"/>
          <w:b w:val="0"/>
          <w:sz w:val="24"/>
        </w:rPr>
        <w:t>三是以扩中提低改革直接作用于收入分配的两端。浙江在全国率先划定中等收入群体线（家庭年收入10万元），2021年家庭年可支配收入10万—50万元群体比例达72.4%、较2016年提高24.3个百分点；“提低”端呈现清晰的增速梯度：低收入农户人均可支配收入由2021年的16491元增至2023年的21440元（增长13.4%、首破2万元）、2024年的23830元（增长11.1%）、2025年的26439元（增长10.9%），山区26县低收入农户2023年达19730元（增长13.9%）、山区海岛县口径2024年达22021元（增长11.5%），连续保持两位数增长且显著快于全省居民收入平均增速，形成“低收入农户快于农村居民、农村快于城镇”的包容性增长梯度，如图7所示。</w:t>
      </w:r>
    </w:p>
    <w:p>
      <w:pPr>
        <w:spacing w:before="120"/>
        <w:jc w:val="center"/>
      </w:pPr>
      <w:r>
        <w:drawing>
          <wp:inline xmlns:a="http://schemas.openxmlformats.org/drawingml/2006/main" xmlns:pic="http://schemas.openxmlformats.org/drawingml/2006/picture">
            <wp:extent cx="4044817" cy="2139086"/>
            <wp:docPr id="7" name="Picture 7"/>
            <wp:cNvGraphicFramePr>
              <a:graphicFrameLocks noChangeAspect="1"/>
            </wp:cNvGraphicFramePr>
            <a:graphic>
              <a:graphicData uri="http://schemas.openxmlformats.org/drawingml/2006/picture">
                <pic:pic>
                  <pic:nvPicPr>
                    <pic:cNvPr id="0" name="fig06_lowincome.png"/>
                    <pic:cNvPicPr/>
                  </pic:nvPicPr>
                  <pic:blipFill>
                    <a:blip r:embed="rId15"/>
                    <a:stretch>
                      <a:fillRect/>
                    </a:stretch>
                  </pic:blipFill>
                  <pic:spPr>
                    <a:xfrm>
                      <a:off x="0" y="0"/>
                      <a:ext cx="4044817" cy="2139086"/>
                    </a:xfrm>
                    <a:prstGeom prst="rect"/>
                  </pic:spPr>
                </pic:pic>
              </a:graphicData>
            </a:graphic>
          </wp:inline>
        </w:drawing>
      </w:r>
    </w:p>
    <w:p>
      <w:pPr>
        <w:spacing w:after="80"/>
        <w:jc w:val="center"/>
      </w:pPr>
      <w:r>
        <w:rPr>
          <w:rFonts w:ascii="Times New Roman" w:hAnsi="Times New Roman" w:eastAsia="黑体"/>
          <w:b/>
          <w:sz w:val="21"/>
        </w:rPr>
        <w:t xml:space="preserve">图7　</w:t>
      </w:r>
      <w:r>
        <w:rPr>
          <w:rFonts w:ascii="Times New Roman" w:hAnsi="Times New Roman" w:eastAsia="宋体"/>
          <w:b/>
          <w:sz w:val="21"/>
        </w:rPr>
        <w:t>浙江省居民收入增速的“提低”梯度（2023—2025年）</w:t>
      </w:r>
    </w:p>
    <w:p>
      <w:pPr>
        <w:spacing w:after="120"/>
        <w:jc w:val="left"/>
      </w:pPr>
      <w:r>
        <w:rPr>
          <w:rFonts w:ascii="Times New Roman" w:hAnsi="Times New Roman" w:eastAsia="宋体"/>
          <w:b w:val="0"/>
          <w:sz w:val="21"/>
        </w:rPr>
        <w:t>注：数据来源为历年《浙江省国民经济和社会发展统计公报》及国家统计局浙江调查总队发布数据。</w:t>
      </w:r>
    </w:p>
    <w:p>
      <w:pPr>
        <w:spacing w:line="360" w:lineRule="auto" w:after="0"/>
        <w:ind w:firstLine="480"/>
        <w:jc w:val="both"/>
      </w:pPr>
      <w:r>
        <w:rPr>
          <w:rFonts w:ascii="Times New Roman" w:hAnsi="Times New Roman" w:eastAsia="宋体"/>
          <w:b w:val="0"/>
          <w:sz w:val="24"/>
        </w:rPr>
        <w:t>图7所示的增速梯度是“提低”成效最直观的读数：低收入农户收入增速连续保持两位数、显著快于农村居民平均，而农村又快于城镇，三条增速线自下而上依次抬高，构成典型的益贫式增长形态。存量坐标同样在改善：低收入农户收入2023年首破2万元、2025年达26439元；中等收入群体方面，2021年家庭年可支配收入20万—60万元群体比例为30.6%，对照示范区建设2025年10万—50万元群体80%、20万—60万元群体45%的目标，“扩中”仍有攻坚空间——这也提示，“橄榄型”分配结构的中段增厚比低端提升更具长期挑战性。</w:t>
      </w:r>
    </w:p>
    <w:p>
      <w:pPr>
        <w:spacing w:line="360" w:lineRule="auto" w:after="0"/>
        <w:ind w:firstLine="480"/>
        <w:jc w:val="both"/>
      </w:pPr>
      <w:r>
        <w:rPr>
          <w:rFonts w:ascii="Times New Roman" w:hAnsi="Times New Roman" w:eastAsia="宋体"/>
          <w:b w:val="0"/>
          <w:sz w:val="24"/>
        </w:rPr>
        <w:t>“提低”何以能够持续跑赢平均？机制上依赖三重叠加。其一，产业帮扶把低收入农户嵌入强村公司、片区组团等增收链条，使其收入增长挂钩于经营性组织而非单纯转移支付；其二，机会公平导向的公共投入——教育、医疗、技能培训——提升低收入群体的自我发展能力，研究表明机会公平正是低收入群体走向共同富裕的关键变量</w:t>
      </w:r>
      <w:r>
        <w:rPr>
          <w:rFonts w:ascii="Times New Roman" w:hAnsi="Times New Roman" w:eastAsia="宋体"/>
          <w:b w:val="0"/>
          <w:sz w:val="24"/>
          <w:vertAlign w:val="superscript"/>
        </w:rPr>
        <w:t>[67]</w:t>
      </w:r>
      <w:r>
        <w:rPr>
          <w:rFonts w:ascii="Times New Roman" w:hAnsi="Times New Roman" w:eastAsia="宋体"/>
          <w:b w:val="0"/>
          <w:sz w:val="24"/>
        </w:rPr>
        <w:t>；其三，兜底保障的标准化与市域统筹消除了因地施保的洼地。这与收入分配研究强调的“初次分配提低、再分配托底、机会结构开放”的组合逻辑相吻合</w:t>
      </w:r>
      <w:r>
        <w:rPr>
          <w:rFonts w:ascii="Times New Roman" w:hAnsi="Times New Roman" w:eastAsia="宋体"/>
          <w:b w:val="0"/>
          <w:sz w:val="24"/>
          <w:vertAlign w:val="superscript"/>
        </w:rPr>
        <w:t>[31,65]</w:t>
      </w:r>
      <w:r>
        <w:rPr>
          <w:rFonts w:ascii="Times New Roman" w:hAnsi="Times New Roman" w:eastAsia="宋体"/>
          <w:b w:val="0"/>
          <w:sz w:val="24"/>
        </w:rPr>
        <w:t>，也说明就业分配关的畅通不仅是总量意义上的，还体现为分配改善在群体结构上遵循“自下而上”的次序。</w:t>
      </w:r>
    </w:p>
    <w:p>
      <w:pPr>
        <w:spacing w:line="360" w:lineRule="auto" w:after="0"/>
        <w:ind w:firstLine="480"/>
        <w:jc w:val="both"/>
      </w:pPr>
      <w:r>
        <w:rPr>
          <w:rFonts w:ascii="Times New Roman" w:hAnsi="Times New Roman" w:eastAsia="宋体"/>
          <w:b w:val="0"/>
          <w:sz w:val="24"/>
        </w:rPr>
        <w:t>四是以公共服务一体化夯实人力资本反哺关。2022年12月浙江在全国率先实现低保标准市域同标（11市均超1000元/月、平均1083元/月）；城乡义务教育共同体覆盖所有乡村学校，舟山、淳安、龙游、景宁“一市三县”开展基本公共服务一体化试点；民生支出占一般公共预算支出比重2023年、2024年分别达75.5%、76.4%；“十四五”期间城镇新增就业累计565.13万人（至2025年9月），基本养老保险参保4757.71万人，2024年末户籍人口人均预期寿命82.55岁、居全国省区第一。公共服务的均等化供给，正是效能回流为人力资本、支撑势能再积蓄的制度通道。</w:t>
      </w:r>
    </w:p>
    <w:p>
      <w:pPr>
        <w:spacing w:line="360" w:lineRule="auto" w:after="0"/>
        <w:ind w:firstLine="480"/>
        <w:jc w:val="both"/>
      </w:pPr>
      <w:r>
        <w:rPr>
          <w:rFonts w:ascii="Times New Roman" w:hAnsi="Times New Roman" w:eastAsia="宋体"/>
          <w:b w:val="0"/>
          <w:sz w:val="24"/>
        </w:rPr>
        <w:t>公共服务均等化在本报告框架中承担着人力资本反哺关的枢纽功能。城乡义务教育共同体2022年公办学校结对覆盖率已达95%以上，使乡村学生就地共享优质师资；“一市三县”试点探索基本公共服务从“均等可及”走向“一体供给”；低保市域同标则终结了同一设区市内城乡、县际标准分割的历史。这些安排的经济学意义在于把富民效能转化为可积累的人力资本存量——健康与教育的均等化投入直接决定下一代劳动者的技能分布与创新参与能力，从而决定创新势能再积蓄的社会基础。与此同时，常住人口城镇化率由2015年的65.8%提高到2024年的75.5%、2030年将达78%左右，人口向城镇与公共服务高地的有序集中，本身也是共同富裕的空间实现形式</w:t>
      </w:r>
      <w:r>
        <w:rPr>
          <w:rFonts w:ascii="Times New Roman" w:hAnsi="Times New Roman" w:eastAsia="宋体"/>
          <w:b w:val="0"/>
          <w:sz w:val="24"/>
          <w:vertAlign w:val="superscript"/>
        </w:rPr>
        <w:t>[69]</w:t>
      </w:r>
      <w:r>
        <w:rPr>
          <w:rFonts w:ascii="Times New Roman" w:hAnsi="Times New Roman" w:eastAsia="宋体"/>
          <w:b w:val="0"/>
          <w:sz w:val="24"/>
        </w:rPr>
        <w:t>。至此，“势能—动能—效能”再回流为势能的双向赋能闭环，在制度层面得以闭合。</w:t>
      </w:r>
    </w:p>
    <w:p>
      <w:pPr>
        <w:spacing w:line="360" w:lineRule="auto" w:after="0"/>
        <w:ind w:firstLine="480"/>
        <w:jc w:val="both"/>
      </w:pPr>
      <w:r>
        <w:rPr>
          <w:rFonts w:ascii="Times New Roman" w:hAnsi="Times New Roman" w:eastAsia="宋体"/>
          <w:b w:val="0"/>
          <w:sz w:val="24"/>
        </w:rPr>
        <w:t>从空间格局看，富民效能的释放呈现罕见的均衡性。如图8所示，2024年全省11个设区市居民人均可支配收入全部超过全国平均水平，系全国唯一；居民收入低于全国平均的县（区）由8个降为4个；设区市居民收入最高最低倍差仅1.54（杭州76777元、丽水50015元）；嘉兴（1.51）、舟山（1.52）、湖州（1.53）等市城乡倍差已降至1.55以下，创新高地杭州的倍差亦仅为1.64；而GDP增速居前五位的恰是丽水（6.6%）、绍兴（6.5%）、衢州（6.4%）与温州、金华（均6.3%），山区县增速领跑全省，后发地区呈现实质性追赶态势。</w:t>
      </w:r>
    </w:p>
    <w:p>
      <w:pPr>
        <w:spacing w:before="120"/>
        <w:jc w:val="center"/>
      </w:pPr>
      <w:r>
        <w:drawing>
          <wp:inline xmlns:a="http://schemas.openxmlformats.org/drawingml/2006/main" xmlns:pic="http://schemas.openxmlformats.org/drawingml/2006/picture">
            <wp:extent cx="4324136" cy="2623474"/>
            <wp:docPr id="8" name="Picture 8"/>
            <wp:cNvGraphicFramePr>
              <a:graphicFrameLocks noChangeAspect="1"/>
            </wp:cNvGraphicFramePr>
            <a:graphic>
              <a:graphicData uri="http://schemas.openxmlformats.org/drawingml/2006/picture">
                <pic:pic>
                  <pic:nvPicPr>
                    <pic:cNvPr id="0" name="fig07_cities.png"/>
                    <pic:cNvPicPr/>
                  </pic:nvPicPr>
                  <pic:blipFill>
                    <a:blip r:embed="rId16"/>
                    <a:stretch>
                      <a:fillRect/>
                    </a:stretch>
                  </pic:blipFill>
                  <pic:spPr>
                    <a:xfrm>
                      <a:off x="0" y="0"/>
                      <a:ext cx="4324136" cy="2623474"/>
                    </a:xfrm>
                    <a:prstGeom prst="rect"/>
                  </pic:spPr>
                </pic:pic>
              </a:graphicData>
            </a:graphic>
          </wp:inline>
        </w:drawing>
      </w:r>
    </w:p>
    <w:p>
      <w:pPr>
        <w:spacing w:after="80"/>
        <w:jc w:val="center"/>
      </w:pPr>
      <w:r>
        <w:rPr>
          <w:rFonts w:ascii="Times New Roman" w:hAnsi="Times New Roman" w:eastAsia="黑体"/>
          <w:b/>
          <w:sz w:val="21"/>
        </w:rPr>
        <w:t xml:space="preserve">图8　</w:t>
      </w:r>
      <w:r>
        <w:rPr>
          <w:rFonts w:ascii="Times New Roman" w:hAnsi="Times New Roman" w:eastAsia="宋体"/>
          <w:b/>
          <w:sz w:val="21"/>
        </w:rPr>
        <w:t>2024年浙江省11个设区市居民收入与城乡倍差分布</w:t>
      </w:r>
    </w:p>
    <w:p>
      <w:pPr>
        <w:spacing w:after="120"/>
        <w:jc w:val="left"/>
      </w:pPr>
      <w:r>
        <w:rPr>
          <w:rFonts w:ascii="Times New Roman" w:hAnsi="Times New Roman" w:eastAsia="宋体"/>
          <w:b w:val="0"/>
          <w:sz w:val="21"/>
        </w:rPr>
        <w:t>注：气泡大小表示地区生产总值规模，红色为山区海岛地区代表市；数据来源为各市2024年国民经济和社会发展统计公报。</w:t>
      </w:r>
    </w:p>
    <w:p>
      <w:pPr>
        <w:spacing w:line="360" w:lineRule="auto" w:after="0"/>
        <w:ind w:firstLine="480"/>
        <w:jc w:val="both"/>
      </w:pPr>
      <w:r>
        <w:rPr>
          <w:rFonts w:ascii="Times New Roman" w:hAnsi="Times New Roman" w:eastAsia="宋体"/>
          <w:b w:val="0"/>
          <w:sz w:val="24"/>
        </w:rPr>
        <w:t>图8的分布形态传递出三层信息。第一层是“底板高”：11个设区市居民收入全部超过全国平均，意味着浙江的富裕不是极核城市的独角戏，而是全域性的收入底板抬升。第二层是“落差小”：最高的杭州与最低的丽水之比仅1.54，且嘉兴、舟山、湖州等非核心城市的城乡倍差已进入1.55以下的深度均衡区间，创新要素最密集的杭州倍差也仅1.64。第三层是“追赶快”：GDP增速前五位由丽水、绍兴、衢州、温州、金华占据，山区县增速领跑改写了“核心快、边缘慢”的常见空间叙事。</w:t>
      </w:r>
    </w:p>
    <w:p>
      <w:pPr>
        <w:spacing w:line="360" w:lineRule="auto" w:after="0"/>
        <w:ind w:firstLine="480"/>
        <w:jc w:val="both"/>
      </w:pPr>
      <w:r>
        <w:rPr>
          <w:rFonts w:ascii="Times New Roman" w:hAnsi="Times New Roman" w:eastAsia="宋体"/>
          <w:b w:val="0"/>
          <w:sz w:val="24"/>
        </w:rPr>
        <w:t>这一格局与区域经济学的一般经验形成有趣对照：在多数经济体中，创新驱动阶段往往伴随核心—边缘分化加剧，而浙江呈现的是“核心不失速、边缘在加速”的收敛式增长。其制度成因至少有三：一是山海协作与产业梯度转移使后发地区获得外源动能注入；二是县域经济与块状产业传统使各市拥有自己的产业根基，而非单纯依附极核；三是全省统筹的公共服务与基础设施投放抹平了发展的先决条件差距</w:t>
      </w:r>
      <w:r>
        <w:rPr>
          <w:rFonts w:ascii="Times New Roman" w:hAnsi="Times New Roman" w:eastAsia="宋体"/>
          <w:b w:val="0"/>
          <w:sz w:val="24"/>
          <w:vertAlign w:val="superscript"/>
        </w:rPr>
        <w:t>[24]</w:t>
      </w:r>
      <w:r>
        <w:rPr>
          <w:rFonts w:ascii="Times New Roman" w:hAnsi="Times New Roman" w:eastAsia="宋体"/>
          <w:b w:val="0"/>
          <w:sz w:val="24"/>
        </w:rPr>
        <w:t>。对照理论框架，这意味着成果转化关的空间断点已被制度化压缩，创新收益的地理扩散半径显著大于自发状态——这正是浙江样本区别于一般“创新极化”叙事的关键所在。</w:t>
      </w:r>
    </w:p>
    <w:p>
      <w:pPr>
        <w:spacing w:line="360" w:lineRule="auto" w:after="80"/>
        <w:jc w:val="left"/>
      </w:pPr>
      <w:r>
        <w:rPr>
          <w:rFonts w:ascii="Times New Roman" w:hAnsi="Times New Roman" w:eastAsia="黑体"/>
          <w:b/>
          <w:sz w:val="28"/>
        </w:rPr>
        <w:t>（五）典型化事实：五个有待实证检验的经验命题</w:t>
      </w:r>
    </w:p>
    <w:p>
      <w:pPr>
        <w:spacing w:line="360" w:lineRule="auto" w:after="0"/>
        <w:ind w:firstLine="480"/>
        <w:jc w:val="both"/>
      </w:pPr>
      <w:r>
        <w:rPr>
          <w:rFonts w:ascii="Times New Roman" w:hAnsi="Times New Roman" w:eastAsia="宋体"/>
          <w:b w:val="0"/>
          <w:sz w:val="24"/>
        </w:rPr>
        <w:t>综合上述考察，浙江实践呈现出五个典型化事实，它们共同构成“共富型新质生产力”的经验雏形，也为实证部分提出了待检验的命题。</w:t>
      </w:r>
    </w:p>
    <w:p>
      <w:pPr>
        <w:spacing w:line="360" w:lineRule="auto" w:after="0"/>
        <w:ind w:firstLine="480"/>
        <w:jc w:val="both"/>
      </w:pPr>
      <w:r>
        <w:rPr>
          <w:rFonts w:ascii="Times New Roman" w:hAnsi="Times New Roman" w:eastAsia="宋体"/>
          <w:b w:val="0"/>
          <w:sz w:val="24"/>
        </w:rPr>
        <w:t>典型化事实一：增长跃升与差距收敛同步实现。2015—2025年，全省GDP由42886亿元增至94545亿元，同期城乡收入倍差由2.07降至1.81，“做大蛋糕”与“分好蛋糕”未呈现理论上担忧的此消彼长关系，“创新极化—均衡共享”悖论在省域尺度上未被观察到。</w:t>
      </w:r>
    </w:p>
    <w:p>
      <w:pPr>
        <w:spacing w:line="360" w:lineRule="auto" w:after="0"/>
        <w:ind w:firstLine="480"/>
        <w:jc w:val="both"/>
      </w:pPr>
      <w:r>
        <w:rPr>
          <w:rFonts w:ascii="Times New Roman" w:hAnsi="Times New Roman" w:eastAsia="宋体"/>
          <w:b w:val="0"/>
          <w:sz w:val="24"/>
        </w:rPr>
        <w:t>在框架语言中，事实一是双向赋能的总体表征：若成果转化关堵塞，高基数上的持续增长难以为继；若就业分配关失灵，倍差不可能在十年间单调收敛；若人力资本反哺关中断，势能补给将衰减、增长终将失速。三大关口无一出现系统性梗阻，是这一同步性得以成立的必要条件。</w:t>
      </w:r>
    </w:p>
    <w:p>
      <w:pPr>
        <w:spacing w:line="360" w:lineRule="auto" w:after="0"/>
        <w:ind w:firstLine="480"/>
        <w:jc w:val="both"/>
      </w:pPr>
      <w:r>
        <w:rPr>
          <w:rFonts w:ascii="Times New Roman" w:hAnsi="Times New Roman" w:eastAsia="宋体"/>
          <w:b w:val="0"/>
          <w:sz w:val="24"/>
        </w:rPr>
        <w:t>典型化事实二：创新投入强度提升与分配结构改善同向而行。R&amp;D投入强度由2.33%升至3.22%的十年，恰是倍差由2.07收敛至1.83的十年；且创新要素最密集的杭州，其城乡倍差（1.64）反而低于全省平均，表明创新极化并未自动转化为分配极化，其间存在制度性转化机制。</w:t>
      </w:r>
    </w:p>
    <w:p>
      <w:pPr>
        <w:spacing w:line="360" w:lineRule="auto" w:after="0"/>
        <w:ind w:firstLine="480"/>
        <w:jc w:val="both"/>
      </w:pPr>
      <w:r>
        <w:rPr>
          <w:rFonts w:ascii="Times New Roman" w:hAnsi="Times New Roman" w:eastAsia="宋体"/>
          <w:b w:val="0"/>
          <w:sz w:val="24"/>
        </w:rPr>
        <w:t>事实二直指制度转化器的存在性。杭州作为创新极核的倍差反而更低，说明数字经济的就业创造、都市圈对周边乡村的辐射以及城乡融合政策的强度，共同压制了极化倾向；它为“创新集聚必然导致分配极化”的论断提供了否定性样本，也提示实证部分应重点检验创新指标与共享指标的协同演化。</w:t>
      </w:r>
    </w:p>
    <w:p>
      <w:pPr>
        <w:spacing w:line="360" w:lineRule="auto" w:after="0"/>
        <w:ind w:firstLine="480"/>
        <w:jc w:val="both"/>
      </w:pPr>
      <w:r>
        <w:rPr>
          <w:rFonts w:ascii="Times New Roman" w:hAnsi="Times New Roman" w:eastAsia="宋体"/>
          <w:b w:val="0"/>
          <w:sz w:val="24"/>
        </w:rPr>
        <w:t>典型化事实三：农村居民收入连续40年居全国省区第一，且低收入群体增速持续领跑，增长呈现自下而上的包容性梯度，就业分配关的传导相对畅通。</w:t>
      </w:r>
    </w:p>
    <w:p>
      <w:pPr>
        <w:spacing w:line="360" w:lineRule="auto" w:after="0"/>
        <w:ind w:firstLine="480"/>
        <w:jc w:val="both"/>
      </w:pPr>
      <w:r>
        <w:rPr>
          <w:rFonts w:ascii="Times New Roman" w:hAnsi="Times New Roman" w:eastAsia="宋体"/>
          <w:b w:val="0"/>
          <w:sz w:val="24"/>
        </w:rPr>
        <w:t>事实三是就业分配关畅通的直接证据。连续40年的长周期纪录说明，这一畅通状态并非短期政策脉冲的产物，而是民营经济就业结构、集体经济组织通道与帮扶制度共同支撑的稳态特征；“自下而上”的增速梯度则进一步表明，传导不仅在城乡之间发生，还深入到收入分布的底部。</w:t>
      </w:r>
    </w:p>
    <w:p>
      <w:pPr>
        <w:spacing w:line="360" w:lineRule="auto" w:after="0"/>
        <w:ind w:firstLine="480"/>
        <w:jc w:val="both"/>
      </w:pPr>
      <w:r>
        <w:rPr>
          <w:rFonts w:ascii="Times New Roman" w:hAnsi="Times New Roman" w:eastAsia="宋体"/>
          <w:b w:val="0"/>
          <w:sz w:val="24"/>
        </w:rPr>
        <w:t>典型化事实四：后发地区实现“总量突破+增速领跑”的双重追赶，山区26县GDP全部超百亿且增速高于全省1个百分点，成果转化关的空间断点在山海协作机制下得到显著修复。</w:t>
      </w:r>
    </w:p>
    <w:p>
      <w:pPr>
        <w:spacing w:line="360" w:lineRule="auto" w:after="0"/>
        <w:ind w:firstLine="480"/>
        <w:jc w:val="both"/>
      </w:pPr>
      <w:r>
        <w:rPr>
          <w:rFonts w:ascii="Times New Roman" w:hAnsi="Times New Roman" w:eastAsia="宋体"/>
          <w:b w:val="0"/>
          <w:sz w:val="24"/>
        </w:rPr>
        <w:t>事实四是成果转化关空间维度的修复证据。产业飞地、消薄飞地与科创飞地构成的要素回流体系，使创新与产业收益跨越地理梗阻向山区海岛传导；后发地区不是在补贴中被动兜底，而是在动能注入中主动追赶，这正是“在集聚中走向平衡”逻辑的浙江版本。</w:t>
      </w:r>
    </w:p>
    <w:p>
      <w:pPr>
        <w:spacing w:line="360" w:lineRule="auto" w:after="0"/>
        <w:ind w:firstLine="480"/>
        <w:jc w:val="both"/>
      </w:pPr>
      <w:r>
        <w:rPr>
          <w:rFonts w:ascii="Times New Roman" w:hAnsi="Times New Roman" w:eastAsia="宋体"/>
          <w:b w:val="0"/>
          <w:sz w:val="24"/>
        </w:rPr>
        <w:t>典型化事实五：在全国“富裕度—共享度”坐标系中，浙江占据独特生态位。如图9所示，以2024年居民人均可支配收入表征富裕度、以城乡收入倍差逆向表征共享度，31个省份呈现明显的梯度分化：浙江居民收入（67013元）仅次于上海（88366元）、北京（85415元）两个直辖市，而其倍差（1.83）低于上海、江苏（均2.04）、山东（2.14）、广东（2.31）、北京（2.32）等所有经济大省（市），处于“高富裕—高共享”象限的前沿位置，“富而不均”与“均而不富”的两难在浙江被同时突破。</w:t>
      </w:r>
    </w:p>
    <w:p>
      <w:pPr>
        <w:spacing w:before="120"/>
        <w:jc w:val="center"/>
      </w:pPr>
      <w:r>
        <w:drawing>
          <wp:inline xmlns:a="http://schemas.openxmlformats.org/drawingml/2006/main" xmlns:pic="http://schemas.openxmlformats.org/drawingml/2006/picture">
            <wp:extent cx="4281708" cy="2874508"/>
            <wp:docPr id="9" name="Picture 9"/>
            <wp:cNvGraphicFramePr>
              <a:graphicFrameLocks noChangeAspect="1"/>
            </wp:cNvGraphicFramePr>
            <a:graphic>
              <a:graphicData uri="http://schemas.openxmlformats.org/drawingml/2006/picture">
                <pic:pic>
                  <pic:nvPicPr>
                    <pic:cNvPr id="0" name="fig08_scatter.png"/>
                    <pic:cNvPicPr/>
                  </pic:nvPicPr>
                  <pic:blipFill>
                    <a:blip r:embed="rId17"/>
                    <a:stretch>
                      <a:fillRect/>
                    </a:stretch>
                  </pic:blipFill>
                  <pic:spPr>
                    <a:xfrm>
                      <a:off x="0" y="0"/>
                      <a:ext cx="4281708" cy="2874508"/>
                    </a:xfrm>
                    <a:prstGeom prst="rect"/>
                  </pic:spPr>
                </pic:pic>
              </a:graphicData>
            </a:graphic>
          </wp:inline>
        </w:drawing>
      </w:r>
    </w:p>
    <w:p>
      <w:pPr>
        <w:spacing w:after="80"/>
        <w:jc w:val="center"/>
      </w:pPr>
      <w:r>
        <w:rPr>
          <w:rFonts w:ascii="Times New Roman" w:hAnsi="Times New Roman" w:eastAsia="黑体"/>
          <w:b/>
          <w:sz w:val="21"/>
        </w:rPr>
        <w:t xml:space="preserve">图9　</w:t>
      </w:r>
      <w:r>
        <w:rPr>
          <w:rFonts w:ascii="Times New Roman" w:hAnsi="Times New Roman" w:eastAsia="宋体"/>
          <w:b/>
          <w:sz w:val="21"/>
        </w:rPr>
        <w:t>31个省份“富裕度—共享度”分布格局（2024年）</w:t>
      </w:r>
    </w:p>
    <w:p>
      <w:pPr>
        <w:spacing w:after="120"/>
        <w:jc w:val="left"/>
      </w:pPr>
      <w:r>
        <w:rPr>
          <w:rFonts w:ascii="Times New Roman" w:hAnsi="Times New Roman" w:eastAsia="宋体"/>
          <w:b w:val="0"/>
          <w:sz w:val="21"/>
        </w:rPr>
        <w:t>注：气泡大小表示地区生产总值规模；数据来源为国家统计局及各省统计公报。</w:t>
      </w:r>
    </w:p>
    <w:p>
      <w:pPr>
        <w:spacing w:line="360" w:lineRule="auto" w:after="0"/>
        <w:ind w:firstLine="480"/>
        <w:jc w:val="both"/>
      </w:pPr>
      <w:r>
        <w:rPr>
          <w:rFonts w:ascii="Times New Roman" w:hAnsi="Times New Roman" w:eastAsia="宋体"/>
          <w:b w:val="0"/>
          <w:sz w:val="24"/>
        </w:rPr>
        <w:t>图9的省际坐标透露出重要的结构性信息。与浙江富裕度相邻的经济大省中，江苏居民收入55415元、倍差2.04，广东51474元、倍差2.31，山东42077元、倍差2.14，均呈现不同程度的“富而不均”；而从投入端看，广东、江苏的R&amp;D强度分别达3.60%、3.36%，上海、北京更高达4.35%、6.58%，均不低于甚至显著高于浙江的3.22%。这意味着浙江的独特生态位并非源于创新投入的绝对领先，而在于把既定创新投入转化为广泛共享的居民收入的效率更高——浙江的比较优势不在“势能规模”而在“转化效能”，这为省际比较章节提出了“转化效率高地”假说。</w:t>
      </w:r>
    </w:p>
    <w:p>
      <w:pPr>
        <w:spacing w:line="360" w:lineRule="auto" w:after="0"/>
        <w:ind w:firstLine="480"/>
        <w:jc w:val="both"/>
      </w:pPr>
      <w:r>
        <w:rPr>
          <w:rFonts w:ascii="Times New Roman" w:hAnsi="Times New Roman" w:eastAsia="宋体"/>
          <w:b w:val="0"/>
          <w:sz w:val="24"/>
        </w:rPr>
        <w:t>从组态视角预判，浙江组合的要件包括：创新投入强度居前但并非极端、民营经济占比与就业包容度高、城乡融合与区域协调机制密集、分配侧改革先行——很可能是这些条件的联合出现而非任何单一条件，构成通往“高富裕—高共享”的充分路径</w:t>
      </w:r>
      <w:r>
        <w:rPr>
          <w:rFonts w:ascii="Times New Roman" w:hAnsi="Times New Roman" w:eastAsia="宋体"/>
          <w:b w:val="0"/>
          <w:sz w:val="24"/>
          <w:vertAlign w:val="superscript"/>
        </w:rPr>
        <w:t>[62]</w:t>
      </w:r>
      <w:r>
        <w:rPr>
          <w:rFonts w:ascii="Times New Roman" w:hAnsi="Times New Roman" w:eastAsia="宋体"/>
          <w:b w:val="0"/>
          <w:sz w:val="24"/>
        </w:rPr>
        <w:t>。京沪的高富裕伴随较高倍差，与超大城市内部的城乡二元结构相关；粤鲁的倍差则与区域内部发展落差和产业结构相连。这些差异化形态恰好构成组态比较所需的案例多样性，其系统检验留待fsQCA部分完成。</w:t>
      </w:r>
    </w:p>
    <w:p>
      <w:pPr>
        <w:spacing w:line="360" w:lineRule="auto" w:after="0"/>
        <w:ind w:firstLine="480"/>
        <w:jc w:val="both"/>
      </w:pPr>
      <w:r>
        <w:rPr>
          <w:rFonts w:ascii="Times New Roman" w:hAnsi="Times New Roman" w:eastAsia="宋体"/>
          <w:b w:val="0"/>
          <w:sz w:val="24"/>
        </w:rPr>
        <w:t>将五个典型化事实映射回理论框架，可以形成一张简明的对应谱系：事实一与事实五对应双向赋能的总体效果，事实二对应成果转化关与制度转化器，事实三对应就业分配关，事实四对应成果转化关的空间维度，而公共服务一体化的持续投入则支撑着人力资本反哺关的长期运转。五个事实相互咬合，指向同一个核心判断：浙江初步走出了一条新质生产力发展与共同富裕相互成就的省域路径，其关键不在于回避创新的集聚性与颠覆性，而在于以密度足够高的制度供给把创新收益导入共享轨道。</w:t>
      </w:r>
    </w:p>
    <w:p>
      <w:pPr>
        <w:spacing w:line="360" w:lineRule="auto" w:after="0"/>
        <w:ind w:firstLine="480"/>
        <w:jc w:val="both"/>
      </w:pPr>
      <w:r>
        <w:rPr>
          <w:rFonts w:ascii="Times New Roman" w:hAnsi="Times New Roman" w:eastAsia="宋体"/>
          <w:b w:val="0"/>
          <w:sz w:val="24"/>
        </w:rPr>
        <w:t>需要指出的是，上述典型化事实仍属描述性的经验观察，其背后的三个关键问题尚待系统检验：其一，新质生产力发展与共同富裕水平的同步提升是否具有统计意义上的稳健同向性；其二，两大系统之间是否形成了由失调走向协调的耦合演进，且演进节奏与示范区建设等制度供给的时序是否吻合；其三，浙江“创新引领、民营驱动、城乡融合”的要素组合，在全国省份的组态比较中是否构成通往高共富绩效的独特路径。这三个问题分别对应理论框架部分提出的三个研究命题，将在后续实证章节依托新质生产力发展指数（</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）、共同富裕指数（</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）、耦合协调度（</w:t>
      </w:r>
      <m:oMath>
        <m:r>
          <w:rPr>
            <w:rFonts w:ascii="Cambria Math" w:hAnsi="Cambria Math"/>
          </w:rPr>
          <m:t xml:space="preserve">D</m:t>
        </m:r>
      </m:oMath>
      <w:r>
        <w:rPr>
          <w:rFonts w:ascii="Times New Roman" w:hAnsi="Times New Roman" w:eastAsia="宋体"/>
          <w:b w:val="0"/>
          <w:sz w:val="24"/>
        </w:rPr>
        <w:t>）测度与fsQCA组态分析逐一回答。</w:t>
      </w:r>
    </w:p>
    <w:p>
      <w:pPr>
        <w:spacing w:line="360" w:lineRule="auto" w:after="160"/>
        <w:jc w:val="center"/>
      </w:pPr>
      <w:r>
        <w:rPr>
          <w:rFonts w:ascii="Times New Roman" w:hAnsi="Times New Roman" w:eastAsia="黑体"/>
          <w:b/>
          <w:sz w:val="32"/>
        </w:rPr>
        <w:t>六、研究设计</w:t>
      </w:r>
    </w:p>
    <w:p>
      <w:pPr>
        <w:spacing w:line="360" w:lineRule="auto" w:after="0"/>
        <w:ind w:firstLine="480"/>
        <w:jc w:val="both"/>
      </w:pPr>
      <w:r>
        <w:rPr>
          <w:rFonts w:ascii="Times New Roman" w:hAnsi="Times New Roman" w:eastAsia="宋体"/>
          <w:b w:val="0"/>
          <w:sz w:val="24"/>
        </w:rPr>
        <w:t>党的二十届四中全会审议通过的《中共中央关于制定国民经济和社会发展第十五个五年规划的建议》，将“全要素生产率稳步提升”“居民收入增长和经济增长同步、劳动报酬提高和劳动生产率提高同步”等列入“十五五”时期的目标要求；省委十五届八次全会进一步提出到2030年全社会研发投入强度3.5%以上、居民人均可支配收入9万元左右、城乡居民收入和实际消费水平差距进一步缩小等量化目标。这表明，新质生产力发展与共同富裕推进均已进入可量化、可评估、可考核的阶段，科学测度两大系统的发展水平及其互动关系，是研究阐释全会精神、支撑“十五五”路径设计的基础性工作。本章依托理论框架部分提出的“共富型新质生产力”概念与“势能—动能—效能”三阶转化框架，构建新质生产力发展指数（</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）与共同富裕指数（</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的评价指标体系，阐明熵值法、耦合协调度模型与模糊集定性比较分析（fsQCA）三种方法的技术细节与选择依据，并对数据来源、统计口径与稳健性安排作系统说明，为后续三章实证分析提供统一、透明、可复核的技术基础。</w:t>
      </w:r>
    </w:p>
    <w:p>
      <w:pPr>
        <w:spacing w:line="360" w:lineRule="auto" w:after="0"/>
        <w:ind w:firstLine="480"/>
        <w:jc w:val="both"/>
      </w:pPr>
      <w:r>
        <w:rPr>
          <w:rFonts w:ascii="Times New Roman" w:hAnsi="Times New Roman" w:eastAsia="宋体"/>
          <w:b w:val="0"/>
          <w:sz w:val="24"/>
        </w:rPr>
        <w:t>就总体研究策略而言，本章的方法组合遵循“测度—关系—组态”的三层递进逻辑。第一层解决“水平几何”的问题，以指标体系与熵值法测出</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与</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的十年走势，回答两大系统各自处于何种发展阶段；第二层解决“关系如何”的问题，以耦合协调度模型刻画两系统互动的紧密程度与协同水平，为理论框架的“双向赋能”命题提供时序证据；第三层解决“路径何在”的问题，以fsQCA在全国省际坐标系中识别高共富绩效的条件组态，检验多元等效路径命题并定位浙江方位。三层方法各有分工又相互印证：测度层为关系层提供输入，关系层为组态层提供浙江参照，组态层反过来提供外部效度检验。这种纵向时序与横向截面结合、定量测度与组态分析互证的混合设计，呼应了近年来社会科学方法论关于正视因果复杂性、超越单一方法路径依赖的倡议[133,139]。</w:t>
      </w:r>
    </w:p>
    <w:p>
      <w:pPr>
        <w:spacing w:line="360" w:lineRule="auto" w:after="80"/>
        <w:jc w:val="left"/>
      </w:pPr>
      <w:r>
        <w:rPr>
          <w:rFonts w:ascii="Times New Roman" w:hAnsi="Times New Roman" w:eastAsia="黑体"/>
          <w:b/>
          <w:sz w:val="28"/>
        </w:rPr>
        <w:t>（一）指标体系构建</w:t>
      </w:r>
    </w:p>
    <w:p>
      <w:pPr>
        <w:spacing w:line="360" w:lineRule="auto" w:after="0"/>
        <w:ind w:firstLine="480"/>
        <w:jc w:val="both"/>
      </w:pPr>
      <w:r>
        <w:rPr>
          <w:rFonts w:ascii="Times New Roman" w:hAnsi="Times New Roman" w:eastAsia="宋体"/>
          <w:b w:val="0"/>
          <w:sz w:val="24"/>
        </w:rPr>
        <w:t>1．构建原则。指标体系的科学性直接决定测度结果的可信度，本研究遵循四项原则。一是理论契合性。指标选取严格对应理论框架的维度设定：新质生产力发展指数覆盖“创新势能”与“产业动能”两个子系统，对应三阶转化链条的前两个环节；共同富裕指数覆盖“富裕度”与“共享度”两个子系统，前者刻画“做大蛋糕”的发展性维度，后者刻画“分好蛋糕”的共享性维度，共同承接“富民效能”的理论内涵。二是政策导向性。所选指标尽可能与中央和省委的显性政策锚点对接——研发投入强度、居民人均可支配收入、城乡居民收入倍差、常住人口城镇化率均为全会文件与共同富裕示范区建设方案中的标志性指标，从而保证测度结果能够直接对话“十五五”政策目标。三是数据可得性与口径可比性。全部指标采用历年统计公报等官方权威口径，保证2015—2024年十年时序序列完整无缺失；对存在口径调整的指标，如实披露并采用官方衔接序列。四是简约稳健性。在十年时序样本约束下，过多指标会稀释单指标信息含量并引入口径断点噪声，故坚持“少而精”，凝练为最能表征系统本质特征的核心指标，并对企业数量类指标取自然对数以消除量级差异对赋权的扭曲。</w:t>
      </w:r>
    </w:p>
    <w:p>
      <w:pPr>
        <w:spacing w:line="360" w:lineRule="auto" w:after="0"/>
        <w:ind w:firstLine="480"/>
        <w:jc w:val="both"/>
      </w:pPr>
      <w:r>
        <w:rPr>
          <w:rFonts w:ascii="Times New Roman" w:hAnsi="Times New Roman" w:eastAsia="宋体"/>
          <w:b w:val="0"/>
          <w:sz w:val="24"/>
        </w:rPr>
        <w:t>指标体系的凝练还建立在与既有测度文献的系统对话之上。新质生产力测度方面，现有研究多沿“新劳动者—新劳动资料—新劳动对象”的要素结构或“科技—绿色—数字”的功能维度构建数十项指标的大型体系</w:t>
      </w:r>
      <w:r>
        <w:rPr>
          <w:rFonts w:ascii="Times New Roman" w:hAnsi="Times New Roman" w:eastAsia="宋体"/>
          <w:b w:val="0"/>
          <w:sz w:val="24"/>
          <w:vertAlign w:val="superscript"/>
        </w:rPr>
        <w:t>[43,44]</w:t>
      </w:r>
      <w:r>
        <w:rPr>
          <w:rFonts w:ascii="Times New Roman" w:hAnsi="Times New Roman" w:eastAsia="宋体"/>
          <w:b w:val="0"/>
          <w:sz w:val="24"/>
        </w:rPr>
        <w:t>，亦有研究测算省域新质生产力水平并刻画其空间格局与演化特征</w:t>
      </w:r>
      <w:r>
        <w:rPr>
          <w:rFonts w:ascii="Times New Roman" w:hAnsi="Times New Roman" w:eastAsia="宋体"/>
          <w:b w:val="0"/>
          <w:sz w:val="24"/>
          <w:vertAlign w:val="superscript"/>
        </w:rPr>
        <w:t>[42,45]</w:t>
      </w:r>
      <w:r>
        <w:rPr>
          <w:rFonts w:ascii="Times New Roman" w:hAnsi="Times New Roman" w:eastAsia="宋体"/>
          <w:b w:val="0"/>
          <w:sz w:val="24"/>
        </w:rPr>
        <w:t>。此类大型体系信息覆盖面广，适用于大样本省际横向比较，但在单省十年时序情境下，指标数量远超时间观测点会使熵值赋权的稳定性难以保障，且相当部分指标缺乏连续的省级官方序列。共同富裕测度方面，学界已形成兼顾发展性、共享性与可持续性的多维框架</w:t>
      </w:r>
      <w:r>
        <w:rPr>
          <w:rFonts w:ascii="Times New Roman" w:hAnsi="Times New Roman" w:eastAsia="宋体"/>
          <w:b w:val="0"/>
          <w:sz w:val="24"/>
          <w:vertAlign w:val="superscript"/>
        </w:rPr>
        <w:t>[28,29]</w:t>
      </w:r>
      <w:r>
        <w:rPr>
          <w:rFonts w:ascii="Times New Roman" w:hAnsi="Times New Roman" w:eastAsia="宋体"/>
          <w:b w:val="0"/>
          <w:sz w:val="24"/>
        </w:rPr>
        <w:t>以及面向政策监测的指数模型</w:t>
      </w:r>
      <w:r>
        <w:rPr>
          <w:rFonts w:ascii="Times New Roman" w:hAnsi="Times New Roman" w:eastAsia="宋体"/>
          <w:b w:val="0"/>
          <w:sz w:val="24"/>
          <w:vertAlign w:val="superscript"/>
        </w:rPr>
        <w:t>[30,61]</w:t>
      </w:r>
      <w:r>
        <w:rPr>
          <w:rFonts w:ascii="Times New Roman" w:hAnsi="Times New Roman" w:eastAsia="宋体"/>
          <w:b w:val="0"/>
          <w:sz w:val="24"/>
        </w:rPr>
        <w:t>，省域实证研究则多以收入水平与收入差距类指标为信息核心</w:t>
      </w:r>
      <w:r>
        <w:rPr>
          <w:rFonts w:ascii="Times New Roman" w:hAnsi="Times New Roman" w:eastAsia="宋体"/>
          <w:b w:val="0"/>
          <w:sz w:val="24"/>
          <w:vertAlign w:val="superscript"/>
        </w:rPr>
        <w:t>[62,64]</w:t>
      </w:r>
      <w:r>
        <w:rPr>
          <w:rFonts w:ascii="Times New Roman" w:hAnsi="Times New Roman" w:eastAsia="宋体"/>
          <w:b w:val="0"/>
          <w:sz w:val="24"/>
        </w:rPr>
        <w:t>。本研究吸收上述文献“富裕与共享并重”的共识性结构，同时依据省域时序数据的可得性边界作简约化处理，使每一项入选指标都能同时对应明确的理论维度、政策锚点与官方口径，避免“大而全”体系在小样本条件下的过度拟合与口径拼接风险。</w:t>
      </w:r>
    </w:p>
    <w:p>
      <w:pPr>
        <w:spacing w:line="360" w:lineRule="auto" w:after="0"/>
        <w:ind w:firstLine="480"/>
        <w:jc w:val="both"/>
      </w:pPr>
      <w:r>
        <w:rPr>
          <w:rFonts w:ascii="Times New Roman" w:hAnsi="Times New Roman" w:eastAsia="宋体"/>
          <w:b w:val="0"/>
          <w:sz w:val="24"/>
        </w:rPr>
        <w:t>2．新质生产力发展指数（</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指标体系。习近平总书记指出，新质生产力是“具有高科技、高效能、高质量特征，符合新发展理念的先进生产力质态”，且“科技创新是发展新质生产力的核心要素”。据此，创新势能子系统选取R&amp;D经费投入强度与高新技术企业数（取自然对数）两项指标：前者表征全社会创新资源投入的相对强度，是“高科技”特征的投入侧表达，也是创新浙江建设的核心考核指标；后者表征创新主体的规模与厚度，反映创新势能在企业层面的组织化积蓄。产业动能子系统选取数字经济核心产业增加值占GDP比重与全员劳动生产率两项指标：前者刻画势能落入产业体系后形成的新动能结构，对应浙江数字经济先发优势的典型化事实；后者直接度量生产力的“高效能”特征，是全要素生产率在省域可测意义上的最优代理，亦为省委“十五五”建议明确的2030年量化目标之一。经熵值法客观赋权，各指标权重如表1所示。全员劳动生产率（0.3740）与R&amp;D经费投入强度（0.2663）权重居前，表明样本期内二者的时序变异蕴含最大信息量，恰与新质生产力以全要素生产率大幅提升为核心标志的理论界定相互印证。</w:t>
      </w:r>
    </w:p>
    <w:p>
      <w:pPr>
        <w:spacing w:before="120"/>
        <w:jc w:val="center"/>
      </w:pPr>
      <w:r>
        <w:rPr>
          <w:rFonts w:ascii="Times New Roman" w:hAnsi="Times New Roman" w:eastAsia="黑体"/>
          <w:b/>
          <w:sz w:val="21"/>
        </w:rPr>
        <w:t xml:space="preserve">表1　</w:t>
      </w:r>
      <w:r>
        <w:rPr>
          <w:rFonts w:ascii="Times New Roman" w:hAnsi="Times New Roman" w:eastAsia="宋体"/>
          <w:b/>
          <w:sz w:val="21"/>
        </w:rPr>
        <w:t>浙江省新质生产力发展水平评价指标体系</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
              <w:rPr>
                <w:rFonts w:ascii="Times New Roman" w:hAnsi="Times New Roman" w:eastAsia="宋体"/>
                <w:b/>
                <w:sz w:val="21"/>
              </w:rPr>
              <w:t>子系统</w:t>
            </w:r>
          </w:p>
        </w:tc>
        <w:tc>
          <w:tcPr>
            <w:tcW w:type="dxa" w:w="2078"/>
          </w:tcPr>
          <w:p>
            <w:pPr>
              <w:jc w:val="center"/>
            </w:pPr>
            <w:r/>
            <w:r>
              <w:rPr>
                <w:rFonts w:ascii="Times New Roman" w:hAnsi="Times New Roman" w:eastAsia="宋体"/>
                <w:b/>
                <w:sz w:val="21"/>
              </w:rPr>
              <w:t>指标</w:t>
            </w:r>
          </w:p>
        </w:tc>
        <w:tc>
          <w:tcPr>
            <w:tcW w:type="dxa" w:w="2078"/>
          </w:tcPr>
          <w:p>
            <w:pPr>
              <w:jc w:val="center"/>
            </w:pPr>
            <w:r/>
            <w:r>
              <w:rPr>
                <w:rFonts w:ascii="Times New Roman" w:hAnsi="Times New Roman" w:eastAsia="宋体"/>
                <w:b/>
                <w:sz w:val="21"/>
              </w:rPr>
              <w:t>属性</w:t>
            </w:r>
          </w:p>
        </w:tc>
        <w:tc>
          <w:tcPr>
            <w:tcW w:type="dxa" w:w="2078"/>
          </w:tcPr>
          <w:p>
            <w:pPr>
              <w:jc w:val="center"/>
            </w:pPr>
            <w:r/>
            <w:r>
              <w:rPr>
                <w:rFonts w:ascii="Times New Roman" w:hAnsi="Times New Roman" w:eastAsia="宋体"/>
                <w:b/>
                <w:sz w:val="21"/>
              </w:rPr>
              <w:t>熵值法权重</w:t>
            </w:r>
          </w:p>
        </w:tc>
      </w:tr>
      <w:tr>
        <w:tc>
          <w:tcPr>
            <w:tcW w:type="dxa" w:w="2078"/>
          </w:tcPr>
          <w:p>
            <w:pPr>
              <w:jc w:val="center"/>
            </w:pPr>
            <w:r/>
            <w:r>
              <w:rPr>
                <w:rFonts w:ascii="Times New Roman" w:hAnsi="Times New Roman" w:eastAsia="宋体"/>
                <w:b w:val="0"/>
                <w:sz w:val="21"/>
              </w:rPr>
              <w:t>创新势能</w:t>
            </w:r>
          </w:p>
        </w:tc>
        <w:tc>
          <w:tcPr>
            <w:tcW w:type="dxa" w:w="2078"/>
          </w:tcPr>
          <w:p>
            <w:pPr>
              <w:jc w:val="center"/>
            </w:pPr>
            <w:r/>
            <w:r>
              <w:rPr>
                <w:rFonts w:ascii="Times New Roman" w:hAnsi="Times New Roman" w:eastAsia="宋体"/>
                <w:b w:val="0"/>
                <w:sz w:val="21"/>
              </w:rPr>
              <w:t>R&amp;D经费投入强度（%）</w:t>
            </w:r>
          </w:p>
        </w:tc>
        <w:tc>
          <w:tcPr>
            <w:tcW w:type="dxa" w:w="2078"/>
          </w:tcPr>
          <w:p>
            <w:pPr>
              <w:jc w:val="center"/>
            </w:pPr>
            <w:r/>
            <w:r>
              <w:rPr>
                <w:rFonts w:ascii="Times New Roman" w:hAnsi="Times New Roman" w:eastAsia="宋体"/>
                <w:b w:val="0"/>
                <w:sz w:val="21"/>
              </w:rPr>
              <w:t>+</w:t>
            </w:r>
          </w:p>
        </w:tc>
        <w:tc>
          <w:tcPr>
            <w:tcW w:type="dxa" w:w="2078"/>
          </w:tcPr>
          <w:p>
            <w:pPr>
              <w:jc w:val="center"/>
            </w:pPr>
            <w:r/>
            <w:r>
              <w:rPr>
                <w:rFonts w:ascii="Times New Roman" w:hAnsi="Times New Roman" w:eastAsia="宋体"/>
                <w:b w:val="0"/>
                <w:sz w:val="21"/>
              </w:rPr>
              <w:t>0.2663</w:t>
            </w:r>
          </w:p>
        </w:tc>
      </w:tr>
      <w:tr>
        <w:tc>
          <w:tcPr>
            <w:tcW w:type="dxa" w:w="2078"/>
          </w:tcPr>
          <w:p>
            <w:pPr>
              <w:jc w:val="center"/>
            </w:pPr>
            <w:r/>
            <w:r>
              <w:rPr>
                <w:rFonts w:ascii="Times New Roman" w:hAnsi="Times New Roman" w:eastAsia="宋体"/>
                <w:b w:val="0"/>
                <w:sz w:val="21"/>
              </w:rPr>
              <w:t>创新势能</w:t>
            </w:r>
          </w:p>
        </w:tc>
        <w:tc>
          <w:tcPr>
            <w:tcW w:type="dxa" w:w="2078"/>
          </w:tcPr>
          <w:p>
            <w:pPr>
              <w:jc w:val="center"/>
            </w:pPr>
            <w:r/>
            <w:r>
              <w:rPr>
                <w:rFonts w:ascii="Times New Roman" w:hAnsi="Times New Roman" w:eastAsia="宋体"/>
                <w:b w:val="0"/>
                <w:sz w:val="21"/>
              </w:rPr>
              <w:t>高新技术企业数（取自然对数）</w:t>
            </w:r>
          </w:p>
        </w:tc>
        <w:tc>
          <w:tcPr>
            <w:tcW w:type="dxa" w:w="2078"/>
          </w:tcPr>
          <w:p>
            <w:pPr>
              <w:jc w:val="center"/>
            </w:pPr>
            <w:r/>
            <w:r>
              <w:rPr>
                <w:rFonts w:ascii="Times New Roman" w:hAnsi="Times New Roman" w:eastAsia="宋体"/>
                <w:b w:val="0"/>
                <w:sz w:val="21"/>
              </w:rPr>
              <w:t>+</w:t>
            </w:r>
          </w:p>
        </w:tc>
        <w:tc>
          <w:tcPr>
            <w:tcW w:type="dxa" w:w="2078"/>
          </w:tcPr>
          <w:p>
            <w:pPr>
              <w:jc w:val="center"/>
            </w:pPr>
            <w:r/>
            <w:r>
              <w:rPr>
                <w:rFonts w:ascii="Times New Roman" w:hAnsi="Times New Roman" w:eastAsia="宋体"/>
                <w:b w:val="0"/>
                <w:sz w:val="21"/>
              </w:rPr>
              <w:t>0.1232</w:t>
            </w:r>
          </w:p>
        </w:tc>
      </w:tr>
      <w:tr>
        <w:tc>
          <w:tcPr>
            <w:tcW w:type="dxa" w:w="2078"/>
          </w:tcPr>
          <w:p>
            <w:pPr>
              <w:jc w:val="center"/>
            </w:pPr>
            <w:r/>
            <w:r>
              <w:rPr>
                <w:rFonts w:ascii="Times New Roman" w:hAnsi="Times New Roman" w:eastAsia="宋体"/>
                <w:b w:val="0"/>
                <w:sz w:val="21"/>
              </w:rPr>
              <w:t>产业动能</w:t>
            </w:r>
          </w:p>
        </w:tc>
        <w:tc>
          <w:tcPr>
            <w:tcW w:type="dxa" w:w="2078"/>
          </w:tcPr>
          <w:p>
            <w:pPr>
              <w:jc w:val="center"/>
            </w:pPr>
            <w:r/>
            <w:r>
              <w:rPr>
                <w:rFonts w:ascii="Times New Roman" w:hAnsi="Times New Roman" w:eastAsia="宋体"/>
                <w:b w:val="0"/>
                <w:sz w:val="21"/>
              </w:rPr>
              <w:t>数字经济核心产业增加值占GDP比重（%）</w:t>
            </w:r>
          </w:p>
        </w:tc>
        <w:tc>
          <w:tcPr>
            <w:tcW w:type="dxa" w:w="2078"/>
          </w:tcPr>
          <w:p>
            <w:pPr>
              <w:jc w:val="center"/>
            </w:pPr>
            <w:r/>
            <w:r>
              <w:rPr>
                <w:rFonts w:ascii="Times New Roman" w:hAnsi="Times New Roman" w:eastAsia="宋体"/>
                <w:b w:val="0"/>
                <w:sz w:val="21"/>
              </w:rPr>
              <w:t>+</w:t>
            </w:r>
          </w:p>
        </w:tc>
        <w:tc>
          <w:tcPr>
            <w:tcW w:type="dxa" w:w="2078"/>
          </w:tcPr>
          <w:p>
            <w:pPr>
              <w:jc w:val="center"/>
            </w:pPr>
            <w:r/>
            <w:r>
              <w:rPr>
                <w:rFonts w:ascii="Times New Roman" w:hAnsi="Times New Roman" w:eastAsia="宋体"/>
                <w:b w:val="0"/>
                <w:sz w:val="21"/>
              </w:rPr>
              <w:t>0.2364</w:t>
            </w:r>
          </w:p>
        </w:tc>
      </w:tr>
      <w:tr>
        <w:tc>
          <w:tcPr>
            <w:tcW w:type="dxa" w:w="2078"/>
          </w:tcPr>
          <w:p>
            <w:pPr>
              <w:jc w:val="center"/>
            </w:pPr>
            <w:r/>
            <w:r>
              <w:rPr>
                <w:rFonts w:ascii="Times New Roman" w:hAnsi="Times New Roman" w:eastAsia="宋体"/>
                <w:b w:val="0"/>
                <w:sz w:val="21"/>
              </w:rPr>
              <w:t>产业动能</w:t>
            </w:r>
          </w:p>
        </w:tc>
        <w:tc>
          <w:tcPr>
            <w:tcW w:type="dxa" w:w="2078"/>
          </w:tcPr>
          <w:p>
            <w:pPr>
              <w:jc w:val="center"/>
            </w:pPr>
            <w:r/>
            <w:r>
              <w:rPr>
                <w:rFonts w:ascii="Times New Roman" w:hAnsi="Times New Roman" w:eastAsia="宋体"/>
                <w:b w:val="0"/>
                <w:sz w:val="21"/>
              </w:rPr>
              <w:t>全员劳动生产率（万元/人）</w:t>
            </w:r>
          </w:p>
        </w:tc>
        <w:tc>
          <w:tcPr>
            <w:tcW w:type="dxa" w:w="2078"/>
          </w:tcPr>
          <w:p>
            <w:pPr>
              <w:jc w:val="center"/>
            </w:pPr>
            <w:r/>
            <w:r>
              <w:rPr>
                <w:rFonts w:ascii="Times New Roman" w:hAnsi="Times New Roman" w:eastAsia="宋体"/>
                <w:b w:val="0"/>
                <w:sz w:val="21"/>
              </w:rPr>
              <w:t>+</w:t>
            </w:r>
          </w:p>
        </w:tc>
        <w:tc>
          <w:tcPr>
            <w:tcW w:type="dxa" w:w="2078"/>
          </w:tcPr>
          <w:p>
            <w:pPr>
              <w:jc w:val="center"/>
            </w:pPr>
            <w:r/>
            <w:r>
              <w:rPr>
                <w:rFonts w:ascii="Times New Roman" w:hAnsi="Times New Roman" w:eastAsia="宋体"/>
                <w:b w:val="0"/>
                <w:sz w:val="21"/>
              </w:rPr>
              <w:t>0.3740</w:t>
            </w:r>
          </w:p>
        </w:tc>
      </w:tr>
    </w:tbl>
    <w:p>
      <w:pPr>
        <w:spacing w:after="0"/>
      </w:pPr>
    </w:p>
    <w:p>
      <w:pPr>
        <w:spacing w:line="360" w:lineRule="auto" w:after="0"/>
        <w:ind w:firstLine="480"/>
        <w:jc w:val="both"/>
      </w:pPr>
      <w:r>
        <w:rPr>
          <w:rFonts w:ascii="Times New Roman" w:hAnsi="Times New Roman" w:eastAsia="宋体"/>
          <w:b w:val="0"/>
          <w:sz w:val="24"/>
        </w:rPr>
        <w:t>四项指标的选取均有文献与政策的双重依据。R&amp;D经费投入强度是国际通行的创新投入核心度量，既有新质生产力测度研究普遍将其纳入科技创新维度；在政策层面，2027年3.4%以上、2030年3.5%以上的研发投入强度目标均为显性考核锚点，该指标具有直接的政策对话价值。高新技术企业数刻画创新成果在企业组织中的载体化程度，与新质生产力以科技创新为核心要素、以企业为重要创新主体的理论界定相呼应</w:t>
      </w:r>
      <w:r>
        <w:rPr>
          <w:rFonts w:ascii="Times New Roman" w:hAnsi="Times New Roman" w:eastAsia="宋体"/>
          <w:b w:val="0"/>
          <w:sz w:val="24"/>
          <w:vertAlign w:val="superscript"/>
        </w:rPr>
        <w:t>[26,27]</w:t>
      </w:r>
      <w:r>
        <w:rPr>
          <w:rFonts w:ascii="Times New Roman" w:hAnsi="Times New Roman" w:eastAsia="宋体"/>
          <w:b w:val="0"/>
          <w:sz w:val="24"/>
        </w:rPr>
        <w:t>；相对于专利授权等产出流量指标，企业数量指标更贴近“势能积蓄于微观主体”的理论意涵，且官方序列完整连续。数字经济核心产业增加值占比之所以优先于一般性产业结构指标，是因为数字经济既是浙江产业动能最鲜明的特色，也被学界视为新质生产力生成的重要产业载体</w:t>
      </w:r>
      <w:r>
        <w:rPr>
          <w:rFonts w:ascii="Times New Roman" w:hAnsi="Times New Roman" w:eastAsia="宋体"/>
          <w:b w:val="0"/>
          <w:sz w:val="24"/>
          <w:vertAlign w:val="superscript"/>
        </w:rPr>
        <w:t>[50,85]</w:t>
      </w:r>
      <w:r>
        <w:rPr>
          <w:rFonts w:ascii="Times New Roman" w:hAnsi="Times New Roman" w:eastAsia="宋体"/>
          <w:b w:val="0"/>
          <w:sz w:val="24"/>
        </w:rPr>
        <w:t>；采用占GDP比重的相对量口径，可剥离经济总量扩张的规模效应，凸显结构升级的净信息。全员劳动生产率则承接增长动力从要素投入驱动转向生产率驱动的经典判断</w:t>
      </w:r>
      <w:r>
        <w:rPr>
          <w:rFonts w:ascii="Times New Roman" w:hAnsi="Times New Roman" w:eastAsia="宋体"/>
          <w:b w:val="0"/>
          <w:sz w:val="24"/>
          <w:vertAlign w:val="superscript"/>
        </w:rPr>
        <w:t>[3]</w:t>
      </w:r>
      <w:r>
        <w:rPr>
          <w:rFonts w:ascii="Times New Roman" w:hAnsi="Times New Roman" w:eastAsia="宋体"/>
          <w:b w:val="0"/>
          <w:sz w:val="24"/>
        </w:rPr>
        <w:t>，在现行省域统计口径下是全要素生产率最稳定、最可得的代理变量。</w:t>
      </w:r>
    </w:p>
    <w:p>
      <w:pPr>
        <w:spacing w:line="360" w:lineRule="auto" w:after="0"/>
        <w:ind w:firstLine="480"/>
        <w:jc w:val="both"/>
      </w:pPr>
      <w:r>
        <w:rPr>
          <w:rFonts w:ascii="Times New Roman" w:hAnsi="Times New Roman" w:eastAsia="宋体"/>
          <w:b w:val="0"/>
          <w:sz w:val="24"/>
        </w:rPr>
        <w:t>3．共同富裕指数（</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指标体系。“共同富裕是社会主义的本质要求，是中国式现代化的重要特征”，其测度必须同时兼顾“富裕”的总量维度与“共同”的分配维度。富裕度子系统选取居民人均可支配收入、人均地区生产总值与居民人均消费支出三项指标，分别从收入、产出与生活品质三个侧面刻画发展成果的总体水平；其中居民人均消费支出反映收入向实际生活品质的转化程度，呼应《建议》“居民消费率明显提高”的目标指向。共享度子系统选取城乡居民收入倍差（负向指标）、农村居民人均可支配收入与常住人口城镇化率三项指标：城乡倍差是“三大差距”中城乡差距与收入差距的交汇性表征，为唯一负向指标；农村居民人均可支配收入直接对应“提低”取向下短板群体的增收成效；常住人口城镇化率反映城乡融合的空间结构演进与公共服务可及性的改善。各指标权重如表2所示。居民人均消费支出（0.2513）与农村居民人均可支配收入（0.2465）权重较高，说明样本期内消费扩容与农民增收是共同富裕指数提升的主要信息来源；城乡倍差与城镇化率权重较低（各0.0520），系其年度变化相对平缓、信息熵较高所致，但二者作为“三大差距”与城乡融合的直接结构性表征，在指标体系中具有不可替代的理论地位。</w:t>
      </w:r>
    </w:p>
    <w:p>
      <w:pPr>
        <w:spacing w:before="120"/>
        <w:jc w:val="center"/>
      </w:pPr>
      <w:r>
        <w:rPr>
          <w:rFonts w:ascii="Times New Roman" w:hAnsi="Times New Roman" w:eastAsia="黑体"/>
          <w:b/>
          <w:sz w:val="21"/>
        </w:rPr>
        <w:t xml:space="preserve">表2　</w:t>
      </w:r>
      <w:r>
        <w:rPr>
          <w:rFonts w:ascii="Times New Roman" w:hAnsi="Times New Roman" w:eastAsia="宋体"/>
          <w:b/>
          <w:sz w:val="21"/>
        </w:rPr>
        <w:t>浙江省共同富裕水平评价指标体系</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
              <w:rPr>
                <w:rFonts w:ascii="Times New Roman" w:hAnsi="Times New Roman" w:eastAsia="宋体"/>
                <w:b/>
                <w:sz w:val="21"/>
              </w:rPr>
              <w:t>子系统</w:t>
            </w:r>
          </w:p>
        </w:tc>
        <w:tc>
          <w:tcPr>
            <w:tcW w:type="dxa" w:w="2078"/>
          </w:tcPr>
          <w:p>
            <w:pPr>
              <w:jc w:val="center"/>
            </w:pPr>
            <w:r/>
            <w:r>
              <w:rPr>
                <w:rFonts w:ascii="Times New Roman" w:hAnsi="Times New Roman" w:eastAsia="宋体"/>
                <w:b/>
                <w:sz w:val="21"/>
              </w:rPr>
              <w:t>指标</w:t>
            </w:r>
          </w:p>
        </w:tc>
        <w:tc>
          <w:tcPr>
            <w:tcW w:type="dxa" w:w="2078"/>
          </w:tcPr>
          <w:p>
            <w:pPr>
              <w:jc w:val="center"/>
            </w:pPr>
            <w:r/>
            <w:r>
              <w:rPr>
                <w:rFonts w:ascii="Times New Roman" w:hAnsi="Times New Roman" w:eastAsia="宋体"/>
                <w:b/>
                <w:sz w:val="21"/>
              </w:rPr>
              <w:t>属性</w:t>
            </w:r>
          </w:p>
        </w:tc>
        <w:tc>
          <w:tcPr>
            <w:tcW w:type="dxa" w:w="2078"/>
          </w:tcPr>
          <w:p>
            <w:pPr>
              <w:jc w:val="center"/>
            </w:pPr>
            <w:r/>
            <w:r>
              <w:rPr>
                <w:rFonts w:ascii="Times New Roman" w:hAnsi="Times New Roman" w:eastAsia="宋体"/>
                <w:b/>
                <w:sz w:val="21"/>
              </w:rPr>
              <w:t>熵值法权重</w:t>
            </w:r>
          </w:p>
        </w:tc>
      </w:tr>
      <w:tr>
        <w:tc>
          <w:tcPr>
            <w:tcW w:type="dxa" w:w="2078"/>
          </w:tcPr>
          <w:p>
            <w:pPr>
              <w:jc w:val="center"/>
            </w:pPr>
            <w:r/>
            <w:r>
              <w:rPr>
                <w:rFonts w:ascii="Times New Roman" w:hAnsi="Times New Roman" w:eastAsia="宋体"/>
                <w:b w:val="0"/>
                <w:sz w:val="21"/>
              </w:rPr>
              <w:t>富裕度</w:t>
            </w:r>
          </w:p>
        </w:tc>
        <w:tc>
          <w:tcPr>
            <w:tcW w:type="dxa" w:w="2078"/>
          </w:tcPr>
          <w:p>
            <w:pPr>
              <w:jc w:val="center"/>
            </w:pPr>
            <w:r/>
            <w:r>
              <w:rPr>
                <w:rFonts w:ascii="Times New Roman" w:hAnsi="Times New Roman" w:eastAsia="宋体"/>
                <w:b w:val="0"/>
                <w:sz w:val="21"/>
              </w:rPr>
              <w:t>居民人均可支配收入（元）</w:t>
            </w:r>
          </w:p>
        </w:tc>
        <w:tc>
          <w:tcPr>
            <w:tcW w:type="dxa" w:w="2078"/>
          </w:tcPr>
          <w:p>
            <w:pPr>
              <w:jc w:val="center"/>
            </w:pPr>
            <w:r/>
            <w:r>
              <w:rPr>
                <w:rFonts w:ascii="Times New Roman" w:hAnsi="Times New Roman" w:eastAsia="宋体"/>
                <w:b w:val="0"/>
                <w:sz w:val="21"/>
              </w:rPr>
              <w:t>+</w:t>
            </w:r>
          </w:p>
        </w:tc>
        <w:tc>
          <w:tcPr>
            <w:tcW w:type="dxa" w:w="2078"/>
          </w:tcPr>
          <w:p>
            <w:pPr>
              <w:jc w:val="center"/>
            </w:pPr>
            <w:r/>
            <w:r>
              <w:rPr>
                <w:rFonts w:ascii="Times New Roman" w:hAnsi="Times New Roman" w:eastAsia="宋体"/>
                <w:b w:val="0"/>
                <w:sz w:val="21"/>
              </w:rPr>
              <w:t>0.2166</w:t>
            </w:r>
          </w:p>
        </w:tc>
      </w:tr>
      <w:tr>
        <w:tc>
          <w:tcPr>
            <w:tcW w:type="dxa" w:w="2078"/>
          </w:tcPr>
          <w:p>
            <w:pPr>
              <w:jc w:val="center"/>
            </w:pPr>
            <w:r/>
            <w:r>
              <w:rPr>
                <w:rFonts w:ascii="Times New Roman" w:hAnsi="Times New Roman" w:eastAsia="宋体"/>
                <w:b w:val="0"/>
                <w:sz w:val="21"/>
              </w:rPr>
              <w:t>富裕度</w:t>
            </w:r>
          </w:p>
        </w:tc>
        <w:tc>
          <w:tcPr>
            <w:tcW w:type="dxa" w:w="2078"/>
          </w:tcPr>
          <w:p>
            <w:pPr>
              <w:jc w:val="center"/>
            </w:pPr>
            <w:r/>
            <w:r>
              <w:rPr>
                <w:rFonts w:ascii="Times New Roman" w:hAnsi="Times New Roman" w:eastAsia="宋体"/>
                <w:b w:val="0"/>
                <w:sz w:val="21"/>
              </w:rPr>
              <w:t>人均地区生产总值（元）</w:t>
            </w:r>
          </w:p>
        </w:tc>
        <w:tc>
          <w:tcPr>
            <w:tcW w:type="dxa" w:w="2078"/>
          </w:tcPr>
          <w:p>
            <w:pPr>
              <w:jc w:val="center"/>
            </w:pPr>
            <w:r/>
            <w:r>
              <w:rPr>
                <w:rFonts w:ascii="Times New Roman" w:hAnsi="Times New Roman" w:eastAsia="宋体"/>
                <w:b w:val="0"/>
                <w:sz w:val="21"/>
              </w:rPr>
              <w:t>+</w:t>
            </w:r>
          </w:p>
        </w:tc>
        <w:tc>
          <w:tcPr>
            <w:tcW w:type="dxa" w:w="2078"/>
          </w:tcPr>
          <w:p>
            <w:pPr>
              <w:jc w:val="center"/>
            </w:pPr>
            <w:r/>
            <w:r>
              <w:rPr>
                <w:rFonts w:ascii="Times New Roman" w:hAnsi="Times New Roman" w:eastAsia="宋体"/>
                <w:b w:val="0"/>
                <w:sz w:val="21"/>
              </w:rPr>
              <w:t>0.1815</w:t>
            </w:r>
          </w:p>
        </w:tc>
      </w:tr>
      <w:tr>
        <w:tc>
          <w:tcPr>
            <w:tcW w:type="dxa" w:w="2078"/>
          </w:tcPr>
          <w:p>
            <w:pPr>
              <w:jc w:val="center"/>
            </w:pPr>
            <w:r/>
            <w:r>
              <w:rPr>
                <w:rFonts w:ascii="Times New Roman" w:hAnsi="Times New Roman" w:eastAsia="宋体"/>
                <w:b w:val="0"/>
                <w:sz w:val="21"/>
              </w:rPr>
              <w:t>富裕度</w:t>
            </w:r>
          </w:p>
        </w:tc>
        <w:tc>
          <w:tcPr>
            <w:tcW w:type="dxa" w:w="2078"/>
          </w:tcPr>
          <w:p>
            <w:pPr>
              <w:jc w:val="center"/>
            </w:pPr>
            <w:r/>
            <w:r>
              <w:rPr>
                <w:rFonts w:ascii="Times New Roman" w:hAnsi="Times New Roman" w:eastAsia="宋体"/>
                <w:b w:val="0"/>
                <w:sz w:val="21"/>
              </w:rPr>
              <w:t>居民人均消费支出（元）</w:t>
            </w:r>
          </w:p>
        </w:tc>
        <w:tc>
          <w:tcPr>
            <w:tcW w:type="dxa" w:w="2078"/>
          </w:tcPr>
          <w:p>
            <w:pPr>
              <w:jc w:val="center"/>
            </w:pPr>
            <w:r/>
            <w:r>
              <w:rPr>
                <w:rFonts w:ascii="Times New Roman" w:hAnsi="Times New Roman" w:eastAsia="宋体"/>
                <w:b w:val="0"/>
                <w:sz w:val="21"/>
              </w:rPr>
              <w:t>+</w:t>
            </w:r>
          </w:p>
        </w:tc>
        <w:tc>
          <w:tcPr>
            <w:tcW w:type="dxa" w:w="2078"/>
          </w:tcPr>
          <w:p>
            <w:pPr>
              <w:jc w:val="center"/>
            </w:pPr>
            <w:r/>
            <w:r>
              <w:rPr>
                <w:rFonts w:ascii="Times New Roman" w:hAnsi="Times New Roman" w:eastAsia="宋体"/>
                <w:b w:val="0"/>
                <w:sz w:val="21"/>
              </w:rPr>
              <w:t>0.2513</w:t>
            </w:r>
          </w:p>
        </w:tc>
      </w:tr>
      <w:tr>
        <w:tc>
          <w:tcPr>
            <w:tcW w:type="dxa" w:w="2078"/>
          </w:tcPr>
          <w:p>
            <w:pPr>
              <w:jc w:val="center"/>
            </w:pPr>
            <w:r/>
            <w:r>
              <w:rPr>
                <w:rFonts w:ascii="Times New Roman" w:hAnsi="Times New Roman" w:eastAsia="宋体"/>
                <w:b w:val="0"/>
                <w:sz w:val="21"/>
              </w:rPr>
              <w:t>共享度</w:t>
            </w:r>
          </w:p>
        </w:tc>
        <w:tc>
          <w:tcPr>
            <w:tcW w:type="dxa" w:w="2078"/>
          </w:tcPr>
          <w:p>
            <w:pPr>
              <w:jc w:val="center"/>
            </w:pPr>
            <w:r/>
            <w:r>
              <w:rPr>
                <w:rFonts w:ascii="Times New Roman" w:hAnsi="Times New Roman" w:eastAsia="宋体"/>
                <w:b w:val="0"/>
                <w:sz w:val="21"/>
              </w:rPr>
              <w:t>城乡居民收入倍差</w:t>
            </w:r>
          </w:p>
        </w:tc>
        <w:tc>
          <w:tcPr>
            <w:tcW w:type="dxa" w:w="2078"/>
          </w:tcPr>
          <w:p>
            <w:pPr>
              <w:jc w:val="center"/>
            </w:pPr>
            <w:r/>
            <w:r>
              <w:rPr>
                <w:rFonts w:ascii="Times New Roman" w:hAnsi="Times New Roman" w:eastAsia="宋体"/>
                <w:b w:val="0"/>
                <w:sz w:val="21"/>
              </w:rPr>
              <w:t>−</w:t>
            </w:r>
          </w:p>
        </w:tc>
        <w:tc>
          <w:tcPr>
            <w:tcW w:type="dxa" w:w="2078"/>
          </w:tcPr>
          <w:p>
            <w:pPr>
              <w:jc w:val="center"/>
            </w:pPr>
            <w:r/>
            <w:r>
              <w:rPr>
                <w:rFonts w:ascii="Times New Roman" w:hAnsi="Times New Roman" w:eastAsia="宋体"/>
                <w:b w:val="0"/>
                <w:sz w:val="21"/>
              </w:rPr>
              <w:t>0.0520</w:t>
            </w:r>
          </w:p>
        </w:tc>
      </w:tr>
      <w:tr>
        <w:tc>
          <w:tcPr>
            <w:tcW w:type="dxa" w:w="2078"/>
          </w:tcPr>
          <w:p>
            <w:pPr>
              <w:jc w:val="center"/>
            </w:pPr>
            <w:r/>
            <w:r>
              <w:rPr>
                <w:rFonts w:ascii="Times New Roman" w:hAnsi="Times New Roman" w:eastAsia="宋体"/>
                <w:b w:val="0"/>
                <w:sz w:val="21"/>
              </w:rPr>
              <w:t>共享度</w:t>
            </w:r>
          </w:p>
        </w:tc>
        <w:tc>
          <w:tcPr>
            <w:tcW w:type="dxa" w:w="2078"/>
          </w:tcPr>
          <w:p>
            <w:pPr>
              <w:jc w:val="center"/>
            </w:pPr>
            <w:r/>
            <w:r>
              <w:rPr>
                <w:rFonts w:ascii="Times New Roman" w:hAnsi="Times New Roman" w:eastAsia="宋体"/>
                <w:b w:val="0"/>
                <w:sz w:val="21"/>
              </w:rPr>
              <w:t>农村居民人均可支配收入（元）</w:t>
            </w:r>
          </w:p>
        </w:tc>
        <w:tc>
          <w:tcPr>
            <w:tcW w:type="dxa" w:w="2078"/>
          </w:tcPr>
          <w:p>
            <w:pPr>
              <w:jc w:val="center"/>
            </w:pPr>
            <w:r/>
            <w:r>
              <w:rPr>
                <w:rFonts w:ascii="Times New Roman" w:hAnsi="Times New Roman" w:eastAsia="宋体"/>
                <w:b w:val="0"/>
                <w:sz w:val="21"/>
              </w:rPr>
              <w:t>+</w:t>
            </w:r>
          </w:p>
        </w:tc>
        <w:tc>
          <w:tcPr>
            <w:tcW w:type="dxa" w:w="2078"/>
          </w:tcPr>
          <w:p>
            <w:pPr>
              <w:jc w:val="center"/>
            </w:pPr>
            <w:r/>
            <w:r>
              <w:rPr>
                <w:rFonts w:ascii="Times New Roman" w:hAnsi="Times New Roman" w:eastAsia="宋体"/>
                <w:b w:val="0"/>
                <w:sz w:val="21"/>
              </w:rPr>
              <w:t>0.2465</w:t>
            </w:r>
          </w:p>
        </w:tc>
      </w:tr>
      <w:tr>
        <w:tc>
          <w:tcPr>
            <w:tcW w:type="dxa" w:w="2078"/>
          </w:tcPr>
          <w:p>
            <w:pPr>
              <w:jc w:val="center"/>
            </w:pPr>
            <w:r/>
            <w:r>
              <w:rPr>
                <w:rFonts w:ascii="Times New Roman" w:hAnsi="Times New Roman" w:eastAsia="宋体"/>
                <w:b w:val="0"/>
                <w:sz w:val="21"/>
              </w:rPr>
              <w:t>共享度</w:t>
            </w:r>
          </w:p>
        </w:tc>
        <w:tc>
          <w:tcPr>
            <w:tcW w:type="dxa" w:w="2078"/>
          </w:tcPr>
          <w:p>
            <w:pPr>
              <w:jc w:val="center"/>
            </w:pPr>
            <w:r/>
            <w:r>
              <w:rPr>
                <w:rFonts w:ascii="Times New Roman" w:hAnsi="Times New Roman" w:eastAsia="宋体"/>
                <w:b w:val="0"/>
                <w:sz w:val="21"/>
              </w:rPr>
              <w:t>常住人口城镇化率（%）</w:t>
            </w:r>
          </w:p>
        </w:tc>
        <w:tc>
          <w:tcPr>
            <w:tcW w:type="dxa" w:w="2078"/>
          </w:tcPr>
          <w:p>
            <w:pPr>
              <w:jc w:val="center"/>
            </w:pPr>
            <w:r/>
            <w:r>
              <w:rPr>
                <w:rFonts w:ascii="Times New Roman" w:hAnsi="Times New Roman" w:eastAsia="宋体"/>
                <w:b w:val="0"/>
                <w:sz w:val="21"/>
              </w:rPr>
              <w:t>+</w:t>
            </w:r>
          </w:p>
        </w:tc>
        <w:tc>
          <w:tcPr>
            <w:tcW w:type="dxa" w:w="2078"/>
          </w:tcPr>
          <w:p>
            <w:pPr>
              <w:jc w:val="center"/>
            </w:pPr>
            <w:r/>
            <w:r>
              <w:rPr>
                <w:rFonts w:ascii="Times New Roman" w:hAnsi="Times New Roman" w:eastAsia="宋体"/>
                <w:b w:val="0"/>
                <w:sz w:val="21"/>
              </w:rPr>
              <w:t>0.0520</w:t>
            </w:r>
          </w:p>
        </w:tc>
      </w:tr>
    </w:tbl>
    <w:p>
      <w:pPr>
        <w:spacing w:after="0"/>
      </w:pPr>
    </w:p>
    <w:p>
      <w:pPr>
        <w:spacing w:line="360" w:lineRule="auto" w:after="0"/>
        <w:ind w:firstLine="480"/>
        <w:jc w:val="both"/>
      </w:pPr>
      <w:r>
        <w:rPr>
          <w:rFonts w:ascii="Times New Roman" w:hAnsi="Times New Roman" w:eastAsia="宋体"/>
          <w:b w:val="0"/>
          <w:sz w:val="24"/>
        </w:rPr>
        <w:t>共享度三项指标的设置同样经过审慎论证。城乡居民收入倍差是国内收入差距研究中使用最广、口径最稳定的结构性指标</w:t>
      </w:r>
      <w:r>
        <w:rPr>
          <w:rFonts w:ascii="Times New Roman" w:hAnsi="Times New Roman" w:eastAsia="宋体"/>
          <w:b w:val="0"/>
          <w:sz w:val="24"/>
          <w:vertAlign w:val="superscript"/>
        </w:rPr>
        <w:t>[99]</w:t>
      </w:r>
      <w:r>
        <w:rPr>
          <w:rFonts w:ascii="Times New Roman" w:hAnsi="Times New Roman" w:eastAsia="宋体"/>
          <w:b w:val="0"/>
          <w:sz w:val="24"/>
        </w:rPr>
        <w:t>，其在浙江语境下的特殊意义在于省委已将2030年倍差缩小至1.8以内列为量化目标，指标与政策考核直接对接。以农村居民人均可支配收入作为“提低”成效的正向表征，与共同富裕研究强调低收入群体和农村居民增收优先的主张相一致</w:t>
      </w:r>
      <w:r>
        <w:rPr>
          <w:rFonts w:ascii="Times New Roman" w:hAnsi="Times New Roman" w:eastAsia="宋体"/>
          <w:b w:val="0"/>
          <w:sz w:val="24"/>
          <w:vertAlign w:val="superscript"/>
        </w:rPr>
        <w:t>[31,65]</w:t>
      </w:r>
      <w:r>
        <w:rPr>
          <w:rFonts w:ascii="Times New Roman" w:hAnsi="Times New Roman" w:eastAsia="宋体"/>
          <w:b w:val="0"/>
          <w:sz w:val="24"/>
        </w:rPr>
        <w:t>；浙江农村居民收入长期位居全国省区第一的典型化事实，也使该指标在样本期内具有充分的时序变异与信息含量。常住人口城镇化率的纳入依据，则来自城镇化经由就业转移、要素重组与公共服务共享促进共同富裕的经验证据</w:t>
      </w:r>
      <w:r>
        <w:rPr>
          <w:rFonts w:ascii="Times New Roman" w:hAnsi="Times New Roman" w:eastAsia="宋体"/>
          <w:b w:val="0"/>
          <w:sz w:val="24"/>
          <w:vertAlign w:val="superscript"/>
        </w:rPr>
        <w:t>[69]</w:t>
      </w:r>
      <w:r>
        <w:rPr>
          <w:rFonts w:ascii="Times New Roman" w:hAnsi="Times New Roman" w:eastAsia="宋体"/>
          <w:b w:val="0"/>
          <w:sz w:val="24"/>
        </w:rPr>
        <w:t>。需要说明的是，本体系未纳入基尼系数等全域分配指标，一是其缺乏连续公布的省级官方序列，二是城乡倍差在浙江情境下已捕捉收入分配变动的主要结构信息，此项取舍体现了数据纪律优先的构建原则。</w:t>
      </w:r>
    </w:p>
    <w:p>
      <w:pPr>
        <w:spacing w:line="360" w:lineRule="auto" w:after="80"/>
        <w:jc w:val="left"/>
      </w:pPr>
      <w:r>
        <w:rPr>
          <w:rFonts w:ascii="Times New Roman" w:hAnsi="Times New Roman" w:eastAsia="黑体"/>
          <w:b/>
          <w:sz w:val="28"/>
        </w:rPr>
        <w:t>（二）研究方法</w:t>
      </w:r>
    </w:p>
    <w:p>
      <w:pPr>
        <w:spacing w:line="360" w:lineRule="auto" w:after="0"/>
        <w:ind w:firstLine="480"/>
        <w:jc w:val="both"/>
      </w:pPr>
      <w:r>
        <w:rPr>
          <w:rFonts w:ascii="Times New Roman" w:hAnsi="Times New Roman" w:eastAsia="宋体"/>
          <w:b w:val="0"/>
          <w:sz w:val="24"/>
        </w:rPr>
        <w:t>1．极值法标准化与熵值法赋权。设研究期为</w:t>
      </w:r>
      <m:oMath>
        <m:r>
          <w:rPr>
            <w:rFonts w:ascii="Cambria Math" w:hAnsi="Cambria Math"/>
          </w:rPr>
          <m:t xml:space="preserve">n</m:t>
        </m:r>
      </m:oMath>
      <w:r>
        <w:rPr>
          <w:rFonts w:ascii="Times New Roman" w:hAnsi="Times New Roman" w:eastAsia="宋体"/>
          <w:b w:val="0"/>
          <w:sz w:val="24"/>
        </w:rPr>
        <w:t>年、某系统指标数为</w:t>
      </w:r>
      <m:oMath>
        <m:r>
          <w:rPr>
            <w:rFonts w:ascii="Cambria Math" w:hAnsi="Cambria Math"/>
          </w:rPr>
          <m:t xml:space="preserve">m</m:t>
        </m:r>
      </m:oMath>
      <w:r>
        <w:rPr>
          <w:rFonts w:ascii="Times New Roman" w:hAnsi="Times New Roman" w:eastAsia="宋体"/>
          <w:b w:val="0"/>
          <w:sz w:val="24"/>
        </w:rPr>
        <w:t>项，</w:t>
      </w:r>
      <m:oMath>
        <m:sSub>
          <m:e>
            <m:r>
              <w:rPr>
                <w:rFonts w:ascii="Cambria Math" w:hAnsi="Cambria Math"/>
              </w:rPr>
              <m:t xml:space="preserve">x</m:t>
            </m:r>
          </m:e>
          <m:sub>
            <m:r>
              <w:rPr>
                <w:rFonts w:ascii="Cambria Math" w:hAnsi="Cambria Math"/>
              </w:rPr>
              <m:t xml:space="preserve">ij</m:t>
            </m:r>
          </m:sub>
        </m:sSub>
      </m:oMath>
      <w:r>
        <w:rPr>
          <w:rFonts w:ascii="Times New Roman" w:hAnsi="Times New Roman" w:eastAsia="宋体"/>
          <w:b w:val="0"/>
          <w:sz w:val="24"/>
        </w:rPr>
        <w:t>为第</w:t>
      </w:r>
      <m:oMath>
        <m:r>
          <w:rPr>
            <w:rFonts w:ascii="Cambria Math" w:hAnsi="Cambria Math"/>
          </w:rPr>
          <m:t xml:space="preserve">i</m:t>
        </m:r>
      </m:oMath>
      <w:r>
        <w:rPr>
          <w:rFonts w:ascii="Times New Roman" w:hAnsi="Times New Roman" w:eastAsia="宋体"/>
          <w:b w:val="0"/>
          <w:sz w:val="24"/>
        </w:rPr>
        <w:t>年第</w:t>
      </w:r>
      <m:oMath>
        <m:r>
          <w:rPr>
            <w:rFonts w:ascii="Cambria Math" w:hAnsi="Cambria Math"/>
          </w:rPr>
          <m:t xml:space="preserve">j</m:t>
        </m:r>
      </m:oMath>
      <w:r>
        <w:rPr>
          <w:rFonts w:ascii="Times New Roman" w:hAnsi="Times New Roman" w:eastAsia="宋体"/>
          <w:b w:val="0"/>
          <w:sz w:val="24"/>
        </w:rPr>
        <w:t>项指标的原始值。由于各指标量纲与数量级不同，且存在正、负向属性差异，首先采用极值法进行标准化：</w:t>
      </w:r>
    </w:p>
    <w:p>
      <w:pPr>
        <w:tabs>
          <w:tab w:pos="4156" w:val="center"/>
          <w:tab w:pos="8311" w:val="right"/>
        </w:tabs>
        <w:spacing w:before="80" w:after="80" w:line="360" w:lineRule="auto"/>
        <w:jc w:val="left"/>
      </w:pPr>
      <w:r>
        <w:tab/>
      </w:r>
      <w:r>
        <w:rPr>
          <w:rFonts w:ascii="Times New Roman" w:hAnsi="Times New Roman" w:eastAsia="宋体"/>
          <w:b w:val="0"/>
          <w:sz w:val="24"/>
        </w:rPr>
        <w:t>正向指标：</w:t>
      </w:r>
      <m:oMath>
        <m:sSub>
          <m:e>
            <m:r>
              <w:rPr>
                <w:rFonts w:ascii="Cambria Math" w:hAnsi="Cambria Math"/>
              </w:rPr>
              <m:t xml:space="preserve">x′</m:t>
            </m:r>
          </m:e>
          <m:sub>
            <m:r>
              <w:rPr>
                <w:rFonts w:ascii="Cambria Math" w:hAnsi="Cambria Math"/>
              </w:rPr>
              <m:t xml:space="preserve">ij</m:t>
            </m:r>
          </m:sub>
        </m:sSub>
        <m:r>
          <w:rPr>
            <w:rFonts w:ascii="Cambria Math" w:hAnsi="Cambria Math"/>
          </w:rPr>
          <m:t xml:space="preserve">=</m:t>
        </m:r>
        <m:f>
          <m:num>
            <m:sSub>
              <m:e>
                <m:r>
                  <w:rPr>
                    <w:rFonts w:ascii="Cambria Math" w:hAnsi="Cambria Math"/>
                  </w:rPr>
                  <m:t xml:space="preserve">x</m:t>
                </m:r>
              </m:e>
              <m:sub>
                <m:r>
                  <w:rPr>
                    <w:rFonts w:ascii="Cambria Math" w:hAnsi="Cambria Math"/>
                  </w:rPr>
                  <m:t xml:space="preserve">ij</m:t>
                </m:r>
              </m:sub>
            </m:sSub>
            <m:r>
              <w:rPr>
                <w:rFonts w:ascii="Cambria Math" w:hAnsi="Cambria Math"/>
              </w:rPr>
              <m:t xml:space="preserve">−</m:t>
            </m:r>
            <m:sSubSup>
              <m:e>
                <m:r>
                  <m:rPr>
                    <m:sty m:val="p"/>
                  </m:rPr>
                  <w:rPr>
                    <w:rFonts w:ascii="Cambria Math" w:hAnsi="Cambria Math"/>
                  </w:rPr>
                  <m:t xml:space="preserve">min</m:t>
                </m:r>
              </m:e>
              <m:sub>
                <m:r>
                  <w:rPr>
                    <w:rFonts w:ascii="Cambria Math" w:hAnsi="Cambria Math"/>
                  </w:rPr>
                  <m:t xml:space="preserve">j</m:t>
                </m:r>
              </m:sub>
              <m:sup>
                <m:r>
                  <w:rPr>
                    <w:rFonts w:ascii="Cambria Math" w:hAnsi="Cambria Math"/>
                  </w:rPr>
                  <m:t xml:space="preserve">*</m:t>
                </m:r>
              </m:sup>
            </m:sSubSup>
          </m:num>
          <m:den>
            <m:sSubSup>
              <m:e>
                <m:r>
                  <m:rPr>
                    <m:sty m:val="p"/>
                  </m:rPr>
                  <w:rPr>
                    <w:rFonts w:ascii="Cambria Math" w:hAnsi="Cambria Math"/>
                  </w:rPr>
                  <m:t xml:space="preserve">max</m:t>
                </m:r>
              </m:e>
              <m:sub>
                <m:r>
                  <w:rPr>
                    <w:rFonts w:ascii="Cambria Math" w:hAnsi="Cambria Math"/>
                  </w:rPr>
                  <m:t xml:space="preserve">j</m:t>
                </m:r>
              </m:sub>
              <m:sup>
                <m:r>
                  <w:rPr>
                    <w:rFonts w:ascii="Cambria Math" w:hAnsi="Cambria Math"/>
                  </w:rPr>
                  <m:t xml:space="preserve">*</m:t>
                </m:r>
              </m:sup>
            </m:sSubSup>
            <m:r>
              <w:rPr>
                <w:rFonts w:ascii="Cambria Math" w:hAnsi="Cambria Math"/>
              </w:rPr>
              <m:t xml:space="preserve">−</m:t>
            </m:r>
            <m:sSubSup>
              <m:e>
                <m:r>
                  <m:rPr>
                    <m:sty m:val="p"/>
                  </m:rPr>
                  <w:rPr>
                    <w:rFonts w:ascii="Cambria Math" w:hAnsi="Cambria Math"/>
                  </w:rPr>
                  <m:t xml:space="preserve">min</m:t>
                </m:r>
              </m:e>
              <m:sub>
                <m:r>
                  <w:rPr>
                    <w:rFonts w:ascii="Cambria Math" w:hAnsi="Cambria Math"/>
                  </w:rPr>
                  <m:t xml:space="preserve">j</m:t>
                </m:r>
              </m:sub>
              <m:sup>
                <m:r>
                  <w:rPr>
                    <w:rFonts w:ascii="Cambria Math" w:hAnsi="Cambria Math"/>
                  </w:rPr>
                  <m:t xml:space="preserve">*</m:t>
                </m:r>
              </m:sup>
            </m:sSubSup>
          </m:den>
        </m:f>
      </m:oMath>
      <w:r>
        <w:rPr>
          <w:rFonts w:ascii="Times New Roman" w:hAnsi="Times New Roman" w:eastAsia="宋体"/>
          <w:b w:val="0"/>
          <w:sz w:val="24"/>
        </w:rPr>
        <w:t>；负向指标：</w:t>
      </w:r>
      <m:oMath>
        <m:sSub>
          <m:e>
            <m:r>
              <w:rPr>
                <w:rFonts w:ascii="Cambria Math" w:hAnsi="Cambria Math"/>
              </w:rPr>
              <m:t xml:space="preserve">x′</m:t>
            </m:r>
          </m:e>
          <m:sub>
            <m:r>
              <w:rPr>
                <w:rFonts w:ascii="Cambria Math" w:hAnsi="Cambria Math"/>
              </w:rPr>
              <m:t xml:space="preserve">ij</m:t>
            </m:r>
          </m:sub>
        </m:sSub>
        <m:r>
          <w:rPr>
            <w:rFonts w:ascii="Cambria Math" w:hAnsi="Cambria Math"/>
          </w:rPr>
          <m:t xml:space="preserve">=</m:t>
        </m:r>
        <m:f>
          <m:num>
            <m:sSubSup>
              <m:e>
                <m:r>
                  <m:rPr>
                    <m:sty m:val="p"/>
                  </m:rPr>
                  <w:rPr>
                    <w:rFonts w:ascii="Cambria Math" w:hAnsi="Cambria Math"/>
                  </w:rPr>
                  <m:t xml:space="preserve">max</m:t>
                </m:r>
              </m:e>
              <m:sub>
                <m:r>
                  <w:rPr>
                    <w:rFonts w:ascii="Cambria Math" w:hAnsi="Cambria Math"/>
                  </w:rPr>
                  <m:t xml:space="preserve">j</m:t>
                </m:r>
              </m:sub>
              <m:sup>
                <m:r>
                  <w:rPr>
                    <w:rFonts w:ascii="Cambria Math" w:hAnsi="Cambria Math"/>
                  </w:rPr>
                  <m:t xml:space="preserve">*</m:t>
                </m:r>
              </m:sup>
            </m:sSubSup>
            <m:r>
              <w:rPr>
                <w:rFonts w:ascii="Cambria Math" w:hAnsi="Cambria Math"/>
              </w:rPr>
              <m:t xml:space="preserve">−</m:t>
            </m:r>
            <m:sSub>
              <m:e>
                <m:r>
                  <w:rPr>
                    <w:rFonts w:ascii="Cambria Math" w:hAnsi="Cambria Math"/>
                  </w:rPr>
                  <m:t xml:space="preserve">x</m:t>
                </m:r>
              </m:e>
              <m:sub>
                <m:r>
                  <w:rPr>
                    <w:rFonts w:ascii="Cambria Math" w:hAnsi="Cambria Math"/>
                  </w:rPr>
                  <m:t xml:space="preserve">ij</m:t>
                </m:r>
              </m:sub>
            </m:sSub>
          </m:num>
          <m:den>
            <m:sSubSup>
              <m:e>
                <m:r>
                  <m:rPr>
                    <m:sty m:val="p"/>
                  </m:rPr>
                  <w:rPr>
                    <w:rFonts w:ascii="Cambria Math" w:hAnsi="Cambria Math"/>
                  </w:rPr>
                  <m:t xml:space="preserve">max</m:t>
                </m:r>
              </m:e>
              <m:sub>
                <m:r>
                  <w:rPr>
                    <w:rFonts w:ascii="Cambria Math" w:hAnsi="Cambria Math"/>
                  </w:rPr>
                  <m:t xml:space="preserve">j</m:t>
                </m:r>
              </m:sub>
              <m:sup>
                <m:r>
                  <w:rPr>
                    <w:rFonts w:ascii="Cambria Math" w:hAnsi="Cambria Math"/>
                  </w:rPr>
                  <m:t xml:space="preserve">*</m:t>
                </m:r>
              </m:sup>
            </m:sSubSup>
            <m:r>
              <w:rPr>
                <w:rFonts w:ascii="Cambria Math" w:hAnsi="Cambria Math"/>
              </w:rPr>
              <m:t xml:space="preserve">−</m:t>
            </m:r>
            <m:sSubSup>
              <m:e>
                <m:r>
                  <m:rPr>
                    <m:sty m:val="p"/>
                  </m:rPr>
                  <w:rPr>
                    <w:rFonts w:ascii="Cambria Math" w:hAnsi="Cambria Math"/>
                  </w:rPr>
                  <m:t xml:space="preserve">min</m:t>
                </m:r>
              </m:e>
              <m:sub>
                <m:r>
                  <w:rPr>
                    <w:rFonts w:ascii="Cambria Math" w:hAnsi="Cambria Math"/>
                  </w:rPr>
                  <m:t xml:space="preserve">j</m:t>
                </m:r>
              </m:sub>
              <m:sup>
                <m:r>
                  <w:rPr>
                    <w:rFonts w:ascii="Cambria Math" w:hAnsi="Cambria Math"/>
                  </w:rPr>
                  <m:t xml:space="preserve">*</m:t>
                </m:r>
              </m:sup>
            </m:sSubSup>
          </m:den>
        </m:f>
      </m:oMath>
      <w:r>
        <w:tab/>
      </w:r>
      <w:r>
        <w:rPr>
          <w:rFonts w:ascii="Times New Roman" w:hAnsi="Times New Roman" w:eastAsia="宋体"/>
          <w:b w:val="0"/>
          <w:sz w:val="24"/>
        </w:rPr>
        <w:t>（15）</w:t>
      </w:r>
    </w:p>
    <w:p>
      <w:pPr>
        <w:spacing w:line="360" w:lineRule="auto" w:after="0"/>
        <w:ind w:firstLine="480"/>
        <w:jc w:val="both"/>
      </w:pPr>
      <w:r>
        <w:rPr>
          <w:rFonts w:ascii="Times New Roman" w:hAnsi="Times New Roman" w:eastAsia="宋体"/>
          <w:b w:val="0"/>
          <w:sz w:val="24"/>
        </w:rPr>
        <w:t>式(15)中，</w:t>
      </w:r>
      <m:oMath>
        <m:sSubSup>
          <m:e>
            <m:r>
              <m:rPr>
                <m:sty m:val="p"/>
              </m:rPr>
              <w:rPr>
                <w:rFonts w:ascii="Cambria Math" w:hAnsi="Cambria Math"/>
              </w:rPr>
              <m:t xml:space="preserve">max</m:t>
            </m:r>
          </m:e>
          <m:sub>
            <m:r>
              <w:rPr>
                <w:rFonts w:ascii="Cambria Math" w:hAnsi="Cambria Math"/>
              </w:rPr>
              <m:t xml:space="preserve">j</m:t>
            </m:r>
          </m:sub>
          <m:sup>
            <m:r>
              <w:rPr>
                <w:rFonts w:ascii="Cambria Math" w:hAnsi="Cambria Math"/>
              </w:rPr>
              <m:t xml:space="preserve">*</m:t>
            </m:r>
          </m:sup>
        </m:sSubSup>
      </m:oMath>
      <w:r>
        <w:rPr>
          <w:rFonts w:ascii="Times New Roman" w:hAnsi="Times New Roman" w:eastAsia="宋体"/>
          <w:b w:val="0"/>
          <w:sz w:val="24"/>
        </w:rPr>
        <w:t>与</w:t>
      </w:r>
      <m:oMath>
        <m:sSubSup>
          <m:e>
            <m:r>
              <m:rPr>
                <m:sty m:val="p"/>
              </m:rPr>
              <w:rPr>
                <w:rFonts w:ascii="Cambria Math" w:hAnsi="Cambria Math"/>
              </w:rPr>
              <m:t xml:space="preserve">min</m:t>
            </m:r>
          </m:e>
          <m:sub>
            <m:r>
              <w:rPr>
                <w:rFonts w:ascii="Cambria Math" w:hAnsi="Cambria Math"/>
              </w:rPr>
              <m:t xml:space="preserve">j</m:t>
            </m:r>
          </m:sub>
          <m:sup>
            <m:r>
              <w:rPr>
                <w:rFonts w:ascii="Cambria Math" w:hAnsi="Cambria Math"/>
              </w:rPr>
              <m:t xml:space="preserve">*</m:t>
            </m:r>
          </m:sup>
        </m:sSubSup>
      </m:oMath>
      <w:r>
        <w:rPr>
          <w:rFonts w:ascii="Times New Roman" w:hAnsi="Times New Roman" w:eastAsia="宋体"/>
          <w:b w:val="0"/>
          <w:sz w:val="24"/>
        </w:rPr>
        <w:t>为第</w:t>
      </w:r>
      <m:oMath>
        <m:r>
          <w:rPr>
            <w:rFonts w:ascii="Cambria Math" w:hAnsi="Cambria Math"/>
          </w:rPr>
          <m:t xml:space="preserve">j</m:t>
        </m:r>
      </m:oMath>
      <w:r>
        <w:rPr>
          <w:rFonts w:ascii="Times New Roman" w:hAnsi="Times New Roman" w:eastAsia="宋体"/>
          <w:b w:val="0"/>
          <w:sz w:val="24"/>
        </w:rPr>
        <w:t>项指标经拓展后的上、下限，即在样本实际极大值基础上上浮10%、在实际极小值基础上下调10%取得。作此拓展的考量在于：传统极值法以样本实际极值为界，会使时序两端年份的标准化值恰为0或1——取0将导致后续信息熵计算中对数运算无定义，取1则人为夸大端点年份的相对位置，产生“端点效应”；对上下限各拓展10%后，所有标准化值落于</w:t>
      </w:r>
      <m:oMath>
        <m:d>
          <m:dPr>
            <m:begChr m:val="("/>
            <m:endChr m:val=")"/>
          </m:dPr>
          <m:e>
            <m:r>
              <w:rPr>
                <w:rFonts w:ascii="Cambria Math" w:hAnsi="Cambria Math"/>
              </w:rPr>
              <m:t xml:space="preserve">0,1</m:t>
            </m:r>
          </m:e>
        </m:d>
      </m:oMath>
      <w:r>
        <w:rPr>
          <w:rFonts w:ascii="Times New Roman" w:hAnsi="Times New Roman" w:eastAsia="宋体"/>
          <w:b w:val="0"/>
          <w:sz w:val="24"/>
        </w:rPr>
        <w:t>开区间内，既保留序列的相对结构，又保证熵值计算的数学可行性与端点年份取值的合理性。</w:t>
      </w:r>
    </w:p>
    <w:p>
      <w:pPr>
        <w:spacing w:line="360" w:lineRule="auto" w:after="0"/>
        <w:ind w:firstLine="480"/>
        <w:jc w:val="both"/>
      </w:pPr>
      <w:r>
        <w:rPr>
          <w:rFonts w:ascii="Times New Roman" w:hAnsi="Times New Roman" w:eastAsia="宋体"/>
          <w:b w:val="0"/>
          <w:sz w:val="24"/>
        </w:rPr>
        <w:t>在标准化基础上采用熵值法确定指标权重。熵值法依据指标时序变异所含信息量客观赋权，能够避免主观赋权的随意性。第</w:t>
      </w:r>
      <m:oMath>
        <m:r>
          <w:rPr>
            <w:rFonts w:ascii="Cambria Math" w:hAnsi="Cambria Math"/>
          </w:rPr>
          <m:t xml:space="preserve">j</m:t>
        </m:r>
      </m:oMath>
      <w:r>
        <w:rPr>
          <w:rFonts w:ascii="Times New Roman" w:hAnsi="Times New Roman" w:eastAsia="宋体"/>
          <w:b w:val="0"/>
          <w:sz w:val="24"/>
        </w:rPr>
        <w:t>项指标的信息熵为：</w:t>
      </w:r>
    </w:p>
    <w:p>
      <w:pPr>
        <w:tabs>
          <w:tab w:pos="4156" w:val="center"/>
          <w:tab w:pos="8311" w:val="right"/>
        </w:tabs>
        <w:spacing w:before="80" w:after="80" w:line="360" w:lineRule="auto"/>
        <w:jc w:val="left"/>
      </w:pPr>
      <w:r>
        <w:tab/>
      </w:r>
      <m:oMath>
        <m:sSub>
          <m:e>
            <m:r>
              <w:rPr>
                <w:rFonts w:ascii="Cambria Math" w:hAnsi="Cambria Math"/>
              </w:rPr>
              <m:t xml:space="preserve">e</m:t>
            </m:r>
          </m:e>
          <m:sub>
            <m:r>
              <w:rPr>
                <w:rFonts w:ascii="Cambria Math" w:hAnsi="Cambria Math"/>
              </w:rPr>
              <m:t xml:space="preserve">j</m:t>
            </m:r>
          </m:sub>
        </m:sSub>
        <m:r>
          <w:rPr>
            <w:rFonts w:ascii="Cambria Math" w:hAnsi="Cambria Math"/>
          </w:rPr>
          <m:t xml:space="preserve">=−</m:t>
        </m:r>
        <m:f>
          <m:num>
            <m:r>
              <w:rPr>
                <w:rFonts w:ascii="Cambria Math" w:hAnsi="Cambria Math"/>
              </w:rPr>
              <m:t xml:space="preserve">1</m:t>
            </m:r>
          </m:num>
          <m:den>
            <m:r>
              <m:rPr>
                <m:sty m:val="p"/>
              </m:rPr>
              <w:rPr>
                <w:rFonts w:ascii="Cambria Math" w:hAnsi="Cambria Math"/>
              </w:rPr>
              <m:t xml:space="preserve">ln</m:t>
            </m:r>
            <m:r>
              <w:rPr>
                <w:rFonts w:ascii="Cambria Math" w:hAnsi="Cambria Math"/>
              </w:rPr>
              <m:t xml:space="preserve"> </m:t>
            </m:r>
            <m:r>
              <w:rPr>
                <w:rFonts w:ascii="Cambria Math" w:hAnsi="Cambria Math"/>
              </w:rPr>
              <m:t xml:space="preserve">n</m:t>
            </m:r>
          </m:den>
        </m:f>
        <m:r>
          <w:rPr>
            <w:rFonts w:ascii="Cambria Math" w:hAnsi="Cambria Math"/>
          </w:rPr>
          <m:t xml:space="preserve">·</m:t>
        </m:r>
        <m:nary>
          <m:naryPr>
            <m:chr m:val="∑"/>
            <m:limLoc m:val="subSup"/>
            <m:supHide m:val="1"/>
          </m:naryPr>
          <m:sub>
            <m:r>
              <w:rPr>
                <w:rFonts w:ascii="Cambria Math" w:hAnsi="Cambria Math"/>
              </w:rPr>
              <m:t xml:space="preserve">i</m:t>
            </m:r>
          </m:sub>
          <m:sup/>
          <m:e>
            <m:d>
              <m:dPr>
                <m:begChr m:val="("/>
                <m:endChr m:val=")"/>
              </m:dPr>
              <m:e>
                <m:sSub>
                  <m:e>
                    <m:r>
                      <w:rPr>
                        <w:rFonts w:ascii="Cambria Math" w:hAnsi="Cambria Math"/>
                      </w:rPr>
                      <m:t xml:space="preserve">p</m:t>
                    </m:r>
                  </m:e>
                  <m:sub>
                    <m:r>
                      <w:rPr>
                        <w:rFonts w:ascii="Cambria Math" w:hAnsi="Cambria Math"/>
                      </w:rPr>
                      <m:t xml:space="preserve">ij</m:t>
                    </m:r>
                  </m:sub>
                </m:sSub>
                <m:r>
                  <w:rPr>
                    <w:rFonts w:ascii="Cambria Math" w:hAnsi="Cambria Math"/>
                  </w:rPr>
                  <m:t xml:space="preserve">·</m:t>
                </m:r>
                <m:r>
                  <m:rPr>
                    <m:sty m:val="p"/>
                  </m:rPr>
                  <w:rPr>
                    <w:rFonts w:ascii="Cambria Math" w:hAnsi="Cambria Math"/>
                  </w:rPr>
                  <m:t xml:space="preserve">ln</m:t>
                </m:r>
                <m:r>
                  <w:rPr>
                    <w:rFonts w:ascii="Cambria Math" w:hAnsi="Cambria Math"/>
                  </w:rPr>
                  <m:t xml:space="preserve"> </m:t>
                </m:r>
                <m:sSub>
                  <m:e>
                    <m:r>
                      <w:rPr>
                        <w:rFonts w:ascii="Cambria Math" w:hAnsi="Cambria Math"/>
                      </w:rPr>
                      <m:t xml:space="preserve">p</m:t>
                    </m:r>
                  </m:e>
                  <m:sub>
                    <m:r>
                      <w:rPr>
                        <w:rFonts w:ascii="Cambria Math" w:hAnsi="Cambria Math"/>
                      </w:rPr>
                      <m:t xml:space="preserve">ij</m:t>
                    </m:r>
                  </m:sub>
                </m:sSub>
              </m:e>
            </m:d>
          </m:e>
        </m:nary>
      </m:oMath>
      <w:r>
        <w:rPr>
          <w:rFonts w:ascii="Times New Roman" w:hAnsi="Times New Roman" w:eastAsia="宋体"/>
          <w:b w:val="0"/>
          <w:sz w:val="24"/>
        </w:rPr>
        <w:t>，其中</w:t>
      </w:r>
      <m:oMath>
        <m:sSub>
          <m:e>
            <m:r>
              <w:rPr>
                <w:rFonts w:ascii="Cambria Math" w:hAnsi="Cambria Math"/>
              </w:rPr>
              <m:t xml:space="preserve">p</m:t>
            </m:r>
          </m:e>
          <m:sub>
            <m:r>
              <w:rPr>
                <w:rFonts w:ascii="Cambria Math" w:hAnsi="Cambria Math"/>
              </w:rPr>
              <m:t xml:space="preserve">ij</m:t>
            </m:r>
          </m:sub>
        </m:sSub>
        <m:r>
          <w:rPr>
            <w:rFonts w:ascii="Cambria Math" w:hAnsi="Cambria Math"/>
          </w:rPr>
          <m:t xml:space="preserve">=</m:t>
        </m:r>
        <m:f>
          <m:num>
            <m:sSub>
              <m:e>
                <m:r>
                  <w:rPr>
                    <w:rFonts w:ascii="Cambria Math" w:hAnsi="Cambria Math"/>
                  </w:rPr>
                  <m:t xml:space="preserve">x′</m:t>
                </m:r>
              </m:e>
              <m:sub>
                <m:r>
                  <w:rPr>
                    <w:rFonts w:ascii="Cambria Math" w:hAnsi="Cambria Math"/>
                  </w:rPr>
                  <m:t xml:space="preserve">ij</m:t>
                </m:r>
              </m:sub>
            </m:sSub>
          </m:num>
          <m:den>
            <m:nary>
              <m:naryPr>
                <m:chr m:val="∑"/>
                <m:limLoc m:val="subSup"/>
                <m:supHide m:val="1"/>
              </m:naryPr>
              <m:sub>
                <m:r>
                  <w:rPr>
                    <w:rFonts w:ascii="Cambria Math" w:hAnsi="Cambria Math"/>
                  </w:rPr>
                  <m:t xml:space="preserve">i</m:t>
                </m:r>
              </m:sub>
              <m:sup/>
              <m:e>
                <m:sSub>
                  <m:e>
                    <m:r>
                      <w:rPr>
                        <w:rFonts w:ascii="Cambria Math" w:hAnsi="Cambria Math"/>
                      </w:rPr>
                      <m:t xml:space="preserve">x′</m:t>
                    </m:r>
                  </m:e>
                  <m:sub>
                    <m:r>
                      <w:rPr>
                        <w:rFonts w:ascii="Cambria Math" w:hAnsi="Cambria Math"/>
                      </w:rPr>
                      <m:t xml:space="preserve">ij</m:t>
                    </m:r>
                  </m:sub>
                </m:sSub>
              </m:e>
            </m:nary>
          </m:den>
        </m:f>
      </m:oMath>
      <w:r>
        <w:tab/>
      </w:r>
      <w:r>
        <w:rPr>
          <w:rFonts w:ascii="Times New Roman" w:hAnsi="Times New Roman" w:eastAsia="宋体"/>
          <w:b w:val="0"/>
          <w:sz w:val="24"/>
        </w:rPr>
        <w:t>（16）</w:t>
      </w:r>
    </w:p>
    <w:p>
      <w:pPr>
        <w:spacing w:line="360" w:lineRule="auto" w:after="0"/>
        <w:ind w:firstLine="480"/>
        <w:jc w:val="both"/>
      </w:pPr>
      <w:r>
        <w:rPr>
          <w:rFonts w:ascii="Times New Roman" w:hAnsi="Times New Roman" w:eastAsia="宋体"/>
          <w:b w:val="0"/>
          <w:sz w:val="24"/>
        </w:rPr>
        <w:t>信息熵越大，指标变异度越小、提供的信息量越少。据此定义差异系数并归一化得到权重：</w:t>
      </w:r>
    </w:p>
    <w:p>
      <w:pPr>
        <w:tabs>
          <w:tab w:pos="4156" w:val="center"/>
          <w:tab w:pos="8311" w:val="right"/>
        </w:tabs>
        <w:spacing w:before="80" w:after="80" w:line="360" w:lineRule="auto"/>
        <w:jc w:val="left"/>
      </w:pPr>
      <w:r>
        <w:tab/>
      </w:r>
      <m:oMath>
        <m:sSub>
          <m:e>
            <m:r>
              <w:rPr>
                <w:rFonts w:ascii="Cambria Math" w:hAnsi="Cambria Math"/>
              </w:rPr>
              <m:t xml:space="preserve">g</m:t>
            </m:r>
          </m:e>
          <m:sub>
            <m:r>
              <w:rPr>
                <w:rFonts w:ascii="Cambria Math" w:hAnsi="Cambria Math"/>
              </w:rPr>
              <m:t xml:space="preserve">j</m:t>
            </m:r>
          </m:sub>
        </m:sSub>
        <m:r>
          <w:rPr>
            <w:rFonts w:ascii="Cambria Math" w:hAnsi="Cambria Math"/>
          </w:rPr>
          <m:t xml:space="preserve">=1−</m:t>
        </m:r>
        <m:sSub>
          <m:e>
            <m:r>
              <w:rPr>
                <w:rFonts w:ascii="Cambria Math" w:hAnsi="Cambria Math"/>
              </w:rPr>
              <m:t xml:space="preserve">e</m:t>
            </m:r>
          </m:e>
          <m:sub>
            <m:r>
              <w:rPr>
                <w:rFonts w:ascii="Cambria Math" w:hAnsi="Cambria Math"/>
              </w:rPr>
              <m:t xml:space="preserve">j</m:t>
            </m:r>
          </m:sub>
        </m:sSub>
      </m:oMath>
      <w:r>
        <w:rPr>
          <w:rFonts w:ascii="Times New Roman" w:hAnsi="Times New Roman" w:eastAsia="宋体"/>
          <w:b w:val="0"/>
          <w:sz w:val="24"/>
        </w:rPr>
        <w:t>，</w:t>
      </w:r>
      <m:oMath>
        <m:sSub>
          <m:e>
            <m:r>
              <w:rPr>
                <w:rFonts w:ascii="Cambria Math" w:hAnsi="Cambria Math"/>
              </w:rPr>
              <m:t xml:space="preserve">w</m:t>
            </m:r>
          </m:e>
          <m:sub>
            <m:r>
              <w:rPr>
                <w:rFonts w:ascii="Cambria Math" w:hAnsi="Cambria Math"/>
              </w:rPr>
              <m:t xml:space="preserve">j</m:t>
            </m:r>
          </m:sub>
        </m:sSub>
        <m:r>
          <w:rPr>
            <w:rFonts w:ascii="Cambria Math" w:hAnsi="Cambria Math"/>
          </w:rPr>
          <m:t xml:space="preserve">=</m:t>
        </m:r>
        <m:f>
          <m:num>
            <m:sSub>
              <m:e>
                <m:r>
                  <w:rPr>
                    <w:rFonts w:ascii="Cambria Math" w:hAnsi="Cambria Math"/>
                  </w:rPr>
                  <m:t xml:space="preserve">g</m:t>
                </m:r>
              </m:e>
              <m:sub>
                <m:r>
                  <w:rPr>
                    <w:rFonts w:ascii="Cambria Math" w:hAnsi="Cambria Math"/>
                  </w:rPr>
                  <m:t xml:space="preserve">j</m:t>
                </m:r>
              </m:sub>
            </m:sSub>
          </m:num>
          <m:den>
            <m:nary>
              <m:naryPr>
                <m:chr m:val="∑"/>
                <m:limLoc m:val="subSup"/>
                <m:supHide m:val="1"/>
              </m:naryPr>
              <m:sub>
                <m:r>
                  <w:rPr>
                    <w:rFonts w:ascii="Cambria Math" w:hAnsi="Cambria Math"/>
                  </w:rPr>
                  <m:t xml:space="preserve">j</m:t>
                </m:r>
              </m:sub>
              <m:sup/>
              <m:e>
                <m:sSub>
                  <m:e>
                    <m:r>
                      <w:rPr>
                        <w:rFonts w:ascii="Cambria Math" w:hAnsi="Cambria Math"/>
                      </w:rPr>
                      <m:t xml:space="preserve">g</m:t>
                    </m:r>
                  </m:e>
                  <m:sub>
                    <m:r>
                      <w:rPr>
                        <w:rFonts w:ascii="Cambria Math" w:hAnsi="Cambria Math"/>
                      </w:rPr>
                      <m:t xml:space="preserve">j</m:t>
                    </m:r>
                  </m:sub>
                </m:sSub>
              </m:e>
            </m:nary>
          </m:den>
        </m:f>
      </m:oMath>
      <w:r>
        <w:tab/>
      </w:r>
      <w:r>
        <w:rPr>
          <w:rFonts w:ascii="Times New Roman" w:hAnsi="Times New Roman" w:eastAsia="宋体"/>
          <w:b w:val="0"/>
          <w:sz w:val="24"/>
        </w:rPr>
        <w:t>（17）</w:t>
      </w:r>
    </w:p>
    <w:p>
      <w:pPr>
        <w:spacing w:line="360" w:lineRule="auto" w:after="0"/>
        <w:ind w:firstLine="480"/>
        <w:jc w:val="both"/>
      </w:pPr>
      <w:r>
        <w:rPr>
          <w:rFonts w:ascii="Times New Roman" w:hAnsi="Times New Roman" w:eastAsia="宋体"/>
          <w:b w:val="0"/>
          <w:sz w:val="24"/>
        </w:rPr>
        <w:t>各年度系统综合指数由标准化值与权重线性加权合成，即</w:t>
      </w:r>
      <m:oMath>
        <m:sSub>
          <m:e>
            <m:r>
              <w:rPr>
                <w:rFonts w:ascii="Cambria Math" w:hAnsi="Cambria Math"/>
              </w:rPr>
              <m:t xml:space="preserve">U</m:t>
            </m:r>
          </m:e>
          <m:sub>
            <m:r>
              <w:rPr>
                <w:rFonts w:ascii="Cambria Math" w:hAnsi="Cambria Math"/>
              </w:rPr>
              <m:t xml:space="preserve">i</m:t>
            </m:r>
          </m:sub>
        </m:sSub>
        <m:r>
          <w:rPr>
            <w:rFonts w:ascii="Cambria Math" w:hAnsi="Cambria Math"/>
          </w:rPr>
          <m:t xml:space="preserve">=</m:t>
        </m:r>
        <m:nary>
          <m:naryPr>
            <m:chr m:val="∑"/>
            <m:limLoc m:val="subSup"/>
            <m:supHide m:val="1"/>
          </m:naryPr>
          <m:sub>
            <m:r>
              <w:rPr>
                <w:rFonts w:ascii="Cambria Math" w:hAnsi="Cambria Math"/>
              </w:rPr>
              <m:t xml:space="preserve">j</m:t>
            </m:r>
          </m:sub>
          <m:sup/>
          <m:e>
            <m:d>
              <m:dPr>
                <m:begChr m:val="("/>
                <m:endChr m:val=")"/>
              </m:dPr>
              <m:e>
                <m:sSub>
                  <m:e>
                    <m:r>
                      <w:rPr>
                        <w:rFonts w:ascii="Cambria Math" w:hAnsi="Cambria Math"/>
                      </w:rPr>
                      <m:t xml:space="preserve">w</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ij</m:t>
                    </m:r>
                  </m:sub>
                </m:sSub>
              </m:e>
            </m:d>
          </m:e>
        </m:nary>
      </m:oMath>
      <w:r>
        <w:rPr>
          <w:rFonts w:ascii="Times New Roman" w:hAnsi="Times New Roman" w:eastAsia="宋体"/>
          <w:b w:val="0"/>
          <w:sz w:val="24"/>
        </w:rPr>
        <w:t>，由此分别得到历年新质生产力发展指数</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与共同富裕指数</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及其子系统指数。</w:t>
      </w:r>
    </w:p>
    <w:p>
      <w:pPr>
        <w:spacing w:line="360" w:lineRule="auto" w:after="0"/>
        <w:ind w:firstLine="480"/>
        <w:jc w:val="both"/>
      </w:pPr>
      <w:r>
        <w:rPr>
          <w:rFonts w:ascii="Times New Roman" w:hAnsi="Times New Roman" w:eastAsia="宋体"/>
          <w:b w:val="0"/>
          <w:sz w:val="24"/>
        </w:rPr>
        <w:t>在赋权方法的选择上，本研究比较了主客观两类方案后确定采用熵值法。层次分析法等主观赋权方法依赖专家对指标相对重要性的两两判断，优点是能够嵌入理论先验，缺点是权重因人而异、难以复核，与本研究强调透明可复核的定位不符。主成分分析通过降维提取公共因子，但因子载荷的经济含义往往含混，且十年时序样本难以支撑稳定的因子结构。CRITIC法在指标变异度之外引入指标间冲突性信息，理论上更为全面，但其所依赖的相关系数矩阵在小样本下估计噪声较大，权重的稳健性反而不及熵值法。相较之下，熵值法仅利用各指标自身的时序变异信息，计算过程完全由数据驱动，在新质生产力与共同富裕测度文献中已属通行做法</w:t>
      </w:r>
      <w:r>
        <w:rPr>
          <w:rFonts w:ascii="Times New Roman" w:hAnsi="Times New Roman" w:eastAsia="宋体"/>
          <w:b w:val="0"/>
          <w:sz w:val="24"/>
          <w:vertAlign w:val="superscript"/>
        </w:rPr>
        <w:t>[44,62]</w:t>
      </w:r>
      <w:r>
        <w:rPr>
          <w:rFonts w:ascii="Times New Roman" w:hAnsi="Times New Roman" w:eastAsia="宋体"/>
          <w:b w:val="0"/>
          <w:sz w:val="24"/>
        </w:rPr>
        <w:t>。当然，熵值法权重反映的是信息含量而非理论重要性，故本研究将价值判断前置于指标遴选环节，赋权环节交由数据客观完成，再辅以等权重情境下的稳健性复算，兼顾理论先验与客观赋权的双重要求。</w:t>
      </w:r>
    </w:p>
    <w:p>
      <w:pPr>
        <w:spacing w:line="360" w:lineRule="auto" w:after="0"/>
        <w:ind w:firstLine="480"/>
        <w:jc w:val="both"/>
      </w:pPr>
      <w:r>
        <w:rPr>
          <w:rFonts w:ascii="Times New Roman" w:hAnsi="Times New Roman" w:eastAsia="宋体"/>
          <w:b w:val="0"/>
          <w:sz w:val="24"/>
        </w:rPr>
        <w:t>2．耦合协调度模型。如理论框架部分所述，新质生产力与共同富裕之间存在“双向赋能”关系：新质生产力经三大转化关口向富民效能传导，共同富裕经人力资本积累、内需扩容与预期稳定反哺创新势能。这种双向、非线性的互动关系，恰是耦合协调度模型的适用情境——该模型源于物理学耦合理论[127]，用于刻画两个及以上系统通过各自要素相互作用、彼此影响的关联程度与协同水平。首先定义耦合度：</w:t>
      </w:r>
    </w:p>
    <w:p>
      <w:pPr>
        <w:tabs>
          <w:tab w:pos="4156" w:val="center"/>
          <w:tab w:pos="8311" w:val="right"/>
        </w:tabs>
        <w:spacing w:before="80" w:after="80" w:line="360" w:lineRule="auto"/>
        <w:jc w:val="left"/>
      </w:pPr>
      <w:r>
        <w:tab/>
      </w:r>
      <m:oMath>
        <m:r>
          <w:rPr>
            <w:rFonts w:ascii="Cambria Math" w:hAnsi="Cambria Math"/>
          </w:rPr>
          <m:t xml:space="preserve">C</m:t>
        </m:r>
        <m:r>
          <w:rPr>
            <w:rFonts w:ascii="Cambria Math" w:hAnsi="Cambria Math"/>
          </w:rPr>
          <m:t xml:space="preserve">=</m:t>
        </m:r>
        <m:f>
          <m:num>
            <m:r>
              <w:rPr>
                <w:rFonts w:ascii="Cambria Math" w:hAnsi="Cambria Math"/>
              </w:rPr>
              <m:t xml:space="preserve">2·</m:t>
            </m:r>
            <m:rad>
              <m:radPr>
                <m:degHide m:val="1"/>
              </m:radPr>
              <m:deg/>
              <m:e>
                <m:sSub>
                  <m:e>
                    <m:r>
                      <w:rPr>
                        <w:rFonts w:ascii="Cambria Math" w:hAnsi="Cambria Math"/>
                      </w:rPr>
                      <m:t xml:space="preserve">U</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2</m:t>
                    </m:r>
                  </m:sub>
                </m:sSub>
              </m:e>
            </m:rad>
          </m:num>
          <m:den>
            <m:sSub>
              <m:e>
                <m:r>
                  <w:rPr>
                    <w:rFonts w:ascii="Cambria Math" w:hAnsi="Cambria Math"/>
                  </w:rPr>
                  <m:t xml:space="preserve">U</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2</m:t>
                </m:r>
              </m:sub>
            </m:sSub>
          </m:den>
        </m:f>
      </m:oMath>
      <w:r>
        <w:tab/>
      </w:r>
      <w:r>
        <w:rPr>
          <w:rFonts w:ascii="Times New Roman" w:hAnsi="Times New Roman" w:eastAsia="宋体"/>
          <w:b w:val="0"/>
          <w:sz w:val="24"/>
        </w:rPr>
        <w:t>（18）</w:t>
      </w:r>
    </w:p>
    <w:p>
      <w:pPr>
        <w:spacing w:line="360" w:lineRule="auto" w:after="0"/>
        <w:ind w:firstLine="480"/>
        <w:jc w:val="both"/>
      </w:pPr>
      <m:oMath>
        <m:r>
          <w:rPr>
            <w:rFonts w:ascii="Cambria Math" w:hAnsi="Cambria Math"/>
          </w:rPr>
          <m:t xml:space="preserve">C</m:t>
        </m:r>
      </m:oMath>
      <w:r>
        <w:rPr>
          <w:rFonts w:ascii="Times New Roman" w:hAnsi="Times New Roman" w:eastAsia="宋体"/>
          <w:b w:val="0"/>
          <w:sz w:val="24"/>
        </w:rPr>
        <w:t>取值于</w:t>
      </w:r>
      <m:oMath>
        <m:d>
          <m:dPr>
            <m:begChr m:val="["/>
            <m:endChr m:val="]"/>
          </m:dPr>
          <m:e>
            <m:r>
              <w:rPr>
                <w:rFonts w:ascii="Cambria Math" w:hAnsi="Cambria Math"/>
              </w:rPr>
              <m:t xml:space="preserve">0,1</m:t>
            </m:r>
          </m:e>
        </m:d>
      </m:oMath>
      <w:r>
        <w:rPr>
          <w:rFonts w:ascii="Times New Roman" w:hAnsi="Times New Roman" w:eastAsia="宋体"/>
          <w:b w:val="0"/>
          <w:sz w:val="24"/>
        </w:rPr>
        <w:t>，值越大表明两系统关联互动越紧密。但耦合度存在固有局限：当两系统均处低水平时</w:t>
      </w:r>
      <m:oMath>
        <m:r>
          <w:rPr>
            <w:rFonts w:ascii="Cambria Math" w:hAnsi="Cambria Math"/>
          </w:rPr>
          <m:t xml:space="preserve">C</m:t>
        </m:r>
      </m:oMath>
      <w:r>
        <w:rPr>
          <w:rFonts w:ascii="Times New Roman" w:hAnsi="Times New Roman" w:eastAsia="宋体"/>
          <w:b w:val="0"/>
          <w:sz w:val="24"/>
        </w:rPr>
        <w:t>仍可能接近1，形成“低水平伪协调”的误判。为此引入综合协调指数以反映两系统的整体发展水平：</w:t>
      </w:r>
    </w:p>
    <w:p>
      <w:pPr>
        <w:tabs>
          <w:tab w:pos="4156" w:val="center"/>
          <w:tab w:pos="8311" w:val="right"/>
        </w:tabs>
        <w:spacing w:before="80" w:after="80" w:line="360" w:lineRule="auto"/>
        <w:jc w:val="left"/>
      </w:pPr>
      <w:r>
        <w:tab/>
      </w:r>
      <m:oMath>
        <m:r>
          <w:rPr>
            <w:rFonts w:ascii="Cambria Math" w:hAnsi="Cambria Math"/>
          </w:rPr>
          <m:t xml:space="preserve">T</m:t>
        </m:r>
        <m:r>
          <w:rPr>
            <w:rFonts w:ascii="Cambria Math" w:hAnsi="Cambria Math"/>
          </w:rPr>
          <m:t xml:space="preserve">=</m:t>
        </m:r>
        <m:r>
          <w:rPr>
            <w:rFonts w:ascii="Cambria Math" w:hAnsi="Cambria Math"/>
          </w:rPr>
          <m:t xml:space="preserve">α</m:t>
        </m:r>
        <m:r>
          <w:rPr>
            <w:rFonts w:ascii="Cambria Math" w:hAnsi="Cambria Math"/>
          </w:rPr>
          <m:t xml:space="preserve">·</m:t>
        </m:r>
        <m:sSub>
          <m:e>
            <m:r>
              <w:rPr>
                <w:rFonts w:ascii="Cambria Math" w:hAnsi="Cambria Math"/>
              </w:rPr>
              <m:t xml:space="preserve">U</m:t>
            </m:r>
          </m:e>
          <m:sub>
            <m:r>
              <w:rPr>
                <w:rFonts w:ascii="Cambria Math" w:hAnsi="Cambria Math"/>
              </w:rPr>
              <m:t xml:space="preserve">1</m:t>
            </m:r>
          </m:sub>
        </m:sSub>
        <m:r>
          <w:rPr>
            <w:rFonts w:ascii="Cambria Math" w:hAnsi="Cambria Math"/>
          </w:rPr>
          <m:t xml:space="preserve">+</m:t>
        </m:r>
        <m:r>
          <w:rPr>
            <w:rFonts w:ascii="Cambria Math" w:hAnsi="Cambria Math"/>
          </w:rPr>
          <m:t xml:space="preserve">β</m:t>
        </m:r>
        <m:r>
          <w:rPr>
            <w:rFonts w:ascii="Cambria Math" w:hAnsi="Cambria Math"/>
          </w:rPr>
          <m:t xml:space="preserve">·</m:t>
        </m:r>
        <m:sSub>
          <m:e>
            <m:r>
              <w:rPr>
                <w:rFonts w:ascii="Cambria Math" w:hAnsi="Cambria Math"/>
              </w:rPr>
              <m:t xml:space="preserve">U</m:t>
            </m:r>
          </m:e>
          <m:sub>
            <m:r>
              <w:rPr>
                <w:rFonts w:ascii="Cambria Math" w:hAnsi="Cambria Math"/>
              </w:rPr>
              <m:t xml:space="preserve">2</m:t>
            </m:r>
          </m:sub>
        </m:sSub>
      </m:oMath>
      <w:r>
        <w:tab/>
      </w:r>
      <w:r>
        <w:rPr>
          <w:rFonts w:ascii="Times New Roman" w:hAnsi="Times New Roman" w:eastAsia="宋体"/>
          <w:b w:val="0"/>
          <w:sz w:val="24"/>
        </w:rPr>
        <w:t>（19）</w:t>
      </w:r>
    </w:p>
    <w:p>
      <w:pPr>
        <w:spacing w:line="360" w:lineRule="auto" w:after="0"/>
        <w:ind w:firstLine="480"/>
        <w:jc w:val="both"/>
      </w:pPr>
      <w:r>
        <w:rPr>
          <w:rFonts w:ascii="Times New Roman" w:hAnsi="Times New Roman" w:eastAsia="宋体"/>
          <w:b w:val="0"/>
          <w:sz w:val="24"/>
        </w:rPr>
        <w:t>其中</w:t>
      </w:r>
      <m:oMath>
        <m:r>
          <w:rPr>
            <w:rFonts w:ascii="Cambria Math" w:hAnsi="Cambria Math"/>
          </w:rPr>
          <m:t xml:space="preserve">α</m:t>
        </m:r>
      </m:oMath>
      <w:r>
        <w:rPr>
          <w:rFonts w:ascii="Times New Roman" w:hAnsi="Times New Roman" w:eastAsia="宋体"/>
          <w:b w:val="0"/>
          <w:sz w:val="24"/>
        </w:rPr>
        <w:t>、</w:t>
      </w:r>
      <m:oMath>
        <m:r>
          <w:rPr>
            <w:rFonts w:ascii="Cambria Math" w:hAnsi="Cambria Math"/>
          </w:rPr>
          <m:t xml:space="preserve">β</m:t>
        </m:r>
      </m:oMath>
      <w:r>
        <w:rPr>
          <w:rFonts w:ascii="Times New Roman" w:hAnsi="Times New Roman" w:eastAsia="宋体"/>
          <w:b w:val="0"/>
          <w:sz w:val="24"/>
        </w:rPr>
        <w:t>为待定权重。鉴于新质生产力是共同富裕的物质基础、共同富裕是新质生产力的价值归宿与反哺来源，两系统互为条件、同等重要，取</w:t>
      </w:r>
      <m:oMath>
        <m:r>
          <w:rPr>
            <w:rFonts w:ascii="Cambria Math" w:hAnsi="Cambria Math"/>
          </w:rPr>
          <m:t xml:space="preserve">α</m:t>
        </m:r>
      </m:oMath>
      <w:r>
        <w:rPr>
          <w:rFonts w:ascii="Times New Roman" w:hAnsi="Times New Roman" w:eastAsia="宋体"/>
          <w:b w:val="0"/>
          <w:sz w:val="24"/>
        </w:rPr>
        <w:t>＝</w:t>
      </w:r>
      <m:oMath>
        <m:r>
          <w:rPr>
            <w:rFonts w:ascii="Cambria Math" w:hAnsi="Cambria Math"/>
          </w:rPr>
          <m:t xml:space="preserve">β</m:t>
        </m:r>
      </m:oMath>
      <w:r>
        <w:rPr>
          <w:rFonts w:ascii="Times New Roman" w:hAnsi="Times New Roman" w:eastAsia="宋体"/>
          <w:b w:val="0"/>
          <w:sz w:val="24"/>
        </w:rPr>
        <w:t>＝0.5。在此基础上构建耦合协调度：</w:t>
      </w:r>
    </w:p>
    <w:p>
      <w:pPr>
        <w:tabs>
          <w:tab w:pos="4156" w:val="center"/>
          <w:tab w:pos="8311" w:val="right"/>
        </w:tabs>
        <w:spacing w:before="80" w:after="80" w:line="360" w:lineRule="auto"/>
        <w:jc w:val="left"/>
      </w:pPr>
      <w:r>
        <w:tab/>
      </w:r>
      <m:oMath>
        <m:r>
          <w:rPr>
            <w:rFonts w:ascii="Cambria Math" w:hAnsi="Cambria Math"/>
          </w:rPr>
          <m:t xml:space="preserve">D</m:t>
        </m:r>
        <m:r>
          <w:rPr>
            <w:rFonts w:ascii="Cambria Math" w:hAnsi="Cambria Math"/>
          </w:rPr>
          <m:t xml:space="preserve">=</m:t>
        </m:r>
        <m:rad>
          <m:radPr>
            <m:degHide m:val="1"/>
          </m:radPr>
          <m:deg/>
          <m:e>
            <m:r>
              <w:rPr>
                <w:rFonts w:ascii="Cambria Math" w:hAnsi="Cambria Math"/>
              </w:rPr>
              <m:t xml:space="preserve">C</m:t>
            </m:r>
            <m:r>
              <w:rPr>
                <w:rFonts w:ascii="Cambria Math" w:hAnsi="Cambria Math"/>
              </w:rPr>
              <m:t xml:space="preserve">·</m:t>
            </m:r>
            <m:r>
              <w:rPr>
                <w:rFonts w:ascii="Cambria Math" w:hAnsi="Cambria Math"/>
              </w:rPr>
              <m:t xml:space="preserve">T</m:t>
            </m:r>
          </m:e>
        </m:rad>
      </m:oMath>
      <w:r>
        <w:tab/>
      </w:r>
      <w:r>
        <w:rPr>
          <w:rFonts w:ascii="Times New Roman" w:hAnsi="Times New Roman" w:eastAsia="宋体"/>
          <w:b w:val="0"/>
          <w:sz w:val="24"/>
        </w:rPr>
        <w:t>（20）</w:t>
      </w:r>
    </w:p>
    <w:p>
      <w:pPr>
        <w:spacing w:line="360" w:lineRule="auto" w:after="0"/>
        <w:ind w:firstLine="480"/>
        <w:jc w:val="both"/>
      </w:pPr>
      <m:oMath>
        <m:r>
          <w:rPr>
            <w:rFonts w:ascii="Cambria Math" w:hAnsi="Cambria Math"/>
          </w:rPr>
          <m:t xml:space="preserve">D</m:t>
        </m:r>
      </m:oMath>
      <w:r>
        <w:rPr>
          <w:rFonts w:ascii="Times New Roman" w:hAnsi="Times New Roman" w:eastAsia="宋体"/>
          <w:b w:val="0"/>
          <w:sz w:val="24"/>
        </w:rPr>
        <w:t>取值于</w:t>
      </w:r>
      <m:oMath>
        <m:d>
          <m:dPr>
            <m:begChr m:val="["/>
            <m:endChr m:val="]"/>
          </m:dPr>
          <m:e>
            <m:r>
              <w:rPr>
                <w:rFonts w:ascii="Cambria Math" w:hAnsi="Cambria Math"/>
              </w:rPr>
              <m:t xml:space="preserve">0,1</m:t>
            </m:r>
          </m:e>
        </m:d>
      </m:oMath>
      <w:r>
        <w:rPr>
          <w:rFonts w:ascii="Times New Roman" w:hAnsi="Times New Roman" w:eastAsia="宋体"/>
          <w:b w:val="0"/>
          <w:sz w:val="24"/>
        </w:rPr>
        <w:t>，兼顾“关联紧密程度”与“发展水平高低”双重信息，</w:t>
      </w:r>
      <m:oMath>
        <m:r>
          <w:rPr>
            <w:rFonts w:ascii="Cambria Math" w:hAnsi="Cambria Math"/>
          </w:rPr>
          <m:t xml:space="preserve">D</m:t>
        </m:r>
      </m:oMath>
      <w:r>
        <w:rPr>
          <w:rFonts w:ascii="Times New Roman" w:hAnsi="Times New Roman" w:eastAsia="宋体"/>
          <w:b w:val="0"/>
          <w:sz w:val="24"/>
        </w:rPr>
        <w:t>值越大表明两系统协调发展水平越高。参照学界通行标准，将耦合协调度划分为十个等级，如表3所示。</w:t>
      </w:r>
    </w:p>
    <w:p>
      <w:pPr>
        <w:spacing w:before="120"/>
        <w:jc w:val="center"/>
      </w:pPr>
      <w:r>
        <w:rPr>
          <w:rFonts w:ascii="Times New Roman" w:hAnsi="Times New Roman" w:eastAsia="黑体"/>
          <w:b/>
          <w:sz w:val="21"/>
        </w:rPr>
        <w:t xml:space="preserve">表3　</w:t>
      </w:r>
      <w:r>
        <w:rPr>
          <w:rFonts w:ascii="Times New Roman" w:hAnsi="Times New Roman" w:eastAsia="宋体"/>
          <w:b/>
          <w:sz w:val="21"/>
        </w:rPr>
        <w:t>耦合协调度等级划分标准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
              <w:rPr>
                <w:rFonts w:ascii="Times New Roman" w:hAnsi="Times New Roman" w:eastAsia="宋体"/>
                <w:b/>
                <w:sz w:val="21"/>
              </w:rPr>
              <w:t>耦合协调度</w:t>
            </w:r>
            <m:oMath>
              <m:r>
                <w:rPr>
                  <w:rFonts w:ascii="Cambria Math" w:hAnsi="Cambria Math"/>
                </w:rPr>
                <m:t xml:space="preserve">D</m:t>
              </m:r>
            </m:oMath>
          </w:p>
        </w:tc>
        <w:tc>
          <w:tcPr>
            <w:tcW w:type="dxa" w:w="2078"/>
          </w:tcPr>
          <w:p>
            <w:pPr>
              <w:jc w:val="center"/>
            </w:pPr>
            <w:r/>
            <w:r>
              <w:rPr>
                <w:rFonts w:ascii="Times New Roman" w:hAnsi="Times New Roman" w:eastAsia="宋体"/>
                <w:b/>
                <w:sz w:val="21"/>
              </w:rPr>
              <w:t>协调等级</w:t>
            </w:r>
          </w:p>
        </w:tc>
        <w:tc>
          <w:tcPr>
            <w:tcW w:type="dxa" w:w="2078"/>
          </w:tcPr>
          <w:p>
            <w:pPr>
              <w:jc w:val="center"/>
            </w:pPr>
            <w:r/>
            <w:r>
              <w:rPr>
                <w:rFonts w:ascii="Times New Roman" w:hAnsi="Times New Roman" w:eastAsia="宋体"/>
                <w:b/>
                <w:sz w:val="21"/>
              </w:rPr>
              <w:t>耦合协调度</w:t>
            </w:r>
            <m:oMath>
              <m:r>
                <w:rPr>
                  <w:rFonts w:ascii="Cambria Math" w:hAnsi="Cambria Math"/>
                </w:rPr>
                <m:t xml:space="preserve">D</m:t>
              </m:r>
            </m:oMath>
          </w:p>
        </w:tc>
        <w:tc>
          <w:tcPr>
            <w:tcW w:type="dxa" w:w="2078"/>
          </w:tcPr>
          <w:p>
            <w:pPr>
              <w:jc w:val="center"/>
            </w:pPr>
            <w:r/>
            <w:r>
              <w:rPr>
                <w:rFonts w:ascii="Times New Roman" w:hAnsi="Times New Roman" w:eastAsia="宋体"/>
                <w:b/>
                <w:sz w:val="21"/>
              </w:rPr>
              <w:t>协调等级</w:t>
            </w:r>
          </w:p>
        </w:tc>
      </w:tr>
      <w:tr>
        <w:tc>
          <w:tcPr>
            <w:tcW w:type="dxa" w:w="2078"/>
          </w:tcPr>
          <w:p>
            <w:pPr>
              <w:jc w:val="center"/>
            </w:pPr>
            <w:r/>
            <w:r>
              <w:rPr>
                <w:rFonts w:ascii="Times New Roman" w:hAnsi="Times New Roman" w:eastAsia="宋体"/>
                <w:b w:val="0"/>
                <w:sz w:val="21"/>
              </w:rPr>
              <w:t>[0, 0.1)</w:t>
            </w:r>
          </w:p>
        </w:tc>
        <w:tc>
          <w:tcPr>
            <w:tcW w:type="dxa" w:w="2078"/>
          </w:tcPr>
          <w:p>
            <w:pPr>
              <w:jc w:val="center"/>
            </w:pPr>
            <w:r/>
            <w:r>
              <w:rPr>
                <w:rFonts w:ascii="Times New Roman" w:hAnsi="Times New Roman" w:eastAsia="宋体"/>
                <w:b w:val="0"/>
                <w:sz w:val="21"/>
              </w:rPr>
              <w:t>极度失调</w:t>
            </w:r>
          </w:p>
        </w:tc>
        <w:tc>
          <w:tcPr>
            <w:tcW w:type="dxa" w:w="2078"/>
          </w:tcPr>
          <w:p>
            <w:pPr>
              <w:jc w:val="center"/>
            </w:pPr>
            <w:r/>
            <w:r>
              <w:rPr>
                <w:rFonts w:ascii="Times New Roman" w:hAnsi="Times New Roman" w:eastAsia="宋体"/>
                <w:b w:val="0"/>
                <w:sz w:val="21"/>
              </w:rPr>
              <w:t>[0.5, 0.6)</w:t>
            </w:r>
          </w:p>
        </w:tc>
        <w:tc>
          <w:tcPr>
            <w:tcW w:type="dxa" w:w="2078"/>
          </w:tcPr>
          <w:p>
            <w:pPr>
              <w:jc w:val="center"/>
            </w:pPr>
            <w:r/>
            <w:r>
              <w:rPr>
                <w:rFonts w:ascii="Times New Roman" w:hAnsi="Times New Roman" w:eastAsia="宋体"/>
                <w:b w:val="0"/>
                <w:sz w:val="21"/>
              </w:rPr>
              <w:t>勉强协调</w:t>
            </w:r>
          </w:p>
        </w:tc>
      </w:tr>
      <w:tr>
        <w:tc>
          <w:tcPr>
            <w:tcW w:type="dxa" w:w="2078"/>
          </w:tcPr>
          <w:p>
            <w:pPr>
              <w:jc w:val="center"/>
            </w:pPr>
            <w:r/>
            <w:r>
              <w:rPr>
                <w:rFonts w:ascii="Times New Roman" w:hAnsi="Times New Roman" w:eastAsia="宋体"/>
                <w:b w:val="0"/>
                <w:sz w:val="21"/>
              </w:rPr>
              <w:t>[0.1, 0.2)</w:t>
            </w:r>
          </w:p>
        </w:tc>
        <w:tc>
          <w:tcPr>
            <w:tcW w:type="dxa" w:w="2078"/>
          </w:tcPr>
          <w:p>
            <w:pPr>
              <w:jc w:val="center"/>
            </w:pPr>
            <w:r/>
            <w:r>
              <w:rPr>
                <w:rFonts w:ascii="Times New Roman" w:hAnsi="Times New Roman" w:eastAsia="宋体"/>
                <w:b w:val="0"/>
                <w:sz w:val="21"/>
              </w:rPr>
              <w:t>严重失调</w:t>
            </w:r>
          </w:p>
        </w:tc>
        <w:tc>
          <w:tcPr>
            <w:tcW w:type="dxa" w:w="2078"/>
          </w:tcPr>
          <w:p>
            <w:pPr>
              <w:jc w:val="center"/>
            </w:pPr>
            <w:r/>
            <w:r>
              <w:rPr>
                <w:rFonts w:ascii="Times New Roman" w:hAnsi="Times New Roman" w:eastAsia="宋体"/>
                <w:b w:val="0"/>
                <w:sz w:val="21"/>
              </w:rPr>
              <w:t>[0.6, 0.7)</w:t>
            </w:r>
          </w:p>
        </w:tc>
        <w:tc>
          <w:tcPr>
            <w:tcW w:type="dxa" w:w="2078"/>
          </w:tcPr>
          <w:p>
            <w:pPr>
              <w:jc w:val="center"/>
            </w:pPr>
            <w:r/>
            <w:r>
              <w:rPr>
                <w:rFonts w:ascii="Times New Roman" w:hAnsi="Times New Roman" w:eastAsia="宋体"/>
                <w:b w:val="0"/>
                <w:sz w:val="21"/>
              </w:rPr>
              <w:t>初级协调</w:t>
            </w:r>
          </w:p>
        </w:tc>
      </w:tr>
      <w:tr>
        <w:tc>
          <w:tcPr>
            <w:tcW w:type="dxa" w:w="2078"/>
          </w:tcPr>
          <w:p>
            <w:pPr>
              <w:jc w:val="center"/>
            </w:pPr>
            <w:r/>
            <w:r>
              <w:rPr>
                <w:rFonts w:ascii="Times New Roman" w:hAnsi="Times New Roman" w:eastAsia="宋体"/>
                <w:b w:val="0"/>
                <w:sz w:val="21"/>
              </w:rPr>
              <w:t>[0.2, 0.3)</w:t>
            </w:r>
          </w:p>
        </w:tc>
        <w:tc>
          <w:tcPr>
            <w:tcW w:type="dxa" w:w="2078"/>
          </w:tcPr>
          <w:p>
            <w:pPr>
              <w:jc w:val="center"/>
            </w:pPr>
            <w:r/>
            <w:r>
              <w:rPr>
                <w:rFonts w:ascii="Times New Roman" w:hAnsi="Times New Roman" w:eastAsia="宋体"/>
                <w:b w:val="0"/>
                <w:sz w:val="21"/>
              </w:rPr>
              <w:t>中度失调</w:t>
            </w:r>
          </w:p>
        </w:tc>
        <w:tc>
          <w:tcPr>
            <w:tcW w:type="dxa" w:w="2078"/>
          </w:tcPr>
          <w:p>
            <w:pPr>
              <w:jc w:val="center"/>
            </w:pPr>
            <w:r/>
            <w:r>
              <w:rPr>
                <w:rFonts w:ascii="Times New Roman" w:hAnsi="Times New Roman" w:eastAsia="宋体"/>
                <w:b w:val="0"/>
                <w:sz w:val="21"/>
              </w:rPr>
              <w:t>[0.7, 0.8)</w:t>
            </w:r>
          </w:p>
        </w:tc>
        <w:tc>
          <w:tcPr>
            <w:tcW w:type="dxa" w:w="2078"/>
          </w:tcPr>
          <w:p>
            <w:pPr>
              <w:jc w:val="center"/>
            </w:pPr>
            <w:r/>
            <w:r>
              <w:rPr>
                <w:rFonts w:ascii="Times New Roman" w:hAnsi="Times New Roman" w:eastAsia="宋体"/>
                <w:b w:val="0"/>
                <w:sz w:val="21"/>
              </w:rPr>
              <w:t>中级协调</w:t>
            </w:r>
          </w:p>
        </w:tc>
      </w:tr>
      <w:tr>
        <w:tc>
          <w:tcPr>
            <w:tcW w:type="dxa" w:w="2078"/>
          </w:tcPr>
          <w:p>
            <w:pPr>
              <w:jc w:val="center"/>
            </w:pPr>
            <w:r/>
            <w:r>
              <w:rPr>
                <w:rFonts w:ascii="Times New Roman" w:hAnsi="Times New Roman" w:eastAsia="宋体"/>
                <w:b w:val="0"/>
                <w:sz w:val="21"/>
              </w:rPr>
              <w:t>[0.3, 0.4)</w:t>
            </w:r>
          </w:p>
        </w:tc>
        <w:tc>
          <w:tcPr>
            <w:tcW w:type="dxa" w:w="2078"/>
          </w:tcPr>
          <w:p>
            <w:pPr>
              <w:jc w:val="center"/>
            </w:pPr>
            <w:r/>
            <w:r>
              <w:rPr>
                <w:rFonts w:ascii="Times New Roman" w:hAnsi="Times New Roman" w:eastAsia="宋体"/>
                <w:b w:val="0"/>
                <w:sz w:val="21"/>
              </w:rPr>
              <w:t>轻度失调</w:t>
            </w:r>
          </w:p>
        </w:tc>
        <w:tc>
          <w:tcPr>
            <w:tcW w:type="dxa" w:w="2078"/>
          </w:tcPr>
          <w:p>
            <w:pPr>
              <w:jc w:val="center"/>
            </w:pPr>
            <w:r/>
            <w:r>
              <w:rPr>
                <w:rFonts w:ascii="Times New Roman" w:hAnsi="Times New Roman" w:eastAsia="宋体"/>
                <w:b w:val="0"/>
                <w:sz w:val="21"/>
              </w:rPr>
              <w:t>[0.8, 0.9)</w:t>
            </w:r>
          </w:p>
        </w:tc>
        <w:tc>
          <w:tcPr>
            <w:tcW w:type="dxa" w:w="2078"/>
          </w:tcPr>
          <w:p>
            <w:pPr>
              <w:jc w:val="center"/>
            </w:pPr>
            <w:r/>
            <w:r>
              <w:rPr>
                <w:rFonts w:ascii="Times New Roman" w:hAnsi="Times New Roman" w:eastAsia="宋体"/>
                <w:b w:val="0"/>
                <w:sz w:val="21"/>
              </w:rPr>
              <w:t>良好协调</w:t>
            </w:r>
          </w:p>
        </w:tc>
      </w:tr>
      <w:tr>
        <w:tc>
          <w:tcPr>
            <w:tcW w:type="dxa" w:w="2078"/>
          </w:tcPr>
          <w:p>
            <w:pPr>
              <w:jc w:val="center"/>
            </w:pPr>
            <w:r/>
            <w:r>
              <w:rPr>
                <w:rFonts w:ascii="Times New Roman" w:hAnsi="Times New Roman" w:eastAsia="宋体"/>
                <w:b w:val="0"/>
                <w:sz w:val="21"/>
              </w:rPr>
              <w:t>[0.4, 0.5)</w:t>
            </w:r>
          </w:p>
        </w:tc>
        <w:tc>
          <w:tcPr>
            <w:tcW w:type="dxa" w:w="2078"/>
          </w:tcPr>
          <w:p>
            <w:pPr>
              <w:jc w:val="center"/>
            </w:pPr>
            <w:r/>
            <w:r>
              <w:rPr>
                <w:rFonts w:ascii="Times New Roman" w:hAnsi="Times New Roman" w:eastAsia="宋体"/>
                <w:b w:val="0"/>
                <w:sz w:val="21"/>
              </w:rPr>
              <w:t>濒临失调</w:t>
            </w:r>
          </w:p>
        </w:tc>
        <w:tc>
          <w:tcPr>
            <w:tcW w:type="dxa" w:w="2078"/>
          </w:tcPr>
          <w:p>
            <w:pPr>
              <w:jc w:val="center"/>
            </w:pPr>
            <w:r/>
            <w:r>
              <w:rPr>
                <w:rFonts w:ascii="Times New Roman" w:hAnsi="Times New Roman" w:eastAsia="宋体"/>
                <w:b w:val="0"/>
                <w:sz w:val="21"/>
              </w:rPr>
              <w:t>[0.9, 1.0]</w:t>
            </w:r>
          </w:p>
        </w:tc>
        <w:tc>
          <w:tcPr>
            <w:tcW w:type="dxa" w:w="2078"/>
          </w:tcPr>
          <w:p>
            <w:pPr>
              <w:jc w:val="center"/>
            </w:pPr>
            <w:r/>
            <w:r>
              <w:rPr>
                <w:rFonts w:ascii="Times New Roman" w:hAnsi="Times New Roman" w:eastAsia="宋体"/>
                <w:b w:val="0"/>
                <w:sz w:val="21"/>
              </w:rPr>
              <w:t>优质协调</w:t>
            </w:r>
          </w:p>
        </w:tc>
      </w:tr>
    </w:tbl>
    <w:p>
      <w:pPr>
        <w:spacing w:after="0"/>
      </w:pPr>
    </w:p>
    <w:p>
      <w:pPr>
        <w:spacing w:line="360" w:lineRule="auto" w:after="0"/>
        <w:ind w:firstLine="480"/>
        <w:jc w:val="both"/>
      </w:pPr>
      <w:r>
        <w:rPr>
          <w:rFonts w:ascii="Times New Roman" w:hAnsi="Times New Roman" w:eastAsia="宋体"/>
          <w:b w:val="0"/>
          <w:sz w:val="24"/>
        </w:rPr>
        <w:t>需要说明的是，实证章将同时报告</w:t>
      </w:r>
      <m:oMath>
        <m:r>
          <w:rPr>
            <w:rFonts w:ascii="Cambria Math" w:hAnsi="Cambria Math"/>
          </w:rPr>
          <m:t xml:space="preserve">C</m:t>
        </m:r>
      </m:oMath>
      <w:r>
        <w:rPr>
          <w:rFonts w:ascii="Times New Roman" w:hAnsi="Times New Roman" w:eastAsia="宋体"/>
          <w:b w:val="0"/>
          <w:sz w:val="24"/>
        </w:rPr>
        <w:t>、</w:t>
      </w:r>
      <m:oMath>
        <m:r>
          <w:rPr>
            <w:rFonts w:ascii="Cambria Math" w:hAnsi="Cambria Math"/>
          </w:rPr>
          <m:t xml:space="preserve">T</m:t>
        </m:r>
      </m:oMath>
      <w:r>
        <w:rPr>
          <w:rFonts w:ascii="Times New Roman" w:hAnsi="Times New Roman" w:eastAsia="宋体"/>
          <w:b w:val="0"/>
          <w:sz w:val="24"/>
        </w:rPr>
        <w:t>、</w:t>
      </w:r>
      <m:oMath>
        <m:r>
          <w:rPr>
            <w:rFonts w:ascii="Cambria Math" w:hAnsi="Cambria Math"/>
          </w:rPr>
          <m:t xml:space="preserve">D</m:t>
        </m:r>
      </m:oMath>
      <w:r>
        <w:rPr>
          <w:rFonts w:ascii="Times New Roman" w:hAnsi="Times New Roman" w:eastAsia="宋体"/>
          <w:b w:val="0"/>
          <w:sz w:val="24"/>
        </w:rPr>
        <w:t>三个量值：</w:t>
      </w:r>
      <m:oMath>
        <m:r>
          <w:rPr>
            <w:rFonts w:ascii="Cambria Math" w:hAnsi="Cambria Math"/>
          </w:rPr>
          <m:t xml:space="preserve">C</m:t>
        </m:r>
      </m:oMath>
      <w:r>
        <w:rPr>
          <w:rFonts w:ascii="Times New Roman" w:hAnsi="Times New Roman" w:eastAsia="宋体"/>
          <w:b w:val="0"/>
          <w:sz w:val="24"/>
        </w:rPr>
        <w:t>反映两系统“是否同频”，</w:t>
      </w:r>
      <m:oMath>
        <m:r>
          <w:rPr>
            <w:rFonts w:ascii="Cambria Math" w:hAnsi="Cambria Math"/>
          </w:rPr>
          <m:t xml:space="preserve">T</m:t>
        </m:r>
      </m:oMath>
      <w:r>
        <w:rPr>
          <w:rFonts w:ascii="Times New Roman" w:hAnsi="Times New Roman" w:eastAsia="宋体"/>
          <w:b w:val="0"/>
          <w:sz w:val="24"/>
        </w:rPr>
        <w:t>反映两系统“水平几何”，</w:t>
      </w:r>
      <m:oMath>
        <m:r>
          <w:rPr>
            <w:rFonts w:ascii="Cambria Math" w:hAnsi="Cambria Math"/>
          </w:rPr>
          <m:t xml:space="preserve">D</m:t>
        </m:r>
      </m:oMath>
      <w:r>
        <w:rPr>
          <w:rFonts w:ascii="Times New Roman" w:hAnsi="Times New Roman" w:eastAsia="宋体"/>
          <w:b w:val="0"/>
          <w:sz w:val="24"/>
        </w:rPr>
        <w:t>综合二者刻画协调发展的总体态势。三者分开解读，可以辨识耦合协调度提升的结构性来源，避免以单一指标掩盖系统演化的内在细节。</w:t>
      </w:r>
    </w:p>
    <w:p>
      <w:pPr>
        <w:spacing w:line="360" w:lineRule="auto" w:after="0"/>
        <w:ind w:firstLine="480"/>
        <w:jc w:val="both"/>
      </w:pPr>
      <w:r>
        <w:rPr>
          <w:rFonts w:ascii="Times New Roman" w:hAnsi="Times New Roman" w:eastAsia="宋体"/>
          <w:b w:val="0"/>
          <w:sz w:val="24"/>
        </w:rPr>
        <w:t>从学术脉络看，耦合协调度模型经由环境与经济协调发展研究的开创性工作确立基本范式[110]，其后在城市化与生态环境[111,112]、科技金融与科技创新[115,118]、乡村振兴与新型城镇化等双系统关系研究中得到广泛应用，已成为刻画区域复合系统互动的成熟工具。但方法的流行也伴随着误用的累积。方法论研究指出，国内应用中的常见问题包括：耦合度公式形式不统一导致取值域压缩或越界、以耦合度直接替代协调度作结论、协调等级标准脱离研究情境随意套用、忽视双系统低水平均衡造成的伪协调误判等[126,127]。本研究据此作三重规避：其一，采用取值域规范于</w:t>
      </w:r>
      <m:oMath>
        <m:d>
          <m:dPr>
            <m:begChr m:val="["/>
            <m:endChr m:val="]"/>
          </m:dPr>
          <m:e>
            <m:r>
              <w:rPr>
                <w:rFonts w:ascii="Cambria Math" w:hAnsi="Cambria Math"/>
              </w:rPr>
              <m:t xml:space="preserve">0,1</m:t>
            </m:r>
          </m:e>
        </m:d>
      </m:oMath>
      <w:r>
        <w:rPr>
          <w:rFonts w:ascii="Times New Roman" w:hAnsi="Times New Roman" w:eastAsia="宋体"/>
          <w:b w:val="0"/>
          <w:sz w:val="24"/>
        </w:rPr>
        <w:t>的耦合度形式，避免量纲畸变对跨年比较的干扰；其二，坚持以</w:t>
      </w:r>
      <m:oMath>
        <m:r>
          <w:rPr>
            <w:rFonts w:ascii="Cambria Math" w:hAnsi="Cambria Math"/>
          </w:rPr>
          <m:t xml:space="preserve">D</m:t>
        </m:r>
      </m:oMath>
      <w:r>
        <w:rPr>
          <w:rFonts w:ascii="Times New Roman" w:hAnsi="Times New Roman" w:eastAsia="宋体"/>
          <w:b w:val="0"/>
          <w:sz w:val="24"/>
        </w:rPr>
        <w:t>而非</w:t>
      </w:r>
      <m:oMath>
        <m:r>
          <w:rPr>
            <w:rFonts w:ascii="Cambria Math" w:hAnsi="Cambria Math"/>
          </w:rPr>
          <m:t xml:space="preserve">C</m:t>
        </m:r>
      </m:oMath>
      <w:r>
        <w:rPr>
          <w:rFonts w:ascii="Times New Roman" w:hAnsi="Times New Roman" w:eastAsia="宋体"/>
          <w:b w:val="0"/>
          <w:sz w:val="24"/>
        </w:rPr>
        <w:t>作为核心结论指标，并同步报告</w:t>
      </w:r>
      <m:oMath>
        <m:r>
          <w:rPr>
            <w:rFonts w:ascii="Cambria Math" w:hAnsi="Cambria Math"/>
          </w:rPr>
          <m:t xml:space="preserve">C</m:t>
        </m:r>
      </m:oMath>
      <w:r>
        <w:rPr>
          <w:rFonts w:ascii="Times New Roman" w:hAnsi="Times New Roman" w:eastAsia="宋体"/>
          <w:b w:val="0"/>
          <w:sz w:val="24"/>
        </w:rPr>
        <w:t>、</w:t>
      </w:r>
      <m:oMath>
        <m:r>
          <w:rPr>
            <w:rFonts w:ascii="Cambria Math" w:hAnsi="Cambria Math"/>
          </w:rPr>
          <m:t xml:space="preserve">T</m:t>
        </m:r>
      </m:oMath>
      <w:r>
        <w:rPr>
          <w:rFonts w:ascii="Times New Roman" w:hAnsi="Times New Roman" w:eastAsia="宋体"/>
          <w:b w:val="0"/>
          <w:sz w:val="24"/>
        </w:rPr>
        <w:t>、</w:t>
      </w:r>
      <m:oMath>
        <m:r>
          <w:rPr>
            <w:rFonts w:ascii="Cambria Math" w:hAnsi="Cambria Math"/>
          </w:rPr>
          <m:t xml:space="preserve">D</m:t>
        </m:r>
      </m:oMath>
      <w:r>
        <w:rPr>
          <w:rFonts w:ascii="Times New Roman" w:hAnsi="Times New Roman" w:eastAsia="宋体"/>
          <w:b w:val="0"/>
          <w:sz w:val="24"/>
        </w:rPr>
        <w:t>三个量值以分解协调水平的结构来源；其三，对样本期内两系统指数双低而耦合度偏高的年份，明确以低水平耦合作解释性标注，防止将“同频于低位”误读为“协调于高位”。至于综合协调指数中</w:t>
      </w:r>
      <m:oMath>
        <m:r>
          <w:rPr>
            <w:rFonts w:ascii="Cambria Math" w:hAnsi="Cambria Math"/>
          </w:rPr>
          <m:t xml:space="preserve">α</m:t>
        </m:r>
      </m:oMath>
      <w:r>
        <w:rPr>
          <w:rFonts w:ascii="Times New Roman" w:hAnsi="Times New Roman" w:eastAsia="宋体"/>
          <w:b w:val="0"/>
          <w:sz w:val="24"/>
        </w:rPr>
        <w:t>、</w:t>
      </w:r>
      <m:oMath>
        <m:r>
          <w:rPr>
            <w:rFonts w:ascii="Cambria Math" w:hAnsi="Cambria Math"/>
          </w:rPr>
          <m:t xml:space="preserve">β</m:t>
        </m:r>
      </m:oMath>
      <w:r>
        <w:rPr>
          <w:rFonts w:ascii="Times New Roman" w:hAnsi="Times New Roman" w:eastAsia="宋体"/>
          <w:b w:val="0"/>
          <w:sz w:val="24"/>
        </w:rPr>
        <w:t>的取值，本研究基于两系统互为条件、互为因果的理论对称性取等权，其合理性连同其他方法参数一并纳入敏感性讨论。</w:t>
      </w:r>
    </w:p>
    <w:p>
      <w:pPr>
        <w:spacing w:line="360" w:lineRule="auto" w:after="0"/>
        <w:ind w:firstLine="480"/>
        <w:jc w:val="both"/>
      </w:pPr>
      <w:r>
        <w:rPr>
          <w:rFonts w:ascii="Times New Roman" w:hAnsi="Times New Roman" w:eastAsia="宋体"/>
          <w:b w:val="0"/>
          <w:sz w:val="24"/>
        </w:rPr>
        <w:t>3．fsQCA方法及其选择依据。为在全国坐标系中识别共富型新质生产力发展的多元实现路径，本研究以31个省（自治区、直辖市）为案例开展模糊集定性比较分析[149,150]。选择该方法主要基于方法论与研究情境的双重考量。一方面，从方法论适配性看，fsQCA以集合论与布尔代数为基础，将案例视为条件的组态，能够识别多重前因条件经由“联动匹配、多重并发”产生结果的复杂因果关系，兼容“殊途同归”的等效性特征与“因果非对称”特征[147]——即导致高绩效与非高绩效的条件组合并非互为镜像，从而克服传统回归分析聚焦单一变量净效应、隐含因果对称假设的局限；同时，fsQCA在中小样本条件下具有独特优势，31个省级案例与5个前因条件的配置符合该方法关于样本量与条件数适配的通行要求，能够兼顾案例分析的深度与跨案例比较的广度。另一方面，从研究情境适配性看，共同富裕取向的发展绩效并非某一要素单兵突进的线性结果，而是创新投入、数字金融、人力资本、民营经济、城镇化等多重条件相互依存、协同联动的系统性产物；理论框架部分提出的命题P3明确预设“共富型发展存在多元等效组态路径”，而各省份资源禀赋与发展阶段差异悬殊，《建议》“因地制宜发展新质生产力”的要求在方法论上恰恰对应组态思维而非唯一“最优解”思维。fsQCA能够识别通往高共富绩效的多条等效路径，并定位浙江所属的组态类型，为评估浙江路径的独特性与可推广性提供全国参照。具体设定上，结果变量为共富绩效指数，由居民人均可支配收入与城乡居民收入倍差（逆向）经熵值法合成；条件变量为创新投入强度、数字普惠金融、人力资本水平、民营经济活力与城镇化水平五项；校准采用直接校准法，以样本95%、50%、5%分位数分别作为完全隶属、交叉点与完全不隶属的锚点[129]，对校准后隶属度恰为0.5的案例调整为0.501以避免案例信息丢失。变量测量、校准锚点与阈值设定的完整细节详见实证章。</w:t>
      </w:r>
    </w:p>
    <w:p>
      <w:pPr>
        <w:spacing w:line="360" w:lineRule="auto" w:after="0"/>
        <w:ind w:firstLine="480"/>
        <w:jc w:val="both"/>
      </w:pPr>
      <w:r>
        <w:rPr>
          <w:rFonts w:ascii="Times New Roman" w:hAnsi="Times New Roman" w:eastAsia="宋体"/>
          <w:b w:val="0"/>
          <w:sz w:val="24"/>
        </w:rPr>
        <w:t>为便于理解组态结果的方法论意涵，这里对fsQCA的三个技术环节作进一步展开。其一，校准的集合论逻辑。校准是将原始变量转换为取值介于0与1之间的集合隶属度的过程，实质是研究者依据理论与经验知识回答“某案例在多大程度上属于某一集合”[129,137]。直接校准法以三个锚点确定隶属函数形态：高于完全隶属点的案例视为集合的典型成员，低于完全不隶属点的案例视为非成员，交叉点则是隶属与否最为模糊的定性转折点。以样本分位数设定锚点是省际组态研究的通行做法[138,147]，其优点是锚点由样本分布客观给出、不依赖研究者主观划线；实证章将同时披露各锚点对应的原始值以供核验。其二，一致性与覆盖度的集合论含义。一致性度量呈现某组态的案例在多大程度上同时呈现结果，对应充分性命题得到经验支持的程度；覆盖度度量该组态能够解释结果集合中的多大份额，是组态经验相关性的度量[130,131]；前者是判定组态能否成立的门槛，后者是衡量组态经验重要性的标尺。其三，真值表最小化的原理。真值表将全部案例按条件组合归入逻辑行，保留满足案例频数与一致性阈值的行，再依布尔代数进行最小化：若两行仅有某一条件取值相异而结果相同，则该条件对结果不发挥作用、可予约简[128,136]。逐步约简后得到的简约表达即为通往结果的等效路径集合。本研究报告中间解，并依据核心条件与边缘条件的区分呈现各路径的构型特征。</w:t>
      </w:r>
    </w:p>
    <w:p>
      <w:pPr>
        <w:spacing w:line="360" w:lineRule="auto" w:after="0"/>
        <w:ind w:firstLine="480"/>
        <w:jc w:val="both"/>
      </w:pPr>
      <w:r>
        <w:rPr>
          <w:rFonts w:ascii="Times New Roman" w:hAnsi="Times New Roman" w:eastAsia="宋体"/>
          <w:b w:val="0"/>
          <w:sz w:val="24"/>
        </w:rPr>
        <w:t>4．障碍度模型、相对发展度与灰色关联分析。为深化测度结果的结构性解读并考察其稳健性，本研究引入三类辅助分析工具。其一，障碍度模型用于识别制约系统水平提升的关键短板。第</w:t>
      </w:r>
      <m:oMath>
        <m:r>
          <w:rPr>
            <w:rFonts w:ascii="Cambria Math" w:hAnsi="Cambria Math"/>
          </w:rPr>
          <m:t xml:space="preserve">i</m:t>
        </m:r>
      </m:oMath>
      <w:r>
        <w:rPr>
          <w:rFonts w:ascii="Times New Roman" w:hAnsi="Times New Roman" w:eastAsia="宋体"/>
          <w:b w:val="0"/>
          <w:sz w:val="24"/>
        </w:rPr>
        <w:t>年第</w:t>
      </w:r>
      <m:oMath>
        <m:r>
          <w:rPr>
            <w:rFonts w:ascii="Cambria Math" w:hAnsi="Cambria Math"/>
          </w:rPr>
          <m:t xml:space="preserve">j</m:t>
        </m:r>
      </m:oMath>
      <w:r>
        <w:rPr>
          <w:rFonts w:ascii="Times New Roman" w:hAnsi="Times New Roman" w:eastAsia="宋体"/>
          <w:b w:val="0"/>
          <w:sz w:val="24"/>
        </w:rPr>
        <w:t>项指标的障碍度定义为：</w:t>
      </w:r>
    </w:p>
    <w:p>
      <w:pPr>
        <w:tabs>
          <w:tab w:pos="4156" w:val="center"/>
          <w:tab w:pos="8311" w:val="right"/>
        </w:tabs>
        <w:spacing w:before="80" w:after="80" w:line="360" w:lineRule="auto"/>
        <w:jc w:val="left"/>
      </w:pPr>
      <w:r>
        <w:tab/>
      </w:r>
      <m:oMath>
        <m:sSub>
          <m:e>
            <m:r>
              <w:rPr>
                <w:rFonts w:ascii="Cambria Math" w:hAnsi="Cambria Math"/>
              </w:rPr>
              <m:t xml:space="preserve">O</m:t>
            </m:r>
          </m:e>
          <m:sub>
            <m:r>
              <w:rPr>
                <w:rFonts w:ascii="Cambria Math" w:hAnsi="Cambria Math"/>
              </w:rPr>
              <m:t xml:space="preserve">ij</m:t>
            </m:r>
          </m:sub>
        </m:sSub>
        <m:r>
          <w:rPr>
            <w:rFonts w:ascii="Cambria Math" w:hAnsi="Cambria Math"/>
          </w:rPr>
          <m:t xml:space="preserve">=</m:t>
        </m:r>
        <m:f>
          <m:num>
            <m:sSub>
              <m:e>
                <m:r>
                  <w:rPr>
                    <w:rFonts w:ascii="Cambria Math" w:hAnsi="Cambria Math"/>
                  </w:rPr>
                  <m:t xml:space="preserve">w</m:t>
                </m:r>
              </m:e>
              <m:sub>
                <m:r>
                  <w:rPr>
                    <w:rFonts w:ascii="Cambria Math" w:hAnsi="Cambria Math"/>
                  </w:rPr>
                  <m:t xml:space="preserve">j</m:t>
                </m:r>
              </m:sub>
            </m:sSub>
            <m:r>
              <w:rPr>
                <w:rFonts w:ascii="Cambria Math" w:hAnsi="Cambria Math"/>
              </w:rPr>
              <m:t xml:space="preserve">·</m:t>
            </m:r>
            <m:d>
              <m:dPr>
                <m:begChr m:val="("/>
                <m:endChr m:val=")"/>
              </m:dPr>
              <m:e>
                <m:r>
                  <w:rPr>
                    <w:rFonts w:ascii="Cambria Math" w:hAnsi="Cambria Math"/>
                  </w:rPr>
                  <m:t xml:space="preserve">1−</m:t>
                </m:r>
                <m:sSub>
                  <m:e>
                    <m:r>
                      <w:rPr>
                        <w:rFonts w:ascii="Cambria Math" w:hAnsi="Cambria Math"/>
                      </w:rPr>
                      <m:t xml:space="preserve">x′</m:t>
                    </m:r>
                  </m:e>
                  <m:sub>
                    <m:r>
                      <w:rPr>
                        <w:rFonts w:ascii="Cambria Math" w:hAnsi="Cambria Math"/>
                      </w:rPr>
                      <m:t xml:space="preserve">ij</m:t>
                    </m:r>
                  </m:sub>
                </m:sSub>
              </m:e>
            </m:d>
          </m:num>
          <m:den>
            <m:nary>
              <m:naryPr>
                <m:chr m:val="∑"/>
                <m:limLoc m:val="subSup"/>
                <m:supHide m:val="1"/>
              </m:naryPr>
              <m:sub>
                <m:r>
                  <w:rPr>
                    <w:rFonts w:ascii="Cambria Math" w:hAnsi="Cambria Math"/>
                  </w:rPr>
                  <m:t xml:space="preserve">j</m:t>
                </m:r>
              </m:sub>
              <m:sup/>
              <m:e>
                <m:d>
                  <m:dPr>
                    <m:begChr m:val="["/>
                    <m:endChr m:val="]"/>
                  </m:dPr>
                  <m:e>
                    <m:sSub>
                      <m:e>
                        <m:r>
                          <w:rPr>
                            <w:rFonts w:ascii="Cambria Math" w:hAnsi="Cambria Math"/>
                          </w:rPr>
                          <m:t xml:space="preserve">w</m:t>
                        </m:r>
                      </m:e>
                      <m:sub>
                        <m:r>
                          <w:rPr>
                            <w:rFonts w:ascii="Cambria Math" w:hAnsi="Cambria Math"/>
                          </w:rPr>
                          <m:t xml:space="preserve">j</m:t>
                        </m:r>
                      </m:sub>
                    </m:sSub>
                    <m:r>
                      <w:rPr>
                        <w:rFonts w:ascii="Cambria Math" w:hAnsi="Cambria Math"/>
                      </w:rPr>
                      <m:t xml:space="preserve">·</m:t>
                    </m:r>
                    <m:d>
                      <m:dPr>
                        <m:begChr m:val="("/>
                        <m:endChr m:val=")"/>
                      </m:dPr>
                      <m:e>
                        <m:r>
                          <w:rPr>
                            <w:rFonts w:ascii="Cambria Math" w:hAnsi="Cambria Math"/>
                          </w:rPr>
                          <m:t xml:space="preserve">1−</m:t>
                        </m:r>
                        <m:sSub>
                          <m:e>
                            <m:r>
                              <w:rPr>
                                <w:rFonts w:ascii="Cambria Math" w:hAnsi="Cambria Math"/>
                              </w:rPr>
                              <m:t xml:space="preserve">x′</m:t>
                            </m:r>
                          </m:e>
                          <m:sub>
                            <m:r>
                              <w:rPr>
                                <w:rFonts w:ascii="Cambria Math" w:hAnsi="Cambria Math"/>
                              </w:rPr>
                              <m:t xml:space="preserve">ij</m:t>
                            </m:r>
                          </m:sub>
                        </m:sSub>
                      </m:e>
                    </m:d>
                  </m:e>
                </m:d>
              </m:e>
            </m:nary>
          </m:den>
        </m:f>
        <m:r>
          <w:rPr>
            <w:rFonts w:ascii="Cambria Math" w:hAnsi="Cambria Math"/>
          </w:rPr>
          <m:t xml:space="preserve">×</m:t>
        </m:r>
        <m:r>
          <w:rPr>
            <w:rFonts w:ascii="Cambria Math" w:hAnsi="Cambria Math"/>
          </w:rPr>
          <m:t xml:space="preserve">100%</m:t>
        </m:r>
      </m:oMath>
      <w:r>
        <w:tab/>
      </w:r>
      <w:r>
        <w:rPr>
          <w:rFonts w:ascii="Times New Roman" w:hAnsi="Times New Roman" w:eastAsia="宋体"/>
          <w:b w:val="0"/>
          <w:sz w:val="24"/>
        </w:rPr>
        <w:t>（21）</w:t>
      </w:r>
    </w:p>
    <w:p>
      <w:pPr>
        <w:spacing w:line="360" w:lineRule="auto" w:after="0"/>
        <w:ind w:firstLine="480"/>
        <w:jc w:val="both"/>
      </w:pPr>
      <w:r>
        <w:rPr>
          <w:rFonts w:ascii="Times New Roman" w:hAnsi="Times New Roman" w:eastAsia="宋体"/>
          <w:b w:val="0"/>
          <w:sz w:val="24"/>
        </w:rPr>
        <w:t>其中</w:t>
      </w:r>
      <m:oMath>
        <m:d>
          <m:dPr>
            <m:begChr m:val="("/>
            <m:endChr m:val=")"/>
          </m:dPr>
          <m:e>
            <m:r>
              <w:rPr>
                <w:rFonts w:ascii="Cambria Math" w:hAnsi="Cambria Math"/>
              </w:rPr>
              <m:t xml:space="preserve">1−</m:t>
            </m:r>
            <m:sSub>
              <m:e>
                <m:r>
                  <w:rPr>
                    <w:rFonts w:ascii="Cambria Math" w:hAnsi="Cambria Math"/>
                  </w:rPr>
                  <m:t xml:space="preserve">x′</m:t>
                </m:r>
              </m:e>
              <m:sub>
                <m:r>
                  <w:rPr>
                    <w:rFonts w:ascii="Cambria Math" w:hAnsi="Cambria Math"/>
                  </w:rPr>
                  <m:t xml:space="preserve">ij</m:t>
                </m:r>
              </m:sub>
            </m:sSub>
          </m:e>
        </m:d>
      </m:oMath>
      <w:r>
        <w:rPr>
          <w:rFonts w:ascii="Times New Roman" w:hAnsi="Times New Roman" w:eastAsia="宋体"/>
          <w:b w:val="0"/>
          <w:sz w:val="24"/>
        </w:rPr>
        <w:t>为指标偏离度，度量该指标与理想水平的差距。障碍度兼顾指标的权重地位与现实差距，数值越大表明该指标对系统水平提升的制约越强，可为政策靶点的识别提供指标级证据。其二，相对发展度用于判别两大系统孰快孰慢的同步性形态：</w:t>
      </w:r>
    </w:p>
    <w:p>
      <w:pPr>
        <w:tabs>
          <w:tab w:pos="4156" w:val="center"/>
          <w:tab w:pos="8311" w:val="right"/>
        </w:tabs>
        <w:spacing w:before="80" w:after="80" w:line="360" w:lineRule="auto"/>
        <w:jc w:val="left"/>
      </w:pPr>
      <w:r>
        <w:tab/>
      </w:r>
      <m:oMath>
        <m:sSub>
          <m:e>
            <m:r>
              <w:rPr>
                <w:rFonts w:ascii="Cambria Math" w:hAnsi="Cambria Math"/>
              </w:rPr>
              <m:t xml:space="preserve">β</m:t>
            </m:r>
          </m:e>
          <m:sub>
            <m:r>
              <w:rPr>
                <w:rFonts w:ascii="Cambria Math" w:hAnsi="Cambria Math"/>
              </w:rPr>
              <m:t xml:space="preserve">i</m:t>
            </m:r>
          </m:sub>
        </m:sSub>
        <m:r>
          <w:rPr>
            <w:rFonts w:ascii="Cambria Math" w:hAnsi="Cambria Math"/>
          </w:rPr>
          <m:t xml:space="preserve">=</m:t>
        </m:r>
        <m:f>
          <m:num>
            <m:sSub>
              <m:e>
                <m:r>
                  <w:rPr>
                    <w:rFonts w:ascii="Cambria Math" w:hAnsi="Cambria Math"/>
                  </w:rPr>
                  <m:t xml:space="preserve">U</m:t>
                </m:r>
              </m:e>
              <m:sub>
                <m:r>
                  <w:rPr>
                    <w:rFonts w:ascii="Cambria Math" w:hAnsi="Cambria Math"/>
                  </w:rPr>
                  <m:t xml:space="preserve">1i</m:t>
                </m:r>
              </m:sub>
            </m:sSub>
          </m:num>
          <m:den>
            <m:sSub>
              <m:e>
                <m:r>
                  <w:rPr>
                    <w:rFonts w:ascii="Cambria Math" w:hAnsi="Cambria Math"/>
                  </w:rPr>
                  <m:t xml:space="preserve">U</m:t>
                </m:r>
              </m:e>
              <m:sub>
                <m:r>
                  <w:rPr>
                    <w:rFonts w:ascii="Cambria Math" w:hAnsi="Cambria Math"/>
                  </w:rPr>
                  <m:t xml:space="preserve">2i</m:t>
                </m:r>
              </m:sub>
            </m:sSub>
          </m:den>
        </m:f>
      </m:oMath>
      <w:r>
        <w:tab/>
      </w:r>
      <w:r>
        <w:rPr>
          <w:rFonts w:ascii="Times New Roman" w:hAnsi="Times New Roman" w:eastAsia="宋体"/>
          <w:b w:val="0"/>
          <w:sz w:val="24"/>
        </w:rPr>
        <w:t>（22）</w:t>
      </w:r>
    </w:p>
    <w:p>
      <w:pPr>
        <w:spacing w:line="360" w:lineRule="auto" w:after="0"/>
        <w:ind w:firstLine="480"/>
        <w:jc w:val="both"/>
      </w:pPr>
      <w:r>
        <w:rPr>
          <w:rFonts w:ascii="Times New Roman" w:hAnsi="Times New Roman" w:eastAsia="宋体"/>
          <w:b w:val="0"/>
          <w:sz w:val="24"/>
        </w:rPr>
        <w:t>参照通行判别标准，</w:t>
      </w:r>
      <m:oMath>
        <m:r>
          <w:rPr>
            <w:rFonts w:ascii="Cambria Math" w:hAnsi="Cambria Math"/>
          </w:rPr>
          <m:t xml:space="preserve">β</m:t>
        </m:r>
      </m:oMath>
      <w:r>
        <w:rPr>
          <w:rFonts w:ascii="Times New Roman" w:hAnsi="Times New Roman" w:eastAsia="宋体"/>
          <w:b w:val="0"/>
          <w:sz w:val="24"/>
        </w:rPr>
        <w:t>＞1.1时共同富裕相对滞后，</w:t>
      </w:r>
      <m:oMath>
        <m:r>
          <w:rPr>
            <w:rFonts w:ascii="Cambria Math" w:hAnsi="Cambria Math"/>
          </w:rPr>
          <m:t xml:space="preserve">β</m:t>
        </m:r>
      </m:oMath>
      <w:r>
        <w:rPr>
          <w:rFonts w:ascii="Times New Roman" w:hAnsi="Times New Roman" w:eastAsia="宋体"/>
          <w:b w:val="0"/>
          <w:sz w:val="24"/>
        </w:rPr>
        <w:t>＜0.9时新质生产力相对滞后，0.9≤</w:t>
      </w:r>
      <m:oMath>
        <m:r>
          <w:rPr>
            <w:rFonts w:ascii="Cambria Math" w:hAnsi="Cambria Math"/>
          </w:rPr>
          <m:t xml:space="preserve">β</m:t>
        </m:r>
      </m:oMath>
      <w:r>
        <w:rPr>
          <w:rFonts w:ascii="Times New Roman" w:hAnsi="Times New Roman" w:eastAsia="宋体"/>
          <w:b w:val="0"/>
          <w:sz w:val="24"/>
        </w:rPr>
        <w:t>≤1.1时两系统处于同步发展区间。相对发展度与耦合协调度联用，可在“协调水平高低”之外进一步回答“结构快慢”的问题。其三，灰色关联分析用于考察单项指标与对方系统综合指数之间的关联强度。对经初值化处理的参考序列与比较序列，灰色关联系数与灰色关联度分别为：</w:t>
      </w:r>
    </w:p>
    <w:p>
      <w:pPr>
        <w:tabs>
          <w:tab w:pos="4156" w:val="center"/>
          <w:tab w:pos="8311" w:val="right"/>
        </w:tabs>
        <w:spacing w:before="80" w:after="80" w:line="360" w:lineRule="auto"/>
        <w:jc w:val="left"/>
      </w:pPr>
      <w:r>
        <w:tab/>
      </w:r>
      <m:oMath>
        <m:sSub>
          <m:e>
            <m:r>
              <w:rPr>
                <w:rFonts w:ascii="Cambria Math" w:hAnsi="Cambria Math"/>
              </w:rPr>
              <m:t xml:space="preserve">ξ</m:t>
            </m:r>
          </m:e>
          <m:sub>
            <m:r>
              <w:rPr>
                <w:rFonts w:ascii="Cambria Math" w:hAnsi="Cambria Math"/>
              </w:rPr>
              <m:t xml:space="preserve">ij</m:t>
            </m:r>
          </m:sub>
        </m:sSub>
        <m:r>
          <w:rPr>
            <w:rFonts w:ascii="Cambria Math" w:hAnsi="Cambria Math"/>
          </w:rPr>
          <m:t xml:space="preserve">=</m:t>
        </m:r>
        <m:f>
          <m:num>
            <m:sSub>
              <m:e>
                <m:r>
                  <w:rPr>
                    <w:rFonts w:ascii="Cambria Math" w:hAnsi="Cambria Math"/>
                  </w:rPr>
                  <m:t xml:space="preserve">Δ</m:t>
                </m:r>
              </m:e>
              <m:sub>
                <m:r>
                  <m:rPr>
                    <m:sty m:val="p"/>
                  </m:rPr>
                  <w:rPr>
                    <w:rFonts w:ascii="Cambria Math" w:hAnsi="Cambria Math"/>
                  </w:rPr>
                  <m:t xml:space="preserve">min</m:t>
                </m:r>
              </m:sub>
            </m:sSub>
            <m:r>
              <w:rPr>
                <w:rFonts w:ascii="Cambria Math" w:hAnsi="Cambria Math"/>
              </w:rPr>
              <m:t xml:space="preserve">+</m:t>
            </m:r>
            <m:r>
              <w:rPr>
                <w:rFonts w:ascii="Cambria Math" w:hAnsi="Cambria Math"/>
              </w:rPr>
              <m:t xml:space="preserve">ρ</m:t>
            </m:r>
            <m:r>
              <w:rPr>
                <w:rFonts w:ascii="Cambria Math" w:hAnsi="Cambria Math"/>
              </w:rPr>
              <m:t xml:space="preserve">·</m:t>
            </m:r>
            <m:sSub>
              <m:e>
                <m:r>
                  <w:rPr>
                    <w:rFonts w:ascii="Cambria Math" w:hAnsi="Cambria Math"/>
                  </w:rPr>
                  <m:t xml:space="preserve">Δ</m:t>
                </m:r>
              </m:e>
              <m:sub>
                <m:r>
                  <m:rPr>
                    <m:sty m:val="p"/>
                  </m:rPr>
                  <w:rPr>
                    <w:rFonts w:ascii="Cambria Math" w:hAnsi="Cambria Math"/>
                  </w:rPr>
                  <m:t xml:space="preserve">max</m:t>
                </m:r>
              </m:sub>
            </m:sSub>
          </m:num>
          <m:den>
            <m:sSub>
              <m:e>
                <m:r>
                  <w:rPr>
                    <w:rFonts w:ascii="Cambria Math" w:hAnsi="Cambria Math"/>
                  </w:rPr>
                  <m:t xml:space="preserve">Δ</m:t>
                </m:r>
              </m:e>
              <m:sub>
                <m:r>
                  <w:rPr>
                    <w:rFonts w:ascii="Cambria Math" w:hAnsi="Cambria Math"/>
                  </w:rPr>
                  <m:t xml:space="preserve">ij</m:t>
                </m:r>
              </m:sub>
            </m:sSub>
            <m:r>
              <w:rPr>
                <w:rFonts w:ascii="Cambria Math" w:hAnsi="Cambria Math"/>
              </w:rPr>
              <m:t xml:space="preserve">+</m:t>
            </m:r>
            <m:r>
              <w:rPr>
                <w:rFonts w:ascii="Cambria Math" w:hAnsi="Cambria Math"/>
              </w:rPr>
              <m:t xml:space="preserve">ρ</m:t>
            </m:r>
            <m:r>
              <w:rPr>
                <w:rFonts w:ascii="Cambria Math" w:hAnsi="Cambria Math"/>
              </w:rPr>
              <m:t xml:space="preserve">·</m:t>
            </m:r>
            <m:sSub>
              <m:e>
                <m:r>
                  <w:rPr>
                    <w:rFonts w:ascii="Cambria Math" w:hAnsi="Cambria Math"/>
                  </w:rPr>
                  <m:t xml:space="preserve">Δ</m:t>
                </m:r>
              </m:e>
              <m:sub>
                <m:r>
                  <m:rPr>
                    <m:sty m:val="p"/>
                  </m:rPr>
                  <w:rPr>
                    <w:rFonts w:ascii="Cambria Math" w:hAnsi="Cambria Math"/>
                  </w:rPr>
                  <m:t xml:space="preserve">max</m:t>
                </m:r>
              </m:sub>
            </m:sSub>
          </m:den>
        </m:f>
      </m:oMath>
      <w:r>
        <w:tab/>
      </w:r>
      <w:r>
        <w:rPr>
          <w:rFonts w:ascii="Times New Roman" w:hAnsi="Times New Roman" w:eastAsia="宋体"/>
          <w:b w:val="0"/>
          <w:sz w:val="24"/>
        </w:rPr>
        <w:t>（23）</w:t>
      </w:r>
    </w:p>
    <w:p>
      <w:pPr>
        <w:tabs>
          <w:tab w:pos="4156" w:val="center"/>
          <w:tab w:pos="8311" w:val="right"/>
        </w:tabs>
        <w:spacing w:before="80" w:after="80" w:line="360" w:lineRule="auto"/>
        <w:jc w:val="left"/>
      </w:pPr>
      <w:r>
        <w:tab/>
      </w:r>
      <m:oMath>
        <m:sSub>
          <m:e>
            <m:r>
              <w:rPr>
                <w:rFonts w:ascii="Cambria Math" w:hAnsi="Cambria Math"/>
              </w:rPr>
              <m:t xml:space="preserve">γ</m:t>
            </m:r>
          </m:e>
          <m:sub>
            <m:r>
              <w:rPr>
                <w:rFonts w:ascii="Cambria Math" w:hAnsi="Cambria Math"/>
              </w:rPr>
              <m:t xml:space="preserve">j</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r>
          <w:rPr>
            <w:rFonts w:ascii="Cambria Math" w:hAnsi="Cambria Math"/>
          </w:rPr>
          <m:t xml:space="preserve">·</m:t>
        </m:r>
        <m:nary>
          <m:naryPr>
            <m:chr m:val="∑"/>
            <m:limLoc m:val="subSup"/>
            <m:supHide m:val="1"/>
          </m:naryPr>
          <m:sub>
            <m:r>
              <w:rPr>
                <w:rFonts w:ascii="Cambria Math" w:hAnsi="Cambria Math"/>
              </w:rPr>
              <m:t xml:space="preserve">i</m:t>
            </m:r>
          </m:sub>
          <m:sup/>
          <m:e>
            <m:sSub>
              <m:e>
                <m:r>
                  <w:rPr>
                    <w:rFonts w:ascii="Cambria Math" w:hAnsi="Cambria Math"/>
                  </w:rPr>
                  <m:t xml:space="preserve">ξ</m:t>
                </m:r>
              </m:e>
              <m:sub>
                <m:r>
                  <w:rPr>
                    <w:rFonts w:ascii="Cambria Math" w:hAnsi="Cambria Math"/>
                  </w:rPr>
                  <m:t xml:space="preserve">ij</m:t>
                </m:r>
              </m:sub>
            </m:sSub>
          </m:e>
        </m:nary>
      </m:oMath>
      <w:r>
        <w:tab/>
      </w:r>
      <w:r>
        <w:rPr>
          <w:rFonts w:ascii="Times New Roman" w:hAnsi="Times New Roman" w:eastAsia="宋体"/>
          <w:b w:val="0"/>
          <w:sz w:val="24"/>
        </w:rPr>
        <w:t>（24）</w:t>
      </w:r>
    </w:p>
    <w:p>
      <w:pPr>
        <w:spacing w:line="360" w:lineRule="auto" w:after="0"/>
        <w:ind w:firstLine="480"/>
        <w:jc w:val="both"/>
      </w:pPr>
      <w:r>
        <w:rPr>
          <w:rFonts w:ascii="Times New Roman" w:hAnsi="Times New Roman" w:eastAsia="宋体"/>
          <w:b w:val="0"/>
          <w:sz w:val="24"/>
        </w:rPr>
        <w:t>其中</w:t>
      </w:r>
      <m:oMath>
        <m:sSub>
          <m:e>
            <m:r>
              <w:rPr>
                <w:rFonts w:ascii="Cambria Math" w:hAnsi="Cambria Math"/>
              </w:rPr>
              <m:t xml:space="preserve">Δ</m:t>
            </m:r>
          </m:e>
          <m:sub>
            <m:r>
              <w:rPr>
                <w:rFonts w:ascii="Cambria Math" w:hAnsi="Cambria Math"/>
              </w:rPr>
              <m:t xml:space="preserve">ij</m:t>
            </m:r>
          </m:sub>
        </m:sSub>
      </m:oMath>
      <w:r>
        <w:rPr>
          <w:rFonts w:ascii="Times New Roman" w:hAnsi="Times New Roman" w:eastAsia="宋体"/>
          <w:b w:val="0"/>
          <w:sz w:val="24"/>
        </w:rPr>
        <w:t>为第</w:t>
      </w:r>
      <m:oMath>
        <m:r>
          <w:rPr>
            <w:rFonts w:ascii="Cambria Math" w:hAnsi="Cambria Math"/>
          </w:rPr>
          <m:t xml:space="preserve">i</m:t>
        </m:r>
      </m:oMath>
      <w:r>
        <w:rPr>
          <w:rFonts w:ascii="Times New Roman" w:hAnsi="Times New Roman" w:eastAsia="宋体"/>
          <w:b w:val="0"/>
          <w:sz w:val="24"/>
        </w:rPr>
        <w:t>期两序列的绝对差，</w:t>
      </w:r>
      <m:oMath>
        <m:sSub>
          <m:e>
            <m:r>
              <w:rPr>
                <w:rFonts w:ascii="Cambria Math" w:hAnsi="Cambria Math"/>
              </w:rPr>
              <m:t xml:space="preserve">Δ</m:t>
            </m:r>
          </m:e>
          <m:sub>
            <m:r>
              <m:rPr>
                <m:sty m:val="p"/>
              </m:rPr>
              <w:rPr>
                <w:rFonts w:ascii="Cambria Math" w:hAnsi="Cambria Math"/>
              </w:rPr>
              <m:t xml:space="preserve">min</m:t>
            </m:r>
          </m:sub>
        </m:sSub>
      </m:oMath>
      <w:r>
        <w:rPr>
          <w:rFonts w:ascii="Times New Roman" w:hAnsi="Times New Roman" w:eastAsia="宋体"/>
          <w:b w:val="0"/>
          <w:sz w:val="24"/>
        </w:rPr>
        <w:t>与</w:t>
      </w:r>
      <m:oMath>
        <m:sSub>
          <m:e>
            <m:r>
              <w:rPr>
                <w:rFonts w:ascii="Cambria Math" w:hAnsi="Cambria Math"/>
              </w:rPr>
              <m:t xml:space="preserve">Δ</m:t>
            </m:r>
          </m:e>
          <m:sub>
            <m:r>
              <m:rPr>
                <m:sty m:val="p"/>
              </m:rPr>
              <w:rPr>
                <w:rFonts w:ascii="Cambria Math" w:hAnsi="Cambria Math"/>
              </w:rPr>
              <m:t xml:space="preserve">max</m:t>
            </m:r>
          </m:sub>
        </m:sSub>
      </m:oMath>
      <w:r>
        <w:rPr>
          <w:rFonts w:ascii="Times New Roman" w:hAnsi="Times New Roman" w:eastAsia="宋体"/>
          <w:b w:val="0"/>
          <w:sz w:val="24"/>
        </w:rPr>
        <w:t>分别为全局最小差与最大差，</w:t>
      </w:r>
      <m:oMath>
        <m:r>
          <w:rPr>
            <w:rFonts w:ascii="Cambria Math" w:hAnsi="Cambria Math"/>
          </w:rPr>
          <m:t xml:space="preserve">ρ</m:t>
        </m:r>
      </m:oMath>
      <w:r>
        <w:rPr>
          <w:rFonts w:ascii="Times New Roman" w:hAnsi="Times New Roman" w:eastAsia="宋体"/>
          <w:b w:val="0"/>
          <w:sz w:val="24"/>
        </w:rPr>
        <w:t>为分辨系数，按惯例取0.5。灰色关联分析对样本规模与序列分布形态无严格要求，与本研究十年时序的小样本情境相适配。此外，为考察测度结果对方法参数的敏感性，实证章还将报告等权重赋权、上下限拓展幅度调整（±5%与±15%）以及逐一剔除单项指标三类情境下耦合协调度的复算结果。</w:t>
      </w:r>
    </w:p>
    <w:p>
      <w:pPr>
        <w:spacing w:line="360" w:lineRule="auto" w:after="0"/>
        <w:ind w:firstLine="480"/>
        <w:jc w:val="both"/>
      </w:pPr>
      <w:r>
        <w:rPr>
          <w:rFonts w:ascii="Times New Roman" w:hAnsi="Times New Roman" w:eastAsia="宋体"/>
          <w:b w:val="0"/>
          <w:sz w:val="24"/>
        </w:rPr>
        <w:t>三类辅助工具与主体方法构成“总—分”互补的证据结构。障碍度模型将系统指数的总量变化分解为指标层面的贡献与拖累，在乡村振兴、数字乡村等领域的障碍因子研究中已有成熟应用[121]，本研究以之回答“短板在哪”的政策定位问题。相对发展度以两系统指数之比刻画相对快慢，与耦合协调度联用，可在协调水平之外进一步区分“高协调下的同步并进”与“高协调下的一快一慢”，避免以协调度单一指标掩盖结构性失衡。灰色关联分析属于灰色系统理论的关联测度工具，结论以关联度排序的序数信息为主，可为“哪条传导通道在起作用”的机制推断提供指标级线索。三者均不改变主体测度结论，而是从结构分解、速度判别与通道识别三个侧面增强结论的可解释性与政策指向性。</w:t>
      </w:r>
    </w:p>
    <w:p>
      <w:pPr>
        <w:spacing w:line="360" w:lineRule="auto" w:after="80"/>
        <w:jc w:val="left"/>
      </w:pPr>
      <w:r>
        <w:rPr>
          <w:rFonts w:ascii="Times New Roman" w:hAnsi="Times New Roman" w:eastAsia="黑体"/>
          <w:b/>
          <w:sz w:val="28"/>
        </w:rPr>
        <w:t>（三）数据来源与说明</w:t>
      </w:r>
    </w:p>
    <w:p>
      <w:pPr>
        <w:spacing w:line="360" w:lineRule="auto" w:after="0"/>
        <w:ind w:firstLine="480"/>
        <w:jc w:val="both"/>
      </w:pPr>
      <w:r>
        <w:rPr>
          <w:rFonts w:ascii="Times New Roman" w:hAnsi="Times New Roman" w:eastAsia="宋体"/>
          <w:b w:val="0"/>
          <w:sz w:val="24"/>
        </w:rPr>
        <w:t>1．数据来源。本研究全部数据取自官方公开权威渠道，不使用任何非官方估计值。浙江时序数据（2015—2024年）方面：历年《浙江省国民经济和社会发展统计公报》（浙江省统计局、国家统计局浙江调查总队）提供地区生产总值、居民收入与消费、城乡居民收入倍差、常住人口城镇化率、数字经济核心产业增加值、高新技术企业数、全员劳动生产率等指标；历年《全国科技经费投入统计公报》（国家统计局、科学技术部、财政部）提供R&amp;D经费投入强度的全国统一修订口径；国家统计局《2024年居民收入和消费支出情况》等公开数据提供全国对照序列。fsQCA省际截面数据方面：创新投入强度与城镇化水平取自国家统计局及各省份官方统计公报；数字普惠金融取自北京大学数字金融研究中心《北京大学数字普惠金融指数[158]（2011—2023年）》；人力资本水平（每10万人口拥有大学文化程度人数）取自国家统计局《第七次全国人口普查[157]公报（第六号）》；民营经济活力以全国工商联《2025中国民营企业500强》榜单入围数测度。</w:t>
      </w:r>
    </w:p>
    <w:p>
      <w:pPr>
        <w:spacing w:line="360" w:lineRule="auto" w:after="0"/>
        <w:ind w:firstLine="480"/>
        <w:jc w:val="both"/>
      </w:pPr>
      <w:r>
        <w:rPr>
          <w:rFonts w:ascii="Times New Roman" w:hAnsi="Times New Roman" w:eastAsia="宋体"/>
          <w:b w:val="0"/>
          <w:sz w:val="24"/>
        </w:rPr>
        <w:t>关于省际条件变量的测量属性，补充说明两点：数字普惠金融指数基于大型数字金融平台的海量微观数据编制，覆盖广度、使用深度与数字化程度三个维度，是国内数字金融研究中使用最广的权威指数，其编制方法与空间特征已有专文阐述</w:t>
      </w:r>
      <w:r>
        <w:rPr>
          <w:rFonts w:ascii="Times New Roman" w:hAnsi="Times New Roman" w:eastAsia="宋体"/>
          <w:b w:val="0"/>
          <w:sz w:val="24"/>
          <w:vertAlign w:val="superscript"/>
        </w:rPr>
        <w:t>[87]</w:t>
      </w:r>
      <w:r>
        <w:rPr>
          <w:rFonts w:ascii="Times New Roman" w:hAnsi="Times New Roman" w:eastAsia="宋体"/>
          <w:b w:val="0"/>
          <w:sz w:val="24"/>
        </w:rPr>
        <w:t>；人力资本水平采用每10万人口拥有大学文化程度人数这一人口普查存量口径，权威性高且不受教育经费等流量指标年度波动的干扰。</w:t>
      </w:r>
    </w:p>
    <w:p>
      <w:pPr>
        <w:spacing w:line="360" w:lineRule="auto" w:after="0"/>
        <w:ind w:firstLine="480"/>
        <w:jc w:val="both"/>
      </w:pPr>
      <w:r>
        <w:rPr>
          <w:rFonts w:ascii="Times New Roman" w:hAnsi="Times New Roman" w:eastAsia="宋体"/>
          <w:b w:val="0"/>
          <w:sz w:val="24"/>
        </w:rPr>
        <w:t>上述指标2015—2024年时序数据的描述性统计如表4所示，各指标序列完整无缺失。</w:t>
      </w:r>
    </w:p>
    <w:p>
      <w:pPr>
        <w:spacing w:before="120"/>
        <w:jc w:val="center"/>
      </w:pPr>
      <w:r>
        <w:rPr>
          <w:rFonts w:ascii="Times New Roman" w:hAnsi="Times New Roman" w:eastAsia="黑体"/>
          <w:b/>
          <w:sz w:val="21"/>
        </w:rPr>
        <w:t xml:space="preserve">表4　</w:t>
      </w:r>
      <w:r>
        <w:rPr>
          <w:rFonts w:ascii="Times New Roman" w:hAnsi="Times New Roman" w:eastAsia="宋体"/>
          <w:b/>
          <w:sz w:val="21"/>
        </w:rPr>
        <w:t>评价指标体系描述性统计（2015—2024年）</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
              <w:rPr>
                <w:rFonts w:ascii="Times New Roman" w:hAnsi="Times New Roman" w:eastAsia="宋体"/>
                <w:b/>
                <w:sz w:val="21"/>
              </w:rPr>
              <w:t>指标</w:t>
            </w:r>
          </w:p>
        </w:tc>
        <w:tc>
          <w:tcPr>
            <w:tcW w:type="dxa" w:w="1662"/>
          </w:tcPr>
          <w:p>
            <w:pPr>
              <w:jc w:val="center"/>
            </w:pPr>
            <w:r/>
            <w:r>
              <w:rPr>
                <w:rFonts w:ascii="Times New Roman" w:hAnsi="Times New Roman" w:eastAsia="宋体"/>
                <w:b/>
                <w:sz w:val="21"/>
              </w:rPr>
              <w:t>均值</w:t>
            </w:r>
          </w:p>
        </w:tc>
        <w:tc>
          <w:tcPr>
            <w:tcW w:type="dxa" w:w="1662"/>
          </w:tcPr>
          <w:p>
            <w:pPr>
              <w:jc w:val="center"/>
            </w:pPr>
            <w:r/>
            <w:r>
              <w:rPr>
                <w:rFonts w:ascii="Times New Roman" w:hAnsi="Times New Roman" w:eastAsia="宋体"/>
                <w:b/>
                <w:sz w:val="21"/>
              </w:rPr>
              <w:t>标准差</w:t>
            </w:r>
          </w:p>
        </w:tc>
        <w:tc>
          <w:tcPr>
            <w:tcW w:type="dxa" w:w="1662"/>
          </w:tcPr>
          <w:p>
            <w:pPr>
              <w:jc w:val="center"/>
            </w:pPr>
            <w:r/>
            <w:r>
              <w:rPr>
                <w:rFonts w:ascii="Times New Roman" w:hAnsi="Times New Roman" w:eastAsia="宋体"/>
                <w:b/>
                <w:sz w:val="21"/>
              </w:rPr>
              <w:t>最小值</w:t>
            </w:r>
          </w:p>
        </w:tc>
        <w:tc>
          <w:tcPr>
            <w:tcW w:type="dxa" w:w="1662"/>
          </w:tcPr>
          <w:p>
            <w:pPr>
              <w:jc w:val="center"/>
            </w:pPr>
            <w:r/>
            <w:r>
              <w:rPr>
                <w:rFonts w:ascii="Times New Roman" w:hAnsi="Times New Roman" w:eastAsia="宋体"/>
                <w:b/>
                <w:sz w:val="21"/>
              </w:rPr>
              <w:t>最大值</w:t>
            </w:r>
          </w:p>
        </w:tc>
      </w:tr>
      <w:tr>
        <w:tc>
          <w:tcPr>
            <w:tcW w:type="dxa" w:w="1662"/>
          </w:tcPr>
          <w:p>
            <w:pPr>
              <w:jc w:val="center"/>
            </w:pPr>
            <w:r/>
            <w:r>
              <w:rPr>
                <w:rFonts w:ascii="Times New Roman" w:hAnsi="Times New Roman" w:eastAsia="宋体"/>
                <w:b w:val="0"/>
                <w:sz w:val="21"/>
              </w:rPr>
              <w:t>R&amp;D经费投入强度（%）</w:t>
            </w:r>
          </w:p>
        </w:tc>
        <w:tc>
          <w:tcPr>
            <w:tcW w:type="dxa" w:w="1662"/>
          </w:tcPr>
          <w:p>
            <w:pPr>
              <w:jc w:val="center"/>
            </w:pPr>
            <w:r/>
            <w:r>
              <w:rPr>
                <w:rFonts w:ascii="Times New Roman" w:hAnsi="Times New Roman" w:eastAsia="宋体"/>
                <w:b w:val="0"/>
                <w:sz w:val="21"/>
              </w:rPr>
              <w:t>2.77</w:t>
            </w:r>
          </w:p>
        </w:tc>
        <w:tc>
          <w:tcPr>
            <w:tcW w:type="dxa" w:w="1662"/>
          </w:tcPr>
          <w:p>
            <w:pPr>
              <w:jc w:val="center"/>
            </w:pPr>
            <w:r/>
            <w:r>
              <w:rPr>
                <w:rFonts w:ascii="Times New Roman" w:hAnsi="Times New Roman" w:eastAsia="宋体"/>
                <w:b w:val="0"/>
                <w:sz w:val="21"/>
              </w:rPr>
              <w:t>0.34</w:t>
            </w:r>
          </w:p>
        </w:tc>
        <w:tc>
          <w:tcPr>
            <w:tcW w:type="dxa" w:w="1662"/>
          </w:tcPr>
          <w:p>
            <w:pPr>
              <w:jc w:val="center"/>
            </w:pPr>
            <w:r/>
            <w:r>
              <w:rPr>
                <w:rFonts w:ascii="Times New Roman" w:hAnsi="Times New Roman" w:eastAsia="宋体"/>
                <w:b w:val="0"/>
                <w:sz w:val="21"/>
              </w:rPr>
              <w:t>2.33</w:t>
            </w:r>
          </w:p>
        </w:tc>
        <w:tc>
          <w:tcPr>
            <w:tcW w:type="dxa" w:w="1662"/>
          </w:tcPr>
          <w:p>
            <w:pPr>
              <w:jc w:val="center"/>
            </w:pPr>
            <w:r/>
            <w:r>
              <w:rPr>
                <w:rFonts w:ascii="Times New Roman" w:hAnsi="Times New Roman" w:eastAsia="宋体"/>
                <w:b w:val="0"/>
                <w:sz w:val="21"/>
              </w:rPr>
              <w:t>3.22</w:t>
            </w:r>
          </w:p>
        </w:tc>
      </w:tr>
      <w:tr>
        <w:tc>
          <w:tcPr>
            <w:tcW w:type="dxa" w:w="1662"/>
          </w:tcPr>
          <w:p>
            <w:pPr>
              <w:jc w:val="center"/>
            </w:pPr>
            <w:r/>
            <w:r>
              <w:rPr>
                <w:rFonts w:ascii="Times New Roman" w:hAnsi="Times New Roman" w:eastAsia="宋体"/>
                <w:b w:val="0"/>
                <w:sz w:val="21"/>
              </w:rPr>
              <w:t>高新技术企业数（取自然对数）</w:t>
            </w:r>
          </w:p>
        </w:tc>
        <w:tc>
          <w:tcPr>
            <w:tcW w:type="dxa" w:w="1662"/>
          </w:tcPr>
          <w:p>
            <w:pPr>
              <w:jc w:val="center"/>
            </w:pPr>
            <w:r/>
            <w:r>
              <w:rPr>
                <w:rFonts w:ascii="Times New Roman" w:hAnsi="Times New Roman" w:eastAsia="宋体"/>
                <w:b w:val="0"/>
                <w:sz w:val="21"/>
              </w:rPr>
              <w:t>9.89</w:t>
            </w:r>
          </w:p>
        </w:tc>
        <w:tc>
          <w:tcPr>
            <w:tcW w:type="dxa" w:w="1662"/>
          </w:tcPr>
          <w:p>
            <w:pPr>
              <w:jc w:val="center"/>
            </w:pPr>
            <w:r/>
            <w:r>
              <w:rPr>
                <w:rFonts w:ascii="Times New Roman" w:hAnsi="Times New Roman" w:eastAsia="宋体"/>
                <w:b w:val="0"/>
                <w:sz w:val="21"/>
              </w:rPr>
              <w:t>0.63</w:t>
            </w:r>
          </w:p>
        </w:tc>
        <w:tc>
          <w:tcPr>
            <w:tcW w:type="dxa" w:w="1662"/>
          </w:tcPr>
          <w:p>
            <w:pPr>
              <w:jc w:val="center"/>
            </w:pPr>
            <w:r/>
            <w:r>
              <w:rPr>
                <w:rFonts w:ascii="Times New Roman" w:hAnsi="Times New Roman" w:eastAsia="宋体"/>
                <w:b w:val="0"/>
                <w:sz w:val="21"/>
              </w:rPr>
              <w:t>8.98</w:t>
            </w:r>
          </w:p>
        </w:tc>
        <w:tc>
          <w:tcPr>
            <w:tcW w:type="dxa" w:w="1662"/>
          </w:tcPr>
          <w:p>
            <w:pPr>
              <w:jc w:val="center"/>
            </w:pPr>
            <w:r/>
            <w:r>
              <w:rPr>
                <w:rFonts w:ascii="Times New Roman" w:hAnsi="Times New Roman" w:eastAsia="宋体"/>
                <w:b w:val="0"/>
                <w:sz w:val="21"/>
              </w:rPr>
              <w:t>10.77</w:t>
            </w:r>
          </w:p>
        </w:tc>
      </w:tr>
      <w:tr>
        <w:tc>
          <w:tcPr>
            <w:tcW w:type="dxa" w:w="1662"/>
          </w:tcPr>
          <w:p>
            <w:pPr>
              <w:jc w:val="center"/>
            </w:pPr>
            <w:r/>
            <w:r>
              <w:rPr>
                <w:rFonts w:ascii="Times New Roman" w:hAnsi="Times New Roman" w:eastAsia="宋体"/>
                <w:b w:val="0"/>
                <w:sz w:val="21"/>
              </w:rPr>
              <w:t>数字经济核心产业增加值占GDP比重（%）</w:t>
            </w:r>
          </w:p>
        </w:tc>
        <w:tc>
          <w:tcPr>
            <w:tcW w:type="dxa" w:w="1662"/>
          </w:tcPr>
          <w:p>
            <w:pPr>
              <w:jc w:val="center"/>
            </w:pPr>
            <w:r/>
            <w:r>
              <w:rPr>
                <w:rFonts w:ascii="Times New Roman" w:hAnsi="Times New Roman" w:eastAsia="宋体"/>
                <w:b w:val="0"/>
                <w:sz w:val="21"/>
              </w:rPr>
              <w:t>10.38</w:t>
            </w:r>
          </w:p>
        </w:tc>
        <w:tc>
          <w:tcPr>
            <w:tcW w:type="dxa" w:w="1662"/>
          </w:tcPr>
          <w:p>
            <w:pPr>
              <w:jc w:val="center"/>
            </w:pPr>
            <w:r/>
            <w:r>
              <w:rPr>
                <w:rFonts w:ascii="Times New Roman" w:hAnsi="Times New Roman" w:eastAsia="宋体"/>
                <w:b w:val="0"/>
                <w:sz w:val="21"/>
              </w:rPr>
              <w:t>1.51</w:t>
            </w:r>
          </w:p>
        </w:tc>
        <w:tc>
          <w:tcPr>
            <w:tcW w:type="dxa" w:w="1662"/>
          </w:tcPr>
          <w:p>
            <w:pPr>
              <w:jc w:val="center"/>
            </w:pPr>
            <w:r/>
            <w:r>
              <w:rPr>
                <w:rFonts w:ascii="Times New Roman" w:hAnsi="Times New Roman" w:eastAsia="宋体"/>
                <w:b w:val="0"/>
                <w:sz w:val="21"/>
              </w:rPr>
              <w:t>7.90</w:t>
            </w:r>
          </w:p>
        </w:tc>
        <w:tc>
          <w:tcPr>
            <w:tcW w:type="dxa" w:w="1662"/>
          </w:tcPr>
          <w:p>
            <w:pPr>
              <w:jc w:val="center"/>
            </w:pPr>
            <w:r/>
            <w:r>
              <w:rPr>
                <w:rFonts w:ascii="Times New Roman" w:hAnsi="Times New Roman" w:eastAsia="宋体"/>
                <w:b w:val="0"/>
                <w:sz w:val="21"/>
              </w:rPr>
              <w:t>12.30</w:t>
            </w:r>
          </w:p>
        </w:tc>
      </w:tr>
      <w:tr>
        <w:tc>
          <w:tcPr>
            <w:tcW w:type="dxa" w:w="1662"/>
          </w:tcPr>
          <w:p>
            <w:pPr>
              <w:jc w:val="center"/>
            </w:pPr>
            <w:r/>
            <w:r>
              <w:rPr>
                <w:rFonts w:ascii="Times New Roman" w:hAnsi="Times New Roman" w:eastAsia="宋体"/>
                <w:b w:val="0"/>
                <w:sz w:val="21"/>
              </w:rPr>
              <w:t>全员劳动生产率（万元/人）</w:t>
            </w:r>
          </w:p>
        </w:tc>
        <w:tc>
          <w:tcPr>
            <w:tcW w:type="dxa" w:w="1662"/>
          </w:tcPr>
          <w:p>
            <w:pPr>
              <w:jc w:val="center"/>
            </w:pPr>
            <w:r/>
            <w:r>
              <w:rPr>
                <w:rFonts w:ascii="Times New Roman" w:hAnsi="Times New Roman" w:eastAsia="宋体"/>
                <w:b w:val="0"/>
                <w:sz w:val="21"/>
              </w:rPr>
              <w:t>16.81</w:t>
            </w:r>
          </w:p>
        </w:tc>
        <w:tc>
          <w:tcPr>
            <w:tcW w:type="dxa" w:w="1662"/>
          </w:tcPr>
          <w:p>
            <w:pPr>
              <w:jc w:val="center"/>
            </w:pPr>
            <w:r/>
            <w:r>
              <w:rPr>
                <w:rFonts w:ascii="Times New Roman" w:hAnsi="Times New Roman" w:eastAsia="宋体"/>
                <w:b w:val="0"/>
                <w:sz w:val="21"/>
              </w:rPr>
              <w:t>3.84</w:t>
            </w:r>
          </w:p>
        </w:tc>
        <w:tc>
          <w:tcPr>
            <w:tcW w:type="dxa" w:w="1662"/>
          </w:tcPr>
          <w:p>
            <w:pPr>
              <w:jc w:val="center"/>
            </w:pPr>
            <w:r/>
            <w:r>
              <w:rPr>
                <w:rFonts w:ascii="Times New Roman" w:hAnsi="Times New Roman" w:eastAsia="宋体"/>
                <w:b w:val="0"/>
                <w:sz w:val="21"/>
              </w:rPr>
              <w:t>11.50</w:t>
            </w:r>
          </w:p>
        </w:tc>
        <w:tc>
          <w:tcPr>
            <w:tcW w:type="dxa" w:w="1662"/>
          </w:tcPr>
          <w:p>
            <w:pPr>
              <w:jc w:val="center"/>
            </w:pPr>
            <w:r/>
            <w:r>
              <w:rPr>
                <w:rFonts w:ascii="Times New Roman" w:hAnsi="Times New Roman" w:eastAsia="宋体"/>
                <w:b w:val="0"/>
                <w:sz w:val="21"/>
              </w:rPr>
              <w:t>22.90</w:t>
            </w:r>
          </w:p>
        </w:tc>
      </w:tr>
      <w:tr>
        <w:tc>
          <w:tcPr>
            <w:tcW w:type="dxa" w:w="1662"/>
          </w:tcPr>
          <w:p>
            <w:pPr>
              <w:jc w:val="center"/>
            </w:pPr>
            <w:r/>
            <w:r>
              <w:rPr>
                <w:rFonts w:ascii="Times New Roman" w:hAnsi="Times New Roman" w:eastAsia="宋体"/>
                <w:b w:val="0"/>
                <w:sz w:val="21"/>
              </w:rPr>
              <w:t>居民人均可支配收入（元）</w:t>
            </w:r>
          </w:p>
        </w:tc>
        <w:tc>
          <w:tcPr>
            <w:tcW w:type="dxa" w:w="1662"/>
          </w:tcPr>
          <w:p>
            <w:pPr>
              <w:jc w:val="center"/>
            </w:pPr>
            <w:r/>
            <w:r>
              <w:rPr>
                <w:rFonts w:ascii="Times New Roman" w:hAnsi="Times New Roman" w:eastAsia="宋体"/>
                <w:b w:val="0"/>
                <w:sz w:val="21"/>
              </w:rPr>
              <w:t>51293</w:t>
            </w:r>
          </w:p>
        </w:tc>
        <w:tc>
          <w:tcPr>
            <w:tcW w:type="dxa" w:w="1662"/>
          </w:tcPr>
          <w:p>
            <w:pPr>
              <w:jc w:val="center"/>
            </w:pPr>
            <w:r/>
            <w:r>
              <w:rPr>
                <w:rFonts w:ascii="Times New Roman" w:hAnsi="Times New Roman" w:eastAsia="宋体"/>
                <w:b w:val="0"/>
                <w:sz w:val="21"/>
              </w:rPr>
              <w:t>10822</w:t>
            </w:r>
          </w:p>
        </w:tc>
        <w:tc>
          <w:tcPr>
            <w:tcW w:type="dxa" w:w="1662"/>
          </w:tcPr>
          <w:p>
            <w:pPr>
              <w:jc w:val="center"/>
            </w:pPr>
            <w:r/>
            <w:r>
              <w:rPr>
                <w:rFonts w:ascii="Times New Roman" w:hAnsi="Times New Roman" w:eastAsia="宋体"/>
                <w:b w:val="0"/>
                <w:sz w:val="21"/>
              </w:rPr>
              <w:t>35537</w:t>
            </w:r>
          </w:p>
        </w:tc>
        <w:tc>
          <w:tcPr>
            <w:tcW w:type="dxa" w:w="1662"/>
          </w:tcPr>
          <w:p>
            <w:pPr>
              <w:jc w:val="center"/>
            </w:pPr>
            <w:r/>
            <w:r>
              <w:rPr>
                <w:rFonts w:ascii="Times New Roman" w:hAnsi="Times New Roman" w:eastAsia="宋体"/>
                <w:b w:val="0"/>
                <w:sz w:val="21"/>
              </w:rPr>
              <w:t>67013</w:t>
            </w:r>
          </w:p>
        </w:tc>
      </w:tr>
      <w:tr>
        <w:tc>
          <w:tcPr>
            <w:tcW w:type="dxa" w:w="1662"/>
          </w:tcPr>
          <w:p>
            <w:pPr>
              <w:jc w:val="center"/>
            </w:pPr>
            <w:r/>
            <w:r>
              <w:rPr>
                <w:rFonts w:ascii="Times New Roman" w:hAnsi="Times New Roman" w:eastAsia="宋体"/>
                <w:b w:val="0"/>
                <w:sz w:val="21"/>
              </w:rPr>
              <w:t>人均地区生产总值（元）</w:t>
            </w:r>
          </w:p>
        </w:tc>
        <w:tc>
          <w:tcPr>
            <w:tcW w:type="dxa" w:w="1662"/>
          </w:tcPr>
          <w:p>
            <w:pPr>
              <w:jc w:val="center"/>
            </w:pPr>
            <w:r/>
            <w:r>
              <w:rPr>
                <w:rFonts w:ascii="Times New Roman" w:hAnsi="Times New Roman" w:eastAsia="宋体"/>
                <w:b w:val="0"/>
                <w:sz w:val="21"/>
              </w:rPr>
              <w:t>105226</w:t>
            </w:r>
          </w:p>
        </w:tc>
        <w:tc>
          <w:tcPr>
            <w:tcW w:type="dxa" w:w="1662"/>
          </w:tcPr>
          <w:p>
            <w:pPr>
              <w:jc w:val="center"/>
            </w:pPr>
            <w:r/>
            <w:r>
              <w:rPr>
                <w:rFonts w:ascii="Times New Roman" w:hAnsi="Times New Roman" w:eastAsia="宋体"/>
                <w:b w:val="0"/>
                <w:sz w:val="21"/>
              </w:rPr>
              <w:t>18334</w:t>
            </w:r>
          </w:p>
        </w:tc>
        <w:tc>
          <w:tcPr>
            <w:tcW w:type="dxa" w:w="1662"/>
          </w:tcPr>
          <w:p>
            <w:pPr>
              <w:jc w:val="center"/>
            </w:pPr>
            <w:r/>
            <w:r>
              <w:rPr>
                <w:rFonts w:ascii="Times New Roman" w:hAnsi="Times New Roman" w:eastAsia="宋体"/>
                <w:b w:val="0"/>
                <w:sz w:val="21"/>
              </w:rPr>
              <w:t>77644</w:t>
            </w:r>
          </w:p>
        </w:tc>
        <w:tc>
          <w:tcPr>
            <w:tcW w:type="dxa" w:w="1662"/>
          </w:tcPr>
          <w:p>
            <w:pPr>
              <w:jc w:val="center"/>
            </w:pPr>
            <w:r/>
            <w:r>
              <w:rPr>
                <w:rFonts w:ascii="Times New Roman" w:hAnsi="Times New Roman" w:eastAsia="宋体"/>
                <w:b w:val="0"/>
                <w:sz w:val="21"/>
              </w:rPr>
              <w:t>135565</w:t>
            </w:r>
          </w:p>
        </w:tc>
      </w:tr>
      <w:tr>
        <w:tc>
          <w:tcPr>
            <w:tcW w:type="dxa" w:w="1662"/>
          </w:tcPr>
          <w:p>
            <w:pPr>
              <w:jc w:val="center"/>
            </w:pPr>
            <w:r/>
            <w:r>
              <w:rPr>
                <w:rFonts w:ascii="Times New Roman" w:hAnsi="Times New Roman" w:eastAsia="宋体"/>
                <w:b w:val="0"/>
                <w:sz w:val="21"/>
              </w:rPr>
              <w:t>居民人均消费支出（元）</w:t>
            </w:r>
          </w:p>
        </w:tc>
        <w:tc>
          <w:tcPr>
            <w:tcW w:type="dxa" w:w="1662"/>
          </w:tcPr>
          <w:p>
            <w:pPr>
              <w:jc w:val="center"/>
            </w:pPr>
            <w:r/>
            <w:r>
              <w:rPr>
                <w:rFonts w:ascii="Times New Roman" w:hAnsi="Times New Roman" w:eastAsia="宋体"/>
                <w:b w:val="0"/>
                <w:sz w:val="21"/>
              </w:rPr>
              <w:t>33246</w:t>
            </w:r>
          </w:p>
        </w:tc>
        <w:tc>
          <w:tcPr>
            <w:tcW w:type="dxa" w:w="1662"/>
          </w:tcPr>
          <w:p>
            <w:pPr>
              <w:jc w:val="center"/>
            </w:pPr>
            <w:r/>
            <w:r>
              <w:rPr>
                <w:rFonts w:ascii="Times New Roman" w:hAnsi="Times New Roman" w:eastAsia="宋体"/>
                <w:b w:val="0"/>
                <w:sz w:val="21"/>
              </w:rPr>
              <w:t>7194</w:t>
            </w:r>
          </w:p>
        </w:tc>
        <w:tc>
          <w:tcPr>
            <w:tcW w:type="dxa" w:w="1662"/>
          </w:tcPr>
          <w:p>
            <w:pPr>
              <w:jc w:val="center"/>
            </w:pPr>
            <w:r/>
            <w:r>
              <w:rPr>
                <w:rFonts w:ascii="Times New Roman" w:hAnsi="Times New Roman" w:eastAsia="宋体"/>
                <w:b w:val="0"/>
                <w:sz w:val="21"/>
              </w:rPr>
              <w:t>24117</w:t>
            </w:r>
          </w:p>
        </w:tc>
        <w:tc>
          <w:tcPr>
            <w:tcW w:type="dxa" w:w="1662"/>
          </w:tcPr>
          <w:p>
            <w:pPr>
              <w:jc w:val="center"/>
            </w:pPr>
            <w:r/>
            <w:r>
              <w:rPr>
                <w:rFonts w:ascii="Times New Roman" w:hAnsi="Times New Roman" w:eastAsia="宋体"/>
                <w:b w:val="0"/>
                <w:sz w:val="21"/>
              </w:rPr>
              <w:t>45107</w:t>
            </w:r>
          </w:p>
        </w:tc>
      </w:tr>
      <w:tr>
        <w:tc>
          <w:tcPr>
            <w:tcW w:type="dxa" w:w="1662"/>
          </w:tcPr>
          <w:p>
            <w:pPr>
              <w:jc w:val="center"/>
            </w:pPr>
            <w:r/>
            <w:r>
              <w:rPr>
                <w:rFonts w:ascii="Times New Roman" w:hAnsi="Times New Roman" w:eastAsia="宋体"/>
                <w:b w:val="0"/>
                <w:sz w:val="21"/>
              </w:rPr>
              <w:t>城乡居民收入倍差</w:t>
            </w:r>
          </w:p>
        </w:tc>
        <w:tc>
          <w:tcPr>
            <w:tcW w:type="dxa" w:w="1662"/>
          </w:tcPr>
          <w:p>
            <w:pPr>
              <w:jc w:val="center"/>
            </w:pPr>
            <w:r/>
            <w:r>
              <w:rPr>
                <w:rFonts w:ascii="Times New Roman" w:hAnsi="Times New Roman" w:eastAsia="宋体"/>
                <w:b w:val="0"/>
                <w:sz w:val="21"/>
              </w:rPr>
              <w:t>1.97</w:t>
            </w:r>
          </w:p>
        </w:tc>
        <w:tc>
          <w:tcPr>
            <w:tcW w:type="dxa" w:w="1662"/>
          </w:tcPr>
          <w:p>
            <w:pPr>
              <w:jc w:val="center"/>
            </w:pPr>
            <w:r/>
            <w:r>
              <w:rPr>
                <w:rFonts w:ascii="Times New Roman" w:hAnsi="Times New Roman" w:eastAsia="宋体"/>
                <w:b w:val="0"/>
                <w:sz w:val="21"/>
              </w:rPr>
              <w:t>0.09</w:t>
            </w:r>
          </w:p>
        </w:tc>
        <w:tc>
          <w:tcPr>
            <w:tcW w:type="dxa" w:w="1662"/>
          </w:tcPr>
          <w:p>
            <w:pPr>
              <w:jc w:val="center"/>
            </w:pPr>
            <w:r/>
            <w:r>
              <w:rPr>
                <w:rFonts w:ascii="Times New Roman" w:hAnsi="Times New Roman" w:eastAsia="宋体"/>
                <w:b w:val="0"/>
                <w:sz w:val="21"/>
              </w:rPr>
              <w:t>1.83</w:t>
            </w:r>
          </w:p>
        </w:tc>
        <w:tc>
          <w:tcPr>
            <w:tcW w:type="dxa" w:w="1662"/>
          </w:tcPr>
          <w:p>
            <w:pPr>
              <w:jc w:val="center"/>
            </w:pPr>
            <w:r/>
            <w:r>
              <w:rPr>
                <w:rFonts w:ascii="Times New Roman" w:hAnsi="Times New Roman" w:eastAsia="宋体"/>
                <w:b w:val="0"/>
                <w:sz w:val="21"/>
              </w:rPr>
              <w:t>2.07</w:t>
            </w:r>
          </w:p>
        </w:tc>
      </w:tr>
      <w:tr>
        <w:tc>
          <w:tcPr>
            <w:tcW w:type="dxa" w:w="1662"/>
          </w:tcPr>
          <w:p>
            <w:pPr>
              <w:jc w:val="center"/>
            </w:pPr>
            <w:r/>
            <w:r>
              <w:rPr>
                <w:rFonts w:ascii="Times New Roman" w:hAnsi="Times New Roman" w:eastAsia="宋体"/>
                <w:b w:val="0"/>
                <w:sz w:val="21"/>
              </w:rPr>
              <w:t>农村居民人均可支配收入（元）</w:t>
            </w:r>
          </w:p>
        </w:tc>
        <w:tc>
          <w:tcPr>
            <w:tcW w:type="dxa" w:w="1662"/>
          </w:tcPr>
          <w:p>
            <w:pPr>
              <w:jc w:val="center"/>
            </w:pPr>
            <w:r/>
            <w:r>
              <w:rPr>
                <w:rFonts w:ascii="Times New Roman" w:hAnsi="Times New Roman" w:eastAsia="宋体"/>
                <w:b w:val="0"/>
                <w:sz w:val="21"/>
              </w:rPr>
              <w:t>31396</w:t>
            </w:r>
          </w:p>
        </w:tc>
        <w:tc>
          <w:tcPr>
            <w:tcW w:type="dxa" w:w="1662"/>
          </w:tcPr>
          <w:p>
            <w:pPr>
              <w:jc w:val="center"/>
            </w:pPr>
            <w:r/>
            <w:r>
              <w:rPr>
                <w:rFonts w:ascii="Times New Roman" w:hAnsi="Times New Roman" w:eastAsia="宋体"/>
                <w:b w:val="0"/>
                <w:sz w:val="21"/>
              </w:rPr>
              <w:t>7462</w:t>
            </w:r>
          </w:p>
        </w:tc>
        <w:tc>
          <w:tcPr>
            <w:tcW w:type="dxa" w:w="1662"/>
          </w:tcPr>
          <w:p>
            <w:pPr>
              <w:jc w:val="center"/>
            </w:pPr>
            <w:r/>
            <w:r>
              <w:rPr>
                <w:rFonts w:ascii="Times New Roman" w:hAnsi="Times New Roman" w:eastAsia="宋体"/>
                <w:b w:val="0"/>
                <w:sz w:val="21"/>
              </w:rPr>
              <w:t>21125</w:t>
            </w:r>
          </w:p>
        </w:tc>
        <w:tc>
          <w:tcPr>
            <w:tcW w:type="dxa" w:w="1662"/>
          </w:tcPr>
          <w:p>
            <w:pPr>
              <w:jc w:val="center"/>
            </w:pPr>
            <w:r/>
            <w:r>
              <w:rPr>
                <w:rFonts w:ascii="Times New Roman" w:hAnsi="Times New Roman" w:eastAsia="宋体"/>
                <w:b w:val="0"/>
                <w:sz w:val="21"/>
              </w:rPr>
              <w:t>42786</w:t>
            </w:r>
          </w:p>
        </w:tc>
      </w:tr>
      <w:tr>
        <w:tc>
          <w:tcPr>
            <w:tcW w:type="dxa" w:w="1662"/>
          </w:tcPr>
          <w:p>
            <w:pPr>
              <w:jc w:val="center"/>
            </w:pPr>
            <w:r/>
            <w:r>
              <w:rPr>
                <w:rFonts w:ascii="Times New Roman" w:hAnsi="Times New Roman" w:eastAsia="宋体"/>
                <w:b w:val="0"/>
                <w:sz w:val="21"/>
              </w:rPr>
              <w:t>常住人口城镇化率（%）</w:t>
            </w:r>
          </w:p>
        </w:tc>
        <w:tc>
          <w:tcPr>
            <w:tcW w:type="dxa" w:w="1662"/>
          </w:tcPr>
          <w:p>
            <w:pPr>
              <w:jc w:val="center"/>
            </w:pPr>
            <w:r/>
            <w:r>
              <w:rPr>
                <w:rFonts w:ascii="Times New Roman" w:hAnsi="Times New Roman" w:eastAsia="宋体"/>
                <w:b w:val="0"/>
                <w:sz w:val="21"/>
              </w:rPr>
              <w:t>70.77</w:t>
            </w:r>
          </w:p>
        </w:tc>
        <w:tc>
          <w:tcPr>
            <w:tcW w:type="dxa" w:w="1662"/>
          </w:tcPr>
          <w:p>
            <w:pPr>
              <w:jc w:val="center"/>
            </w:pPr>
            <w:r/>
            <w:r>
              <w:rPr>
                <w:rFonts w:ascii="Times New Roman" w:hAnsi="Times New Roman" w:eastAsia="宋体"/>
                <w:b w:val="0"/>
                <w:sz w:val="21"/>
              </w:rPr>
              <w:t>3.29</w:t>
            </w:r>
          </w:p>
        </w:tc>
        <w:tc>
          <w:tcPr>
            <w:tcW w:type="dxa" w:w="1662"/>
          </w:tcPr>
          <w:p>
            <w:pPr>
              <w:jc w:val="center"/>
            </w:pPr>
            <w:r/>
            <w:r>
              <w:rPr>
                <w:rFonts w:ascii="Times New Roman" w:hAnsi="Times New Roman" w:eastAsia="宋体"/>
                <w:b w:val="0"/>
                <w:sz w:val="21"/>
              </w:rPr>
              <w:t>65.80</w:t>
            </w:r>
          </w:p>
        </w:tc>
        <w:tc>
          <w:tcPr>
            <w:tcW w:type="dxa" w:w="1662"/>
          </w:tcPr>
          <w:p>
            <w:pPr>
              <w:jc w:val="center"/>
            </w:pPr>
            <w:r/>
            <w:r>
              <w:rPr>
                <w:rFonts w:ascii="Times New Roman" w:hAnsi="Times New Roman" w:eastAsia="宋体"/>
                <w:b w:val="0"/>
                <w:sz w:val="21"/>
              </w:rPr>
              <w:t>75.50</w:t>
            </w:r>
          </w:p>
        </w:tc>
      </w:tr>
    </w:tbl>
    <w:p>
      <w:pPr>
        <w:spacing w:after="0"/>
      </w:pPr>
    </w:p>
    <w:p>
      <w:pPr>
        <w:spacing w:after="120"/>
        <w:jc w:val="left"/>
      </w:pPr>
      <w:r>
        <w:rPr>
          <w:rFonts w:ascii="Times New Roman" w:hAnsi="Times New Roman" w:eastAsia="宋体"/>
          <w:b w:val="0"/>
          <w:sz w:val="21"/>
        </w:rPr>
        <w:t>注：</w:t>
      </w:r>
      <m:oMath>
        <m:r>
          <w:rPr>
            <w:rFonts w:ascii="Cambria Math" w:hAnsi="Cambria Math"/>
          </w:rPr>
          <m:t xml:space="preserve">n</m:t>
        </m:r>
      </m:oMath>
      <w:r>
        <w:rPr>
          <w:rFonts w:ascii="Times New Roman" w:hAnsi="Times New Roman" w:eastAsia="宋体"/>
          <w:b w:val="0"/>
          <w:sz w:val="21"/>
        </w:rPr>
        <w:t>＝10（2015—2024年）；统计基于标准化前的原始观测值。</w:t>
      </w:r>
    </w:p>
    <w:p>
      <w:pPr>
        <w:spacing w:line="360" w:lineRule="auto" w:after="0"/>
        <w:ind w:firstLine="480"/>
        <w:jc w:val="both"/>
      </w:pPr>
      <w:r>
        <w:rPr>
          <w:rFonts w:ascii="Times New Roman" w:hAnsi="Times New Roman" w:eastAsia="宋体"/>
          <w:b w:val="0"/>
          <w:sz w:val="24"/>
        </w:rPr>
        <w:t>2．口径注记与缺失值处理。为保证测度的严谨与透明，对统计口径作如下如实说明：一是R&amp;D经费投入强度2015—2019年采用浙江省统计公报公布数，2020—2024年采用《全国科技经费投入统计公报》修订口径，二者在衔接年份差异极小且方向一致；二是数字经济核心产业增加值2015—2017年为“信息经济核心产业”口径，官方统计序列前后衔接；三是常住人口城镇化率与人均地区生产总值自2020年起为第七次全国人口普查修订口径；四是全员劳动生产率2019—2021年为统计公报“预计”数。fsQCA条件变量中，创新投入强度以2023年为基准年，福建、西藏为官方R&amp;D经费与官方GDP的推算值，广西、甘肃、青海、黑龙江因2023年分省数据不可得而采用2022年官方值。缺失值处理坚持“官方替代”原则，即以临近年份官方公布值替代或以官方分项数据推算，不作任何主观插值。</w:t>
      </w:r>
    </w:p>
    <w:p>
      <w:pPr>
        <w:spacing w:line="360" w:lineRule="auto" w:after="0"/>
        <w:ind w:firstLine="480"/>
        <w:jc w:val="both"/>
      </w:pPr>
      <w:r>
        <w:rPr>
          <w:rFonts w:ascii="Times New Roman" w:hAnsi="Times New Roman" w:eastAsia="宋体"/>
          <w:b w:val="0"/>
          <w:sz w:val="24"/>
        </w:rPr>
        <w:t>3．稳健性安排。本研究从三个层面预置稳健性设计。一是测度层面：极值法标准化中±10%的上下限拓展缓解时序端点敏感性；对高新技术企业数取自然对数，消除绝对量级差异对熵权结构的扭曲；熵值法客观赋权排除主观权重设定对指数走势的干扰。二是模型层面：耦合协调分析同时报告并分解</w:t>
      </w:r>
      <m:oMath>
        <m:r>
          <w:rPr>
            <w:rFonts w:ascii="Cambria Math" w:hAnsi="Cambria Math"/>
          </w:rPr>
          <m:t xml:space="preserve">C</m:t>
        </m:r>
      </m:oMath>
      <w:r>
        <w:rPr>
          <w:rFonts w:ascii="Times New Roman" w:hAnsi="Times New Roman" w:eastAsia="宋体"/>
          <w:b w:val="0"/>
          <w:sz w:val="24"/>
        </w:rPr>
        <w:t>、</w:t>
      </w:r>
      <m:oMath>
        <m:r>
          <w:rPr>
            <w:rFonts w:ascii="Cambria Math" w:hAnsi="Cambria Math"/>
          </w:rPr>
          <m:t xml:space="preserve">T</m:t>
        </m:r>
      </m:oMath>
      <w:r>
        <w:rPr>
          <w:rFonts w:ascii="Times New Roman" w:hAnsi="Times New Roman" w:eastAsia="宋体"/>
          <w:b w:val="0"/>
          <w:sz w:val="24"/>
        </w:rPr>
        <w:t>、</w:t>
      </w:r>
      <m:oMath>
        <m:r>
          <w:rPr>
            <w:rFonts w:ascii="Cambria Math" w:hAnsi="Cambria Math"/>
          </w:rPr>
          <m:t xml:space="preserve">D</m:t>
        </m:r>
      </m:oMath>
      <w:r>
        <w:rPr>
          <w:rFonts w:ascii="Times New Roman" w:hAnsi="Times New Roman" w:eastAsia="宋体"/>
          <w:b w:val="0"/>
          <w:sz w:val="24"/>
        </w:rPr>
        <w:t>，防范“低水平伪协调”的识别偏误。三是组态层面：在基准分析（案例频数阈值1、原始一致性阈值0.8、PRI一致性阈值0.7）之外，将原始一致性阈值提高至0.85、PRI阈值提高至0.75重新运算，检验高、非高共富绩效组态结构的稳定性，检验结果详见实证章。上述设计确保本研究结论建立在口径统一、方法审慎、结果可复核的实证基础之上，亦为后续章节对“势能—动能—效能”三阶转化与三大转化关口的经验检验提供了可靠的技术支撑。</w:t>
      </w:r>
    </w:p>
    <w:p>
      <w:pPr>
        <w:spacing w:line="360" w:lineRule="auto" w:after="0"/>
        <w:ind w:firstLine="480"/>
        <w:jc w:val="both"/>
      </w:pPr>
      <w:r>
        <w:rPr>
          <w:rFonts w:ascii="Times New Roman" w:hAnsi="Times New Roman" w:eastAsia="宋体"/>
          <w:b w:val="0"/>
          <w:sz w:val="24"/>
        </w:rPr>
        <w:t>预置稳健性设计的深层考量在于，测度类研究的结论对方法细节具有天然敏感性，唯有将全部技术选择透明化并报告替代方案下的复算结果，才能区分由数据决定的稳健结论与由方法选择带来的偶然结果。共同富裕统计监测研究已明确倡导测度过程的规范性与可比性</w:t>
      </w:r>
      <w:r>
        <w:rPr>
          <w:rFonts w:ascii="Times New Roman" w:hAnsi="Times New Roman" w:eastAsia="宋体"/>
          <w:b w:val="0"/>
          <w:sz w:val="24"/>
          <w:vertAlign w:val="superscript"/>
        </w:rPr>
        <w:t>[61]</w:t>
      </w:r>
      <w:r>
        <w:rPr>
          <w:rFonts w:ascii="Times New Roman" w:hAnsi="Times New Roman" w:eastAsia="宋体"/>
          <w:b w:val="0"/>
          <w:sz w:val="24"/>
        </w:rPr>
        <w:t>，组态方法领域的研究指南亦将阈值敏感性检验列为最佳实践[138,155]。本章据此将三个层面的稳健性安排作前置说明，实证各章不再重复方法细节、只报告检验结果；读者依据本章给出的公式、参数与数据口径即可完整复现全部测算。这一设计先行、透明可复现的安排，既是对学术规范的自觉遵循，也是研究结论得以进入政策论证环节的可信度前提。</w:t>
      </w:r>
    </w:p>
    <w:p>
      <w:pPr>
        <w:spacing w:line="360" w:lineRule="auto" w:after="160"/>
        <w:jc w:val="center"/>
      </w:pPr>
      <w:r>
        <w:rPr>
          <w:rFonts w:ascii="Times New Roman" w:hAnsi="Times New Roman" w:eastAsia="黑体"/>
          <w:b/>
          <w:sz w:val="32"/>
        </w:rPr>
        <w:t>七、实证分析Ⅰ：浙江省新质生产力与共同富裕发展水平测度</w:t>
      </w:r>
    </w:p>
    <w:p>
      <w:pPr>
        <w:spacing w:line="360" w:lineRule="auto" w:after="0"/>
        <w:ind w:firstLine="480"/>
        <w:jc w:val="both"/>
      </w:pPr>
      <w:r>
        <w:rPr>
          <w:rFonts w:ascii="Times New Roman" w:hAnsi="Times New Roman" w:eastAsia="宋体"/>
          <w:b w:val="0"/>
          <w:sz w:val="24"/>
        </w:rPr>
        <w:t>党的二十届四中全会通过的《建议》将“全要素生产率稳步提升”与“居民收入增长和经济增长同步、劳动报酬提高和劳动生产率提高同步”分别列入“十五五”时期高质量发展与民生建设的目标要求；省委十五届八次全会进一步确立了“高质量发展建设共同富裕示范区取得决定性进展，率先呈现基本实现社会主义现代化的生动图景”的总目标。上述部署能否落地，首先取决于对“新质生产力发展到什么水平、共同富裕推进到什么程度”这一基础性问题的准确回答。本章依据第六章构建的指标体系与熵值法测度模型，对2015—2024年浙江省新质生产力发展指数（</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）与共同富裕指数（</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）进行测算，从总体演变与分维度结构两个层面刻画两大系统的发展轨迹，并对二者的同步性进行初步检验，为下一章的耦合协调分析与第九章的组态分析提供基准事实。</w:t>
      </w:r>
    </w:p>
    <w:p>
      <w:pPr>
        <w:spacing w:line="360" w:lineRule="auto" w:after="0"/>
        <w:ind w:firstLine="480"/>
        <w:jc w:val="both"/>
      </w:pPr>
      <w:r>
        <w:rPr>
          <w:rFonts w:ascii="Times New Roman" w:hAnsi="Times New Roman" w:eastAsia="宋体"/>
          <w:b w:val="0"/>
          <w:sz w:val="24"/>
        </w:rPr>
        <w:t>从方法论看，新质生产力与共同富裕均属多维复合构念，指数化测度是学界通行做法：新质生产力测度研究已围绕要素、结构与功能等维度形成多套指标方案</w:t>
      </w:r>
      <w:r>
        <w:rPr>
          <w:rFonts w:ascii="Times New Roman" w:hAnsi="Times New Roman" w:eastAsia="宋体"/>
          <w:b w:val="0"/>
          <w:sz w:val="24"/>
          <w:vertAlign w:val="superscript"/>
        </w:rPr>
        <w:t>[43,45]</w:t>
      </w:r>
      <w:r>
        <w:rPr>
          <w:rFonts w:ascii="Times New Roman" w:hAnsi="Times New Roman" w:eastAsia="宋体"/>
          <w:b w:val="0"/>
          <w:sz w:val="24"/>
        </w:rPr>
        <w:t>，共同富裕测度亦围绕“富裕”与“共享”的双重意涵持续精细化</w:t>
      </w:r>
      <w:r>
        <w:rPr>
          <w:rFonts w:ascii="Times New Roman" w:hAnsi="Times New Roman" w:eastAsia="宋体"/>
          <w:b w:val="0"/>
          <w:sz w:val="24"/>
          <w:vertAlign w:val="superscript"/>
        </w:rPr>
        <w:t>[28,30]</w:t>
      </w:r>
      <w:r>
        <w:rPr>
          <w:rFonts w:ascii="Times New Roman" w:hAnsi="Times New Roman" w:eastAsia="宋体"/>
          <w:b w:val="0"/>
          <w:sz w:val="24"/>
        </w:rPr>
        <w:t>。本章的处理有两点特色。其一，两大系统在同一省域、同一时段、统一统计口径下平行测度，权重均由熵值法依据指标信息量客观确定，保证了</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与</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在时序比较与相互对照中的可比性；其二，指标体系遵循简约原则，新质生产力系统的四项指标对应“创新势能—产业动能”两个子维度，共同富裕系统的六项指标对应“富裕度—共享度”两个子维度，与理论框架的“势能—动能—效能”转化链条严格对应。</w:t>
      </w:r>
    </w:p>
    <w:p>
      <w:pPr>
        <w:spacing w:line="360" w:lineRule="auto" w:after="80"/>
        <w:jc w:val="left"/>
      </w:pPr>
      <w:r>
        <w:rPr>
          <w:rFonts w:ascii="Times New Roman" w:hAnsi="Times New Roman" w:eastAsia="黑体"/>
          <w:b/>
          <w:sz w:val="28"/>
        </w:rPr>
        <w:t>（一）新质生产力发展指数（</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黑体"/>
          <w:b/>
          <w:sz w:val="28"/>
        </w:rPr>
        <w:t>）的总体演变与分维度特征</w:t>
      </w:r>
    </w:p>
    <w:p>
      <w:pPr>
        <w:spacing w:line="360" w:lineRule="auto" w:after="0"/>
        <w:ind w:firstLine="480"/>
        <w:jc w:val="both"/>
      </w:pPr>
      <w:r>
        <w:rPr>
          <w:rFonts w:ascii="Times New Roman" w:hAnsi="Times New Roman" w:eastAsia="宋体"/>
          <w:b w:val="0"/>
          <w:sz w:val="24"/>
        </w:rPr>
        <w:t>1．总体演变：十年增长逾五倍的持续跃升。利用熵值法测得的两大指数及耦合协调结果如表5所示（耦合度</w:t>
      </w:r>
      <m:oMath>
        <m:r>
          <w:rPr>
            <w:rFonts w:ascii="Cambria Math" w:hAnsi="Cambria Math"/>
          </w:rPr>
          <m:t xml:space="preserve">C</m:t>
        </m:r>
      </m:oMath>
      <w:r>
        <w:rPr>
          <w:rFonts w:ascii="Times New Roman" w:hAnsi="Times New Roman" w:eastAsia="宋体"/>
          <w:b w:val="0"/>
          <w:sz w:val="24"/>
        </w:rPr>
        <w:t>、综合协调指数</w:t>
      </w:r>
      <m:oMath>
        <m:r>
          <w:rPr>
            <w:rFonts w:ascii="Cambria Math" w:hAnsi="Cambria Math"/>
          </w:rPr>
          <m:t xml:space="preserve">T</m:t>
        </m:r>
      </m:oMath>
      <w:r>
        <w:rPr>
          <w:rFonts w:ascii="Times New Roman" w:hAnsi="Times New Roman" w:eastAsia="宋体"/>
          <w:b w:val="0"/>
          <w:sz w:val="24"/>
        </w:rPr>
        <w:t>与耦合协调度</w:t>
      </w:r>
      <m:oMath>
        <m:r>
          <w:rPr>
            <w:rFonts w:ascii="Cambria Math" w:hAnsi="Cambria Math"/>
          </w:rPr>
          <m:t xml:space="preserve">D</m:t>
        </m:r>
      </m:oMath>
      <w:r>
        <w:rPr>
          <w:rFonts w:ascii="Times New Roman" w:hAnsi="Times New Roman" w:eastAsia="宋体"/>
          <w:b w:val="0"/>
          <w:sz w:val="24"/>
        </w:rPr>
        <w:t>的系统分析详见第八章，本章聚焦</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两列；指标口径与数据处理说明详见第六章）。</w:t>
      </w:r>
    </w:p>
    <w:p>
      <w:pPr>
        <w:spacing w:before="120"/>
        <w:jc w:val="center"/>
      </w:pPr>
      <w:r>
        <w:rPr>
          <w:rFonts w:ascii="Times New Roman" w:hAnsi="Times New Roman" w:eastAsia="黑体"/>
          <w:b/>
          <w:sz w:val="21"/>
        </w:rPr>
        <w:t xml:space="preserve">表5　</w:t>
      </w:r>
      <w:r>
        <w:rPr>
          <w:rFonts w:ascii="Times New Roman" w:hAnsi="Times New Roman" w:eastAsia="宋体"/>
          <w:b/>
          <w:sz w:val="21"/>
        </w:rPr>
        <w:t>2015—2024年浙江省新质生产力发展指数、共同富裕指数与耦合协调度测度结果</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pPr>
              <w:jc w:val="center"/>
            </w:pPr>
            <w:r/>
            <w:r>
              <w:rPr>
                <w:rFonts w:ascii="Times New Roman" w:hAnsi="Times New Roman" w:eastAsia="宋体"/>
                <w:b/>
                <w:sz w:val="18"/>
              </w:rPr>
              <w:t>年份</w:t>
            </w:r>
          </w:p>
        </w:tc>
        <w:tc>
          <w:tcPr>
            <w:tcW w:type="dxa" w:w="1187"/>
          </w:tcPr>
          <w:p>
            <w:pPr>
              <w:jc w:val="center"/>
            </w:pPr>
            <w:r/>
            <w:r>
              <w:rPr>
                <w:rFonts w:ascii="Times New Roman" w:hAnsi="Times New Roman" w:eastAsia="宋体"/>
                <w:b/>
                <w:sz w:val="18"/>
              </w:rPr>
              <w:t>新质生产力发展指数（</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sz w:val="18"/>
              </w:rPr>
              <w:t>）</w:t>
            </w:r>
          </w:p>
        </w:tc>
        <w:tc>
          <w:tcPr>
            <w:tcW w:type="dxa" w:w="1187"/>
          </w:tcPr>
          <w:p>
            <w:pPr>
              <w:jc w:val="center"/>
            </w:pPr>
            <w:r/>
            <w:r>
              <w:rPr>
                <w:rFonts w:ascii="Times New Roman" w:hAnsi="Times New Roman" w:eastAsia="宋体"/>
                <w:b/>
                <w:sz w:val="18"/>
              </w:rPr>
              <w:t>共同富裕指数（</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sz w:val="18"/>
              </w:rPr>
              <w:t>）</w:t>
            </w:r>
          </w:p>
        </w:tc>
        <w:tc>
          <w:tcPr>
            <w:tcW w:type="dxa" w:w="1187"/>
          </w:tcPr>
          <w:p>
            <w:pPr>
              <w:jc w:val="center"/>
            </w:pPr>
            <w:r/>
            <w:r>
              <w:rPr>
                <w:rFonts w:ascii="Times New Roman" w:hAnsi="Times New Roman" w:eastAsia="宋体"/>
                <w:b/>
                <w:sz w:val="18"/>
              </w:rPr>
              <w:t>耦合度（</w:t>
            </w:r>
            <m:oMath>
              <m:r>
                <w:rPr>
                  <w:rFonts w:ascii="Cambria Math" w:hAnsi="Cambria Math"/>
                </w:rPr>
                <m:t xml:space="preserve">C</m:t>
              </m:r>
            </m:oMath>
            <w:r>
              <w:rPr>
                <w:rFonts w:ascii="Times New Roman" w:hAnsi="Times New Roman" w:eastAsia="宋体"/>
                <w:b/>
                <w:sz w:val="18"/>
              </w:rPr>
              <w:t>）</w:t>
            </w:r>
          </w:p>
        </w:tc>
        <w:tc>
          <w:tcPr>
            <w:tcW w:type="dxa" w:w="1187"/>
          </w:tcPr>
          <w:p>
            <w:pPr>
              <w:jc w:val="center"/>
            </w:pPr>
            <w:r/>
            <w:r>
              <w:rPr>
                <w:rFonts w:ascii="Times New Roman" w:hAnsi="Times New Roman" w:eastAsia="宋体"/>
                <w:b/>
                <w:sz w:val="18"/>
              </w:rPr>
              <w:t>综合协调指数（</w:t>
            </w:r>
            <m:oMath>
              <m:r>
                <w:rPr>
                  <w:rFonts w:ascii="Cambria Math" w:hAnsi="Cambria Math"/>
                </w:rPr>
                <m:t xml:space="preserve">T</m:t>
              </m:r>
            </m:oMath>
            <w:r>
              <w:rPr>
                <w:rFonts w:ascii="Times New Roman" w:hAnsi="Times New Roman" w:eastAsia="宋体"/>
                <w:b/>
                <w:sz w:val="18"/>
              </w:rPr>
              <w:t>）</w:t>
            </w:r>
          </w:p>
        </w:tc>
        <w:tc>
          <w:tcPr>
            <w:tcW w:type="dxa" w:w="1187"/>
          </w:tcPr>
          <w:p>
            <w:pPr>
              <w:jc w:val="center"/>
            </w:pPr>
            <w:r/>
            <w:r>
              <w:rPr>
                <w:rFonts w:ascii="Times New Roman" w:hAnsi="Times New Roman" w:eastAsia="宋体"/>
                <w:b/>
                <w:sz w:val="18"/>
              </w:rPr>
              <w:t>耦合协调度（</w:t>
            </w:r>
            <m:oMath>
              <m:r>
                <w:rPr>
                  <w:rFonts w:ascii="Cambria Math" w:hAnsi="Cambria Math"/>
                </w:rPr>
                <m:t xml:space="preserve">D</m:t>
              </m:r>
            </m:oMath>
            <w:r>
              <w:rPr>
                <w:rFonts w:ascii="Times New Roman" w:hAnsi="Times New Roman" w:eastAsia="宋体"/>
                <w:b/>
                <w:sz w:val="18"/>
              </w:rPr>
              <w:t>）</w:t>
            </w:r>
          </w:p>
        </w:tc>
        <w:tc>
          <w:tcPr>
            <w:tcW w:type="dxa" w:w="1187"/>
          </w:tcPr>
          <w:p>
            <w:pPr>
              <w:jc w:val="center"/>
            </w:pPr>
            <w:r/>
            <w:r>
              <w:rPr>
                <w:rFonts w:ascii="Times New Roman" w:hAnsi="Times New Roman" w:eastAsia="宋体"/>
                <w:b/>
                <w:sz w:val="18"/>
              </w:rPr>
              <w:t>协调等级</w:t>
            </w:r>
          </w:p>
        </w:tc>
      </w:tr>
      <w:tr>
        <w:tc>
          <w:tcPr>
            <w:tcW w:type="dxa" w:w="1187"/>
          </w:tcPr>
          <w:p>
            <w:pPr>
              <w:jc w:val="center"/>
            </w:pPr>
            <w:r/>
            <w:r>
              <w:rPr>
                <w:rFonts w:ascii="Times New Roman" w:hAnsi="Times New Roman" w:eastAsia="宋体"/>
                <w:b w:val="0"/>
                <w:sz w:val="18"/>
              </w:rPr>
              <w:t>2015</w:t>
            </w:r>
          </w:p>
        </w:tc>
        <w:tc>
          <w:tcPr>
            <w:tcW w:type="dxa" w:w="1187"/>
          </w:tcPr>
          <w:p>
            <w:pPr>
              <w:jc w:val="center"/>
            </w:pPr>
            <w:r/>
            <w:r>
              <w:rPr>
                <w:rFonts w:ascii="Times New Roman" w:hAnsi="Times New Roman" w:eastAsia="宋体"/>
                <w:b w:val="0"/>
                <w:sz w:val="18"/>
              </w:rPr>
              <w:t>0.130</w:t>
            </w:r>
          </w:p>
        </w:tc>
        <w:tc>
          <w:tcPr>
            <w:tcW w:type="dxa" w:w="1187"/>
          </w:tcPr>
          <w:p>
            <w:pPr>
              <w:jc w:val="center"/>
            </w:pPr>
            <w:r/>
            <w:r>
              <w:rPr>
                <w:rFonts w:ascii="Times New Roman" w:hAnsi="Times New Roman" w:eastAsia="宋体"/>
                <w:b w:val="0"/>
                <w:sz w:val="18"/>
              </w:rPr>
              <w:t>0.108</w:t>
            </w:r>
          </w:p>
        </w:tc>
        <w:tc>
          <w:tcPr>
            <w:tcW w:type="dxa" w:w="1187"/>
          </w:tcPr>
          <w:p>
            <w:pPr>
              <w:jc w:val="center"/>
            </w:pPr>
            <w:r/>
            <w:r>
              <w:rPr>
                <w:rFonts w:ascii="Times New Roman" w:hAnsi="Times New Roman" w:eastAsia="宋体"/>
                <w:b w:val="0"/>
                <w:sz w:val="18"/>
              </w:rPr>
              <w:t>0.996</w:t>
            </w:r>
          </w:p>
        </w:tc>
        <w:tc>
          <w:tcPr>
            <w:tcW w:type="dxa" w:w="1187"/>
          </w:tcPr>
          <w:p>
            <w:pPr>
              <w:jc w:val="center"/>
            </w:pPr>
            <w:r/>
            <w:r>
              <w:rPr>
                <w:rFonts w:ascii="Times New Roman" w:hAnsi="Times New Roman" w:eastAsia="宋体"/>
                <w:b w:val="0"/>
                <w:sz w:val="18"/>
              </w:rPr>
              <w:t>0.119</w:t>
            </w:r>
          </w:p>
        </w:tc>
        <w:tc>
          <w:tcPr>
            <w:tcW w:type="dxa" w:w="1187"/>
          </w:tcPr>
          <w:p>
            <w:pPr>
              <w:jc w:val="center"/>
            </w:pPr>
            <w:r/>
            <w:r>
              <w:rPr>
                <w:rFonts w:ascii="Times New Roman" w:hAnsi="Times New Roman" w:eastAsia="宋体"/>
                <w:b w:val="0"/>
                <w:sz w:val="18"/>
              </w:rPr>
              <w:t>0.345</w:t>
            </w:r>
          </w:p>
        </w:tc>
        <w:tc>
          <w:tcPr>
            <w:tcW w:type="dxa" w:w="1187"/>
          </w:tcPr>
          <w:p>
            <w:pPr>
              <w:jc w:val="center"/>
            </w:pPr>
            <w:r/>
            <w:r>
              <w:rPr>
                <w:rFonts w:ascii="Times New Roman" w:hAnsi="Times New Roman" w:eastAsia="宋体"/>
                <w:b w:val="0"/>
                <w:sz w:val="18"/>
              </w:rPr>
              <w:t>轻度失调</w:t>
            </w:r>
          </w:p>
        </w:tc>
      </w:tr>
      <w:tr>
        <w:tc>
          <w:tcPr>
            <w:tcW w:type="dxa" w:w="1187"/>
          </w:tcPr>
          <w:p>
            <w:pPr>
              <w:jc w:val="center"/>
            </w:pPr>
            <w:r/>
            <w:r>
              <w:rPr>
                <w:rFonts w:ascii="Times New Roman" w:hAnsi="Times New Roman" w:eastAsia="宋体"/>
                <w:b w:val="0"/>
                <w:sz w:val="18"/>
              </w:rPr>
              <w:t>2016</w:t>
            </w:r>
          </w:p>
        </w:tc>
        <w:tc>
          <w:tcPr>
            <w:tcW w:type="dxa" w:w="1187"/>
          </w:tcPr>
          <w:p>
            <w:pPr>
              <w:jc w:val="center"/>
            </w:pPr>
            <w:r/>
            <w:r>
              <w:rPr>
                <w:rFonts w:ascii="Times New Roman" w:hAnsi="Times New Roman" w:eastAsia="宋体"/>
                <w:b w:val="0"/>
                <w:sz w:val="18"/>
              </w:rPr>
              <w:t>0.196</w:t>
            </w:r>
          </w:p>
        </w:tc>
        <w:tc>
          <w:tcPr>
            <w:tcW w:type="dxa" w:w="1187"/>
          </w:tcPr>
          <w:p>
            <w:pPr>
              <w:jc w:val="center"/>
            </w:pPr>
            <w:r/>
            <w:r>
              <w:rPr>
                <w:rFonts w:ascii="Times New Roman" w:hAnsi="Times New Roman" w:eastAsia="宋体"/>
                <w:b w:val="0"/>
                <w:sz w:val="18"/>
              </w:rPr>
              <w:t>0.168</w:t>
            </w:r>
          </w:p>
        </w:tc>
        <w:tc>
          <w:tcPr>
            <w:tcW w:type="dxa" w:w="1187"/>
          </w:tcPr>
          <w:p>
            <w:pPr>
              <w:jc w:val="center"/>
            </w:pPr>
            <w:r/>
            <w:r>
              <w:rPr>
                <w:rFonts w:ascii="Times New Roman" w:hAnsi="Times New Roman" w:eastAsia="宋体"/>
                <w:b w:val="0"/>
                <w:sz w:val="18"/>
              </w:rPr>
              <w:t>0.997</w:t>
            </w:r>
          </w:p>
        </w:tc>
        <w:tc>
          <w:tcPr>
            <w:tcW w:type="dxa" w:w="1187"/>
          </w:tcPr>
          <w:p>
            <w:pPr>
              <w:jc w:val="center"/>
            </w:pPr>
            <w:r/>
            <w:r>
              <w:rPr>
                <w:rFonts w:ascii="Times New Roman" w:hAnsi="Times New Roman" w:eastAsia="宋体"/>
                <w:b w:val="0"/>
                <w:sz w:val="18"/>
              </w:rPr>
              <w:t>0.182</w:t>
            </w:r>
          </w:p>
        </w:tc>
        <w:tc>
          <w:tcPr>
            <w:tcW w:type="dxa" w:w="1187"/>
          </w:tcPr>
          <w:p>
            <w:pPr>
              <w:jc w:val="center"/>
            </w:pPr>
            <w:r/>
            <w:r>
              <w:rPr>
                <w:rFonts w:ascii="Times New Roman" w:hAnsi="Times New Roman" w:eastAsia="宋体"/>
                <w:b w:val="0"/>
                <w:sz w:val="18"/>
              </w:rPr>
              <w:t>0.426</w:t>
            </w:r>
          </w:p>
        </w:tc>
        <w:tc>
          <w:tcPr>
            <w:tcW w:type="dxa" w:w="1187"/>
          </w:tcPr>
          <w:p>
            <w:pPr>
              <w:jc w:val="center"/>
            </w:pPr>
            <w:r/>
            <w:r>
              <w:rPr>
                <w:rFonts w:ascii="Times New Roman" w:hAnsi="Times New Roman" w:eastAsia="宋体"/>
                <w:b w:val="0"/>
                <w:sz w:val="18"/>
              </w:rPr>
              <w:t>濒临失调</w:t>
            </w:r>
          </w:p>
        </w:tc>
      </w:tr>
      <w:tr>
        <w:tc>
          <w:tcPr>
            <w:tcW w:type="dxa" w:w="1187"/>
          </w:tcPr>
          <w:p>
            <w:pPr>
              <w:jc w:val="center"/>
            </w:pPr>
            <w:r/>
            <w:r>
              <w:rPr>
                <w:rFonts w:ascii="Times New Roman" w:hAnsi="Times New Roman" w:eastAsia="宋体"/>
                <w:b w:val="0"/>
                <w:sz w:val="18"/>
              </w:rPr>
              <w:t>2017</w:t>
            </w:r>
          </w:p>
        </w:tc>
        <w:tc>
          <w:tcPr>
            <w:tcW w:type="dxa" w:w="1187"/>
          </w:tcPr>
          <w:p>
            <w:pPr>
              <w:jc w:val="center"/>
            </w:pPr>
            <w:r/>
            <w:r>
              <w:rPr>
                <w:rFonts w:ascii="Times New Roman" w:hAnsi="Times New Roman" w:eastAsia="宋体"/>
                <w:b w:val="0"/>
                <w:sz w:val="18"/>
              </w:rPr>
              <w:t>0.272</w:t>
            </w:r>
          </w:p>
        </w:tc>
        <w:tc>
          <w:tcPr>
            <w:tcW w:type="dxa" w:w="1187"/>
          </w:tcPr>
          <w:p>
            <w:pPr>
              <w:jc w:val="center"/>
            </w:pPr>
            <w:r/>
            <w:r>
              <w:rPr>
                <w:rFonts w:ascii="Times New Roman" w:hAnsi="Times New Roman" w:eastAsia="宋体"/>
                <w:b w:val="0"/>
                <w:sz w:val="18"/>
              </w:rPr>
              <w:t>0.241</w:t>
            </w:r>
          </w:p>
        </w:tc>
        <w:tc>
          <w:tcPr>
            <w:tcW w:type="dxa" w:w="1187"/>
          </w:tcPr>
          <w:p>
            <w:pPr>
              <w:jc w:val="center"/>
            </w:pPr>
            <w:r/>
            <w:r>
              <w:rPr>
                <w:rFonts w:ascii="Times New Roman" w:hAnsi="Times New Roman" w:eastAsia="宋体"/>
                <w:b w:val="0"/>
                <w:sz w:val="18"/>
              </w:rPr>
              <w:t>0.998</w:t>
            </w:r>
          </w:p>
        </w:tc>
        <w:tc>
          <w:tcPr>
            <w:tcW w:type="dxa" w:w="1187"/>
          </w:tcPr>
          <w:p>
            <w:pPr>
              <w:jc w:val="center"/>
            </w:pPr>
            <w:r/>
            <w:r>
              <w:rPr>
                <w:rFonts w:ascii="Times New Roman" w:hAnsi="Times New Roman" w:eastAsia="宋体"/>
                <w:b w:val="0"/>
                <w:sz w:val="18"/>
              </w:rPr>
              <w:t>0.256</w:t>
            </w:r>
          </w:p>
        </w:tc>
        <w:tc>
          <w:tcPr>
            <w:tcW w:type="dxa" w:w="1187"/>
          </w:tcPr>
          <w:p>
            <w:pPr>
              <w:jc w:val="center"/>
            </w:pPr>
            <w:r/>
            <w:r>
              <w:rPr>
                <w:rFonts w:ascii="Times New Roman" w:hAnsi="Times New Roman" w:eastAsia="宋体"/>
                <w:b w:val="0"/>
                <w:sz w:val="18"/>
              </w:rPr>
              <w:t>0.506</w:t>
            </w:r>
          </w:p>
        </w:tc>
        <w:tc>
          <w:tcPr>
            <w:tcW w:type="dxa" w:w="1187"/>
          </w:tcPr>
          <w:p>
            <w:pPr>
              <w:jc w:val="center"/>
            </w:pPr>
            <w:r/>
            <w:r>
              <w:rPr>
                <w:rFonts w:ascii="Times New Roman" w:hAnsi="Times New Roman" w:eastAsia="宋体"/>
                <w:b w:val="0"/>
                <w:sz w:val="18"/>
              </w:rPr>
              <w:t>勉强协调</w:t>
            </w:r>
          </w:p>
        </w:tc>
      </w:tr>
      <w:tr>
        <w:tc>
          <w:tcPr>
            <w:tcW w:type="dxa" w:w="1187"/>
          </w:tcPr>
          <w:p>
            <w:pPr>
              <w:jc w:val="center"/>
            </w:pPr>
            <w:r/>
            <w:r>
              <w:rPr>
                <w:rFonts w:ascii="Times New Roman" w:hAnsi="Times New Roman" w:eastAsia="宋体"/>
                <w:b w:val="0"/>
                <w:sz w:val="18"/>
              </w:rPr>
              <w:t>2018</w:t>
            </w:r>
          </w:p>
        </w:tc>
        <w:tc>
          <w:tcPr>
            <w:tcW w:type="dxa" w:w="1187"/>
          </w:tcPr>
          <w:p>
            <w:pPr>
              <w:jc w:val="center"/>
            </w:pPr>
            <w:r/>
            <w:r>
              <w:rPr>
                <w:rFonts w:ascii="Times New Roman" w:hAnsi="Times New Roman" w:eastAsia="宋体"/>
                <w:b w:val="0"/>
                <w:sz w:val="18"/>
              </w:rPr>
              <w:t>0.340</w:t>
            </w:r>
          </w:p>
        </w:tc>
        <w:tc>
          <w:tcPr>
            <w:tcW w:type="dxa" w:w="1187"/>
          </w:tcPr>
          <w:p>
            <w:pPr>
              <w:jc w:val="center"/>
            </w:pPr>
            <w:r/>
            <w:r>
              <w:rPr>
                <w:rFonts w:ascii="Times New Roman" w:hAnsi="Times New Roman" w:eastAsia="宋体"/>
                <w:b w:val="0"/>
                <w:sz w:val="18"/>
              </w:rPr>
              <w:t>0.322</w:t>
            </w:r>
          </w:p>
        </w:tc>
        <w:tc>
          <w:tcPr>
            <w:tcW w:type="dxa" w:w="1187"/>
          </w:tcPr>
          <w:p>
            <w:pPr>
              <w:jc w:val="center"/>
            </w:pPr>
            <w:r/>
            <w:r>
              <w:rPr>
                <w:rFonts w:ascii="Times New Roman" w:hAnsi="Times New Roman" w:eastAsia="宋体"/>
                <w:b w:val="0"/>
                <w:sz w:val="18"/>
              </w:rPr>
              <w:t>1.000</w:t>
            </w:r>
          </w:p>
        </w:tc>
        <w:tc>
          <w:tcPr>
            <w:tcW w:type="dxa" w:w="1187"/>
          </w:tcPr>
          <w:p>
            <w:pPr>
              <w:jc w:val="center"/>
            </w:pPr>
            <w:r/>
            <w:r>
              <w:rPr>
                <w:rFonts w:ascii="Times New Roman" w:hAnsi="Times New Roman" w:eastAsia="宋体"/>
                <w:b w:val="0"/>
                <w:sz w:val="18"/>
              </w:rPr>
              <w:t>0.331</w:t>
            </w:r>
          </w:p>
        </w:tc>
        <w:tc>
          <w:tcPr>
            <w:tcW w:type="dxa" w:w="1187"/>
          </w:tcPr>
          <w:p>
            <w:pPr>
              <w:jc w:val="center"/>
            </w:pPr>
            <w:r/>
            <w:r>
              <w:rPr>
                <w:rFonts w:ascii="Times New Roman" w:hAnsi="Times New Roman" w:eastAsia="宋体"/>
                <w:b w:val="0"/>
                <w:sz w:val="18"/>
              </w:rPr>
              <w:t>0.575</w:t>
            </w:r>
          </w:p>
        </w:tc>
        <w:tc>
          <w:tcPr>
            <w:tcW w:type="dxa" w:w="1187"/>
          </w:tcPr>
          <w:p>
            <w:pPr>
              <w:jc w:val="center"/>
            </w:pPr>
            <w:r/>
            <w:r>
              <w:rPr>
                <w:rFonts w:ascii="Times New Roman" w:hAnsi="Times New Roman" w:eastAsia="宋体"/>
                <w:b w:val="0"/>
                <w:sz w:val="18"/>
              </w:rPr>
              <w:t>勉强协调</w:t>
            </w:r>
          </w:p>
        </w:tc>
      </w:tr>
      <w:tr>
        <w:tc>
          <w:tcPr>
            <w:tcW w:type="dxa" w:w="1187"/>
          </w:tcPr>
          <w:p>
            <w:pPr>
              <w:jc w:val="center"/>
            </w:pPr>
            <w:r/>
            <w:r>
              <w:rPr>
                <w:rFonts w:ascii="Times New Roman" w:hAnsi="Times New Roman" w:eastAsia="宋体"/>
                <w:b w:val="0"/>
                <w:sz w:val="18"/>
              </w:rPr>
              <w:t>2019</w:t>
            </w:r>
          </w:p>
        </w:tc>
        <w:tc>
          <w:tcPr>
            <w:tcW w:type="dxa" w:w="1187"/>
          </w:tcPr>
          <w:p>
            <w:pPr>
              <w:jc w:val="center"/>
            </w:pPr>
            <w:r/>
            <w:r>
              <w:rPr>
                <w:rFonts w:ascii="Times New Roman" w:hAnsi="Times New Roman" w:eastAsia="宋体"/>
                <w:b w:val="0"/>
                <w:sz w:val="18"/>
              </w:rPr>
              <w:t>0.400</w:t>
            </w:r>
          </w:p>
        </w:tc>
        <w:tc>
          <w:tcPr>
            <w:tcW w:type="dxa" w:w="1187"/>
          </w:tcPr>
          <w:p>
            <w:pPr>
              <w:jc w:val="center"/>
            </w:pPr>
            <w:r/>
            <w:r>
              <w:rPr>
                <w:rFonts w:ascii="Times New Roman" w:hAnsi="Times New Roman" w:eastAsia="宋体"/>
                <w:b w:val="0"/>
                <w:sz w:val="18"/>
              </w:rPr>
              <w:t>0.413</w:t>
            </w:r>
          </w:p>
        </w:tc>
        <w:tc>
          <w:tcPr>
            <w:tcW w:type="dxa" w:w="1187"/>
          </w:tcPr>
          <w:p>
            <w:pPr>
              <w:jc w:val="center"/>
            </w:pPr>
            <w:r/>
            <w:r>
              <w:rPr>
                <w:rFonts w:ascii="Times New Roman" w:hAnsi="Times New Roman" w:eastAsia="宋体"/>
                <w:b w:val="0"/>
                <w:sz w:val="18"/>
              </w:rPr>
              <w:t>1.000</w:t>
            </w:r>
          </w:p>
        </w:tc>
        <w:tc>
          <w:tcPr>
            <w:tcW w:type="dxa" w:w="1187"/>
          </w:tcPr>
          <w:p>
            <w:pPr>
              <w:jc w:val="center"/>
            </w:pPr>
            <w:r/>
            <w:r>
              <w:rPr>
                <w:rFonts w:ascii="Times New Roman" w:hAnsi="Times New Roman" w:eastAsia="宋体"/>
                <w:b w:val="0"/>
                <w:sz w:val="18"/>
              </w:rPr>
              <w:t>0.406</w:t>
            </w:r>
          </w:p>
        </w:tc>
        <w:tc>
          <w:tcPr>
            <w:tcW w:type="dxa" w:w="1187"/>
          </w:tcPr>
          <w:p>
            <w:pPr>
              <w:jc w:val="center"/>
            </w:pPr>
            <w:r/>
            <w:r>
              <w:rPr>
                <w:rFonts w:ascii="Times New Roman" w:hAnsi="Times New Roman" w:eastAsia="宋体"/>
                <w:b w:val="0"/>
                <w:sz w:val="18"/>
              </w:rPr>
              <w:t>0.637</w:t>
            </w:r>
          </w:p>
        </w:tc>
        <w:tc>
          <w:tcPr>
            <w:tcW w:type="dxa" w:w="1187"/>
          </w:tcPr>
          <w:p>
            <w:pPr>
              <w:jc w:val="center"/>
            </w:pPr>
            <w:r/>
            <w:r>
              <w:rPr>
                <w:rFonts w:ascii="Times New Roman" w:hAnsi="Times New Roman" w:eastAsia="宋体"/>
                <w:b w:val="0"/>
                <w:sz w:val="18"/>
              </w:rPr>
              <w:t>初级协调</w:t>
            </w:r>
          </w:p>
        </w:tc>
      </w:tr>
      <w:tr>
        <w:tc>
          <w:tcPr>
            <w:tcW w:type="dxa" w:w="1187"/>
          </w:tcPr>
          <w:p>
            <w:pPr>
              <w:jc w:val="center"/>
            </w:pPr>
            <w:r/>
            <w:r>
              <w:rPr>
                <w:rFonts w:ascii="Times New Roman" w:hAnsi="Times New Roman" w:eastAsia="宋体"/>
                <w:b w:val="0"/>
                <w:sz w:val="18"/>
              </w:rPr>
              <w:t>2020</w:t>
            </w:r>
          </w:p>
        </w:tc>
        <w:tc>
          <w:tcPr>
            <w:tcW w:type="dxa" w:w="1187"/>
          </w:tcPr>
          <w:p>
            <w:pPr>
              <w:jc w:val="center"/>
            </w:pPr>
            <w:r/>
            <w:r>
              <w:rPr>
                <w:rFonts w:ascii="Times New Roman" w:hAnsi="Times New Roman" w:eastAsia="宋体"/>
                <w:b w:val="0"/>
                <w:sz w:val="18"/>
              </w:rPr>
              <w:t>0.505</w:t>
            </w:r>
          </w:p>
        </w:tc>
        <w:tc>
          <w:tcPr>
            <w:tcW w:type="dxa" w:w="1187"/>
          </w:tcPr>
          <w:p>
            <w:pPr>
              <w:jc w:val="center"/>
            </w:pPr>
            <w:r/>
            <w:r>
              <w:rPr>
                <w:rFonts w:ascii="Times New Roman" w:hAnsi="Times New Roman" w:eastAsia="宋体"/>
                <w:b w:val="0"/>
                <w:sz w:val="18"/>
              </w:rPr>
              <w:t>0.430</w:t>
            </w:r>
          </w:p>
        </w:tc>
        <w:tc>
          <w:tcPr>
            <w:tcW w:type="dxa" w:w="1187"/>
          </w:tcPr>
          <w:p>
            <w:pPr>
              <w:jc w:val="center"/>
            </w:pPr>
            <w:r/>
            <w:r>
              <w:rPr>
                <w:rFonts w:ascii="Times New Roman" w:hAnsi="Times New Roman" w:eastAsia="宋体"/>
                <w:b w:val="0"/>
                <w:sz w:val="18"/>
              </w:rPr>
              <w:t>0.997</w:t>
            </w:r>
          </w:p>
        </w:tc>
        <w:tc>
          <w:tcPr>
            <w:tcW w:type="dxa" w:w="1187"/>
          </w:tcPr>
          <w:p>
            <w:pPr>
              <w:jc w:val="center"/>
            </w:pPr>
            <w:r/>
            <w:r>
              <w:rPr>
                <w:rFonts w:ascii="Times New Roman" w:hAnsi="Times New Roman" w:eastAsia="宋体"/>
                <w:b w:val="0"/>
                <w:sz w:val="18"/>
              </w:rPr>
              <w:t>0.467</w:t>
            </w:r>
          </w:p>
        </w:tc>
        <w:tc>
          <w:tcPr>
            <w:tcW w:type="dxa" w:w="1187"/>
          </w:tcPr>
          <w:p>
            <w:pPr>
              <w:jc w:val="center"/>
            </w:pPr>
            <w:r/>
            <w:r>
              <w:rPr>
                <w:rFonts w:ascii="Times New Roman" w:hAnsi="Times New Roman" w:eastAsia="宋体"/>
                <w:b w:val="0"/>
                <w:sz w:val="18"/>
              </w:rPr>
              <w:t>0.683</w:t>
            </w:r>
          </w:p>
        </w:tc>
        <w:tc>
          <w:tcPr>
            <w:tcW w:type="dxa" w:w="1187"/>
          </w:tcPr>
          <w:p>
            <w:pPr>
              <w:jc w:val="center"/>
            </w:pPr>
            <w:r/>
            <w:r>
              <w:rPr>
                <w:rFonts w:ascii="Times New Roman" w:hAnsi="Times New Roman" w:eastAsia="宋体"/>
                <w:b w:val="0"/>
                <w:sz w:val="18"/>
              </w:rPr>
              <w:t>初级协调</w:t>
            </w:r>
          </w:p>
        </w:tc>
      </w:tr>
      <w:tr>
        <w:tc>
          <w:tcPr>
            <w:tcW w:type="dxa" w:w="1187"/>
          </w:tcPr>
          <w:p>
            <w:pPr>
              <w:jc w:val="center"/>
            </w:pPr>
            <w:r/>
            <w:r>
              <w:rPr>
                <w:rFonts w:ascii="Times New Roman" w:hAnsi="Times New Roman" w:eastAsia="宋体"/>
                <w:b w:val="0"/>
                <w:sz w:val="18"/>
              </w:rPr>
              <w:t>2021</w:t>
            </w:r>
          </w:p>
        </w:tc>
        <w:tc>
          <w:tcPr>
            <w:tcW w:type="dxa" w:w="1187"/>
          </w:tcPr>
          <w:p>
            <w:pPr>
              <w:jc w:val="center"/>
            </w:pPr>
            <w:r/>
            <w:r>
              <w:rPr>
                <w:rFonts w:ascii="Times New Roman" w:hAnsi="Times New Roman" w:eastAsia="宋体"/>
                <w:b w:val="0"/>
                <w:sz w:val="18"/>
              </w:rPr>
              <w:t>0.603</w:t>
            </w:r>
          </w:p>
        </w:tc>
        <w:tc>
          <w:tcPr>
            <w:tcW w:type="dxa" w:w="1187"/>
          </w:tcPr>
          <w:p>
            <w:pPr>
              <w:jc w:val="center"/>
            </w:pPr>
            <w:r/>
            <w:r>
              <w:rPr>
                <w:rFonts w:ascii="Times New Roman" w:hAnsi="Times New Roman" w:eastAsia="宋体"/>
                <w:b w:val="0"/>
                <w:sz w:val="18"/>
              </w:rPr>
              <w:t>0.566</w:t>
            </w:r>
          </w:p>
        </w:tc>
        <w:tc>
          <w:tcPr>
            <w:tcW w:type="dxa" w:w="1187"/>
          </w:tcPr>
          <w:p>
            <w:pPr>
              <w:jc w:val="center"/>
            </w:pPr>
            <w:r/>
            <w:r>
              <w:rPr>
                <w:rFonts w:ascii="Times New Roman" w:hAnsi="Times New Roman" w:eastAsia="宋体"/>
                <w:b w:val="0"/>
                <w:sz w:val="18"/>
              </w:rPr>
              <w:t>1.000</w:t>
            </w:r>
          </w:p>
        </w:tc>
        <w:tc>
          <w:tcPr>
            <w:tcW w:type="dxa" w:w="1187"/>
          </w:tcPr>
          <w:p>
            <w:pPr>
              <w:jc w:val="center"/>
            </w:pPr>
            <w:r/>
            <w:r>
              <w:rPr>
                <w:rFonts w:ascii="Times New Roman" w:hAnsi="Times New Roman" w:eastAsia="宋体"/>
                <w:b w:val="0"/>
                <w:sz w:val="18"/>
              </w:rPr>
              <w:t>0.584</w:t>
            </w:r>
          </w:p>
        </w:tc>
        <w:tc>
          <w:tcPr>
            <w:tcW w:type="dxa" w:w="1187"/>
          </w:tcPr>
          <w:p>
            <w:pPr>
              <w:jc w:val="center"/>
            </w:pPr>
            <w:r/>
            <w:r>
              <w:rPr>
                <w:rFonts w:ascii="Times New Roman" w:hAnsi="Times New Roman" w:eastAsia="宋体"/>
                <w:b w:val="0"/>
                <w:sz w:val="18"/>
              </w:rPr>
              <w:t>0.764</w:t>
            </w:r>
          </w:p>
        </w:tc>
        <w:tc>
          <w:tcPr>
            <w:tcW w:type="dxa" w:w="1187"/>
          </w:tcPr>
          <w:p>
            <w:pPr>
              <w:jc w:val="center"/>
            </w:pPr>
            <w:r/>
            <w:r>
              <w:rPr>
                <w:rFonts w:ascii="Times New Roman" w:hAnsi="Times New Roman" w:eastAsia="宋体"/>
                <w:b w:val="0"/>
                <w:sz w:val="18"/>
              </w:rPr>
              <w:t>中级协调</w:t>
            </w:r>
          </w:p>
        </w:tc>
      </w:tr>
      <w:tr>
        <w:tc>
          <w:tcPr>
            <w:tcW w:type="dxa" w:w="1187"/>
          </w:tcPr>
          <w:p>
            <w:pPr>
              <w:jc w:val="center"/>
            </w:pPr>
            <w:r/>
            <w:r>
              <w:rPr>
                <w:rFonts w:ascii="Times New Roman" w:hAnsi="Times New Roman" w:eastAsia="宋体"/>
                <w:b w:val="0"/>
                <w:sz w:val="18"/>
              </w:rPr>
              <w:t>2022</w:t>
            </w:r>
          </w:p>
        </w:tc>
        <w:tc>
          <w:tcPr>
            <w:tcW w:type="dxa" w:w="1187"/>
          </w:tcPr>
          <w:p>
            <w:pPr>
              <w:jc w:val="center"/>
            </w:pPr>
            <w:r/>
            <w:r>
              <w:rPr>
                <w:rFonts w:ascii="Times New Roman" w:hAnsi="Times New Roman" w:eastAsia="宋体"/>
                <w:b w:val="0"/>
                <w:sz w:val="18"/>
              </w:rPr>
              <w:t>0.671</w:t>
            </w:r>
          </w:p>
        </w:tc>
        <w:tc>
          <w:tcPr>
            <w:tcW w:type="dxa" w:w="1187"/>
          </w:tcPr>
          <w:p>
            <w:pPr>
              <w:jc w:val="center"/>
            </w:pPr>
            <w:r/>
            <w:r>
              <w:rPr>
                <w:rFonts w:ascii="Times New Roman" w:hAnsi="Times New Roman" w:eastAsia="宋体"/>
                <w:b w:val="0"/>
                <w:sz w:val="18"/>
              </w:rPr>
              <w:t>0.639</w:t>
            </w:r>
          </w:p>
        </w:tc>
        <w:tc>
          <w:tcPr>
            <w:tcW w:type="dxa" w:w="1187"/>
          </w:tcPr>
          <w:p>
            <w:pPr>
              <w:jc w:val="center"/>
            </w:pPr>
            <w:r/>
            <w:r>
              <w:rPr>
                <w:rFonts w:ascii="Times New Roman" w:hAnsi="Times New Roman" w:eastAsia="宋体"/>
                <w:b w:val="0"/>
                <w:sz w:val="18"/>
              </w:rPr>
              <w:t>1.000</w:t>
            </w:r>
          </w:p>
        </w:tc>
        <w:tc>
          <w:tcPr>
            <w:tcW w:type="dxa" w:w="1187"/>
          </w:tcPr>
          <w:p>
            <w:pPr>
              <w:jc w:val="center"/>
            </w:pPr>
            <w:r/>
            <w:r>
              <w:rPr>
                <w:rFonts w:ascii="Times New Roman" w:hAnsi="Times New Roman" w:eastAsia="宋体"/>
                <w:b w:val="0"/>
                <w:sz w:val="18"/>
              </w:rPr>
              <w:t>0.655</w:t>
            </w:r>
          </w:p>
        </w:tc>
        <w:tc>
          <w:tcPr>
            <w:tcW w:type="dxa" w:w="1187"/>
          </w:tcPr>
          <w:p>
            <w:pPr>
              <w:jc w:val="center"/>
            </w:pPr>
            <w:r/>
            <w:r>
              <w:rPr>
                <w:rFonts w:ascii="Times New Roman" w:hAnsi="Times New Roman" w:eastAsia="宋体"/>
                <w:b w:val="0"/>
                <w:sz w:val="18"/>
              </w:rPr>
              <w:t>0.809</w:t>
            </w:r>
          </w:p>
        </w:tc>
        <w:tc>
          <w:tcPr>
            <w:tcW w:type="dxa" w:w="1187"/>
          </w:tcPr>
          <w:p>
            <w:pPr>
              <w:jc w:val="center"/>
            </w:pPr>
            <w:r/>
            <w:r>
              <w:rPr>
                <w:rFonts w:ascii="Times New Roman" w:hAnsi="Times New Roman" w:eastAsia="宋体"/>
                <w:b w:val="0"/>
                <w:sz w:val="18"/>
              </w:rPr>
              <w:t>良好协调</w:t>
            </w:r>
          </w:p>
        </w:tc>
      </w:tr>
      <w:tr>
        <w:tc>
          <w:tcPr>
            <w:tcW w:type="dxa" w:w="1187"/>
          </w:tcPr>
          <w:p>
            <w:pPr>
              <w:jc w:val="center"/>
            </w:pPr>
            <w:r/>
            <w:r>
              <w:rPr>
                <w:rFonts w:ascii="Times New Roman" w:hAnsi="Times New Roman" w:eastAsia="宋体"/>
                <w:b w:val="0"/>
                <w:sz w:val="18"/>
              </w:rPr>
              <w:t>2023</w:t>
            </w:r>
          </w:p>
        </w:tc>
        <w:tc>
          <w:tcPr>
            <w:tcW w:type="dxa" w:w="1187"/>
          </w:tcPr>
          <w:p>
            <w:pPr>
              <w:jc w:val="center"/>
            </w:pPr>
            <w:r/>
            <w:r>
              <w:rPr>
                <w:rFonts w:ascii="Times New Roman" w:hAnsi="Times New Roman" w:eastAsia="宋体"/>
                <w:b w:val="0"/>
                <w:sz w:val="18"/>
              </w:rPr>
              <w:t>0.741</w:t>
            </w:r>
          </w:p>
        </w:tc>
        <w:tc>
          <w:tcPr>
            <w:tcW w:type="dxa" w:w="1187"/>
          </w:tcPr>
          <w:p>
            <w:pPr>
              <w:jc w:val="center"/>
            </w:pPr>
            <w:r/>
            <w:r>
              <w:rPr>
                <w:rFonts w:ascii="Times New Roman" w:hAnsi="Times New Roman" w:eastAsia="宋体"/>
                <w:b w:val="0"/>
                <w:sz w:val="18"/>
              </w:rPr>
              <w:t>0.730</w:t>
            </w:r>
          </w:p>
        </w:tc>
        <w:tc>
          <w:tcPr>
            <w:tcW w:type="dxa" w:w="1187"/>
          </w:tcPr>
          <w:p>
            <w:pPr>
              <w:jc w:val="center"/>
            </w:pPr>
            <w:r/>
            <w:r>
              <w:rPr>
                <w:rFonts w:ascii="Times New Roman" w:hAnsi="Times New Roman" w:eastAsia="宋体"/>
                <w:b w:val="0"/>
                <w:sz w:val="18"/>
              </w:rPr>
              <w:t>1.000</w:t>
            </w:r>
          </w:p>
        </w:tc>
        <w:tc>
          <w:tcPr>
            <w:tcW w:type="dxa" w:w="1187"/>
          </w:tcPr>
          <w:p>
            <w:pPr>
              <w:jc w:val="center"/>
            </w:pPr>
            <w:r/>
            <w:r>
              <w:rPr>
                <w:rFonts w:ascii="Times New Roman" w:hAnsi="Times New Roman" w:eastAsia="宋体"/>
                <w:b w:val="0"/>
                <w:sz w:val="18"/>
              </w:rPr>
              <w:t>0.736</w:t>
            </w:r>
          </w:p>
        </w:tc>
        <w:tc>
          <w:tcPr>
            <w:tcW w:type="dxa" w:w="1187"/>
          </w:tcPr>
          <w:p>
            <w:pPr>
              <w:jc w:val="center"/>
            </w:pPr>
            <w:r/>
            <w:r>
              <w:rPr>
                <w:rFonts w:ascii="Times New Roman" w:hAnsi="Times New Roman" w:eastAsia="宋体"/>
                <w:b w:val="0"/>
                <w:sz w:val="18"/>
              </w:rPr>
              <w:t>0.858</w:t>
            </w:r>
          </w:p>
        </w:tc>
        <w:tc>
          <w:tcPr>
            <w:tcW w:type="dxa" w:w="1187"/>
          </w:tcPr>
          <w:p>
            <w:pPr>
              <w:jc w:val="center"/>
            </w:pPr>
            <w:r/>
            <w:r>
              <w:rPr>
                <w:rFonts w:ascii="Times New Roman" w:hAnsi="Times New Roman" w:eastAsia="宋体"/>
                <w:b w:val="0"/>
                <w:sz w:val="18"/>
              </w:rPr>
              <w:t>良好协调</w:t>
            </w:r>
          </w:p>
        </w:tc>
      </w:tr>
      <w:tr>
        <w:tc>
          <w:tcPr>
            <w:tcW w:type="dxa" w:w="1187"/>
          </w:tcPr>
          <w:p>
            <w:pPr>
              <w:jc w:val="center"/>
            </w:pPr>
            <w:r/>
            <w:r>
              <w:rPr>
                <w:rFonts w:ascii="Times New Roman" w:hAnsi="Times New Roman" w:eastAsia="宋体"/>
                <w:b w:val="0"/>
                <w:sz w:val="18"/>
              </w:rPr>
              <w:t>2024</w:t>
            </w:r>
          </w:p>
        </w:tc>
        <w:tc>
          <w:tcPr>
            <w:tcW w:type="dxa" w:w="1187"/>
          </w:tcPr>
          <w:p>
            <w:pPr>
              <w:jc w:val="center"/>
            </w:pPr>
            <w:r/>
            <w:r>
              <w:rPr>
                <w:rFonts w:ascii="Times New Roman" w:hAnsi="Times New Roman" w:eastAsia="宋体"/>
                <w:b w:val="0"/>
                <w:sz w:val="18"/>
              </w:rPr>
              <w:t>0.802</w:t>
            </w:r>
          </w:p>
        </w:tc>
        <w:tc>
          <w:tcPr>
            <w:tcW w:type="dxa" w:w="1187"/>
          </w:tcPr>
          <w:p>
            <w:pPr>
              <w:jc w:val="center"/>
            </w:pPr>
            <w:r/>
            <w:r>
              <w:rPr>
                <w:rFonts w:ascii="Times New Roman" w:hAnsi="Times New Roman" w:eastAsia="宋体"/>
                <w:b w:val="0"/>
                <w:sz w:val="18"/>
              </w:rPr>
              <w:t>0.824</w:t>
            </w:r>
          </w:p>
        </w:tc>
        <w:tc>
          <w:tcPr>
            <w:tcW w:type="dxa" w:w="1187"/>
          </w:tcPr>
          <w:p>
            <w:pPr>
              <w:jc w:val="center"/>
            </w:pPr>
            <w:r/>
            <w:r>
              <w:rPr>
                <w:rFonts w:ascii="Times New Roman" w:hAnsi="Times New Roman" w:eastAsia="宋体"/>
                <w:b w:val="0"/>
                <w:sz w:val="18"/>
              </w:rPr>
              <w:t>1.000</w:t>
            </w:r>
          </w:p>
        </w:tc>
        <w:tc>
          <w:tcPr>
            <w:tcW w:type="dxa" w:w="1187"/>
          </w:tcPr>
          <w:p>
            <w:pPr>
              <w:jc w:val="center"/>
            </w:pPr>
            <w:r/>
            <w:r>
              <w:rPr>
                <w:rFonts w:ascii="Times New Roman" w:hAnsi="Times New Roman" w:eastAsia="宋体"/>
                <w:b w:val="0"/>
                <w:sz w:val="18"/>
              </w:rPr>
              <w:t>0.813</w:t>
            </w:r>
          </w:p>
        </w:tc>
        <w:tc>
          <w:tcPr>
            <w:tcW w:type="dxa" w:w="1187"/>
          </w:tcPr>
          <w:p>
            <w:pPr>
              <w:jc w:val="center"/>
            </w:pPr>
            <w:r/>
            <w:r>
              <w:rPr>
                <w:rFonts w:ascii="Times New Roman" w:hAnsi="Times New Roman" w:eastAsia="宋体"/>
                <w:b w:val="0"/>
                <w:sz w:val="18"/>
              </w:rPr>
              <w:t>0.902</w:t>
            </w:r>
          </w:p>
        </w:tc>
        <w:tc>
          <w:tcPr>
            <w:tcW w:type="dxa" w:w="1187"/>
          </w:tcPr>
          <w:p>
            <w:pPr>
              <w:jc w:val="center"/>
            </w:pPr>
            <w:r/>
            <w:r>
              <w:rPr>
                <w:rFonts w:ascii="Times New Roman" w:hAnsi="Times New Roman" w:eastAsia="宋体"/>
                <w:b w:val="0"/>
                <w:sz w:val="18"/>
              </w:rPr>
              <w:t>优质协调</w:t>
            </w:r>
          </w:p>
        </w:tc>
      </w:tr>
    </w:tbl>
    <w:p>
      <w:pPr>
        <w:spacing w:after="0"/>
      </w:pPr>
    </w:p>
    <w:p>
      <w:pPr>
        <w:spacing w:line="360" w:lineRule="auto" w:after="0"/>
        <w:ind w:firstLine="480"/>
        <w:jc w:val="both"/>
      </w:pPr>
      <w:r>
        <w:rPr>
          <w:rFonts w:ascii="Times New Roman" w:hAnsi="Times New Roman" w:eastAsia="宋体"/>
          <w:b w:val="0"/>
          <w:sz w:val="24"/>
        </w:rPr>
        <w:t>如图10所示，2015—2024年浙江省新质生产力发展指数由0.130持续上升至0.802，年均增长22.4%，十年间逐年递增、未出现任何回调，呈现稳定爬升的演进形态。从关键节点看：2017年</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达到0.272，与数字经济“一号工程”部署实施的时点相呼应；2020年</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升至0.505、首次突破0.5关口，且单年提升0.105，为观测期内最大年度增幅，其直接动因在于疫情期间数字经济的逆势扩张——当年数字经济核心产业增加值占GDP比重由10.0%升至10.9%，高新技术企业由1.63万家增至2.22万家；2021年以后，在共同富裕示范区建设、三个“一号工程”与创新浙江建设等重大部署的接续推动下，</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由0.603稳步升至2024年的0.802，进入高位运行区间。需要说明的是，基于极值法标准化的指数衡量的是观测期内的相对发展位置，其数值应在时序比较意义上解读。</w:t>
      </w:r>
    </w:p>
    <w:p>
      <w:pPr>
        <w:spacing w:before="120"/>
        <w:jc w:val="center"/>
      </w:pPr>
      <w:r>
        <w:drawing>
          <wp:inline xmlns:a="http://schemas.openxmlformats.org/drawingml/2006/main" xmlns:pic="http://schemas.openxmlformats.org/drawingml/2006/picture">
            <wp:extent cx="5256000" cy="2119954"/>
            <wp:docPr id="10" name="Picture 10"/>
            <wp:cNvGraphicFramePr>
              <a:graphicFrameLocks noChangeAspect="1"/>
            </wp:cNvGraphicFramePr>
            <a:graphic>
              <a:graphicData uri="http://schemas.openxmlformats.org/drawingml/2006/picture">
                <pic:pic>
                  <pic:nvPicPr>
                    <pic:cNvPr id="0" name="fig09_index.png"/>
                    <pic:cNvPicPr/>
                  </pic:nvPicPr>
                  <pic:blipFill>
                    <a:blip r:embed="rId18"/>
                    <a:stretch>
                      <a:fillRect/>
                    </a:stretch>
                  </pic:blipFill>
                  <pic:spPr>
                    <a:xfrm>
                      <a:off x="0" y="0"/>
                      <a:ext cx="5256000" cy="2119954"/>
                    </a:xfrm>
                    <a:prstGeom prst="rect"/>
                  </pic:spPr>
                </pic:pic>
              </a:graphicData>
            </a:graphic>
          </wp:inline>
        </w:drawing>
      </w:r>
    </w:p>
    <w:p>
      <w:pPr>
        <w:spacing w:after="80"/>
        <w:jc w:val="center"/>
      </w:pPr>
      <w:r>
        <w:rPr>
          <w:rFonts w:ascii="Times New Roman" w:hAnsi="Times New Roman" w:eastAsia="黑体"/>
          <w:b/>
          <w:sz w:val="21"/>
        </w:rPr>
        <w:t xml:space="preserve">图10　</w:t>
      </w:r>
      <w:r>
        <w:rPr>
          <w:rFonts w:ascii="Times New Roman" w:hAnsi="Times New Roman" w:eastAsia="宋体"/>
          <w:b/>
          <w:sz w:val="21"/>
        </w:rPr>
        <w:t>2015—2024年浙江省新质生产力与共同富裕发展水平测度结果</w:t>
      </w:r>
    </w:p>
    <w:p>
      <w:pPr>
        <w:spacing w:after="120"/>
        <w:jc w:val="left"/>
      </w:pPr>
      <w:r>
        <w:rPr>
          <w:rFonts w:ascii="Times New Roman" w:hAnsi="Times New Roman" w:eastAsia="宋体"/>
          <w:b w:val="0"/>
          <w:sz w:val="21"/>
        </w:rPr>
        <w:t>注：根据表5测度结果绘制。</w:t>
      </w:r>
    </w:p>
    <w:p>
      <w:pPr>
        <w:spacing w:line="360" w:lineRule="auto" w:after="0"/>
        <w:ind w:firstLine="480"/>
        <w:jc w:val="both"/>
      </w:pPr>
      <w:r>
        <w:rPr>
          <w:rFonts w:ascii="Times New Roman" w:hAnsi="Times New Roman" w:eastAsia="宋体"/>
          <w:b w:val="0"/>
          <w:sz w:val="24"/>
        </w:rPr>
        <w:t>进一步细察</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的年度轨迹，十年爬升过程大体可分为三个阶段。2015—2017年为要素积累阶段，指数由0.130升至0.272，年度增幅在0.066—0.076之间，动力主要来自创新要素的初始积累——R&amp;D经费投入强度由2.33%提高到2.43%，高新技术企业由7905家增至1.15万家，数字经济核心产业增加值由3373亿元增至4853亿元、占GDP比重由7.9%升至9.4%。2018—2020年为数字化跃升阶段，指数由0.340升至0.505、跨越0.5关口，其间R&amp;D经费投入强度由2.52%升至2.88%，高新技术企业由1.46万家增至2.22万家。2021—2024年为体系化提升阶段，共同富裕示范区建设、三个“一号工程”、“415X”先进制造业集群培育工程与创新浙江部署接续发力，指数在2021年再获0.098的较大增幅，此后三年年度增幅稳定在0.061—0.070之间。三个阶段的接续递进表明，</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的爬升是制度供给持续加码、创新要素滚动积累的结果。</w:t>
      </w:r>
    </w:p>
    <w:p>
      <w:pPr>
        <w:spacing w:line="360" w:lineRule="auto" w:after="0"/>
        <w:ind w:firstLine="480"/>
        <w:jc w:val="both"/>
      </w:pPr>
      <w:r>
        <w:rPr>
          <w:rFonts w:ascii="Times New Roman" w:hAnsi="Times New Roman" w:eastAsia="宋体"/>
          <w:b w:val="0"/>
          <w:sz w:val="24"/>
        </w:rPr>
        <w:t>2．创新势能维度：由要素积累迈向体系化跃升。创新势能子系统指数由2015年的0.186升至2024年的0.757。一是创新投入强度持续攀升，据历年《浙江省国民经济和社会发展统计公报》与《全国科技经费投入统计公报》，R&amp;D经费投入强度由2015年的2.33%提高到2024年的3.22%，2024年R&amp;D经费达2901.4亿元、居全国第4位，区域创新能力稳居全国第4；二是创新主体规模呈量级扩张，高新技术企业由2015年的7905家增至2024年的4.75万家左右，科技型中小企业累计达13.1万家，以之江实验室、西湖大学为代表的10家省实验室体系与杭州城西科创大走廊构成高能级创新策源载体。教育科技人才一体化改革及“双一流196”工程、“135”人才强省体系建设工程等部署，为势能积蓄提供了持续的制度供给；省委十五届七次全会通过的《关于加快建设创新浙江因地制宜发展新质生产力的决定》进一步明确坚持教育科技人才一体改革发展为主要支撑、科技创新和产业创新深度融合为关键路径、人工智能为核心变量，创新势能的积蓄由要素驱动转向体系驱动。创新势能的不断充注，构成“势能—动能—效能”三阶转化链条的起点。</w:t>
      </w:r>
    </w:p>
    <w:p>
      <w:pPr>
        <w:spacing w:line="360" w:lineRule="auto" w:after="0"/>
        <w:ind w:firstLine="480"/>
        <w:jc w:val="both"/>
      </w:pPr>
      <w:r>
        <w:rPr>
          <w:rFonts w:ascii="Times New Roman" w:hAnsi="Times New Roman" w:eastAsia="宋体"/>
          <w:b w:val="0"/>
          <w:sz w:val="24"/>
        </w:rPr>
        <w:t>从年度轨迹看，创新势能的积蓄呈“平稳积累—集中跃升—高位趋缓”的形态：2015—2019年指数由0.186平稳升至0.374；2020年跃升至0.532，单年提升0.158，为该子系统观测期内最大年度增幅，其动因在于当年R&amp;D经费投入强度由2.60%升至2.88%、高新技术企业由1.63万家增至2.22万家，创新要素在疫情之年不降反增；2021—2023年指数续升至0.737；2024年增至0.757，年度增幅收窄至0.020，与R&amp;D经费投入强度由3.20%微升至3.22%的“平台期”特征相互印证。按照内生增长理论，知识与创新要素的持续积累是长期增长的根本源泉[152]，势能增幅的边际趋缓因而是值得警觉的信号——投入强度的爬坡已进入攻坚区间。这一判断将在本章第（四）节的障碍度诊断中得到独立佐证。</w:t>
      </w:r>
    </w:p>
    <w:p>
      <w:pPr>
        <w:spacing w:line="360" w:lineRule="auto" w:after="0"/>
        <w:ind w:firstLine="480"/>
        <w:jc w:val="both"/>
      </w:pPr>
      <w:r>
        <w:rPr>
          <w:rFonts w:ascii="Times New Roman" w:hAnsi="Times New Roman" w:eastAsia="宋体"/>
          <w:b w:val="0"/>
          <w:sz w:val="24"/>
        </w:rPr>
        <w:t>3．产业动能维度：起点更低、终点更高并实现对创新势能的反超。产业动能子系统指数由2015年的0.095升至2024年的0.831，起点仅约为创新势能的一半，2024年却反超创新势能子系统（0.757），成为本章最具理论意涵的典型化事实之一。一是数字经济核心产业增加值由2015年的3373亿元（占GDP的7.9%）增至2024年的11060亿元（占12.3%），实现总量破万亿元；二是全员劳动生产率由2020年的16.6万元/人升至2024年的22.9万元/人，该指标在熵值法赋权中权重最高（0.3740），表明其在观测期内区分度最大、对指数拉动最强；三是现代化产业体系的高端化特征日益显著，2024年高新技术产业增加值占规上工业比重达69.0%，全省累计培育省级“未来工厂”93家（截至2025年1月）、国家级专精特新“小巨人”企业1807家、居全国第三；同时，民营经济作为动能转换的主体力量持续发力，2024年民营经济增加值占GDP比重达67.4%，规模以上工业民营企业增加值占比达72.4%。产业动能对创新势能的反超表明，成果转化关（关口Ⅰ）在浙江总体保持畅通，创新势能并未淤积为“创新孤岛”，而是较为顺畅地落入产业体系、转化为现实生产能力——这正是三阶转化框架第一阶转化有效性的直接证据。</w:t>
      </w:r>
    </w:p>
    <w:p>
      <w:pPr>
        <w:spacing w:line="360" w:lineRule="auto" w:after="0"/>
        <w:ind w:firstLine="480"/>
        <w:jc w:val="both"/>
      </w:pPr>
      <w:r>
        <w:rPr>
          <w:rFonts w:ascii="Times New Roman" w:hAnsi="Times New Roman" w:eastAsia="宋体"/>
          <w:b w:val="0"/>
          <w:sz w:val="24"/>
        </w:rPr>
        <w:t>4．创新势能与产业动能的相位交替：转化链条运转的动态证据。逐年对比两个子系统指数可见，二者呈“咬合式”交替：2015—2016年创新势能领先；2017年产业动能以0.277对0.264首度反超，恰值数字经济“一号工程”实施之年；2018—2019年动能扩大领先优势（2019年为0.416对0.374）；2020年创新势能以0.532对0.487重新领先；2021年产业动能以0.616对0.582再度反超；2022年创新势能以0.681对0.665短暂回到领先位置；2023年起产业动能重新领跑，并于2024年将差距拉开至0.831对0.757。观测期内两子系统的领先位置先后五次易位。</w:t>
      </w:r>
    </w:p>
    <w:p>
      <w:pPr>
        <w:spacing w:line="360" w:lineRule="auto" w:after="0"/>
        <w:ind w:firstLine="480"/>
        <w:jc w:val="both"/>
      </w:pPr>
      <w:r>
        <w:rPr>
          <w:rFonts w:ascii="Times New Roman" w:hAnsi="Times New Roman" w:eastAsia="宋体"/>
          <w:b w:val="0"/>
          <w:sz w:val="24"/>
        </w:rPr>
        <w:t>这种相位交替具有清晰的经济逻辑。创新势能领先的年份（2015—2016年、2020年、2022年）多与起步阶段或外生冲击年份重合：2020年、2022年浙江GDP增速分别降至3.6%、3.1%，以全员劳动生产率、数字经济核心产业占比为载体的动能指标增势放缓，而研发投入与创新主体培育具有面向中长期的逆周期布局属性，遂使势能相对走强；产业动能领先的年份则对应转化顺畅、产出扩张的时期，数字技术向产业体系的加速渗透推动了创新成果的产业化落地</w:t>
      </w:r>
      <w:r>
        <w:rPr>
          <w:rFonts w:ascii="Times New Roman" w:hAnsi="Times New Roman" w:eastAsia="宋体"/>
          <w:b w:val="0"/>
          <w:sz w:val="24"/>
          <w:vertAlign w:val="superscript"/>
        </w:rPr>
        <w:t>[50]</w:t>
      </w:r>
      <w:r>
        <w:rPr>
          <w:rFonts w:ascii="Times New Roman" w:hAnsi="Times New Roman" w:eastAsia="宋体"/>
          <w:b w:val="0"/>
          <w:sz w:val="24"/>
        </w:rPr>
        <w:t>。两线交替领先而始终未出现持续扩大的“剪刀差”，说明势能积蓄与动能转换之间形成了“积蓄—转化—再积蓄”的追赶—牵引循环。这一形态与“创新孤岛”情形构成鲜明对照，为成果转化关的畅通提供了比单一年份对比更坚实的动态证据。</w:t>
      </w:r>
    </w:p>
    <w:p>
      <w:pPr>
        <w:spacing w:line="360" w:lineRule="auto" w:after="80"/>
        <w:jc w:val="left"/>
      </w:pPr>
      <w:r>
        <w:rPr>
          <w:rFonts w:ascii="Times New Roman" w:hAnsi="Times New Roman" w:eastAsia="黑体"/>
          <w:b/>
          <w:sz w:val="28"/>
        </w:rPr>
        <w:t>（二）共同富裕指数（</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黑体"/>
          <w:b/>
          <w:sz w:val="28"/>
        </w:rPr>
        <w:t>）的总体演变与分维度特征</w:t>
      </w:r>
    </w:p>
    <w:p>
      <w:pPr>
        <w:spacing w:line="360" w:lineRule="auto" w:after="0"/>
        <w:ind w:firstLine="480"/>
        <w:jc w:val="both"/>
      </w:pPr>
      <w:r>
        <w:rPr>
          <w:rFonts w:ascii="Times New Roman" w:hAnsi="Times New Roman" w:eastAsia="宋体"/>
          <w:b w:val="0"/>
          <w:sz w:val="24"/>
        </w:rPr>
        <w:t>1．总体演变：起点更低而增速更快的追赶式上升。2015—2024年，共同富裕指数由0.108升至0.824，年均增长25.3%，快于同期新质生产力发展指数的年均增速，同样保持逐年递增。分年度看，2021年是最显著的跃升点：当年</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由0.430升至0.566，单年提升0.136，为观测期内最大年度增幅，恰与中央《关于支持浙江高质量发展建设共同富裕示范区的意见》出台、示范区建设全面启动的时点吻合，显示重大制度安排对共同富裕进程的强劲边际推动；2024年</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达0.824、超过</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（0.802），改变了2020年以来新质生产力发展指数（</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）单边领先的格局。</w:t>
      </w:r>
    </w:p>
    <w:p>
      <w:pPr>
        <w:spacing w:line="360" w:lineRule="auto" w:after="0"/>
        <w:ind w:firstLine="480"/>
        <w:jc w:val="both"/>
      </w:pPr>
      <w:r>
        <w:rPr>
          <w:rFonts w:ascii="Times New Roman" w:hAnsi="Times New Roman" w:eastAsia="宋体"/>
          <w:b w:val="0"/>
          <w:sz w:val="24"/>
        </w:rPr>
        <w:t>分年度增幅的细读可以进一步揭示共同富裕进程的政策敏感性。2016—2019年，</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的年度增幅由0.060逐级扩大至0.091，且2019年</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（0.413）在观测期内首次超过</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0.400），显示民生改善一度走在生产力跃升的前面；2020年增幅骤降至0.017，为观测期内最小年度增幅，疫情冲击对民生系统的即时压力可见一斑；2021年增幅跃升至0.136，除示范区建设全面启动的制度性推动外，当年低收入农户人均可支配收入达到16491元，“扩中提低”等收入分配领域的专项安排开始显效；2022—2024年增幅回稳至0.073—0.094区间，共同富裕进程转入持续推进轨道。总体看，</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的加速节点与重大制度供给的时点高度吻合，其唯一的增幅低谷恰是外生冲击最烈之年，“制度供给敏感、外生冲击可扛”的形态由此可见。</w:t>
      </w:r>
    </w:p>
    <w:p>
      <w:pPr>
        <w:spacing w:line="360" w:lineRule="auto" w:after="0"/>
        <w:ind w:firstLine="480"/>
        <w:jc w:val="both"/>
      </w:pPr>
      <w:r>
        <w:rPr>
          <w:rFonts w:ascii="Times New Roman" w:hAnsi="Times New Roman" w:eastAsia="宋体"/>
          <w:b w:val="0"/>
          <w:sz w:val="24"/>
        </w:rPr>
        <w:t>2．富裕度维度：“做大蛋糕”的总量证据。富裕度子系统指数由2015年的0.089升至2024年的0.836，起点为四个子维度中最低、增幅为四个子维度中最大。据历年《浙江省国民经济和社会发展统计公报》，全省居民人均可支配收入由2015年的35537元增至2024年的67013元；人均地区生产总值2024年达135565元、折合19035美元；居民人均消费支出由24117元增至45107元。富裕度的持续抬升表明，新质生产力驱动下的经济总量扩张（GDP由42886亿元增至90131亿元）切实转化为居民收入与消费能力的同步改善，《建议》所要求的“居民收入增长和经济增长同步”在浙江获得了经验层面的支撑。</w:t>
      </w:r>
    </w:p>
    <w:p>
      <w:pPr>
        <w:spacing w:line="360" w:lineRule="auto" w:after="0"/>
        <w:ind w:firstLine="480"/>
        <w:jc w:val="both"/>
      </w:pPr>
      <w:r>
        <w:rPr>
          <w:rFonts w:ascii="Times New Roman" w:hAnsi="Times New Roman" w:eastAsia="宋体"/>
          <w:b w:val="0"/>
          <w:sz w:val="24"/>
        </w:rPr>
        <w:t>富裕度“起点最低、增幅最大”的组合还蕴含着结构信息：观测期内人均地区生产总值由77644元增至135565元，居民收入与经济总量大体同幅扩张，消费支出的增长又与收入增长基本同步，联动改善表明总量扩张的成果确实进入了居民的现实生活。值得注意的是，2020年富裕度出现观测期内唯一一次回落，而同年</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仍微升0.017，共享度的逆势走强对冲了富裕度的下滑，这一细节将在本节第4目集中讨论。</w:t>
      </w:r>
    </w:p>
    <w:p>
      <w:pPr>
        <w:spacing w:line="360" w:lineRule="auto" w:after="0"/>
        <w:ind w:firstLine="480"/>
        <w:jc w:val="both"/>
      </w:pPr>
      <w:r>
        <w:rPr>
          <w:rFonts w:ascii="Times New Roman" w:hAnsi="Times New Roman" w:eastAsia="宋体"/>
          <w:b w:val="0"/>
          <w:sz w:val="24"/>
        </w:rPr>
        <w:t>3．共享度维度：起点最高、韧性最强的“分好蛋糕”证据。共享度子系统指数由2015年的0.143升至2024年的0.803，起点在四个子维度中仅次于创新势能（0.186）、高于富裕度与产业动能，反映出浙江城乡差距为全国最小省份之一的存量优势（2015年城乡居民收入倍差2.07，同期全国为2.73）。观测期内：农村居民人均可支配收入由21125元增至42786元，连续40年居全国省区第一；城乡倍差由2.07收窄至1.83，明显优于同期全国的2.34；常住人口城镇化率由65.8%提高到75.5%。共享的空间结构亦同步优化，2024年全省居民收入低于全国平均水平的县（区）由8个减少为4个，所有设区市居民收入均超过全国平均水平、为全国唯一。在共享度内部，农村居民人均可支配收入的熵值法权重达0.2465、为共享度诸指标中最高，表明以“富民”为取向的农民增收而非单纯的比值收敛，构成共享度提升的主要驱动，这与省委以“千万工程”为牵引、围绕“富民”统筹推进“强城”“兴村”“融合”的部署逻辑相契合。</w:t>
      </w:r>
    </w:p>
    <w:p>
      <w:pPr>
        <w:spacing w:line="360" w:lineRule="auto" w:after="0"/>
        <w:ind w:firstLine="480"/>
        <w:jc w:val="both"/>
      </w:pPr>
      <w:r>
        <w:rPr>
          <w:rFonts w:ascii="Times New Roman" w:hAnsi="Times New Roman" w:eastAsia="宋体"/>
          <w:b w:val="0"/>
          <w:sz w:val="24"/>
        </w:rPr>
        <w:t>共享度的存量优势与持续改善，根植于一整套久久为功的制度安排。以“千万工程”为源头的城乡融合实践二十余年接续推进，从人居环境整治逐步扩展到公共服务均等化与农民持续增收，构成城乡差距全国最小格局的历史底座；面向区域协调的山海协作工程，则通过产业飞地、消薄飞地与新型结对机制把发展要素持续导入山区海岛地区</w:t>
      </w:r>
      <w:r>
        <w:rPr>
          <w:rFonts w:ascii="Times New Roman" w:hAnsi="Times New Roman" w:eastAsia="宋体"/>
          <w:b w:val="0"/>
          <w:sz w:val="24"/>
          <w:vertAlign w:val="superscript"/>
        </w:rPr>
        <w:t>[72,75]</w:t>
      </w:r>
      <w:r>
        <w:rPr>
          <w:rFonts w:ascii="Times New Roman" w:hAnsi="Times New Roman" w:eastAsia="宋体"/>
          <w:b w:val="0"/>
          <w:sz w:val="24"/>
        </w:rPr>
        <w:t>——2023年山区26县生产总值全部超过百亿元、增速高于全省1个百分点，居民收入与全省平均之比达0.745，为共享度提升提供了空间维度的支撑。农村集体经济的组织化经营亦发挥了独特作用，强村公司等新型集体经济形态将分散的村庄资源转化为可持续的经营性收入与村民分红</w:t>
      </w:r>
      <w:r>
        <w:rPr>
          <w:rFonts w:ascii="Times New Roman" w:hAnsi="Times New Roman" w:eastAsia="宋体"/>
          <w:b w:val="0"/>
          <w:sz w:val="24"/>
          <w:vertAlign w:val="superscript"/>
        </w:rPr>
        <w:t>[76]</w:t>
      </w:r>
      <w:r>
        <w:rPr>
          <w:rFonts w:ascii="Times New Roman" w:hAnsi="Times New Roman" w:eastAsia="宋体"/>
          <w:b w:val="0"/>
          <w:sz w:val="24"/>
        </w:rPr>
        <w:t>。此外，城镇化率的持续提高从人口空间再配置维度扩大了共享覆盖面——农业转移人口市民化既直接改善其收入与公共服务可及性，也间接支撑农民增收。制度供给的多线并进，解释了共享度的高起点与持续攀升。</w:t>
      </w:r>
    </w:p>
    <w:p>
      <w:pPr>
        <w:spacing w:line="360" w:lineRule="auto" w:after="0"/>
        <w:ind w:firstLine="480"/>
        <w:jc w:val="both"/>
      </w:pPr>
      <w:r>
        <w:rPr>
          <w:rFonts w:ascii="Times New Roman" w:hAnsi="Times New Roman" w:eastAsia="宋体"/>
          <w:b w:val="0"/>
          <w:sz w:val="24"/>
        </w:rPr>
        <w:t>4．2020年的“压力测试”：富裕度回落与共享度逆势提升的机制解读。2020年疫情冲击构成对共同富裕系统的一次天然“压力测试”：当年富裕度子系统指数由0.419回落至0.405——GDP增速降至3.6%，居民人均消费支出由32026元降至31295元；共享度子系统指数却由0.401逆势升至0.478——农村居民收入继续增至31930元，城乡倍差由2.01降至1.96、单年收窄0.05为观测期内最大年度降幅。这种“一落一升”的结构分化，揭示了共享维度背后兜底性制度安排的“自动稳定器”机理：转移支付、社会保障等再分配工具在经济下行期对农村居民与低收入群体形成托底，使共享度对外生冲击表现出显著的逆周期韧性。这一制度取向此后进一步固化——2022年12月浙江在全国率先实现低保标准市域同标，11个设区市低保标准均超1000元/月、平均1083元/月；民生支出占一般公共预算支出比重2024年达76.4%。由此可见，共同富裕并非经济增长的被动函数，其共享维度内嵌的制度供给能够在增长波动中独立发挥作用，这为理解就业分配关（关口Ⅱ）的制度修复机制提供了直接的经验注脚。</w:t>
      </w:r>
    </w:p>
    <w:p>
      <w:pPr>
        <w:spacing w:line="360" w:lineRule="auto" w:after="0"/>
        <w:ind w:firstLine="480"/>
        <w:jc w:val="both"/>
      </w:pPr>
      <w:r>
        <w:rPr>
          <w:rFonts w:ascii="Times New Roman" w:hAnsi="Times New Roman" w:eastAsia="宋体"/>
          <w:b w:val="0"/>
          <w:sz w:val="24"/>
        </w:rPr>
        <w:t>富裕度与共享度在2020年的分化，本质上是两类指标不同周期属性的显性化。富裕度的构成指标——居民收入、人均地区生产总值、消费支出——均为与宏观景气同频的流量变量，经济增速回落时其增势必然受挫；共享度的中枢则是城乡倍差等结构比值与兜底性制度安排，其变动取决于分配格局与再分配力度而非总量景气。疫情之年城乡倍差录得观测期内最大单年降幅，同年全国城乡倍差为2.56、浙江为1.96，相对优势不降反升。收入分配研究反复强调，初次分配之外的再分配与转移支付安排对低收入群体的收入稳定具有不可替代的作用</w:t>
      </w:r>
      <w:r>
        <w:rPr>
          <w:rFonts w:ascii="Times New Roman" w:hAnsi="Times New Roman" w:eastAsia="宋体"/>
          <w:b w:val="0"/>
          <w:sz w:val="24"/>
          <w:vertAlign w:val="superscript"/>
        </w:rPr>
        <w:t>[31,65]</w:t>
      </w:r>
      <w:r>
        <w:rPr>
          <w:rFonts w:ascii="Times New Roman" w:hAnsi="Times New Roman" w:eastAsia="宋体"/>
          <w:b w:val="0"/>
          <w:sz w:val="24"/>
        </w:rPr>
        <w:t>；浙江的经验进一步表明，当兜底性制度足够健全时，共享维度甚至可以在总量收缩期实现改善——短期内“分好蛋糕”并不机械地以“蛋糕做大”为前提。其政策含义在于：共享度的制度供给应当在经济上行期未雨绸缪地充实，其价值将在下行期集中兑现。</w:t>
      </w:r>
    </w:p>
    <w:p>
      <w:pPr>
        <w:spacing w:line="360" w:lineRule="auto" w:after="80"/>
        <w:jc w:val="left"/>
      </w:pPr>
      <w:r>
        <w:rPr>
          <w:rFonts w:ascii="Times New Roman" w:hAnsi="Times New Roman" w:eastAsia="黑体"/>
          <w:b/>
          <w:sz w:val="28"/>
        </w:rPr>
        <w:t>（三）两大指数的同步性初检</w:t>
      </w:r>
    </w:p>
    <w:p>
      <w:pPr>
        <w:spacing w:line="360" w:lineRule="auto" w:after="0"/>
        <w:ind w:firstLine="480"/>
        <w:jc w:val="both"/>
      </w:pPr>
      <w:r>
        <w:rPr>
          <w:rFonts w:ascii="Times New Roman" w:hAnsi="Times New Roman" w:eastAsia="宋体"/>
          <w:b w:val="0"/>
          <w:sz w:val="24"/>
        </w:rPr>
        <w:t>1．增速与形态的同步性。对比两大指数的演变轨迹，可以提炼三个典型化事实。一是同向性：十年间</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与</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均逐年递增，无任何一年出现方向背离，两大系统呈现“同向共进”的总体格局；二是追赶性：</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年均增长25.3%、快于</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的22.4%，尤其是2021年示范区建设启动后</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加速上行，反映出制度性安排对共同富裕进程的边际拉动；三是收敛性：两大指数的差距在后期趋于收敛，并于2024年出现</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（0.824）对</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（0.802）的反超。</w:t>
      </w:r>
    </w:p>
    <w:p>
      <w:pPr>
        <w:spacing w:line="360" w:lineRule="auto" w:after="0"/>
        <w:ind w:firstLine="480"/>
        <w:jc w:val="both"/>
      </w:pPr>
      <w:r>
        <w:rPr>
          <w:rFonts w:ascii="Times New Roman" w:hAnsi="Times New Roman" w:eastAsia="宋体"/>
          <w:b w:val="0"/>
          <w:sz w:val="24"/>
        </w:rPr>
        <w:t>还可作一步细察：两大指数的领先关系在观测期内并非一成不变——2015—2018年</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领先，2019年</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短暂反超，2020年</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在疫情之年大幅领先（两指数之差达到观测期内最大的0.075），2021年起差距逐年收窄，直至2024年</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再度反超。领先位置的动态转换并非失衡，而是两系统深度咬合的表现：任何一方的阶段性快进都会被另一方的追赶所平衡，双方差距未出现累积性发散，这为第八章耦合度</w:t>
      </w:r>
      <m:oMath>
        <m:r>
          <w:rPr>
            <w:rFonts w:ascii="Cambria Math" w:hAnsi="Cambria Math"/>
          </w:rPr>
          <m:t xml:space="preserve">C</m:t>
        </m:r>
      </m:oMath>
      <w:r>
        <w:rPr>
          <w:rFonts w:ascii="Times New Roman" w:hAnsi="Times New Roman" w:eastAsia="宋体"/>
          <w:b w:val="0"/>
          <w:sz w:val="24"/>
        </w:rPr>
        <w:t>持续高位的结果提供了直观预示。</w:t>
      </w:r>
    </w:p>
    <w:p>
      <w:pPr>
        <w:spacing w:line="360" w:lineRule="auto" w:after="0"/>
        <w:ind w:firstLine="480"/>
        <w:jc w:val="both"/>
      </w:pPr>
      <w:r>
        <w:rPr>
          <w:rFonts w:ascii="Times New Roman" w:hAnsi="Times New Roman" w:eastAsia="宋体"/>
          <w:b w:val="0"/>
          <w:sz w:val="24"/>
        </w:rPr>
        <w:t>2．相关性的统计证据。计算表明，2015—2024年</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与</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的Pearson相关系数高达0.9941，两大系统在时序上呈现高度线性关联。当然，高相关系数仅说明二者高度同步，并不能识别相互作用的方向与强度，也不能完全排除共同趋势的影响；两系统互动的耦合结构与协调质量，需借助耦合协调度模型加以刻画（详见下一章），支撑共富型发展的跨省域条件组合，则由第九章基于31个省份的fsQCA分析识别。就本章的描述性证据而言，“创新极化—均衡共享”悖论所预言的两大目标此消彼长的情形，在浙江省域尺度上并未出现——创新越活跃的年份，共同富裕指数的提升总体也越显著，这为“共富型新质生产力”概念的经验合理性提供了初步支持。</w:t>
      </w:r>
    </w:p>
    <w:p>
      <w:pPr>
        <w:spacing w:line="360" w:lineRule="auto" w:after="0"/>
        <w:ind w:firstLine="480"/>
        <w:jc w:val="both"/>
      </w:pPr>
      <w:r>
        <w:rPr>
          <w:rFonts w:ascii="Times New Roman" w:hAnsi="Times New Roman" w:eastAsia="宋体"/>
          <w:b w:val="0"/>
          <w:sz w:val="24"/>
        </w:rPr>
        <w:t>从方法论角度，这一统计证据的解释边界应予明确。其一，十个年度观测的小样本使相关系数对共同趋势高度敏感，高相关中有多少属于实质性互动、多少属于共同增长背景，需在后续章节中分离；其二，方法文献已经指出，耦合类模型若使用不当容易夸大系统间的协调水平，相关系数与耦合度的高值都不应被直接解读为因果性互促[126,127]，本报告将测度、耦合、组态三类证据分章校验，正是为了规避过度解读；其三，跨地区经验研究显示，创新活动的活跃与共同富裕水平总体呈正向关联，创新型城市建设与数字经济发展均被证实具有促进共同富裕的效应[70,100]，与本章省域时序证据方向一致、机制互补，共同削弱了“创新必然极化”论断的经验基础。</w:t>
      </w:r>
    </w:p>
    <w:p>
      <w:pPr>
        <w:spacing w:line="360" w:lineRule="auto" w:after="0"/>
        <w:ind w:firstLine="480"/>
        <w:jc w:val="both"/>
      </w:pPr>
      <w:r>
        <w:rPr>
          <w:rFonts w:ascii="Times New Roman" w:hAnsi="Times New Roman" w:eastAsia="宋体"/>
          <w:b w:val="0"/>
          <w:sz w:val="24"/>
        </w:rPr>
        <w:t>3．2024年反超的“双向赋能”信号。2024年</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对</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的反超，不宜简单解读为新质生产力发展的相对迟滞，而更宜理解为双向赋能机制开始显性化的信号：如理论框架部分所述，共同富裕通过人力资本积累、内需市场扩容与社会预期稳定三条渠道反哺新质生产力。从经验证据看，2021年浙江家庭年可支配收入10万—50万元群体比例已达72.4%、比2016年提高24.3个百分点，规模庞大的中等收入群体为创新产品与新业态提供了纵深市场；低收入农户人均可支配收入2023年首破2万元、2024年达23830元，连续保持两位数增长（2023年增长13.4%、2024年增长11.1%），收入结构的持续改善有助于扩大人力资本投资的社会基础。当共同富裕水平越过一定阈值后，其对生产力系统的反哺效应趋于增强，两系统由“生产力单向拉动”转向“双向互馈、螺旋上升”——这一判断与省委十五届八次全会确定的2030年目标（居民人均可支配收入9万元左右、城乡居民收入和实际消费水平差距进一步缩小、全社会研发投入强度3.5%以上）所内含的“两手齐抓”逻辑相互印证。</w:t>
      </w:r>
    </w:p>
    <w:p>
      <w:pPr>
        <w:spacing w:line="360" w:lineRule="auto" w:after="0"/>
        <w:ind w:firstLine="480"/>
        <w:jc w:val="both"/>
      </w:pPr>
      <w:r>
        <w:rPr>
          <w:rFonts w:ascii="Times New Roman" w:hAnsi="Times New Roman" w:eastAsia="宋体"/>
          <w:b w:val="0"/>
          <w:sz w:val="24"/>
        </w:rPr>
        <w:t>三条反哺渠道在浙江均可找到进一步的经验注脚。就人力资本渠道而言，收入的普遍提高扩大了家庭教育投资能力，城乡义务教育共同体又已覆盖所有乡村学校，两者叠加正在夯实劳动力质量的长期基础——按照人力资本理论，这是长期增长最深层的发动机[153]。就内需渠道而言，2021年家庭年可支配收入20万—60万元群体比例亦达30.6%，橄榄型分配格局的雏形意味着新技术、新产品能更快跨越从早期市场到大众市场的鸿沟。就预期渠道而言，低保标准市域同标、民生支出占比稳定在高位等安排降低了居民的预防性储蓄动机，增强了创业创新的风险承担意愿。三条渠道共同表明，共同富裕的推进不是对生产力发展的分流与拖累，而是需求侧扩容与供给侧提质的双重支撑。</w:t>
      </w:r>
    </w:p>
    <w:p>
      <w:pPr>
        <w:spacing w:line="360" w:lineRule="auto" w:after="80"/>
        <w:jc w:val="left"/>
      </w:pPr>
      <w:r>
        <w:rPr>
          <w:rFonts w:ascii="Times New Roman" w:hAnsi="Times New Roman" w:eastAsia="黑体"/>
          <w:b/>
          <w:sz w:val="28"/>
        </w:rPr>
        <w:t>（四）基于障碍度模型的短板诊断</w:t>
      </w:r>
    </w:p>
    <w:p>
      <w:pPr>
        <w:spacing w:line="360" w:lineRule="auto" w:after="0"/>
        <w:ind w:firstLine="480"/>
        <w:jc w:val="both"/>
      </w:pPr>
      <w:r>
        <w:rPr>
          <w:rFonts w:ascii="Times New Roman" w:hAnsi="Times New Roman" w:eastAsia="宋体"/>
          <w:b w:val="0"/>
          <w:sz w:val="24"/>
        </w:rPr>
        <w:t>指数测度回答了“发展到什么水平”，障碍度诊断进一步回答“提升的主要制约在哪里”。依据式(21)测算2015—2024年两大系统各指标的障碍度，主要年份结果如表6所示，全样本期演变如图11所示。</w:t>
      </w:r>
    </w:p>
    <w:p>
      <w:pPr>
        <w:spacing w:before="120"/>
        <w:jc w:val="center"/>
      </w:pPr>
      <w:r>
        <w:rPr>
          <w:rFonts w:ascii="Times New Roman" w:hAnsi="Times New Roman" w:eastAsia="黑体"/>
          <w:b/>
          <w:sz w:val="21"/>
        </w:rPr>
        <w:t xml:space="preserve">表6　</w:t>
      </w:r>
      <w:r>
        <w:rPr>
          <w:rFonts w:ascii="Times New Roman" w:hAnsi="Times New Roman" w:eastAsia="宋体"/>
          <w:b/>
          <w:sz w:val="21"/>
        </w:rPr>
        <w:t>主要年份两大系统各指标障碍度（%）</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
              <w:rPr>
                <w:rFonts w:ascii="Times New Roman" w:hAnsi="Times New Roman" w:eastAsia="宋体"/>
                <w:b/>
                <w:sz w:val="18"/>
              </w:rPr>
              <w:t>系统</w:t>
            </w:r>
          </w:p>
        </w:tc>
        <w:tc>
          <w:tcPr>
            <w:tcW w:type="dxa" w:w="1385"/>
          </w:tcPr>
          <w:p>
            <w:pPr>
              <w:jc w:val="center"/>
            </w:pPr>
            <w:r/>
            <w:r>
              <w:rPr>
                <w:rFonts w:ascii="Times New Roman" w:hAnsi="Times New Roman" w:eastAsia="宋体"/>
                <w:b/>
                <w:sz w:val="18"/>
              </w:rPr>
              <w:t>指标</w:t>
            </w:r>
          </w:p>
        </w:tc>
        <w:tc>
          <w:tcPr>
            <w:tcW w:type="dxa" w:w="1385"/>
          </w:tcPr>
          <w:p>
            <w:pPr>
              <w:jc w:val="center"/>
            </w:pPr>
            <w:r/>
            <w:r>
              <w:rPr>
                <w:rFonts w:ascii="Times New Roman" w:hAnsi="Times New Roman" w:eastAsia="宋体"/>
                <w:b/>
                <w:sz w:val="18"/>
              </w:rPr>
              <w:t>2015</w:t>
            </w:r>
          </w:p>
        </w:tc>
        <w:tc>
          <w:tcPr>
            <w:tcW w:type="dxa" w:w="1385"/>
          </w:tcPr>
          <w:p>
            <w:pPr>
              <w:jc w:val="center"/>
            </w:pPr>
            <w:r/>
            <w:r>
              <w:rPr>
                <w:rFonts w:ascii="Times New Roman" w:hAnsi="Times New Roman" w:eastAsia="宋体"/>
                <w:b/>
                <w:sz w:val="18"/>
              </w:rPr>
              <w:t>2018</w:t>
            </w:r>
          </w:p>
        </w:tc>
        <w:tc>
          <w:tcPr>
            <w:tcW w:type="dxa" w:w="1385"/>
          </w:tcPr>
          <w:p>
            <w:pPr>
              <w:jc w:val="center"/>
            </w:pPr>
            <w:r/>
            <w:r>
              <w:rPr>
                <w:rFonts w:ascii="Times New Roman" w:hAnsi="Times New Roman" w:eastAsia="宋体"/>
                <w:b/>
                <w:sz w:val="18"/>
              </w:rPr>
              <w:t>2021</w:t>
            </w:r>
          </w:p>
        </w:tc>
        <w:tc>
          <w:tcPr>
            <w:tcW w:type="dxa" w:w="1385"/>
          </w:tcPr>
          <w:p>
            <w:pPr>
              <w:jc w:val="center"/>
            </w:pPr>
            <w:r/>
            <w:r>
              <w:rPr>
                <w:rFonts w:ascii="Times New Roman" w:hAnsi="Times New Roman" w:eastAsia="宋体"/>
                <w:b/>
                <w:sz w:val="18"/>
              </w:rPr>
              <w:t>2024</w:t>
            </w:r>
          </w:p>
        </w:tc>
      </w:tr>
      <w:tr>
        <w:tc>
          <w:tcPr>
            <w:tcW w:type="dxa" w:w="1385"/>
          </w:tcPr>
          <w:p>
            <w:pPr>
              <w:jc w:val="center"/>
            </w:pPr>
            <w:r/>
            <w:r>
              <w:rPr>
                <w:rFonts w:ascii="Times New Roman" w:hAnsi="Times New Roman" w:eastAsia="宋体"/>
                <w:b w:val="0"/>
                <w:sz w:val="18"/>
              </w:rPr>
              <w:t>新质生产力</w:t>
            </w:r>
          </w:p>
        </w:tc>
        <w:tc>
          <w:tcPr>
            <w:tcW w:type="dxa" w:w="1385"/>
          </w:tcPr>
          <w:p>
            <w:pPr>
              <w:jc w:val="center"/>
            </w:pPr>
            <w:r/>
            <w:r>
              <w:rPr>
                <w:rFonts w:ascii="Times New Roman" w:hAnsi="Times New Roman" w:eastAsia="宋体"/>
                <w:b w:val="0"/>
                <w:sz w:val="18"/>
              </w:rPr>
              <w:t>R&amp;D经费投入强度</w:t>
            </w:r>
          </w:p>
        </w:tc>
        <w:tc>
          <w:tcPr>
            <w:tcW w:type="dxa" w:w="1385"/>
          </w:tcPr>
          <w:p>
            <w:pPr>
              <w:jc w:val="center"/>
            </w:pPr>
            <w:r/>
            <w:r>
              <w:rPr>
                <w:rFonts w:ascii="Times New Roman" w:hAnsi="Times New Roman" w:eastAsia="宋体"/>
                <w:b w:val="0"/>
                <w:sz w:val="18"/>
              </w:rPr>
              <w:t>25.68</w:t>
            </w:r>
          </w:p>
        </w:tc>
        <w:tc>
          <w:tcPr>
            <w:tcW w:type="dxa" w:w="1385"/>
          </w:tcPr>
          <w:p>
            <w:pPr>
              <w:jc w:val="center"/>
            </w:pPr>
            <w:r/>
            <w:r>
              <w:rPr>
                <w:rFonts w:ascii="Times New Roman" w:hAnsi="Times New Roman" w:eastAsia="宋体"/>
                <w:b w:val="0"/>
                <w:sz w:val="18"/>
              </w:rPr>
              <w:t>28.53</w:t>
            </w:r>
          </w:p>
        </w:tc>
        <w:tc>
          <w:tcPr>
            <w:tcW w:type="dxa" w:w="1385"/>
          </w:tcPr>
          <w:p>
            <w:pPr>
              <w:jc w:val="center"/>
            </w:pPr>
            <w:r/>
            <w:r>
              <w:rPr>
                <w:rFonts w:ascii="Times New Roman" w:hAnsi="Times New Roman" w:eastAsia="宋体"/>
                <w:b w:val="0"/>
                <w:sz w:val="18"/>
              </w:rPr>
              <w:t>27.92</w:t>
            </w:r>
          </w:p>
        </w:tc>
        <w:tc>
          <w:tcPr>
            <w:tcW w:type="dxa" w:w="1385"/>
          </w:tcPr>
          <w:p>
            <w:pPr>
              <w:jc w:val="center"/>
            </w:pPr>
            <w:r/>
            <w:r>
              <w:rPr>
                <w:rFonts w:ascii="Times New Roman" w:hAnsi="Times New Roman" w:eastAsia="宋体"/>
                <w:b w:val="0"/>
                <w:sz w:val="18"/>
              </w:rPr>
              <w:t>30.03</w:t>
            </w:r>
          </w:p>
        </w:tc>
      </w:tr>
      <w:tr>
        <w:tc>
          <w:tcPr>
            <w:tcW w:type="dxa" w:w="1385"/>
          </w:tcPr>
          <w:p>
            <w:pPr>
              <w:jc w:val="center"/>
            </w:pPr>
            <w:r/>
            <w:r>
              <w:rPr>
                <w:rFonts w:ascii="Times New Roman" w:hAnsi="Times New Roman" w:eastAsia="宋体"/>
                <w:b w:val="0"/>
                <w:sz w:val="18"/>
              </w:rPr>
              <w:t>新质生产力</w:t>
            </w:r>
          </w:p>
        </w:tc>
        <w:tc>
          <w:tcPr>
            <w:tcW w:type="dxa" w:w="1385"/>
          </w:tcPr>
          <w:p>
            <w:pPr>
              <w:jc w:val="center"/>
            </w:pPr>
            <w:r/>
            <w:r>
              <w:rPr>
                <w:rFonts w:ascii="Times New Roman" w:hAnsi="Times New Roman" w:eastAsia="宋体"/>
                <w:b w:val="0"/>
                <w:sz w:val="18"/>
              </w:rPr>
              <w:t>高新技术企业数（取对数）</w:t>
            </w:r>
          </w:p>
        </w:tc>
        <w:tc>
          <w:tcPr>
            <w:tcW w:type="dxa" w:w="1385"/>
          </w:tcPr>
          <w:p>
            <w:pPr>
              <w:jc w:val="center"/>
            </w:pPr>
            <w:r/>
            <w:r>
              <w:rPr>
                <w:rFonts w:ascii="Times New Roman" w:hAnsi="Times New Roman" w:eastAsia="宋体"/>
                <w:b w:val="0"/>
                <w:sz w:val="18"/>
              </w:rPr>
              <w:t>10.79</w:t>
            </w:r>
          </w:p>
        </w:tc>
        <w:tc>
          <w:tcPr>
            <w:tcW w:type="dxa" w:w="1385"/>
          </w:tcPr>
          <w:p>
            <w:pPr>
              <w:jc w:val="center"/>
            </w:pPr>
            <w:r/>
            <w:r>
              <w:rPr>
                <w:rFonts w:ascii="Times New Roman" w:hAnsi="Times New Roman" w:eastAsia="宋体"/>
                <w:b w:val="0"/>
                <w:sz w:val="18"/>
              </w:rPr>
              <w:t>11.16</w:t>
            </w:r>
          </w:p>
        </w:tc>
        <w:tc>
          <w:tcPr>
            <w:tcW w:type="dxa" w:w="1385"/>
          </w:tcPr>
          <w:p>
            <w:pPr>
              <w:jc w:val="center"/>
            </w:pPr>
            <w:r/>
            <w:r>
              <w:rPr>
                <w:rFonts w:ascii="Times New Roman" w:hAnsi="Times New Roman" w:eastAsia="宋体"/>
                <w:b w:val="0"/>
                <w:sz w:val="18"/>
              </w:rPr>
              <w:t>13.07</w:t>
            </w:r>
          </w:p>
        </w:tc>
        <w:tc>
          <w:tcPr>
            <w:tcW w:type="dxa" w:w="1385"/>
          </w:tcPr>
          <w:p>
            <w:pPr>
              <w:jc w:val="center"/>
            </w:pPr>
            <w:r/>
            <w:r>
              <w:rPr>
                <w:rFonts w:ascii="Times New Roman" w:hAnsi="Times New Roman" w:eastAsia="宋体"/>
                <w:b w:val="0"/>
                <w:sz w:val="18"/>
              </w:rPr>
              <w:t>17.83</w:t>
            </w:r>
          </w:p>
        </w:tc>
      </w:tr>
      <w:tr>
        <w:tc>
          <w:tcPr>
            <w:tcW w:type="dxa" w:w="1385"/>
          </w:tcPr>
          <w:p>
            <w:pPr>
              <w:jc w:val="center"/>
            </w:pPr>
            <w:r/>
            <w:r>
              <w:rPr>
                <w:rFonts w:ascii="Times New Roman" w:hAnsi="Times New Roman" w:eastAsia="宋体"/>
                <w:b w:val="0"/>
                <w:sz w:val="18"/>
              </w:rPr>
              <w:t>新质生产力</w:t>
            </w:r>
          </w:p>
        </w:tc>
        <w:tc>
          <w:tcPr>
            <w:tcW w:type="dxa" w:w="1385"/>
          </w:tcPr>
          <w:p>
            <w:pPr>
              <w:jc w:val="center"/>
            </w:pPr>
            <w:r/>
            <w:r>
              <w:rPr>
                <w:rFonts w:ascii="Times New Roman" w:hAnsi="Times New Roman" w:eastAsia="宋体"/>
                <w:b w:val="0"/>
                <w:sz w:val="18"/>
              </w:rPr>
              <w:t>数字经济核心产业占比</w:t>
            </w:r>
          </w:p>
        </w:tc>
        <w:tc>
          <w:tcPr>
            <w:tcW w:type="dxa" w:w="1385"/>
          </w:tcPr>
          <w:p>
            <w:pPr>
              <w:jc w:val="center"/>
            </w:pPr>
            <w:r/>
            <w:r>
              <w:rPr>
                <w:rFonts w:ascii="Times New Roman" w:hAnsi="Times New Roman" w:eastAsia="宋体"/>
                <w:b w:val="0"/>
                <w:sz w:val="18"/>
              </w:rPr>
              <w:t>23.84</w:t>
            </w:r>
          </w:p>
        </w:tc>
        <w:tc>
          <w:tcPr>
            <w:tcW w:type="dxa" w:w="1385"/>
          </w:tcPr>
          <w:p>
            <w:pPr>
              <w:jc w:val="center"/>
            </w:pPr>
            <w:r/>
            <w:r>
              <w:rPr>
                <w:rFonts w:ascii="Times New Roman" w:hAnsi="Times New Roman" w:eastAsia="宋体"/>
                <w:b w:val="0"/>
                <w:sz w:val="18"/>
              </w:rPr>
              <w:t>20.25</w:t>
            </w:r>
          </w:p>
        </w:tc>
        <w:tc>
          <w:tcPr>
            <w:tcW w:type="dxa" w:w="1385"/>
          </w:tcPr>
          <w:p>
            <w:pPr>
              <w:jc w:val="center"/>
            </w:pPr>
            <w:r/>
            <w:r>
              <w:rPr>
                <w:rFonts w:ascii="Times New Roman" w:hAnsi="Times New Roman" w:eastAsia="宋体"/>
                <w:b w:val="0"/>
                <w:sz w:val="18"/>
              </w:rPr>
              <w:t>19.74</w:t>
            </w:r>
          </w:p>
        </w:tc>
        <w:tc>
          <w:tcPr>
            <w:tcW w:type="dxa" w:w="1385"/>
          </w:tcPr>
          <w:p>
            <w:pPr>
              <w:jc w:val="center"/>
            </w:pPr>
            <w:r/>
            <w:r>
              <w:rPr>
                <w:rFonts w:ascii="Times New Roman" w:hAnsi="Times New Roman" w:eastAsia="宋体"/>
                <w:b w:val="0"/>
                <w:sz w:val="18"/>
              </w:rPr>
              <w:t>22.93</w:t>
            </w:r>
          </w:p>
        </w:tc>
      </w:tr>
      <w:tr>
        <w:tc>
          <w:tcPr>
            <w:tcW w:type="dxa" w:w="1385"/>
          </w:tcPr>
          <w:p>
            <w:pPr>
              <w:jc w:val="center"/>
            </w:pPr>
            <w:r/>
            <w:r>
              <w:rPr>
                <w:rFonts w:ascii="Times New Roman" w:hAnsi="Times New Roman" w:eastAsia="宋体"/>
                <w:b w:val="0"/>
                <w:sz w:val="18"/>
              </w:rPr>
              <w:t>新质生产力</w:t>
            </w:r>
          </w:p>
        </w:tc>
        <w:tc>
          <w:tcPr>
            <w:tcW w:type="dxa" w:w="1385"/>
          </w:tcPr>
          <w:p>
            <w:pPr>
              <w:jc w:val="center"/>
            </w:pPr>
            <w:r/>
            <w:r>
              <w:rPr>
                <w:rFonts w:ascii="Times New Roman" w:hAnsi="Times New Roman" w:eastAsia="宋体"/>
                <w:b w:val="0"/>
                <w:sz w:val="18"/>
              </w:rPr>
              <w:t>全员劳动生产率</w:t>
            </w:r>
          </w:p>
        </w:tc>
        <w:tc>
          <w:tcPr>
            <w:tcW w:type="dxa" w:w="1385"/>
          </w:tcPr>
          <w:p>
            <w:pPr>
              <w:jc w:val="center"/>
            </w:pPr>
            <w:r/>
            <w:r>
              <w:rPr>
                <w:rFonts w:ascii="Times New Roman" w:hAnsi="Times New Roman" w:eastAsia="宋体"/>
                <w:b w:val="0"/>
                <w:sz w:val="18"/>
              </w:rPr>
              <w:t>39.68</w:t>
            </w:r>
          </w:p>
        </w:tc>
        <w:tc>
          <w:tcPr>
            <w:tcW w:type="dxa" w:w="1385"/>
          </w:tcPr>
          <w:p>
            <w:pPr>
              <w:jc w:val="center"/>
            </w:pPr>
            <w:r/>
            <w:r>
              <w:rPr>
                <w:rFonts w:ascii="Times New Roman" w:hAnsi="Times New Roman" w:eastAsia="宋体"/>
                <w:b w:val="0"/>
                <w:sz w:val="18"/>
              </w:rPr>
              <w:t>40.05</w:t>
            </w:r>
          </w:p>
        </w:tc>
        <w:tc>
          <w:tcPr>
            <w:tcW w:type="dxa" w:w="1385"/>
          </w:tcPr>
          <w:p>
            <w:pPr>
              <w:jc w:val="center"/>
            </w:pPr>
            <w:r/>
            <w:r>
              <w:rPr>
                <w:rFonts w:ascii="Times New Roman" w:hAnsi="Times New Roman" w:eastAsia="宋体"/>
                <w:b w:val="0"/>
                <w:sz w:val="18"/>
              </w:rPr>
              <w:t>39.27</w:t>
            </w:r>
          </w:p>
        </w:tc>
        <w:tc>
          <w:tcPr>
            <w:tcW w:type="dxa" w:w="1385"/>
          </w:tcPr>
          <w:p>
            <w:pPr>
              <w:jc w:val="center"/>
            </w:pPr>
            <w:r/>
            <w:r>
              <w:rPr>
                <w:rFonts w:ascii="Times New Roman" w:hAnsi="Times New Roman" w:eastAsia="宋体"/>
                <w:b w:val="0"/>
                <w:sz w:val="18"/>
              </w:rPr>
              <w:t>29.21</w:t>
            </w:r>
          </w:p>
        </w:tc>
      </w:tr>
      <w:tr>
        <w:tc>
          <w:tcPr>
            <w:tcW w:type="dxa" w:w="1385"/>
          </w:tcPr>
          <w:p>
            <w:pPr>
              <w:jc w:val="center"/>
            </w:pPr>
            <w:r/>
            <w:r>
              <w:rPr>
                <w:rFonts w:ascii="Times New Roman" w:hAnsi="Times New Roman" w:eastAsia="宋体"/>
                <w:b w:val="0"/>
                <w:sz w:val="18"/>
              </w:rPr>
              <w:t>共同富裕</w:t>
            </w:r>
          </w:p>
        </w:tc>
        <w:tc>
          <w:tcPr>
            <w:tcW w:type="dxa" w:w="1385"/>
          </w:tcPr>
          <w:p>
            <w:pPr>
              <w:jc w:val="center"/>
            </w:pPr>
            <w:r/>
            <w:r>
              <w:rPr>
                <w:rFonts w:ascii="Times New Roman" w:hAnsi="Times New Roman" w:eastAsia="宋体"/>
                <w:b w:val="0"/>
                <w:sz w:val="18"/>
              </w:rPr>
              <w:t>居民人均可支配收入</w:t>
            </w:r>
          </w:p>
        </w:tc>
        <w:tc>
          <w:tcPr>
            <w:tcW w:type="dxa" w:w="1385"/>
          </w:tcPr>
          <w:p>
            <w:pPr>
              <w:jc w:val="center"/>
            </w:pPr>
            <w:r/>
            <w:r>
              <w:rPr>
                <w:rFonts w:ascii="Times New Roman" w:hAnsi="Times New Roman" w:eastAsia="宋体"/>
                <w:b w:val="0"/>
                <w:sz w:val="18"/>
              </w:rPr>
              <w:t>22.22</w:t>
            </w:r>
          </w:p>
        </w:tc>
        <w:tc>
          <w:tcPr>
            <w:tcW w:type="dxa" w:w="1385"/>
          </w:tcPr>
          <w:p>
            <w:pPr>
              <w:jc w:val="center"/>
            </w:pPr>
            <w:r/>
            <w:r>
              <w:rPr>
                <w:rFonts w:ascii="Times New Roman" w:hAnsi="Times New Roman" w:eastAsia="宋体"/>
                <w:b w:val="0"/>
                <w:sz w:val="18"/>
              </w:rPr>
              <w:t>21.33</w:t>
            </w:r>
          </w:p>
        </w:tc>
        <w:tc>
          <w:tcPr>
            <w:tcW w:type="dxa" w:w="1385"/>
          </w:tcPr>
          <w:p>
            <w:pPr>
              <w:jc w:val="center"/>
            </w:pPr>
            <w:r/>
            <w:r>
              <w:rPr>
                <w:rFonts w:ascii="Times New Roman" w:hAnsi="Times New Roman" w:eastAsia="宋体"/>
                <w:b w:val="0"/>
                <w:sz w:val="18"/>
              </w:rPr>
              <w:t>19.34</w:t>
            </w:r>
          </w:p>
        </w:tc>
        <w:tc>
          <w:tcPr>
            <w:tcW w:type="dxa" w:w="1385"/>
          </w:tcPr>
          <w:p>
            <w:pPr>
              <w:jc w:val="center"/>
            </w:pPr>
            <w:r/>
            <w:r>
              <w:rPr>
                <w:rFonts w:ascii="Times New Roman" w:hAnsi="Times New Roman" w:eastAsia="宋体"/>
                <w:b w:val="0"/>
                <w:sz w:val="18"/>
              </w:rPr>
              <w:t>19.81</w:t>
            </w:r>
          </w:p>
        </w:tc>
      </w:tr>
      <w:tr>
        <w:tc>
          <w:tcPr>
            <w:tcW w:type="dxa" w:w="1385"/>
          </w:tcPr>
          <w:p>
            <w:pPr>
              <w:jc w:val="center"/>
            </w:pPr>
            <w:r/>
            <w:r>
              <w:rPr>
                <w:rFonts w:ascii="Times New Roman" w:hAnsi="Times New Roman" w:eastAsia="宋体"/>
                <w:b w:val="0"/>
                <w:sz w:val="18"/>
              </w:rPr>
              <w:t>共同富裕</w:t>
            </w:r>
          </w:p>
        </w:tc>
        <w:tc>
          <w:tcPr>
            <w:tcW w:type="dxa" w:w="1385"/>
          </w:tcPr>
          <w:p>
            <w:pPr>
              <w:jc w:val="center"/>
            </w:pPr>
            <w:r/>
            <w:r>
              <w:rPr>
                <w:rFonts w:ascii="Times New Roman" w:hAnsi="Times New Roman" w:eastAsia="宋体"/>
                <w:b w:val="0"/>
                <w:sz w:val="18"/>
              </w:rPr>
              <w:t>人均地区生产总值</w:t>
            </w:r>
          </w:p>
        </w:tc>
        <w:tc>
          <w:tcPr>
            <w:tcW w:type="dxa" w:w="1385"/>
          </w:tcPr>
          <w:p>
            <w:pPr>
              <w:jc w:val="center"/>
            </w:pPr>
            <w:r/>
            <w:r>
              <w:rPr>
                <w:rFonts w:ascii="Times New Roman" w:hAnsi="Times New Roman" w:eastAsia="宋体"/>
                <w:b w:val="0"/>
                <w:sz w:val="18"/>
              </w:rPr>
              <w:t>18.35</w:t>
            </w:r>
          </w:p>
        </w:tc>
        <w:tc>
          <w:tcPr>
            <w:tcW w:type="dxa" w:w="1385"/>
          </w:tcPr>
          <w:p>
            <w:pPr>
              <w:jc w:val="center"/>
            </w:pPr>
            <w:r/>
            <w:r>
              <w:rPr>
                <w:rFonts w:ascii="Times New Roman" w:hAnsi="Times New Roman" w:eastAsia="宋体"/>
                <w:b w:val="0"/>
                <w:sz w:val="18"/>
              </w:rPr>
              <w:t>17.04</w:t>
            </w:r>
          </w:p>
        </w:tc>
        <w:tc>
          <w:tcPr>
            <w:tcW w:type="dxa" w:w="1385"/>
          </w:tcPr>
          <w:p>
            <w:pPr>
              <w:jc w:val="center"/>
            </w:pPr>
            <w:r/>
            <w:r>
              <w:rPr>
                <w:rFonts w:ascii="Times New Roman" w:hAnsi="Times New Roman" w:eastAsia="宋体"/>
                <w:b w:val="0"/>
                <w:sz w:val="18"/>
              </w:rPr>
              <w:t>19.04</w:t>
            </w:r>
          </w:p>
        </w:tc>
        <w:tc>
          <w:tcPr>
            <w:tcW w:type="dxa" w:w="1385"/>
          </w:tcPr>
          <w:p>
            <w:pPr>
              <w:jc w:val="center"/>
            </w:pPr>
            <w:r/>
            <w:r>
              <w:rPr>
                <w:rFonts w:ascii="Times New Roman" w:hAnsi="Times New Roman" w:eastAsia="宋体"/>
                <w:b w:val="0"/>
                <w:sz w:val="18"/>
              </w:rPr>
              <w:t>17.68</w:t>
            </w:r>
          </w:p>
        </w:tc>
      </w:tr>
      <w:tr>
        <w:tc>
          <w:tcPr>
            <w:tcW w:type="dxa" w:w="1385"/>
          </w:tcPr>
          <w:p>
            <w:pPr>
              <w:jc w:val="center"/>
            </w:pPr>
            <w:r/>
            <w:r>
              <w:rPr>
                <w:rFonts w:ascii="Times New Roman" w:hAnsi="Times New Roman" w:eastAsia="宋体"/>
                <w:b w:val="0"/>
                <w:sz w:val="18"/>
              </w:rPr>
              <w:t>共同富裕</w:t>
            </w:r>
          </w:p>
        </w:tc>
        <w:tc>
          <w:tcPr>
            <w:tcW w:type="dxa" w:w="1385"/>
          </w:tcPr>
          <w:p>
            <w:pPr>
              <w:jc w:val="center"/>
            </w:pPr>
            <w:r/>
            <w:r>
              <w:rPr>
                <w:rFonts w:ascii="Times New Roman" w:hAnsi="Times New Roman" w:eastAsia="宋体"/>
                <w:b w:val="0"/>
                <w:sz w:val="18"/>
              </w:rPr>
              <w:t>居民人均消费支出</w:t>
            </w:r>
          </w:p>
        </w:tc>
        <w:tc>
          <w:tcPr>
            <w:tcW w:type="dxa" w:w="1385"/>
          </w:tcPr>
          <w:p>
            <w:pPr>
              <w:jc w:val="center"/>
            </w:pPr>
            <w:r/>
            <w:r>
              <w:rPr>
                <w:rFonts w:ascii="Times New Roman" w:hAnsi="Times New Roman" w:eastAsia="宋体"/>
                <w:b w:val="0"/>
                <w:sz w:val="18"/>
              </w:rPr>
              <w:t>25.74</w:t>
            </w:r>
          </w:p>
        </w:tc>
        <w:tc>
          <w:tcPr>
            <w:tcW w:type="dxa" w:w="1385"/>
          </w:tcPr>
          <w:p>
            <w:pPr>
              <w:jc w:val="center"/>
            </w:pPr>
            <w:r/>
            <w:r>
              <w:rPr>
                <w:rFonts w:ascii="Times New Roman" w:hAnsi="Times New Roman" w:eastAsia="宋体"/>
                <w:b w:val="0"/>
                <w:sz w:val="18"/>
              </w:rPr>
              <w:t>26.74</w:t>
            </w:r>
          </w:p>
        </w:tc>
        <w:tc>
          <w:tcPr>
            <w:tcW w:type="dxa" w:w="1385"/>
          </w:tcPr>
          <w:p>
            <w:pPr>
              <w:jc w:val="center"/>
            </w:pPr>
            <w:r/>
            <w:r>
              <w:rPr>
                <w:rFonts w:ascii="Times New Roman" w:hAnsi="Times New Roman" w:eastAsia="宋体"/>
                <w:b w:val="0"/>
                <w:sz w:val="18"/>
              </w:rPr>
              <w:t>26.86</w:t>
            </w:r>
          </w:p>
        </w:tc>
        <w:tc>
          <w:tcPr>
            <w:tcW w:type="dxa" w:w="1385"/>
          </w:tcPr>
          <w:p>
            <w:pPr>
              <w:jc w:val="center"/>
            </w:pPr>
            <w:r/>
            <w:r>
              <w:rPr>
                <w:rFonts w:ascii="Times New Roman" w:hAnsi="Times New Roman" w:eastAsia="宋体"/>
                <w:b w:val="0"/>
                <w:sz w:val="18"/>
              </w:rPr>
              <w:t>23.13</w:t>
            </w:r>
          </w:p>
        </w:tc>
      </w:tr>
      <w:tr>
        <w:tc>
          <w:tcPr>
            <w:tcW w:type="dxa" w:w="1385"/>
          </w:tcPr>
          <w:p>
            <w:pPr>
              <w:jc w:val="center"/>
            </w:pPr>
            <w:r/>
            <w:r>
              <w:rPr>
                <w:rFonts w:ascii="Times New Roman" w:hAnsi="Times New Roman" w:eastAsia="宋体"/>
                <w:b w:val="0"/>
                <w:sz w:val="18"/>
              </w:rPr>
              <w:t>共同富裕</w:t>
            </w:r>
          </w:p>
        </w:tc>
        <w:tc>
          <w:tcPr>
            <w:tcW w:type="dxa" w:w="1385"/>
          </w:tcPr>
          <w:p>
            <w:pPr>
              <w:jc w:val="center"/>
            </w:pPr>
            <w:r/>
            <w:r>
              <w:rPr>
                <w:rFonts w:ascii="Times New Roman" w:hAnsi="Times New Roman" w:eastAsia="宋体"/>
                <w:b w:val="0"/>
                <w:sz w:val="18"/>
              </w:rPr>
              <w:t>城乡收入倍差</w:t>
            </w:r>
          </w:p>
        </w:tc>
        <w:tc>
          <w:tcPr>
            <w:tcW w:type="dxa" w:w="1385"/>
          </w:tcPr>
          <w:p>
            <w:pPr>
              <w:jc w:val="center"/>
            </w:pPr>
            <w:r/>
            <w:r>
              <w:rPr>
                <w:rFonts w:ascii="Times New Roman" w:hAnsi="Times New Roman" w:eastAsia="宋体"/>
                <w:b w:val="0"/>
                <w:sz w:val="18"/>
              </w:rPr>
              <w:t>3.91</w:t>
            </w:r>
          </w:p>
        </w:tc>
        <w:tc>
          <w:tcPr>
            <w:tcW w:type="dxa" w:w="1385"/>
          </w:tcPr>
          <w:p>
            <w:pPr>
              <w:jc w:val="center"/>
            </w:pPr>
            <w:r/>
            <w:r>
              <w:rPr>
                <w:rFonts w:ascii="Times New Roman" w:hAnsi="Times New Roman" w:eastAsia="宋体"/>
                <w:b w:val="0"/>
                <w:sz w:val="18"/>
              </w:rPr>
              <w:t>4.74</w:t>
            </w:r>
          </w:p>
        </w:tc>
        <w:tc>
          <w:tcPr>
            <w:tcW w:type="dxa" w:w="1385"/>
          </w:tcPr>
          <w:p>
            <w:pPr>
              <w:jc w:val="center"/>
            </w:pPr>
            <w:r/>
            <w:r>
              <w:rPr>
                <w:rFonts w:ascii="Times New Roman" w:hAnsi="Times New Roman" w:eastAsia="宋体"/>
                <w:b w:val="0"/>
                <w:sz w:val="18"/>
              </w:rPr>
              <w:t>5.65</w:t>
            </w:r>
          </w:p>
        </w:tc>
        <w:tc>
          <w:tcPr>
            <w:tcW w:type="dxa" w:w="1385"/>
          </w:tcPr>
          <w:p>
            <w:pPr>
              <w:jc w:val="center"/>
            </w:pPr>
            <w:r/>
            <w:r>
              <w:rPr>
                <w:rFonts w:ascii="Times New Roman" w:hAnsi="Times New Roman" w:eastAsia="宋体"/>
                <w:b w:val="0"/>
                <w:sz w:val="18"/>
              </w:rPr>
              <w:t>8.60</w:t>
            </w:r>
          </w:p>
        </w:tc>
      </w:tr>
      <w:tr>
        <w:tc>
          <w:tcPr>
            <w:tcW w:type="dxa" w:w="1385"/>
          </w:tcPr>
          <w:p>
            <w:pPr>
              <w:jc w:val="center"/>
            </w:pPr>
            <w:r/>
            <w:r>
              <w:rPr>
                <w:rFonts w:ascii="Times New Roman" w:hAnsi="Times New Roman" w:eastAsia="宋体"/>
                <w:b w:val="0"/>
                <w:sz w:val="18"/>
              </w:rPr>
              <w:t>共同富裕</w:t>
            </w:r>
          </w:p>
        </w:tc>
        <w:tc>
          <w:tcPr>
            <w:tcW w:type="dxa" w:w="1385"/>
          </w:tcPr>
          <w:p>
            <w:pPr>
              <w:jc w:val="center"/>
            </w:pPr>
            <w:r/>
            <w:r>
              <w:rPr>
                <w:rFonts w:ascii="Times New Roman" w:hAnsi="Times New Roman" w:eastAsia="宋体"/>
                <w:b w:val="0"/>
                <w:sz w:val="18"/>
              </w:rPr>
              <w:t>农村居民人均可支配收入</w:t>
            </w:r>
          </w:p>
        </w:tc>
        <w:tc>
          <w:tcPr>
            <w:tcW w:type="dxa" w:w="1385"/>
          </w:tcPr>
          <w:p>
            <w:pPr>
              <w:jc w:val="center"/>
            </w:pPr>
            <w:r/>
            <w:r>
              <w:rPr>
                <w:rFonts w:ascii="Times New Roman" w:hAnsi="Times New Roman" w:eastAsia="宋体"/>
                <w:b w:val="0"/>
                <w:sz w:val="18"/>
              </w:rPr>
              <w:t>25.56</w:t>
            </w:r>
          </w:p>
        </w:tc>
        <w:tc>
          <w:tcPr>
            <w:tcW w:type="dxa" w:w="1385"/>
          </w:tcPr>
          <w:p>
            <w:pPr>
              <w:jc w:val="center"/>
            </w:pPr>
            <w:r/>
            <w:r>
              <w:rPr>
                <w:rFonts w:ascii="Times New Roman" w:hAnsi="Times New Roman" w:eastAsia="宋体"/>
                <w:b w:val="0"/>
                <w:sz w:val="18"/>
              </w:rPr>
              <w:t>25.60</w:t>
            </w:r>
          </w:p>
        </w:tc>
        <w:tc>
          <w:tcPr>
            <w:tcW w:type="dxa" w:w="1385"/>
          </w:tcPr>
          <w:p>
            <w:pPr>
              <w:jc w:val="center"/>
            </w:pPr>
            <w:r/>
            <w:r>
              <w:rPr>
                <w:rFonts w:ascii="Times New Roman" w:hAnsi="Times New Roman" w:eastAsia="宋体"/>
                <w:b w:val="0"/>
                <w:sz w:val="18"/>
              </w:rPr>
              <w:t>23.92</w:t>
            </w:r>
          </w:p>
        </w:tc>
        <w:tc>
          <w:tcPr>
            <w:tcW w:type="dxa" w:w="1385"/>
          </w:tcPr>
          <w:p>
            <w:pPr>
              <w:jc w:val="center"/>
            </w:pPr>
            <w:r/>
            <w:r>
              <w:rPr>
                <w:rFonts w:ascii="Times New Roman" w:hAnsi="Times New Roman" w:eastAsia="宋体"/>
                <w:b w:val="0"/>
                <w:sz w:val="18"/>
              </w:rPr>
              <w:t>21.41</w:t>
            </w:r>
          </w:p>
        </w:tc>
      </w:tr>
      <w:tr>
        <w:tc>
          <w:tcPr>
            <w:tcW w:type="dxa" w:w="1385"/>
          </w:tcPr>
          <w:p>
            <w:pPr>
              <w:jc w:val="center"/>
            </w:pPr>
            <w:r/>
            <w:r>
              <w:rPr>
                <w:rFonts w:ascii="Times New Roman" w:hAnsi="Times New Roman" w:eastAsia="宋体"/>
                <w:b w:val="0"/>
                <w:sz w:val="18"/>
              </w:rPr>
              <w:t>共同富裕</w:t>
            </w:r>
          </w:p>
        </w:tc>
        <w:tc>
          <w:tcPr>
            <w:tcW w:type="dxa" w:w="1385"/>
          </w:tcPr>
          <w:p>
            <w:pPr>
              <w:jc w:val="center"/>
            </w:pPr>
            <w:r/>
            <w:r>
              <w:rPr>
                <w:rFonts w:ascii="Times New Roman" w:hAnsi="Times New Roman" w:eastAsia="宋体"/>
                <w:b w:val="0"/>
                <w:sz w:val="18"/>
              </w:rPr>
              <w:t>常住人口城镇化率</w:t>
            </w:r>
          </w:p>
        </w:tc>
        <w:tc>
          <w:tcPr>
            <w:tcW w:type="dxa" w:w="1385"/>
          </w:tcPr>
          <w:p>
            <w:pPr>
              <w:jc w:val="center"/>
            </w:pPr>
            <w:r/>
            <w:r>
              <w:rPr>
                <w:rFonts w:ascii="Times New Roman" w:hAnsi="Times New Roman" w:eastAsia="宋体"/>
                <w:b w:val="0"/>
                <w:sz w:val="18"/>
              </w:rPr>
              <w:t>4.22</w:t>
            </w:r>
          </w:p>
        </w:tc>
        <w:tc>
          <w:tcPr>
            <w:tcW w:type="dxa" w:w="1385"/>
          </w:tcPr>
          <w:p>
            <w:pPr>
              <w:jc w:val="center"/>
            </w:pPr>
            <w:r/>
            <w:r>
              <w:rPr>
                <w:rFonts w:ascii="Times New Roman" w:hAnsi="Times New Roman" w:eastAsia="宋体"/>
                <w:b w:val="0"/>
                <w:sz w:val="18"/>
              </w:rPr>
              <w:t>4.55</w:t>
            </w:r>
          </w:p>
        </w:tc>
        <w:tc>
          <w:tcPr>
            <w:tcW w:type="dxa" w:w="1385"/>
          </w:tcPr>
          <w:p>
            <w:pPr>
              <w:jc w:val="center"/>
            </w:pPr>
            <w:r/>
            <w:r>
              <w:rPr>
                <w:rFonts w:ascii="Times New Roman" w:hAnsi="Times New Roman" w:eastAsia="宋体"/>
                <w:b w:val="0"/>
                <w:sz w:val="18"/>
              </w:rPr>
              <w:t>5.20</w:t>
            </w:r>
          </w:p>
        </w:tc>
        <w:tc>
          <w:tcPr>
            <w:tcW w:type="dxa" w:w="1385"/>
          </w:tcPr>
          <w:p>
            <w:pPr>
              <w:jc w:val="center"/>
            </w:pPr>
            <w:r/>
            <w:r>
              <w:rPr>
                <w:rFonts w:ascii="Times New Roman" w:hAnsi="Times New Roman" w:eastAsia="宋体"/>
                <w:b w:val="0"/>
                <w:sz w:val="18"/>
              </w:rPr>
              <w:t>9.38</w:t>
            </w:r>
          </w:p>
        </w:tc>
      </w:tr>
    </w:tbl>
    <w:p>
      <w:pPr>
        <w:spacing w:after="0"/>
      </w:pPr>
    </w:p>
    <w:p>
      <w:pPr>
        <w:spacing w:after="120"/>
        <w:jc w:val="left"/>
      </w:pPr>
      <w:r>
        <w:rPr>
          <w:rFonts w:ascii="Times New Roman" w:hAnsi="Times New Roman" w:eastAsia="宋体"/>
          <w:b w:val="0"/>
          <w:sz w:val="21"/>
        </w:rPr>
        <w:t>注：障碍度为同一系统内各指标对系统偏离理想水平的贡献占比，各年份同一系统内合计为100%。</w:t>
      </w:r>
    </w:p>
    <w:p>
      <w:pPr>
        <w:spacing w:before="120"/>
        <w:jc w:val="center"/>
      </w:pPr>
      <w:r>
        <w:drawing>
          <wp:inline xmlns:a="http://schemas.openxmlformats.org/drawingml/2006/main" xmlns:pic="http://schemas.openxmlformats.org/drawingml/2006/picture">
            <wp:extent cx="5256000" cy="2110830"/>
            <wp:docPr id="11" name="Picture 11"/>
            <wp:cNvGraphicFramePr>
              <a:graphicFrameLocks noChangeAspect="1"/>
            </wp:cNvGraphicFramePr>
            <a:graphic>
              <a:graphicData uri="http://schemas.openxmlformats.org/drawingml/2006/picture">
                <pic:pic>
                  <pic:nvPicPr>
                    <pic:cNvPr id="0" name="fig13_obstacle.png"/>
                    <pic:cNvPicPr/>
                  </pic:nvPicPr>
                  <pic:blipFill>
                    <a:blip r:embed="rId19"/>
                    <a:stretch>
                      <a:fillRect/>
                    </a:stretch>
                  </pic:blipFill>
                  <pic:spPr>
                    <a:xfrm>
                      <a:off x="0" y="0"/>
                      <a:ext cx="5256000" cy="2110830"/>
                    </a:xfrm>
                    <a:prstGeom prst="rect"/>
                  </pic:spPr>
                </pic:pic>
              </a:graphicData>
            </a:graphic>
          </wp:inline>
        </w:drawing>
      </w:r>
    </w:p>
    <w:p>
      <w:pPr>
        <w:spacing w:after="80"/>
        <w:jc w:val="center"/>
      </w:pPr>
      <w:r>
        <w:rPr>
          <w:rFonts w:ascii="Times New Roman" w:hAnsi="Times New Roman" w:eastAsia="黑体"/>
          <w:b/>
          <w:sz w:val="21"/>
        </w:rPr>
        <w:t xml:space="preserve">图11　</w:t>
      </w:r>
      <w:r>
        <w:rPr>
          <w:rFonts w:ascii="Times New Roman" w:hAnsi="Times New Roman" w:eastAsia="宋体"/>
          <w:b/>
          <w:sz w:val="21"/>
        </w:rPr>
        <w:t>2015—2024年两大系统各指标障碍度演变</w:t>
      </w:r>
    </w:p>
    <w:p>
      <w:pPr>
        <w:spacing w:after="120"/>
        <w:jc w:val="left"/>
      </w:pPr>
      <w:r>
        <w:rPr>
          <w:rFonts w:ascii="Times New Roman" w:hAnsi="Times New Roman" w:eastAsia="宋体"/>
          <w:b w:val="0"/>
          <w:sz w:val="21"/>
        </w:rPr>
        <w:t>注：（a）（b）分别为新质生产力系统与共同富裕系统；依据式(21)测算绘制。</w:t>
      </w:r>
    </w:p>
    <w:p>
      <w:pPr>
        <w:spacing w:line="360" w:lineRule="auto" w:after="0"/>
        <w:ind w:firstLine="480"/>
        <w:jc w:val="both"/>
      </w:pPr>
      <w:r>
        <w:rPr>
          <w:rFonts w:ascii="Times New Roman" w:hAnsi="Times New Roman" w:eastAsia="宋体"/>
          <w:b w:val="0"/>
          <w:sz w:val="24"/>
        </w:rPr>
        <w:t>障碍度诊断的逻辑，是将系统综合水平的“未实现部分”分解到各构成指标，度量每一指标对系统偏离理想水平的相对贡献：权重越大且当前值距理想值越远的指标，障碍度越高。解读时须注意两点：其一，障碍度是同一系统内部的相对份额，各年合计为100%，某一指标障碍度的下降必然伴随其他指标障碍度的相对上升；其二，障碍度刻画的是边际制约而非绝对水平，障碍度上升并不意味着该指标绝对恶化，而可能只是其改善速度落后于系统整体。以下将图11的全期演变与表6的主要年份截面交叉对照，对两大系统分别展开。</w:t>
      </w:r>
    </w:p>
    <w:p>
      <w:pPr>
        <w:spacing w:line="360" w:lineRule="auto" w:after="0"/>
        <w:ind w:firstLine="480"/>
        <w:jc w:val="both"/>
      </w:pPr>
      <w:r>
        <w:rPr>
          <w:rFonts w:ascii="Times New Roman" w:hAnsi="Times New Roman" w:eastAsia="宋体"/>
          <w:b w:val="0"/>
          <w:sz w:val="24"/>
        </w:rPr>
        <w:t>新质生产力系统的障碍结构在2024年发生标志性转换。2015—2023年，全员劳动生产率始终是第一障碍因子（障碍度在37.74%—43.69%之间），反映产出效率对系统水平的持续约束；2024年其障碍度骤降至29.21%，而R&amp;D经费投入强度的障碍度升至30.03%、首次跃居第一障碍因子。这一转换的经济含义在于：随着全员劳动生产率2024年升至22.9万元/人、边际制约明显缓解，创新投入强度取而代之成为下一阶段的首要短板——2024年浙江R&amp;D经费投入强度为3.22%，距省委十五届八次全会提出的2030年3.5%以上目标尚有约0.3个百分点差距，也低于同期广东、江苏水平。此外，高新技术企业数的障碍度由10.79%趋势性升至17.83%，提示在企业数量基数迅速扩大之后，单纯数量扩张的边际信息量趋减，创新主体的质量与能级问题开始显性化。</w:t>
      </w:r>
    </w:p>
    <w:p>
      <w:pPr>
        <w:spacing w:line="360" w:lineRule="auto" w:after="0"/>
        <w:ind w:firstLine="480"/>
        <w:jc w:val="both"/>
      </w:pPr>
      <w:r>
        <w:rPr>
          <w:rFonts w:ascii="Times New Roman" w:hAnsi="Times New Roman" w:eastAsia="宋体"/>
          <w:b w:val="0"/>
          <w:sz w:val="24"/>
        </w:rPr>
        <w:t>将表6的截面置于图11的全期演变中，可以更完整地把握上述转换。全员劳动生产率的障碍度在2020年达到43.69%的全期峰值——疫情之年产出端承压使效率指标与理想水平的相对差距扩大——此后波动回落，2023年为38.80%，2024年骤降至29.21%，与全员劳动生产率由2023年的21.2万元/人加速升至22.9万元/人相对应。R&amp;D经费投入强度的障碍度则呈“先升—回落—跳升”形态：2019年达28.92%，2022年、2023年回落至24.21%、24.32%，对应研发强度由2.94%较快爬升至3.20%的改善期；2024年跳升至30.03%，其触发因素正是研发强度年度提升收窄至0.02个百分点后，改善速度落后于系统整体。数字经济核心产业占比的障碍度由2015年的23.84%降至2020年的19.55%低点后回升至2024年的22.93%，提示数字产业占比在突破12%之后同样面临增速换挡的考验。三条曲线的此消彼长共同刻画出一个清晰转折：制约新质生产力进一步发展的主要矛盾，正由“效率实现”转向“源头投入与主体质量”。</w:t>
      </w:r>
    </w:p>
    <w:p>
      <w:pPr>
        <w:spacing w:line="360" w:lineRule="auto" w:after="0"/>
        <w:ind w:firstLine="480"/>
        <w:jc w:val="both"/>
      </w:pPr>
      <w:r>
        <w:rPr>
          <w:rFonts w:ascii="Times New Roman" w:hAnsi="Times New Roman" w:eastAsia="宋体"/>
          <w:b w:val="0"/>
          <w:sz w:val="24"/>
        </w:rPr>
        <w:t>以政策目标为参照：创新浙江建设的配套实施方案确定2027年R&amp;D经费投入强度达到3.4%以上，省委十五届八次全会进一步锚定2030年3.5%以上，以2024年3.22%计，未来三年需年均提升约0.06个百分点，而2023—2024年的年度提升仅为0.02个百分点，投入强度的爬坡速度必须较近期明显加快；横向看，2024年广东、江苏研发强度分别为3.60%、3.36%，浙江面临持续的标兵压力。全员劳动生产率方面，2030年30万元/人左右的目标较2024年的22.9万元/人尚有约三成的提升空间，其实现有赖于人工智能等新技术对全行业的效率赋能，省委全会将人工智能确立为核心变量的部署正与这一诊断形成呼应。</w:t>
      </w:r>
    </w:p>
    <w:p>
      <w:pPr>
        <w:spacing w:line="360" w:lineRule="auto" w:after="0"/>
        <w:ind w:firstLine="480"/>
        <w:jc w:val="both"/>
      </w:pPr>
      <w:r>
        <w:rPr>
          <w:rFonts w:ascii="Times New Roman" w:hAnsi="Times New Roman" w:eastAsia="宋体"/>
          <w:b w:val="0"/>
          <w:sz w:val="24"/>
        </w:rPr>
        <w:t>共同富裕系统的障碍结构呈现“总量类收敛、结构类走高”的清晰迁移。居民人均消费支出、农村居民人均可支配收入、居民人均可支配收入三项总量类指标的障碍度分别由2015年的25.74%、25.56%、22.22%降至2024年的23.13%、21.41%、19.81%；与之相对，城乡收入倍差与常住人口城镇化率两项结构类指标的障碍度分别由3.91%、4.22%升至8.60%、9.38%，十年间均扩大一倍以上。需要强调，这一迁移并不意味着城乡差距在绝对意义上恶化——样本期内倍差由2.07降至1.83——而是表明：当总量类指标随发展水平提高逐步逼近理想区间后，改善速度相对平缓的结构类指标对系统进一步提升的相对制约开始凸显。障碍度诊断由此给出与省委全会“把缩小城乡差距、地区差距、收入差距作为主攻方向”高度一致的实证指向：“十五五”时期共同富裕指数的边际提升，将更多取决于城乡结构性指标的攻坚。</w:t>
      </w:r>
    </w:p>
    <w:p>
      <w:pPr>
        <w:spacing w:line="360" w:lineRule="auto" w:after="0"/>
        <w:ind w:firstLine="480"/>
        <w:jc w:val="both"/>
      </w:pPr>
      <w:r>
        <w:rPr>
          <w:rFonts w:ascii="Times New Roman" w:hAnsi="Times New Roman" w:eastAsia="宋体"/>
          <w:b w:val="0"/>
          <w:sz w:val="24"/>
        </w:rPr>
        <w:t>共同富裕系统的全期曲线同样提供了截面表无法呈现的细节。居民人均消费支出的障碍度在2020年升至28.96%的全期峰值，与当年消费支出绝对回落相互印证，此后趋势性下行至2024年的23.13%，消费修复的效果在障碍结构中留下了清晰痕迹。城乡收入倍差的障碍度2019年为5.17%、2023年为6.55%、2024年升至8.60%；常住人口城镇化率的障碍度同期由4.85%、7.16%升至9.38%，两项结构类指标在观测期后段呈加速抬升之势。以2030年目标对照：城乡倍差1.83距“1.8以内”（规划口径1.77）的目标空间看似不大，但倍差进入1.8区间后的每一步收窄，都须在农民收入持续快于城镇居民增长的条件下实现，边际难度递增；常住人口城镇化率75.5%距“78%左右”的目标尚有约2.5个百分点，其实现须以农业转移人口市民化的深化为前提；居民人均可支配收入67013元距2030年9万元左右的目标，则要求未来数年保持稳健增长。三项对照共同说明，共同富裕系统的下一程重在以更精细的制度安排攻坚结构类指标，与理论框架中就业分配关的指向一致。</w:t>
      </w:r>
    </w:p>
    <w:p>
      <w:pPr>
        <w:spacing w:line="360" w:lineRule="auto" w:after="0"/>
        <w:ind w:firstLine="480"/>
        <w:jc w:val="both"/>
      </w:pPr>
      <w:r>
        <w:rPr>
          <w:rFonts w:ascii="Times New Roman" w:hAnsi="Times New Roman" w:eastAsia="宋体"/>
          <w:b w:val="0"/>
          <w:sz w:val="24"/>
        </w:rPr>
        <w:t>综上，本章的测度结果确立了四个基准事实：其一，新质生产力发展指数与共同富裕指数十年间分别由0.130、0.108升至0.802、0.824，均实现数倍量级的跃升；其二，分维度看，产业动能与富裕度增幅居前、共享度逆周期韧性突出，三阶转化链条的前两阶转化在指数结构上均获得支持；其三，两大指数高度同步（相关系数0.9941），且2024年出现共同富裕指数反超的“双向赋能”信号；其四，障碍度诊断显示，新质生产力系统的第一障碍因子已由全员劳动生产率转换为R&amp;D经费投入强度，共同富裕系统的障碍结构则由总量类指标向城乡结构类指标迁移。两大系统究竟处于何种耦合协调等级、协调水平如何演进，将在第八章运用耦合协调度模型作系统检验。</w:t>
      </w:r>
    </w:p>
    <w:p>
      <w:pPr>
        <w:spacing w:line="360" w:lineRule="auto" w:after="0"/>
        <w:ind w:firstLine="480"/>
        <w:jc w:val="both"/>
      </w:pPr>
      <w:r>
        <w:rPr>
          <w:rFonts w:ascii="Times New Roman" w:hAnsi="Times New Roman" w:eastAsia="宋体"/>
          <w:b w:val="0"/>
          <w:sz w:val="24"/>
        </w:rPr>
        <w:t>四个基准事实与理论框架形成严密呼应。事实一验证了创新势能持续充注这一三阶转化链条得以启动的前提条件；事实二中，产业动能对创新势能的反超与两子系统的咬合式交替，为成果转化关（关口Ⅰ）的畅通提供了动态证据，共享度的逆周期韧性则显示就业分配关（关口Ⅱ）处的制度安排具备了对冲外生冲击的修复能力；事实三的高度同步与2024年反超，为双向赋能机制与人力资本反哺关的显性化提供了初步信号；事实四则从边际制约的角度指明了下一阶段转化关口的压力点位——成果转化关的压力由“转化效率”前移至“源头投入”，就业分配关的压力由“总量增收”转向“结构收敛”。当然，本章证据属于描述性的基准事实，同步与反超尚不构成因果识别：两大系统互动的结构与质量须由第八章的耦合协调分析加以刻画，支撑共富型发展的条件组合须由第九章的组态分析回答，浙江路径的方位与特质则须置于第十章的省际比较中检验。基准事实、系统检验、组态识别与横向比较的递进安排，共同构成本报告实证部分的完整证据链。</w:t>
      </w:r>
    </w:p>
    <w:p>
      <w:pPr>
        <w:spacing w:line="360" w:lineRule="auto" w:after="160"/>
        <w:jc w:val="center"/>
      </w:pPr>
      <w:r>
        <w:rPr>
          <w:rFonts w:ascii="Times New Roman" w:hAnsi="Times New Roman" w:eastAsia="黑体"/>
          <w:b/>
          <w:sz w:val="32"/>
        </w:rPr>
        <w:t>八、实证分析Ⅱ：两大系统耦合协调的时序演进与阶段特征</w:t>
      </w:r>
    </w:p>
    <w:p>
      <w:pPr>
        <w:spacing w:line="360" w:lineRule="auto" w:after="0"/>
        <w:ind w:firstLine="480"/>
        <w:jc w:val="both"/>
      </w:pPr>
      <w:r>
        <w:rPr>
          <w:rFonts w:ascii="Times New Roman" w:hAnsi="Times New Roman" w:eastAsia="宋体"/>
          <w:b w:val="0"/>
          <w:sz w:val="24"/>
        </w:rPr>
        <w:t>党的二十届四中全会通过的《建议》明确要求，“推动经济实现质的有效提升和量的合理增长，推动人的全面发展、全体人民共同富裕迈出坚实步伐”，并将“坚持高质量发展”“坚持有效市场和有为政府相结合”确立为“十五五”时期经济社会发展必须遵循的原则；省委十五届八次全会进一步锚定“高质量发展建设共同富裕示范区取得决定性进展，率先呈现基本实现社会主义现代化的生动图景”的总目标。这些部署内在地要求生产力跃迁与共同富裕两大进程相互嵌入、同频共振，而非各自孤立推进。如理论框架部分所述，共富型新质生产力的本质规定性，正在于创新势能能够沿“势能—动能—效能”三阶转化链条顺畅传导，使新质生产力系统与共同富裕系统形成动态耦合、螺旋上升的运行格局。本章在第七章测得的新质生产力发展指数（</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）与共同富裕指数（</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）基础上，运用耦合协调度模型考察2015—2024年浙江省两大系统耦合协调度（</w:t>
      </w:r>
      <m:oMath>
        <m:r>
          <w:rPr>
            <w:rFonts w:ascii="Cambria Math" w:hAnsi="Cambria Math"/>
          </w:rPr>
          <m:t xml:space="preserve">D</m:t>
        </m:r>
      </m:oMath>
      <w:r>
        <w:rPr>
          <w:rFonts w:ascii="Times New Roman" w:hAnsi="Times New Roman" w:eastAsia="宋体"/>
          <w:b w:val="0"/>
          <w:sz w:val="24"/>
        </w:rPr>
        <w:t>）的时序演进与阶段特征，分解耦合度（</w:t>
      </w:r>
      <m:oMath>
        <m:r>
          <w:rPr>
            <w:rFonts w:ascii="Cambria Math" w:hAnsi="Cambria Math"/>
          </w:rPr>
          <m:t xml:space="preserve">C</m:t>
        </m:r>
      </m:oMath>
      <w:r>
        <w:rPr>
          <w:rFonts w:ascii="Times New Roman" w:hAnsi="Times New Roman" w:eastAsia="宋体"/>
          <w:b w:val="0"/>
          <w:sz w:val="24"/>
        </w:rPr>
        <w:t>）与综合协调指数（</w:t>
      </w:r>
      <m:oMath>
        <m:r>
          <w:rPr>
            <w:rFonts w:ascii="Cambria Math" w:hAnsi="Cambria Math"/>
          </w:rPr>
          <m:t xml:space="preserve">T</m:t>
        </m:r>
      </m:oMath>
      <w:r>
        <w:rPr>
          <w:rFonts w:ascii="Times New Roman" w:hAnsi="Times New Roman" w:eastAsia="宋体"/>
          <w:b w:val="0"/>
          <w:sz w:val="24"/>
        </w:rPr>
        <w:t>）的结构性贡献，并将统计事实与浙江实践的制度时序相互印证，以检验理论命题P1（两系统耦合协调度随时间上升），并为命题P2（转化关口修复机制越健全，耦合协调水平越高）提供时序证据。</w:t>
      </w:r>
    </w:p>
    <w:p>
      <w:pPr>
        <w:spacing w:line="360" w:lineRule="auto" w:after="0"/>
        <w:ind w:firstLine="480"/>
        <w:jc w:val="both"/>
      </w:pPr>
      <w:r>
        <w:rPr>
          <w:rFonts w:ascii="Times New Roman" w:hAnsi="Times New Roman" w:eastAsia="宋体"/>
          <w:b w:val="0"/>
          <w:sz w:val="24"/>
        </w:rPr>
        <w:t>就方法选择而言，耦合协调度模型源自容量耦合概念在区域系统研究中的移植改造，经环境与经济协调发展评判、城市化与生态环境交互测度等经典应用逐步成熟，近年来被广泛用于数字金融与科技创新、乡村振兴与新型城镇化等双系统关系的定量刻画[110,111,118,119]。采用这一工具是因为其与问题结构高度契合：耦合协调框架不预设单向因果，而是把两大系统视为相互作用的整体，与双向赋能命题同构；</w:t>
      </w:r>
      <m:oMath>
        <m:r>
          <w:rPr>
            <w:rFonts w:ascii="Cambria Math" w:hAnsi="Cambria Math"/>
          </w:rPr>
          <m:t xml:space="preserve">C</m:t>
        </m:r>
      </m:oMath>
      <w:r>
        <w:rPr>
          <w:rFonts w:ascii="Times New Roman" w:hAnsi="Times New Roman" w:eastAsia="宋体"/>
          <w:b w:val="0"/>
          <w:sz w:val="24"/>
        </w:rPr>
        <w:t>与</w:t>
      </w:r>
      <m:oMath>
        <m:r>
          <w:rPr>
            <w:rFonts w:ascii="Cambria Math" w:hAnsi="Cambria Math"/>
          </w:rPr>
          <m:t xml:space="preserve">T</m:t>
        </m:r>
      </m:oMath>
      <w:r>
        <w:rPr>
          <w:rFonts w:ascii="Times New Roman" w:hAnsi="Times New Roman" w:eastAsia="宋体"/>
          <w:b w:val="0"/>
          <w:sz w:val="24"/>
        </w:rPr>
        <w:t>的双维分解恰好对应“链条通不通”与“流量大不大”两个不同性质的问题。针对方法论文献指出的耦合度虚高、等级标签滥用、解读过度等误用风险[126,127]，本章恪守解读纪律：以</w:t>
      </w:r>
      <m:oMath>
        <m:r>
          <w:rPr>
            <w:rFonts w:ascii="Cambria Math" w:hAnsi="Cambria Math"/>
          </w:rPr>
          <m:t xml:space="preserve">D</m:t>
        </m:r>
      </m:oMath>
      <w:r>
        <w:rPr>
          <w:rFonts w:ascii="Times New Roman" w:hAnsi="Times New Roman" w:eastAsia="宋体"/>
          <w:b w:val="0"/>
          <w:sz w:val="24"/>
        </w:rPr>
        <w:t>与</w:t>
      </w:r>
      <m:oMath>
        <m:r>
          <w:rPr>
            <w:rFonts w:ascii="Cambria Math" w:hAnsi="Cambria Math"/>
          </w:rPr>
          <m:t xml:space="preserve">T</m:t>
        </m:r>
      </m:oMath>
      <w:r>
        <w:rPr>
          <w:rFonts w:ascii="Times New Roman" w:hAnsi="Times New Roman" w:eastAsia="宋体"/>
          <w:b w:val="0"/>
          <w:sz w:val="24"/>
        </w:rPr>
        <w:t>的动态而非</w:t>
      </w:r>
      <m:oMath>
        <m:r>
          <w:rPr>
            <w:rFonts w:ascii="Cambria Math" w:hAnsi="Cambria Math"/>
          </w:rPr>
          <m:t xml:space="preserve">C</m:t>
        </m:r>
      </m:oMath>
      <w:r>
        <w:rPr>
          <w:rFonts w:ascii="Times New Roman" w:hAnsi="Times New Roman" w:eastAsia="宋体"/>
          <w:b w:val="0"/>
          <w:sz w:val="24"/>
        </w:rPr>
        <w:t>的静态水平作为主要论断依据，等级标签仅作参照，关键结论辅以多情境敏感性检验。</w:t>
      </w:r>
    </w:p>
    <w:p>
      <w:pPr>
        <w:spacing w:line="360" w:lineRule="auto" w:after="80"/>
        <w:jc w:val="left"/>
      </w:pPr>
      <w:r>
        <w:rPr>
          <w:rFonts w:ascii="Times New Roman" w:hAnsi="Times New Roman" w:eastAsia="黑体"/>
          <w:b/>
          <w:sz w:val="28"/>
        </w:rPr>
        <w:t>（一）时序演进与阶段划分：从轻度失调到优质协调的历史性跨越</w:t>
      </w:r>
    </w:p>
    <w:p>
      <w:pPr>
        <w:spacing w:line="360" w:lineRule="auto" w:after="0"/>
        <w:ind w:firstLine="480"/>
        <w:jc w:val="both"/>
      </w:pPr>
      <w:r>
        <w:rPr>
          <w:rFonts w:ascii="Times New Roman" w:hAnsi="Times New Roman" w:eastAsia="宋体"/>
          <w:b w:val="0"/>
          <w:sz w:val="24"/>
        </w:rPr>
        <w:t>测算结果表明，样本期内浙江省新质生产力与共同富裕两大系统的耦合协调度呈单调上升态势，实现了从失调衰退区间向优质协调区间的历史性跨越。第七章表5已完整报告2015—2024年两大指数、耦合度（</w:t>
      </w:r>
      <m:oMath>
        <m:r>
          <w:rPr>
            <w:rFonts w:ascii="Cambria Math" w:hAnsi="Cambria Math"/>
          </w:rPr>
          <m:t xml:space="preserve">C</m:t>
        </m:r>
      </m:oMath>
      <w:r>
        <w:rPr>
          <w:rFonts w:ascii="Times New Roman" w:hAnsi="Times New Roman" w:eastAsia="宋体"/>
          <w:b w:val="0"/>
          <w:sz w:val="24"/>
        </w:rPr>
        <w:t>）、综合协调指数（</w:t>
      </w:r>
      <m:oMath>
        <m:r>
          <w:rPr>
            <w:rFonts w:ascii="Cambria Math" w:hAnsi="Cambria Math"/>
          </w:rPr>
          <m:t xml:space="preserve">T</m:t>
        </m:r>
      </m:oMath>
      <w:r>
        <w:rPr>
          <w:rFonts w:ascii="Times New Roman" w:hAnsi="Times New Roman" w:eastAsia="宋体"/>
          <w:b w:val="0"/>
          <w:sz w:val="24"/>
        </w:rPr>
        <w:t>）、耦合协调度（</w:t>
      </w:r>
      <m:oMath>
        <m:r>
          <w:rPr>
            <w:rFonts w:ascii="Cambria Math" w:hAnsi="Cambria Math"/>
          </w:rPr>
          <m:t xml:space="preserve">D</m:t>
        </m:r>
      </m:oMath>
      <w:r>
        <w:rPr>
          <w:rFonts w:ascii="Times New Roman" w:hAnsi="Times New Roman" w:eastAsia="宋体"/>
          <w:b w:val="0"/>
          <w:sz w:val="24"/>
        </w:rPr>
        <w:t>）及对应协调等级的逐年测算结果，本章据此展开协调水平的时序分析。</w:t>
      </w:r>
    </w:p>
    <w:p>
      <w:pPr>
        <w:spacing w:line="360" w:lineRule="auto" w:after="0"/>
        <w:ind w:firstLine="480"/>
        <w:jc w:val="both"/>
      </w:pPr>
      <w:r>
        <w:rPr>
          <w:rFonts w:ascii="Times New Roman" w:hAnsi="Times New Roman" w:eastAsia="宋体"/>
          <w:b w:val="0"/>
          <w:sz w:val="24"/>
        </w:rPr>
        <w:t>从总体演进看，耦合协调度</w:t>
      </w:r>
      <m:oMath>
        <m:r>
          <w:rPr>
            <w:rFonts w:ascii="Cambria Math" w:hAnsi="Cambria Math"/>
          </w:rPr>
          <m:t xml:space="preserve">D</m:t>
        </m:r>
      </m:oMath>
      <w:r>
        <w:rPr>
          <w:rFonts w:ascii="Times New Roman" w:hAnsi="Times New Roman" w:eastAsia="宋体"/>
          <w:b w:val="0"/>
          <w:sz w:val="24"/>
        </w:rPr>
        <w:t>由2015年的0.345（轻度失调）提高至2024年的0.902（优质协调），十年间年均提升0.062，依据第六章给出的十档等级划分标准，连续跨越濒临失调、勉强协调、初级协调、中级协调、良好协调五个等级，且无一年份出现回调或停滞。与之呼应，两大指数高度同向共进：</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年均增长22.4%、</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年均增长25.3%，两者Pearson相关系数高达0.9941。这一“逐年上升、逐级跨越”的典型化事实，为理论命题P1提供了直接的经验支持——在浙江样本中，新质生产力发展与共同富裕推进不是此消彼长的替代关系，而是相互成就的耦合关系。耦合协调度的演变轨迹如图12所示。</w:t>
      </w:r>
    </w:p>
    <w:p>
      <w:pPr>
        <w:spacing w:before="120"/>
        <w:jc w:val="center"/>
      </w:pPr>
      <w:r>
        <w:drawing>
          <wp:inline xmlns:a="http://schemas.openxmlformats.org/drawingml/2006/main" xmlns:pic="http://schemas.openxmlformats.org/drawingml/2006/picture">
            <wp:extent cx="4476170" cy="2269906"/>
            <wp:docPr id="12" name="Picture 12"/>
            <wp:cNvGraphicFramePr>
              <a:graphicFrameLocks noChangeAspect="1"/>
            </wp:cNvGraphicFramePr>
            <a:graphic>
              <a:graphicData uri="http://schemas.openxmlformats.org/drawingml/2006/picture">
                <pic:pic>
                  <pic:nvPicPr>
                    <pic:cNvPr id="0" name="fig10_coupling.png"/>
                    <pic:cNvPicPr/>
                  </pic:nvPicPr>
                  <pic:blipFill>
                    <a:blip r:embed="rId20"/>
                    <a:stretch>
                      <a:fillRect/>
                    </a:stretch>
                  </pic:blipFill>
                  <pic:spPr>
                    <a:xfrm>
                      <a:off x="0" y="0"/>
                      <a:ext cx="4476170" cy="2269906"/>
                    </a:xfrm>
                    <a:prstGeom prst="rect"/>
                  </pic:spPr>
                </pic:pic>
              </a:graphicData>
            </a:graphic>
          </wp:inline>
        </w:drawing>
      </w:r>
    </w:p>
    <w:p>
      <w:pPr>
        <w:spacing w:after="80"/>
        <w:jc w:val="center"/>
      </w:pPr>
      <w:r>
        <w:rPr>
          <w:rFonts w:ascii="Times New Roman" w:hAnsi="Times New Roman" w:eastAsia="黑体"/>
          <w:b/>
          <w:sz w:val="21"/>
        </w:rPr>
        <w:t xml:space="preserve">图12　</w:t>
      </w:r>
      <w:r>
        <w:rPr>
          <w:rFonts w:ascii="Times New Roman" w:hAnsi="Times New Roman" w:eastAsia="宋体"/>
          <w:b/>
          <w:sz w:val="21"/>
        </w:rPr>
        <w:t>2015—2024年浙江省新质生产力与共同富裕耦合协调度演变</w:t>
      </w:r>
    </w:p>
    <w:p>
      <w:pPr>
        <w:spacing w:after="120"/>
        <w:jc w:val="left"/>
      </w:pPr>
      <w:r>
        <w:rPr>
          <w:rFonts w:ascii="Times New Roman" w:hAnsi="Times New Roman" w:eastAsia="宋体"/>
          <w:b w:val="0"/>
          <w:sz w:val="21"/>
        </w:rPr>
        <w:t>注：根据表5测度结果绘制，柱内文字为对应年份的耦合协调等级。</w:t>
      </w:r>
    </w:p>
    <w:p>
      <w:pPr>
        <w:spacing w:line="360" w:lineRule="auto" w:after="0"/>
        <w:ind w:firstLine="480"/>
        <w:jc w:val="both"/>
      </w:pPr>
      <w:r>
        <w:rPr>
          <w:rFonts w:ascii="Times New Roman" w:hAnsi="Times New Roman" w:eastAsia="宋体"/>
          <w:b w:val="0"/>
          <w:sz w:val="24"/>
        </w:rPr>
        <w:t>进一步观察这一演进形态的两个细节。其一，</w:t>
      </w:r>
      <m:oMath>
        <m:r>
          <w:rPr>
            <w:rFonts w:ascii="Cambria Math" w:hAnsi="Cambria Math"/>
          </w:rPr>
          <m:t xml:space="preserve">D</m:t>
        </m:r>
      </m:oMath>
      <w:r>
        <w:rPr>
          <w:rFonts w:ascii="Times New Roman" w:hAnsi="Times New Roman" w:eastAsia="宋体"/>
          <w:b w:val="0"/>
          <w:sz w:val="24"/>
        </w:rPr>
        <w:t>的年度提升幅度虽有起伏，最低年份（2023—2024年）仍达0.044，而样本窗口内既包含2020年疫情冲击（GDP增速回落至3.6%），也包含2022年的增长波动，协调水平在多重扰动下无一年份回调，显示协同演进具有超越短期冲击的趋势稳定性。其二，</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与</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高达0.9941的相关系数并非测度构造的自动结果——两套指标体系取自不同统计域、权重由熵值法独立生成——而是两条主线在浙江实践中深度交织的统计投影。</w:t>
      </w:r>
    </w:p>
    <w:p>
      <w:pPr>
        <w:spacing w:line="360" w:lineRule="auto" w:after="0"/>
        <w:ind w:firstLine="480"/>
        <w:jc w:val="both"/>
      </w:pPr>
      <w:r>
        <w:rPr>
          <w:rFonts w:ascii="Times New Roman" w:hAnsi="Times New Roman" w:eastAsia="宋体"/>
          <w:b w:val="0"/>
          <w:sz w:val="24"/>
        </w:rPr>
        <w:t>依据增长斜率与等级跃迁节点，可将十年演进划分为三个阶段，其序列特征与理论框架提出的“低水平耦合—磨合提升—高水平协调”动态演化阶段假说高度吻合。</w:t>
      </w:r>
    </w:p>
    <w:p>
      <w:pPr>
        <w:spacing w:line="360" w:lineRule="auto" w:after="0"/>
        <w:ind w:firstLine="480"/>
        <w:jc w:val="both"/>
      </w:pPr>
      <w:r>
        <w:rPr>
          <w:rFonts w:ascii="Times New Roman" w:hAnsi="Times New Roman" w:eastAsia="宋体"/>
          <w:b w:val="0"/>
          <w:sz w:val="24"/>
        </w:rPr>
        <w:t>阶段Ⅰ为磨合追赶期（2015—2017）。</w:t>
      </w:r>
      <m:oMath>
        <m:r>
          <w:rPr>
            <w:rFonts w:ascii="Cambria Math" w:hAnsi="Cambria Math"/>
          </w:rPr>
          <m:t xml:space="preserve">D</m:t>
        </m:r>
      </m:oMath>
      <w:r>
        <w:rPr>
          <w:rFonts w:ascii="Times New Roman" w:hAnsi="Times New Roman" w:eastAsia="宋体"/>
          <w:b w:val="0"/>
          <w:sz w:val="24"/>
        </w:rPr>
        <w:t>由0.345升至0.506，两年间提升0.161、年均提升逾0.08，跨过</w:t>
      </w:r>
      <m:oMath>
        <m:r>
          <w:rPr>
            <w:rFonts w:ascii="Cambria Math" w:hAnsi="Cambria Math"/>
          </w:rPr>
          <m:t xml:space="preserve">D</m:t>
        </m:r>
      </m:oMath>
      <w:r>
        <w:rPr>
          <w:rFonts w:ascii="Times New Roman" w:hAnsi="Times New Roman" w:eastAsia="宋体"/>
          <w:b w:val="0"/>
          <w:sz w:val="24"/>
        </w:rPr>
        <w:t>＝0.5的协调门槛，由轻度失调经濒临失调进入勉强协调。此阶段的突出特征是“双低起点、快速爬坡”：2015年</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仅为0.130、</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仅为0.108，两系统发展水平均处低位，失调的根源不在于关联薄弱而在于总量不足。同期浙江密集布局创新与治理基础设施——2016年杭州城西科创大走廊启动建设、“最多跑一次”改革启动，2017年数字经济“一号工程”实施、之江实验室成立——创新势能与产业动能开始系统性积蓄，为后续等级跃迁奠定了要素基础。</w:t>
      </w:r>
    </w:p>
    <w:p>
      <w:pPr>
        <w:spacing w:line="360" w:lineRule="auto" w:after="0"/>
        <w:ind w:firstLine="480"/>
        <w:jc w:val="both"/>
      </w:pPr>
      <w:r>
        <w:rPr>
          <w:rFonts w:ascii="Times New Roman" w:hAnsi="Times New Roman" w:eastAsia="宋体"/>
          <w:b w:val="0"/>
          <w:sz w:val="24"/>
        </w:rPr>
        <w:t>从“数据表现—制度供给—关口状态”三个层面细察阶段Ⅰ。数据表现上，2015年浙江R&amp;D经费投入强度为2.33%、高新技术企业0.79万家、数字经济核心产业增加值3373亿元（占GDP的7.9%），居民人均可支配收入35537元、城乡收入倍差2.07；四个子系统指数中富裕度以0.089垫底、创新势能以0.186居首，“创新先行、富民待发”的位势差清晰可辨；</w:t>
      </w:r>
      <m:oMath>
        <m:r>
          <w:rPr>
            <w:rFonts w:ascii="Cambria Math" w:hAnsi="Cambria Math"/>
          </w:rPr>
          <m:t xml:space="preserve">D</m:t>
        </m:r>
      </m:oMath>
      <w:r>
        <w:rPr>
          <w:rFonts w:ascii="Times New Roman" w:hAnsi="Times New Roman" w:eastAsia="宋体"/>
          <w:b w:val="0"/>
          <w:sz w:val="24"/>
        </w:rPr>
        <w:t>值2016年升至0.426、2017年达0.506，两年连跨两级。制度供给上，这一阶段的关键动作在于“铺轨”：“最多跑一次”改革于2016年底启动，2017年数字经济“一号工程”把数字化确立为产业跃迁主轴，之江实验室于同年9月挂牌。关口状态上，制度资源高度集中于成果转化关的基础设施建设，就业分配关的系统性改革尚未全面展开，人力资本反哺关基本处于待启动状态，这也是此阶段相对发展度处于共同富裕相对滞后区间的制度根源（详见后文）。阶段Ⅰ由此表现为以基础设施密集投资撬动总量爬坡，等级快速改善主要来自“从无到有”的边际效应。</w:t>
      </w:r>
    </w:p>
    <w:p>
      <w:pPr>
        <w:spacing w:line="360" w:lineRule="auto" w:after="0"/>
        <w:ind w:firstLine="480"/>
        <w:jc w:val="both"/>
      </w:pPr>
      <w:r>
        <w:rPr>
          <w:rFonts w:ascii="Times New Roman" w:hAnsi="Times New Roman" w:eastAsia="宋体"/>
          <w:b w:val="0"/>
          <w:sz w:val="24"/>
        </w:rPr>
        <w:t>阶段Ⅱ为协调起步期（2018—2020）。</w:t>
      </w:r>
      <m:oMath>
        <m:r>
          <w:rPr>
            <w:rFonts w:ascii="Cambria Math" w:hAnsi="Cambria Math"/>
          </w:rPr>
          <m:t xml:space="preserve">D</m:t>
        </m:r>
      </m:oMath>
      <w:r>
        <w:rPr>
          <w:rFonts w:ascii="Times New Roman" w:hAnsi="Times New Roman" w:eastAsia="宋体"/>
          <w:b w:val="0"/>
          <w:sz w:val="24"/>
        </w:rPr>
        <w:t>由0.575升至0.683，2019年进入初级协调。此阶段的关键考验在于外生冲击下的韧性：2020年疫情冲击使全省GDP增速回落至3.6%，</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增速明显放缓（由0.413升至0.430），其中富裕度子指数由0.419回落至0.405，但共享度子指数由0.401逆势升至0.478，转移支付、兜底保障等再分配安排发挥了“稳定器”作用（浙江此后于2022年12月在全国率先实现低保标准市域同标，11个设区市低保标准均超1000元/月）；同期</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在R&amp;D经费投入强度升至2.88%、数字经济核心产业增加值占比升至10.9%的支撑下继续攀升（由0.400升至0.505），使</w:t>
      </w:r>
      <m:oMath>
        <m:r>
          <w:rPr>
            <w:rFonts w:ascii="Cambria Math" w:hAnsi="Cambria Math"/>
          </w:rPr>
          <m:t xml:space="preserve">D</m:t>
        </m:r>
      </m:oMath>
      <w:r>
        <w:rPr>
          <w:rFonts w:ascii="Times New Roman" w:hAnsi="Times New Roman" w:eastAsia="宋体"/>
          <w:b w:val="0"/>
          <w:sz w:val="24"/>
        </w:rPr>
        <w:t>在极端冲击之年仍提升0.046、守住初级协调等级。这一“共享度对冲富裕度”的结构性事实表明，共同富裕系统内部的再分配机制不仅是分配结果的改善工具，也是两系统耦合关系的韧性来源。</w:t>
      </w:r>
    </w:p>
    <w:p>
      <w:pPr>
        <w:spacing w:line="360" w:lineRule="auto" w:after="0"/>
        <w:ind w:firstLine="480"/>
        <w:jc w:val="both"/>
      </w:pPr>
      <w:r>
        <w:rPr>
          <w:rFonts w:ascii="Times New Roman" w:hAnsi="Times New Roman" w:eastAsia="宋体"/>
          <w:b w:val="0"/>
          <w:sz w:val="24"/>
        </w:rPr>
        <w:t>同样从三个层面看阶段Ⅱ。数据表现上，2019年</w:t>
      </w:r>
      <m:oMath>
        <m:r>
          <w:rPr>
            <w:rFonts w:ascii="Cambria Math" w:hAnsi="Cambria Math"/>
          </w:rPr>
          <m:t xml:space="preserve">D</m:t>
        </m:r>
      </m:oMath>
      <w:r>
        <w:rPr>
          <w:rFonts w:ascii="Times New Roman" w:hAnsi="Times New Roman" w:eastAsia="宋体"/>
          <w:b w:val="0"/>
          <w:sz w:val="24"/>
        </w:rPr>
        <w:t>达0.637并跨入初级协调，同年</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（0.413）首次超过</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0.400），显示富民效能的释放开始跟上创新势能的积蓄节奏；2020年的分系统证据尤具信息量——创新势能指数由0.374跃升至0.532，为样本期内最大的单年增幅，产业动能指数由0.416升至0.487，数字经济逆势扩张构成</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加速的主引擎，而同年居民人均消费支出由32026元降至31295元，富裕度承压回落，唯共享度逆势上升。制度供给上，2018年西湖大学成立、“千万工程”获联合国“地球卫士奖”，创新链与富民链各自延伸；疫情暴发后，转移支付与社会保障政策密集出台，再分配托底功能经受实战检验。关口状态上，成果转化关持续畅通，就业分配关首次经受系统性压力——初次分配渠道受冲击收窄时，再分配机制及时补位，避免了共同富裕系统失速。阶段Ⅱ由此留下的经验是：耦合协调不仅需要顺境中的同频共振，更需要逆境中的制度对冲；共享度对富裕度的补位，本质上是制度化再分配对市场化初次分配的动态互补。</w:t>
      </w:r>
    </w:p>
    <w:p>
      <w:pPr>
        <w:spacing w:line="360" w:lineRule="auto" w:after="0"/>
        <w:ind w:firstLine="480"/>
        <w:jc w:val="both"/>
      </w:pPr>
      <w:r>
        <w:rPr>
          <w:rFonts w:ascii="Times New Roman" w:hAnsi="Times New Roman" w:eastAsia="宋体"/>
          <w:b w:val="0"/>
          <w:sz w:val="24"/>
        </w:rPr>
        <w:t>阶段Ⅲ为高水平耦合跃升期（2021—2024）。</w:t>
      </w:r>
      <m:oMath>
        <m:r>
          <w:rPr>
            <w:rFonts w:ascii="Cambria Math" w:hAnsi="Cambria Math"/>
          </w:rPr>
          <m:t xml:space="preserve">D</m:t>
        </m:r>
      </m:oMath>
      <w:r>
        <w:rPr>
          <w:rFonts w:ascii="Times New Roman" w:hAnsi="Times New Roman" w:eastAsia="宋体"/>
          <w:b w:val="0"/>
          <w:sz w:val="24"/>
        </w:rPr>
        <w:t>由0.764升至0.902，阶段内连续跨越中级、良好、优质三个台阶。2021年6月，中央《关于支持浙江高质量发展建设共同富裕示范区的意见》印发，浙江成为全国唯一的共同富裕示范区；同年2月，数字化改革全面启动。制度供给的密集注入与协调等级跃迁在时间上高度耦合：2021年</w:t>
      </w:r>
      <m:oMath>
        <m:r>
          <w:rPr>
            <w:rFonts w:ascii="Cambria Math" w:hAnsi="Cambria Math"/>
          </w:rPr>
          <m:t xml:space="preserve">D</m:t>
        </m:r>
      </m:oMath>
      <w:r>
        <w:rPr>
          <w:rFonts w:ascii="Times New Roman" w:hAnsi="Times New Roman" w:eastAsia="宋体"/>
          <w:b w:val="0"/>
          <w:sz w:val="24"/>
        </w:rPr>
        <w:t>＝0.764，恰为由初级协调跃入中级协调的转折之年；至2024年</w:t>
      </w:r>
      <m:oMath>
        <m:r>
          <w:rPr>
            <w:rFonts w:ascii="Cambria Math" w:hAnsi="Cambria Math"/>
          </w:rPr>
          <m:t xml:space="preserve">D</m:t>
        </m:r>
      </m:oMath>
      <w:r>
        <w:rPr>
          <w:rFonts w:ascii="Times New Roman" w:hAnsi="Times New Roman" w:eastAsia="宋体"/>
          <w:b w:val="0"/>
          <w:sz w:val="24"/>
        </w:rPr>
        <w:t>达0.902，首次进入优质协调区间，标志着两大系统进入高水平耦合的新阶段。示范区建设作为一次高强度的制度冲击，其时点与耦合协调曲线斜率抬升、等级加速跨越的拐点相互印证，构成命题P2的重要时序证据。</w:t>
      </w:r>
    </w:p>
    <w:p>
      <w:pPr>
        <w:spacing w:line="360" w:lineRule="auto" w:after="0"/>
        <w:ind w:firstLine="480"/>
        <w:jc w:val="both"/>
      </w:pPr>
      <w:r>
        <w:rPr>
          <w:rFonts w:ascii="Times New Roman" w:hAnsi="Times New Roman" w:eastAsia="宋体"/>
          <w:b w:val="0"/>
          <w:sz w:val="24"/>
        </w:rPr>
        <w:t>阶段Ⅲ的三层特征同样鲜明。数据表现上，</w:t>
      </w:r>
      <m:oMath>
        <m:r>
          <w:rPr>
            <w:rFonts w:ascii="Cambria Math" w:hAnsi="Cambria Math"/>
          </w:rPr>
          <m:t xml:space="preserve">D</m:t>
        </m:r>
      </m:oMath>
      <w:r>
        <w:rPr>
          <w:rFonts w:ascii="Times New Roman" w:hAnsi="Times New Roman" w:eastAsia="宋体"/>
          <w:b w:val="0"/>
          <w:sz w:val="24"/>
        </w:rPr>
        <w:t>三年提升0.138、年均0.046，其中2022年在GDP增速回落至3.1%的情况下仍提升0.045并跃入良好协调，表明协调水平的抬升已不依赖单一年份的高增长；至2024年，四个子系统指数全部越过0.75，富裕度（0.836）跃居四者之首、产业动能（0.831）紧随其后，系统结构由“创新先行、富民垫底”转变为“富民领先、全面均衡”。制度供给上，在中央《意见》与数字化改革之外，2023年三个“一号工程”部署实施、政务服务增值化改革启动，2024年底“创新浙江”部署接续展开。关口状态上，三大关口进入“并联修复”状态：成果转化关在高能级平台与飞地机制支撑下持续畅通，就业分配关在扩中提低与强村富民改革中深度修复，人力资本反哺关随教科人一体化改革实质启动，期末</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反超</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正是闭环初步接通的指数表征。</w:t>
      </w:r>
    </w:p>
    <w:p>
      <w:pPr>
        <w:spacing w:line="360" w:lineRule="auto" w:after="80"/>
        <w:jc w:val="left"/>
      </w:pPr>
      <w:r>
        <w:rPr>
          <w:rFonts w:ascii="Times New Roman" w:hAnsi="Times New Roman" w:eastAsia="黑体"/>
          <w:b/>
          <w:sz w:val="28"/>
        </w:rPr>
        <w:t>（二）结构分解：高位耦合、协调指数驱动的演进逻辑</w:t>
      </w:r>
    </w:p>
    <w:p>
      <w:pPr>
        <w:spacing w:line="360" w:lineRule="auto" w:after="0"/>
        <w:ind w:firstLine="480"/>
        <w:jc w:val="both"/>
      </w:pPr>
      <w:r>
        <w:rPr>
          <w:rFonts w:ascii="Times New Roman" w:hAnsi="Times New Roman" w:eastAsia="宋体"/>
          <w:b w:val="0"/>
          <w:sz w:val="24"/>
        </w:rPr>
        <w:t>从模型构造看，耦合协调度</w:t>
      </w:r>
      <m:oMath>
        <m:r>
          <w:rPr>
            <w:rFonts w:ascii="Cambria Math" w:hAnsi="Cambria Math"/>
          </w:rPr>
          <m:t xml:space="preserve">D</m:t>
        </m:r>
      </m:oMath>
      <w:r>
        <w:rPr>
          <w:rFonts w:ascii="Times New Roman" w:hAnsi="Times New Roman" w:eastAsia="宋体"/>
          <w:b w:val="0"/>
          <w:sz w:val="24"/>
        </w:rPr>
        <w:t>由耦合度</w:t>
      </w:r>
      <m:oMath>
        <m:r>
          <w:rPr>
            <w:rFonts w:ascii="Cambria Math" w:hAnsi="Cambria Math"/>
          </w:rPr>
          <m:t xml:space="preserve">C</m:t>
        </m:r>
      </m:oMath>
      <w:r>
        <w:rPr>
          <w:rFonts w:ascii="Times New Roman" w:hAnsi="Times New Roman" w:eastAsia="宋体"/>
          <w:b w:val="0"/>
          <w:sz w:val="24"/>
        </w:rPr>
        <w:t>与综合协调指数</w:t>
      </w:r>
      <m:oMath>
        <m:r>
          <w:rPr>
            <w:rFonts w:ascii="Cambria Math" w:hAnsi="Cambria Math"/>
          </w:rPr>
          <m:t xml:space="preserve">T</m:t>
        </m:r>
      </m:oMath>
      <w:r>
        <w:rPr>
          <w:rFonts w:ascii="Times New Roman" w:hAnsi="Times New Roman" w:eastAsia="宋体"/>
          <w:b w:val="0"/>
          <w:sz w:val="24"/>
        </w:rPr>
        <w:t>共同决定，二者经济含义迥异：</w:t>
      </w:r>
      <m:oMath>
        <m:r>
          <w:rPr>
            <w:rFonts w:ascii="Cambria Math" w:hAnsi="Cambria Math"/>
          </w:rPr>
          <m:t xml:space="preserve">C</m:t>
        </m:r>
      </m:oMath>
      <w:r>
        <w:rPr>
          <w:rFonts w:ascii="Times New Roman" w:hAnsi="Times New Roman" w:eastAsia="宋体"/>
          <w:b w:val="0"/>
          <w:sz w:val="24"/>
        </w:rPr>
        <w:t>刻画两系统交互关联的紧密程度，</w:t>
      </w:r>
      <m:oMath>
        <m:r>
          <w:rPr>
            <w:rFonts w:ascii="Cambria Math" w:hAnsi="Cambria Math"/>
          </w:rPr>
          <m:t xml:space="preserve">T</m:t>
        </m:r>
      </m:oMath>
      <w:r>
        <w:rPr>
          <w:rFonts w:ascii="Times New Roman" w:hAnsi="Times New Roman" w:eastAsia="宋体"/>
          <w:b w:val="0"/>
          <w:sz w:val="24"/>
        </w:rPr>
        <w:t>刻画两系统整体发展水平的高低。对</w:t>
      </w:r>
      <m:oMath>
        <m:r>
          <w:rPr>
            <w:rFonts w:ascii="Cambria Math" w:hAnsi="Cambria Math"/>
          </w:rPr>
          <m:t xml:space="preserve">D</m:t>
        </m:r>
      </m:oMath>
      <w:r>
        <w:rPr>
          <w:rFonts w:ascii="Times New Roman" w:hAnsi="Times New Roman" w:eastAsia="宋体"/>
          <w:b w:val="0"/>
          <w:sz w:val="24"/>
        </w:rPr>
        <w:t>作结构分解，可以获得三个层层递进的典型化事实。</w:t>
      </w:r>
    </w:p>
    <w:p>
      <w:pPr>
        <w:spacing w:line="360" w:lineRule="auto" w:after="0"/>
        <w:ind w:firstLine="480"/>
        <w:jc w:val="both"/>
      </w:pPr>
      <w:r>
        <w:rPr>
          <w:rFonts w:ascii="Times New Roman" w:hAnsi="Times New Roman" w:eastAsia="宋体"/>
          <w:b w:val="0"/>
          <w:sz w:val="24"/>
        </w:rPr>
        <w:t>一是耦合度</w:t>
      </w:r>
      <m:oMath>
        <m:r>
          <w:rPr>
            <w:rFonts w:ascii="Cambria Math" w:hAnsi="Cambria Math"/>
          </w:rPr>
          <m:t xml:space="preserve">C</m:t>
        </m:r>
      </m:oMath>
      <w:r>
        <w:rPr>
          <w:rFonts w:ascii="Times New Roman" w:hAnsi="Times New Roman" w:eastAsia="宋体"/>
          <w:b w:val="0"/>
          <w:sz w:val="24"/>
        </w:rPr>
        <w:t>全程高位运行，两系统始终强关联。</w:t>
      </w:r>
      <m:oMath>
        <m:r>
          <w:rPr>
            <w:rFonts w:ascii="Cambria Math" w:hAnsi="Cambria Math"/>
          </w:rPr>
          <m:t xml:space="preserve">C</m:t>
        </m:r>
      </m:oMath>
      <w:r>
        <w:rPr>
          <w:rFonts w:ascii="Times New Roman" w:hAnsi="Times New Roman" w:eastAsia="宋体"/>
          <w:b w:val="0"/>
          <w:sz w:val="24"/>
        </w:rPr>
        <w:t>在样本期内始终保持在0.996以上，2018年起多数年份达到1.000，表明浙江的新质生产力发展从起点上就深度嵌入民生场景与共富制度安排，两系统之间不存在“两张皮”式的脱钩状态。但高耦合不等于高协调：2015年</w:t>
      </w:r>
      <m:oMath>
        <m:r>
          <w:rPr>
            <w:rFonts w:ascii="Cambria Math" w:hAnsi="Cambria Math"/>
          </w:rPr>
          <m:t xml:space="preserve">C</m:t>
        </m:r>
      </m:oMath>
      <w:r>
        <w:rPr>
          <w:rFonts w:ascii="Times New Roman" w:hAnsi="Times New Roman" w:eastAsia="宋体"/>
          <w:b w:val="0"/>
          <w:sz w:val="24"/>
        </w:rPr>
        <w:t>高达0.996而</w:t>
      </w:r>
      <m:oMath>
        <m:r>
          <w:rPr>
            <w:rFonts w:ascii="Cambria Math" w:hAnsi="Cambria Math"/>
          </w:rPr>
          <m:t xml:space="preserve">D</m:t>
        </m:r>
      </m:oMath>
      <w:r>
        <w:rPr>
          <w:rFonts w:ascii="Times New Roman" w:hAnsi="Times New Roman" w:eastAsia="宋体"/>
          <w:b w:val="0"/>
          <w:sz w:val="24"/>
        </w:rPr>
        <w:t>仅为0.345，其原因在于</w:t>
      </w:r>
      <m:oMath>
        <m:r>
          <w:rPr>
            <w:rFonts w:ascii="Cambria Math" w:hAnsi="Cambria Math"/>
          </w:rPr>
          <m:t xml:space="preserve">T</m:t>
        </m:r>
      </m:oMath>
      <w:r>
        <w:rPr>
          <w:rFonts w:ascii="Times New Roman" w:hAnsi="Times New Roman" w:eastAsia="宋体"/>
          <w:b w:val="0"/>
          <w:sz w:val="24"/>
        </w:rPr>
        <w:t>仅为0.119，属于典型的“高关联、低水平”耦合形态。这正是理论框架所警示的低水平耦合状态——链条虽通，但流量不足。</w:t>
      </w:r>
    </w:p>
    <w:p>
      <w:pPr>
        <w:spacing w:line="360" w:lineRule="auto" w:after="0"/>
        <w:ind w:firstLine="480"/>
        <w:jc w:val="both"/>
      </w:pPr>
      <w:r>
        <w:rPr>
          <w:rFonts w:ascii="Times New Roman" w:hAnsi="Times New Roman" w:eastAsia="宋体"/>
          <w:b w:val="0"/>
          <w:sz w:val="24"/>
        </w:rPr>
        <w:t>对耦合度</w:t>
      </w:r>
      <m:oMath>
        <m:r>
          <w:rPr>
            <w:rFonts w:ascii="Cambria Math" w:hAnsi="Cambria Math"/>
          </w:rPr>
          <m:t xml:space="preserve">C</m:t>
        </m:r>
      </m:oMath>
      <w:r>
        <w:rPr>
          <w:rFonts w:ascii="Times New Roman" w:hAnsi="Times New Roman" w:eastAsia="宋体"/>
          <w:b w:val="0"/>
          <w:sz w:val="24"/>
        </w:rPr>
        <w:t>的解读需要格外审慎。由容量耦合系数改造而来的耦合度函数在两系统水平接近时天然趋高，若径直以</w:t>
      </w:r>
      <m:oMath>
        <m:r>
          <w:rPr>
            <w:rFonts w:ascii="Cambria Math" w:hAnsi="Cambria Math"/>
          </w:rPr>
          <m:t xml:space="preserve">C</m:t>
        </m:r>
      </m:oMath>
      <w:r>
        <w:rPr>
          <w:rFonts w:ascii="Times New Roman" w:hAnsi="Times New Roman" w:eastAsia="宋体"/>
          <w:b w:val="0"/>
          <w:sz w:val="24"/>
        </w:rPr>
        <w:t>的绝对水平论证“高度耦合”，容易夸大结论。本章因此把</w:t>
      </w:r>
      <m:oMath>
        <m:r>
          <w:rPr>
            <w:rFonts w:ascii="Cambria Math" w:hAnsi="Cambria Math"/>
          </w:rPr>
          <m:t xml:space="preserve">C</m:t>
        </m:r>
      </m:oMath>
      <w:r>
        <w:rPr>
          <w:rFonts w:ascii="Times New Roman" w:hAnsi="Times New Roman" w:eastAsia="宋体"/>
          <w:b w:val="0"/>
          <w:sz w:val="24"/>
        </w:rPr>
        <w:t>的信息含量限定于“结构判别”：</w:t>
      </w:r>
      <m:oMath>
        <m:r>
          <w:rPr>
            <w:rFonts w:ascii="Cambria Math" w:hAnsi="Cambria Math"/>
          </w:rPr>
          <m:t xml:space="preserve">C</m:t>
        </m:r>
      </m:oMath>
      <w:r>
        <w:rPr>
          <w:rFonts w:ascii="Times New Roman" w:hAnsi="Times New Roman" w:eastAsia="宋体"/>
          <w:b w:val="0"/>
          <w:sz w:val="24"/>
        </w:rPr>
        <w:t>高位运行说明两系统不存在一方扩张、一方停滞的结构性脱钩，至于耦合关系的水平与质量，则交由</w:t>
      </w:r>
      <m:oMath>
        <m:r>
          <w:rPr>
            <w:rFonts w:ascii="Cambria Math" w:hAnsi="Cambria Math"/>
          </w:rPr>
          <m:t xml:space="preserve">T</m:t>
        </m:r>
      </m:oMath>
      <w:r>
        <w:rPr>
          <w:rFonts w:ascii="Times New Roman" w:hAnsi="Times New Roman" w:eastAsia="宋体"/>
          <w:b w:val="0"/>
          <w:sz w:val="24"/>
        </w:rPr>
        <w:t>与</w:t>
      </w:r>
      <m:oMath>
        <m:r>
          <w:rPr>
            <w:rFonts w:ascii="Cambria Math" w:hAnsi="Cambria Math"/>
          </w:rPr>
          <m:t xml:space="preserve">D</m:t>
        </m:r>
      </m:oMath>
      <w:r>
        <w:rPr>
          <w:rFonts w:ascii="Times New Roman" w:hAnsi="Times New Roman" w:eastAsia="宋体"/>
          <w:b w:val="0"/>
          <w:sz w:val="24"/>
        </w:rPr>
        <w:t>回答。即便如此保守解读，浙江的高</w:t>
      </w:r>
      <m:oMath>
        <m:r>
          <w:rPr>
            <w:rFonts w:ascii="Cambria Math" w:hAnsi="Cambria Math"/>
          </w:rPr>
          <m:t xml:space="preserve">C</m:t>
        </m:r>
      </m:oMath>
      <w:r>
        <w:rPr>
          <w:rFonts w:ascii="Times New Roman" w:hAnsi="Times New Roman" w:eastAsia="宋体"/>
          <w:b w:val="0"/>
          <w:sz w:val="24"/>
        </w:rPr>
        <w:t>仍有实质含义：十年间</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与</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的离差最大不过0.075（2020年），两大系统在每一个时点都保持“并肩而行”的相对位置——数字技术与普惠金融的结合天然带有包容性增长属性[89,103]，使创新扩张从一开始就与分配改善共享同一组产业载体。</w:t>
      </w:r>
    </w:p>
    <w:p>
      <w:pPr>
        <w:spacing w:line="360" w:lineRule="auto" w:after="0"/>
        <w:ind w:firstLine="480"/>
        <w:jc w:val="both"/>
      </w:pPr>
      <w:r>
        <w:rPr>
          <w:rFonts w:ascii="Times New Roman" w:hAnsi="Times New Roman" w:eastAsia="宋体"/>
          <w:b w:val="0"/>
          <w:sz w:val="24"/>
        </w:rPr>
        <w:t>二是</w:t>
      </w:r>
      <m:oMath>
        <m:r>
          <w:rPr>
            <w:rFonts w:ascii="Cambria Math" w:hAnsi="Cambria Math"/>
          </w:rPr>
          <m:t xml:space="preserve">D</m:t>
        </m:r>
      </m:oMath>
      <w:r>
        <w:rPr>
          <w:rFonts w:ascii="Times New Roman" w:hAnsi="Times New Roman" w:eastAsia="宋体"/>
          <w:b w:val="0"/>
          <w:sz w:val="24"/>
        </w:rPr>
        <w:t>的提升几乎完全由</w:t>
      </w:r>
      <m:oMath>
        <m:r>
          <w:rPr>
            <w:rFonts w:ascii="Cambria Math" w:hAnsi="Cambria Math"/>
          </w:rPr>
          <m:t xml:space="preserve">T</m:t>
        </m:r>
      </m:oMath>
      <w:r>
        <w:rPr>
          <w:rFonts w:ascii="Times New Roman" w:hAnsi="Times New Roman" w:eastAsia="宋体"/>
          <w:b w:val="0"/>
          <w:sz w:val="24"/>
        </w:rPr>
        <w:t>驱动，属于“整体抬升型”协调。在</w:t>
      </w:r>
      <m:oMath>
        <m:r>
          <w:rPr>
            <w:rFonts w:ascii="Cambria Math" w:hAnsi="Cambria Math"/>
          </w:rPr>
          <m:t xml:space="preserve">C</m:t>
        </m:r>
      </m:oMath>
      <w:r>
        <w:rPr>
          <w:rFonts w:ascii="Times New Roman" w:hAnsi="Times New Roman" w:eastAsia="宋体"/>
          <w:b w:val="0"/>
          <w:sz w:val="24"/>
        </w:rPr>
        <w:t>近于1的条件下，</w:t>
      </w:r>
      <m:oMath>
        <m:r>
          <w:rPr>
            <w:rFonts w:ascii="Cambria Math" w:hAnsi="Cambria Math"/>
          </w:rPr>
          <m:t xml:space="preserve">D</m:t>
        </m:r>
      </m:oMath>
      <w:r>
        <w:rPr>
          <w:rFonts w:ascii="Times New Roman" w:hAnsi="Times New Roman" w:eastAsia="宋体"/>
          <w:b w:val="0"/>
          <w:sz w:val="24"/>
        </w:rPr>
        <w:t>近似等于</w:t>
      </w:r>
      <m:oMath>
        <m:r>
          <w:rPr>
            <w:rFonts w:ascii="Cambria Math" w:hAnsi="Cambria Math"/>
          </w:rPr>
          <m:t xml:space="preserve">T</m:t>
        </m:r>
      </m:oMath>
      <w:r>
        <w:rPr>
          <w:rFonts w:ascii="Times New Roman" w:hAnsi="Times New Roman" w:eastAsia="宋体"/>
          <w:b w:val="0"/>
          <w:sz w:val="24"/>
        </w:rPr>
        <w:t>的平方根，因而</w:t>
      </w:r>
      <m:oMath>
        <m:r>
          <w:rPr>
            <w:rFonts w:ascii="Cambria Math" w:hAnsi="Cambria Math"/>
          </w:rPr>
          <m:t xml:space="preserve">T</m:t>
        </m:r>
      </m:oMath>
      <w:r>
        <w:rPr>
          <w:rFonts w:ascii="Times New Roman" w:hAnsi="Times New Roman" w:eastAsia="宋体"/>
          <w:b w:val="0"/>
          <w:sz w:val="24"/>
        </w:rPr>
        <w:t>由0.119升至0.813，构成</w:t>
      </w:r>
      <m:oMath>
        <m:r>
          <w:rPr>
            <w:rFonts w:ascii="Cambria Math" w:hAnsi="Cambria Math"/>
          </w:rPr>
          <m:t xml:space="preserve">D</m:t>
        </m:r>
      </m:oMath>
      <w:r>
        <w:rPr>
          <w:rFonts w:ascii="Times New Roman" w:hAnsi="Times New Roman" w:eastAsia="宋体"/>
          <w:b w:val="0"/>
          <w:sz w:val="24"/>
        </w:rPr>
        <w:t>提升的主导来源。这意味着浙江耦合协调水平的跃升，不是依靠两系统关联强度的边际改善，而是依靠两大系统发展水平的同步做大。子系统层面的证据更为直观：创新势能指数由0.186升至0.757，产业动能指数由0.095升至0.831，富裕度指数由0.089升至0.836，共享度指数由0.143升至0.803，四个子系统无一短板掉队。这种“整体抬升型”协调区别于依赖单一系统扩张的“单极拉动型”格局，表明“势能—动能—效能”链条各环节在浙江大体保持了同步扩容。</w:t>
      </w:r>
    </w:p>
    <w:p>
      <w:pPr>
        <w:spacing w:line="360" w:lineRule="auto" w:after="0"/>
        <w:ind w:firstLine="480"/>
        <w:jc w:val="both"/>
      </w:pPr>
      <w:r>
        <w:rPr>
          <w:rFonts w:ascii="Times New Roman" w:hAnsi="Times New Roman" w:eastAsia="宋体"/>
          <w:b w:val="0"/>
          <w:sz w:val="24"/>
        </w:rPr>
        <w:t>“</w:t>
      </w:r>
      <m:oMath>
        <m:r>
          <w:rPr>
            <w:rFonts w:ascii="Cambria Math" w:hAnsi="Cambria Math"/>
          </w:rPr>
          <m:t xml:space="preserve">T</m:t>
        </m:r>
      </m:oMath>
      <w:r>
        <w:rPr>
          <w:rFonts w:ascii="Times New Roman" w:hAnsi="Times New Roman" w:eastAsia="宋体"/>
          <w:b w:val="0"/>
          <w:sz w:val="24"/>
        </w:rPr>
        <w:t>驱动”的结构含义可从等级跃迁的门槛角度进一步理解：在</w:t>
      </w:r>
      <m:oMath>
        <m:r>
          <w:rPr>
            <w:rFonts w:ascii="Cambria Math" w:hAnsi="Cambria Math"/>
          </w:rPr>
          <m:t xml:space="preserve">C</m:t>
        </m:r>
      </m:oMath>
      <w:r>
        <w:rPr>
          <w:rFonts w:ascii="Times New Roman" w:hAnsi="Times New Roman" w:eastAsia="宋体"/>
          <w:b w:val="0"/>
          <w:sz w:val="24"/>
        </w:rPr>
        <w:t>近于1的条件下，协调等级的每一次跃升实质上都对应</w:t>
      </w:r>
      <m:oMath>
        <m:r>
          <w:rPr>
            <w:rFonts w:ascii="Cambria Math" w:hAnsi="Cambria Math"/>
          </w:rPr>
          <m:t xml:space="preserve">T</m:t>
        </m:r>
      </m:oMath>
      <w:r>
        <w:rPr>
          <w:rFonts w:ascii="Times New Roman" w:hAnsi="Times New Roman" w:eastAsia="宋体"/>
          <w:b w:val="0"/>
          <w:sz w:val="24"/>
        </w:rPr>
        <w:t>的水平跨越，考验的是发展水平的实打实抬升，浙江路径的可复制性讨论因此必须聚焦于“如何同步做大两个系统”。子系统动态进一步显示，同步并非齐步走式的均速前进：2020年创新势能指数（0.532）领先富裕度指数（0.405）达0.127，此后富裕度快速追赶，至2024年反超并跃居四子系统之首。这种“先导—追赶—反超”的接力式同步，恰是三阶转化链条依次接通的动态表现：轮动不脱轨、领先不失联，正是转化关口保持畅通的证据。</w:t>
      </w:r>
    </w:p>
    <w:p>
      <w:pPr>
        <w:spacing w:line="360" w:lineRule="auto" w:after="0"/>
        <w:ind w:firstLine="480"/>
        <w:jc w:val="both"/>
      </w:pPr>
      <w:r>
        <w:rPr>
          <w:rFonts w:ascii="Times New Roman" w:hAnsi="Times New Roman" w:eastAsia="宋体"/>
          <w:b w:val="0"/>
          <w:sz w:val="24"/>
        </w:rPr>
        <w:t>三是两大指数的相对位势在期末发生逆转。样本期内</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在多数年份领先于</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，2019年两指数曾短暂交叠（0.400对0.413），2020年疫情之年</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对</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的领先幅度一度扩大至0.075；至2024年，</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（0.824）明显反超</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0.802）。按照理论框架的双向赋能命题，这一逆转具有标志性意义：共同富裕对新质生产力的反哺效应开始显现，人力资本积累、内需市场扩容与社会预期稳定正在由发展之“果”转化为创新之“因”，成为新一轮创新势能积蓄的投入要素。当然，单一省域的时序数据尚不足以对反哺渠道作严格的因果识别，条件组合层面的进一步检验详见下一实证章。</w:t>
      </w:r>
    </w:p>
    <w:p>
      <w:pPr>
        <w:spacing w:line="360" w:lineRule="auto" w:after="0"/>
        <w:ind w:firstLine="480"/>
        <w:jc w:val="both"/>
      </w:pPr>
      <w:r>
        <w:rPr>
          <w:rFonts w:ascii="Times New Roman" w:hAnsi="Times New Roman" w:eastAsia="宋体"/>
          <w:b w:val="0"/>
          <w:sz w:val="24"/>
        </w:rPr>
        <w:t>对这一逆转还可从要素供给角度加以理解。共同富裕水平的提升通过三条渠道回流为创新投入：人力资本渠道，收入改善与公共服务均等化提高家庭教育投资能力与劳动力技能水平；内需渠道，居民消费能力扩张为新技术新产品提供规模化本地市场，降低创新的商业化风险；预期渠道，分配公平与社会流动通道畅通稳定长期预期，延长创新活动的决策视界[90,153]。2024年浙江居民人均消费支出达45107元，回流渠道的“蓄水池”已经充盈。指数反超的深层含义在于：浙江的增长动力结构正由“创新单轮驱动”转向“创新与共富双轮互驱”。</w:t>
      </w:r>
    </w:p>
    <w:p>
      <w:pPr>
        <w:spacing w:line="360" w:lineRule="auto" w:after="80"/>
        <w:jc w:val="left"/>
      </w:pPr>
      <w:r>
        <w:rPr>
          <w:rFonts w:ascii="Times New Roman" w:hAnsi="Times New Roman" w:eastAsia="黑体"/>
          <w:b/>
          <w:sz w:val="28"/>
        </w:rPr>
        <w:t>（三）机制归因：三大转化关口的接续修复与制度供给的时序印证</w:t>
      </w:r>
    </w:p>
    <w:p>
      <w:pPr>
        <w:spacing w:line="360" w:lineRule="auto" w:after="0"/>
        <w:ind w:firstLine="480"/>
        <w:jc w:val="both"/>
      </w:pPr>
      <w:r>
        <w:rPr>
          <w:rFonts w:ascii="Times New Roman" w:hAnsi="Times New Roman" w:eastAsia="宋体"/>
          <w:b w:val="0"/>
          <w:sz w:val="24"/>
        </w:rPr>
        <w:t>习近平总书记指出，“发展新质生产力，必须进一步全面深化改革，形成与之相适应的新型生产关系”。耦合协调度的十年跃升并非市场自发演化的结果，其背后是浙江围绕三大转化关口（成果转化关、就业分配关、人力资本反哺关）的接续制度供给。将实践考察章梳理的政策时序与本章测得的等级跃迁节点相互对照，可以对耦合协调跃升作出机制归因。</w:t>
      </w:r>
    </w:p>
    <w:p>
      <w:pPr>
        <w:spacing w:line="360" w:lineRule="auto" w:after="0"/>
        <w:ind w:firstLine="480"/>
        <w:jc w:val="both"/>
      </w:pPr>
      <w:r>
        <w:rPr>
          <w:rFonts w:ascii="Times New Roman" w:hAnsi="Times New Roman" w:eastAsia="宋体"/>
          <w:b w:val="0"/>
          <w:sz w:val="24"/>
        </w:rPr>
        <w:t>一是成果转化关的修复畅通了势能向动能的转化，支撑</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快速攀升并抑制地区差距扩大。数字经济“一号工程”、以10家省实验室为骨干的高能级科创平台体系，使创新投入持续转化为产业产出：R&amp;D经费投入强度由2015年的2.33%升至2024年的3.22%（R&amp;D经费2901.4亿元、居全国第4位），高新技术企业由0.79万家增至4.75万家左右，数字经济核心产业增加值由3373亿元（占GDP的7.9%）增至11060亿元（占12.3%）。尤为关键的是，山海协作工程以“产业飞地”“科创飞地”“消薄飞地”修复了转化链条的空间断点：20年来山区26县获援助资金近1000亿元、落地产业合作项目12438个、总投资7305亿元，18个产业飞地签约共建、30个消薄飞地实现26县全覆盖；2023年山区26县GDP全部超百亿元、增速高于全省1个百分点。创新势能没有被锁定在高能级城市形成“创新孤岛”，而是沿制度化通道向欠发达地区外溢，这是</w:t>
      </w:r>
      <m:oMath>
        <m:r>
          <w:rPr>
            <w:rFonts w:ascii="Cambria Math" w:hAnsi="Cambria Math"/>
          </w:rPr>
          <m:t xml:space="preserve">D</m:t>
        </m:r>
      </m:oMath>
      <w:r>
        <w:rPr>
          <w:rFonts w:ascii="Times New Roman" w:hAnsi="Times New Roman" w:eastAsia="宋体"/>
          <w:b w:val="0"/>
          <w:sz w:val="24"/>
        </w:rPr>
        <w:t>在快速上升过程中未因地区分化而受阻的关键。</w:t>
      </w:r>
    </w:p>
    <w:p>
      <w:pPr>
        <w:spacing w:line="360" w:lineRule="auto" w:after="0"/>
        <w:ind w:firstLine="480"/>
        <w:jc w:val="both"/>
      </w:pPr>
      <w:r>
        <w:rPr>
          <w:rFonts w:ascii="Times New Roman" w:hAnsi="Times New Roman" w:eastAsia="宋体"/>
          <w:b w:val="0"/>
          <w:sz w:val="24"/>
        </w:rPr>
        <w:t>成果转化关的修复逻辑可概括为“平台聚势、数字扩链、飞地破界”。平台聚势解决“从科学到技术”的转化，以省实验室为骨干的平台体系把基础研究势能沉淀在省域创新版图之内，区域创新能力稳居全国第4即其综合表现；数字扩链解决“从技术到产业”的转化，数字经济的通用技术属性使创新成果快速渗透传统产业，2024年科技型中小企业累计达13.1万家；飞地破界解决“从中心到外围”的转化，山海协作以制度化飞地安排打破行政区划对要素流动的分割</w:t>
      </w:r>
      <w:r>
        <w:rPr>
          <w:rFonts w:ascii="Times New Roman" w:hAnsi="Times New Roman" w:eastAsia="宋体"/>
          <w:b w:val="0"/>
          <w:sz w:val="24"/>
          <w:vertAlign w:val="superscript"/>
        </w:rPr>
        <w:t>[75]</w:t>
      </w:r>
      <w:r>
        <w:rPr>
          <w:rFonts w:ascii="Times New Roman" w:hAnsi="Times New Roman" w:eastAsia="宋体"/>
          <w:b w:val="0"/>
          <w:sz w:val="24"/>
        </w:rPr>
        <w:t>。三个环节环环相扣，使创新势能的释放半径覆盖全省域：2023年山区26县居民收入与全省平均之比达0.745，创新驱动的增长没有以地区分化为代价。</w:t>
      </w:r>
    </w:p>
    <w:p>
      <w:pPr>
        <w:spacing w:line="360" w:lineRule="auto" w:after="0"/>
        <w:ind w:firstLine="480"/>
        <w:jc w:val="both"/>
      </w:pPr>
      <w:r>
        <w:rPr>
          <w:rFonts w:ascii="Times New Roman" w:hAnsi="Times New Roman" w:eastAsia="宋体"/>
          <w:b w:val="0"/>
          <w:sz w:val="24"/>
        </w:rPr>
        <w:t>二是就业分配关的修复使产业动能沉淀为富民效能，直接推动共享度子系统与协调指数</w:t>
      </w:r>
      <m:oMath>
        <m:r>
          <w:rPr>
            <w:rFonts w:ascii="Cambria Math" w:hAnsi="Cambria Math"/>
          </w:rPr>
          <m:t xml:space="preserve">T</m:t>
        </m:r>
      </m:oMath>
      <w:r>
        <w:rPr>
          <w:rFonts w:ascii="Times New Roman" w:hAnsi="Times New Roman" w:eastAsia="宋体"/>
          <w:b w:val="0"/>
          <w:sz w:val="24"/>
        </w:rPr>
        <w:t>的抬升。《建议》要求“使居民收入增长和经济增长同步、劳动报酬提高和劳动生产率提高同步”，浙江以“千万工程”、扩中提低改革与强村富民集成改革先行探路：城乡居民收入倍差由2015年的2.07持续收敛至2024年的1.83（同年全国为2.34）；低收入农户人均可支配收入2023年达21440元、增长13.4%并首破2万元，2024年达23830元、增长11.1%，持续快于面上居民收入增速；2024年经营性收入50万元以上行政村占比达60%，强村公司发展至2278家、村均分红15.4万元（2025年）；2021年家庭年可支配收入10万—50万元群体比例达72.4%、较2016年提高24.3个百分点。“增长不增收”断点的持续修复，构成共享度指数由0.143升至0.803的微观机理，也是2020年冲击之年共享度逆势上升的制度基础。</w:t>
      </w:r>
    </w:p>
    <w:p>
      <w:pPr>
        <w:spacing w:line="360" w:lineRule="auto" w:after="0"/>
        <w:ind w:firstLine="480"/>
        <w:jc w:val="both"/>
      </w:pPr>
      <w:r>
        <w:rPr>
          <w:rFonts w:ascii="Times New Roman" w:hAnsi="Times New Roman" w:eastAsia="宋体"/>
          <w:b w:val="0"/>
          <w:sz w:val="24"/>
        </w:rPr>
        <w:t>就业分配关持续见效的关键，在于“初次分配扩就业、再分配强保障、集体经济添渠道”的立体化富民机制。初次分配层面，民营经济提供广谱性的就业创业机会，使产业动能扩张直接转化为居民工资性与经营性收入；再分配层面，低保标准市域同标等安排兜住底线公平，与收入分配制度改革促进共同富裕的政策逻辑一脉相承</w:t>
      </w:r>
      <w:r>
        <w:rPr>
          <w:rFonts w:ascii="Times New Roman" w:hAnsi="Times New Roman" w:eastAsia="宋体"/>
          <w:b w:val="0"/>
          <w:sz w:val="24"/>
          <w:vertAlign w:val="superscript"/>
        </w:rPr>
        <w:t>[31,65]</w:t>
      </w:r>
      <w:r>
        <w:rPr>
          <w:rFonts w:ascii="Times New Roman" w:hAnsi="Times New Roman" w:eastAsia="宋体"/>
          <w:b w:val="0"/>
          <w:sz w:val="24"/>
        </w:rPr>
        <w:t>；集体经济层面，“千万工程”奠定的乡村发展底盘与强村公司的公司化运营，为农民开辟了财产性收入与分红收入的新渠道</w:t>
      </w:r>
      <w:r>
        <w:rPr>
          <w:rFonts w:ascii="Times New Roman" w:hAnsi="Times New Roman" w:eastAsia="宋体"/>
          <w:b w:val="0"/>
          <w:sz w:val="24"/>
          <w:vertAlign w:val="superscript"/>
        </w:rPr>
        <w:t>[72,76]</w:t>
      </w:r>
      <w:r>
        <w:rPr>
          <w:rFonts w:ascii="Times New Roman" w:hAnsi="Times New Roman" w:eastAsia="宋体"/>
          <w:b w:val="0"/>
          <w:sz w:val="24"/>
        </w:rPr>
        <w:t>。横向对照更显成色：2024年浙江农村居民收入连续40年居全国省区第一，所有设区市居民收入均超全国平均、为全国唯一。就业分配关的畅通，使“做大蛋糕”与“分好蛋糕”成为同一过程的两面。</w:t>
      </w:r>
    </w:p>
    <w:p>
      <w:pPr>
        <w:spacing w:line="360" w:lineRule="auto" w:after="0"/>
        <w:ind w:firstLine="480"/>
        <w:jc w:val="both"/>
      </w:pPr>
      <w:r>
        <w:rPr>
          <w:rFonts w:ascii="Times New Roman" w:hAnsi="Times New Roman" w:eastAsia="宋体"/>
          <w:b w:val="0"/>
          <w:sz w:val="24"/>
        </w:rPr>
        <w:t>三是人力资本反哺关的修复启动了效能向势能的回流，是期末</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反超</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的深层原因。浙江以教科人一体化改革贯通教育链、人才链与创新链，城乡义务教育共同体覆盖所有乡村学校，民生支出占一般公共预算支出比重由2023年的75.5%提高至2024年的76.4%，公共服务的均等化供给将分配改善持续转化为人力资本积累，为创新浙江建设储备高质量要素。分配端的改善由此不再是转化链条的终点，而成为新一轮势能积蓄的起点，“势能—动能—效能—势能”的闭环初步成形。</w:t>
      </w:r>
    </w:p>
    <w:p>
      <w:pPr>
        <w:spacing w:line="360" w:lineRule="auto" w:after="0"/>
        <w:ind w:firstLine="480"/>
        <w:jc w:val="both"/>
      </w:pPr>
      <w:r>
        <w:rPr>
          <w:rFonts w:ascii="Times New Roman" w:hAnsi="Times New Roman" w:eastAsia="宋体"/>
          <w:b w:val="0"/>
          <w:sz w:val="24"/>
        </w:rPr>
        <w:t>人力资本反哺关的修复时滞最长，势能含义也最深远：教育投入转化为劳动力素质、再转化为创新产出，往往需要以十年计的周期，其绩效在样本期末方才显现，恰与</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反超</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的时点吻合。浙江以一体化改革压缩转化时滞：教科人一体化改革打破教育、科技、人才三条政策线的部门分割，使人才培养直接对接创新链产业链需求</w:t>
      </w:r>
      <w:r>
        <w:rPr>
          <w:rFonts w:ascii="Times New Roman" w:hAnsi="Times New Roman" w:eastAsia="宋体"/>
          <w:b w:val="0"/>
          <w:sz w:val="24"/>
          <w:vertAlign w:val="superscript"/>
        </w:rPr>
        <w:t>[78]</w:t>
      </w:r>
      <w:r>
        <w:rPr>
          <w:rFonts w:ascii="Times New Roman" w:hAnsi="Times New Roman" w:eastAsia="宋体"/>
          <w:b w:val="0"/>
          <w:sz w:val="24"/>
        </w:rPr>
        <w:t>；城乡义务教育共同体将优质教育资源制度化下沉，2022年公办学校结对覆盖率达95%以上，从起点公平入手阻断人力资本的代际分化；2024年末全省户籍人口人均预期寿命达82.55岁、居全国省区第一。反哺关的意义正在于把公平改善与增长动能接通，使公平与效率在动态中相互成就。</w:t>
      </w:r>
    </w:p>
    <w:p>
      <w:pPr>
        <w:spacing w:line="360" w:lineRule="auto" w:after="0"/>
        <w:ind w:firstLine="480"/>
        <w:jc w:val="both"/>
      </w:pPr>
      <w:r>
        <w:rPr>
          <w:rFonts w:ascii="Times New Roman" w:hAnsi="Times New Roman" w:eastAsia="宋体"/>
          <w:b w:val="0"/>
          <w:sz w:val="24"/>
        </w:rPr>
        <w:t>四是贯穿三大关口的“有为政府×有效市场×有感社会”制度转化器，系统性降低了各关口的转化成本。党的二十届四中全会将“坚持有效市场和有为政府相结合”列为重要原则，浙江样本提供了先行注脚：从数字经济“一号工程”到共同富裕示范区再到创新浙江建设的规划接续，体现有为政府的战略耐心；民营经济增加值占GDP达67.4%（2024年），体现有效市场的配置效率；从“最多跑一次”改革到“1+5+2”数字化改革体系，体现有感社会的治理触达。制度供给密度与</w:t>
      </w:r>
      <m:oMath>
        <m:r>
          <w:rPr>
            <w:rFonts w:ascii="Cambria Math" w:hAnsi="Cambria Math"/>
          </w:rPr>
          <m:t xml:space="preserve">D</m:t>
        </m:r>
      </m:oMath>
      <w:r>
        <w:rPr>
          <w:rFonts w:ascii="Times New Roman" w:hAnsi="Times New Roman" w:eastAsia="宋体"/>
          <w:b w:val="0"/>
          <w:sz w:val="24"/>
        </w:rPr>
        <w:t>的等级跃迁节点在时序上高度对应——2016—2017年一批创新平台与改革举措落地，对应</w:t>
      </w:r>
      <m:oMath>
        <m:r>
          <w:rPr>
            <w:rFonts w:ascii="Cambria Math" w:hAnsi="Cambria Math"/>
          </w:rPr>
          <m:t xml:space="preserve">D</m:t>
        </m:r>
      </m:oMath>
      <w:r>
        <w:rPr>
          <w:rFonts w:ascii="Times New Roman" w:hAnsi="Times New Roman" w:eastAsia="宋体"/>
          <w:b w:val="0"/>
          <w:sz w:val="24"/>
        </w:rPr>
        <w:t>跨越0.5协调门槛；2021年示范区获批与数字化改革启动，对应</w:t>
      </w:r>
      <m:oMath>
        <m:r>
          <w:rPr>
            <w:rFonts w:ascii="Cambria Math" w:hAnsi="Cambria Math"/>
          </w:rPr>
          <m:t xml:space="preserve">D</m:t>
        </m:r>
      </m:oMath>
      <w:r>
        <w:rPr>
          <w:rFonts w:ascii="Times New Roman" w:hAnsi="Times New Roman" w:eastAsia="宋体"/>
          <w:b w:val="0"/>
          <w:sz w:val="24"/>
        </w:rPr>
        <w:t>跃入中级协调并开启阶段Ⅲ的加速跃升——为命题P2提供了省域时序层面的初步印证。</w:t>
      </w:r>
    </w:p>
    <w:p>
      <w:pPr>
        <w:spacing w:line="360" w:lineRule="auto" w:after="0"/>
        <w:ind w:firstLine="480"/>
        <w:jc w:val="both"/>
      </w:pPr>
      <w:r>
        <w:rPr>
          <w:rFonts w:ascii="Times New Roman" w:hAnsi="Times New Roman" w:eastAsia="宋体"/>
          <w:b w:val="0"/>
          <w:sz w:val="24"/>
        </w:rPr>
        <w:t>“制度转化器”降低转化成本的机理，可在交易成本意义上加以说明：成果转化关的成本是科技成果确权、定价与产业化对接的搜寻成本，浙江以高能级平台与飞地机制将其内部化；就业分配关的成本是劳动力供需错配的摩擦成本，浙江以就业服务体系与扩中提低配套改革加以平抑；人力资本反哺关的成本是公共服务碎片化带来的可及性成本，浙江以数字化改革将服务集成于统一入口——“浙里办”注册用户达1.3亿，政务服务增值化改革把服务半径由“办事”延伸到“发展”，全省连续4年获评全国工商联“营商环境最佳口碑省份”。需要保持清醒的是，时序同步可以证伪“制度无关论”，但尚不足以识别特定制度安排的边际贡献，严格检验有待跨省组态比较。</w:t>
      </w:r>
    </w:p>
    <w:p>
      <w:pPr>
        <w:spacing w:line="360" w:lineRule="auto" w:after="80"/>
        <w:jc w:val="left"/>
      </w:pPr>
      <w:r>
        <w:rPr>
          <w:rFonts w:ascii="Times New Roman" w:hAnsi="Times New Roman" w:eastAsia="黑体"/>
          <w:b/>
          <w:sz w:val="28"/>
        </w:rPr>
        <w:t>（四）相对发展度：从“共富滞后”到“同步发展”的形态转换</w:t>
      </w:r>
    </w:p>
    <w:p>
      <w:pPr>
        <w:spacing w:line="360" w:lineRule="auto" w:after="0"/>
        <w:ind w:firstLine="480"/>
        <w:jc w:val="both"/>
      </w:pPr>
      <w:r>
        <w:rPr>
          <w:rFonts w:ascii="Times New Roman" w:hAnsi="Times New Roman" w:eastAsia="宋体"/>
          <w:b w:val="0"/>
          <w:sz w:val="24"/>
        </w:rPr>
        <w:t>耦合协调度回答了两大系统“协调水平多高”，相对发展度进一步回答“谁快谁慢”。依据式(22)测算的相对发展度</w:t>
      </w:r>
      <m:oMath>
        <m:r>
          <w:rPr>
            <w:rFonts w:ascii="Cambria Math" w:hAnsi="Cambria Math"/>
          </w:rPr>
          <m:t xml:space="preserve">β</m:t>
        </m:r>
      </m:oMath>
      <w:r>
        <w:rPr>
          <w:rFonts w:ascii="Times New Roman" w:hAnsi="Times New Roman" w:eastAsia="宋体"/>
          <w:b w:val="0"/>
          <w:sz w:val="24"/>
        </w:rPr>
        <w:t>及类型判别结果如表7与图13所示。</w:t>
      </w:r>
    </w:p>
    <w:p>
      <w:pPr>
        <w:spacing w:before="120"/>
        <w:jc w:val="center"/>
      </w:pPr>
      <w:r>
        <w:rPr>
          <w:rFonts w:ascii="Times New Roman" w:hAnsi="Times New Roman" w:eastAsia="黑体"/>
          <w:b/>
          <w:sz w:val="21"/>
        </w:rPr>
        <w:t xml:space="preserve">表7　</w:t>
      </w:r>
      <w:r>
        <w:rPr>
          <w:rFonts w:ascii="Times New Roman" w:hAnsi="Times New Roman" w:eastAsia="宋体"/>
          <w:b/>
          <w:sz w:val="21"/>
        </w:rPr>
        <w:t>2015—2024年浙江省两大系统相对发展度及类型判别</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
              <w:rPr>
                <w:rFonts w:ascii="Times New Roman" w:hAnsi="Times New Roman" w:eastAsia="宋体"/>
                <w:b/>
                <w:sz w:val="21"/>
              </w:rPr>
              <w:t>年份</w:t>
            </w:r>
          </w:p>
        </w:tc>
        <w:tc>
          <w:tcPr>
            <w:tcW w:type="dxa" w:w="1662"/>
          </w:tcPr>
          <w:p>
            <w:pPr>
              <w:jc w:val="center"/>
            </w:pPr>
            <w:r/>
            <m:oMath>
              <m:sSub>
                <m:e>
                  <m:r>
                    <w:rPr>
                      <w:rFonts w:ascii="Cambria Math" w:hAnsi="Cambria Math"/>
                    </w:rPr>
                    <m:t xml:space="preserve">U</m:t>
                  </m:r>
                </m:e>
                <m:sub>
                  <m:r>
                    <w:rPr>
                      <w:rFonts w:ascii="Cambria Math" w:hAnsi="Cambria Math"/>
                    </w:rPr>
                    <m:t xml:space="preserve">1</m:t>
                  </m:r>
                </m:sub>
              </m:sSub>
            </m:oMath>
          </w:p>
        </w:tc>
        <w:tc>
          <w:tcPr>
            <w:tcW w:type="dxa" w:w="1662"/>
          </w:tcPr>
          <w:p>
            <w:pPr>
              <w:jc w:val="center"/>
            </w:pPr>
            <w:r/>
            <m:oMath>
              <m:sSub>
                <m:e>
                  <m:r>
                    <w:rPr>
                      <w:rFonts w:ascii="Cambria Math" w:hAnsi="Cambria Math"/>
                    </w:rPr>
                    <m:t xml:space="preserve">U</m:t>
                  </m:r>
                </m:e>
                <m:sub>
                  <m:r>
                    <w:rPr>
                      <w:rFonts w:ascii="Cambria Math" w:hAnsi="Cambria Math"/>
                    </w:rPr>
                    <m:t xml:space="preserve">2</m:t>
                  </m:r>
                </m:sub>
              </m:sSub>
            </m:oMath>
          </w:p>
        </w:tc>
        <w:tc>
          <w:tcPr>
            <w:tcW w:type="dxa" w:w="1662"/>
          </w:tcPr>
          <w:p>
            <w:pPr>
              <w:jc w:val="center"/>
            </w:pPr>
            <w:r/>
            <m:oMath>
              <m:r>
                <w:rPr>
                  <w:rFonts w:ascii="Cambria Math" w:hAnsi="Cambria Math"/>
                </w:rPr>
                <m:t xml:space="preserve">β</m:t>
              </m:r>
            </m:oMath>
            <w:r>
              <w:rPr>
                <w:rFonts w:ascii="Times New Roman" w:hAnsi="Times New Roman" w:eastAsia="宋体"/>
                <w:b/>
                <w:sz w:val="21"/>
              </w:rPr>
              <w:t>＝</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sz w:val="21"/>
              </w:rPr>
              <w:t>/</w:t>
            </w:r>
            <m:oMath>
              <m:sSub>
                <m:e>
                  <m:r>
                    <w:rPr>
                      <w:rFonts w:ascii="Cambria Math" w:hAnsi="Cambria Math"/>
                    </w:rPr>
                    <m:t xml:space="preserve">U</m:t>
                  </m:r>
                </m:e>
                <m:sub>
                  <m:r>
                    <w:rPr>
                      <w:rFonts w:ascii="Cambria Math" w:hAnsi="Cambria Math"/>
                    </w:rPr>
                    <m:t xml:space="preserve">2</m:t>
                  </m:r>
                </m:sub>
              </m:sSub>
            </m:oMath>
          </w:p>
        </w:tc>
        <w:tc>
          <w:tcPr>
            <w:tcW w:type="dxa" w:w="1662"/>
          </w:tcPr>
          <w:p>
            <w:pPr>
              <w:jc w:val="center"/>
            </w:pPr>
            <w:r/>
            <w:r>
              <w:rPr>
                <w:rFonts w:ascii="Times New Roman" w:hAnsi="Times New Roman" w:eastAsia="宋体"/>
                <w:b/>
                <w:sz w:val="21"/>
              </w:rPr>
              <w:t>类型判别</w:t>
            </w:r>
          </w:p>
        </w:tc>
      </w:tr>
      <w:tr>
        <w:tc>
          <w:tcPr>
            <w:tcW w:type="dxa" w:w="1662"/>
          </w:tcPr>
          <w:p>
            <w:pPr>
              <w:jc w:val="center"/>
            </w:pPr>
            <w:r/>
            <w:r>
              <w:rPr>
                <w:rFonts w:ascii="Times New Roman" w:hAnsi="Times New Roman" w:eastAsia="宋体"/>
                <w:b w:val="0"/>
                <w:sz w:val="21"/>
              </w:rPr>
              <w:t>2015</w:t>
            </w:r>
          </w:p>
        </w:tc>
        <w:tc>
          <w:tcPr>
            <w:tcW w:type="dxa" w:w="1662"/>
          </w:tcPr>
          <w:p>
            <w:pPr>
              <w:jc w:val="center"/>
            </w:pPr>
            <w:r/>
            <w:r>
              <w:rPr>
                <w:rFonts w:ascii="Times New Roman" w:hAnsi="Times New Roman" w:eastAsia="宋体"/>
                <w:b w:val="0"/>
                <w:sz w:val="21"/>
              </w:rPr>
              <w:t>0.130</w:t>
            </w:r>
          </w:p>
        </w:tc>
        <w:tc>
          <w:tcPr>
            <w:tcW w:type="dxa" w:w="1662"/>
          </w:tcPr>
          <w:p>
            <w:pPr>
              <w:jc w:val="center"/>
            </w:pPr>
            <w:r/>
            <w:r>
              <w:rPr>
                <w:rFonts w:ascii="Times New Roman" w:hAnsi="Times New Roman" w:eastAsia="宋体"/>
                <w:b w:val="0"/>
                <w:sz w:val="21"/>
              </w:rPr>
              <w:t>0.108</w:t>
            </w:r>
          </w:p>
        </w:tc>
        <w:tc>
          <w:tcPr>
            <w:tcW w:type="dxa" w:w="1662"/>
          </w:tcPr>
          <w:p>
            <w:pPr>
              <w:jc w:val="center"/>
            </w:pPr>
            <w:r/>
            <w:r>
              <w:rPr>
                <w:rFonts w:ascii="Times New Roman" w:hAnsi="Times New Roman" w:eastAsia="宋体"/>
                <w:b w:val="0"/>
                <w:sz w:val="21"/>
              </w:rPr>
              <w:t>1.208</w:t>
            </w:r>
          </w:p>
        </w:tc>
        <w:tc>
          <w:tcPr>
            <w:tcW w:type="dxa" w:w="1662"/>
          </w:tcPr>
          <w:p>
            <w:pPr>
              <w:jc w:val="center"/>
            </w:pPr>
            <w:r/>
            <w:r>
              <w:rPr>
                <w:rFonts w:ascii="Times New Roman" w:hAnsi="Times New Roman" w:eastAsia="宋体"/>
                <w:b w:val="0"/>
                <w:sz w:val="21"/>
              </w:rPr>
              <w:t>共同富裕相对滞后</w:t>
            </w:r>
          </w:p>
        </w:tc>
      </w:tr>
      <w:tr>
        <w:tc>
          <w:tcPr>
            <w:tcW w:type="dxa" w:w="1662"/>
          </w:tcPr>
          <w:p>
            <w:pPr>
              <w:jc w:val="center"/>
            </w:pPr>
            <w:r/>
            <w:r>
              <w:rPr>
                <w:rFonts w:ascii="Times New Roman" w:hAnsi="Times New Roman" w:eastAsia="宋体"/>
                <w:b w:val="0"/>
                <w:sz w:val="21"/>
              </w:rPr>
              <w:t>2016</w:t>
            </w:r>
          </w:p>
        </w:tc>
        <w:tc>
          <w:tcPr>
            <w:tcW w:type="dxa" w:w="1662"/>
          </w:tcPr>
          <w:p>
            <w:pPr>
              <w:jc w:val="center"/>
            </w:pPr>
            <w:r/>
            <w:r>
              <w:rPr>
                <w:rFonts w:ascii="Times New Roman" w:hAnsi="Times New Roman" w:eastAsia="宋体"/>
                <w:b w:val="0"/>
                <w:sz w:val="21"/>
              </w:rPr>
              <w:t>0.196</w:t>
            </w:r>
          </w:p>
        </w:tc>
        <w:tc>
          <w:tcPr>
            <w:tcW w:type="dxa" w:w="1662"/>
          </w:tcPr>
          <w:p>
            <w:pPr>
              <w:jc w:val="center"/>
            </w:pPr>
            <w:r/>
            <w:r>
              <w:rPr>
                <w:rFonts w:ascii="Times New Roman" w:hAnsi="Times New Roman" w:eastAsia="宋体"/>
                <w:b w:val="0"/>
                <w:sz w:val="21"/>
              </w:rPr>
              <w:t>0.168</w:t>
            </w:r>
          </w:p>
        </w:tc>
        <w:tc>
          <w:tcPr>
            <w:tcW w:type="dxa" w:w="1662"/>
          </w:tcPr>
          <w:p>
            <w:pPr>
              <w:jc w:val="center"/>
            </w:pPr>
            <w:r/>
            <w:r>
              <w:rPr>
                <w:rFonts w:ascii="Times New Roman" w:hAnsi="Times New Roman" w:eastAsia="宋体"/>
                <w:b w:val="0"/>
                <w:sz w:val="21"/>
              </w:rPr>
              <w:t>1.167</w:t>
            </w:r>
          </w:p>
        </w:tc>
        <w:tc>
          <w:tcPr>
            <w:tcW w:type="dxa" w:w="1662"/>
          </w:tcPr>
          <w:p>
            <w:pPr>
              <w:jc w:val="center"/>
            </w:pPr>
            <w:r/>
            <w:r>
              <w:rPr>
                <w:rFonts w:ascii="Times New Roman" w:hAnsi="Times New Roman" w:eastAsia="宋体"/>
                <w:b w:val="0"/>
                <w:sz w:val="21"/>
              </w:rPr>
              <w:t>共同富裕相对滞后</w:t>
            </w:r>
          </w:p>
        </w:tc>
      </w:tr>
      <w:tr>
        <w:tc>
          <w:tcPr>
            <w:tcW w:type="dxa" w:w="1662"/>
          </w:tcPr>
          <w:p>
            <w:pPr>
              <w:jc w:val="center"/>
            </w:pPr>
            <w:r/>
            <w:r>
              <w:rPr>
                <w:rFonts w:ascii="Times New Roman" w:hAnsi="Times New Roman" w:eastAsia="宋体"/>
                <w:b w:val="0"/>
                <w:sz w:val="21"/>
              </w:rPr>
              <w:t>2017</w:t>
            </w:r>
          </w:p>
        </w:tc>
        <w:tc>
          <w:tcPr>
            <w:tcW w:type="dxa" w:w="1662"/>
          </w:tcPr>
          <w:p>
            <w:pPr>
              <w:jc w:val="center"/>
            </w:pPr>
            <w:r/>
            <w:r>
              <w:rPr>
                <w:rFonts w:ascii="Times New Roman" w:hAnsi="Times New Roman" w:eastAsia="宋体"/>
                <w:b w:val="0"/>
                <w:sz w:val="21"/>
              </w:rPr>
              <w:t>0.272</w:t>
            </w:r>
          </w:p>
        </w:tc>
        <w:tc>
          <w:tcPr>
            <w:tcW w:type="dxa" w:w="1662"/>
          </w:tcPr>
          <w:p>
            <w:pPr>
              <w:jc w:val="center"/>
            </w:pPr>
            <w:r/>
            <w:r>
              <w:rPr>
                <w:rFonts w:ascii="Times New Roman" w:hAnsi="Times New Roman" w:eastAsia="宋体"/>
                <w:b w:val="0"/>
                <w:sz w:val="21"/>
              </w:rPr>
              <w:t>0.241</w:t>
            </w:r>
          </w:p>
        </w:tc>
        <w:tc>
          <w:tcPr>
            <w:tcW w:type="dxa" w:w="1662"/>
          </w:tcPr>
          <w:p>
            <w:pPr>
              <w:jc w:val="center"/>
            </w:pPr>
            <w:r/>
            <w:r>
              <w:rPr>
                <w:rFonts w:ascii="Times New Roman" w:hAnsi="Times New Roman" w:eastAsia="宋体"/>
                <w:b w:val="0"/>
                <w:sz w:val="21"/>
              </w:rPr>
              <w:t>1.127</w:t>
            </w:r>
          </w:p>
        </w:tc>
        <w:tc>
          <w:tcPr>
            <w:tcW w:type="dxa" w:w="1662"/>
          </w:tcPr>
          <w:p>
            <w:pPr>
              <w:jc w:val="center"/>
            </w:pPr>
            <w:r/>
            <w:r>
              <w:rPr>
                <w:rFonts w:ascii="Times New Roman" w:hAnsi="Times New Roman" w:eastAsia="宋体"/>
                <w:b w:val="0"/>
                <w:sz w:val="21"/>
              </w:rPr>
              <w:t>共同富裕相对滞后</w:t>
            </w:r>
          </w:p>
        </w:tc>
      </w:tr>
      <w:tr>
        <w:tc>
          <w:tcPr>
            <w:tcW w:type="dxa" w:w="1662"/>
          </w:tcPr>
          <w:p>
            <w:pPr>
              <w:jc w:val="center"/>
            </w:pPr>
            <w:r/>
            <w:r>
              <w:rPr>
                <w:rFonts w:ascii="Times New Roman" w:hAnsi="Times New Roman" w:eastAsia="宋体"/>
                <w:b w:val="0"/>
                <w:sz w:val="21"/>
              </w:rPr>
              <w:t>2018</w:t>
            </w:r>
          </w:p>
        </w:tc>
        <w:tc>
          <w:tcPr>
            <w:tcW w:type="dxa" w:w="1662"/>
          </w:tcPr>
          <w:p>
            <w:pPr>
              <w:jc w:val="center"/>
            </w:pPr>
            <w:r/>
            <w:r>
              <w:rPr>
                <w:rFonts w:ascii="Times New Roman" w:hAnsi="Times New Roman" w:eastAsia="宋体"/>
                <w:b w:val="0"/>
                <w:sz w:val="21"/>
              </w:rPr>
              <w:t>0.340</w:t>
            </w:r>
          </w:p>
        </w:tc>
        <w:tc>
          <w:tcPr>
            <w:tcW w:type="dxa" w:w="1662"/>
          </w:tcPr>
          <w:p>
            <w:pPr>
              <w:jc w:val="center"/>
            </w:pPr>
            <w:r/>
            <w:r>
              <w:rPr>
                <w:rFonts w:ascii="Times New Roman" w:hAnsi="Times New Roman" w:eastAsia="宋体"/>
                <w:b w:val="0"/>
                <w:sz w:val="21"/>
              </w:rPr>
              <w:t>0.322</w:t>
            </w:r>
          </w:p>
        </w:tc>
        <w:tc>
          <w:tcPr>
            <w:tcW w:type="dxa" w:w="1662"/>
          </w:tcPr>
          <w:p>
            <w:pPr>
              <w:jc w:val="center"/>
            </w:pPr>
            <w:r/>
            <w:r>
              <w:rPr>
                <w:rFonts w:ascii="Times New Roman" w:hAnsi="Times New Roman" w:eastAsia="宋体"/>
                <w:b w:val="0"/>
                <w:sz w:val="21"/>
              </w:rPr>
              <w:t>1.057</w:t>
            </w:r>
          </w:p>
        </w:tc>
        <w:tc>
          <w:tcPr>
            <w:tcW w:type="dxa" w:w="1662"/>
          </w:tcPr>
          <w:p>
            <w:pPr>
              <w:jc w:val="center"/>
            </w:pPr>
            <w:r/>
            <w:r>
              <w:rPr>
                <w:rFonts w:ascii="Times New Roman" w:hAnsi="Times New Roman" w:eastAsia="宋体"/>
                <w:b w:val="0"/>
                <w:sz w:val="21"/>
              </w:rPr>
              <w:t>同步发展</w:t>
            </w:r>
          </w:p>
        </w:tc>
      </w:tr>
      <w:tr>
        <w:tc>
          <w:tcPr>
            <w:tcW w:type="dxa" w:w="1662"/>
          </w:tcPr>
          <w:p>
            <w:pPr>
              <w:jc w:val="center"/>
            </w:pPr>
            <w:r/>
            <w:r>
              <w:rPr>
                <w:rFonts w:ascii="Times New Roman" w:hAnsi="Times New Roman" w:eastAsia="宋体"/>
                <w:b w:val="0"/>
                <w:sz w:val="21"/>
              </w:rPr>
              <w:t>2019</w:t>
            </w:r>
          </w:p>
        </w:tc>
        <w:tc>
          <w:tcPr>
            <w:tcW w:type="dxa" w:w="1662"/>
          </w:tcPr>
          <w:p>
            <w:pPr>
              <w:jc w:val="center"/>
            </w:pPr>
            <w:r/>
            <w:r>
              <w:rPr>
                <w:rFonts w:ascii="Times New Roman" w:hAnsi="Times New Roman" w:eastAsia="宋体"/>
                <w:b w:val="0"/>
                <w:sz w:val="21"/>
              </w:rPr>
              <w:t>0.400</w:t>
            </w:r>
          </w:p>
        </w:tc>
        <w:tc>
          <w:tcPr>
            <w:tcW w:type="dxa" w:w="1662"/>
          </w:tcPr>
          <w:p>
            <w:pPr>
              <w:jc w:val="center"/>
            </w:pPr>
            <w:r/>
            <w:r>
              <w:rPr>
                <w:rFonts w:ascii="Times New Roman" w:hAnsi="Times New Roman" w:eastAsia="宋体"/>
                <w:b w:val="0"/>
                <w:sz w:val="21"/>
              </w:rPr>
              <w:t>0.413</w:t>
            </w:r>
          </w:p>
        </w:tc>
        <w:tc>
          <w:tcPr>
            <w:tcW w:type="dxa" w:w="1662"/>
          </w:tcPr>
          <w:p>
            <w:pPr>
              <w:jc w:val="center"/>
            </w:pPr>
            <w:r/>
            <w:r>
              <w:rPr>
                <w:rFonts w:ascii="Times New Roman" w:hAnsi="Times New Roman" w:eastAsia="宋体"/>
                <w:b w:val="0"/>
                <w:sz w:val="21"/>
              </w:rPr>
              <w:t>0.968</w:t>
            </w:r>
          </w:p>
        </w:tc>
        <w:tc>
          <w:tcPr>
            <w:tcW w:type="dxa" w:w="1662"/>
          </w:tcPr>
          <w:p>
            <w:pPr>
              <w:jc w:val="center"/>
            </w:pPr>
            <w:r/>
            <w:r>
              <w:rPr>
                <w:rFonts w:ascii="Times New Roman" w:hAnsi="Times New Roman" w:eastAsia="宋体"/>
                <w:b w:val="0"/>
                <w:sz w:val="21"/>
              </w:rPr>
              <w:t>同步发展</w:t>
            </w:r>
          </w:p>
        </w:tc>
      </w:tr>
      <w:tr>
        <w:tc>
          <w:tcPr>
            <w:tcW w:type="dxa" w:w="1662"/>
          </w:tcPr>
          <w:p>
            <w:pPr>
              <w:jc w:val="center"/>
            </w:pPr>
            <w:r/>
            <w:r>
              <w:rPr>
                <w:rFonts w:ascii="Times New Roman" w:hAnsi="Times New Roman" w:eastAsia="宋体"/>
                <w:b w:val="0"/>
                <w:sz w:val="21"/>
              </w:rPr>
              <w:t>2020</w:t>
            </w:r>
          </w:p>
        </w:tc>
        <w:tc>
          <w:tcPr>
            <w:tcW w:type="dxa" w:w="1662"/>
          </w:tcPr>
          <w:p>
            <w:pPr>
              <w:jc w:val="center"/>
            </w:pPr>
            <w:r/>
            <w:r>
              <w:rPr>
                <w:rFonts w:ascii="Times New Roman" w:hAnsi="Times New Roman" w:eastAsia="宋体"/>
                <w:b w:val="0"/>
                <w:sz w:val="21"/>
              </w:rPr>
              <w:t>0.505</w:t>
            </w:r>
          </w:p>
        </w:tc>
        <w:tc>
          <w:tcPr>
            <w:tcW w:type="dxa" w:w="1662"/>
          </w:tcPr>
          <w:p>
            <w:pPr>
              <w:jc w:val="center"/>
            </w:pPr>
            <w:r/>
            <w:r>
              <w:rPr>
                <w:rFonts w:ascii="Times New Roman" w:hAnsi="Times New Roman" w:eastAsia="宋体"/>
                <w:b w:val="0"/>
                <w:sz w:val="21"/>
              </w:rPr>
              <w:t>0.430</w:t>
            </w:r>
          </w:p>
        </w:tc>
        <w:tc>
          <w:tcPr>
            <w:tcW w:type="dxa" w:w="1662"/>
          </w:tcPr>
          <w:p>
            <w:pPr>
              <w:jc w:val="center"/>
            </w:pPr>
            <w:r/>
            <w:r>
              <w:rPr>
                <w:rFonts w:ascii="Times New Roman" w:hAnsi="Times New Roman" w:eastAsia="宋体"/>
                <w:b w:val="0"/>
                <w:sz w:val="21"/>
              </w:rPr>
              <w:t>1.172</w:t>
            </w:r>
          </w:p>
        </w:tc>
        <w:tc>
          <w:tcPr>
            <w:tcW w:type="dxa" w:w="1662"/>
          </w:tcPr>
          <w:p>
            <w:pPr>
              <w:jc w:val="center"/>
            </w:pPr>
            <w:r/>
            <w:r>
              <w:rPr>
                <w:rFonts w:ascii="Times New Roman" w:hAnsi="Times New Roman" w:eastAsia="宋体"/>
                <w:b w:val="0"/>
                <w:sz w:val="21"/>
              </w:rPr>
              <w:t>共同富裕相对滞后</w:t>
            </w:r>
          </w:p>
        </w:tc>
      </w:tr>
      <w:tr>
        <w:tc>
          <w:tcPr>
            <w:tcW w:type="dxa" w:w="1662"/>
          </w:tcPr>
          <w:p>
            <w:pPr>
              <w:jc w:val="center"/>
            </w:pPr>
            <w:r/>
            <w:r>
              <w:rPr>
                <w:rFonts w:ascii="Times New Roman" w:hAnsi="Times New Roman" w:eastAsia="宋体"/>
                <w:b w:val="0"/>
                <w:sz w:val="21"/>
              </w:rPr>
              <w:t>2021</w:t>
            </w:r>
          </w:p>
        </w:tc>
        <w:tc>
          <w:tcPr>
            <w:tcW w:type="dxa" w:w="1662"/>
          </w:tcPr>
          <w:p>
            <w:pPr>
              <w:jc w:val="center"/>
            </w:pPr>
            <w:r/>
            <w:r>
              <w:rPr>
                <w:rFonts w:ascii="Times New Roman" w:hAnsi="Times New Roman" w:eastAsia="宋体"/>
                <w:b w:val="0"/>
                <w:sz w:val="21"/>
              </w:rPr>
              <w:t>0.603</w:t>
            </w:r>
          </w:p>
        </w:tc>
        <w:tc>
          <w:tcPr>
            <w:tcW w:type="dxa" w:w="1662"/>
          </w:tcPr>
          <w:p>
            <w:pPr>
              <w:jc w:val="center"/>
            </w:pPr>
            <w:r/>
            <w:r>
              <w:rPr>
                <w:rFonts w:ascii="Times New Roman" w:hAnsi="Times New Roman" w:eastAsia="宋体"/>
                <w:b w:val="0"/>
                <w:sz w:val="21"/>
              </w:rPr>
              <w:t>0.566</w:t>
            </w:r>
          </w:p>
        </w:tc>
        <w:tc>
          <w:tcPr>
            <w:tcW w:type="dxa" w:w="1662"/>
          </w:tcPr>
          <w:p>
            <w:pPr>
              <w:jc w:val="center"/>
            </w:pPr>
            <w:r/>
            <w:r>
              <w:rPr>
                <w:rFonts w:ascii="Times New Roman" w:hAnsi="Times New Roman" w:eastAsia="宋体"/>
                <w:b w:val="0"/>
                <w:sz w:val="21"/>
              </w:rPr>
              <w:t>1.065</w:t>
            </w:r>
          </w:p>
        </w:tc>
        <w:tc>
          <w:tcPr>
            <w:tcW w:type="dxa" w:w="1662"/>
          </w:tcPr>
          <w:p>
            <w:pPr>
              <w:jc w:val="center"/>
            </w:pPr>
            <w:r/>
            <w:r>
              <w:rPr>
                <w:rFonts w:ascii="Times New Roman" w:hAnsi="Times New Roman" w:eastAsia="宋体"/>
                <w:b w:val="0"/>
                <w:sz w:val="21"/>
              </w:rPr>
              <w:t>同步发展</w:t>
            </w:r>
          </w:p>
        </w:tc>
      </w:tr>
      <w:tr>
        <w:tc>
          <w:tcPr>
            <w:tcW w:type="dxa" w:w="1662"/>
          </w:tcPr>
          <w:p>
            <w:pPr>
              <w:jc w:val="center"/>
            </w:pPr>
            <w:r/>
            <w:r>
              <w:rPr>
                <w:rFonts w:ascii="Times New Roman" w:hAnsi="Times New Roman" w:eastAsia="宋体"/>
                <w:b w:val="0"/>
                <w:sz w:val="21"/>
              </w:rPr>
              <w:t>2022</w:t>
            </w:r>
          </w:p>
        </w:tc>
        <w:tc>
          <w:tcPr>
            <w:tcW w:type="dxa" w:w="1662"/>
          </w:tcPr>
          <w:p>
            <w:pPr>
              <w:jc w:val="center"/>
            </w:pPr>
            <w:r/>
            <w:r>
              <w:rPr>
                <w:rFonts w:ascii="Times New Roman" w:hAnsi="Times New Roman" w:eastAsia="宋体"/>
                <w:b w:val="0"/>
                <w:sz w:val="21"/>
              </w:rPr>
              <w:t>0.671</w:t>
            </w:r>
          </w:p>
        </w:tc>
        <w:tc>
          <w:tcPr>
            <w:tcW w:type="dxa" w:w="1662"/>
          </w:tcPr>
          <w:p>
            <w:pPr>
              <w:jc w:val="center"/>
            </w:pPr>
            <w:r/>
            <w:r>
              <w:rPr>
                <w:rFonts w:ascii="Times New Roman" w:hAnsi="Times New Roman" w:eastAsia="宋体"/>
                <w:b w:val="0"/>
                <w:sz w:val="21"/>
              </w:rPr>
              <w:t>0.639</w:t>
            </w:r>
          </w:p>
        </w:tc>
        <w:tc>
          <w:tcPr>
            <w:tcW w:type="dxa" w:w="1662"/>
          </w:tcPr>
          <w:p>
            <w:pPr>
              <w:jc w:val="center"/>
            </w:pPr>
            <w:r/>
            <w:r>
              <w:rPr>
                <w:rFonts w:ascii="Times New Roman" w:hAnsi="Times New Roman" w:eastAsia="宋体"/>
                <w:b w:val="0"/>
                <w:sz w:val="21"/>
              </w:rPr>
              <w:t>1.050</w:t>
            </w:r>
          </w:p>
        </w:tc>
        <w:tc>
          <w:tcPr>
            <w:tcW w:type="dxa" w:w="1662"/>
          </w:tcPr>
          <w:p>
            <w:pPr>
              <w:jc w:val="center"/>
            </w:pPr>
            <w:r/>
            <w:r>
              <w:rPr>
                <w:rFonts w:ascii="Times New Roman" w:hAnsi="Times New Roman" w:eastAsia="宋体"/>
                <w:b w:val="0"/>
                <w:sz w:val="21"/>
              </w:rPr>
              <w:t>同步发展</w:t>
            </w:r>
          </w:p>
        </w:tc>
      </w:tr>
      <w:tr>
        <w:tc>
          <w:tcPr>
            <w:tcW w:type="dxa" w:w="1662"/>
          </w:tcPr>
          <w:p>
            <w:pPr>
              <w:jc w:val="center"/>
            </w:pPr>
            <w:r/>
            <w:r>
              <w:rPr>
                <w:rFonts w:ascii="Times New Roman" w:hAnsi="Times New Roman" w:eastAsia="宋体"/>
                <w:b w:val="0"/>
                <w:sz w:val="21"/>
              </w:rPr>
              <w:t>2023</w:t>
            </w:r>
          </w:p>
        </w:tc>
        <w:tc>
          <w:tcPr>
            <w:tcW w:type="dxa" w:w="1662"/>
          </w:tcPr>
          <w:p>
            <w:pPr>
              <w:jc w:val="center"/>
            </w:pPr>
            <w:r/>
            <w:r>
              <w:rPr>
                <w:rFonts w:ascii="Times New Roman" w:hAnsi="Times New Roman" w:eastAsia="宋体"/>
                <w:b w:val="0"/>
                <w:sz w:val="21"/>
              </w:rPr>
              <w:t>0.741</w:t>
            </w:r>
          </w:p>
        </w:tc>
        <w:tc>
          <w:tcPr>
            <w:tcW w:type="dxa" w:w="1662"/>
          </w:tcPr>
          <w:p>
            <w:pPr>
              <w:jc w:val="center"/>
            </w:pPr>
            <w:r/>
            <w:r>
              <w:rPr>
                <w:rFonts w:ascii="Times New Roman" w:hAnsi="Times New Roman" w:eastAsia="宋体"/>
                <w:b w:val="0"/>
                <w:sz w:val="21"/>
              </w:rPr>
              <w:t>0.730</w:t>
            </w:r>
          </w:p>
        </w:tc>
        <w:tc>
          <w:tcPr>
            <w:tcW w:type="dxa" w:w="1662"/>
          </w:tcPr>
          <w:p>
            <w:pPr>
              <w:jc w:val="center"/>
            </w:pPr>
            <w:r/>
            <w:r>
              <w:rPr>
                <w:rFonts w:ascii="Times New Roman" w:hAnsi="Times New Roman" w:eastAsia="宋体"/>
                <w:b w:val="0"/>
                <w:sz w:val="21"/>
              </w:rPr>
              <w:t>1.014</w:t>
            </w:r>
          </w:p>
        </w:tc>
        <w:tc>
          <w:tcPr>
            <w:tcW w:type="dxa" w:w="1662"/>
          </w:tcPr>
          <w:p>
            <w:pPr>
              <w:jc w:val="center"/>
            </w:pPr>
            <w:r/>
            <w:r>
              <w:rPr>
                <w:rFonts w:ascii="Times New Roman" w:hAnsi="Times New Roman" w:eastAsia="宋体"/>
                <w:b w:val="0"/>
                <w:sz w:val="21"/>
              </w:rPr>
              <w:t>同步发展</w:t>
            </w:r>
          </w:p>
        </w:tc>
      </w:tr>
      <w:tr>
        <w:tc>
          <w:tcPr>
            <w:tcW w:type="dxa" w:w="1662"/>
          </w:tcPr>
          <w:p>
            <w:pPr>
              <w:jc w:val="center"/>
            </w:pPr>
            <w:r/>
            <w:r>
              <w:rPr>
                <w:rFonts w:ascii="Times New Roman" w:hAnsi="Times New Roman" w:eastAsia="宋体"/>
                <w:b w:val="0"/>
                <w:sz w:val="21"/>
              </w:rPr>
              <w:t>2024</w:t>
            </w:r>
          </w:p>
        </w:tc>
        <w:tc>
          <w:tcPr>
            <w:tcW w:type="dxa" w:w="1662"/>
          </w:tcPr>
          <w:p>
            <w:pPr>
              <w:jc w:val="center"/>
            </w:pPr>
            <w:r/>
            <w:r>
              <w:rPr>
                <w:rFonts w:ascii="Times New Roman" w:hAnsi="Times New Roman" w:eastAsia="宋体"/>
                <w:b w:val="0"/>
                <w:sz w:val="21"/>
              </w:rPr>
              <w:t>0.802</w:t>
            </w:r>
          </w:p>
        </w:tc>
        <w:tc>
          <w:tcPr>
            <w:tcW w:type="dxa" w:w="1662"/>
          </w:tcPr>
          <w:p>
            <w:pPr>
              <w:jc w:val="center"/>
            </w:pPr>
            <w:r/>
            <w:r>
              <w:rPr>
                <w:rFonts w:ascii="Times New Roman" w:hAnsi="Times New Roman" w:eastAsia="宋体"/>
                <w:b w:val="0"/>
                <w:sz w:val="21"/>
              </w:rPr>
              <w:t>0.824</w:t>
            </w:r>
          </w:p>
        </w:tc>
        <w:tc>
          <w:tcPr>
            <w:tcW w:type="dxa" w:w="1662"/>
          </w:tcPr>
          <w:p>
            <w:pPr>
              <w:jc w:val="center"/>
            </w:pPr>
            <w:r/>
            <w:r>
              <w:rPr>
                <w:rFonts w:ascii="Times New Roman" w:hAnsi="Times New Roman" w:eastAsia="宋体"/>
                <w:b w:val="0"/>
                <w:sz w:val="21"/>
              </w:rPr>
              <w:t>0.973</w:t>
            </w:r>
          </w:p>
        </w:tc>
        <w:tc>
          <w:tcPr>
            <w:tcW w:type="dxa" w:w="1662"/>
          </w:tcPr>
          <w:p>
            <w:pPr>
              <w:jc w:val="center"/>
            </w:pPr>
            <w:r/>
            <w:r>
              <w:rPr>
                <w:rFonts w:ascii="Times New Roman" w:hAnsi="Times New Roman" w:eastAsia="宋体"/>
                <w:b w:val="0"/>
                <w:sz w:val="21"/>
              </w:rPr>
              <w:t>同步发展</w:t>
            </w:r>
          </w:p>
        </w:tc>
      </w:tr>
    </w:tbl>
    <w:p>
      <w:pPr>
        <w:spacing w:after="0"/>
      </w:pPr>
    </w:p>
    <w:p>
      <w:pPr>
        <w:spacing w:after="120"/>
        <w:jc w:val="left"/>
      </w:pPr>
      <w:r>
        <w:rPr>
          <w:rFonts w:ascii="Times New Roman" w:hAnsi="Times New Roman" w:eastAsia="宋体"/>
          <w:b w:val="0"/>
          <w:sz w:val="21"/>
        </w:rPr>
        <w:t>注：判别标准：</w:t>
      </w:r>
      <m:oMath>
        <m:r>
          <w:rPr>
            <w:rFonts w:ascii="Cambria Math" w:hAnsi="Cambria Math"/>
          </w:rPr>
          <m:t xml:space="preserve">β</m:t>
        </m:r>
      </m:oMath>
      <w:r>
        <w:rPr>
          <w:rFonts w:ascii="Times New Roman" w:hAnsi="Times New Roman" w:eastAsia="宋体"/>
          <w:b w:val="0"/>
          <w:sz w:val="21"/>
        </w:rPr>
        <w:t>＞1.1为共同富裕相对滞后型，0.9≤</w:t>
      </w:r>
      <m:oMath>
        <m:r>
          <w:rPr>
            <w:rFonts w:ascii="Cambria Math" w:hAnsi="Cambria Math"/>
          </w:rPr>
          <m:t xml:space="preserve">β</m:t>
        </m:r>
      </m:oMath>
      <w:r>
        <w:rPr>
          <w:rFonts w:ascii="Times New Roman" w:hAnsi="Times New Roman" w:eastAsia="宋体"/>
          <w:b w:val="0"/>
          <w:sz w:val="21"/>
        </w:rPr>
        <w:t>≤1.1为同步发展型，</w:t>
      </w:r>
      <m:oMath>
        <m:r>
          <w:rPr>
            <w:rFonts w:ascii="Cambria Math" w:hAnsi="Cambria Math"/>
          </w:rPr>
          <m:t xml:space="preserve">β</m:t>
        </m:r>
      </m:oMath>
      <w:r>
        <w:rPr>
          <w:rFonts w:ascii="Times New Roman" w:hAnsi="Times New Roman" w:eastAsia="宋体"/>
          <w:b w:val="0"/>
          <w:sz w:val="21"/>
        </w:rPr>
        <w:t>＜0.9为新质生产力相对滞后型。</w:t>
      </w:r>
    </w:p>
    <w:p>
      <w:pPr>
        <w:spacing w:before="120"/>
        <w:jc w:val="center"/>
      </w:pPr>
      <w:r>
        <w:drawing>
          <wp:inline xmlns:a="http://schemas.openxmlformats.org/drawingml/2006/main" xmlns:pic="http://schemas.openxmlformats.org/drawingml/2006/picture">
            <wp:extent cx="4313529" cy="2107265"/>
            <wp:docPr id="13" name="Picture 13"/>
            <wp:cNvGraphicFramePr>
              <a:graphicFrameLocks noChangeAspect="1"/>
            </wp:cNvGraphicFramePr>
            <a:graphic>
              <a:graphicData uri="http://schemas.openxmlformats.org/drawingml/2006/picture">
                <pic:pic>
                  <pic:nvPicPr>
                    <pic:cNvPr id="0" name="fig14_beta.png"/>
                    <pic:cNvPicPr/>
                  </pic:nvPicPr>
                  <pic:blipFill>
                    <a:blip r:embed="rId21"/>
                    <a:stretch>
                      <a:fillRect/>
                    </a:stretch>
                  </pic:blipFill>
                  <pic:spPr>
                    <a:xfrm>
                      <a:off x="0" y="0"/>
                      <a:ext cx="4313529" cy="2107265"/>
                    </a:xfrm>
                    <a:prstGeom prst="rect"/>
                  </pic:spPr>
                </pic:pic>
              </a:graphicData>
            </a:graphic>
          </wp:inline>
        </w:drawing>
      </w:r>
    </w:p>
    <w:p>
      <w:pPr>
        <w:spacing w:after="80"/>
        <w:jc w:val="center"/>
      </w:pPr>
      <w:r>
        <w:rPr>
          <w:rFonts w:ascii="Times New Roman" w:hAnsi="Times New Roman" w:eastAsia="黑体"/>
          <w:b/>
          <w:sz w:val="21"/>
        </w:rPr>
        <w:t xml:space="preserve">图13　</w:t>
      </w:r>
      <w:r>
        <w:rPr>
          <w:rFonts w:ascii="Times New Roman" w:hAnsi="Times New Roman" w:eastAsia="宋体"/>
          <w:b/>
          <w:sz w:val="21"/>
        </w:rPr>
        <w:t>2015—2024年相对发展度β的演变轨迹</w:t>
      </w:r>
    </w:p>
    <w:p>
      <w:pPr>
        <w:spacing w:after="120"/>
        <w:jc w:val="left"/>
      </w:pPr>
      <w:r>
        <w:rPr>
          <w:rFonts w:ascii="Times New Roman" w:hAnsi="Times New Roman" w:eastAsia="宋体"/>
          <w:b w:val="0"/>
          <w:sz w:val="21"/>
        </w:rPr>
        <w:t>注：依据式(22)测算绘制；阴影带为同步发展区间（0.9≤</w:t>
      </w:r>
      <m:oMath>
        <m:r>
          <w:rPr>
            <w:rFonts w:ascii="Cambria Math" w:hAnsi="Cambria Math"/>
          </w:rPr>
          <m:t xml:space="preserve">β</m:t>
        </m:r>
      </m:oMath>
      <w:r>
        <w:rPr>
          <w:rFonts w:ascii="Times New Roman" w:hAnsi="Times New Roman" w:eastAsia="宋体"/>
          <w:b w:val="0"/>
          <w:sz w:val="21"/>
        </w:rPr>
        <w:t>≤1.1）。</w:t>
      </w:r>
    </w:p>
    <w:p>
      <w:pPr>
        <w:spacing w:line="360" w:lineRule="auto" w:after="0"/>
        <w:ind w:firstLine="480"/>
        <w:jc w:val="both"/>
      </w:pPr>
      <w:r>
        <w:rPr>
          <w:rFonts w:ascii="Times New Roman" w:hAnsi="Times New Roman" w:eastAsia="宋体"/>
          <w:b w:val="0"/>
          <w:sz w:val="24"/>
        </w:rPr>
        <w:t>样本期内</w:t>
      </w:r>
      <m:oMath>
        <m:r>
          <w:rPr>
            <w:rFonts w:ascii="Cambria Math" w:hAnsi="Cambria Math"/>
          </w:rPr>
          <m:t xml:space="preserve">β</m:t>
        </m:r>
      </m:oMath>
      <w:r>
        <w:rPr>
          <w:rFonts w:ascii="Times New Roman" w:hAnsi="Times New Roman" w:eastAsia="宋体"/>
          <w:b w:val="0"/>
          <w:sz w:val="24"/>
        </w:rPr>
        <w:t>呈现“高位回落—扰动回摆—稳态收敛”的三段轨迹。2015—2017年，</w:t>
      </w:r>
      <m:oMath>
        <m:r>
          <w:rPr>
            <w:rFonts w:ascii="Cambria Math" w:hAnsi="Cambria Math"/>
          </w:rPr>
          <m:t xml:space="preserve">β</m:t>
        </m:r>
      </m:oMath>
      <w:r>
        <w:rPr>
          <w:rFonts w:ascii="Times New Roman" w:hAnsi="Times New Roman" w:eastAsia="宋体"/>
          <w:b w:val="0"/>
          <w:sz w:val="24"/>
        </w:rPr>
        <w:t>由1.208降至1.127，两大系统处于共同富裕相对滞后状态——这一阶段创新势能加速积蓄而富民效能尚未充分释放，与三阶转化链条的传导时滞特征相符。2018—2019年，</w:t>
      </w:r>
      <m:oMath>
        <m:r>
          <w:rPr>
            <w:rFonts w:ascii="Cambria Math" w:hAnsi="Cambria Math"/>
          </w:rPr>
          <m:t xml:space="preserve">β</m:t>
        </m:r>
      </m:oMath>
      <w:r>
        <w:rPr>
          <w:rFonts w:ascii="Times New Roman" w:hAnsi="Times New Roman" w:eastAsia="宋体"/>
          <w:b w:val="0"/>
          <w:sz w:val="24"/>
        </w:rPr>
        <w:t>进入同步发展区间并于2019年首次降至1以下（0.968）。2020年</w:t>
      </w:r>
      <m:oMath>
        <m:r>
          <w:rPr>
            <w:rFonts w:ascii="Cambria Math" w:hAnsi="Cambria Math"/>
          </w:rPr>
          <m:t xml:space="preserve">β</m:t>
        </m:r>
      </m:oMath>
      <w:r>
        <w:rPr>
          <w:rFonts w:ascii="Times New Roman" w:hAnsi="Times New Roman" w:eastAsia="宋体"/>
          <w:b w:val="0"/>
          <w:sz w:val="24"/>
        </w:rPr>
        <w:t>回升至1.172，为样本期内唯一一次显著回摆：疫情冲击下富裕度扩张放缓，而数字经济逆势扩张推动新质生产力指数加速上行，系统同步性出现暂时性偏离。2021年共同富裕示范区建设启动后，</w:t>
      </w:r>
      <m:oMath>
        <m:r>
          <w:rPr>
            <w:rFonts w:ascii="Cambria Math" w:hAnsi="Cambria Math"/>
          </w:rPr>
          <m:t xml:space="preserve">β</m:t>
        </m:r>
      </m:oMath>
      <w:r>
        <w:rPr>
          <w:rFonts w:ascii="Times New Roman" w:hAnsi="Times New Roman" w:eastAsia="宋体"/>
          <w:b w:val="0"/>
          <w:sz w:val="24"/>
        </w:rPr>
        <w:t>重新进入同步区间并逐年下行——2021年1.065、2022年1.050、2023年1.014、2024年0.973，收敛于1附近。十年间</w:t>
      </w:r>
      <m:oMath>
        <m:r>
          <w:rPr>
            <w:rFonts w:ascii="Cambria Math" w:hAnsi="Cambria Math"/>
          </w:rPr>
          <m:t xml:space="preserve">β</m:t>
        </m:r>
      </m:oMath>
      <w:r>
        <w:rPr>
          <w:rFonts w:ascii="Times New Roman" w:hAnsi="Times New Roman" w:eastAsia="宋体"/>
          <w:b w:val="0"/>
          <w:sz w:val="24"/>
        </w:rPr>
        <w:t>的偏离幅度由0.21收窄至0.03以内，“同步发展型”判别已连续四年保持，这构成命题P1的又一结构性佐证；2024年</w:t>
      </w:r>
      <m:oMath>
        <m:r>
          <w:rPr>
            <w:rFonts w:ascii="Cambria Math" w:hAnsi="Cambria Math"/>
          </w:rPr>
          <m:t xml:space="preserve">β</m:t>
        </m:r>
      </m:oMath>
      <w:r>
        <w:rPr>
          <w:rFonts w:ascii="Times New Roman" w:hAnsi="Times New Roman" w:eastAsia="宋体"/>
          <w:b w:val="0"/>
          <w:sz w:val="24"/>
        </w:rPr>
        <w:t>首次在同步区间内降至1以下，与共同富裕指数反超新质生产力指数互为表里，标志着双向赋能格局中反哺回路的边际力量开始显现。</w:t>
      </w:r>
    </w:p>
    <w:p>
      <w:pPr>
        <w:spacing w:line="360" w:lineRule="auto" w:after="0"/>
        <w:ind w:firstLine="480"/>
        <w:jc w:val="both"/>
      </w:pPr>
      <m:oMath>
        <m:r>
          <w:rPr>
            <w:rFonts w:ascii="Cambria Math" w:hAnsi="Cambria Math"/>
          </w:rPr>
          <m:t xml:space="preserve">β</m:t>
        </m:r>
      </m:oMath>
      <w:r>
        <w:rPr>
          <w:rFonts w:ascii="Times New Roman" w:hAnsi="Times New Roman" w:eastAsia="宋体"/>
          <w:b w:val="0"/>
          <w:sz w:val="24"/>
        </w:rPr>
        <w:t>的三段轨迹蕴含着转化链条传导时滞的丰富信息。第一段“高位回落”表明，创新驱动战略实施初期出现共同富裕相对滞后，是链条传导规律的正常表现而非路径偏差：创新收益在初期集中于创新部门及其从业者，技术进步的技能偏向会在短期内拉大技能溢价，数字技术普及亦存在“数字红利”与“数字鸿沟”并存的分布效应</w:t>
      </w:r>
      <w:r>
        <w:rPr>
          <w:rFonts w:ascii="Times New Roman" w:hAnsi="Times New Roman" w:eastAsia="宋体"/>
          <w:b w:val="0"/>
          <w:sz w:val="24"/>
          <w:vertAlign w:val="superscript"/>
        </w:rPr>
        <w:t>[18,93]</w:t>
      </w:r>
      <w:r>
        <w:rPr>
          <w:rFonts w:ascii="Times New Roman" w:hAnsi="Times New Roman" w:eastAsia="宋体"/>
          <w:b w:val="0"/>
          <w:sz w:val="24"/>
        </w:rPr>
        <w:t>。判断路径健康与否的标准，不在于</w:t>
      </w:r>
      <m:oMath>
        <m:r>
          <w:rPr>
            <w:rFonts w:ascii="Cambria Math" w:hAnsi="Cambria Math"/>
          </w:rPr>
          <m:t xml:space="preserve">β</m:t>
        </m:r>
      </m:oMath>
      <w:r>
        <w:rPr>
          <w:rFonts w:ascii="Times New Roman" w:hAnsi="Times New Roman" w:eastAsia="宋体"/>
          <w:b w:val="0"/>
          <w:sz w:val="24"/>
        </w:rPr>
        <w:t>是否始终等于1，而在于</w:t>
      </w:r>
      <m:oMath>
        <m:r>
          <w:rPr>
            <w:rFonts w:ascii="Cambria Math" w:hAnsi="Cambria Math"/>
          </w:rPr>
          <m:t xml:space="preserve">β</m:t>
        </m:r>
      </m:oMath>
      <w:r>
        <w:rPr>
          <w:rFonts w:ascii="Times New Roman" w:hAnsi="Times New Roman" w:eastAsia="宋体"/>
          <w:b w:val="0"/>
          <w:sz w:val="24"/>
        </w:rPr>
        <w:t>是否呈收敛趋势——样本初期</w:t>
      </w:r>
      <m:oMath>
        <m:r>
          <w:rPr>
            <w:rFonts w:ascii="Cambria Math" w:hAnsi="Cambria Math"/>
          </w:rPr>
          <m:t xml:space="preserve">β</m:t>
        </m:r>
      </m:oMath>
      <w:r>
        <w:rPr>
          <w:rFonts w:ascii="Times New Roman" w:hAnsi="Times New Roman" w:eastAsia="宋体"/>
          <w:b w:val="0"/>
          <w:sz w:val="24"/>
        </w:rPr>
        <w:t>逐年收敛的斜率说明富民效能的释放虽有时滞但通道畅通，滞后属“时序性滞后”而非“结构性滞后”。</w:t>
      </w:r>
    </w:p>
    <w:p>
      <w:pPr>
        <w:spacing w:line="360" w:lineRule="auto" w:after="0"/>
        <w:ind w:firstLine="480"/>
        <w:jc w:val="both"/>
      </w:pPr>
      <w:r>
        <w:rPr>
          <w:rFonts w:ascii="Times New Roman" w:hAnsi="Times New Roman" w:eastAsia="宋体"/>
          <w:b w:val="0"/>
          <w:sz w:val="24"/>
        </w:rPr>
        <w:t>2020年的回摆值得专门剖析，它以一次自然实验的方式暴露了同步机制的应力结构。当年</w:t>
      </w:r>
      <m:oMath>
        <m:r>
          <w:rPr>
            <w:rFonts w:ascii="Cambria Math" w:hAnsi="Cambria Math"/>
          </w:rPr>
          <m:t xml:space="preserve">β</m:t>
        </m:r>
      </m:oMath>
      <w:r>
        <w:rPr>
          <w:rFonts w:ascii="Times New Roman" w:hAnsi="Times New Roman" w:eastAsia="宋体"/>
          <w:b w:val="0"/>
          <w:sz w:val="24"/>
        </w:rPr>
        <w:t>由0.968跳升至1.172，分解来看是“分子最大增幅遇上分母最小增幅”：</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单年提升0.105，为样本期内最大增幅，源于数字化需求的逆势扩张；</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单年仅提升0.017，为样本期内最小增幅，源于接触型消费与经营收入承压、富裕度不升反降，</w:t>
      </w:r>
      <m:oMath>
        <m:r>
          <w:rPr>
            <w:rFonts w:ascii="Cambria Math" w:hAnsi="Cambria Math"/>
          </w:rPr>
          <m:t xml:space="preserve">β</m:t>
        </m:r>
      </m:oMath>
      <w:r>
        <w:rPr>
          <w:rFonts w:ascii="Times New Roman" w:hAnsi="Times New Roman" w:eastAsia="宋体"/>
          <w:b w:val="0"/>
          <w:sz w:val="24"/>
        </w:rPr>
        <w:t>由此被机械推高。但正如共享度逆势上升所显示的，再分配机制的对冲使</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守住正增长，避免了</w:t>
      </w:r>
      <m:oMath>
        <m:r>
          <w:rPr>
            <w:rFonts w:ascii="Cambria Math" w:hAnsi="Cambria Math"/>
          </w:rPr>
          <m:t xml:space="preserve">β</m:t>
        </m:r>
      </m:oMath>
      <w:r>
        <w:rPr>
          <w:rFonts w:ascii="Times New Roman" w:hAnsi="Times New Roman" w:eastAsia="宋体"/>
          <w:b w:val="0"/>
          <w:sz w:val="24"/>
        </w:rPr>
        <w:t>的更大幅度偏离；随着2021年经济修复与示范区建设启动，</w:t>
      </w:r>
      <m:oMath>
        <m:r>
          <w:rPr>
            <w:rFonts w:ascii="Cambria Math" w:hAnsi="Cambria Math"/>
          </w:rPr>
          <m:t xml:space="preserve">β</m:t>
        </m:r>
      </m:oMath>
      <w:r>
        <w:rPr>
          <w:rFonts w:ascii="Times New Roman" w:hAnsi="Times New Roman" w:eastAsia="宋体"/>
          <w:b w:val="0"/>
          <w:sz w:val="24"/>
        </w:rPr>
        <w:t>当年即回归同步区间。这一事件的启示在于：外生冲击天然具有非对称性——技术冲击偏向</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、需求冲击偏向</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——同步性的维持依赖转化关口在冲击期间的持续运转，这从反面印证了命题P2的逻辑。</w:t>
      </w:r>
    </w:p>
    <w:p>
      <w:pPr>
        <w:spacing w:line="360" w:lineRule="auto" w:after="0"/>
        <w:ind w:firstLine="480"/>
        <w:jc w:val="both"/>
      </w:pPr>
      <w:r>
        <w:rPr>
          <w:rFonts w:ascii="Times New Roman" w:hAnsi="Times New Roman" w:eastAsia="宋体"/>
          <w:b w:val="0"/>
          <w:sz w:val="24"/>
        </w:rPr>
        <w:t>期末</w:t>
      </w:r>
      <m:oMath>
        <m:r>
          <w:rPr>
            <w:rFonts w:ascii="Cambria Math" w:hAnsi="Cambria Math"/>
          </w:rPr>
          <m:t xml:space="preserve">β</m:t>
        </m:r>
      </m:oMath>
      <w:r>
        <w:rPr>
          <w:rFonts w:ascii="Times New Roman" w:hAnsi="Times New Roman" w:eastAsia="宋体"/>
          <w:b w:val="0"/>
          <w:sz w:val="24"/>
        </w:rPr>
        <w:t>收敛于1附近还具有政策含义：共同富裕相对滞后意味着创新红利的分配转化不畅，长期将侵蚀创新的社会基础；新质生产力相对滞后则意味着分配改善失去生产力支撑。2024年</w:t>
      </w:r>
      <m:oMath>
        <m:r>
          <w:rPr>
            <w:rFonts w:ascii="Cambria Math" w:hAnsi="Cambria Math"/>
          </w:rPr>
          <m:t xml:space="preserve">β</m:t>
        </m:r>
      </m:oMath>
      <w:r>
        <w:rPr>
          <w:rFonts w:ascii="Times New Roman" w:hAnsi="Times New Roman" w:eastAsia="宋体"/>
          <w:b w:val="0"/>
          <w:sz w:val="24"/>
        </w:rPr>
        <w:t>为0.973，处于同步区间内略低于1的位置，属于反哺回路启动后的良性形态；“十五五”时期的要领，是在做强反哺回路的同时以创新浙江建设保持</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的增长斜率，在更高水平上续写同步。</w:t>
      </w:r>
    </w:p>
    <w:p>
      <w:pPr>
        <w:spacing w:line="360" w:lineRule="auto" w:after="80"/>
        <w:jc w:val="left"/>
      </w:pPr>
      <w:r>
        <w:rPr>
          <w:rFonts w:ascii="Times New Roman" w:hAnsi="Times New Roman" w:eastAsia="黑体"/>
          <w:b/>
          <w:sz w:val="28"/>
        </w:rPr>
        <w:t>（五）灰色关联分析：赋能通道的指标级识别</w:t>
      </w:r>
    </w:p>
    <w:p>
      <w:pPr>
        <w:spacing w:line="360" w:lineRule="auto" w:after="0"/>
        <w:ind w:firstLine="480"/>
        <w:jc w:val="both"/>
      </w:pPr>
      <w:r>
        <w:rPr>
          <w:rFonts w:ascii="Times New Roman" w:hAnsi="Times New Roman" w:eastAsia="宋体"/>
          <w:b w:val="0"/>
          <w:sz w:val="24"/>
        </w:rPr>
        <w:t>依据式(23)与式(24)，以共同富裕指数</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为参考序列计算新质生产力各指标的灰色关联度，以新质生产力指数</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为参考序列计算共同富裕各指标的灰色关联度，结果如表8所示。</w:t>
      </w:r>
    </w:p>
    <w:p>
      <w:pPr>
        <w:spacing w:before="120"/>
        <w:jc w:val="center"/>
      </w:pPr>
      <w:r>
        <w:rPr>
          <w:rFonts w:ascii="Times New Roman" w:hAnsi="Times New Roman" w:eastAsia="黑体"/>
          <w:b/>
          <w:sz w:val="21"/>
        </w:rPr>
        <w:t xml:space="preserve">表8　</w:t>
      </w:r>
      <w:r>
        <w:rPr>
          <w:rFonts w:ascii="Times New Roman" w:hAnsi="Times New Roman" w:eastAsia="宋体"/>
          <w:b/>
          <w:sz w:val="21"/>
        </w:rPr>
        <w:t>两大系统各指标与对方系统综合指数的灰色关联度</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
              <w:rPr>
                <w:rFonts w:ascii="Times New Roman" w:hAnsi="Times New Roman" w:eastAsia="宋体"/>
                <w:b/>
                <w:sz w:val="21"/>
              </w:rPr>
              <w:t>新质生产力系统指标</w:t>
            </w:r>
          </w:p>
        </w:tc>
        <w:tc>
          <w:tcPr>
            <w:tcW w:type="dxa" w:w="2078"/>
          </w:tcPr>
          <w:p>
            <w:pPr>
              <w:jc w:val="center"/>
            </w:pPr>
            <w:r/>
            <w:r>
              <w:rPr>
                <w:rFonts w:ascii="Times New Roman" w:hAnsi="Times New Roman" w:eastAsia="宋体"/>
                <w:b/>
                <w:sz w:val="21"/>
              </w:rPr>
              <w:t>与</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sz w:val="21"/>
              </w:rPr>
              <w:t>的关联度</w:t>
            </w:r>
          </w:p>
        </w:tc>
        <w:tc>
          <w:tcPr>
            <w:tcW w:type="dxa" w:w="2078"/>
          </w:tcPr>
          <w:p>
            <w:pPr>
              <w:jc w:val="center"/>
            </w:pPr>
            <w:r/>
            <w:r>
              <w:rPr>
                <w:rFonts w:ascii="Times New Roman" w:hAnsi="Times New Roman" w:eastAsia="宋体"/>
                <w:b/>
                <w:sz w:val="21"/>
              </w:rPr>
              <w:t>共同富裕系统指标</w:t>
            </w:r>
          </w:p>
        </w:tc>
        <w:tc>
          <w:tcPr>
            <w:tcW w:type="dxa" w:w="2078"/>
          </w:tcPr>
          <w:p>
            <w:pPr>
              <w:jc w:val="center"/>
            </w:pPr>
            <w:r/>
            <w:r>
              <w:rPr>
                <w:rFonts w:ascii="Times New Roman" w:hAnsi="Times New Roman" w:eastAsia="宋体"/>
                <w:b/>
                <w:sz w:val="21"/>
              </w:rPr>
              <w:t>与</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sz w:val="21"/>
              </w:rPr>
              <w:t>的关联度</w:t>
            </w:r>
          </w:p>
        </w:tc>
      </w:tr>
      <w:tr>
        <w:tc>
          <w:tcPr>
            <w:tcW w:type="dxa" w:w="2078"/>
          </w:tcPr>
          <w:p>
            <w:pPr>
              <w:jc w:val="center"/>
            </w:pPr>
            <w:r/>
            <w:r>
              <w:rPr>
                <w:rFonts w:ascii="Times New Roman" w:hAnsi="Times New Roman" w:eastAsia="宋体"/>
                <w:b w:val="0"/>
                <w:sz w:val="21"/>
              </w:rPr>
              <w:t>数字经济核心产业占比</w:t>
            </w:r>
          </w:p>
        </w:tc>
        <w:tc>
          <w:tcPr>
            <w:tcW w:type="dxa" w:w="2078"/>
          </w:tcPr>
          <w:p>
            <w:pPr>
              <w:jc w:val="center"/>
            </w:pPr>
            <w:r/>
            <w:r>
              <w:rPr>
                <w:rFonts w:ascii="Times New Roman" w:hAnsi="Times New Roman" w:eastAsia="宋体"/>
                <w:b w:val="0"/>
                <w:sz w:val="21"/>
              </w:rPr>
              <w:t>0.587</w:t>
            </w:r>
          </w:p>
        </w:tc>
        <w:tc>
          <w:tcPr>
            <w:tcW w:type="dxa" w:w="2078"/>
          </w:tcPr>
          <w:p>
            <w:pPr>
              <w:jc w:val="center"/>
            </w:pPr>
            <w:r/>
            <w:r>
              <w:rPr>
                <w:rFonts w:ascii="Times New Roman" w:hAnsi="Times New Roman" w:eastAsia="宋体"/>
                <w:b w:val="0"/>
                <w:sz w:val="21"/>
              </w:rPr>
              <w:t>居民人均可支配收入</w:t>
            </w:r>
          </w:p>
        </w:tc>
        <w:tc>
          <w:tcPr>
            <w:tcW w:type="dxa" w:w="2078"/>
          </w:tcPr>
          <w:p>
            <w:pPr>
              <w:jc w:val="center"/>
            </w:pPr>
            <w:r/>
            <w:r>
              <w:rPr>
                <w:rFonts w:ascii="Times New Roman" w:hAnsi="Times New Roman" w:eastAsia="宋体"/>
                <w:b w:val="0"/>
                <w:sz w:val="21"/>
              </w:rPr>
              <w:t>0.568</w:t>
            </w:r>
          </w:p>
        </w:tc>
      </w:tr>
      <w:tr>
        <w:tc>
          <w:tcPr>
            <w:tcW w:type="dxa" w:w="2078"/>
          </w:tcPr>
          <w:p>
            <w:pPr>
              <w:jc w:val="center"/>
            </w:pPr>
            <w:r/>
            <w:r>
              <w:rPr>
                <w:rFonts w:ascii="Times New Roman" w:hAnsi="Times New Roman" w:eastAsia="宋体"/>
                <w:b w:val="0"/>
                <w:sz w:val="21"/>
              </w:rPr>
              <w:t>高新技术企业数（取对数）</w:t>
            </w:r>
          </w:p>
        </w:tc>
        <w:tc>
          <w:tcPr>
            <w:tcW w:type="dxa" w:w="2078"/>
          </w:tcPr>
          <w:p>
            <w:pPr>
              <w:jc w:val="center"/>
            </w:pPr>
            <w:r/>
            <w:r>
              <w:rPr>
                <w:rFonts w:ascii="Times New Roman" w:hAnsi="Times New Roman" w:eastAsia="宋体"/>
                <w:b w:val="0"/>
                <w:sz w:val="21"/>
              </w:rPr>
              <w:t>0.583</w:t>
            </w:r>
          </w:p>
        </w:tc>
        <w:tc>
          <w:tcPr>
            <w:tcW w:type="dxa" w:w="2078"/>
          </w:tcPr>
          <w:p>
            <w:pPr>
              <w:jc w:val="center"/>
            </w:pPr>
            <w:r/>
            <w:r>
              <w:rPr>
                <w:rFonts w:ascii="Times New Roman" w:hAnsi="Times New Roman" w:eastAsia="宋体"/>
                <w:b w:val="0"/>
                <w:sz w:val="21"/>
              </w:rPr>
              <w:t>常住人口城镇化率</w:t>
            </w:r>
          </w:p>
        </w:tc>
        <w:tc>
          <w:tcPr>
            <w:tcW w:type="dxa" w:w="2078"/>
          </w:tcPr>
          <w:p>
            <w:pPr>
              <w:jc w:val="center"/>
            </w:pPr>
            <w:r/>
            <w:r>
              <w:rPr>
                <w:rFonts w:ascii="Times New Roman" w:hAnsi="Times New Roman" w:eastAsia="宋体"/>
                <w:b w:val="0"/>
                <w:sz w:val="21"/>
              </w:rPr>
              <w:t>0.568</w:t>
            </w:r>
          </w:p>
        </w:tc>
      </w:tr>
      <w:tr>
        <w:tc>
          <w:tcPr>
            <w:tcW w:type="dxa" w:w="2078"/>
          </w:tcPr>
          <w:p>
            <w:pPr>
              <w:jc w:val="center"/>
            </w:pPr>
            <w:r/>
            <w:r>
              <w:rPr>
                <w:rFonts w:ascii="Times New Roman" w:hAnsi="Times New Roman" w:eastAsia="宋体"/>
                <w:b w:val="0"/>
                <w:sz w:val="21"/>
              </w:rPr>
              <w:t>R&amp;D经费投入强度</w:t>
            </w:r>
          </w:p>
        </w:tc>
        <w:tc>
          <w:tcPr>
            <w:tcW w:type="dxa" w:w="2078"/>
          </w:tcPr>
          <w:p>
            <w:pPr>
              <w:jc w:val="center"/>
            </w:pPr>
            <w:r/>
            <w:r>
              <w:rPr>
                <w:rFonts w:ascii="Times New Roman" w:hAnsi="Times New Roman" w:eastAsia="宋体"/>
                <w:b w:val="0"/>
                <w:sz w:val="21"/>
              </w:rPr>
              <w:t>0.582</w:t>
            </w:r>
          </w:p>
        </w:tc>
        <w:tc>
          <w:tcPr>
            <w:tcW w:type="dxa" w:w="2078"/>
          </w:tcPr>
          <w:p>
            <w:pPr>
              <w:jc w:val="center"/>
            </w:pPr>
            <w:r/>
            <w:r>
              <w:rPr>
                <w:rFonts w:ascii="Times New Roman" w:hAnsi="Times New Roman" w:eastAsia="宋体"/>
                <w:b w:val="0"/>
                <w:sz w:val="21"/>
              </w:rPr>
              <w:t>人均地区生产总值</w:t>
            </w:r>
          </w:p>
        </w:tc>
        <w:tc>
          <w:tcPr>
            <w:tcW w:type="dxa" w:w="2078"/>
          </w:tcPr>
          <w:p>
            <w:pPr>
              <w:jc w:val="center"/>
            </w:pPr>
            <w:r/>
            <w:r>
              <w:rPr>
                <w:rFonts w:ascii="Times New Roman" w:hAnsi="Times New Roman" w:eastAsia="宋体"/>
                <w:b w:val="0"/>
                <w:sz w:val="21"/>
              </w:rPr>
              <w:t>0.567</w:t>
            </w:r>
          </w:p>
        </w:tc>
      </w:tr>
      <w:tr>
        <w:tc>
          <w:tcPr>
            <w:tcW w:type="dxa" w:w="2078"/>
          </w:tcPr>
          <w:p>
            <w:pPr>
              <w:jc w:val="center"/>
            </w:pPr>
            <w:r/>
            <w:r>
              <w:rPr>
                <w:rFonts w:ascii="Times New Roman" w:hAnsi="Times New Roman" w:eastAsia="宋体"/>
                <w:b w:val="0"/>
                <w:sz w:val="21"/>
              </w:rPr>
              <w:t>全员劳动生产率</w:t>
            </w:r>
          </w:p>
        </w:tc>
        <w:tc>
          <w:tcPr>
            <w:tcW w:type="dxa" w:w="2078"/>
          </w:tcPr>
          <w:p>
            <w:pPr>
              <w:jc w:val="center"/>
            </w:pPr>
            <w:r/>
            <w:r>
              <w:rPr>
                <w:rFonts w:ascii="Times New Roman" w:hAnsi="Times New Roman" w:eastAsia="宋体"/>
                <w:b w:val="0"/>
                <w:sz w:val="21"/>
              </w:rPr>
              <w:t>0.582</w:t>
            </w:r>
          </w:p>
        </w:tc>
        <w:tc>
          <w:tcPr>
            <w:tcW w:type="dxa" w:w="2078"/>
          </w:tcPr>
          <w:p>
            <w:pPr>
              <w:jc w:val="center"/>
            </w:pPr>
            <w:r/>
            <w:r>
              <w:rPr>
                <w:rFonts w:ascii="Times New Roman" w:hAnsi="Times New Roman" w:eastAsia="宋体"/>
                <w:b w:val="0"/>
                <w:sz w:val="21"/>
              </w:rPr>
              <w:t>城乡收入倍差（取倒数）</w:t>
            </w:r>
          </w:p>
        </w:tc>
        <w:tc>
          <w:tcPr>
            <w:tcW w:type="dxa" w:w="2078"/>
          </w:tcPr>
          <w:p>
            <w:pPr>
              <w:jc w:val="center"/>
            </w:pPr>
            <w:r/>
            <w:r>
              <w:rPr>
                <w:rFonts w:ascii="Times New Roman" w:hAnsi="Times New Roman" w:eastAsia="宋体"/>
                <w:b w:val="0"/>
                <w:sz w:val="21"/>
              </w:rPr>
              <w:t>0.565</w:t>
            </w:r>
          </w:p>
        </w:tc>
      </w:tr>
      <w:tr>
        <w:tc>
          <w:tcPr>
            <w:tcW w:type="dxa" w:w="2078"/>
          </w:tcPr>
          <w:p>
            <w:pPr>
              <w:jc w:val="center"/>
            </w:pPr>
            <w:r/>
            <w:r>
              <w:rPr>
                <w:rFonts w:ascii="Times New Roman" w:hAnsi="Times New Roman" w:eastAsia="宋体"/>
                <w:b w:val="0"/>
                <w:sz w:val="21"/>
              </w:rPr>
              <w:t>—</w:t>
            </w:r>
          </w:p>
        </w:tc>
        <w:tc>
          <w:tcPr>
            <w:tcW w:type="dxa" w:w="2078"/>
          </w:tcPr>
          <w:p>
            <w:pPr>
              <w:jc w:val="center"/>
            </w:pPr>
            <w:r/>
            <w:r>
              <w:rPr>
                <w:rFonts w:ascii="Times New Roman" w:hAnsi="Times New Roman" w:eastAsia="宋体"/>
                <w:b w:val="0"/>
                <w:sz w:val="21"/>
              </w:rPr>
              <w:t>—</w:t>
            </w:r>
          </w:p>
        </w:tc>
        <w:tc>
          <w:tcPr>
            <w:tcW w:type="dxa" w:w="2078"/>
          </w:tcPr>
          <w:p>
            <w:pPr>
              <w:jc w:val="center"/>
            </w:pPr>
            <w:r/>
            <w:r>
              <w:rPr>
                <w:rFonts w:ascii="Times New Roman" w:hAnsi="Times New Roman" w:eastAsia="宋体"/>
                <w:b w:val="0"/>
                <w:sz w:val="21"/>
              </w:rPr>
              <w:t>农村居民人均可支配收入</w:t>
            </w:r>
          </w:p>
        </w:tc>
        <w:tc>
          <w:tcPr>
            <w:tcW w:type="dxa" w:w="2078"/>
          </w:tcPr>
          <w:p>
            <w:pPr>
              <w:jc w:val="center"/>
            </w:pPr>
            <w:r/>
            <w:r>
              <w:rPr>
                <w:rFonts w:ascii="Times New Roman" w:hAnsi="Times New Roman" w:eastAsia="宋体"/>
                <w:b w:val="0"/>
                <w:sz w:val="21"/>
              </w:rPr>
              <w:t>0.564</w:t>
            </w:r>
          </w:p>
        </w:tc>
      </w:tr>
      <w:tr>
        <w:tc>
          <w:tcPr>
            <w:tcW w:type="dxa" w:w="2078"/>
          </w:tcPr>
          <w:p>
            <w:pPr>
              <w:jc w:val="center"/>
            </w:pPr>
            <w:r/>
            <w:r>
              <w:rPr>
                <w:rFonts w:ascii="Times New Roman" w:hAnsi="Times New Roman" w:eastAsia="宋体"/>
                <w:b w:val="0"/>
                <w:sz w:val="21"/>
              </w:rPr>
              <w:t>—</w:t>
            </w:r>
          </w:p>
        </w:tc>
        <w:tc>
          <w:tcPr>
            <w:tcW w:type="dxa" w:w="2078"/>
          </w:tcPr>
          <w:p>
            <w:pPr>
              <w:jc w:val="center"/>
            </w:pPr>
            <w:r/>
            <w:r>
              <w:rPr>
                <w:rFonts w:ascii="Times New Roman" w:hAnsi="Times New Roman" w:eastAsia="宋体"/>
                <w:b w:val="0"/>
                <w:sz w:val="21"/>
              </w:rPr>
              <w:t>—</w:t>
            </w:r>
          </w:p>
        </w:tc>
        <w:tc>
          <w:tcPr>
            <w:tcW w:type="dxa" w:w="2078"/>
          </w:tcPr>
          <w:p>
            <w:pPr>
              <w:jc w:val="center"/>
            </w:pPr>
            <w:r/>
            <w:r>
              <w:rPr>
                <w:rFonts w:ascii="Times New Roman" w:hAnsi="Times New Roman" w:eastAsia="宋体"/>
                <w:b w:val="0"/>
                <w:sz w:val="21"/>
              </w:rPr>
              <w:t>居民人均消费支出</w:t>
            </w:r>
          </w:p>
        </w:tc>
        <w:tc>
          <w:tcPr>
            <w:tcW w:type="dxa" w:w="2078"/>
          </w:tcPr>
          <w:p>
            <w:pPr>
              <w:jc w:val="center"/>
            </w:pPr>
            <w:r/>
            <w:r>
              <w:rPr>
                <w:rFonts w:ascii="Times New Roman" w:hAnsi="Times New Roman" w:eastAsia="宋体"/>
                <w:b w:val="0"/>
                <w:sz w:val="21"/>
              </w:rPr>
              <w:t>0.560</w:t>
            </w:r>
          </w:p>
        </w:tc>
      </w:tr>
    </w:tbl>
    <w:p>
      <w:pPr>
        <w:spacing w:after="0"/>
      </w:pPr>
    </w:p>
    <w:p>
      <w:pPr>
        <w:spacing w:after="120"/>
        <w:jc w:val="left"/>
      </w:pPr>
      <w:r>
        <w:rPr>
          <w:rFonts w:ascii="Times New Roman" w:hAnsi="Times New Roman" w:eastAsia="宋体"/>
          <w:b w:val="0"/>
          <w:sz w:val="21"/>
        </w:rPr>
        <w:t>注：分辨系数</w:t>
      </w:r>
      <m:oMath>
        <m:r>
          <w:rPr>
            <w:rFonts w:ascii="Cambria Math" w:hAnsi="Cambria Math"/>
          </w:rPr>
          <m:t xml:space="preserve">ρ</m:t>
        </m:r>
      </m:oMath>
      <w:r>
        <w:rPr>
          <w:rFonts w:ascii="Times New Roman" w:hAnsi="Times New Roman" w:eastAsia="宋体"/>
          <w:b w:val="0"/>
          <w:sz w:val="21"/>
        </w:rPr>
        <w:t>取0.5；各序列经初值化处理。</w:t>
      </w:r>
    </w:p>
    <w:p>
      <w:pPr>
        <w:spacing w:line="360" w:lineRule="auto" w:after="0"/>
        <w:ind w:firstLine="480"/>
        <w:jc w:val="both"/>
      </w:pPr>
      <w:r>
        <w:rPr>
          <w:rFonts w:ascii="Times New Roman" w:hAnsi="Times New Roman" w:eastAsia="宋体"/>
          <w:b w:val="0"/>
          <w:sz w:val="24"/>
        </w:rPr>
        <w:t>结果传递出三点信息。第一，全部关联度均高于0.55，处于较强关联区间，从指标层面印证了两大系统的深度嵌套——任何单项指标的变动都与对方系统的综合演进保持着实质性关联。第二，在新质生产力一侧，数字经济核心产业占比与共同富裕指数的关联度居首（0.587），说明数字经济是新质生产力向共同富裕传导最直接的产业通道，这与浙江自2003年“数字浙江”部署、2017年数字经济“一号工程”以来的实践线索高度吻合，也与组态分析中数字普惠金融作为核心条件的发现相互呼应。第三，在共同富裕一侧，居民人均可支配收入与常住人口城镇化率与新质生产力指数的关联度并列最高（0.568），提示共同富裕反哺新质生产力的主通道，在于收入增长带来的内需扩容与城镇化推进带来的要素集聚，恰与理论模型中反哺强度</w:t>
      </w:r>
      <m:oMath>
        <m:sSub>
          <m:e>
            <m:r>
              <w:rPr>
                <w:rFonts w:ascii="Cambria Math" w:hAnsi="Cambria Math"/>
              </w:rPr>
              <m:t xml:space="preserve">η</m:t>
            </m:r>
          </m:e>
          <m:sub>
            <m:r>
              <w:rPr>
                <w:rFonts w:ascii="Cambria Math" w:hAnsi="Cambria Math"/>
              </w:rPr>
              <m:t xml:space="preserve">1</m:t>
            </m:r>
          </m:sub>
        </m:sSub>
      </m:oMath>
      <w:r>
        <w:rPr>
          <w:rFonts w:ascii="Times New Roman" w:hAnsi="Times New Roman" w:eastAsia="宋体"/>
          <w:b w:val="0"/>
          <w:sz w:val="24"/>
        </w:rPr>
        <w:t>的界定（人力资本积累、内需扩容与预期稳定）形成印证。同时应如实说明：灰色关联度的取值域较窄（0.560—0.587），排序差异幅度有限，上述通道识别应视为方向性证据而非精确的强弱排序。</w:t>
      </w:r>
    </w:p>
    <w:p>
      <w:pPr>
        <w:spacing w:line="360" w:lineRule="auto" w:after="0"/>
        <w:ind w:firstLine="480"/>
        <w:jc w:val="both"/>
      </w:pPr>
      <w:r>
        <w:rPr>
          <w:rFonts w:ascii="Times New Roman" w:hAnsi="Times New Roman" w:eastAsia="宋体"/>
          <w:b w:val="0"/>
          <w:sz w:val="24"/>
        </w:rPr>
        <w:t>沿赋能方向细读，新质生产力四项指标与</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的关联呈“数字居首、投入与效率并列、梯度平缓”的结构。数字经济核心产业占比以0.587居首，其通道优势在于数字技术的分配效应是多线程的：平台经济创造大规模非农就业、拓宽初次分配的参与面，数字普惠金融降低金融服务门槛、让小微主体与农户分享增长收益[91,101]。R&amp;D经费投入强度与全员劳动生产率的关联度并列为0.582，前者是创新投入、后者是效率产出，说明“投入—产出—分配”的传导未在中间环节明显衰减；高新技术企业数（0.583）居间而稳。这一结构与赋能强度</w:t>
      </w:r>
      <m:oMath>
        <m:sSub>
          <m:e>
            <m:r>
              <w:rPr>
                <w:rFonts w:ascii="Cambria Math" w:hAnsi="Cambria Math"/>
              </w:rPr>
              <m:t xml:space="preserve">η</m:t>
            </m:r>
          </m:e>
          <m:sub>
            <m:r>
              <w:rPr>
                <w:rFonts w:ascii="Cambria Math" w:hAnsi="Cambria Math"/>
              </w:rPr>
              <m:t xml:space="preserve">2</m:t>
            </m:r>
          </m:sub>
        </m:sSub>
      </m:oMath>
      <w:r>
        <w:rPr>
          <w:rFonts w:ascii="Times New Roman" w:hAnsi="Times New Roman" w:eastAsia="宋体"/>
          <w:b w:val="0"/>
          <w:sz w:val="24"/>
        </w:rPr>
        <w:t>所概括的机制谱系相吻合：新质生产力对共同富裕的赋能不依赖单一管道，而是就业、收入、效率多管齐下。</w:t>
      </w:r>
    </w:p>
    <w:p>
      <w:pPr>
        <w:spacing w:line="360" w:lineRule="auto" w:after="0"/>
        <w:ind w:firstLine="480"/>
        <w:jc w:val="both"/>
      </w:pPr>
      <w:r>
        <w:rPr>
          <w:rFonts w:ascii="Times New Roman" w:hAnsi="Times New Roman" w:eastAsia="宋体"/>
          <w:b w:val="0"/>
          <w:sz w:val="24"/>
        </w:rPr>
        <w:t>沿反哺方向细读，居民人均可支配收入与常住人口城镇化率并列居首（0.568），前者对应“收入—内需—创新”的需求侧回路，后者对应“城镇化—集聚—创新”的空间回路——城镇化带来的人口与产业集聚本身就是创新活动的密度红利，城镇化的共同富裕效应与集聚的生产率效应在此交汇</w:t>
      </w:r>
      <w:r>
        <w:rPr>
          <w:rFonts w:ascii="Times New Roman" w:hAnsi="Times New Roman" w:eastAsia="宋体"/>
          <w:b w:val="0"/>
          <w:sz w:val="24"/>
          <w:vertAlign w:val="superscript"/>
        </w:rPr>
        <w:t>[16,69]</w:t>
      </w:r>
      <w:r>
        <w:rPr>
          <w:rFonts w:ascii="Times New Roman" w:hAnsi="Times New Roman" w:eastAsia="宋体"/>
          <w:b w:val="0"/>
          <w:sz w:val="24"/>
        </w:rPr>
        <w:t>。人均地区生产总值（0.567）、城乡收入倍差（0.565）与农村居民收入（0.564）紧随其后，提示总量扩张与城乡收敛对创新系统的支撑大体相当，缩差本身并不牺牲反哺。居民人均消费支出的关联度最低（0.560），合理的解释是消费向创新的传导链条最长、衰减更大。上述结构与反哺强度</w:t>
      </w:r>
      <m:oMath>
        <m:sSub>
          <m:e>
            <m:r>
              <w:rPr>
                <w:rFonts w:ascii="Cambria Math" w:hAnsi="Cambria Math"/>
              </w:rPr>
              <m:t xml:space="preserve">η</m:t>
            </m:r>
          </m:e>
          <m:sub>
            <m:r>
              <w:rPr>
                <w:rFonts w:ascii="Cambria Math" w:hAnsi="Cambria Math"/>
              </w:rPr>
              <m:t xml:space="preserve">1</m:t>
            </m:r>
          </m:sub>
        </m:sSub>
      </m:oMath>
      <w:r>
        <w:rPr>
          <w:rFonts w:ascii="Times New Roman" w:hAnsi="Times New Roman" w:eastAsia="宋体"/>
          <w:b w:val="0"/>
          <w:sz w:val="24"/>
        </w:rPr>
        <w:t>的界定相互印证，也与前文</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期末反超</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的事实形成呼应：反哺回路确已接通，但消费回路的效率仍有提升空间。</w:t>
      </w:r>
    </w:p>
    <w:p>
      <w:pPr>
        <w:spacing w:line="360" w:lineRule="auto" w:after="80"/>
        <w:jc w:val="left"/>
      </w:pPr>
      <w:r>
        <w:rPr>
          <w:rFonts w:ascii="Times New Roman" w:hAnsi="Times New Roman" w:eastAsia="黑体"/>
          <w:b/>
          <w:sz w:val="28"/>
        </w:rPr>
        <w:t>（六）稳健性与敏感性检验</w:t>
      </w:r>
    </w:p>
    <w:p>
      <w:pPr>
        <w:spacing w:line="360" w:lineRule="auto" w:after="0"/>
        <w:ind w:firstLine="480"/>
        <w:jc w:val="both"/>
      </w:pPr>
      <w:r>
        <w:rPr>
          <w:rFonts w:ascii="Times New Roman" w:hAnsi="Times New Roman" w:eastAsia="宋体"/>
          <w:b w:val="0"/>
          <w:sz w:val="24"/>
        </w:rPr>
        <w:t>测度与耦合协调结论是否依赖于特定的方法选择，需要系统检验。本节从赋权方法（熵值法改为等权重）、标准化参数（上下限拓展幅度由±10%调整为±5%、±15%）与指标体系（逐一剔除单项指标复算）三个维度进行敏感性分析，结果如表9与图14所示。</w:t>
      </w:r>
    </w:p>
    <w:p>
      <w:pPr>
        <w:spacing w:before="120"/>
        <w:jc w:val="center"/>
      </w:pPr>
      <w:r>
        <w:rPr>
          <w:rFonts w:ascii="Times New Roman" w:hAnsi="Times New Roman" w:eastAsia="黑体"/>
          <w:b/>
          <w:sz w:val="21"/>
        </w:rPr>
        <w:t xml:space="preserve">表9　</w:t>
      </w:r>
      <w:r>
        <w:rPr>
          <w:rFonts w:ascii="Times New Roman" w:hAnsi="Times New Roman" w:eastAsia="宋体"/>
          <w:b/>
          <w:sz w:val="21"/>
        </w:rPr>
        <w:t>不同情境下耦合协调度D的测算结果</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
              <w:rPr>
                <w:rFonts w:ascii="Times New Roman" w:hAnsi="Times New Roman" w:eastAsia="宋体"/>
                <w:b/>
                <w:sz w:val="18"/>
              </w:rPr>
              <w:t>年份</w:t>
            </w:r>
          </w:p>
        </w:tc>
        <w:tc>
          <w:tcPr>
            <w:tcW w:type="dxa" w:w="1385"/>
          </w:tcPr>
          <w:p>
            <w:pPr>
              <w:jc w:val="center"/>
            </w:pPr>
            <w:r/>
            <w:r>
              <w:rPr>
                <w:rFonts w:ascii="Times New Roman" w:hAnsi="Times New Roman" w:eastAsia="宋体"/>
                <w:b/>
                <w:sz w:val="18"/>
              </w:rPr>
              <w:t>基准（±10%，熵值法）</w:t>
            </w:r>
          </w:p>
        </w:tc>
        <w:tc>
          <w:tcPr>
            <w:tcW w:type="dxa" w:w="1385"/>
          </w:tcPr>
          <w:p>
            <w:pPr>
              <w:jc w:val="center"/>
            </w:pPr>
            <w:r/>
            <w:r>
              <w:rPr>
                <w:rFonts w:ascii="Times New Roman" w:hAnsi="Times New Roman" w:eastAsia="宋体"/>
                <w:b/>
                <w:sz w:val="18"/>
              </w:rPr>
              <w:t>等权重</w:t>
            </w:r>
          </w:p>
        </w:tc>
        <w:tc>
          <w:tcPr>
            <w:tcW w:type="dxa" w:w="1385"/>
          </w:tcPr>
          <w:p>
            <w:pPr>
              <w:jc w:val="center"/>
            </w:pPr>
            <w:r/>
            <w:r>
              <w:rPr>
                <w:rFonts w:ascii="Times New Roman" w:hAnsi="Times New Roman" w:eastAsia="宋体"/>
                <w:b/>
                <w:sz w:val="18"/>
              </w:rPr>
              <w:t>拓展±5%</w:t>
            </w:r>
          </w:p>
        </w:tc>
        <w:tc>
          <w:tcPr>
            <w:tcW w:type="dxa" w:w="1385"/>
          </w:tcPr>
          <w:p>
            <w:pPr>
              <w:jc w:val="center"/>
            </w:pPr>
            <w:r/>
            <w:r>
              <w:rPr>
                <w:rFonts w:ascii="Times New Roman" w:hAnsi="Times New Roman" w:eastAsia="宋体"/>
                <w:b/>
                <w:sz w:val="18"/>
              </w:rPr>
              <w:t>拓展±15%</w:t>
            </w:r>
          </w:p>
        </w:tc>
        <w:tc>
          <w:tcPr>
            <w:tcW w:type="dxa" w:w="1385"/>
          </w:tcPr>
          <w:p>
            <w:pPr>
              <w:jc w:val="center"/>
            </w:pPr>
            <w:r/>
            <w:r>
              <w:rPr>
                <w:rFonts w:ascii="Times New Roman" w:hAnsi="Times New Roman" w:eastAsia="宋体"/>
                <w:b/>
                <w:sz w:val="18"/>
              </w:rPr>
              <w:t>逐一剔除单指标区间</w:t>
            </w:r>
          </w:p>
        </w:tc>
      </w:tr>
      <w:tr>
        <w:tc>
          <w:tcPr>
            <w:tcW w:type="dxa" w:w="1385"/>
          </w:tcPr>
          <w:p>
            <w:pPr>
              <w:jc w:val="center"/>
            </w:pPr>
            <w:r/>
            <w:r>
              <w:rPr>
                <w:rFonts w:ascii="Times New Roman" w:hAnsi="Times New Roman" w:eastAsia="宋体"/>
                <w:b w:val="0"/>
                <w:sz w:val="18"/>
              </w:rPr>
              <w:t>2015</w:t>
            </w:r>
          </w:p>
        </w:tc>
        <w:tc>
          <w:tcPr>
            <w:tcW w:type="dxa" w:w="1385"/>
          </w:tcPr>
          <w:p>
            <w:pPr>
              <w:jc w:val="center"/>
            </w:pPr>
            <w:r/>
            <w:r>
              <w:rPr>
                <w:rFonts w:ascii="Times New Roman" w:hAnsi="Times New Roman" w:eastAsia="宋体"/>
                <w:b w:val="0"/>
                <w:sz w:val="18"/>
              </w:rPr>
              <w:t>0.345</w:t>
            </w:r>
          </w:p>
        </w:tc>
        <w:tc>
          <w:tcPr>
            <w:tcW w:type="dxa" w:w="1385"/>
          </w:tcPr>
          <w:p>
            <w:pPr>
              <w:jc w:val="center"/>
            </w:pPr>
            <w:r/>
            <w:r>
              <w:rPr>
                <w:rFonts w:ascii="Times New Roman" w:hAnsi="Times New Roman" w:eastAsia="宋体"/>
                <w:b w:val="0"/>
                <w:sz w:val="18"/>
              </w:rPr>
              <w:t>0.393</w:t>
            </w:r>
          </w:p>
        </w:tc>
        <w:tc>
          <w:tcPr>
            <w:tcW w:type="dxa" w:w="1385"/>
          </w:tcPr>
          <w:p>
            <w:pPr>
              <w:jc w:val="center"/>
            </w:pPr>
            <w:r/>
            <w:r>
              <w:rPr>
                <w:rFonts w:ascii="Times New Roman" w:hAnsi="Times New Roman" w:eastAsia="宋体"/>
                <w:b w:val="0"/>
                <w:sz w:val="18"/>
              </w:rPr>
              <w:t>0.285</w:t>
            </w:r>
          </w:p>
        </w:tc>
        <w:tc>
          <w:tcPr>
            <w:tcW w:type="dxa" w:w="1385"/>
          </w:tcPr>
          <w:p>
            <w:pPr>
              <w:jc w:val="center"/>
            </w:pPr>
            <w:r/>
            <w:r>
              <w:rPr>
                <w:rFonts w:ascii="Times New Roman" w:hAnsi="Times New Roman" w:eastAsia="宋体"/>
                <w:b w:val="0"/>
                <w:sz w:val="18"/>
              </w:rPr>
              <w:t>0.381</w:t>
            </w:r>
          </w:p>
        </w:tc>
        <w:tc>
          <w:tcPr>
            <w:tcW w:type="dxa" w:w="1385"/>
          </w:tcPr>
          <w:p>
            <w:pPr>
              <w:jc w:val="center"/>
            </w:pPr>
            <w:r/>
            <w:r>
              <w:rPr>
                <w:rFonts w:ascii="Times New Roman" w:hAnsi="Times New Roman" w:eastAsia="宋体"/>
                <w:b w:val="0"/>
                <w:sz w:val="18"/>
              </w:rPr>
              <w:t>0.334—0.364</w:t>
            </w:r>
          </w:p>
        </w:tc>
      </w:tr>
      <w:tr>
        <w:tc>
          <w:tcPr>
            <w:tcW w:type="dxa" w:w="1385"/>
          </w:tcPr>
          <w:p>
            <w:pPr>
              <w:jc w:val="center"/>
            </w:pPr>
            <w:r/>
            <w:r>
              <w:rPr>
                <w:rFonts w:ascii="Times New Roman" w:hAnsi="Times New Roman" w:eastAsia="宋体"/>
                <w:b w:val="0"/>
                <w:sz w:val="18"/>
              </w:rPr>
              <w:t>2016</w:t>
            </w:r>
          </w:p>
        </w:tc>
        <w:tc>
          <w:tcPr>
            <w:tcW w:type="dxa" w:w="1385"/>
          </w:tcPr>
          <w:p>
            <w:pPr>
              <w:jc w:val="center"/>
            </w:pPr>
            <w:r/>
            <w:r>
              <w:rPr>
                <w:rFonts w:ascii="Times New Roman" w:hAnsi="Times New Roman" w:eastAsia="宋体"/>
                <w:b w:val="0"/>
                <w:sz w:val="18"/>
              </w:rPr>
              <w:t>0.426</w:t>
            </w:r>
          </w:p>
        </w:tc>
        <w:tc>
          <w:tcPr>
            <w:tcW w:type="dxa" w:w="1385"/>
          </w:tcPr>
          <w:p>
            <w:pPr>
              <w:jc w:val="center"/>
            </w:pPr>
            <w:r/>
            <w:r>
              <w:rPr>
                <w:rFonts w:ascii="Times New Roman" w:hAnsi="Times New Roman" w:eastAsia="宋体"/>
                <w:b w:val="0"/>
                <w:sz w:val="18"/>
              </w:rPr>
              <w:t>0.461</w:t>
            </w:r>
          </w:p>
        </w:tc>
        <w:tc>
          <w:tcPr>
            <w:tcW w:type="dxa" w:w="1385"/>
          </w:tcPr>
          <w:p>
            <w:pPr>
              <w:jc w:val="center"/>
            </w:pPr>
            <w:r/>
            <w:r>
              <w:rPr>
                <w:rFonts w:ascii="Times New Roman" w:hAnsi="Times New Roman" w:eastAsia="宋体"/>
                <w:b w:val="0"/>
                <w:sz w:val="18"/>
              </w:rPr>
              <w:t>0.392</w:t>
            </w:r>
          </w:p>
        </w:tc>
        <w:tc>
          <w:tcPr>
            <w:tcW w:type="dxa" w:w="1385"/>
          </w:tcPr>
          <w:p>
            <w:pPr>
              <w:jc w:val="center"/>
            </w:pPr>
            <w:r/>
            <w:r>
              <w:rPr>
                <w:rFonts w:ascii="Times New Roman" w:hAnsi="Times New Roman" w:eastAsia="宋体"/>
                <w:b w:val="0"/>
                <w:sz w:val="18"/>
              </w:rPr>
              <w:t>0.448</w:t>
            </w:r>
          </w:p>
        </w:tc>
        <w:tc>
          <w:tcPr>
            <w:tcW w:type="dxa" w:w="1385"/>
          </w:tcPr>
          <w:p>
            <w:pPr>
              <w:jc w:val="center"/>
            </w:pPr>
            <w:r/>
            <w:r>
              <w:rPr>
                <w:rFonts w:ascii="Times New Roman" w:hAnsi="Times New Roman" w:eastAsia="宋体"/>
                <w:b w:val="0"/>
                <w:sz w:val="18"/>
              </w:rPr>
              <w:t>0.419—0.443</w:t>
            </w:r>
          </w:p>
        </w:tc>
      </w:tr>
      <w:tr>
        <w:tc>
          <w:tcPr>
            <w:tcW w:type="dxa" w:w="1385"/>
          </w:tcPr>
          <w:p>
            <w:pPr>
              <w:jc w:val="center"/>
            </w:pPr>
            <w:r/>
            <w:r>
              <w:rPr>
                <w:rFonts w:ascii="Times New Roman" w:hAnsi="Times New Roman" w:eastAsia="宋体"/>
                <w:b w:val="0"/>
                <w:sz w:val="18"/>
              </w:rPr>
              <w:t>2017</w:t>
            </w:r>
          </w:p>
        </w:tc>
        <w:tc>
          <w:tcPr>
            <w:tcW w:type="dxa" w:w="1385"/>
          </w:tcPr>
          <w:p>
            <w:pPr>
              <w:jc w:val="center"/>
            </w:pPr>
            <w:r/>
            <w:r>
              <w:rPr>
                <w:rFonts w:ascii="Times New Roman" w:hAnsi="Times New Roman" w:eastAsia="宋体"/>
                <w:b w:val="0"/>
                <w:sz w:val="18"/>
              </w:rPr>
              <w:t>0.506</w:t>
            </w:r>
          </w:p>
        </w:tc>
        <w:tc>
          <w:tcPr>
            <w:tcW w:type="dxa" w:w="1385"/>
          </w:tcPr>
          <w:p>
            <w:pPr>
              <w:jc w:val="center"/>
            </w:pPr>
            <w:r/>
            <w:r>
              <w:rPr>
                <w:rFonts w:ascii="Times New Roman" w:hAnsi="Times New Roman" w:eastAsia="宋体"/>
                <w:b w:val="0"/>
                <w:sz w:val="18"/>
              </w:rPr>
              <w:t>0.530</w:t>
            </w:r>
          </w:p>
        </w:tc>
        <w:tc>
          <w:tcPr>
            <w:tcW w:type="dxa" w:w="1385"/>
          </w:tcPr>
          <w:p>
            <w:pPr>
              <w:jc w:val="center"/>
            </w:pPr>
            <w:r/>
            <w:r>
              <w:rPr>
                <w:rFonts w:ascii="Times New Roman" w:hAnsi="Times New Roman" w:eastAsia="宋体"/>
                <w:b w:val="0"/>
                <w:sz w:val="18"/>
              </w:rPr>
              <w:t>0.487</w:t>
            </w:r>
          </w:p>
        </w:tc>
        <w:tc>
          <w:tcPr>
            <w:tcW w:type="dxa" w:w="1385"/>
          </w:tcPr>
          <w:p>
            <w:pPr>
              <w:jc w:val="center"/>
            </w:pPr>
            <w:r/>
            <w:r>
              <w:rPr>
                <w:rFonts w:ascii="Times New Roman" w:hAnsi="Times New Roman" w:eastAsia="宋体"/>
                <w:b w:val="0"/>
                <w:sz w:val="18"/>
              </w:rPr>
              <w:t>0.518</w:t>
            </w:r>
          </w:p>
        </w:tc>
        <w:tc>
          <w:tcPr>
            <w:tcW w:type="dxa" w:w="1385"/>
          </w:tcPr>
          <w:p>
            <w:pPr>
              <w:jc w:val="center"/>
            </w:pPr>
            <w:r/>
            <w:r>
              <w:rPr>
                <w:rFonts w:ascii="Times New Roman" w:hAnsi="Times New Roman" w:eastAsia="宋体"/>
                <w:b w:val="0"/>
                <w:sz w:val="18"/>
              </w:rPr>
              <w:t>0.493—0.518</w:t>
            </w:r>
          </w:p>
        </w:tc>
      </w:tr>
      <w:tr>
        <w:tc>
          <w:tcPr>
            <w:tcW w:type="dxa" w:w="1385"/>
          </w:tcPr>
          <w:p>
            <w:pPr>
              <w:jc w:val="center"/>
            </w:pPr>
            <w:r/>
            <w:r>
              <w:rPr>
                <w:rFonts w:ascii="Times New Roman" w:hAnsi="Times New Roman" w:eastAsia="宋体"/>
                <w:b w:val="0"/>
                <w:sz w:val="18"/>
              </w:rPr>
              <w:t>2018</w:t>
            </w:r>
          </w:p>
        </w:tc>
        <w:tc>
          <w:tcPr>
            <w:tcW w:type="dxa" w:w="1385"/>
          </w:tcPr>
          <w:p>
            <w:pPr>
              <w:jc w:val="center"/>
            </w:pPr>
            <w:r/>
            <w:r>
              <w:rPr>
                <w:rFonts w:ascii="Times New Roman" w:hAnsi="Times New Roman" w:eastAsia="宋体"/>
                <w:b w:val="0"/>
                <w:sz w:val="18"/>
              </w:rPr>
              <w:t>0.575</w:t>
            </w:r>
          </w:p>
        </w:tc>
        <w:tc>
          <w:tcPr>
            <w:tcW w:type="dxa" w:w="1385"/>
          </w:tcPr>
          <w:p>
            <w:pPr>
              <w:jc w:val="center"/>
            </w:pPr>
            <w:r/>
            <w:r>
              <w:rPr>
                <w:rFonts w:ascii="Times New Roman" w:hAnsi="Times New Roman" w:eastAsia="宋体"/>
                <w:b w:val="0"/>
                <w:sz w:val="18"/>
              </w:rPr>
              <w:t>0.591</w:t>
            </w:r>
          </w:p>
        </w:tc>
        <w:tc>
          <w:tcPr>
            <w:tcW w:type="dxa" w:w="1385"/>
          </w:tcPr>
          <w:p>
            <w:pPr>
              <w:jc w:val="center"/>
            </w:pPr>
            <w:r/>
            <w:r>
              <w:rPr>
                <w:rFonts w:ascii="Times New Roman" w:hAnsi="Times New Roman" w:eastAsia="宋体"/>
                <w:b w:val="0"/>
                <w:sz w:val="18"/>
              </w:rPr>
              <w:t>0.568</w:t>
            </w:r>
          </w:p>
        </w:tc>
        <w:tc>
          <w:tcPr>
            <w:tcW w:type="dxa" w:w="1385"/>
          </w:tcPr>
          <w:p>
            <w:pPr>
              <w:jc w:val="center"/>
            </w:pPr>
            <w:r/>
            <w:r>
              <w:rPr>
                <w:rFonts w:ascii="Times New Roman" w:hAnsi="Times New Roman" w:eastAsia="宋体"/>
                <w:b w:val="0"/>
                <w:sz w:val="18"/>
              </w:rPr>
              <w:t>0.578</w:t>
            </w:r>
          </w:p>
        </w:tc>
        <w:tc>
          <w:tcPr>
            <w:tcW w:type="dxa" w:w="1385"/>
          </w:tcPr>
          <w:p>
            <w:pPr>
              <w:jc w:val="center"/>
            </w:pPr>
            <w:r/>
            <w:r>
              <w:rPr>
                <w:rFonts w:ascii="Times New Roman" w:hAnsi="Times New Roman" w:eastAsia="宋体"/>
                <w:b w:val="0"/>
                <w:sz w:val="18"/>
              </w:rPr>
              <w:t>0.562—0.586</w:t>
            </w:r>
          </w:p>
        </w:tc>
      </w:tr>
      <w:tr>
        <w:tc>
          <w:tcPr>
            <w:tcW w:type="dxa" w:w="1385"/>
          </w:tcPr>
          <w:p>
            <w:pPr>
              <w:jc w:val="center"/>
            </w:pPr>
            <w:r/>
            <w:r>
              <w:rPr>
                <w:rFonts w:ascii="Times New Roman" w:hAnsi="Times New Roman" w:eastAsia="宋体"/>
                <w:b w:val="0"/>
                <w:sz w:val="18"/>
              </w:rPr>
              <w:t>2019</w:t>
            </w:r>
          </w:p>
        </w:tc>
        <w:tc>
          <w:tcPr>
            <w:tcW w:type="dxa" w:w="1385"/>
          </w:tcPr>
          <w:p>
            <w:pPr>
              <w:jc w:val="center"/>
            </w:pPr>
            <w:r/>
            <w:r>
              <w:rPr>
                <w:rFonts w:ascii="Times New Roman" w:hAnsi="Times New Roman" w:eastAsia="宋体"/>
                <w:b w:val="0"/>
                <w:sz w:val="18"/>
              </w:rPr>
              <w:t>0.637</w:t>
            </w:r>
          </w:p>
        </w:tc>
        <w:tc>
          <w:tcPr>
            <w:tcW w:type="dxa" w:w="1385"/>
          </w:tcPr>
          <w:p>
            <w:pPr>
              <w:jc w:val="center"/>
            </w:pPr>
            <w:r/>
            <w:r>
              <w:rPr>
                <w:rFonts w:ascii="Times New Roman" w:hAnsi="Times New Roman" w:eastAsia="宋体"/>
                <w:b w:val="0"/>
                <w:sz w:val="18"/>
              </w:rPr>
              <w:t>0.643</w:t>
            </w:r>
          </w:p>
        </w:tc>
        <w:tc>
          <w:tcPr>
            <w:tcW w:type="dxa" w:w="1385"/>
          </w:tcPr>
          <w:p>
            <w:pPr>
              <w:jc w:val="center"/>
            </w:pPr>
            <w:r/>
            <w:r>
              <w:rPr>
                <w:rFonts w:ascii="Times New Roman" w:hAnsi="Times New Roman" w:eastAsia="宋体"/>
                <w:b w:val="0"/>
                <w:sz w:val="18"/>
              </w:rPr>
              <w:t>0.639</w:t>
            </w:r>
          </w:p>
        </w:tc>
        <w:tc>
          <w:tcPr>
            <w:tcW w:type="dxa" w:w="1385"/>
          </w:tcPr>
          <w:p>
            <w:pPr>
              <w:jc w:val="center"/>
            </w:pPr>
            <w:r/>
            <w:r>
              <w:rPr>
                <w:rFonts w:ascii="Times New Roman" w:hAnsi="Times New Roman" w:eastAsia="宋体"/>
                <w:b w:val="0"/>
                <w:sz w:val="18"/>
              </w:rPr>
              <w:t>0.635</w:t>
            </w:r>
          </w:p>
        </w:tc>
        <w:tc>
          <w:tcPr>
            <w:tcW w:type="dxa" w:w="1385"/>
          </w:tcPr>
          <w:p>
            <w:pPr>
              <w:jc w:val="center"/>
            </w:pPr>
            <w:r/>
            <w:r>
              <w:rPr>
                <w:rFonts w:ascii="Times New Roman" w:hAnsi="Times New Roman" w:eastAsia="宋体"/>
                <w:b w:val="0"/>
                <w:sz w:val="18"/>
              </w:rPr>
              <w:t>0.631—0.645</w:t>
            </w:r>
          </w:p>
        </w:tc>
      </w:tr>
      <w:tr>
        <w:tc>
          <w:tcPr>
            <w:tcW w:type="dxa" w:w="1385"/>
          </w:tcPr>
          <w:p>
            <w:pPr>
              <w:jc w:val="center"/>
            </w:pPr>
            <w:r/>
            <w:r>
              <w:rPr>
                <w:rFonts w:ascii="Times New Roman" w:hAnsi="Times New Roman" w:eastAsia="宋体"/>
                <w:b w:val="0"/>
                <w:sz w:val="18"/>
              </w:rPr>
              <w:t>2020</w:t>
            </w:r>
          </w:p>
        </w:tc>
        <w:tc>
          <w:tcPr>
            <w:tcW w:type="dxa" w:w="1385"/>
          </w:tcPr>
          <w:p>
            <w:pPr>
              <w:jc w:val="center"/>
            </w:pPr>
            <w:r/>
            <w:r>
              <w:rPr>
                <w:rFonts w:ascii="Times New Roman" w:hAnsi="Times New Roman" w:eastAsia="宋体"/>
                <w:b w:val="0"/>
                <w:sz w:val="18"/>
              </w:rPr>
              <w:t>0.683</w:t>
            </w:r>
          </w:p>
        </w:tc>
        <w:tc>
          <w:tcPr>
            <w:tcW w:type="dxa" w:w="1385"/>
          </w:tcPr>
          <w:p>
            <w:pPr>
              <w:jc w:val="center"/>
            </w:pPr>
            <w:r/>
            <w:r>
              <w:rPr>
                <w:rFonts w:ascii="Times New Roman" w:hAnsi="Times New Roman" w:eastAsia="宋体"/>
                <w:b w:val="0"/>
                <w:sz w:val="18"/>
              </w:rPr>
              <w:t>0.696</w:t>
            </w:r>
          </w:p>
        </w:tc>
        <w:tc>
          <w:tcPr>
            <w:tcW w:type="dxa" w:w="1385"/>
          </w:tcPr>
          <w:p>
            <w:pPr>
              <w:jc w:val="center"/>
            </w:pPr>
            <w:r/>
            <w:r>
              <w:rPr>
                <w:rFonts w:ascii="Times New Roman" w:hAnsi="Times New Roman" w:eastAsia="宋体"/>
                <w:b w:val="0"/>
                <w:sz w:val="18"/>
              </w:rPr>
              <w:t>0.697</w:t>
            </w:r>
          </w:p>
        </w:tc>
        <w:tc>
          <w:tcPr>
            <w:tcW w:type="dxa" w:w="1385"/>
          </w:tcPr>
          <w:p>
            <w:pPr>
              <w:jc w:val="center"/>
            </w:pPr>
            <w:r/>
            <w:r>
              <w:rPr>
                <w:rFonts w:ascii="Times New Roman" w:hAnsi="Times New Roman" w:eastAsia="宋体"/>
                <w:b w:val="0"/>
                <w:sz w:val="18"/>
              </w:rPr>
              <w:t>0.672</w:t>
            </w:r>
          </w:p>
        </w:tc>
        <w:tc>
          <w:tcPr>
            <w:tcW w:type="dxa" w:w="1385"/>
          </w:tcPr>
          <w:p>
            <w:pPr>
              <w:jc w:val="center"/>
            </w:pPr>
            <w:r/>
            <w:r>
              <w:rPr>
                <w:rFonts w:ascii="Times New Roman" w:hAnsi="Times New Roman" w:eastAsia="宋体"/>
                <w:b w:val="0"/>
                <w:sz w:val="18"/>
              </w:rPr>
              <w:t>0.673—0.699</w:t>
            </w:r>
          </w:p>
        </w:tc>
      </w:tr>
      <w:tr>
        <w:tc>
          <w:tcPr>
            <w:tcW w:type="dxa" w:w="1385"/>
          </w:tcPr>
          <w:p>
            <w:pPr>
              <w:jc w:val="center"/>
            </w:pPr>
            <w:r/>
            <w:r>
              <w:rPr>
                <w:rFonts w:ascii="Times New Roman" w:hAnsi="Times New Roman" w:eastAsia="宋体"/>
                <w:b w:val="0"/>
                <w:sz w:val="18"/>
              </w:rPr>
              <w:t>2021</w:t>
            </w:r>
          </w:p>
        </w:tc>
        <w:tc>
          <w:tcPr>
            <w:tcW w:type="dxa" w:w="1385"/>
          </w:tcPr>
          <w:p>
            <w:pPr>
              <w:jc w:val="center"/>
            </w:pPr>
            <w:r/>
            <w:r>
              <w:rPr>
                <w:rFonts w:ascii="Times New Roman" w:hAnsi="Times New Roman" w:eastAsia="宋体"/>
                <w:b w:val="0"/>
                <w:sz w:val="18"/>
              </w:rPr>
              <w:t>0.764</w:t>
            </w:r>
          </w:p>
        </w:tc>
        <w:tc>
          <w:tcPr>
            <w:tcW w:type="dxa" w:w="1385"/>
          </w:tcPr>
          <w:p>
            <w:pPr>
              <w:jc w:val="center"/>
            </w:pPr>
            <w:r/>
            <w:r>
              <w:rPr>
                <w:rFonts w:ascii="Times New Roman" w:hAnsi="Times New Roman" w:eastAsia="宋体"/>
                <w:b w:val="0"/>
                <w:sz w:val="18"/>
              </w:rPr>
              <w:t>0.763</w:t>
            </w:r>
          </w:p>
        </w:tc>
        <w:tc>
          <w:tcPr>
            <w:tcW w:type="dxa" w:w="1385"/>
          </w:tcPr>
          <w:p>
            <w:pPr>
              <w:jc w:val="center"/>
            </w:pPr>
            <w:r/>
            <w:r>
              <w:rPr>
                <w:rFonts w:ascii="Times New Roman" w:hAnsi="Times New Roman" w:eastAsia="宋体"/>
                <w:b w:val="0"/>
                <w:sz w:val="18"/>
              </w:rPr>
              <w:t>0.786</w:t>
            </w:r>
          </w:p>
        </w:tc>
        <w:tc>
          <w:tcPr>
            <w:tcW w:type="dxa" w:w="1385"/>
          </w:tcPr>
          <w:p>
            <w:pPr>
              <w:jc w:val="center"/>
            </w:pPr>
            <w:r/>
            <w:r>
              <w:rPr>
                <w:rFonts w:ascii="Times New Roman" w:hAnsi="Times New Roman" w:eastAsia="宋体"/>
                <w:b w:val="0"/>
                <w:sz w:val="18"/>
              </w:rPr>
              <w:t>0.748</w:t>
            </w:r>
          </w:p>
        </w:tc>
        <w:tc>
          <w:tcPr>
            <w:tcW w:type="dxa" w:w="1385"/>
          </w:tcPr>
          <w:p>
            <w:pPr>
              <w:jc w:val="center"/>
            </w:pPr>
            <w:r/>
            <w:r>
              <w:rPr>
                <w:rFonts w:ascii="Times New Roman" w:hAnsi="Times New Roman" w:eastAsia="宋体"/>
                <w:b w:val="0"/>
                <w:sz w:val="18"/>
              </w:rPr>
              <w:t>0.758—0.768</w:t>
            </w:r>
          </w:p>
        </w:tc>
      </w:tr>
      <w:tr>
        <w:tc>
          <w:tcPr>
            <w:tcW w:type="dxa" w:w="1385"/>
          </w:tcPr>
          <w:p>
            <w:pPr>
              <w:jc w:val="center"/>
            </w:pPr>
            <w:r/>
            <w:r>
              <w:rPr>
                <w:rFonts w:ascii="Times New Roman" w:hAnsi="Times New Roman" w:eastAsia="宋体"/>
                <w:b w:val="0"/>
                <w:sz w:val="18"/>
              </w:rPr>
              <w:t>2022</w:t>
            </w:r>
          </w:p>
        </w:tc>
        <w:tc>
          <w:tcPr>
            <w:tcW w:type="dxa" w:w="1385"/>
          </w:tcPr>
          <w:p>
            <w:pPr>
              <w:jc w:val="center"/>
            </w:pPr>
            <w:r/>
            <w:r>
              <w:rPr>
                <w:rFonts w:ascii="Times New Roman" w:hAnsi="Times New Roman" w:eastAsia="宋体"/>
                <w:b w:val="0"/>
                <w:sz w:val="18"/>
              </w:rPr>
              <w:t>0.809</w:t>
            </w:r>
          </w:p>
        </w:tc>
        <w:tc>
          <w:tcPr>
            <w:tcW w:type="dxa" w:w="1385"/>
          </w:tcPr>
          <w:p>
            <w:pPr>
              <w:jc w:val="center"/>
            </w:pPr>
            <w:r/>
            <w:r>
              <w:rPr>
                <w:rFonts w:ascii="Times New Roman" w:hAnsi="Times New Roman" w:eastAsia="宋体"/>
                <w:b w:val="0"/>
                <w:sz w:val="18"/>
              </w:rPr>
              <w:t>0.805</w:t>
            </w:r>
          </w:p>
        </w:tc>
        <w:tc>
          <w:tcPr>
            <w:tcW w:type="dxa" w:w="1385"/>
          </w:tcPr>
          <w:p>
            <w:pPr>
              <w:jc w:val="center"/>
            </w:pPr>
            <w:r/>
            <w:r>
              <w:rPr>
                <w:rFonts w:ascii="Times New Roman" w:hAnsi="Times New Roman" w:eastAsia="宋体"/>
                <w:b w:val="0"/>
                <w:sz w:val="18"/>
              </w:rPr>
              <w:t>0.838</w:t>
            </w:r>
          </w:p>
        </w:tc>
        <w:tc>
          <w:tcPr>
            <w:tcW w:type="dxa" w:w="1385"/>
          </w:tcPr>
          <w:p>
            <w:pPr>
              <w:jc w:val="center"/>
            </w:pPr>
            <w:r/>
            <w:r>
              <w:rPr>
                <w:rFonts w:ascii="Times New Roman" w:hAnsi="Times New Roman" w:eastAsia="宋体"/>
                <w:b w:val="0"/>
                <w:sz w:val="18"/>
              </w:rPr>
              <w:t>0.788</w:t>
            </w:r>
          </w:p>
        </w:tc>
        <w:tc>
          <w:tcPr>
            <w:tcW w:type="dxa" w:w="1385"/>
          </w:tcPr>
          <w:p>
            <w:pPr>
              <w:jc w:val="center"/>
            </w:pPr>
            <w:r/>
            <w:r>
              <w:rPr>
                <w:rFonts w:ascii="Times New Roman" w:hAnsi="Times New Roman" w:eastAsia="宋体"/>
                <w:b w:val="0"/>
                <w:sz w:val="18"/>
              </w:rPr>
              <w:t>0.806—0.814</w:t>
            </w:r>
          </w:p>
        </w:tc>
      </w:tr>
      <w:tr>
        <w:tc>
          <w:tcPr>
            <w:tcW w:type="dxa" w:w="1385"/>
          </w:tcPr>
          <w:p>
            <w:pPr>
              <w:jc w:val="center"/>
            </w:pPr>
            <w:r/>
            <w:r>
              <w:rPr>
                <w:rFonts w:ascii="Times New Roman" w:hAnsi="Times New Roman" w:eastAsia="宋体"/>
                <w:b w:val="0"/>
                <w:sz w:val="18"/>
              </w:rPr>
              <w:t>2023</w:t>
            </w:r>
          </w:p>
        </w:tc>
        <w:tc>
          <w:tcPr>
            <w:tcW w:type="dxa" w:w="1385"/>
          </w:tcPr>
          <w:p>
            <w:pPr>
              <w:jc w:val="center"/>
            </w:pPr>
            <w:r/>
            <w:r>
              <w:rPr>
                <w:rFonts w:ascii="Times New Roman" w:hAnsi="Times New Roman" w:eastAsia="宋体"/>
                <w:b w:val="0"/>
                <w:sz w:val="18"/>
              </w:rPr>
              <w:t>0.858</w:t>
            </w:r>
          </w:p>
        </w:tc>
        <w:tc>
          <w:tcPr>
            <w:tcW w:type="dxa" w:w="1385"/>
          </w:tcPr>
          <w:p>
            <w:pPr>
              <w:jc w:val="center"/>
            </w:pPr>
            <w:r/>
            <w:r>
              <w:rPr>
                <w:rFonts w:ascii="Times New Roman" w:hAnsi="Times New Roman" w:eastAsia="宋体"/>
                <w:b w:val="0"/>
                <w:sz w:val="18"/>
              </w:rPr>
              <w:t>0.849</w:t>
            </w:r>
          </w:p>
        </w:tc>
        <w:tc>
          <w:tcPr>
            <w:tcW w:type="dxa" w:w="1385"/>
          </w:tcPr>
          <w:p>
            <w:pPr>
              <w:jc w:val="center"/>
            </w:pPr>
            <w:r/>
            <w:r>
              <w:rPr>
                <w:rFonts w:ascii="Times New Roman" w:hAnsi="Times New Roman" w:eastAsia="宋体"/>
                <w:b w:val="0"/>
                <w:sz w:val="18"/>
              </w:rPr>
              <w:t>0.891</w:t>
            </w:r>
          </w:p>
        </w:tc>
        <w:tc>
          <w:tcPr>
            <w:tcW w:type="dxa" w:w="1385"/>
          </w:tcPr>
          <w:p>
            <w:pPr>
              <w:jc w:val="center"/>
            </w:pPr>
            <w:r/>
            <w:r>
              <w:rPr>
                <w:rFonts w:ascii="Times New Roman" w:hAnsi="Times New Roman" w:eastAsia="宋体"/>
                <w:b w:val="0"/>
                <w:sz w:val="18"/>
              </w:rPr>
              <w:t>0.832</w:t>
            </w:r>
          </w:p>
        </w:tc>
        <w:tc>
          <w:tcPr>
            <w:tcW w:type="dxa" w:w="1385"/>
          </w:tcPr>
          <w:p>
            <w:pPr>
              <w:jc w:val="center"/>
            </w:pPr>
            <w:r/>
            <w:r>
              <w:rPr>
                <w:rFonts w:ascii="Times New Roman" w:hAnsi="Times New Roman" w:eastAsia="宋体"/>
                <w:b w:val="0"/>
                <w:sz w:val="18"/>
              </w:rPr>
              <w:t>0.855—0.860</w:t>
            </w:r>
          </w:p>
        </w:tc>
      </w:tr>
      <w:tr>
        <w:tc>
          <w:tcPr>
            <w:tcW w:type="dxa" w:w="1385"/>
          </w:tcPr>
          <w:p>
            <w:pPr>
              <w:jc w:val="center"/>
            </w:pPr>
            <w:r/>
            <w:r>
              <w:rPr>
                <w:rFonts w:ascii="Times New Roman" w:hAnsi="Times New Roman" w:eastAsia="宋体"/>
                <w:b w:val="0"/>
                <w:sz w:val="18"/>
              </w:rPr>
              <w:t>2024</w:t>
            </w:r>
          </w:p>
        </w:tc>
        <w:tc>
          <w:tcPr>
            <w:tcW w:type="dxa" w:w="1385"/>
          </w:tcPr>
          <w:p>
            <w:pPr>
              <w:jc w:val="center"/>
            </w:pPr>
            <w:r/>
            <w:r>
              <w:rPr>
                <w:rFonts w:ascii="Times New Roman" w:hAnsi="Times New Roman" w:eastAsia="宋体"/>
                <w:b w:val="0"/>
                <w:sz w:val="18"/>
              </w:rPr>
              <w:t>0.902</w:t>
            </w:r>
          </w:p>
        </w:tc>
        <w:tc>
          <w:tcPr>
            <w:tcW w:type="dxa" w:w="1385"/>
          </w:tcPr>
          <w:p>
            <w:pPr>
              <w:jc w:val="center"/>
            </w:pPr>
            <w:r/>
            <w:r>
              <w:rPr>
                <w:rFonts w:ascii="Times New Roman" w:hAnsi="Times New Roman" w:eastAsia="宋体"/>
                <w:b w:val="0"/>
                <w:sz w:val="18"/>
              </w:rPr>
              <w:t>0.888</w:t>
            </w:r>
          </w:p>
        </w:tc>
        <w:tc>
          <w:tcPr>
            <w:tcW w:type="dxa" w:w="1385"/>
          </w:tcPr>
          <w:p>
            <w:pPr>
              <w:jc w:val="center"/>
            </w:pPr>
            <w:r/>
            <w:r>
              <w:rPr>
                <w:rFonts w:ascii="Times New Roman" w:hAnsi="Times New Roman" w:eastAsia="宋体"/>
                <w:b w:val="0"/>
                <w:sz w:val="18"/>
              </w:rPr>
              <w:t>0.939</w:t>
            </w:r>
          </w:p>
        </w:tc>
        <w:tc>
          <w:tcPr>
            <w:tcW w:type="dxa" w:w="1385"/>
          </w:tcPr>
          <w:p>
            <w:pPr>
              <w:jc w:val="center"/>
            </w:pPr>
            <w:r/>
            <w:r>
              <w:rPr>
                <w:rFonts w:ascii="Times New Roman" w:hAnsi="Times New Roman" w:eastAsia="宋体"/>
                <w:b w:val="0"/>
                <w:sz w:val="18"/>
              </w:rPr>
              <w:t>0.873</w:t>
            </w:r>
          </w:p>
        </w:tc>
        <w:tc>
          <w:tcPr>
            <w:tcW w:type="dxa" w:w="1385"/>
          </w:tcPr>
          <w:p>
            <w:pPr>
              <w:jc w:val="center"/>
            </w:pPr>
            <w:r/>
            <w:r>
              <w:rPr>
                <w:rFonts w:ascii="Times New Roman" w:hAnsi="Times New Roman" w:eastAsia="宋体"/>
                <w:b w:val="0"/>
                <w:sz w:val="18"/>
              </w:rPr>
              <w:t>0.895—0.905</w:t>
            </w:r>
          </w:p>
        </w:tc>
      </w:tr>
    </w:tbl>
    <w:p>
      <w:pPr>
        <w:spacing w:after="0"/>
      </w:pPr>
    </w:p>
    <w:p>
      <w:pPr>
        <w:spacing w:after="120"/>
        <w:jc w:val="left"/>
      </w:pPr>
      <w:r>
        <w:rPr>
          <w:rFonts w:ascii="Times New Roman" w:hAnsi="Times New Roman" w:eastAsia="宋体"/>
          <w:b w:val="0"/>
          <w:sz w:val="21"/>
        </w:rPr>
        <w:t>注：与基准情形的协调等级一致率：等权重90%、拓展±5%70%、拓展±15%80%。</w:t>
      </w:r>
    </w:p>
    <w:p>
      <w:pPr>
        <w:spacing w:before="120"/>
        <w:jc w:val="center"/>
      </w:pPr>
      <w:r>
        <w:drawing>
          <wp:inline xmlns:a="http://schemas.openxmlformats.org/drawingml/2006/main" xmlns:pic="http://schemas.openxmlformats.org/drawingml/2006/picture">
            <wp:extent cx="4271101" cy="2220407"/>
            <wp:docPr id="14" name="Picture 14"/>
            <wp:cNvGraphicFramePr>
              <a:graphicFrameLocks noChangeAspect="1"/>
            </wp:cNvGraphicFramePr>
            <a:graphic>
              <a:graphicData uri="http://schemas.openxmlformats.org/drawingml/2006/picture">
                <pic:pic>
                  <pic:nvPicPr>
                    <pic:cNvPr id="0" name="fig15_sensitivity.png"/>
                    <pic:cNvPicPr/>
                  </pic:nvPicPr>
                  <pic:blipFill>
                    <a:blip r:embed="rId22"/>
                    <a:stretch>
                      <a:fillRect/>
                    </a:stretch>
                  </pic:blipFill>
                  <pic:spPr>
                    <a:xfrm>
                      <a:off x="0" y="0"/>
                      <a:ext cx="4271101" cy="2220407"/>
                    </a:xfrm>
                    <a:prstGeom prst="rect"/>
                  </pic:spPr>
                </pic:pic>
              </a:graphicData>
            </a:graphic>
          </wp:inline>
        </w:drawing>
      </w:r>
    </w:p>
    <w:p>
      <w:pPr>
        <w:spacing w:after="80"/>
        <w:jc w:val="center"/>
      </w:pPr>
      <w:r>
        <w:rPr>
          <w:rFonts w:ascii="Times New Roman" w:hAnsi="Times New Roman" w:eastAsia="黑体"/>
          <w:b/>
          <w:sz w:val="21"/>
        </w:rPr>
        <w:t xml:space="preserve">图14　</w:t>
      </w:r>
      <w:r>
        <w:rPr>
          <w:rFonts w:ascii="Times New Roman" w:hAnsi="Times New Roman" w:eastAsia="宋体"/>
          <w:b/>
          <w:sz w:val="21"/>
        </w:rPr>
        <w:t>不同情境下耦合协调度D的敏感性比较</w:t>
      </w:r>
    </w:p>
    <w:p>
      <w:pPr>
        <w:spacing w:after="120"/>
        <w:jc w:val="left"/>
      </w:pPr>
      <w:r>
        <w:rPr>
          <w:rFonts w:ascii="Times New Roman" w:hAnsi="Times New Roman" w:eastAsia="宋体"/>
          <w:b w:val="0"/>
          <w:sz w:val="21"/>
        </w:rPr>
        <w:t>注：阴影带为逐一剔除单项指标情形下</w:t>
      </w:r>
      <m:oMath>
        <m:r>
          <w:rPr>
            <w:rFonts w:ascii="Cambria Math" w:hAnsi="Cambria Math"/>
          </w:rPr>
          <m:t xml:space="preserve">D</m:t>
        </m:r>
      </m:oMath>
      <w:r>
        <w:rPr>
          <w:rFonts w:ascii="Times New Roman" w:hAnsi="Times New Roman" w:eastAsia="宋体"/>
          <w:b w:val="0"/>
          <w:sz w:val="21"/>
        </w:rPr>
        <w:t>值的取值区间。</w:t>
      </w:r>
    </w:p>
    <w:p>
      <w:pPr>
        <w:spacing w:line="360" w:lineRule="auto" w:after="0"/>
        <w:ind w:firstLine="480"/>
        <w:jc w:val="both"/>
      </w:pPr>
      <w:r>
        <w:rPr>
          <w:rFonts w:ascii="Times New Roman" w:hAnsi="Times New Roman" w:eastAsia="宋体"/>
          <w:b w:val="0"/>
          <w:sz w:val="24"/>
        </w:rPr>
        <w:t>检验结果支持三点结论。第一，演进形态高度稳健。四种情境下</w:t>
      </w:r>
      <m:oMath>
        <m:r>
          <w:rPr>
            <w:rFonts w:ascii="Cambria Math" w:hAnsi="Cambria Math"/>
          </w:rPr>
          <m:t xml:space="preserve">D</m:t>
        </m:r>
      </m:oMath>
      <w:r>
        <w:rPr>
          <w:rFonts w:ascii="Times New Roman" w:hAnsi="Times New Roman" w:eastAsia="宋体"/>
          <w:b w:val="0"/>
          <w:sz w:val="24"/>
        </w:rPr>
        <w:t>均逐年单调上升且无一年份回调，2015年均处于失调区间、2024年均达到0.873以上的高位区间，“持续上升、逐级跃迁”的总体判断不依赖于任何特定的方法选择，命题P1的检验结论在方法扰动下保持不变。第二，等级判定在边界年份存在一定的方法敏感性。与基准情形相比，等权重、拓展±5%、拓展±15%情形下的协调等级一致率分别为90%、70%、80%，不一致年份集中于</w:t>
      </w:r>
      <m:oMath>
        <m:r>
          <w:rPr>
            <w:rFonts w:ascii="Cambria Math" w:hAnsi="Cambria Math"/>
          </w:rPr>
          <m:t xml:space="preserve">D</m:t>
        </m:r>
      </m:oMath>
      <w:r>
        <w:rPr>
          <w:rFonts w:ascii="Times New Roman" w:hAnsi="Times New Roman" w:eastAsia="宋体"/>
          <w:b w:val="0"/>
          <w:sz w:val="24"/>
        </w:rPr>
        <w:t>值贴近等级门槛的年份；其中2024年基准值0.902判为优质协调，拓展±5%情形（0.939）同为优质协调，而等权重（0.888）与拓展±15%（0.873）情形则处于良好协调区间上端。这提示2024年的等级归属处于“良好协调向优质协调跃升的临界带”，对“优质协调”的表述宜在“迈过门槛”的意义上谨慎理解，本报告的结论部分亦以演进形态而非单一等级作为主要论断依据。第三，指标体系稳健。逐一剔除任何单项指标后，各年份</w:t>
      </w:r>
      <m:oMath>
        <m:r>
          <w:rPr>
            <w:rFonts w:ascii="Cambria Math" w:hAnsi="Cambria Math"/>
          </w:rPr>
          <m:t xml:space="preserve">D</m:t>
        </m:r>
      </m:oMath>
      <w:r>
        <w:rPr>
          <w:rFonts w:ascii="Times New Roman" w:hAnsi="Times New Roman" w:eastAsia="宋体"/>
          <w:b w:val="0"/>
          <w:sz w:val="24"/>
        </w:rPr>
        <w:t>值的波动区间均很窄，2024年落于0.895—0.905之间，全样本期区间带宽最大不超过0.03，表明测度结果不受任何单一指标支配。</w:t>
      </w:r>
    </w:p>
    <w:p>
      <w:pPr>
        <w:spacing w:line="360" w:lineRule="auto" w:after="0"/>
        <w:ind w:firstLine="480"/>
        <w:jc w:val="both"/>
      </w:pPr>
      <w:r>
        <w:rPr>
          <w:rFonts w:ascii="Times New Roman" w:hAnsi="Times New Roman" w:eastAsia="宋体"/>
          <w:b w:val="0"/>
          <w:sz w:val="24"/>
        </w:rPr>
        <w:t>情境间差异的方向与幅度本身也有可解读的结构。等权重情形下，</w:t>
      </w:r>
      <m:oMath>
        <m:r>
          <w:rPr>
            <w:rFonts w:ascii="Cambria Math" w:hAnsi="Cambria Math"/>
          </w:rPr>
          <m:t xml:space="preserve">D</m:t>
        </m:r>
      </m:oMath>
      <w:r>
        <w:rPr>
          <w:rFonts w:ascii="Times New Roman" w:hAnsi="Times New Roman" w:eastAsia="宋体"/>
          <w:b w:val="0"/>
          <w:sz w:val="24"/>
        </w:rPr>
        <w:t>的十年区间由基准的0.345—0.902变为0.393—0.888，早期年份被抬高、期末年份略被压低——熵值法依据指标变异程度赋权，对样本期内改善最快的指标赋予更高权重，从而放大了动态改善的信号，等权重则将其平滑。标准化上下限的拓展幅度主要影响端点年份：拓展±5%情形下2015年</w:t>
      </w:r>
      <m:oMath>
        <m:r>
          <w:rPr>
            <w:rFonts w:ascii="Cambria Math" w:hAnsi="Cambria Math"/>
          </w:rPr>
          <m:t xml:space="preserve">D</m:t>
        </m:r>
      </m:oMath>
      <w:r>
        <w:rPr>
          <w:rFonts w:ascii="Times New Roman" w:hAnsi="Times New Roman" w:eastAsia="宋体"/>
          <w:b w:val="0"/>
          <w:sz w:val="24"/>
        </w:rPr>
        <w:t>降至0.285、2024年升至0.939，序列振幅被拉大。相比之下，区间中段年份对方法选择最不敏感，2019年四种情境下的</w:t>
      </w:r>
      <m:oMath>
        <m:r>
          <w:rPr>
            <w:rFonts w:ascii="Cambria Math" w:hAnsi="Cambria Math"/>
          </w:rPr>
          <m:t xml:space="preserve">D</m:t>
        </m:r>
      </m:oMath>
      <w:r>
        <w:rPr>
          <w:rFonts w:ascii="Times New Roman" w:hAnsi="Times New Roman" w:eastAsia="宋体"/>
          <w:b w:val="0"/>
          <w:sz w:val="24"/>
        </w:rPr>
        <w:t>值介于0.635至0.643之间、带宽不足0.01。这些差异均属方法构造的可预期后果：凡依赖端点年份绝对水平的表述需谨慎，凡依赖中段趋势与整体形态的表述则高度可靠。</w:t>
      </w:r>
    </w:p>
    <w:p>
      <w:pPr>
        <w:spacing w:line="360" w:lineRule="auto" w:after="0"/>
        <w:ind w:firstLine="480"/>
        <w:jc w:val="both"/>
      </w:pPr>
      <w:r>
        <w:rPr>
          <w:rFonts w:ascii="Times New Roman" w:hAnsi="Times New Roman" w:eastAsia="宋体"/>
          <w:b w:val="0"/>
          <w:sz w:val="24"/>
        </w:rPr>
        <w:t>在方法论层面，本节的多情境检验也是对测度研究透明性规范的践行。方法论文献针对耦合协调模型公式形式不一、等级划分随意、解读过度等问题，呼吁研究者明示模型设定并检验结论对设定的依赖；共同富裕的统计测度同样高度依赖指标遴选与权重设定，不同方案间的可比性一直是文献焦点</w:t>
      </w:r>
      <w:r>
        <w:rPr>
          <w:rFonts w:ascii="Times New Roman" w:hAnsi="Times New Roman" w:eastAsia="宋体"/>
          <w:b w:val="0"/>
          <w:sz w:val="24"/>
          <w:vertAlign w:val="superscript"/>
        </w:rPr>
        <w:t>[61,63]</w:t>
      </w:r>
      <w:r>
        <w:rPr>
          <w:rFonts w:ascii="Times New Roman" w:hAnsi="Times New Roman" w:eastAsia="宋体"/>
          <w:b w:val="0"/>
          <w:sz w:val="24"/>
        </w:rPr>
        <w:t>。本报告将三类设定的敏感性全部公开报告，并明确指出2024年等级归属处于临界带，用意在于把结论的稳健边界交给读者检视。</w:t>
      </w:r>
    </w:p>
    <w:p>
      <w:pPr>
        <w:spacing w:line="360" w:lineRule="auto" w:after="0"/>
        <w:ind w:firstLine="480"/>
        <w:jc w:val="both"/>
      </w:pPr>
      <w:r>
        <w:rPr>
          <w:rFonts w:ascii="Times New Roman" w:hAnsi="Times New Roman" w:eastAsia="宋体"/>
          <w:b w:val="0"/>
          <w:sz w:val="24"/>
        </w:rPr>
        <w:t>需要指出的是，时序对应只能提供机制归因的初步证据：单案例的时间序列既难以回答“哪些条件组合构成高共富绩效的充分路径”，也无法完全排除共时性混杂因素的干扰。省委十五届八次全会强调“把缩小城乡差距、地区差距、收入差距作为主攻方向”，浙江经验能否在全国坐标系中定位、其组态结构是否具有多元等效性，尚需跨省比较证据加以检验。命题P2的组态化检验与命题P3的验证，详见第九章基于全国省份样本的fsQCA分析。</w:t>
      </w:r>
    </w:p>
    <w:p>
      <w:pPr>
        <w:spacing w:line="360" w:lineRule="auto" w:after="160"/>
        <w:jc w:val="center"/>
      </w:pPr>
      <w:r>
        <w:rPr>
          <w:rFonts w:ascii="Times New Roman" w:hAnsi="Times New Roman" w:eastAsia="黑体"/>
          <w:b/>
          <w:sz w:val="32"/>
        </w:rPr>
        <w:t>九、实证分析Ⅲ：共富型发展的多元组态路径——基于31个省份的fsQCA</w:t>
      </w:r>
    </w:p>
    <w:p>
      <w:pPr>
        <w:spacing w:line="360" w:lineRule="auto" w:after="0"/>
        <w:ind w:firstLine="480"/>
        <w:jc w:val="both"/>
      </w:pPr>
      <w:r>
        <w:rPr>
          <w:rFonts w:ascii="Times New Roman" w:hAnsi="Times New Roman" w:eastAsia="宋体"/>
          <w:b w:val="0"/>
          <w:sz w:val="24"/>
        </w:rPr>
        <w:t>党的二十届四中全会通过的《建议》明确要求“以新发展理念引领发展，因地制宜发展新质生产力”。“因地制宜”的政策要求，内在地承认了区域要素禀赋的差异性与发展路径的多样性：不同省份的创新基础、市场结构、人口空间格局各不相同，共富型新质生产力的培育因而不应存在“唯一最优解”，而更可能表现为多种条件组合的“殊途同归”。省委十五届八次全会提出“把缩小城乡差距、地区差距、收入差距作为主攻方向”，也要求在全国坐标系中审视浙江路径的独特性与可推广性。这正是理论框架部分提出的命题P3——共富型发展存在多元等效组态路径——的现实指向。前两章基于浙江时序数据，证实了新质生产力发展指数（</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）与共同富裕指数（</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的高水平耦合协调；但单一省份的时序证据尚不足以回答“何种条件组合能够产生高共富绩效、浙江居于其中何种位置”这一比较性问题。为此，本章将视野拓展至全国31个省份，运用模糊集定性比较分析（fsQCA）识别共富型发展绩效的组态路径，检验命题P3，并对“浙江组态”作全国定位。</w:t>
      </w:r>
    </w:p>
    <w:p>
      <w:pPr>
        <w:spacing w:line="360" w:lineRule="auto" w:after="0"/>
        <w:ind w:firstLine="480"/>
        <w:jc w:val="both"/>
      </w:pPr>
      <w:r>
        <w:rPr>
          <w:rFonts w:ascii="Times New Roman" w:hAnsi="Times New Roman" w:eastAsia="宋体"/>
          <w:b w:val="0"/>
          <w:sz w:val="24"/>
        </w:rPr>
        <w:t>从方法论谱系看，QCA由拉金在比较社会学研究中开创，其初衷正在于处理中小样本下“多重并发因果”的识别难题——社会经济结果往往不是单一变量线性作用的产物，而是多个条件以特定方式组合而成的整体效应[128,129]。此后，集合论思想被系统引入组织与战略研究，确立了以组态为基本分析单元的“新组态视角”，国内学界亦已将其广泛应用于营商环境、政府治理、区域创新等复杂制度现象的解释[133,139]。共富型发展绩效恰是此类现象的典型形态：创新、金融、人力资本、市场与空间条件相互依存、彼此嵌套，其作用效果取决于所处的条件组合语境而非各自的“净效应”，传统回归分析的对称性与可加性假定难以刻画这种因果复杂性。基于此，本章遵循组态研究的通行规范展开设计，力求校准、真值表构建、结果报告与稳健性检验各环节的操作透明，使组态证据具备可复核、可对话的学术品质。</w:t>
      </w:r>
    </w:p>
    <w:p>
      <w:pPr>
        <w:spacing w:line="360" w:lineRule="auto" w:after="80"/>
        <w:jc w:val="left"/>
      </w:pPr>
      <w:r>
        <w:rPr>
          <w:rFonts w:ascii="Times New Roman" w:hAnsi="Times New Roman" w:eastAsia="黑体"/>
          <w:b/>
          <w:sz w:val="28"/>
        </w:rPr>
        <w:t>（一）研究设计：样本、变量与校准</w:t>
      </w:r>
    </w:p>
    <w:p>
      <w:pPr>
        <w:spacing w:line="360" w:lineRule="auto" w:after="0"/>
        <w:ind w:firstLine="480"/>
        <w:jc w:val="both"/>
      </w:pPr>
      <w:r>
        <w:rPr>
          <w:rFonts w:ascii="Times New Roman" w:hAnsi="Times New Roman" w:eastAsia="宋体"/>
          <w:b w:val="0"/>
          <w:sz w:val="24"/>
        </w:rPr>
        <w:t>fsQCA的方法论适配依据与模型细节已在第六章详述，此处不赘。共富型发展是创新、金融、人力资本、市场结构、空间格局等多要素联动作用的复杂系统结果，各要素间存在互补与替代关系，组态视角恰能刻画这种多重并发的组态性因果。本章直接说明样本、变量测量与校准安排，并报告组态分析结果。</w:t>
      </w:r>
    </w:p>
    <w:p>
      <w:pPr>
        <w:spacing w:line="360" w:lineRule="auto" w:after="0"/>
        <w:ind w:firstLine="480"/>
        <w:jc w:val="both"/>
      </w:pPr>
      <w:r>
        <w:rPr>
          <w:rFonts w:ascii="Times New Roman" w:hAnsi="Times New Roman" w:eastAsia="宋体"/>
          <w:b w:val="0"/>
          <w:sz w:val="24"/>
        </w:rPr>
        <w:t>就样本适配性而言，31个省份属于QCA最能发挥比较优势的中等规模样本：样本量不足以支撑大样本统计推断的渐近性质，却足以在案例间开展系统的组态比较；QCA以案例为导向，将每一个省份视为条件组合的整体而非孤立变量取值的载体，从而在保留案例整体性的同时实现跨案例的有限概化[136,141]。同时，省级行政区在统计口径、政策框架与基本制度环境上具有较高同质性，案例总体边界清晰、可比性强，满足组态分析对研究总体构造的规范要求；以5个条件对应31个案例，条件数量与案例规模的配比亦符合组态研究关于控制逻辑余项规模、避免“有限多样性”问题过度膨胀的经验规范。</w:t>
      </w:r>
    </w:p>
    <w:p>
      <w:pPr>
        <w:spacing w:line="360" w:lineRule="auto" w:after="0"/>
        <w:ind w:firstLine="480"/>
        <w:jc w:val="both"/>
      </w:pPr>
      <w:r>
        <w:rPr>
          <w:rFonts w:ascii="Times New Roman" w:hAnsi="Times New Roman" w:eastAsia="宋体"/>
          <w:b w:val="0"/>
          <w:sz w:val="24"/>
        </w:rPr>
        <w:t>本章以31个省（自治区、直辖市）为案例（不含港澳台）。结果变量为共富绩效指数，采用熵值法合成居民人均可支配收入（2024年，权重0.83）与城乡居民收入倍差（2024年，逆向指标，权重0.17），兼顾“富裕”与“共享”双重规定性，与浙江时序测度中共同富裕指数的富裕度、共享度维度保持理论同构。条件变量共5个，其选取严格对应“势能—动能—效能”三阶转化框架：一是创新投入强度，以R&amp;D经费投入强度（2023年，%）表征创新势能的积蓄强度（福建、西藏为官方经费与官方GDP推算值，广西、甘肃、青海、黑龙江为2022年官方值）；二是数字普惠金融，以北京大学数字普惠金融指数（2023年）表征金融要素的普惠供给能力</w:t>
      </w:r>
      <w:r>
        <w:rPr>
          <w:rFonts w:ascii="Times New Roman" w:hAnsi="Times New Roman" w:eastAsia="宋体"/>
          <w:b w:val="0"/>
          <w:sz w:val="24"/>
          <w:vertAlign w:val="superscript"/>
        </w:rPr>
        <w:t>[87]</w:t>
      </w:r>
      <w:r>
        <w:rPr>
          <w:rFonts w:ascii="Times New Roman" w:hAnsi="Times New Roman" w:eastAsia="宋体"/>
          <w:b w:val="0"/>
          <w:sz w:val="24"/>
        </w:rPr>
        <w:t>，其既催化势能向动能转化，又将增长收益输往小微主体与低收入群体，同时作用于成果转化关与就业分配关；三是人力资本水平，以每10万人口大学（大专及以上）文化程度人数（2020年七普）表征势能存量与人力资本反哺关的运行基础；四是民营经济活力，以中国民营企业500强入围数（2025年榜单，以2024年营收为据）表征有效市场的发育程度与产业动能的微观载体；五是城镇化水平，以常住人口城镇化率（2024年，%）表征就业容量与公共服务的空间承载。条件变量在时点上先于或同期于结果变量，一定程度上缓解了反向因果的干扰。</w:t>
      </w:r>
    </w:p>
    <w:p>
      <w:pPr>
        <w:spacing w:line="360" w:lineRule="auto" w:after="0"/>
        <w:ind w:firstLine="480"/>
        <w:jc w:val="both"/>
      </w:pPr>
      <w:r>
        <w:rPr>
          <w:rFonts w:ascii="Times New Roman" w:hAnsi="Times New Roman" w:eastAsia="宋体"/>
          <w:b w:val="0"/>
          <w:sz w:val="24"/>
        </w:rPr>
        <w:t>五个条件变量的选取均有相应的文献依据与理论指向。就创新投入而言，研发投入强度是国际通行的创新势能表征指标，居于三阶转化链条的起点。就数字普惠金融而言，已有研究表明，数字金融的地域穿透性能够缓解传统金融的排斥效应，促进包容性增长并缩小城乡收入差距，但其效应存在“数字红利”与“数字鸿沟”并存的门槛特征</w:t>
      </w:r>
      <w:r>
        <w:rPr>
          <w:rFonts w:ascii="Times New Roman" w:hAnsi="Times New Roman" w:eastAsia="宋体"/>
          <w:b w:val="0"/>
          <w:sz w:val="24"/>
          <w:vertAlign w:val="superscript"/>
        </w:rPr>
        <w:t>[89,93]</w:t>
      </w:r>
      <w:r>
        <w:rPr>
          <w:rFonts w:ascii="Times New Roman" w:hAnsi="Times New Roman" w:eastAsia="宋体"/>
          <w:b w:val="0"/>
          <w:sz w:val="24"/>
        </w:rPr>
        <w:t>——这恰恰说明其共富效应依赖于与其他条件的匹配组合，适合纳入组态框架考察。就人力资本而言，人力资本积累既是增长的发动机，也是技术吸收与扩散能力的载体[153]，以普查口径的受教育人口数据测量可保证省际可比性。就城镇化而言，文献表明城镇化通过非农就业扩容与公共服务共享发挥显著的共同富裕效应，而城市倾向政策下的城镇化滞后则是城乡差距扩大的重要根源</w:t>
      </w:r>
      <w:r>
        <w:rPr>
          <w:rFonts w:ascii="Times New Roman" w:hAnsi="Times New Roman" w:eastAsia="宋体"/>
          <w:b w:val="0"/>
          <w:sz w:val="24"/>
          <w:vertAlign w:val="superscript"/>
        </w:rPr>
        <w:t>[16,69]</w:t>
      </w:r>
      <w:r>
        <w:rPr>
          <w:rFonts w:ascii="Times New Roman" w:hAnsi="Times New Roman" w:eastAsia="宋体"/>
          <w:b w:val="0"/>
          <w:sz w:val="24"/>
        </w:rPr>
        <w:t>。就民营经济活力而言，榜单入围数背后是市场主体规模、产业组织能力与就业吸纳能力的综合投影，与本报告实践考察部分对浙江民营经济的定性刻画相互印证。五个条件分别锚定势能积蓄、金融传导、人才承接、市场载体与空间承载五个环节，共同覆盖“势能—动能—效能”转化的全链条。</w:t>
      </w:r>
    </w:p>
    <w:p>
      <w:pPr>
        <w:spacing w:line="360" w:lineRule="auto" w:after="0"/>
        <w:ind w:firstLine="480"/>
        <w:jc w:val="both"/>
      </w:pPr>
      <w:r>
        <w:rPr>
          <w:rFonts w:ascii="Times New Roman" w:hAnsi="Times New Roman" w:eastAsia="宋体"/>
          <w:b w:val="0"/>
          <w:sz w:val="24"/>
        </w:rPr>
        <w:t>校准采用直接校准法，以样本95%、50%、5%分位数分别作为完全隶属、交叉点与完全不隶属锚点，隶属度恰为0.5的案例调整为0.501以避免其在真值表分析中被剔除。各变量校准锚点如表10所示。</w:t>
      </w:r>
    </w:p>
    <w:p>
      <w:pPr>
        <w:spacing w:before="120"/>
        <w:jc w:val="center"/>
      </w:pPr>
      <w:r>
        <w:rPr>
          <w:rFonts w:ascii="Times New Roman" w:hAnsi="Times New Roman" w:eastAsia="黑体"/>
          <w:b/>
          <w:sz w:val="21"/>
        </w:rPr>
        <w:t xml:space="preserve">表10　</w:t>
      </w:r>
      <w:r>
        <w:rPr>
          <w:rFonts w:ascii="Times New Roman" w:hAnsi="Times New Roman" w:eastAsia="宋体"/>
          <w:b/>
          <w:sz w:val="21"/>
        </w:rPr>
        <w:t>校准锚点</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
              <w:rPr>
                <w:rFonts w:ascii="Times New Roman" w:hAnsi="Times New Roman" w:eastAsia="宋体"/>
                <w:b/>
                <w:sz w:val="21"/>
              </w:rPr>
              <w:t>变量</w:t>
            </w:r>
          </w:p>
        </w:tc>
        <w:tc>
          <w:tcPr>
            <w:tcW w:type="dxa" w:w="2078"/>
          </w:tcPr>
          <w:p>
            <w:pPr>
              <w:jc w:val="center"/>
            </w:pPr>
            <w:r/>
            <w:r>
              <w:rPr>
                <w:rFonts w:ascii="Times New Roman" w:hAnsi="Times New Roman" w:eastAsia="宋体"/>
                <w:b/>
                <w:sz w:val="21"/>
              </w:rPr>
              <w:t>完全隶属(95%)</w:t>
            </w:r>
          </w:p>
        </w:tc>
        <w:tc>
          <w:tcPr>
            <w:tcW w:type="dxa" w:w="2078"/>
          </w:tcPr>
          <w:p>
            <w:pPr>
              <w:jc w:val="center"/>
            </w:pPr>
            <w:r/>
            <w:r>
              <w:rPr>
                <w:rFonts w:ascii="Times New Roman" w:hAnsi="Times New Roman" w:eastAsia="宋体"/>
                <w:b/>
                <w:sz w:val="21"/>
              </w:rPr>
              <w:t>交叉点(50%)</w:t>
            </w:r>
          </w:p>
        </w:tc>
        <w:tc>
          <w:tcPr>
            <w:tcW w:type="dxa" w:w="2078"/>
          </w:tcPr>
          <w:p>
            <w:pPr>
              <w:jc w:val="center"/>
            </w:pPr>
            <w:r/>
            <w:r>
              <w:rPr>
                <w:rFonts w:ascii="Times New Roman" w:hAnsi="Times New Roman" w:eastAsia="宋体"/>
                <w:b/>
                <w:sz w:val="21"/>
              </w:rPr>
              <w:t>完全不隶属(5%)</w:t>
            </w:r>
          </w:p>
        </w:tc>
      </w:tr>
      <w:tr>
        <w:tc>
          <w:tcPr>
            <w:tcW w:type="dxa" w:w="2078"/>
          </w:tcPr>
          <w:p>
            <w:pPr>
              <w:jc w:val="center"/>
            </w:pPr>
            <w:r/>
            <w:r>
              <w:rPr>
                <w:rFonts w:ascii="Times New Roman" w:hAnsi="Times New Roman" w:eastAsia="宋体"/>
                <w:b w:val="0"/>
                <w:sz w:val="21"/>
              </w:rPr>
              <w:t>共富绩效指数</w:t>
            </w:r>
          </w:p>
        </w:tc>
        <w:tc>
          <w:tcPr>
            <w:tcW w:type="dxa" w:w="2078"/>
          </w:tcPr>
          <w:p>
            <w:pPr>
              <w:jc w:val="center"/>
            </w:pPr>
            <w:r/>
            <w:r>
              <w:rPr>
                <w:rFonts w:ascii="Times New Roman" w:hAnsi="Times New Roman" w:eastAsia="宋体"/>
                <w:b w:val="0"/>
                <w:sz w:val="21"/>
              </w:rPr>
              <w:t>0.792</w:t>
            </w:r>
          </w:p>
        </w:tc>
        <w:tc>
          <w:tcPr>
            <w:tcW w:type="dxa" w:w="2078"/>
          </w:tcPr>
          <w:p>
            <w:pPr>
              <w:jc w:val="center"/>
            </w:pPr>
            <w:r/>
            <w:r>
              <w:rPr>
                <w:rFonts w:ascii="Times New Roman" w:hAnsi="Times New Roman" w:eastAsia="宋体"/>
                <w:b w:val="0"/>
                <w:sz w:val="21"/>
              </w:rPr>
              <w:t>0.242</w:t>
            </w:r>
          </w:p>
        </w:tc>
        <w:tc>
          <w:tcPr>
            <w:tcW w:type="dxa" w:w="2078"/>
          </w:tcPr>
          <w:p>
            <w:pPr>
              <w:jc w:val="center"/>
            </w:pPr>
            <w:r/>
            <w:r>
              <w:rPr>
                <w:rFonts w:ascii="Times New Roman" w:hAnsi="Times New Roman" w:eastAsia="宋体"/>
                <w:b w:val="0"/>
                <w:sz w:val="21"/>
              </w:rPr>
              <w:t>0.073</w:t>
            </w:r>
          </w:p>
        </w:tc>
      </w:tr>
      <w:tr>
        <w:tc>
          <w:tcPr>
            <w:tcW w:type="dxa" w:w="2078"/>
          </w:tcPr>
          <w:p>
            <w:pPr>
              <w:jc w:val="center"/>
            </w:pPr>
            <w:r/>
            <w:r>
              <w:rPr>
                <w:rFonts w:ascii="Times New Roman" w:hAnsi="Times New Roman" w:eastAsia="宋体"/>
                <w:b w:val="0"/>
                <w:sz w:val="21"/>
              </w:rPr>
              <w:t>创新投入强度</w:t>
            </w:r>
          </w:p>
        </w:tc>
        <w:tc>
          <w:tcPr>
            <w:tcW w:type="dxa" w:w="2078"/>
          </w:tcPr>
          <w:p>
            <w:pPr>
              <w:jc w:val="center"/>
            </w:pPr>
            <w:r/>
            <w:r>
              <w:rPr>
                <w:rFonts w:ascii="Times New Roman" w:hAnsi="Times New Roman" w:eastAsia="宋体"/>
                <w:b w:val="0"/>
                <w:sz w:val="21"/>
              </w:rPr>
              <w:t>3.96</w:t>
            </w:r>
          </w:p>
        </w:tc>
        <w:tc>
          <w:tcPr>
            <w:tcW w:type="dxa" w:w="2078"/>
          </w:tcPr>
          <w:p>
            <w:pPr>
              <w:jc w:val="center"/>
            </w:pPr>
            <w:r/>
            <w:r>
              <w:rPr>
                <w:rFonts w:ascii="Times New Roman" w:hAnsi="Times New Roman" w:eastAsia="宋体"/>
                <w:b w:val="0"/>
                <w:sz w:val="21"/>
              </w:rPr>
              <w:t>2.08</w:t>
            </w:r>
          </w:p>
        </w:tc>
        <w:tc>
          <w:tcPr>
            <w:tcW w:type="dxa" w:w="2078"/>
          </w:tcPr>
          <w:p>
            <w:pPr>
              <w:jc w:val="center"/>
            </w:pPr>
            <w:r/>
            <w:r>
              <w:rPr>
                <w:rFonts w:ascii="Times New Roman" w:hAnsi="Times New Roman" w:eastAsia="宋体"/>
                <w:b w:val="0"/>
                <w:sz w:val="21"/>
              </w:rPr>
              <w:t>0.70</w:t>
            </w:r>
          </w:p>
        </w:tc>
      </w:tr>
      <w:tr>
        <w:tc>
          <w:tcPr>
            <w:tcW w:type="dxa" w:w="2078"/>
          </w:tcPr>
          <w:p>
            <w:pPr>
              <w:jc w:val="center"/>
            </w:pPr>
            <w:r/>
            <w:r>
              <w:rPr>
                <w:rFonts w:ascii="Times New Roman" w:hAnsi="Times New Roman" w:eastAsia="宋体"/>
                <w:b w:val="0"/>
                <w:sz w:val="21"/>
              </w:rPr>
              <w:t>数字普惠金融</w:t>
            </w:r>
          </w:p>
        </w:tc>
        <w:tc>
          <w:tcPr>
            <w:tcW w:type="dxa" w:w="2078"/>
          </w:tcPr>
          <w:p>
            <w:pPr>
              <w:jc w:val="center"/>
            </w:pPr>
            <w:r/>
            <w:r>
              <w:rPr>
                <w:rFonts w:ascii="Times New Roman" w:hAnsi="Times New Roman" w:eastAsia="宋体"/>
                <w:b w:val="0"/>
                <w:sz w:val="21"/>
              </w:rPr>
              <w:t>458.71</w:t>
            </w:r>
          </w:p>
        </w:tc>
        <w:tc>
          <w:tcPr>
            <w:tcW w:type="dxa" w:w="2078"/>
          </w:tcPr>
          <w:p>
            <w:pPr>
              <w:jc w:val="center"/>
            </w:pPr>
            <w:r/>
            <w:r>
              <w:rPr>
                <w:rFonts w:ascii="Times New Roman" w:hAnsi="Times New Roman" w:eastAsia="宋体"/>
                <w:b w:val="0"/>
                <w:sz w:val="21"/>
              </w:rPr>
              <w:t>384.24</w:t>
            </w:r>
          </w:p>
        </w:tc>
        <w:tc>
          <w:tcPr>
            <w:tcW w:type="dxa" w:w="2078"/>
          </w:tcPr>
          <w:p>
            <w:pPr>
              <w:jc w:val="center"/>
            </w:pPr>
            <w:r/>
            <w:r>
              <w:rPr>
                <w:rFonts w:ascii="Times New Roman" w:hAnsi="Times New Roman" w:eastAsia="宋体"/>
                <w:b w:val="0"/>
                <w:sz w:val="21"/>
              </w:rPr>
              <w:t>357.91</w:t>
            </w:r>
          </w:p>
        </w:tc>
      </w:tr>
      <w:tr>
        <w:tc>
          <w:tcPr>
            <w:tcW w:type="dxa" w:w="2078"/>
          </w:tcPr>
          <w:p>
            <w:pPr>
              <w:jc w:val="center"/>
            </w:pPr>
            <w:r/>
            <w:r>
              <w:rPr>
                <w:rFonts w:ascii="Times New Roman" w:hAnsi="Times New Roman" w:eastAsia="宋体"/>
                <w:b w:val="0"/>
                <w:sz w:val="21"/>
              </w:rPr>
              <w:t>人力资本水平</w:t>
            </w:r>
          </w:p>
        </w:tc>
        <w:tc>
          <w:tcPr>
            <w:tcW w:type="dxa" w:w="2078"/>
          </w:tcPr>
          <w:p>
            <w:pPr>
              <w:jc w:val="center"/>
            </w:pPr>
            <w:r/>
            <w:r>
              <w:rPr>
                <w:rFonts w:ascii="Times New Roman" w:hAnsi="Times New Roman" w:eastAsia="宋体"/>
                <w:b w:val="0"/>
                <w:sz w:val="21"/>
              </w:rPr>
              <w:t>30406</w:t>
            </w:r>
          </w:p>
        </w:tc>
        <w:tc>
          <w:tcPr>
            <w:tcW w:type="dxa" w:w="2078"/>
          </w:tcPr>
          <w:p>
            <w:pPr>
              <w:jc w:val="center"/>
            </w:pPr>
            <w:r/>
            <w:r>
              <w:rPr>
                <w:rFonts w:ascii="Times New Roman" w:hAnsi="Times New Roman" w:eastAsia="宋体"/>
                <w:b w:val="0"/>
                <w:sz w:val="21"/>
              </w:rPr>
              <w:t>14880</w:t>
            </w:r>
          </w:p>
        </w:tc>
        <w:tc>
          <w:tcPr>
            <w:tcW w:type="dxa" w:w="2078"/>
          </w:tcPr>
          <w:p>
            <w:pPr>
              <w:jc w:val="center"/>
            </w:pPr>
            <w:r/>
            <w:r>
              <w:rPr>
                <w:rFonts w:ascii="Times New Roman" w:hAnsi="Times New Roman" w:eastAsia="宋体"/>
                <w:b w:val="0"/>
                <w:sz w:val="21"/>
              </w:rPr>
              <w:t>10986</w:t>
            </w:r>
          </w:p>
        </w:tc>
      </w:tr>
      <w:tr>
        <w:tc>
          <w:tcPr>
            <w:tcW w:type="dxa" w:w="2078"/>
          </w:tcPr>
          <w:p>
            <w:pPr>
              <w:jc w:val="center"/>
            </w:pPr>
            <w:r/>
            <w:r>
              <w:rPr>
                <w:rFonts w:ascii="Times New Roman" w:hAnsi="Times New Roman" w:eastAsia="宋体"/>
                <w:b w:val="0"/>
                <w:sz w:val="21"/>
              </w:rPr>
              <w:t>民营经济活力</w:t>
            </w:r>
          </w:p>
        </w:tc>
        <w:tc>
          <w:tcPr>
            <w:tcW w:type="dxa" w:w="2078"/>
          </w:tcPr>
          <w:p>
            <w:pPr>
              <w:jc w:val="center"/>
            </w:pPr>
            <w:r/>
            <w:r>
              <w:rPr>
                <w:rFonts w:ascii="Times New Roman" w:hAnsi="Times New Roman" w:eastAsia="宋体"/>
                <w:b w:val="0"/>
                <w:sz w:val="21"/>
              </w:rPr>
              <w:t>70.5</w:t>
            </w:r>
          </w:p>
        </w:tc>
        <w:tc>
          <w:tcPr>
            <w:tcW w:type="dxa" w:w="2078"/>
          </w:tcPr>
          <w:p>
            <w:pPr>
              <w:jc w:val="center"/>
            </w:pPr>
            <w:r/>
            <w:r>
              <w:rPr>
                <w:rFonts w:ascii="Times New Roman" w:hAnsi="Times New Roman" w:eastAsia="宋体"/>
                <w:b w:val="0"/>
                <w:sz w:val="21"/>
              </w:rPr>
              <w:t>5.0</w:t>
            </w:r>
          </w:p>
        </w:tc>
        <w:tc>
          <w:tcPr>
            <w:tcW w:type="dxa" w:w="2078"/>
          </w:tcPr>
          <w:p>
            <w:pPr>
              <w:jc w:val="center"/>
            </w:pPr>
            <w:r/>
            <w:r>
              <w:rPr>
                <w:rFonts w:ascii="Times New Roman" w:hAnsi="Times New Roman" w:eastAsia="宋体"/>
                <w:b w:val="0"/>
                <w:sz w:val="21"/>
              </w:rPr>
              <w:t>0.0</w:t>
            </w:r>
          </w:p>
        </w:tc>
      </w:tr>
      <w:tr>
        <w:tc>
          <w:tcPr>
            <w:tcW w:type="dxa" w:w="2078"/>
          </w:tcPr>
          <w:p>
            <w:pPr>
              <w:jc w:val="center"/>
            </w:pPr>
            <w:r/>
            <w:r>
              <w:rPr>
                <w:rFonts w:ascii="Times New Roman" w:hAnsi="Times New Roman" w:eastAsia="宋体"/>
                <w:b w:val="0"/>
                <w:sz w:val="21"/>
              </w:rPr>
              <w:t>城镇化水平</w:t>
            </w:r>
          </w:p>
        </w:tc>
        <w:tc>
          <w:tcPr>
            <w:tcW w:type="dxa" w:w="2078"/>
          </w:tcPr>
          <w:p>
            <w:pPr>
              <w:jc w:val="center"/>
            </w:pPr>
            <w:r/>
            <w:r>
              <w:rPr>
                <w:rFonts w:ascii="Times New Roman" w:hAnsi="Times New Roman" w:eastAsia="宋体"/>
                <w:b w:val="0"/>
                <w:sz w:val="21"/>
              </w:rPr>
              <w:t>87.11</w:t>
            </w:r>
          </w:p>
        </w:tc>
        <w:tc>
          <w:tcPr>
            <w:tcW w:type="dxa" w:w="2078"/>
          </w:tcPr>
          <w:p>
            <w:pPr>
              <w:jc w:val="center"/>
            </w:pPr>
            <w:r/>
            <w:r>
              <w:rPr>
                <w:rFonts w:ascii="Times New Roman" w:hAnsi="Times New Roman" w:eastAsia="宋体"/>
                <w:b w:val="0"/>
                <w:sz w:val="21"/>
              </w:rPr>
              <w:t>66.14</w:t>
            </w:r>
          </w:p>
        </w:tc>
        <w:tc>
          <w:tcPr>
            <w:tcW w:type="dxa" w:w="2078"/>
          </w:tcPr>
          <w:p>
            <w:pPr>
              <w:jc w:val="center"/>
            </w:pPr>
            <w:r/>
            <w:r>
              <w:rPr>
                <w:rFonts w:ascii="Times New Roman" w:hAnsi="Times New Roman" w:eastAsia="宋体"/>
                <w:b w:val="0"/>
                <w:sz w:val="21"/>
              </w:rPr>
              <w:t>55.38</w:t>
            </w:r>
          </w:p>
        </w:tc>
      </w:tr>
    </w:tbl>
    <w:p>
      <w:pPr>
        <w:spacing w:after="0"/>
      </w:pPr>
    </w:p>
    <w:p>
      <w:pPr>
        <w:spacing w:line="360" w:lineRule="auto" w:after="0"/>
        <w:ind w:firstLine="480"/>
        <w:jc w:val="both"/>
      </w:pPr>
      <w:r>
        <w:rPr>
          <w:rFonts w:ascii="Times New Roman" w:hAnsi="Times New Roman" w:eastAsia="宋体"/>
          <w:b w:val="0"/>
          <w:sz w:val="24"/>
        </w:rPr>
        <w:t>校准是fsQCA区别于常规定量方法的关键环节，其实质是研究者依据理论与经验知识将原始数据转换为0至1之间的集合隶属度，从而赋予数据以“集合语义”——隶属度刻画的是案例属于某一概念集合的程度，而非单纯的数值大小[129,137]。理想情形下校准锚点应取自外部理论标准，但共富绩效及各条件变量目前尚无公认的绝对阈值，采用样本分位数设定锚点遂成为此类探索性省际比较研究的通行做法；选取95%、50%与5%分位数而非样本极值作锚点，可避免个别极端案例拉伸校准区间、压缩其余案例的隶属度分异[138,155]。表10的锚点分布本身即传递了条件分布的结构信息：数字普惠金融三个锚点的取值区间相对收敛，表明经过多年发展，各省份数字金融基础设施的绝对差距已明显收窄，省际分异更多体现在使用深度与数字化程度层面；民营经济活力的交叉点仅为5.0、完全不隶属锚点为0.0，说明半数省份的民企500强入围数不超过5家，且存在整省无一入围的情形，头部民营企业的空间集聚度极高，这一右偏分布正是中国民营经济地理格局的真实写照。至于将隶属度恰为0.5的案例调整为0.501，则是为避免处于最大模糊点的案例在真值表归属判定中信息丢失的技术性处理，属于组态分析的标准操作。</w:t>
      </w:r>
    </w:p>
    <w:p>
      <w:pPr>
        <w:spacing w:line="360" w:lineRule="auto" w:after="80"/>
        <w:jc w:val="left"/>
      </w:pPr>
      <w:r>
        <w:rPr>
          <w:rFonts w:ascii="Times New Roman" w:hAnsi="Times New Roman" w:eastAsia="黑体"/>
          <w:b/>
          <w:sz w:val="28"/>
        </w:rPr>
        <w:t>（二）单条件必要性分析</w:t>
      </w:r>
    </w:p>
    <w:p>
      <w:pPr>
        <w:spacing w:line="360" w:lineRule="auto" w:after="0"/>
        <w:ind w:firstLine="480"/>
        <w:jc w:val="both"/>
      </w:pPr>
      <w:r>
        <w:rPr>
          <w:rFonts w:ascii="Times New Roman" w:hAnsi="Times New Roman" w:eastAsia="宋体"/>
          <w:b w:val="0"/>
          <w:sz w:val="24"/>
        </w:rPr>
        <w:t>组态分析之前，须先检验各单一条件是否构成结果的必要条件，判定门槛通常为一致性0.9。检验结果如表11所示。</w:t>
      </w:r>
    </w:p>
    <w:p>
      <w:pPr>
        <w:spacing w:before="120"/>
        <w:jc w:val="center"/>
      </w:pPr>
      <w:r>
        <w:rPr>
          <w:rFonts w:ascii="Times New Roman" w:hAnsi="Times New Roman" w:eastAsia="黑体"/>
          <w:b/>
          <w:sz w:val="21"/>
        </w:rPr>
        <w:t xml:space="preserve">表11　</w:t>
      </w:r>
      <w:r>
        <w:rPr>
          <w:rFonts w:ascii="Times New Roman" w:hAnsi="Times New Roman" w:eastAsia="宋体"/>
          <w:b/>
          <w:sz w:val="21"/>
        </w:rPr>
        <w:t>单条件必要性分析（一致性/覆盖度）</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center"/>
            </w:pPr>
            <w:r/>
            <w:r>
              <w:rPr>
                <w:rFonts w:ascii="Times New Roman" w:hAnsi="Times New Roman" w:eastAsia="宋体"/>
                <w:b/>
                <w:sz w:val="21"/>
              </w:rPr>
              <w:t>条件</w:t>
            </w:r>
          </w:p>
        </w:tc>
        <w:tc>
          <w:tcPr>
            <w:tcW w:type="dxa" w:w="2771"/>
          </w:tcPr>
          <w:p>
            <w:pPr>
              <w:jc w:val="center"/>
            </w:pPr>
            <w:r/>
            <w:r>
              <w:rPr>
                <w:rFonts w:ascii="Times New Roman" w:hAnsi="Times New Roman" w:eastAsia="宋体"/>
                <w:b/>
                <w:sz w:val="21"/>
              </w:rPr>
              <w:t>高共富绩效</w:t>
            </w:r>
          </w:p>
        </w:tc>
        <w:tc>
          <w:tcPr>
            <w:tcW w:type="dxa" w:w="2771"/>
          </w:tcPr>
          <w:p>
            <w:pPr>
              <w:jc w:val="center"/>
            </w:pPr>
            <w:r/>
            <w:r>
              <w:rPr>
                <w:rFonts w:ascii="Times New Roman" w:hAnsi="Times New Roman" w:eastAsia="宋体"/>
                <w:b/>
                <w:sz w:val="21"/>
              </w:rPr>
              <w:t>非高共富绩效</w:t>
            </w:r>
          </w:p>
        </w:tc>
      </w:tr>
      <w:tr>
        <w:tc>
          <w:tcPr>
            <w:tcW w:type="dxa" w:w="2771"/>
          </w:tcPr>
          <w:p>
            <w:pPr>
              <w:jc w:val="center"/>
            </w:pPr>
            <w:r/>
            <w:r>
              <w:rPr>
                <w:rFonts w:ascii="Times New Roman" w:hAnsi="Times New Roman" w:eastAsia="宋体"/>
                <w:b w:val="0"/>
                <w:sz w:val="21"/>
              </w:rPr>
              <w:t>创新投入强度</w:t>
            </w:r>
          </w:p>
        </w:tc>
        <w:tc>
          <w:tcPr>
            <w:tcW w:type="dxa" w:w="2771"/>
          </w:tcPr>
          <w:p>
            <w:pPr>
              <w:jc w:val="center"/>
            </w:pPr>
            <w:r/>
            <w:r>
              <w:rPr>
                <w:rFonts w:ascii="Times New Roman" w:hAnsi="Times New Roman" w:eastAsia="宋体"/>
                <w:b w:val="0"/>
                <w:sz w:val="21"/>
              </w:rPr>
              <w:t>0.845/0.846</w:t>
            </w:r>
          </w:p>
        </w:tc>
        <w:tc>
          <w:tcPr>
            <w:tcW w:type="dxa" w:w="2771"/>
          </w:tcPr>
          <w:p>
            <w:pPr>
              <w:jc w:val="center"/>
            </w:pPr>
            <w:r/>
            <w:r>
              <w:rPr>
                <w:rFonts w:ascii="Times New Roman" w:hAnsi="Times New Roman" w:eastAsia="宋体"/>
                <w:b w:val="0"/>
                <w:sz w:val="21"/>
              </w:rPr>
              <w:t>0.470/0.556</w:t>
            </w:r>
          </w:p>
        </w:tc>
      </w:tr>
      <w:tr>
        <w:tc>
          <w:tcPr>
            <w:tcW w:type="dxa" w:w="2771"/>
          </w:tcPr>
          <w:p>
            <w:pPr>
              <w:jc w:val="center"/>
            </w:pPr>
            <w:r/>
            <w:r>
              <w:rPr>
                <w:rFonts w:ascii="Times New Roman" w:hAnsi="Times New Roman" w:eastAsia="宋体"/>
                <w:b w:val="0"/>
                <w:sz w:val="21"/>
              </w:rPr>
              <w:t>~创新投入强度</w:t>
            </w:r>
          </w:p>
        </w:tc>
        <w:tc>
          <w:tcPr>
            <w:tcW w:type="dxa" w:w="2771"/>
          </w:tcPr>
          <w:p>
            <w:pPr>
              <w:jc w:val="center"/>
            </w:pPr>
            <w:r/>
            <w:r>
              <w:rPr>
                <w:rFonts w:ascii="Times New Roman" w:hAnsi="Times New Roman" w:eastAsia="宋体"/>
                <w:b w:val="0"/>
                <w:sz w:val="21"/>
              </w:rPr>
              <w:t>0.556/0.470</w:t>
            </w:r>
          </w:p>
        </w:tc>
        <w:tc>
          <w:tcPr>
            <w:tcW w:type="dxa" w:w="2771"/>
          </w:tcPr>
          <w:p>
            <w:pPr>
              <w:jc w:val="center"/>
            </w:pPr>
            <w:r/>
            <w:r>
              <w:rPr>
                <w:rFonts w:ascii="Times New Roman" w:hAnsi="Times New Roman" w:eastAsia="宋体"/>
                <w:b w:val="0"/>
                <w:sz w:val="21"/>
              </w:rPr>
              <w:t>0.869/0.869</w:t>
            </w:r>
          </w:p>
        </w:tc>
      </w:tr>
      <w:tr>
        <w:tc>
          <w:tcPr>
            <w:tcW w:type="dxa" w:w="2771"/>
          </w:tcPr>
          <w:p>
            <w:pPr>
              <w:jc w:val="center"/>
            </w:pPr>
            <w:r/>
            <w:r>
              <w:rPr>
                <w:rFonts w:ascii="Times New Roman" w:hAnsi="Times New Roman" w:eastAsia="宋体"/>
                <w:b w:val="0"/>
                <w:sz w:val="21"/>
              </w:rPr>
              <w:t>数字普惠金融</w:t>
            </w:r>
          </w:p>
        </w:tc>
        <w:tc>
          <w:tcPr>
            <w:tcW w:type="dxa" w:w="2771"/>
          </w:tcPr>
          <w:p>
            <w:pPr>
              <w:jc w:val="center"/>
            </w:pPr>
            <w:r/>
            <w:r>
              <w:rPr>
                <w:rFonts w:ascii="Times New Roman" w:hAnsi="Times New Roman" w:eastAsia="宋体"/>
                <w:b w:val="0"/>
                <w:sz w:val="21"/>
              </w:rPr>
              <w:t>0.871/0.843</w:t>
            </w:r>
          </w:p>
        </w:tc>
        <w:tc>
          <w:tcPr>
            <w:tcW w:type="dxa" w:w="2771"/>
          </w:tcPr>
          <w:p>
            <w:pPr>
              <w:jc w:val="center"/>
            </w:pPr>
            <w:r/>
            <w:r>
              <w:rPr>
                <w:rFonts w:ascii="Times New Roman" w:hAnsi="Times New Roman" w:eastAsia="宋体"/>
                <w:b w:val="0"/>
                <w:sz w:val="21"/>
              </w:rPr>
              <w:t>0.494/0.566</w:t>
            </w:r>
          </w:p>
        </w:tc>
      </w:tr>
      <w:tr>
        <w:tc>
          <w:tcPr>
            <w:tcW w:type="dxa" w:w="2771"/>
          </w:tcPr>
          <w:p>
            <w:pPr>
              <w:jc w:val="center"/>
            </w:pPr>
            <w:r/>
            <w:r>
              <w:rPr>
                <w:rFonts w:ascii="Times New Roman" w:hAnsi="Times New Roman" w:eastAsia="宋体"/>
                <w:b w:val="0"/>
                <w:sz w:val="21"/>
              </w:rPr>
              <w:t>~数字普惠金融</w:t>
            </w:r>
          </w:p>
        </w:tc>
        <w:tc>
          <w:tcPr>
            <w:tcW w:type="dxa" w:w="2771"/>
          </w:tcPr>
          <w:p>
            <w:pPr>
              <w:jc w:val="center"/>
            </w:pPr>
            <w:r/>
            <w:r>
              <w:rPr>
                <w:rFonts w:ascii="Times New Roman" w:hAnsi="Times New Roman" w:eastAsia="宋体"/>
                <w:b w:val="0"/>
                <w:sz w:val="21"/>
              </w:rPr>
              <w:t>0.551/0.480</w:t>
            </w:r>
          </w:p>
        </w:tc>
        <w:tc>
          <w:tcPr>
            <w:tcW w:type="dxa" w:w="2771"/>
          </w:tcPr>
          <w:p>
            <w:pPr>
              <w:jc w:val="center"/>
            </w:pPr>
            <w:r/>
            <w:r>
              <w:rPr>
                <w:rFonts w:ascii="Times New Roman" w:hAnsi="Times New Roman" w:eastAsia="宋体"/>
                <w:b w:val="0"/>
                <w:sz w:val="21"/>
              </w:rPr>
              <w:t>0.863/0.888</w:t>
            </w:r>
          </w:p>
        </w:tc>
      </w:tr>
      <w:tr>
        <w:tc>
          <w:tcPr>
            <w:tcW w:type="dxa" w:w="2771"/>
          </w:tcPr>
          <w:p>
            <w:pPr>
              <w:jc w:val="center"/>
            </w:pPr>
            <w:r/>
            <w:r>
              <w:rPr>
                <w:rFonts w:ascii="Times New Roman" w:hAnsi="Times New Roman" w:eastAsia="宋体"/>
                <w:b w:val="0"/>
                <w:sz w:val="21"/>
              </w:rPr>
              <w:t>人力资本水平</w:t>
            </w:r>
          </w:p>
        </w:tc>
        <w:tc>
          <w:tcPr>
            <w:tcW w:type="dxa" w:w="2771"/>
          </w:tcPr>
          <w:p>
            <w:pPr>
              <w:jc w:val="center"/>
            </w:pPr>
            <w:r/>
            <w:r>
              <w:rPr>
                <w:rFonts w:ascii="Times New Roman" w:hAnsi="Times New Roman" w:eastAsia="宋体"/>
                <w:b w:val="0"/>
                <w:sz w:val="21"/>
              </w:rPr>
              <w:t>0.753/0.779</w:t>
            </w:r>
          </w:p>
        </w:tc>
        <w:tc>
          <w:tcPr>
            <w:tcW w:type="dxa" w:w="2771"/>
          </w:tcPr>
          <w:p>
            <w:pPr>
              <w:jc w:val="center"/>
            </w:pPr>
            <w:r/>
            <w:r>
              <w:rPr>
                <w:rFonts w:ascii="Times New Roman" w:hAnsi="Times New Roman" w:eastAsia="宋体"/>
                <w:b w:val="0"/>
                <w:sz w:val="21"/>
              </w:rPr>
              <w:t>0.541/0.662</w:t>
            </w:r>
          </w:p>
        </w:tc>
      </w:tr>
      <w:tr>
        <w:tc>
          <w:tcPr>
            <w:tcW w:type="dxa" w:w="2771"/>
          </w:tcPr>
          <w:p>
            <w:pPr>
              <w:jc w:val="center"/>
            </w:pPr>
            <w:r/>
            <w:r>
              <w:rPr>
                <w:rFonts w:ascii="Times New Roman" w:hAnsi="Times New Roman" w:eastAsia="宋体"/>
                <w:b w:val="0"/>
                <w:sz w:val="21"/>
              </w:rPr>
              <w:t>~人力资本水平</w:t>
            </w:r>
          </w:p>
        </w:tc>
        <w:tc>
          <w:tcPr>
            <w:tcW w:type="dxa" w:w="2771"/>
          </w:tcPr>
          <w:p>
            <w:pPr>
              <w:jc w:val="center"/>
            </w:pPr>
            <w:r/>
            <w:r>
              <w:rPr>
                <w:rFonts w:ascii="Times New Roman" w:hAnsi="Times New Roman" w:eastAsia="宋体"/>
                <w:b w:val="0"/>
                <w:sz w:val="21"/>
              </w:rPr>
              <w:t>0.673/0.554</w:t>
            </w:r>
          </w:p>
        </w:tc>
        <w:tc>
          <w:tcPr>
            <w:tcW w:type="dxa" w:w="2771"/>
          </w:tcPr>
          <w:p>
            <w:pPr>
              <w:jc w:val="center"/>
            </w:pPr>
            <w:r/>
            <w:r>
              <w:rPr>
                <w:rFonts w:ascii="Times New Roman" w:hAnsi="Times New Roman" w:eastAsia="宋体"/>
                <w:b w:val="0"/>
                <w:sz w:val="21"/>
              </w:rPr>
              <w:t>0.819/0.797</w:t>
            </w:r>
          </w:p>
        </w:tc>
      </w:tr>
      <w:tr>
        <w:tc>
          <w:tcPr>
            <w:tcW w:type="dxa" w:w="2771"/>
          </w:tcPr>
          <w:p>
            <w:pPr>
              <w:jc w:val="center"/>
            </w:pPr>
            <w:r/>
            <w:r>
              <w:rPr>
                <w:rFonts w:ascii="Times New Roman" w:hAnsi="Times New Roman" w:eastAsia="宋体"/>
                <w:b w:val="0"/>
                <w:sz w:val="21"/>
              </w:rPr>
              <w:t>民营经济活力</w:t>
            </w:r>
          </w:p>
        </w:tc>
        <w:tc>
          <w:tcPr>
            <w:tcW w:type="dxa" w:w="2771"/>
          </w:tcPr>
          <w:p>
            <w:pPr>
              <w:jc w:val="center"/>
            </w:pPr>
            <w:r/>
            <w:r>
              <w:rPr>
                <w:rFonts w:ascii="Times New Roman" w:hAnsi="Times New Roman" w:eastAsia="宋体"/>
                <w:b w:val="0"/>
                <w:sz w:val="21"/>
              </w:rPr>
              <w:t>0.810/0.842</w:t>
            </w:r>
          </w:p>
        </w:tc>
        <w:tc>
          <w:tcPr>
            <w:tcW w:type="dxa" w:w="2771"/>
          </w:tcPr>
          <w:p>
            <w:pPr>
              <w:jc w:val="center"/>
            </w:pPr>
            <w:r/>
            <w:r>
              <w:rPr>
                <w:rFonts w:ascii="Times New Roman" w:hAnsi="Times New Roman" w:eastAsia="宋体"/>
                <w:b w:val="0"/>
                <w:sz w:val="21"/>
              </w:rPr>
              <w:t>0.490/0.601</w:t>
            </w:r>
          </w:p>
        </w:tc>
      </w:tr>
      <w:tr>
        <w:tc>
          <w:tcPr>
            <w:tcW w:type="dxa" w:w="2771"/>
          </w:tcPr>
          <w:p>
            <w:pPr>
              <w:jc w:val="center"/>
            </w:pPr>
            <w:r/>
            <w:r>
              <w:rPr>
                <w:rFonts w:ascii="Times New Roman" w:hAnsi="Times New Roman" w:eastAsia="宋体"/>
                <w:b w:val="0"/>
                <w:sz w:val="21"/>
              </w:rPr>
              <w:t>~民营经济活力</w:t>
            </w:r>
          </w:p>
        </w:tc>
        <w:tc>
          <w:tcPr>
            <w:tcW w:type="dxa" w:w="2771"/>
          </w:tcPr>
          <w:p>
            <w:pPr>
              <w:jc w:val="center"/>
            </w:pPr>
            <w:r/>
            <w:r>
              <w:rPr>
                <w:rFonts w:ascii="Times New Roman" w:hAnsi="Times New Roman" w:eastAsia="宋体"/>
                <w:b w:val="0"/>
                <w:sz w:val="21"/>
              </w:rPr>
              <w:t>0.616/0.505</w:t>
            </w:r>
          </w:p>
        </w:tc>
        <w:tc>
          <w:tcPr>
            <w:tcW w:type="dxa" w:w="2771"/>
          </w:tcPr>
          <w:p>
            <w:pPr>
              <w:jc w:val="center"/>
            </w:pPr>
            <w:r/>
            <w:r>
              <w:rPr>
                <w:rFonts w:ascii="Times New Roman" w:hAnsi="Times New Roman" w:eastAsia="宋体"/>
                <w:b w:val="0"/>
                <w:sz w:val="21"/>
              </w:rPr>
              <w:t>0.871/0.844</w:t>
            </w:r>
          </w:p>
        </w:tc>
      </w:tr>
      <w:tr>
        <w:tc>
          <w:tcPr>
            <w:tcW w:type="dxa" w:w="2771"/>
          </w:tcPr>
          <w:p>
            <w:pPr>
              <w:jc w:val="center"/>
            </w:pPr>
            <w:r/>
            <w:r>
              <w:rPr>
                <w:rFonts w:ascii="Times New Roman" w:hAnsi="Times New Roman" w:eastAsia="宋体"/>
                <w:b w:val="0"/>
                <w:sz w:val="21"/>
              </w:rPr>
              <w:t>城镇化水平</w:t>
            </w:r>
          </w:p>
        </w:tc>
        <w:tc>
          <w:tcPr>
            <w:tcW w:type="dxa" w:w="2771"/>
          </w:tcPr>
          <w:p>
            <w:pPr>
              <w:jc w:val="center"/>
            </w:pPr>
            <w:r/>
            <w:r>
              <w:rPr>
                <w:rFonts w:ascii="Times New Roman" w:hAnsi="Times New Roman" w:eastAsia="宋体"/>
                <w:b w:val="0"/>
                <w:sz w:val="21"/>
              </w:rPr>
              <w:t>0.851/0.850</w:t>
            </w:r>
          </w:p>
        </w:tc>
        <w:tc>
          <w:tcPr>
            <w:tcW w:type="dxa" w:w="2771"/>
          </w:tcPr>
          <w:p>
            <w:pPr>
              <w:jc w:val="center"/>
            </w:pPr>
            <w:r/>
            <w:r>
              <w:rPr>
                <w:rFonts w:ascii="Times New Roman" w:hAnsi="Times New Roman" w:eastAsia="宋体"/>
                <w:b w:val="0"/>
                <w:sz w:val="21"/>
              </w:rPr>
              <w:t>0.497/0.586</w:t>
            </w:r>
          </w:p>
        </w:tc>
      </w:tr>
      <w:tr>
        <w:tc>
          <w:tcPr>
            <w:tcW w:type="dxa" w:w="2771"/>
          </w:tcPr>
          <w:p>
            <w:pPr>
              <w:jc w:val="center"/>
            </w:pPr>
            <w:r/>
            <w:r>
              <w:rPr>
                <w:rFonts w:ascii="Times New Roman" w:hAnsi="Times New Roman" w:eastAsia="宋体"/>
                <w:b w:val="0"/>
                <w:sz w:val="21"/>
              </w:rPr>
              <w:t>~城镇化水平</w:t>
            </w:r>
          </w:p>
        </w:tc>
        <w:tc>
          <w:tcPr>
            <w:tcW w:type="dxa" w:w="2771"/>
          </w:tcPr>
          <w:p>
            <w:pPr>
              <w:jc w:val="center"/>
            </w:pPr>
            <w:r/>
            <w:r>
              <w:rPr>
                <w:rFonts w:ascii="Times New Roman" w:hAnsi="Times New Roman" w:eastAsia="宋体"/>
                <w:b w:val="0"/>
                <w:sz w:val="21"/>
              </w:rPr>
              <w:t>0.586/0.496</w:t>
            </w:r>
          </w:p>
        </w:tc>
        <w:tc>
          <w:tcPr>
            <w:tcW w:type="dxa" w:w="2771"/>
          </w:tcPr>
          <w:p>
            <w:pPr>
              <w:jc w:val="center"/>
            </w:pPr>
            <w:r/>
            <w:r>
              <w:rPr>
                <w:rFonts w:ascii="Times New Roman" w:hAnsi="Times New Roman" w:eastAsia="宋体"/>
                <w:b w:val="0"/>
                <w:sz w:val="21"/>
              </w:rPr>
              <w:t>0.873/0.874</w:t>
            </w:r>
          </w:p>
        </w:tc>
      </w:tr>
    </w:tbl>
    <w:p>
      <w:pPr>
        <w:spacing w:after="0"/>
      </w:pPr>
    </w:p>
    <w:p>
      <w:pPr>
        <w:spacing w:after="120"/>
        <w:jc w:val="left"/>
      </w:pPr>
      <w:r>
        <w:rPr>
          <w:rFonts w:ascii="Times New Roman" w:hAnsi="Times New Roman" w:eastAsia="宋体"/>
          <w:b w:val="0"/>
          <w:sz w:val="21"/>
        </w:rPr>
        <w:t>注：~表示条件的非集（逻辑“非”）。</w:t>
      </w:r>
    </w:p>
    <w:p>
      <w:pPr>
        <w:spacing w:line="360" w:lineRule="auto" w:after="0"/>
        <w:ind w:firstLine="480"/>
        <w:jc w:val="both"/>
      </w:pPr>
      <w:r>
        <w:rPr>
          <w:rFonts w:ascii="Times New Roman" w:hAnsi="Times New Roman" w:eastAsia="宋体"/>
          <w:b w:val="0"/>
          <w:sz w:val="24"/>
        </w:rPr>
        <w:t>在集合论意义上，必要条件意味着结果集合是条件集合的子集——凡呈现高共富绩效的省份必然具备该条件；一致性衡量这一子集关系在经验数据中成立的程度，覆盖度则衡量该条件对结果的经验解释广度[135,137]。必要性检验须在真值表分析之前单独进行，因为充分性求解中的反事实简化过程可能将必要条件从解中约去，从而掩盖其基础性地位，这是组态研究方法规范反复强调的操作要点[138,147]。0.9的判定门槛意在保证必要性论断的严苛性：必要条件是“缺之不可”的强因果命题，低于该水平的条件即便与结果高度关联，也不足以支撑此种断言。</w:t>
      </w:r>
    </w:p>
    <w:p>
      <w:pPr>
        <w:spacing w:line="360" w:lineRule="auto" w:after="0"/>
        <w:ind w:firstLine="480"/>
        <w:jc w:val="both"/>
      </w:pPr>
      <w:r>
        <w:rPr>
          <w:rFonts w:ascii="Times New Roman" w:hAnsi="Times New Roman" w:eastAsia="宋体"/>
          <w:b w:val="0"/>
          <w:sz w:val="24"/>
        </w:rPr>
        <w:t>表11传递出两点关键信息。第一，无论对高共富绩效还是非高共富绩效，所有单一条件的一致性均低于0.9，不存在必要条件。这意味着任何单一要素——包括通常被寄予厚望的创新投入——都不足以单独解释共富绩效的高低，必须转入组态视角考察条件间的联动匹配，这本身构成对命题P3的初步支持。第二，在非高绩效一端，“~创新投入强度”的一致性达0.869、“~城镇化水平”达0.873，已接近必要条件量级，呈现出典型的“短板逻辑”：创新投入不足与城镇化滞后几乎是非高绩效省份的普遍特征。反向观之，创新投入与城镇化是共富型发展“缺之难成”的基础性条件；但“缺之难成”并不等于“有之必成”——这一非对称性将在后文N4组态中得到直接印证。</w:t>
      </w:r>
    </w:p>
    <w:p>
      <w:pPr>
        <w:spacing w:line="360" w:lineRule="auto" w:after="80"/>
        <w:jc w:val="left"/>
      </w:pPr>
      <w:r>
        <w:rPr>
          <w:rFonts w:ascii="Times New Roman" w:hAnsi="Times New Roman" w:eastAsia="黑体"/>
          <w:b/>
          <w:sz w:val="28"/>
        </w:rPr>
        <w:t>（三）高共富绩效组态：“创新—人才引领型”与“创新—民营协同型”</w:t>
      </w:r>
    </w:p>
    <w:p>
      <w:pPr>
        <w:spacing w:line="360" w:lineRule="auto" w:after="0"/>
        <w:ind w:firstLine="480"/>
        <w:jc w:val="both"/>
      </w:pPr>
      <w:r>
        <w:rPr>
          <w:rFonts w:ascii="Times New Roman" w:hAnsi="Times New Roman" w:eastAsia="宋体"/>
          <w:b w:val="0"/>
          <w:sz w:val="24"/>
        </w:rPr>
        <w:t>构建真值表时，设定案例频数阈值为1（与31个案例的中等样本规模相适应）、原始一致性阈值为0.8、PRI一致性阈值为0.7。分析得到两条高共富绩效组态，总体解一致性0.955、总体覆盖度0.704，即两条路径能够解释七成以上的高共富绩效案例集合，解的解释力较强。结果如表12所示。</w:t>
      </w:r>
    </w:p>
    <w:p>
      <w:pPr>
        <w:spacing w:before="120"/>
        <w:jc w:val="center"/>
      </w:pPr>
      <w:r>
        <w:rPr>
          <w:rFonts w:ascii="Times New Roman" w:hAnsi="Times New Roman" w:eastAsia="黑体"/>
          <w:b/>
          <w:sz w:val="21"/>
        </w:rPr>
        <w:t xml:space="preserve">表12　</w:t>
      </w:r>
      <w:r>
        <w:rPr>
          <w:rFonts w:ascii="Times New Roman" w:hAnsi="Times New Roman" w:eastAsia="宋体"/>
          <w:b/>
          <w:sz w:val="21"/>
        </w:rPr>
        <w:t>高共富绩效组态</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center"/>
            </w:pPr>
            <w:r/>
            <w:r>
              <w:rPr>
                <w:rFonts w:ascii="Times New Roman" w:hAnsi="Times New Roman" w:eastAsia="宋体"/>
                <w:b/>
                <w:sz w:val="21"/>
              </w:rPr>
              <w:t>条件</w:t>
            </w:r>
          </w:p>
        </w:tc>
        <w:tc>
          <w:tcPr>
            <w:tcW w:type="dxa" w:w="2771"/>
          </w:tcPr>
          <w:p>
            <w:pPr>
              <w:jc w:val="center"/>
            </w:pPr>
            <w:r/>
            <w:r>
              <w:rPr>
                <w:rFonts w:ascii="Times New Roman" w:hAnsi="Times New Roman" w:eastAsia="宋体"/>
                <w:b/>
                <w:sz w:val="21"/>
              </w:rPr>
              <w:t>S1</w:t>
            </w:r>
          </w:p>
        </w:tc>
        <w:tc>
          <w:tcPr>
            <w:tcW w:type="dxa" w:w="2771"/>
          </w:tcPr>
          <w:p>
            <w:pPr>
              <w:jc w:val="center"/>
            </w:pPr>
            <w:r/>
            <w:r>
              <w:rPr>
                <w:rFonts w:ascii="Times New Roman" w:hAnsi="Times New Roman" w:eastAsia="宋体"/>
                <w:b/>
                <w:sz w:val="21"/>
              </w:rPr>
              <w:t>S2</w:t>
            </w:r>
          </w:p>
        </w:tc>
      </w:tr>
      <w:tr>
        <w:tc>
          <w:tcPr>
            <w:tcW w:type="dxa" w:w="2771"/>
          </w:tcPr>
          <w:p>
            <w:pPr>
              <w:jc w:val="center"/>
            </w:pPr>
            <w:r/>
            <w:r>
              <w:rPr>
                <w:rFonts w:ascii="Times New Roman" w:hAnsi="Times New Roman" w:eastAsia="宋体"/>
                <w:b w:val="0"/>
                <w:sz w:val="21"/>
              </w:rPr>
              <w:t>创新投入强度</w:t>
            </w:r>
          </w:p>
        </w:tc>
        <w:tc>
          <w:tcPr>
            <w:tcW w:type="dxa" w:w="2771"/>
          </w:tcPr>
          <w:p>
            <w:pPr>
              <w:jc w:val="center"/>
            </w:pPr>
            <w:r/>
            <w:r>
              <w:rPr>
                <w:rFonts w:ascii="Times New Roman" w:hAnsi="Times New Roman" w:eastAsia="宋体"/>
                <w:b w:val="0"/>
                <w:sz w:val="21"/>
              </w:rPr>
              <w:t>●</w:t>
            </w:r>
          </w:p>
        </w:tc>
        <w:tc>
          <w:tcPr>
            <w:tcW w:type="dxa" w:w="2771"/>
          </w:tcPr>
          <w:p>
            <w:pPr>
              <w:jc w:val="center"/>
            </w:pPr>
            <w:r/>
            <w:r>
              <w:rPr>
                <w:rFonts w:ascii="Times New Roman" w:hAnsi="Times New Roman" w:eastAsia="宋体"/>
                <w:b w:val="0"/>
                <w:sz w:val="21"/>
              </w:rPr>
              <w:t>●</w:t>
            </w:r>
          </w:p>
        </w:tc>
      </w:tr>
      <w:tr>
        <w:tc>
          <w:tcPr>
            <w:tcW w:type="dxa" w:w="2771"/>
          </w:tcPr>
          <w:p>
            <w:pPr>
              <w:jc w:val="center"/>
            </w:pPr>
            <w:r/>
            <w:r>
              <w:rPr>
                <w:rFonts w:ascii="Times New Roman" w:hAnsi="Times New Roman" w:eastAsia="宋体"/>
                <w:b w:val="0"/>
                <w:sz w:val="21"/>
              </w:rPr>
              <w:t>数字普惠金融</w:t>
            </w:r>
          </w:p>
        </w:tc>
        <w:tc>
          <w:tcPr>
            <w:tcW w:type="dxa" w:w="2771"/>
          </w:tcPr>
          <w:p>
            <w:pPr>
              <w:jc w:val="center"/>
            </w:pPr>
            <w:r/>
            <w:r>
              <w:rPr>
                <w:rFonts w:ascii="Times New Roman" w:hAnsi="Times New Roman" w:eastAsia="宋体"/>
                <w:b w:val="0"/>
                <w:sz w:val="21"/>
              </w:rPr>
              <w:t>●</w:t>
            </w:r>
          </w:p>
        </w:tc>
        <w:tc>
          <w:tcPr>
            <w:tcW w:type="dxa" w:w="2771"/>
          </w:tcPr>
          <w:p>
            <w:pPr>
              <w:jc w:val="center"/>
            </w:pPr>
            <w:r/>
            <w:r>
              <w:rPr>
                <w:rFonts w:ascii="Times New Roman" w:hAnsi="Times New Roman" w:eastAsia="宋体"/>
                <w:b w:val="0"/>
                <w:sz w:val="21"/>
              </w:rPr>
              <w:t>●</w:t>
            </w:r>
          </w:p>
        </w:tc>
      </w:tr>
      <w:tr>
        <w:tc>
          <w:tcPr>
            <w:tcW w:type="dxa" w:w="2771"/>
          </w:tcPr>
          <w:p>
            <w:pPr>
              <w:jc w:val="center"/>
            </w:pPr>
            <w:r/>
            <w:r>
              <w:rPr>
                <w:rFonts w:ascii="Times New Roman" w:hAnsi="Times New Roman" w:eastAsia="宋体"/>
                <w:b w:val="0"/>
                <w:sz w:val="21"/>
              </w:rPr>
              <w:t>人力资本水平</w:t>
            </w:r>
          </w:p>
        </w:tc>
        <w:tc>
          <w:tcPr>
            <w:tcW w:type="dxa" w:w="2771"/>
          </w:tcPr>
          <w:p>
            <w:pPr>
              <w:jc w:val="center"/>
            </w:pPr>
            <w:r/>
            <w:r>
              <w:rPr>
                <w:rFonts w:ascii="Times New Roman" w:hAnsi="Times New Roman" w:eastAsia="宋体"/>
                <w:b w:val="0"/>
                <w:sz w:val="21"/>
              </w:rPr>
              <w:t>•</w:t>
            </w:r>
          </w:p>
        </w:tc>
        <w:tc>
          <w:tcPr>
            <w:tcW w:type="dxa" w:w="2771"/>
          </w:tcPr>
          <w:p>
            <w:pPr>
              <w:jc w:val="center"/>
            </w:pPr>
            <w:r/>
          </w:p>
        </w:tc>
      </w:tr>
      <w:tr>
        <w:tc>
          <w:tcPr>
            <w:tcW w:type="dxa" w:w="2771"/>
          </w:tcPr>
          <w:p>
            <w:pPr>
              <w:jc w:val="center"/>
            </w:pPr>
            <w:r/>
            <w:r>
              <w:rPr>
                <w:rFonts w:ascii="Times New Roman" w:hAnsi="Times New Roman" w:eastAsia="宋体"/>
                <w:b w:val="0"/>
                <w:sz w:val="21"/>
              </w:rPr>
              <w:t>民营经济活力</w:t>
            </w:r>
          </w:p>
        </w:tc>
        <w:tc>
          <w:tcPr>
            <w:tcW w:type="dxa" w:w="2771"/>
          </w:tcPr>
          <w:p>
            <w:pPr>
              <w:jc w:val="center"/>
            </w:pPr>
            <w:r/>
          </w:p>
        </w:tc>
        <w:tc>
          <w:tcPr>
            <w:tcW w:type="dxa" w:w="2771"/>
          </w:tcPr>
          <w:p>
            <w:pPr>
              <w:jc w:val="center"/>
            </w:pPr>
            <w:r/>
            <w:r>
              <w:rPr>
                <w:rFonts w:ascii="Times New Roman" w:hAnsi="Times New Roman" w:eastAsia="宋体"/>
                <w:b w:val="0"/>
                <w:sz w:val="21"/>
              </w:rPr>
              <w:t>•</w:t>
            </w:r>
          </w:p>
        </w:tc>
      </w:tr>
      <w:tr>
        <w:tc>
          <w:tcPr>
            <w:tcW w:type="dxa" w:w="2771"/>
          </w:tcPr>
          <w:p>
            <w:pPr>
              <w:jc w:val="center"/>
            </w:pPr>
            <w:r/>
            <w:r>
              <w:rPr>
                <w:rFonts w:ascii="Times New Roman" w:hAnsi="Times New Roman" w:eastAsia="宋体"/>
                <w:b w:val="0"/>
                <w:sz w:val="21"/>
              </w:rPr>
              <w:t>城镇化水平</w:t>
            </w:r>
          </w:p>
        </w:tc>
        <w:tc>
          <w:tcPr>
            <w:tcW w:type="dxa" w:w="2771"/>
          </w:tcPr>
          <w:p>
            <w:pPr>
              <w:jc w:val="center"/>
            </w:pPr>
            <w:r/>
            <w:r>
              <w:rPr>
                <w:rFonts w:ascii="Times New Roman" w:hAnsi="Times New Roman" w:eastAsia="宋体"/>
                <w:b w:val="0"/>
                <w:sz w:val="21"/>
              </w:rPr>
              <w:t>●</w:t>
            </w:r>
          </w:p>
        </w:tc>
        <w:tc>
          <w:tcPr>
            <w:tcW w:type="dxa" w:w="2771"/>
          </w:tcPr>
          <w:p>
            <w:pPr>
              <w:jc w:val="center"/>
            </w:pPr>
            <w:r/>
            <w:r>
              <w:rPr>
                <w:rFonts w:ascii="Times New Roman" w:hAnsi="Times New Roman" w:eastAsia="宋体"/>
                <w:b w:val="0"/>
                <w:sz w:val="21"/>
              </w:rPr>
              <w:t>●</w:t>
            </w:r>
          </w:p>
        </w:tc>
      </w:tr>
      <w:tr>
        <w:tc>
          <w:tcPr>
            <w:tcW w:type="dxa" w:w="2771"/>
          </w:tcPr>
          <w:p>
            <w:pPr>
              <w:jc w:val="center"/>
            </w:pPr>
            <w:r/>
            <w:r>
              <w:rPr>
                <w:rFonts w:ascii="Times New Roman" w:hAnsi="Times New Roman" w:eastAsia="宋体"/>
                <w:b w:val="0"/>
                <w:sz w:val="21"/>
              </w:rPr>
              <w:t>一致性</w:t>
            </w:r>
          </w:p>
        </w:tc>
        <w:tc>
          <w:tcPr>
            <w:tcW w:type="dxa" w:w="2771"/>
          </w:tcPr>
          <w:p>
            <w:pPr>
              <w:jc w:val="center"/>
            </w:pPr>
            <w:r/>
            <w:r>
              <w:rPr>
                <w:rFonts w:ascii="Times New Roman" w:hAnsi="Times New Roman" w:eastAsia="宋体"/>
                <w:b w:val="0"/>
                <w:sz w:val="21"/>
              </w:rPr>
              <w:t>0.956</w:t>
            </w:r>
          </w:p>
        </w:tc>
        <w:tc>
          <w:tcPr>
            <w:tcW w:type="dxa" w:w="2771"/>
          </w:tcPr>
          <w:p>
            <w:pPr>
              <w:jc w:val="center"/>
            </w:pPr>
            <w:r/>
            <w:r>
              <w:rPr>
                <w:rFonts w:ascii="Times New Roman" w:hAnsi="Times New Roman" w:eastAsia="宋体"/>
                <w:b w:val="0"/>
                <w:sz w:val="21"/>
              </w:rPr>
              <w:t>0.980</w:t>
            </w:r>
          </w:p>
        </w:tc>
      </w:tr>
      <w:tr>
        <w:tc>
          <w:tcPr>
            <w:tcW w:type="dxa" w:w="2771"/>
          </w:tcPr>
          <w:p>
            <w:pPr>
              <w:jc w:val="center"/>
            </w:pPr>
            <w:r/>
            <w:r>
              <w:rPr>
                <w:rFonts w:ascii="Times New Roman" w:hAnsi="Times New Roman" w:eastAsia="宋体"/>
                <w:b w:val="0"/>
                <w:sz w:val="21"/>
              </w:rPr>
              <w:t>原始覆盖度</w:t>
            </w:r>
          </w:p>
        </w:tc>
        <w:tc>
          <w:tcPr>
            <w:tcW w:type="dxa" w:w="2771"/>
          </w:tcPr>
          <w:p>
            <w:pPr>
              <w:jc w:val="center"/>
            </w:pPr>
            <w:r/>
            <w:r>
              <w:rPr>
                <w:rFonts w:ascii="Times New Roman" w:hAnsi="Times New Roman" w:eastAsia="宋体"/>
                <w:b w:val="0"/>
                <w:sz w:val="21"/>
              </w:rPr>
              <w:t>0.605</w:t>
            </w:r>
          </w:p>
        </w:tc>
        <w:tc>
          <w:tcPr>
            <w:tcW w:type="dxa" w:w="2771"/>
          </w:tcPr>
          <w:p>
            <w:pPr>
              <w:jc w:val="center"/>
            </w:pPr>
            <w:r/>
            <w:r>
              <w:rPr>
                <w:rFonts w:ascii="Times New Roman" w:hAnsi="Times New Roman" w:eastAsia="宋体"/>
                <w:b w:val="0"/>
                <w:sz w:val="21"/>
              </w:rPr>
              <w:t>0.620</w:t>
            </w:r>
          </w:p>
        </w:tc>
      </w:tr>
    </w:tbl>
    <w:p>
      <w:pPr>
        <w:spacing w:after="0"/>
      </w:pPr>
    </w:p>
    <w:p>
      <w:pPr>
        <w:spacing w:after="120"/>
        <w:jc w:val="left"/>
      </w:pPr>
      <w:r>
        <w:rPr>
          <w:rFonts w:ascii="Times New Roman" w:hAnsi="Times New Roman" w:eastAsia="宋体"/>
          <w:b w:val="0"/>
          <w:sz w:val="21"/>
        </w:rPr>
        <w:t>注：●=核心条件存在，•=边缘条件存在，⊗=核心条件缺失，○=边缘条件缺失，空白=条件可有可无。高共富绩效总体解一致性0.955、总体覆盖度0.704。</w:t>
      </w:r>
    </w:p>
    <w:p>
      <w:pPr>
        <w:spacing w:line="360" w:lineRule="auto" w:after="0"/>
        <w:ind w:firstLine="480"/>
        <w:jc w:val="both"/>
      </w:pPr>
      <w:r>
        <w:rPr>
          <w:rFonts w:ascii="Times New Roman" w:hAnsi="Times New Roman" w:eastAsia="宋体"/>
          <w:b w:val="0"/>
          <w:sz w:val="24"/>
        </w:rPr>
        <w:t>上述阈值设定均有方法论依据。案例频数阈值取1，与中等样本“尽可能保留经验信息”的原则一致，可确保进入最小化程序的真值表行覆盖样本的绝大部分案例；原始一致性阈值0.8高于组态研究的通行底线，体现了对充分性论断的从紧把握；同时引入PRI一致性阈值0.7，用以剔除那些同时构成结果集合及其补集子集的“同时子集关系”组态行，防止逻辑上自相矛盾的证据混入解集[137,138]。在标准分析程序中，本章依据理论预期设定各条件存在时有助于高共富绩效的方向性假定，通过对简单反事实与困难反事实的区别处理分别求得简约解与中间解，并按惯例以两解的嵌套比较区分条件地位——同时出现在简约解与中间解中的条件为核心条件，仅出现在中间解中的条件为边缘条件[130,131]。以中间解为主、简约解识别核心条件，是当前组态研究结果呈现的标准方式，表12即按此规范编制。</w:t>
      </w:r>
    </w:p>
    <w:p>
      <w:pPr>
        <w:spacing w:line="360" w:lineRule="auto" w:after="0"/>
        <w:ind w:firstLine="480"/>
        <w:jc w:val="both"/>
      </w:pPr>
      <w:r>
        <w:rPr>
          <w:rFonts w:ascii="Times New Roman" w:hAnsi="Times New Roman" w:eastAsia="宋体"/>
          <w:b w:val="0"/>
          <w:sz w:val="24"/>
        </w:rPr>
        <w:t>组态S1可命名为“创新—人才引领型”：以创新投入强度、数字普惠金融、城镇化水平为核心条件，辅以人力资本水平的边缘存在，一致性0.956、原始覆盖度0.605，典型省份为北京、上海、天津、重庆、江苏、浙江、湖北、广东、陕西。该路径的内在机理是：高强度研发投入积蓄创新势能，富集的人力资本承接并放大势能，数字普惠金融与高城镇化提供转化与共享的管道和载体，多见于直辖市与科教资源富集省份。组态S2可命名为“创新—民营协同型”：核心条件与S1相同，边缘条件由人力资本替换为民营经济活力，一致性高达0.980、原始覆盖度0.620，典型省份为北京、上海、天津、重庆、江苏、浙江、福建、山东、湖北、广东。该路径的机理在于：活跃的民营经济作为科技成果产业化与就业吸纳的微观主体，同时打通成果转化关与就业分配关，使创新势能经由市场机制顺畅沉淀为居民收入。</w:t>
      </w:r>
    </w:p>
    <w:p>
      <w:pPr>
        <w:spacing w:line="360" w:lineRule="auto" w:after="0"/>
        <w:ind w:firstLine="480"/>
        <w:jc w:val="both"/>
      </w:pPr>
      <w:r>
        <w:rPr>
          <w:rFonts w:ascii="Times New Roman" w:hAnsi="Times New Roman" w:eastAsia="宋体"/>
          <w:b w:val="0"/>
          <w:sz w:val="24"/>
        </w:rPr>
        <w:t>从案例分布看，S1路径的覆盖省份呈现清晰的“科教禀赋”共性。北京、上海既是研发投入与高校院所最富集的科教中枢，又具备高度成熟的城市经济形态与公共服务体系，创新势能经由密集的人才网络就地转化；天津、重庆作为直辖市，城镇化载体与教育资源的组合同样支撑了这一路径的运转。尤具解释力的是湖北与陕西：两省地处中西部，经济总量与沿海发达省份尚有差距，但武汉、西安均为全国高等教育重镇，人力资本存量在中西部省份中显著突出，数字普惠金融与城镇化亦达到较高水平，因而同样进入高共富绩效集合。这说明S1路径并非沿海省份的专利，内陆科教大省依托人才存量同样可以走通“创新—人才引领”的共富通道，组态路径具有超越东中西梯度的地理包容性。</w:t>
      </w:r>
    </w:p>
    <w:p>
      <w:pPr>
        <w:spacing w:line="360" w:lineRule="auto" w:after="0"/>
        <w:ind w:firstLine="480"/>
        <w:jc w:val="both"/>
      </w:pPr>
      <w:r>
        <w:rPr>
          <w:rFonts w:ascii="Times New Roman" w:hAnsi="Times New Roman" w:eastAsia="宋体"/>
          <w:b w:val="0"/>
          <w:sz w:val="24"/>
        </w:rPr>
        <w:t>与S1相比，S2的典型案例新增福建、山东两省，其共性在于以民营市场活力见长。福建民营经济发达，消费品制造等领域成长起一批具有全国影响力的民营企业，市场主体的就业吸纳能力强；山东民营制造业底盘厚实，大型民营企业构成产业动能的重要微观载体。两省的人力资本存量并非全国前列，却凭借活跃的民营经济完成了创新势能向居民收入的转化，恰好从侧面印证了人力资本与民营经济活力之间的替代关系：势能的承接既可以经由“人才—知识”通道，也可以经由“企业家—市场”通道，在核心条件齐备的前提下两种通道功能等效。这种多重构型等效通达同一结果的特征，与组态研究在企业战略变革等领域发现的“殊途同归”现象在逻辑上一致[143]。</w:t>
      </w:r>
    </w:p>
    <w:p>
      <w:pPr>
        <w:spacing w:line="360" w:lineRule="auto" w:after="0"/>
        <w:ind w:firstLine="480"/>
        <w:jc w:val="both"/>
      </w:pPr>
      <w:r>
        <w:rPr>
          <w:rFonts w:ascii="Times New Roman" w:hAnsi="Times New Roman" w:eastAsia="宋体"/>
          <w:b w:val="0"/>
          <w:sz w:val="24"/>
        </w:rPr>
        <w:t>进一步考察简约解可以发现，两条路径共享“创新投入×数字普惠金融×城镇化”这一核心条件组合，可称为高共富绩效的“核心三件套”。以三阶转化框架观照，其结构含义十分清晰：创新投入是势能之源，居于转化链条的起点；数字普惠金融是要素供给与普惠传导的双重管道，作用于关口Ⅰ与关口Ⅱ；城镇化则是就业容量扩张与公共服务可及的空间载体，支撑关口Ⅱ与关口Ⅲ的运转。而人力资本与民营经济活力互为替代性的边缘条件，表明在核心三件套齐备的前提下，既可以依托人才存量、也可以依托民营市场活力完成势能的承接与转化——两条路径等效通达高共富绩效，“殊途同归”的等效性正是组态因果的典型特征。两条路径的条件构型与典型案例分布如图15所示。</w:t>
      </w:r>
    </w:p>
    <w:p>
      <w:pPr>
        <w:spacing w:before="120"/>
        <w:jc w:val="center"/>
      </w:pPr>
      <w:r>
        <w:drawing>
          <wp:inline xmlns:a="http://schemas.openxmlformats.org/drawingml/2006/main" xmlns:pic="http://schemas.openxmlformats.org/drawingml/2006/picture">
            <wp:extent cx="5256000" cy="2176030"/>
            <wp:docPr id="15" name="Picture 15"/>
            <wp:cNvGraphicFramePr>
              <a:graphicFrameLocks noChangeAspect="1"/>
            </wp:cNvGraphicFramePr>
            <a:graphic>
              <a:graphicData uri="http://schemas.openxmlformats.org/drawingml/2006/picture">
                <pic:pic>
                  <pic:nvPicPr>
                    <pic:cNvPr id="0" name="fig11_qca.png"/>
                    <pic:cNvPicPr/>
                  </pic:nvPicPr>
                  <pic:blipFill>
                    <a:blip r:embed="rId23"/>
                    <a:stretch>
                      <a:fillRect/>
                    </a:stretch>
                  </pic:blipFill>
                  <pic:spPr>
                    <a:xfrm>
                      <a:off x="0" y="0"/>
                      <a:ext cx="5256000" cy="2176030"/>
                    </a:xfrm>
                    <a:prstGeom prst="rect"/>
                  </pic:spPr>
                </pic:pic>
              </a:graphicData>
            </a:graphic>
          </wp:inline>
        </w:drawing>
      </w:r>
    </w:p>
    <w:p>
      <w:pPr>
        <w:spacing w:after="80"/>
        <w:jc w:val="center"/>
      </w:pPr>
      <w:r>
        <w:rPr>
          <w:rFonts w:ascii="Times New Roman" w:hAnsi="Times New Roman" w:eastAsia="黑体"/>
          <w:b/>
          <w:sz w:val="21"/>
        </w:rPr>
        <w:t xml:space="preserve">图15　</w:t>
      </w:r>
      <w:r>
        <w:rPr>
          <w:rFonts w:ascii="Times New Roman" w:hAnsi="Times New Roman" w:eastAsia="宋体"/>
          <w:b/>
          <w:sz w:val="21"/>
        </w:rPr>
        <w:t>共富型发展绩效的组态路径（31个省份fsQCA分析）</w:t>
      </w:r>
    </w:p>
    <w:p>
      <w:pPr>
        <w:spacing w:after="120"/>
        <w:jc w:val="left"/>
      </w:pPr>
      <w:r>
        <w:rPr>
          <w:rFonts w:ascii="Times New Roman" w:hAnsi="Times New Roman" w:eastAsia="宋体"/>
          <w:b w:val="0"/>
          <w:sz w:val="21"/>
        </w:rPr>
        <w:t>注：实心圆表示核心条件存在，空心圆表示边缘条件存在，带×表示相应条件缺失，空白表示条件可有可无。</w:t>
      </w:r>
    </w:p>
    <w:p>
      <w:pPr>
        <w:spacing w:line="360" w:lineRule="auto" w:after="0"/>
        <w:ind w:firstLine="480"/>
        <w:jc w:val="both"/>
      </w:pPr>
      <w:r>
        <w:rPr>
          <w:rFonts w:ascii="Times New Roman" w:hAnsi="Times New Roman" w:eastAsia="宋体"/>
          <w:b w:val="0"/>
          <w:sz w:val="24"/>
        </w:rPr>
        <w:t>尤须深描的是“浙江组态”。其一，真值表中一致性最高的组态为“五条件俱全”型（覆盖8个案例，一致性0.986、PRI一致性0.968），浙江与北京、上海、江苏、广东等同属之；浙江同时落入S1与S2两条路径，属于典型的全要素协同案例。其二，在五个条件中，民营经济活力是浙江最具辨识度的条件：2025年中国民营企业500强浙江入围107家、连续27年居全国第一；2024年民营经济增加值占GDP的67.4%，规模以上工业民营企业5.5万家、占92.7%，增加值占72.4%。其三，其余条件同样处于高隶属区间：2024年浙江R&amp;D经费2901.4亿元、居全国第4，投入强度3.22%；数字经济核心产业增加值11060亿元、占GDP的12.3%；常住人口城镇化率75.5%；城乡居民收入倍差1.83，明显优于全国的2.34。据此，“浙江组态”可概括为“创新引领×数字金融×民营活力×城乡融合”的全要素协同型。值得注意的是，浙江的创新投入强度并非全国极值——2024年北京R&amp;D强度达6.58%、上海4.35%，均远高于浙江，但两市城乡倍差分别为2.32和2.04；浙江以并非最高的创新投入取得了突出的共富绩效（2024年居民人均可支配收入67013元、城乡倍差1.83），说明共富绩效并不取决于单项条件的极值，而取决于条件之间的耦合协同与转化链条的完整贯通——这正是“共富型新质生产力”概念的经验映像。</w:t>
      </w:r>
    </w:p>
    <w:p>
      <w:pPr>
        <w:spacing w:line="360" w:lineRule="auto" w:after="0"/>
        <w:ind w:firstLine="480"/>
        <w:jc w:val="both"/>
      </w:pPr>
      <w:r>
        <w:rPr>
          <w:rFonts w:ascii="Times New Roman" w:hAnsi="Times New Roman" w:eastAsia="宋体"/>
          <w:b w:val="0"/>
          <w:sz w:val="24"/>
        </w:rPr>
        <w:t>“浙江组态”的深层含义在于要素之间的乘数式耦合而非简单加总。民营经济活力之所以成为浙江最具辨识度的条件，不仅因其规模居前，更因其在组态中同时联通创新与分配两端：民营企业既是研发投入与数字技术应用的微观主体，又是就业创造与劳动报酬形成的第一载体，从而将理论模型中</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所刻画的成果转化效率与</w:t>
      </w:r>
      <m:oMath>
        <m:sSub>
          <m:e>
            <m:r>
              <w:rPr>
                <w:rFonts w:ascii="Cambria Math" w:hAnsi="Cambria Math"/>
              </w:rPr>
              <m:t xml:space="preserve">θ</m:t>
            </m:r>
          </m:e>
          <m:sub>
            <m:r>
              <w:rPr>
                <w:rFonts w:ascii="Cambria Math" w:hAnsi="Cambria Math"/>
              </w:rPr>
              <m:t xml:space="preserve">2</m:t>
            </m:r>
          </m:sub>
        </m:sSub>
      </m:oMath>
      <w:r>
        <w:rPr>
          <w:rFonts w:ascii="Times New Roman" w:hAnsi="Times New Roman" w:eastAsia="宋体"/>
          <w:b w:val="0"/>
          <w:sz w:val="24"/>
        </w:rPr>
        <w:t>所刻画的分配传导效率“焊接”在同一市场机制之内。数字普惠金融与城乡融合则为这一机制提供了金融毛细血管与空间通道，使增长收益能够抵达小微主体、农村居民与山区海岛县。这种全要素协同正是理论框架所定义的“共富型新质生产力”在省域尺度上的组态呈现，也是命题P3的等效路径判断与命题P2的关口修复判断在浙江案例上的交汇点。</w:t>
      </w:r>
    </w:p>
    <w:p>
      <w:pPr>
        <w:spacing w:line="360" w:lineRule="auto" w:after="80"/>
        <w:jc w:val="left"/>
      </w:pPr>
      <w:r>
        <w:rPr>
          <w:rFonts w:ascii="Times New Roman" w:hAnsi="Times New Roman" w:eastAsia="黑体"/>
          <w:b/>
          <w:sz w:val="28"/>
        </w:rPr>
        <w:t>（四）非高绩效组态、因果非对称性与稳健性检验</w:t>
      </w:r>
    </w:p>
    <w:p>
      <w:pPr>
        <w:spacing w:line="360" w:lineRule="auto" w:after="0"/>
        <w:ind w:firstLine="480"/>
        <w:jc w:val="both"/>
      </w:pPr>
      <w:r>
        <w:rPr>
          <w:rFonts w:ascii="Times New Roman" w:hAnsi="Times New Roman" w:eastAsia="宋体"/>
          <w:b w:val="0"/>
          <w:sz w:val="24"/>
        </w:rPr>
        <w:t>对非高共富绩效的组态分析得到四条路径，总体解一致性0.943、总体覆盖度0.869，如表13所示。</w:t>
      </w:r>
    </w:p>
    <w:p>
      <w:pPr>
        <w:spacing w:before="120"/>
        <w:jc w:val="center"/>
      </w:pPr>
      <w:r>
        <w:rPr>
          <w:rFonts w:ascii="Times New Roman" w:hAnsi="Times New Roman" w:eastAsia="黑体"/>
          <w:b/>
          <w:sz w:val="21"/>
        </w:rPr>
        <w:t xml:space="preserve">表13　</w:t>
      </w:r>
      <w:r>
        <w:rPr>
          <w:rFonts w:ascii="Times New Roman" w:hAnsi="Times New Roman" w:eastAsia="宋体"/>
          <w:b/>
          <w:sz w:val="21"/>
        </w:rPr>
        <w:t>非高共富绩效组态</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
              <w:rPr>
                <w:rFonts w:ascii="Times New Roman" w:hAnsi="Times New Roman" w:eastAsia="宋体"/>
                <w:b/>
                <w:sz w:val="21"/>
              </w:rPr>
              <w:t>条件</w:t>
            </w:r>
          </w:p>
        </w:tc>
        <w:tc>
          <w:tcPr>
            <w:tcW w:type="dxa" w:w="1662"/>
          </w:tcPr>
          <w:p>
            <w:pPr>
              <w:jc w:val="center"/>
            </w:pPr>
            <w:r/>
            <w:r>
              <w:rPr>
                <w:rFonts w:ascii="Times New Roman" w:hAnsi="Times New Roman" w:eastAsia="宋体"/>
                <w:b/>
                <w:sz w:val="21"/>
              </w:rPr>
              <w:t>N1</w:t>
            </w:r>
          </w:p>
        </w:tc>
        <w:tc>
          <w:tcPr>
            <w:tcW w:type="dxa" w:w="1662"/>
          </w:tcPr>
          <w:p>
            <w:pPr>
              <w:jc w:val="center"/>
            </w:pPr>
            <w:r/>
            <w:r>
              <w:rPr>
                <w:rFonts w:ascii="Times New Roman" w:hAnsi="Times New Roman" w:eastAsia="宋体"/>
                <w:b/>
                <w:sz w:val="21"/>
              </w:rPr>
              <w:t>N2</w:t>
            </w:r>
          </w:p>
        </w:tc>
        <w:tc>
          <w:tcPr>
            <w:tcW w:type="dxa" w:w="1662"/>
          </w:tcPr>
          <w:p>
            <w:pPr>
              <w:jc w:val="center"/>
            </w:pPr>
            <w:r/>
            <w:r>
              <w:rPr>
                <w:rFonts w:ascii="Times New Roman" w:hAnsi="Times New Roman" w:eastAsia="宋体"/>
                <w:b/>
                <w:sz w:val="21"/>
              </w:rPr>
              <w:t>N3</w:t>
            </w:r>
          </w:p>
        </w:tc>
        <w:tc>
          <w:tcPr>
            <w:tcW w:type="dxa" w:w="1662"/>
          </w:tcPr>
          <w:p>
            <w:pPr>
              <w:jc w:val="center"/>
            </w:pPr>
            <w:r/>
            <w:r>
              <w:rPr>
                <w:rFonts w:ascii="Times New Roman" w:hAnsi="Times New Roman" w:eastAsia="宋体"/>
                <w:b/>
                <w:sz w:val="21"/>
              </w:rPr>
              <w:t>N4</w:t>
            </w:r>
          </w:p>
        </w:tc>
      </w:tr>
      <w:tr>
        <w:tc>
          <w:tcPr>
            <w:tcW w:type="dxa" w:w="1662"/>
          </w:tcPr>
          <w:p>
            <w:pPr>
              <w:jc w:val="center"/>
            </w:pPr>
            <w:r/>
            <w:r>
              <w:rPr>
                <w:rFonts w:ascii="Times New Roman" w:hAnsi="Times New Roman" w:eastAsia="宋体"/>
                <w:b w:val="0"/>
                <w:sz w:val="21"/>
              </w:rPr>
              <w:t>创新投入强度</w:t>
            </w:r>
          </w:p>
        </w:tc>
        <w:tc>
          <w:tcPr>
            <w:tcW w:type="dxa" w:w="1662"/>
          </w:tcPr>
          <w:p>
            <w:pPr>
              <w:jc w:val="center"/>
            </w:pPr>
            <w:r/>
            <w:r>
              <w:rPr>
                <w:rFonts w:ascii="Times New Roman" w:hAnsi="Times New Roman" w:eastAsia="宋体"/>
                <w:b w:val="0"/>
                <w:sz w:val="21"/>
              </w:rPr>
              <w:t>⊗</w:t>
            </w:r>
          </w:p>
        </w:tc>
        <w:tc>
          <w:tcPr>
            <w:tcW w:type="dxa" w:w="1662"/>
          </w:tcPr>
          <w:p>
            <w:pPr>
              <w:jc w:val="center"/>
            </w:pPr>
            <w:r/>
            <w:r>
              <w:rPr>
                <w:rFonts w:ascii="Times New Roman" w:hAnsi="Times New Roman" w:eastAsia="宋体"/>
                <w:b w:val="0"/>
                <w:sz w:val="21"/>
              </w:rPr>
              <w:t>⊗</w:t>
            </w:r>
          </w:p>
        </w:tc>
        <w:tc>
          <w:tcPr>
            <w:tcW w:type="dxa" w:w="1662"/>
          </w:tcPr>
          <w:p>
            <w:pPr>
              <w:jc w:val="center"/>
            </w:pPr>
            <w:r/>
            <w:r>
              <w:rPr>
                <w:rFonts w:ascii="Times New Roman" w:hAnsi="Times New Roman" w:eastAsia="宋体"/>
                <w:b w:val="0"/>
                <w:sz w:val="21"/>
              </w:rPr>
              <w:t>⊗</w:t>
            </w:r>
          </w:p>
        </w:tc>
        <w:tc>
          <w:tcPr>
            <w:tcW w:type="dxa" w:w="1662"/>
          </w:tcPr>
          <w:p>
            <w:pPr>
              <w:jc w:val="center"/>
            </w:pPr>
            <w:r/>
            <w:r>
              <w:rPr>
                <w:rFonts w:ascii="Times New Roman" w:hAnsi="Times New Roman" w:eastAsia="宋体"/>
                <w:b w:val="0"/>
                <w:sz w:val="21"/>
              </w:rPr>
              <w:t>●</w:t>
            </w:r>
          </w:p>
        </w:tc>
      </w:tr>
      <w:tr>
        <w:tc>
          <w:tcPr>
            <w:tcW w:type="dxa" w:w="1662"/>
          </w:tcPr>
          <w:p>
            <w:pPr>
              <w:jc w:val="center"/>
            </w:pPr>
            <w:r/>
            <w:r>
              <w:rPr>
                <w:rFonts w:ascii="Times New Roman" w:hAnsi="Times New Roman" w:eastAsia="宋体"/>
                <w:b w:val="0"/>
                <w:sz w:val="21"/>
              </w:rPr>
              <w:t>数字普惠金融</w:t>
            </w:r>
          </w:p>
        </w:tc>
        <w:tc>
          <w:tcPr>
            <w:tcW w:type="dxa" w:w="1662"/>
          </w:tcPr>
          <w:p>
            <w:pPr>
              <w:jc w:val="center"/>
            </w:pPr>
            <w:r/>
            <w:r>
              <w:rPr>
                <w:rFonts w:ascii="Times New Roman" w:hAnsi="Times New Roman" w:eastAsia="宋体"/>
                <w:b w:val="0"/>
                <w:sz w:val="21"/>
              </w:rPr>
              <w:t>•</w:t>
            </w:r>
          </w:p>
        </w:tc>
        <w:tc>
          <w:tcPr>
            <w:tcW w:type="dxa" w:w="1662"/>
          </w:tcPr>
          <w:p>
            <w:pPr>
              <w:jc w:val="center"/>
            </w:pPr>
            <w:r/>
          </w:p>
        </w:tc>
        <w:tc>
          <w:tcPr>
            <w:tcW w:type="dxa" w:w="1662"/>
          </w:tcPr>
          <w:p>
            <w:pPr>
              <w:jc w:val="center"/>
            </w:pPr>
            <w:r/>
            <w:r>
              <w:rPr>
                <w:rFonts w:ascii="Times New Roman" w:hAnsi="Times New Roman" w:eastAsia="宋体"/>
                <w:b w:val="0"/>
                <w:sz w:val="21"/>
              </w:rPr>
              <w:t>⊗</w:t>
            </w:r>
          </w:p>
        </w:tc>
        <w:tc>
          <w:tcPr>
            <w:tcW w:type="dxa" w:w="1662"/>
          </w:tcPr>
          <w:p>
            <w:pPr>
              <w:jc w:val="center"/>
            </w:pPr>
            <w:r/>
            <w:r>
              <w:rPr>
                <w:rFonts w:ascii="Times New Roman" w:hAnsi="Times New Roman" w:eastAsia="宋体"/>
                <w:b w:val="0"/>
                <w:sz w:val="21"/>
              </w:rPr>
              <w:t>⊗</w:t>
            </w:r>
          </w:p>
        </w:tc>
      </w:tr>
      <w:tr>
        <w:tc>
          <w:tcPr>
            <w:tcW w:type="dxa" w:w="1662"/>
          </w:tcPr>
          <w:p>
            <w:pPr>
              <w:jc w:val="center"/>
            </w:pPr>
            <w:r/>
            <w:r>
              <w:rPr>
                <w:rFonts w:ascii="Times New Roman" w:hAnsi="Times New Roman" w:eastAsia="宋体"/>
                <w:b w:val="0"/>
                <w:sz w:val="21"/>
              </w:rPr>
              <w:t>人力资本水平</w:t>
            </w:r>
          </w:p>
        </w:tc>
        <w:tc>
          <w:tcPr>
            <w:tcW w:type="dxa" w:w="1662"/>
          </w:tcPr>
          <w:p>
            <w:pPr>
              <w:jc w:val="center"/>
            </w:pPr>
            <w:r/>
            <w:r>
              <w:rPr>
                <w:rFonts w:ascii="Times New Roman" w:hAnsi="Times New Roman" w:eastAsia="宋体"/>
                <w:b w:val="0"/>
                <w:sz w:val="21"/>
              </w:rPr>
              <w:t>○</w:t>
            </w:r>
          </w:p>
        </w:tc>
        <w:tc>
          <w:tcPr>
            <w:tcW w:type="dxa" w:w="1662"/>
          </w:tcPr>
          <w:p>
            <w:pPr>
              <w:jc w:val="center"/>
            </w:pPr>
            <w:r/>
            <w:r>
              <w:rPr>
                <w:rFonts w:ascii="Times New Roman" w:hAnsi="Times New Roman" w:eastAsia="宋体"/>
                <w:b w:val="0"/>
                <w:sz w:val="21"/>
              </w:rPr>
              <w:t>•</w:t>
            </w:r>
          </w:p>
        </w:tc>
        <w:tc>
          <w:tcPr>
            <w:tcW w:type="dxa" w:w="1662"/>
          </w:tcPr>
          <w:p>
            <w:pPr>
              <w:jc w:val="center"/>
            </w:pPr>
            <w:r/>
          </w:p>
        </w:tc>
        <w:tc>
          <w:tcPr>
            <w:tcW w:type="dxa" w:w="1662"/>
          </w:tcPr>
          <w:p>
            <w:pPr>
              <w:jc w:val="center"/>
            </w:pPr>
            <w:r/>
            <w:r>
              <w:rPr>
                <w:rFonts w:ascii="Times New Roman" w:hAnsi="Times New Roman" w:eastAsia="宋体"/>
                <w:b w:val="0"/>
                <w:sz w:val="21"/>
              </w:rPr>
              <w:t>○</w:t>
            </w:r>
          </w:p>
        </w:tc>
      </w:tr>
      <w:tr>
        <w:tc>
          <w:tcPr>
            <w:tcW w:type="dxa" w:w="1662"/>
          </w:tcPr>
          <w:p>
            <w:pPr>
              <w:jc w:val="center"/>
            </w:pPr>
            <w:r/>
            <w:r>
              <w:rPr>
                <w:rFonts w:ascii="Times New Roman" w:hAnsi="Times New Roman" w:eastAsia="宋体"/>
                <w:b w:val="0"/>
                <w:sz w:val="21"/>
              </w:rPr>
              <w:t>民营经济活力</w:t>
            </w:r>
          </w:p>
        </w:tc>
        <w:tc>
          <w:tcPr>
            <w:tcW w:type="dxa" w:w="1662"/>
          </w:tcPr>
          <w:p>
            <w:pPr>
              <w:jc w:val="center"/>
            </w:pPr>
            <w:r/>
          </w:p>
        </w:tc>
        <w:tc>
          <w:tcPr>
            <w:tcW w:type="dxa" w:w="1662"/>
          </w:tcPr>
          <w:p>
            <w:pPr>
              <w:jc w:val="center"/>
            </w:pPr>
            <w:r/>
            <w:r>
              <w:rPr>
                <w:rFonts w:ascii="Times New Roman" w:hAnsi="Times New Roman" w:eastAsia="宋体"/>
                <w:b w:val="0"/>
                <w:sz w:val="21"/>
              </w:rPr>
              <w:t>•</w:t>
            </w:r>
          </w:p>
        </w:tc>
        <w:tc>
          <w:tcPr>
            <w:tcW w:type="dxa" w:w="1662"/>
          </w:tcPr>
          <w:p>
            <w:pPr>
              <w:jc w:val="center"/>
            </w:pPr>
            <w:r/>
            <w:r>
              <w:rPr>
                <w:rFonts w:ascii="Times New Roman" w:hAnsi="Times New Roman" w:eastAsia="宋体"/>
                <w:b w:val="0"/>
                <w:sz w:val="21"/>
              </w:rPr>
              <w:t>⊗</w:t>
            </w:r>
          </w:p>
        </w:tc>
        <w:tc>
          <w:tcPr>
            <w:tcW w:type="dxa" w:w="1662"/>
          </w:tcPr>
          <w:p>
            <w:pPr>
              <w:jc w:val="center"/>
            </w:pPr>
            <w:r/>
            <w:r>
              <w:rPr>
                <w:rFonts w:ascii="Times New Roman" w:hAnsi="Times New Roman" w:eastAsia="宋体"/>
                <w:b w:val="0"/>
                <w:sz w:val="21"/>
              </w:rPr>
              <w:t>•</w:t>
            </w:r>
          </w:p>
        </w:tc>
      </w:tr>
      <w:tr>
        <w:tc>
          <w:tcPr>
            <w:tcW w:type="dxa" w:w="1662"/>
          </w:tcPr>
          <w:p>
            <w:pPr>
              <w:jc w:val="center"/>
            </w:pPr>
            <w:r/>
            <w:r>
              <w:rPr>
                <w:rFonts w:ascii="Times New Roman" w:hAnsi="Times New Roman" w:eastAsia="宋体"/>
                <w:b w:val="0"/>
                <w:sz w:val="21"/>
              </w:rPr>
              <w:t>城镇化水平</w:t>
            </w:r>
          </w:p>
        </w:tc>
        <w:tc>
          <w:tcPr>
            <w:tcW w:type="dxa" w:w="1662"/>
          </w:tcPr>
          <w:p>
            <w:pPr>
              <w:jc w:val="center"/>
            </w:pPr>
            <w:r/>
            <w:r>
              <w:rPr>
                <w:rFonts w:ascii="Times New Roman" w:hAnsi="Times New Roman" w:eastAsia="宋体"/>
                <w:b w:val="0"/>
                <w:sz w:val="21"/>
              </w:rPr>
              <w:t>○</w:t>
            </w:r>
          </w:p>
        </w:tc>
        <w:tc>
          <w:tcPr>
            <w:tcW w:type="dxa" w:w="1662"/>
          </w:tcPr>
          <w:p>
            <w:pPr>
              <w:jc w:val="center"/>
            </w:pPr>
            <w:r/>
            <w:r>
              <w:rPr>
                <w:rFonts w:ascii="Times New Roman" w:hAnsi="Times New Roman" w:eastAsia="宋体"/>
                <w:b w:val="0"/>
                <w:sz w:val="21"/>
              </w:rPr>
              <w:t>•</w:t>
            </w:r>
          </w:p>
        </w:tc>
        <w:tc>
          <w:tcPr>
            <w:tcW w:type="dxa" w:w="1662"/>
          </w:tcPr>
          <w:p>
            <w:pPr>
              <w:jc w:val="center"/>
            </w:pPr>
            <w:r/>
          </w:p>
        </w:tc>
        <w:tc>
          <w:tcPr>
            <w:tcW w:type="dxa" w:w="1662"/>
          </w:tcPr>
          <w:p>
            <w:pPr>
              <w:jc w:val="center"/>
            </w:pPr>
            <w:r/>
            <w:r>
              <w:rPr>
                <w:rFonts w:ascii="Times New Roman" w:hAnsi="Times New Roman" w:eastAsia="宋体"/>
                <w:b w:val="0"/>
                <w:sz w:val="21"/>
              </w:rPr>
              <w:t>○</w:t>
            </w:r>
          </w:p>
        </w:tc>
      </w:tr>
      <w:tr>
        <w:tc>
          <w:tcPr>
            <w:tcW w:type="dxa" w:w="1662"/>
          </w:tcPr>
          <w:p>
            <w:pPr>
              <w:jc w:val="center"/>
            </w:pPr>
            <w:r/>
            <w:r>
              <w:rPr>
                <w:rFonts w:ascii="Times New Roman" w:hAnsi="Times New Roman" w:eastAsia="宋体"/>
                <w:b w:val="0"/>
                <w:sz w:val="21"/>
              </w:rPr>
              <w:t>一致性</w:t>
            </w:r>
          </w:p>
        </w:tc>
        <w:tc>
          <w:tcPr>
            <w:tcW w:type="dxa" w:w="1662"/>
          </w:tcPr>
          <w:p>
            <w:pPr>
              <w:jc w:val="center"/>
            </w:pPr>
            <w:r/>
            <w:r>
              <w:rPr>
                <w:rFonts w:ascii="Times New Roman" w:hAnsi="Times New Roman" w:eastAsia="宋体"/>
                <w:b w:val="0"/>
                <w:sz w:val="21"/>
              </w:rPr>
              <w:t>0.965</w:t>
            </w:r>
          </w:p>
        </w:tc>
        <w:tc>
          <w:tcPr>
            <w:tcW w:type="dxa" w:w="1662"/>
          </w:tcPr>
          <w:p>
            <w:pPr>
              <w:jc w:val="center"/>
            </w:pPr>
            <w:r/>
            <w:r>
              <w:rPr>
                <w:rFonts w:ascii="Times New Roman" w:hAnsi="Times New Roman" w:eastAsia="宋体"/>
                <w:b w:val="0"/>
                <w:sz w:val="21"/>
              </w:rPr>
              <w:t>0.957</w:t>
            </w:r>
          </w:p>
        </w:tc>
        <w:tc>
          <w:tcPr>
            <w:tcW w:type="dxa" w:w="1662"/>
          </w:tcPr>
          <w:p>
            <w:pPr>
              <w:jc w:val="center"/>
            </w:pPr>
            <w:r/>
            <w:r>
              <w:rPr>
                <w:rFonts w:ascii="Times New Roman" w:hAnsi="Times New Roman" w:eastAsia="宋体"/>
                <w:b w:val="0"/>
                <w:sz w:val="21"/>
              </w:rPr>
              <w:t>0.959</w:t>
            </w:r>
          </w:p>
        </w:tc>
        <w:tc>
          <w:tcPr>
            <w:tcW w:type="dxa" w:w="1662"/>
          </w:tcPr>
          <w:p>
            <w:pPr>
              <w:jc w:val="center"/>
            </w:pPr>
            <w:r/>
            <w:r>
              <w:rPr>
                <w:rFonts w:ascii="Times New Roman" w:hAnsi="Times New Roman" w:eastAsia="宋体"/>
                <w:b w:val="0"/>
                <w:sz w:val="21"/>
              </w:rPr>
              <w:t>0.990</w:t>
            </w:r>
          </w:p>
        </w:tc>
      </w:tr>
      <w:tr>
        <w:tc>
          <w:tcPr>
            <w:tcW w:type="dxa" w:w="1662"/>
          </w:tcPr>
          <w:p>
            <w:pPr>
              <w:jc w:val="center"/>
            </w:pPr>
            <w:r/>
            <w:r>
              <w:rPr>
                <w:rFonts w:ascii="Times New Roman" w:hAnsi="Times New Roman" w:eastAsia="宋体"/>
                <w:b w:val="0"/>
                <w:sz w:val="21"/>
              </w:rPr>
              <w:t>原始覆盖度</w:t>
            </w:r>
          </w:p>
        </w:tc>
        <w:tc>
          <w:tcPr>
            <w:tcW w:type="dxa" w:w="1662"/>
          </w:tcPr>
          <w:p>
            <w:pPr>
              <w:jc w:val="center"/>
            </w:pPr>
            <w:r/>
            <w:r>
              <w:rPr>
                <w:rFonts w:ascii="Times New Roman" w:hAnsi="Times New Roman" w:eastAsia="宋体"/>
                <w:b w:val="0"/>
                <w:sz w:val="21"/>
              </w:rPr>
              <w:t>0.387</w:t>
            </w:r>
          </w:p>
        </w:tc>
        <w:tc>
          <w:tcPr>
            <w:tcW w:type="dxa" w:w="1662"/>
          </w:tcPr>
          <w:p>
            <w:pPr>
              <w:jc w:val="center"/>
            </w:pPr>
            <w:r/>
            <w:r>
              <w:rPr>
                <w:rFonts w:ascii="Times New Roman" w:hAnsi="Times New Roman" w:eastAsia="宋体"/>
                <w:b w:val="0"/>
                <w:sz w:val="21"/>
              </w:rPr>
              <w:t>0.279</w:t>
            </w:r>
          </w:p>
        </w:tc>
        <w:tc>
          <w:tcPr>
            <w:tcW w:type="dxa" w:w="1662"/>
          </w:tcPr>
          <w:p>
            <w:pPr>
              <w:jc w:val="center"/>
            </w:pPr>
            <w:r/>
            <w:r>
              <w:rPr>
                <w:rFonts w:ascii="Times New Roman" w:hAnsi="Times New Roman" w:eastAsia="宋体"/>
                <w:b w:val="0"/>
                <w:sz w:val="21"/>
              </w:rPr>
              <w:t>0.779</w:t>
            </w:r>
          </w:p>
        </w:tc>
        <w:tc>
          <w:tcPr>
            <w:tcW w:type="dxa" w:w="1662"/>
          </w:tcPr>
          <w:p>
            <w:pPr>
              <w:jc w:val="center"/>
            </w:pPr>
            <w:r/>
            <w:r>
              <w:rPr>
                <w:rFonts w:ascii="Times New Roman" w:hAnsi="Times New Roman" w:eastAsia="宋体"/>
                <w:b w:val="0"/>
                <w:sz w:val="21"/>
              </w:rPr>
              <w:t>0.321</w:t>
            </w:r>
          </w:p>
        </w:tc>
      </w:tr>
    </w:tbl>
    <w:p>
      <w:pPr>
        <w:spacing w:after="0"/>
      </w:pPr>
    </w:p>
    <w:p>
      <w:pPr>
        <w:spacing w:after="120"/>
        <w:jc w:val="left"/>
      </w:pPr>
      <w:r>
        <w:rPr>
          <w:rFonts w:ascii="Times New Roman" w:hAnsi="Times New Roman" w:eastAsia="宋体"/>
          <w:b w:val="0"/>
          <w:sz w:val="21"/>
        </w:rPr>
        <w:t>注：符号含义同表12。非高共富绩效总体解一致性0.943、总体覆盖度0.869。</w:t>
      </w:r>
    </w:p>
    <w:p>
      <w:pPr>
        <w:spacing w:line="360" w:lineRule="auto" w:after="0"/>
        <w:ind w:firstLine="480"/>
        <w:jc w:val="both"/>
      </w:pPr>
      <w:r>
        <w:rPr>
          <w:rFonts w:ascii="Times New Roman" w:hAnsi="Times New Roman" w:eastAsia="宋体"/>
          <w:b w:val="0"/>
          <w:sz w:val="24"/>
        </w:rPr>
        <w:t>四条组态呈现出差异化的“失灵图谱”。N1为“创新缺失型”（典型省份：江西、河南、海南），数字普惠金融以边缘条件存在，但创新投入核心缺失、人力资本与城镇化边缘缺失——徒有普惠传导的管道而无创新势能可供传导。N2为“创新短板锁定型”（典型省份：山西、内蒙古），人力资本、民营经济活力与城镇化均以边缘条件存在，要素基础并不薄弱，唯创新投入核心缺失，资源型经济结构对创新投入的挤出使发展势能难以更新。N3为“要素整体薄弱型”（典型省份：吉林、黑龙江、广西、贵州、云南、西藏、甘肃、青海、宁夏、新疆），创新投入、数字普惠金融、民营经济活力三项核心缺失，其覆盖度高达0.779，是非高绩效的主体形态。</w:t>
      </w:r>
    </w:p>
    <w:p>
      <w:pPr>
        <w:spacing w:line="360" w:lineRule="auto" w:after="0"/>
        <w:ind w:firstLine="480"/>
        <w:jc w:val="both"/>
      </w:pPr>
      <w:r>
        <w:rPr>
          <w:rFonts w:ascii="Times New Roman" w:hAnsi="Times New Roman" w:eastAsia="宋体"/>
          <w:b w:val="0"/>
          <w:sz w:val="24"/>
        </w:rPr>
        <w:t>三条“创新缺失”类组态的内部差异值得进一步展开。N1的警示意义在于“单一管道的无效性”：其覆盖省份的数字普惠金融并不落后，普惠传导的管道已然铺设，但创新投入的核心缺失使管道中缺乏可供输送的增长动能，人力资本与城镇化的边缘缺失又削弱了承接能力——这提示基础设施型条件只有与势能型条件耦合才能兑现共富效应，单一条件的改善无法替代组态的整体升级。N2则展示了另一种失灵机制：资源型经济的高盈利板块对研发活动形成挤出，发展路径易于锁定在资源开采与初级加工环节，虽然城镇化与市场主体均有一定基础，但势能更新的源头趋于枯竭，共富绩效的上限由此被锁定——其病灶在转化链条的起点而非中段。N3的覆盖省份多处于东北与西部地区，三项核心条件同时缺失，叠加人口与要素的持续外流，表现为转化链条的整体性梗阻；对此类省份而言，辨析“哪一道关口失灵”的意义有限，更根本的任务是培育关口赖以存在的要素基础本身。三条组态由此构成一个递进序列：从“有管道无势能”到“有要素无更新”再到“要素整体薄弱”，失灵的层次逐级加深，政策干预的起点也应相应前移。</w:t>
      </w:r>
    </w:p>
    <w:p>
      <w:pPr>
        <w:spacing w:line="360" w:lineRule="auto" w:after="0"/>
        <w:ind w:firstLine="480"/>
        <w:jc w:val="both"/>
      </w:pPr>
      <w:r>
        <w:rPr>
          <w:rFonts w:ascii="Times New Roman" w:hAnsi="Times New Roman" w:eastAsia="宋体"/>
          <w:b w:val="0"/>
          <w:sz w:val="24"/>
        </w:rPr>
        <w:t>最具理论价值的是N4“创新孤岛型”（典型省份：河北、湖南、四川），其一致性在全部组态中最高（0.990）：创新投入作为核心条件存在，但数字普惠金融核心缺失、人力资本与城镇化边缘缺失；即便民营经济具备一定活力（边缘存在），也无法替代转化配套的系统性缺位。这一组态为理论框架的“转化关口失灵”命题提供了直接的截面证据：有势能积蓄而无转化条件，创新投入便被困于“孤岛”，成果转化关与就业分配关双重梗阻，研发投入停留于统计意义上的“强度”而未能沉淀为居民可支配收入。它同时印证了必要性分析揭示的“有之未必成”——创新投入是共富型发展的基础性条件而非充分条件。由此反观浙江，第八章测得的</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与</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优质协调并非创新投入的自然溢出，而是转化关口被制度供给持续修复的结果；一旦转化配套缺位，同样的投入完全可能落入N4的结果集合。</w:t>
      </w:r>
    </w:p>
    <w:p>
      <w:pPr>
        <w:spacing w:line="360" w:lineRule="auto" w:after="0"/>
        <w:ind w:firstLine="480"/>
        <w:jc w:val="both"/>
      </w:pPr>
      <w:r>
        <w:rPr>
          <w:rFonts w:ascii="Times New Roman" w:hAnsi="Times New Roman" w:eastAsia="宋体"/>
          <w:b w:val="0"/>
          <w:sz w:val="24"/>
        </w:rPr>
        <w:t>以本报告第四章的数理模型观照，N4的失灵结构可以得到更精确的参数化表述。创新投入对应模型中创新势能的积蓄环节，而势能能否进入产业动能并最终转化为居民收入，分别取决于成果转化关的效率参数</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与就业分配关的传导参数</w:t>
      </w:r>
      <m:oMath>
        <m:sSub>
          <m:e>
            <m:r>
              <w:rPr>
                <w:rFonts w:ascii="Cambria Math" w:hAnsi="Cambria Math"/>
              </w:rPr>
              <m:t xml:space="preserve">θ</m:t>
            </m:r>
          </m:e>
          <m:sub>
            <m:r>
              <w:rPr>
                <w:rFonts w:ascii="Cambria Math" w:hAnsi="Cambria Math"/>
              </w:rPr>
              <m:t xml:space="preserve">2</m:t>
            </m:r>
          </m:sub>
        </m:sSub>
      </m:oMath>
      <w:r>
        <w:rPr>
          <w:rFonts w:ascii="Times New Roman" w:hAnsi="Times New Roman" w:eastAsia="宋体"/>
          <w:b w:val="0"/>
          <w:sz w:val="24"/>
        </w:rPr>
        <w:t>。N4组态中数字普惠金融核心缺失、人力资本与城镇化边缘缺失，意味着</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所依赖的金融催化与人才承接、</w:t>
      </w:r>
      <m:oMath>
        <m:sSub>
          <m:e>
            <m:r>
              <w:rPr>
                <w:rFonts w:ascii="Cambria Math" w:hAnsi="Cambria Math"/>
              </w:rPr>
              <m:t xml:space="preserve">θ</m:t>
            </m:r>
          </m:e>
          <m:sub>
            <m:r>
              <w:rPr>
                <w:rFonts w:ascii="Cambria Math" w:hAnsi="Cambria Math"/>
              </w:rPr>
              <m:t xml:space="preserve">2</m:t>
            </m:r>
          </m:sub>
        </m:sSub>
      </m:oMath>
      <w:r>
        <w:rPr>
          <w:rFonts w:ascii="Times New Roman" w:hAnsi="Times New Roman" w:eastAsia="宋体"/>
          <w:b w:val="0"/>
          <w:sz w:val="24"/>
        </w:rPr>
        <w:t>所依赖的就业载体与空间容量同时弱化：</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处于低位，研发产出便滞留于实验室与统计报表；</w:t>
      </w:r>
      <m:oMath>
        <m:sSub>
          <m:e>
            <m:r>
              <w:rPr>
                <w:rFonts w:ascii="Cambria Math" w:hAnsi="Cambria Math"/>
              </w:rPr>
              <m:t xml:space="preserve">θ</m:t>
            </m:r>
          </m:e>
          <m:sub>
            <m:r>
              <w:rPr>
                <w:rFonts w:ascii="Cambria Math" w:hAnsi="Cambria Math"/>
              </w:rPr>
              <m:t xml:space="preserve">2</m:t>
            </m:r>
          </m:sub>
        </m:sSub>
      </m:oMath>
      <w:r>
        <w:rPr>
          <w:rFonts w:ascii="Times New Roman" w:hAnsi="Times New Roman" w:eastAsia="宋体"/>
          <w:b w:val="0"/>
          <w:sz w:val="24"/>
        </w:rPr>
        <w:t>处于低位，有限的转化成果也难以扩散为广谱的居民收入。其覆盖省份的省情为此提供了直观注脚：此类省份多拥有相当规模的研发布局，但研发资源高度集中于个别中心城市与重点行业，省域腹地的数字金融渗透、人力资本密度与城镇化水平未能同步跟进，创新的空间外溢半径远小于行政区划半径，形成“中心孤岛—腹地洼地”的省内二元结构。这一诊断的政策含义相当明确：对此类省份而言，边际政策资源投向转化配套的回报高于继续加码研发投入的回报，制度建设的优先序应当是修复</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与</w:t>
      </w:r>
      <m:oMath>
        <m:sSub>
          <m:e>
            <m:r>
              <w:rPr>
                <w:rFonts w:ascii="Cambria Math" w:hAnsi="Cambria Math"/>
              </w:rPr>
              <m:t xml:space="preserve">θ</m:t>
            </m:r>
          </m:e>
          <m:sub>
            <m:r>
              <w:rPr>
                <w:rFonts w:ascii="Cambria Math" w:hAnsi="Cambria Math"/>
              </w:rPr>
              <m:t xml:space="preserve">2</m:t>
            </m:r>
          </m:sub>
        </m:sSub>
      </m:oMath>
      <w:r>
        <w:rPr>
          <w:rFonts w:ascii="Times New Roman" w:hAnsi="Times New Roman" w:eastAsia="宋体"/>
          <w:b w:val="0"/>
          <w:sz w:val="24"/>
        </w:rPr>
        <w:t>所对应的转化机制，而非单纯推高研发强度的统计数值。</w:t>
      </w:r>
    </w:p>
    <w:p>
      <w:pPr>
        <w:spacing w:line="360" w:lineRule="auto" w:after="0"/>
        <w:ind w:firstLine="480"/>
        <w:jc w:val="both"/>
      </w:pPr>
      <w:r>
        <w:rPr>
          <w:rFonts w:ascii="Times New Roman" w:hAnsi="Times New Roman" w:eastAsia="宋体"/>
          <w:b w:val="0"/>
          <w:sz w:val="24"/>
        </w:rPr>
        <w:t>组态结果还呈现出鲜明的因果非对称性：高绩效与非高绩效的组态并非彼此的镜像——创新投入在S1、S2中为核心存在条件，在N4中同样核心存在，结果却截然相反，说明条件的作用方向依赖于其所处的组态语境。其政策含义在于：既不能以高绩效组态的简单否定来推断失败成因，也不能指望补齐单一短板即可扭转全局，关口修复必须成组推进。</w:t>
      </w:r>
    </w:p>
    <w:p>
      <w:pPr>
        <w:spacing w:line="360" w:lineRule="auto" w:after="0"/>
        <w:ind w:firstLine="480"/>
        <w:jc w:val="both"/>
      </w:pPr>
      <w:r>
        <w:rPr>
          <w:rFonts w:ascii="Times New Roman" w:hAnsi="Times New Roman" w:eastAsia="宋体"/>
          <w:b w:val="0"/>
          <w:sz w:val="24"/>
        </w:rPr>
        <w:t>因果非对称性与等效性共同构成组态因果观区别于相关性思维的两大标识。传统回归框架隐含对称性假定——若某变量促进结果，则其缺失应当以相同的方式阻碍结果，且这种作用不依赖其他变量的取值组合；组态视角则承认，导致结果出现与导致结果不出现的条件组合可以完全不同，同一条件在不同组态语境中甚至可以扮演相反角色[132,134]。本章的经验证据为这一方法论立场提供了鲜明注解：解释高绩效需要两条组态、解释非高绩效需要四条组态，且后者并非前者的逻辑取反；等效性则意味着不存在通向高共富绩效的唯一“最佳实践”，不同条件组合在功能上可以互相替代。对区域发展研究而言，这提示以单一标杆省份做法为模板的“对标式”政策移植存在方法论风险——被移植的条件一旦脱离其原生组态，作用方向可能逆转；“因地制宜”的政策哲学由此在组态方法中获得了严格的集合论表达。</w:t>
      </w:r>
    </w:p>
    <w:p>
      <w:pPr>
        <w:spacing w:line="360" w:lineRule="auto" w:after="0"/>
        <w:ind w:firstLine="480"/>
        <w:jc w:val="both"/>
      </w:pPr>
      <w:r>
        <w:rPr>
          <w:rFonts w:ascii="Times New Roman" w:hAnsi="Times New Roman" w:eastAsia="宋体"/>
          <w:b w:val="0"/>
          <w:sz w:val="24"/>
        </w:rPr>
        <w:t>稳健性方面，将原始一致性阈值提高至0.85、PRI阈值提高至0.75后重新分析：高绩效组态由2条减为1条，保留“创新—民营协同型”（PRI较低的S1边缘变体被剔除），且所有条件方向不变；非高绩效组态结构基本不变。结果具有稳健性。进一步看，在更严苛阈值下留存的恰是S2——其一致性（0.980）本就更高，表明“创新—民营协同型”是更为稳健的高共富绩效路径，这对民营经济第一大省浙江具有特别的印证意义。</w:t>
      </w:r>
    </w:p>
    <w:p>
      <w:pPr>
        <w:spacing w:line="360" w:lineRule="auto" w:after="0"/>
        <w:ind w:firstLine="480"/>
        <w:jc w:val="both"/>
      </w:pPr>
      <w:r>
        <w:rPr>
          <w:rFonts w:ascii="Times New Roman" w:hAnsi="Times New Roman" w:eastAsia="宋体"/>
          <w:b w:val="0"/>
          <w:sz w:val="24"/>
        </w:rPr>
        <w:t>需要说明的是，阈值调整是组态研究中最具针对性的稳健性检验策略之一：一致性与PRI阈值直接决定真值表行的归类，进而决定进入逻辑最小化的经验证据范围，若组态结果对阈值选择敏感，则解的可信度存疑[138,140]。本章检验中，阈值收紧后高绩效解集的变化表现为“收缩而非重构”——被剔除的仅是PRI相对较低的边缘变体，留存组态的条件构成与核心边缘地位均未改变，符合集合论意义上稳健解集应与原解集保持清晰子集关系的判定标准。非高绩效端四条组态在更严苛阈值下结构基本不变，尤其是一致性最高的N4“创新孤岛型”稳定留存，表明本章最具理论价值的发现——转化配套缺失时创新投入无法自动通向共富——并不依赖于特定的阈值设定。综合而言，两端解集在阈值扰动下均保持方向一致与结构稳定，组态结论具备支撑后续政策讨论的证据强度。</w:t>
      </w:r>
    </w:p>
    <w:p>
      <w:pPr>
        <w:spacing w:line="360" w:lineRule="auto" w:after="80"/>
        <w:jc w:val="left"/>
      </w:pPr>
      <w:r>
        <w:rPr>
          <w:rFonts w:ascii="Times New Roman" w:hAnsi="Times New Roman" w:eastAsia="黑体"/>
          <w:b/>
          <w:sz w:val="28"/>
        </w:rPr>
        <w:t>（五）命题检验结论与浙江路径的全国坐标</w:t>
      </w:r>
    </w:p>
    <w:p>
      <w:pPr>
        <w:spacing w:line="360" w:lineRule="auto" w:after="0"/>
        <w:ind w:firstLine="480"/>
        <w:jc w:val="both"/>
      </w:pPr>
      <w:r>
        <w:rPr>
          <w:rFonts w:ascii="Times New Roman" w:hAnsi="Times New Roman" w:eastAsia="宋体"/>
          <w:b w:val="0"/>
          <w:sz w:val="24"/>
        </w:rPr>
        <w:t>本章实证结果对命题P3构成明确支持：高共富绩效存在“创新—人才引领型”与“创新—民营协同型”两条等效组态路径，总体覆盖度0.704；人力资本与民营经济活力之间存在替代关系，条件组合的等效性、核心三件套的共享性与因果的非对称性共同表明，共富型发展是多元条件联动的组态性结果。同时，N4“创新孤岛型”组态表明，创新投入存在而转化配套缺失的省份稳定落入非高绩效集合，这为命题P2“转化关口修复机制越健全、耦合协调水平越高”提供了截面组态证据，与第八章的时序证据形成互证。结合第七、八章对浙江时序证据的检验，“势能—动能—效能”三阶转化框架的经验效度获得了全国截面维度的补强。</w:t>
      </w:r>
    </w:p>
    <w:p>
      <w:pPr>
        <w:spacing w:line="360" w:lineRule="auto" w:after="0"/>
        <w:ind w:firstLine="480"/>
        <w:jc w:val="both"/>
      </w:pPr>
      <w:r>
        <w:rPr>
          <w:rFonts w:ascii="Times New Roman" w:hAnsi="Times New Roman" w:eastAsia="宋体"/>
          <w:b w:val="0"/>
          <w:sz w:val="24"/>
        </w:rPr>
        <w:t>从证据整合的角度看，本章的组态发现与前两章的时序发现构成了不同逻辑层面的互证。时序证据回答的是“浙江的两大系统如何随时间协同演化”，组态证据回答的是“在全国截面上何种条件组合与高共富绩效稳定同现”；前者的因果线索是过程性的，后者的因果线索是结构性的，二者在“转化关口决定发展成色”这一命题上交汇。同时应当申明证据的边界：组态分析识别的是条件组合与结果之间的集合关系而非严格意义上的因果效应，其结论的外推须以案例总体的边界为限；本章通过条件变量在时点上先于或同期于结果变量的安排缓解反向因果，通过阈值调整排除敏感性，但省际组态证据的性质仍是“一致性发现”而非“处理效应估计”，引入面板数据与动态组态方法是后续研究的改进方向。在此边界之内，组态结果与理论命题、时序证据的高度吻合，已足以支撑对命题P3的肯定性判断。</w:t>
      </w:r>
    </w:p>
    <w:p>
      <w:pPr>
        <w:spacing w:line="360" w:lineRule="auto" w:after="0"/>
        <w:ind w:firstLine="480"/>
        <w:jc w:val="both"/>
      </w:pPr>
      <w:r>
        <w:rPr>
          <w:rFonts w:ascii="Times New Roman" w:hAnsi="Times New Roman" w:eastAsia="宋体"/>
          <w:b w:val="0"/>
          <w:sz w:val="24"/>
        </w:rPr>
        <w:t>就全国坐标而言，浙江与广东、江苏同处“双路径覆盖、五条件俱全”的第一方阵，但组态内部的比较优势各异。以2024年数据观之，广东城乡倍差为2.31、江苏为2.04，浙江为1.83；浙江创新投入强度（3.22%）低于广东（3.60%）与江苏（3.36%），共富绩效却不遑多让——2024年浙江所有设区市居民收入均超过全国平均水平（全国唯一），居民收入低于全国平均的县（区）由8个降为4个，农村居民收入连续40年居全国省区第一。这表明浙江路径的独特性不在创新投入的绝对强度，而在转化链条的完整性与共享机制的健全性：民营经济承担就业与分配的传导功能，数字普惠金融与城乡融合承担空间均衡的传导功能，恰与粤苏形成“强投入引领”与“强转化均衡”的路径分野。</w:t>
      </w:r>
    </w:p>
    <w:p>
      <w:pPr>
        <w:spacing w:line="360" w:lineRule="auto" w:after="0"/>
        <w:ind w:firstLine="480"/>
        <w:jc w:val="both"/>
      </w:pPr>
      <w:r>
        <w:rPr>
          <w:rFonts w:ascii="Times New Roman" w:hAnsi="Times New Roman" w:eastAsia="宋体"/>
          <w:b w:val="0"/>
          <w:sz w:val="24"/>
        </w:rPr>
        <w:t>浙江路径的可推广性应作分层讨论。一是对N3“要素整体薄弱型”省份，当务之急是夯实基础条件，数字普惠金融基础设施、城镇化载体与市场主体培育应先行，不宜脱离禀赋单兵突进地追求研发投入指标。二是对N4“创新孤岛型”省份，症结不在创新投入总量而在转化配套，政策重心应从“加大投入”转向“修复关口”——培育民营经济生态、发展数字普惠金融、提升人力资本与城镇化质量；浙江经验中科技成果转化体系、民营经济制度供给与山海协作式空间传导机制的组合逻辑，对此类省份最具借鉴价值。三是对N2“创新短板锁定型”资源型省份，关键在于以创新投入激活存量要素，防止发展路径的低水平锁定。同时须正视边界条件：浙江的民营经济活力植根于深厚的历史积淀与制度演化，难以短期移植；但S1路径的存在表明，以人力资本为替代性抓手同样可以通达高共富绩效。组态路径的等效性本身，就是对《建议》“因地制宜发展新质生产力”的学理注脚——各省份不必也不能复制浙江的全要素协同，而应立足自身禀赋，在等效路径中择宜而行，循序补齐“创新投入×数字普惠金融×城镇化”的核心三件套。本章确立的组态证据与浙江坐标，将在第十章的粤苏鲁浙四省对照中得到更精细的刻画，并为第十一章“十五五”路径设计提供实证依据。</w:t>
      </w:r>
    </w:p>
    <w:p>
      <w:pPr>
        <w:spacing w:line="360" w:lineRule="auto" w:after="160"/>
        <w:jc w:val="center"/>
      </w:pPr>
      <w:r>
        <w:rPr>
          <w:rFonts w:ascii="Times New Roman" w:hAnsi="Times New Roman" w:eastAsia="黑体"/>
          <w:b/>
          <w:sz w:val="32"/>
        </w:rPr>
        <w:t>十、省际比较：粤苏鲁浙坐标中的浙江方位</w:t>
      </w:r>
    </w:p>
    <w:p>
      <w:pPr>
        <w:spacing w:line="360" w:lineRule="auto" w:after="0"/>
        <w:ind w:firstLine="480"/>
        <w:jc w:val="both"/>
      </w:pPr>
      <w:r>
        <w:rPr>
          <w:rFonts w:ascii="Times New Roman" w:hAnsi="Times New Roman" w:eastAsia="宋体"/>
          <w:b w:val="0"/>
          <w:sz w:val="24"/>
        </w:rPr>
        <w:t>第九章的组态分析在全国31个省份的坐标系中定位了浙江的路径类型，但组态分析以集合隶属为语言，对头部省份之间的量级差异刻画较粗。本章聚焦广东、江苏、山东三个经济大省，与浙江作精细对照。选择粤苏鲁作为参照系的理由有三：其一，2024年四省地区生产总值分列全国前四位（广东14.16万亿元、江苏13.70万亿元、山东9.86万亿元、浙江9.01万亿元），同为10万亿元级或准10万亿元级经济体；其二，四省同处东部沿海，均为制造业与创新大省，资源禀赋与发展阶段最具可比性，可在“发展水平相近”的控制条件下辨识浙江路径的独特结构；其三，四省在fsQCA分析中均落入或接近高共富绩效集合，比较的焦点因此从“能否达成”转向“以何种结构达成”，恰与理论模型关于均衡的多参数实现方式（命题M3）相对应。</w:t>
      </w:r>
    </w:p>
    <w:p>
      <w:pPr>
        <w:spacing w:line="360" w:lineRule="auto" w:after="0"/>
        <w:ind w:firstLine="480"/>
        <w:jc w:val="both"/>
      </w:pPr>
      <w:r>
        <w:rPr>
          <w:rFonts w:ascii="Times New Roman" w:hAnsi="Times New Roman" w:eastAsia="宋体"/>
          <w:b w:val="0"/>
          <w:sz w:val="24"/>
        </w:rPr>
        <w:t>从文献脉络看，省域尺度的定量评价已分别在两条线索上充分展开：新质生产力的省域测度普遍发现高值省份集中于东部沿海地区，共同富裕的省域测度亦呈现东部领先的空间格局</w:t>
      </w:r>
      <w:r>
        <w:rPr>
          <w:rFonts w:ascii="Times New Roman" w:hAnsi="Times New Roman" w:eastAsia="宋体"/>
          <w:b w:val="0"/>
          <w:sz w:val="24"/>
          <w:vertAlign w:val="superscript"/>
        </w:rPr>
        <w:t>[42,62]</w:t>
      </w:r>
      <w:r>
        <w:rPr>
          <w:rFonts w:ascii="Times New Roman" w:hAnsi="Times New Roman" w:eastAsia="宋体"/>
          <w:b w:val="0"/>
          <w:sz w:val="24"/>
        </w:rPr>
        <w:t>。但两条线索的交汇处——头部省份如何在高发展水平上组织“创新—分配”的传导链条——仍缺乏精细的结构性比较。本章的比较因此不以排名为目的，而以结构透视为目的：四省均已跨过发展水平的高门槛，观测焦点在于同等量级的生产力势能沿着何种参数结构转化为居民的富裕与共享。组态研究将高绩效的多重实现方式概括为“殊途同归”，并进一步指出殊途虽可同归、归途的绩效结构并不必然相同[143]；四省在总量、人均、收入、均衡四个坐标上的位次交错，正是“同归不同效”的省际写照。</w:t>
      </w:r>
    </w:p>
    <w:p>
      <w:pPr>
        <w:spacing w:line="360" w:lineRule="auto" w:after="0"/>
        <w:ind w:firstLine="480"/>
        <w:jc w:val="both"/>
      </w:pPr>
      <w:r>
        <w:rPr>
          <w:rFonts w:ascii="Times New Roman" w:hAnsi="Times New Roman" w:eastAsia="宋体"/>
          <w:b w:val="0"/>
          <w:sz w:val="24"/>
        </w:rPr>
        <w:t>比较的纪律需要预先申明。其一，口径统一，表14所列指标均与第九章fsQCA省际数据集的年份与来源保持一致，避免因口径漂移而误读省际差距；其二，聚焦结构而非位次，四省经济体量差异悬殊，总量排序本身承载的结构信息有限，真正有意义的是各坐标位次之间的相对关系；其三，服务政策判断，比较要回答的实质问题有二——浙江的领先项是否具有可持续性、浙江的短板项是否会随时间自然收敛，两个问题的答案共同决定“十五五”时期浙江在经济大省方阵中的战略姿态。省委十五届八次全会强调“必须坚定扛起经济大省挑大梁的责任担当”</w:t>
      </w:r>
      <w:r>
        <w:rPr>
          <w:rFonts w:ascii="Times New Roman" w:hAnsi="Times New Roman" w:eastAsia="宋体"/>
          <w:b w:val="0"/>
          <w:sz w:val="24"/>
          <w:vertAlign w:val="superscript"/>
        </w:rPr>
        <w:t>[7]</w:t>
      </w:r>
      <w:r>
        <w:rPr>
          <w:rFonts w:ascii="Times New Roman" w:hAnsi="Times New Roman" w:eastAsia="宋体"/>
          <w:b w:val="0"/>
          <w:sz w:val="24"/>
        </w:rPr>
        <w:t>，而挑大梁的前提，正是认清自身在大省方阵中的优势结构与短板所在。</w:t>
      </w:r>
    </w:p>
    <w:p>
      <w:pPr>
        <w:spacing w:line="360" w:lineRule="auto" w:after="80"/>
        <w:jc w:val="left"/>
      </w:pPr>
      <w:r>
        <w:rPr>
          <w:rFonts w:ascii="Times New Roman" w:hAnsi="Times New Roman" w:eastAsia="黑体"/>
          <w:b/>
          <w:sz w:val="28"/>
        </w:rPr>
        <w:t>（一）总量、人均与分配：三重坐标的错位</w:t>
      </w:r>
    </w:p>
    <w:p>
      <w:pPr>
        <w:spacing w:line="360" w:lineRule="auto" w:after="0"/>
        <w:ind w:firstLine="480"/>
        <w:jc w:val="both"/>
      </w:pPr>
      <w:r>
        <w:rPr>
          <w:rFonts w:ascii="Times New Roman" w:hAnsi="Times New Roman" w:eastAsia="宋体"/>
          <w:b w:val="0"/>
          <w:sz w:val="24"/>
        </w:rPr>
        <w:t>表14报告了四省的主要指标对照。</w:t>
      </w:r>
    </w:p>
    <w:p>
      <w:pPr>
        <w:spacing w:before="120"/>
        <w:jc w:val="center"/>
      </w:pPr>
      <w:r>
        <w:rPr>
          <w:rFonts w:ascii="Times New Roman" w:hAnsi="Times New Roman" w:eastAsia="黑体"/>
          <w:b/>
          <w:sz w:val="21"/>
        </w:rPr>
        <w:t xml:space="preserve">表14　</w:t>
      </w:r>
      <w:r>
        <w:rPr>
          <w:rFonts w:ascii="Times New Roman" w:hAnsi="Times New Roman" w:eastAsia="宋体"/>
          <w:b/>
          <w:sz w:val="21"/>
        </w:rPr>
        <w:t>粤苏鲁浙四省主要指标对照</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
              <w:rPr>
                <w:rFonts w:ascii="Times New Roman" w:hAnsi="Times New Roman" w:eastAsia="宋体"/>
                <w:b/>
                <w:sz w:val="21"/>
              </w:rPr>
              <w:t>指标</w:t>
            </w:r>
          </w:p>
        </w:tc>
        <w:tc>
          <w:tcPr>
            <w:tcW w:type="dxa" w:w="1662"/>
          </w:tcPr>
          <w:p>
            <w:pPr>
              <w:jc w:val="center"/>
            </w:pPr>
            <w:r/>
            <w:r>
              <w:rPr>
                <w:rFonts w:ascii="Times New Roman" w:hAnsi="Times New Roman" w:eastAsia="宋体"/>
                <w:b/>
                <w:sz w:val="21"/>
              </w:rPr>
              <w:t>浙江</w:t>
            </w:r>
          </w:p>
        </w:tc>
        <w:tc>
          <w:tcPr>
            <w:tcW w:type="dxa" w:w="1662"/>
          </w:tcPr>
          <w:p>
            <w:pPr>
              <w:jc w:val="center"/>
            </w:pPr>
            <w:r/>
            <w:r>
              <w:rPr>
                <w:rFonts w:ascii="Times New Roman" w:hAnsi="Times New Roman" w:eastAsia="宋体"/>
                <w:b/>
                <w:sz w:val="21"/>
              </w:rPr>
              <w:t>广东</w:t>
            </w:r>
          </w:p>
        </w:tc>
        <w:tc>
          <w:tcPr>
            <w:tcW w:type="dxa" w:w="1662"/>
          </w:tcPr>
          <w:p>
            <w:pPr>
              <w:jc w:val="center"/>
            </w:pPr>
            <w:r/>
            <w:r>
              <w:rPr>
                <w:rFonts w:ascii="Times New Roman" w:hAnsi="Times New Roman" w:eastAsia="宋体"/>
                <w:b/>
                <w:sz w:val="21"/>
              </w:rPr>
              <w:t>江苏</w:t>
            </w:r>
          </w:p>
        </w:tc>
        <w:tc>
          <w:tcPr>
            <w:tcW w:type="dxa" w:w="1662"/>
          </w:tcPr>
          <w:p>
            <w:pPr>
              <w:jc w:val="center"/>
            </w:pPr>
            <w:r/>
            <w:r>
              <w:rPr>
                <w:rFonts w:ascii="Times New Roman" w:hAnsi="Times New Roman" w:eastAsia="宋体"/>
                <w:b/>
                <w:sz w:val="21"/>
              </w:rPr>
              <w:t>山东</w:t>
            </w:r>
          </w:p>
        </w:tc>
      </w:tr>
      <w:tr>
        <w:tc>
          <w:tcPr>
            <w:tcW w:type="dxa" w:w="1662"/>
          </w:tcPr>
          <w:p>
            <w:pPr>
              <w:jc w:val="center"/>
            </w:pPr>
            <w:r/>
            <w:r>
              <w:rPr>
                <w:rFonts w:ascii="Times New Roman" w:hAnsi="Times New Roman" w:eastAsia="宋体"/>
                <w:b w:val="0"/>
                <w:sz w:val="21"/>
              </w:rPr>
              <w:t>地区生产总值（亿元）</w:t>
            </w:r>
          </w:p>
        </w:tc>
        <w:tc>
          <w:tcPr>
            <w:tcW w:type="dxa" w:w="1662"/>
          </w:tcPr>
          <w:p>
            <w:pPr>
              <w:jc w:val="center"/>
            </w:pPr>
            <w:r/>
            <w:r>
              <w:rPr>
                <w:rFonts w:ascii="Times New Roman" w:hAnsi="Times New Roman" w:eastAsia="宋体"/>
                <w:b w:val="0"/>
                <w:sz w:val="21"/>
              </w:rPr>
              <w:t>90131</w:t>
            </w:r>
          </w:p>
        </w:tc>
        <w:tc>
          <w:tcPr>
            <w:tcW w:type="dxa" w:w="1662"/>
          </w:tcPr>
          <w:p>
            <w:pPr>
              <w:jc w:val="center"/>
            </w:pPr>
            <w:r/>
            <w:r>
              <w:rPr>
                <w:rFonts w:ascii="Times New Roman" w:hAnsi="Times New Roman" w:eastAsia="宋体"/>
                <w:b w:val="0"/>
                <w:sz w:val="21"/>
              </w:rPr>
              <w:t>141634</w:t>
            </w:r>
          </w:p>
        </w:tc>
        <w:tc>
          <w:tcPr>
            <w:tcW w:type="dxa" w:w="1662"/>
          </w:tcPr>
          <w:p>
            <w:pPr>
              <w:jc w:val="center"/>
            </w:pPr>
            <w:r/>
            <w:r>
              <w:rPr>
                <w:rFonts w:ascii="Times New Roman" w:hAnsi="Times New Roman" w:eastAsia="宋体"/>
                <w:b w:val="0"/>
                <w:sz w:val="21"/>
              </w:rPr>
              <w:t>137008</w:t>
            </w:r>
          </w:p>
        </w:tc>
        <w:tc>
          <w:tcPr>
            <w:tcW w:type="dxa" w:w="1662"/>
          </w:tcPr>
          <w:p>
            <w:pPr>
              <w:jc w:val="center"/>
            </w:pPr>
            <w:r/>
            <w:r>
              <w:rPr>
                <w:rFonts w:ascii="Times New Roman" w:hAnsi="Times New Roman" w:eastAsia="宋体"/>
                <w:b w:val="0"/>
                <w:sz w:val="21"/>
              </w:rPr>
              <w:t>98566</w:t>
            </w:r>
          </w:p>
        </w:tc>
      </w:tr>
      <w:tr>
        <w:tc>
          <w:tcPr>
            <w:tcW w:type="dxa" w:w="1662"/>
          </w:tcPr>
          <w:p>
            <w:pPr>
              <w:jc w:val="center"/>
            </w:pPr>
            <w:r/>
            <w:r>
              <w:rPr>
                <w:rFonts w:ascii="Times New Roman" w:hAnsi="Times New Roman" w:eastAsia="宋体"/>
                <w:b w:val="0"/>
                <w:sz w:val="21"/>
              </w:rPr>
              <w:t>人均地区生产总值（元）</w:t>
            </w:r>
          </w:p>
        </w:tc>
        <w:tc>
          <w:tcPr>
            <w:tcW w:type="dxa" w:w="1662"/>
          </w:tcPr>
          <w:p>
            <w:pPr>
              <w:jc w:val="center"/>
            </w:pPr>
            <w:r/>
            <w:r>
              <w:rPr>
                <w:rFonts w:ascii="Times New Roman" w:hAnsi="Times New Roman" w:eastAsia="宋体"/>
                <w:b w:val="0"/>
                <w:sz w:val="21"/>
              </w:rPr>
              <w:t>135565</w:t>
            </w:r>
          </w:p>
        </w:tc>
        <w:tc>
          <w:tcPr>
            <w:tcW w:type="dxa" w:w="1662"/>
          </w:tcPr>
          <w:p>
            <w:pPr>
              <w:jc w:val="center"/>
            </w:pPr>
            <w:r/>
            <w:r>
              <w:rPr>
                <w:rFonts w:ascii="Times New Roman" w:hAnsi="Times New Roman" w:eastAsia="宋体"/>
                <w:b w:val="0"/>
                <w:sz w:val="21"/>
              </w:rPr>
              <w:t>111469</w:t>
            </w:r>
          </w:p>
        </w:tc>
        <w:tc>
          <w:tcPr>
            <w:tcW w:type="dxa" w:w="1662"/>
          </w:tcPr>
          <w:p>
            <w:pPr>
              <w:jc w:val="center"/>
            </w:pPr>
            <w:r/>
            <w:r>
              <w:rPr>
                <w:rFonts w:ascii="Times New Roman" w:hAnsi="Times New Roman" w:eastAsia="宋体"/>
                <w:b w:val="0"/>
                <w:sz w:val="21"/>
              </w:rPr>
              <w:t>160694</w:t>
            </w:r>
          </w:p>
        </w:tc>
        <w:tc>
          <w:tcPr>
            <w:tcW w:type="dxa" w:w="1662"/>
          </w:tcPr>
          <w:p>
            <w:pPr>
              <w:jc w:val="center"/>
            </w:pPr>
            <w:r/>
            <w:r>
              <w:rPr>
                <w:rFonts w:ascii="Times New Roman" w:hAnsi="Times New Roman" w:eastAsia="宋体"/>
                <w:b w:val="0"/>
                <w:sz w:val="21"/>
              </w:rPr>
              <w:t>97368</w:t>
            </w:r>
          </w:p>
        </w:tc>
      </w:tr>
      <w:tr>
        <w:tc>
          <w:tcPr>
            <w:tcW w:type="dxa" w:w="1662"/>
          </w:tcPr>
          <w:p>
            <w:pPr>
              <w:jc w:val="center"/>
            </w:pPr>
            <w:r/>
            <w:r>
              <w:rPr>
                <w:rFonts w:ascii="Times New Roman" w:hAnsi="Times New Roman" w:eastAsia="宋体"/>
                <w:b w:val="0"/>
                <w:sz w:val="21"/>
              </w:rPr>
              <w:t>居民人均可支配收入（元）</w:t>
            </w:r>
          </w:p>
        </w:tc>
        <w:tc>
          <w:tcPr>
            <w:tcW w:type="dxa" w:w="1662"/>
          </w:tcPr>
          <w:p>
            <w:pPr>
              <w:jc w:val="center"/>
            </w:pPr>
            <w:r/>
            <w:r>
              <w:rPr>
                <w:rFonts w:ascii="Times New Roman" w:hAnsi="Times New Roman" w:eastAsia="宋体"/>
                <w:b w:val="0"/>
                <w:sz w:val="21"/>
              </w:rPr>
              <w:t>67013</w:t>
            </w:r>
          </w:p>
        </w:tc>
        <w:tc>
          <w:tcPr>
            <w:tcW w:type="dxa" w:w="1662"/>
          </w:tcPr>
          <w:p>
            <w:pPr>
              <w:jc w:val="center"/>
            </w:pPr>
            <w:r/>
            <w:r>
              <w:rPr>
                <w:rFonts w:ascii="Times New Roman" w:hAnsi="Times New Roman" w:eastAsia="宋体"/>
                <w:b w:val="0"/>
                <w:sz w:val="21"/>
              </w:rPr>
              <w:t>51474</w:t>
            </w:r>
          </w:p>
        </w:tc>
        <w:tc>
          <w:tcPr>
            <w:tcW w:type="dxa" w:w="1662"/>
          </w:tcPr>
          <w:p>
            <w:pPr>
              <w:jc w:val="center"/>
            </w:pPr>
            <w:r/>
            <w:r>
              <w:rPr>
                <w:rFonts w:ascii="Times New Roman" w:hAnsi="Times New Roman" w:eastAsia="宋体"/>
                <w:b w:val="0"/>
                <w:sz w:val="21"/>
              </w:rPr>
              <w:t>55415</w:t>
            </w:r>
          </w:p>
        </w:tc>
        <w:tc>
          <w:tcPr>
            <w:tcW w:type="dxa" w:w="1662"/>
          </w:tcPr>
          <w:p>
            <w:pPr>
              <w:jc w:val="center"/>
            </w:pPr>
            <w:r/>
            <w:r>
              <w:rPr>
                <w:rFonts w:ascii="Times New Roman" w:hAnsi="Times New Roman" w:eastAsia="宋体"/>
                <w:b w:val="0"/>
                <w:sz w:val="21"/>
              </w:rPr>
              <w:t>42077</w:t>
            </w:r>
          </w:p>
        </w:tc>
      </w:tr>
      <w:tr>
        <w:tc>
          <w:tcPr>
            <w:tcW w:type="dxa" w:w="1662"/>
          </w:tcPr>
          <w:p>
            <w:pPr>
              <w:jc w:val="center"/>
            </w:pPr>
            <w:r/>
            <w:r>
              <w:rPr>
                <w:rFonts w:ascii="Times New Roman" w:hAnsi="Times New Roman" w:eastAsia="宋体"/>
                <w:b w:val="0"/>
                <w:sz w:val="21"/>
              </w:rPr>
              <w:t>居民收入与人均GDP之比（%）</w:t>
            </w:r>
          </w:p>
        </w:tc>
        <w:tc>
          <w:tcPr>
            <w:tcW w:type="dxa" w:w="1662"/>
          </w:tcPr>
          <w:p>
            <w:pPr>
              <w:jc w:val="center"/>
            </w:pPr>
            <w:r/>
            <w:r>
              <w:rPr>
                <w:rFonts w:ascii="Times New Roman" w:hAnsi="Times New Roman" w:eastAsia="宋体"/>
                <w:b w:val="0"/>
                <w:sz w:val="21"/>
              </w:rPr>
              <w:t>49.4</w:t>
            </w:r>
          </w:p>
        </w:tc>
        <w:tc>
          <w:tcPr>
            <w:tcW w:type="dxa" w:w="1662"/>
          </w:tcPr>
          <w:p>
            <w:pPr>
              <w:jc w:val="center"/>
            </w:pPr>
            <w:r/>
            <w:r>
              <w:rPr>
                <w:rFonts w:ascii="Times New Roman" w:hAnsi="Times New Roman" w:eastAsia="宋体"/>
                <w:b w:val="0"/>
                <w:sz w:val="21"/>
              </w:rPr>
              <w:t>46.2</w:t>
            </w:r>
          </w:p>
        </w:tc>
        <w:tc>
          <w:tcPr>
            <w:tcW w:type="dxa" w:w="1662"/>
          </w:tcPr>
          <w:p>
            <w:pPr>
              <w:jc w:val="center"/>
            </w:pPr>
            <w:r/>
            <w:r>
              <w:rPr>
                <w:rFonts w:ascii="Times New Roman" w:hAnsi="Times New Roman" w:eastAsia="宋体"/>
                <w:b w:val="0"/>
                <w:sz w:val="21"/>
              </w:rPr>
              <w:t>34.5</w:t>
            </w:r>
          </w:p>
        </w:tc>
        <w:tc>
          <w:tcPr>
            <w:tcW w:type="dxa" w:w="1662"/>
          </w:tcPr>
          <w:p>
            <w:pPr>
              <w:jc w:val="center"/>
            </w:pPr>
            <w:r/>
            <w:r>
              <w:rPr>
                <w:rFonts w:ascii="Times New Roman" w:hAnsi="Times New Roman" w:eastAsia="宋体"/>
                <w:b w:val="0"/>
                <w:sz w:val="21"/>
              </w:rPr>
              <w:t>43.2</w:t>
            </w:r>
          </w:p>
        </w:tc>
      </w:tr>
      <w:tr>
        <w:tc>
          <w:tcPr>
            <w:tcW w:type="dxa" w:w="1662"/>
          </w:tcPr>
          <w:p>
            <w:pPr>
              <w:jc w:val="center"/>
            </w:pPr>
            <w:r/>
            <w:r>
              <w:rPr>
                <w:rFonts w:ascii="Times New Roman" w:hAnsi="Times New Roman" w:eastAsia="宋体"/>
                <w:b w:val="0"/>
                <w:sz w:val="21"/>
              </w:rPr>
              <w:t>城乡居民收入倍差</w:t>
            </w:r>
          </w:p>
        </w:tc>
        <w:tc>
          <w:tcPr>
            <w:tcW w:type="dxa" w:w="1662"/>
          </w:tcPr>
          <w:p>
            <w:pPr>
              <w:jc w:val="center"/>
            </w:pPr>
            <w:r/>
            <w:r>
              <w:rPr>
                <w:rFonts w:ascii="Times New Roman" w:hAnsi="Times New Roman" w:eastAsia="宋体"/>
                <w:b w:val="0"/>
                <w:sz w:val="21"/>
              </w:rPr>
              <w:t>1.83</w:t>
            </w:r>
          </w:p>
        </w:tc>
        <w:tc>
          <w:tcPr>
            <w:tcW w:type="dxa" w:w="1662"/>
          </w:tcPr>
          <w:p>
            <w:pPr>
              <w:jc w:val="center"/>
            </w:pPr>
            <w:r/>
            <w:r>
              <w:rPr>
                <w:rFonts w:ascii="Times New Roman" w:hAnsi="Times New Roman" w:eastAsia="宋体"/>
                <w:b w:val="0"/>
                <w:sz w:val="21"/>
              </w:rPr>
              <w:t>2.31</w:t>
            </w:r>
          </w:p>
        </w:tc>
        <w:tc>
          <w:tcPr>
            <w:tcW w:type="dxa" w:w="1662"/>
          </w:tcPr>
          <w:p>
            <w:pPr>
              <w:jc w:val="center"/>
            </w:pPr>
            <w:r/>
            <w:r>
              <w:rPr>
                <w:rFonts w:ascii="Times New Roman" w:hAnsi="Times New Roman" w:eastAsia="宋体"/>
                <w:b w:val="0"/>
                <w:sz w:val="21"/>
              </w:rPr>
              <w:t>2.04</w:t>
            </w:r>
          </w:p>
        </w:tc>
        <w:tc>
          <w:tcPr>
            <w:tcW w:type="dxa" w:w="1662"/>
          </w:tcPr>
          <w:p>
            <w:pPr>
              <w:jc w:val="center"/>
            </w:pPr>
            <w:r/>
            <w:r>
              <w:rPr>
                <w:rFonts w:ascii="Times New Roman" w:hAnsi="Times New Roman" w:eastAsia="宋体"/>
                <w:b w:val="0"/>
                <w:sz w:val="21"/>
              </w:rPr>
              <w:t>2.14</w:t>
            </w:r>
          </w:p>
        </w:tc>
      </w:tr>
      <w:tr>
        <w:tc>
          <w:tcPr>
            <w:tcW w:type="dxa" w:w="1662"/>
          </w:tcPr>
          <w:p>
            <w:pPr>
              <w:jc w:val="center"/>
            </w:pPr>
            <w:r/>
            <w:r>
              <w:rPr>
                <w:rFonts w:ascii="Times New Roman" w:hAnsi="Times New Roman" w:eastAsia="宋体"/>
                <w:b w:val="0"/>
                <w:sz w:val="21"/>
              </w:rPr>
              <w:t>R&amp;D经费投入强度（%）</w:t>
            </w:r>
          </w:p>
        </w:tc>
        <w:tc>
          <w:tcPr>
            <w:tcW w:type="dxa" w:w="1662"/>
          </w:tcPr>
          <w:p>
            <w:pPr>
              <w:jc w:val="center"/>
            </w:pPr>
            <w:r/>
            <w:r>
              <w:rPr>
                <w:rFonts w:ascii="Times New Roman" w:hAnsi="Times New Roman" w:eastAsia="宋体"/>
                <w:b w:val="0"/>
                <w:sz w:val="21"/>
              </w:rPr>
              <w:t>3.20</w:t>
            </w:r>
          </w:p>
        </w:tc>
        <w:tc>
          <w:tcPr>
            <w:tcW w:type="dxa" w:w="1662"/>
          </w:tcPr>
          <w:p>
            <w:pPr>
              <w:jc w:val="center"/>
            </w:pPr>
            <w:r/>
            <w:r>
              <w:rPr>
                <w:rFonts w:ascii="Times New Roman" w:hAnsi="Times New Roman" w:eastAsia="宋体"/>
                <w:b w:val="0"/>
                <w:sz w:val="21"/>
              </w:rPr>
              <w:t>3.54</w:t>
            </w:r>
          </w:p>
        </w:tc>
        <w:tc>
          <w:tcPr>
            <w:tcW w:type="dxa" w:w="1662"/>
          </w:tcPr>
          <w:p>
            <w:pPr>
              <w:jc w:val="center"/>
            </w:pPr>
            <w:r/>
            <w:r>
              <w:rPr>
                <w:rFonts w:ascii="Times New Roman" w:hAnsi="Times New Roman" w:eastAsia="宋体"/>
                <w:b w:val="0"/>
                <w:sz w:val="21"/>
              </w:rPr>
              <w:t>3.29</w:t>
            </w:r>
          </w:p>
        </w:tc>
        <w:tc>
          <w:tcPr>
            <w:tcW w:type="dxa" w:w="1662"/>
          </w:tcPr>
          <w:p>
            <w:pPr>
              <w:jc w:val="center"/>
            </w:pPr>
            <w:r/>
            <w:r>
              <w:rPr>
                <w:rFonts w:ascii="Times New Roman" w:hAnsi="Times New Roman" w:eastAsia="宋体"/>
                <w:b w:val="0"/>
                <w:sz w:val="21"/>
              </w:rPr>
              <w:t>2.59</w:t>
            </w:r>
          </w:p>
        </w:tc>
      </w:tr>
      <w:tr>
        <w:tc>
          <w:tcPr>
            <w:tcW w:type="dxa" w:w="1662"/>
          </w:tcPr>
          <w:p>
            <w:pPr>
              <w:jc w:val="center"/>
            </w:pPr>
            <w:r/>
            <w:r>
              <w:rPr>
                <w:rFonts w:ascii="Times New Roman" w:hAnsi="Times New Roman" w:eastAsia="宋体"/>
                <w:b w:val="0"/>
                <w:sz w:val="21"/>
              </w:rPr>
              <w:t>数字普惠金融指数</w:t>
            </w:r>
          </w:p>
        </w:tc>
        <w:tc>
          <w:tcPr>
            <w:tcW w:type="dxa" w:w="1662"/>
          </w:tcPr>
          <w:p>
            <w:pPr>
              <w:jc w:val="center"/>
            </w:pPr>
            <w:r/>
            <w:r>
              <w:rPr>
                <w:rFonts w:ascii="Times New Roman" w:hAnsi="Times New Roman" w:eastAsia="宋体"/>
                <w:b w:val="0"/>
                <w:sz w:val="21"/>
              </w:rPr>
              <w:t>453.78</w:t>
            </w:r>
          </w:p>
        </w:tc>
        <w:tc>
          <w:tcPr>
            <w:tcW w:type="dxa" w:w="1662"/>
          </w:tcPr>
          <w:p>
            <w:pPr>
              <w:jc w:val="center"/>
            </w:pPr>
            <w:r/>
            <w:r>
              <w:rPr>
                <w:rFonts w:ascii="Times New Roman" w:hAnsi="Times New Roman" w:eastAsia="宋体"/>
                <w:b w:val="0"/>
                <w:sz w:val="21"/>
              </w:rPr>
              <w:t>426.48</w:t>
            </w:r>
          </w:p>
        </w:tc>
        <w:tc>
          <w:tcPr>
            <w:tcW w:type="dxa" w:w="1662"/>
          </w:tcPr>
          <w:p>
            <w:pPr>
              <w:jc w:val="center"/>
            </w:pPr>
            <w:r/>
            <w:r>
              <w:rPr>
                <w:rFonts w:ascii="Times New Roman" w:hAnsi="Times New Roman" w:eastAsia="宋体"/>
                <w:b w:val="0"/>
                <w:sz w:val="21"/>
              </w:rPr>
              <w:t>438.61</w:t>
            </w:r>
          </w:p>
        </w:tc>
        <w:tc>
          <w:tcPr>
            <w:tcW w:type="dxa" w:w="1662"/>
          </w:tcPr>
          <w:p>
            <w:pPr>
              <w:jc w:val="center"/>
            </w:pPr>
            <w:r/>
            <w:r>
              <w:rPr>
                <w:rFonts w:ascii="Times New Roman" w:hAnsi="Times New Roman" w:eastAsia="宋体"/>
                <w:b w:val="0"/>
                <w:sz w:val="21"/>
              </w:rPr>
              <w:t>404.79</w:t>
            </w:r>
          </w:p>
        </w:tc>
      </w:tr>
      <w:tr>
        <w:tc>
          <w:tcPr>
            <w:tcW w:type="dxa" w:w="1662"/>
          </w:tcPr>
          <w:p>
            <w:pPr>
              <w:jc w:val="center"/>
            </w:pPr>
            <w:r/>
            <w:r>
              <w:rPr>
                <w:rFonts w:ascii="Times New Roman" w:hAnsi="Times New Roman" w:eastAsia="宋体"/>
                <w:b w:val="0"/>
                <w:sz w:val="21"/>
              </w:rPr>
              <w:t>每10万人口拥有大学文化程度人数（人）</w:t>
            </w:r>
          </w:p>
        </w:tc>
        <w:tc>
          <w:tcPr>
            <w:tcW w:type="dxa" w:w="1662"/>
          </w:tcPr>
          <w:p>
            <w:pPr>
              <w:jc w:val="center"/>
            </w:pPr>
            <w:r/>
            <w:r>
              <w:rPr>
                <w:rFonts w:ascii="Times New Roman" w:hAnsi="Times New Roman" w:eastAsia="宋体"/>
                <w:b w:val="0"/>
                <w:sz w:val="21"/>
              </w:rPr>
              <w:t>16990</w:t>
            </w:r>
          </w:p>
        </w:tc>
        <w:tc>
          <w:tcPr>
            <w:tcW w:type="dxa" w:w="1662"/>
          </w:tcPr>
          <w:p>
            <w:pPr>
              <w:jc w:val="center"/>
            </w:pPr>
            <w:r/>
            <w:r>
              <w:rPr>
                <w:rFonts w:ascii="Times New Roman" w:hAnsi="Times New Roman" w:eastAsia="宋体"/>
                <w:b w:val="0"/>
                <w:sz w:val="21"/>
              </w:rPr>
              <w:t>15699</w:t>
            </w:r>
          </w:p>
        </w:tc>
        <w:tc>
          <w:tcPr>
            <w:tcW w:type="dxa" w:w="1662"/>
          </w:tcPr>
          <w:p>
            <w:pPr>
              <w:jc w:val="center"/>
            </w:pPr>
            <w:r/>
            <w:r>
              <w:rPr>
                <w:rFonts w:ascii="Times New Roman" w:hAnsi="Times New Roman" w:eastAsia="宋体"/>
                <w:b w:val="0"/>
                <w:sz w:val="21"/>
              </w:rPr>
              <w:t>18663</w:t>
            </w:r>
          </w:p>
        </w:tc>
        <w:tc>
          <w:tcPr>
            <w:tcW w:type="dxa" w:w="1662"/>
          </w:tcPr>
          <w:p>
            <w:pPr>
              <w:jc w:val="center"/>
            </w:pPr>
            <w:r/>
            <w:r>
              <w:rPr>
                <w:rFonts w:ascii="Times New Roman" w:hAnsi="Times New Roman" w:eastAsia="宋体"/>
                <w:b w:val="0"/>
                <w:sz w:val="21"/>
              </w:rPr>
              <w:t>14384</w:t>
            </w:r>
          </w:p>
        </w:tc>
      </w:tr>
      <w:tr>
        <w:tc>
          <w:tcPr>
            <w:tcW w:type="dxa" w:w="1662"/>
          </w:tcPr>
          <w:p>
            <w:pPr>
              <w:jc w:val="center"/>
            </w:pPr>
            <w:r/>
            <w:r>
              <w:rPr>
                <w:rFonts w:ascii="Times New Roman" w:hAnsi="Times New Roman" w:eastAsia="宋体"/>
                <w:b w:val="0"/>
                <w:sz w:val="21"/>
              </w:rPr>
              <w:t>中国民营企业500强入围数（家）</w:t>
            </w:r>
          </w:p>
        </w:tc>
        <w:tc>
          <w:tcPr>
            <w:tcW w:type="dxa" w:w="1662"/>
          </w:tcPr>
          <w:p>
            <w:pPr>
              <w:jc w:val="center"/>
            </w:pPr>
            <w:r/>
            <w:r>
              <w:rPr>
                <w:rFonts w:ascii="Times New Roman" w:hAnsi="Times New Roman" w:eastAsia="宋体"/>
                <w:b w:val="0"/>
                <w:sz w:val="21"/>
              </w:rPr>
              <w:t>107</w:t>
            </w:r>
          </w:p>
        </w:tc>
        <w:tc>
          <w:tcPr>
            <w:tcW w:type="dxa" w:w="1662"/>
          </w:tcPr>
          <w:p>
            <w:pPr>
              <w:jc w:val="center"/>
            </w:pPr>
            <w:r/>
            <w:r>
              <w:rPr>
                <w:rFonts w:ascii="Times New Roman" w:hAnsi="Times New Roman" w:eastAsia="宋体"/>
                <w:b w:val="0"/>
                <w:sz w:val="21"/>
              </w:rPr>
              <w:t>51</w:t>
            </w:r>
          </w:p>
        </w:tc>
        <w:tc>
          <w:tcPr>
            <w:tcW w:type="dxa" w:w="1662"/>
          </w:tcPr>
          <w:p>
            <w:pPr>
              <w:jc w:val="center"/>
            </w:pPr>
            <w:r/>
            <w:r>
              <w:rPr>
                <w:rFonts w:ascii="Times New Roman" w:hAnsi="Times New Roman" w:eastAsia="宋体"/>
                <w:b w:val="0"/>
                <w:sz w:val="21"/>
              </w:rPr>
              <w:t>90</w:t>
            </w:r>
          </w:p>
        </w:tc>
        <w:tc>
          <w:tcPr>
            <w:tcW w:type="dxa" w:w="1662"/>
          </w:tcPr>
          <w:p>
            <w:pPr>
              <w:jc w:val="center"/>
            </w:pPr>
            <w:r/>
            <w:r>
              <w:rPr>
                <w:rFonts w:ascii="Times New Roman" w:hAnsi="Times New Roman" w:eastAsia="宋体"/>
                <w:b w:val="0"/>
                <w:sz w:val="21"/>
              </w:rPr>
              <w:t>51</w:t>
            </w:r>
          </w:p>
        </w:tc>
      </w:tr>
      <w:tr>
        <w:tc>
          <w:tcPr>
            <w:tcW w:type="dxa" w:w="1662"/>
          </w:tcPr>
          <w:p>
            <w:pPr>
              <w:jc w:val="center"/>
            </w:pPr>
            <w:r/>
            <w:r>
              <w:rPr>
                <w:rFonts w:ascii="Times New Roman" w:hAnsi="Times New Roman" w:eastAsia="宋体"/>
                <w:b w:val="0"/>
                <w:sz w:val="21"/>
              </w:rPr>
              <w:t>常住人口城镇化率（%）</w:t>
            </w:r>
          </w:p>
        </w:tc>
        <w:tc>
          <w:tcPr>
            <w:tcW w:type="dxa" w:w="1662"/>
          </w:tcPr>
          <w:p>
            <w:pPr>
              <w:jc w:val="center"/>
            </w:pPr>
            <w:r/>
            <w:r>
              <w:rPr>
                <w:rFonts w:ascii="Times New Roman" w:hAnsi="Times New Roman" w:eastAsia="宋体"/>
                <w:b w:val="0"/>
                <w:sz w:val="21"/>
              </w:rPr>
              <w:t>75.5</w:t>
            </w:r>
          </w:p>
        </w:tc>
        <w:tc>
          <w:tcPr>
            <w:tcW w:type="dxa" w:w="1662"/>
          </w:tcPr>
          <w:p>
            <w:pPr>
              <w:jc w:val="center"/>
            </w:pPr>
            <w:r/>
            <w:r>
              <w:rPr>
                <w:rFonts w:ascii="Times New Roman" w:hAnsi="Times New Roman" w:eastAsia="宋体"/>
                <w:b w:val="0"/>
                <w:sz w:val="21"/>
              </w:rPr>
              <w:t>75.9</w:t>
            </w:r>
          </w:p>
        </w:tc>
        <w:tc>
          <w:tcPr>
            <w:tcW w:type="dxa" w:w="1662"/>
          </w:tcPr>
          <w:p>
            <w:pPr>
              <w:jc w:val="center"/>
            </w:pPr>
            <w:r/>
            <w:r>
              <w:rPr>
                <w:rFonts w:ascii="Times New Roman" w:hAnsi="Times New Roman" w:eastAsia="宋体"/>
                <w:b w:val="0"/>
                <w:sz w:val="21"/>
              </w:rPr>
              <w:t>75.5</w:t>
            </w:r>
          </w:p>
        </w:tc>
        <w:tc>
          <w:tcPr>
            <w:tcW w:type="dxa" w:w="1662"/>
          </w:tcPr>
          <w:p>
            <w:pPr>
              <w:jc w:val="center"/>
            </w:pPr>
            <w:r/>
            <w:r>
              <w:rPr>
                <w:rFonts w:ascii="Times New Roman" w:hAnsi="Times New Roman" w:eastAsia="宋体"/>
                <w:b w:val="0"/>
                <w:sz w:val="21"/>
              </w:rPr>
              <w:t>66.5</w:t>
            </w:r>
          </w:p>
        </w:tc>
      </w:tr>
    </w:tbl>
    <w:p>
      <w:pPr>
        <w:spacing w:after="0"/>
      </w:pPr>
    </w:p>
    <w:p>
      <w:pPr>
        <w:spacing w:after="120"/>
        <w:jc w:val="left"/>
      </w:pPr>
      <w:r>
        <w:rPr>
          <w:rFonts w:ascii="Times New Roman" w:hAnsi="Times New Roman" w:eastAsia="宋体"/>
          <w:b w:val="0"/>
          <w:sz w:val="21"/>
        </w:rPr>
        <w:t>注：地区生产总值、人均地区生产总值、居民人均可支配收入、城乡居民收入倍差、常住人口城镇化率为2024年数据；R&amp;D经费投入强度、数字普惠金融指数为2023年数据；每10万人口拥有大学文化程度人数为第七次全国人口普查数据；民营企业500强入围数为全国工商联2025年榜单；居民收入与人均GDP之比由前两行计算取得。资料来源与第九章fsQCA省际数据集一致。</w:t>
      </w:r>
    </w:p>
    <w:p>
      <w:pPr>
        <w:spacing w:line="360" w:lineRule="auto" w:after="0"/>
        <w:ind w:firstLine="480"/>
        <w:jc w:val="both"/>
      </w:pPr>
      <w:r>
        <w:rPr>
          <w:rFonts w:ascii="Times New Roman" w:hAnsi="Times New Roman" w:eastAsia="宋体"/>
          <w:b w:val="0"/>
          <w:sz w:val="24"/>
        </w:rPr>
        <w:t>三重坐标呈现出耐人寻味的错位。总量坐标上，浙江居四省之末，与粤苏存在数万亿元量级的差距；人均产出坐标上，江苏以160694元居首，浙江以135565元次之；而在居民收入坐标上，浙江以67013元反居四省之首，分别高出江苏11598元、广东15539元、山东24936元。更具信息量的是“居民人均可支配收入与人均地区生产总值之比”：浙江为49.4%，高于广东（46.2%）、山东（43.2%），更显著高于江苏（34.5%）。该比值虽同时受产业结构、人口流动方向与统计口径等因素影响，只能作为分配转化效率的粗略度量，但四省间高达15个百分点的差距仍具有明确的结构含义：浙江每一单位人均产出转化为居民可支配收入的比例在四省中最高，江苏“高产出—中收入”与浙江“中产出—高收入”形成鲜明对照。以理论模型的语言表述，这正是劳动报酬份额</w:t>
      </w:r>
      <m:oMath>
        <m:r>
          <w:rPr>
            <w:rFonts w:ascii="Cambria Math" w:hAnsi="Cambria Math"/>
          </w:rPr>
          <m:t xml:space="preserve">λ</m:t>
        </m:r>
        <m:d>
          <m:dPr>
            <m:begChr m:val="("/>
            <m:endChr m:val=")"/>
          </m:dPr>
          <m:e>
            <m:sSub>
              <m:e>
                <m:r>
                  <w:rPr>
                    <w:rFonts w:ascii="Cambria Math" w:hAnsi="Cambria Math"/>
                  </w:rPr>
                  <m:t xml:space="preserve">θ</m:t>
                </m:r>
              </m:e>
              <m:sub>
                <m:r>
                  <w:rPr>
                    <w:rFonts w:ascii="Cambria Math" w:hAnsi="Cambria Math"/>
                  </w:rPr>
                  <m:t xml:space="preserve">2</m:t>
                </m:r>
              </m:sub>
            </m:sSub>
          </m:e>
        </m:d>
      </m:oMath>
      <w:r>
        <w:rPr>
          <w:rFonts w:ascii="Times New Roman" w:hAnsi="Times New Roman" w:eastAsia="宋体"/>
          <w:b w:val="0"/>
          <w:sz w:val="24"/>
        </w:rPr>
        <w:t>与再分配机制共同作用的直接观测——浙江就业分配关（关口Ⅱ）的传导效率在头部省份中具有显著优势。</w:t>
      </w:r>
    </w:p>
    <w:p>
      <w:pPr>
        <w:spacing w:line="360" w:lineRule="auto" w:after="0"/>
        <w:ind w:firstLine="480"/>
        <w:jc w:val="both"/>
      </w:pPr>
      <w:r>
        <w:rPr>
          <w:rFonts w:ascii="Times New Roman" w:hAnsi="Times New Roman" w:eastAsia="宋体"/>
          <w:b w:val="0"/>
          <w:sz w:val="24"/>
        </w:rPr>
        <w:t>这一错位并非统计偶然，其背后至少可以辨识出三重结构性成因。第一重成因在增加值的要素构成，即产业结构决定的初次分配格局。居民收入与人均产出之比，实质上度量的是一省创造的增加值经初次分配与再分配后沉淀为本省居民可支配收入的比例，其高低首先取决于增加值中劳动报酬、资本折旧与企业盈余的相对份额[109]。江苏的增长模式以开发区经济、资本密集型重化工业与外向型制造为骨干</w:t>
      </w:r>
      <w:r>
        <w:rPr>
          <w:rFonts w:ascii="Times New Roman" w:hAnsi="Times New Roman" w:eastAsia="宋体"/>
          <w:b w:val="0"/>
          <w:sz w:val="24"/>
          <w:vertAlign w:val="superscript"/>
        </w:rPr>
        <w:t>[49]</w:t>
      </w:r>
      <w:r>
        <w:rPr>
          <w:rFonts w:ascii="Times New Roman" w:hAnsi="Times New Roman" w:eastAsia="宋体"/>
          <w:b w:val="0"/>
          <w:sz w:val="24"/>
        </w:rPr>
        <w:t>，单位增加值中设备折旧与企业留存的占比相对较高，外资企业的利润分配亦不完全进入本地居民部门；广东的头部企业与高新技术产业创造了巨额增加值，但其收益在空间与人群两个维度上均高度集中。浙江的产业结构则以民营中小企业为绝对主体——2024年民营经济增加值占地区生产总值的67.4%，规模以上工业中民营企业增加值占比达72.4%——这种“藏富于民”的微观结构，使增加值以劳动报酬与经营净收入的形式更大比例地直接进入居民部门。劳动报酬份额</w:t>
      </w:r>
      <m:oMath>
        <m:r>
          <w:rPr>
            <w:rFonts w:ascii="Cambria Math" w:hAnsi="Cambria Math"/>
          </w:rPr>
          <m:t xml:space="preserve">λ</m:t>
        </m:r>
        <m:d>
          <m:dPr>
            <m:begChr m:val="("/>
            <m:endChr m:val=")"/>
          </m:dPr>
          <m:e>
            <m:sSub>
              <m:e>
                <m:r>
                  <w:rPr>
                    <w:rFonts w:ascii="Cambria Math" w:hAnsi="Cambria Math"/>
                  </w:rPr>
                  <m:t xml:space="preserve">θ</m:t>
                </m:r>
              </m:e>
              <m:sub>
                <m:r>
                  <w:rPr>
                    <w:rFonts w:ascii="Cambria Math" w:hAnsi="Cambria Math"/>
                  </w:rPr>
                  <m:t xml:space="preserve">2</m:t>
                </m:r>
              </m:sub>
            </m:sSub>
          </m:e>
        </m:d>
      </m:oMath>
      <w:r>
        <w:rPr>
          <w:rFonts w:ascii="Times New Roman" w:hAnsi="Times New Roman" w:eastAsia="宋体"/>
          <w:b w:val="0"/>
          <w:sz w:val="24"/>
        </w:rPr>
        <w:t>的省际差异由此内生于所有制结构与企业规模分布，而非单纯的政策再分配结果。</w:t>
      </w:r>
    </w:p>
    <w:p>
      <w:pPr>
        <w:spacing w:line="360" w:lineRule="auto" w:after="0"/>
        <w:ind w:firstLine="480"/>
        <w:jc w:val="both"/>
      </w:pPr>
      <w:r>
        <w:rPr>
          <w:rFonts w:ascii="Times New Roman" w:hAnsi="Times New Roman" w:eastAsia="宋体"/>
          <w:b w:val="0"/>
          <w:sz w:val="24"/>
        </w:rPr>
        <w:t>第二重成因在人口流动的方向与形态。人均指标以常住人口为分母，跨省流动人口创造的增加值计入流入地的地区生产总值，但其可支配收入的相当部分以赡养、储蓄与转移形式回流原籍，人口净流入大省因此普遍存在“生产地—分配地”的统计错位</w:t>
      </w:r>
      <w:r>
        <w:rPr>
          <w:rFonts w:ascii="Times New Roman" w:hAnsi="Times New Roman" w:eastAsia="宋体"/>
          <w:b w:val="0"/>
          <w:sz w:val="24"/>
          <w:vertAlign w:val="superscript"/>
        </w:rPr>
        <w:t>[14]</w:t>
      </w:r>
      <w:r>
        <w:rPr>
          <w:rFonts w:ascii="Times New Roman" w:hAnsi="Times New Roman" w:eastAsia="宋体"/>
          <w:b w:val="0"/>
          <w:sz w:val="24"/>
        </w:rPr>
        <w:t>。粤苏均为大规模人口净流入省份，庞大的流动就业群体做大了产出分子，也摊薄了收入统计的转化比例；浙江同样保持人口净流入态势，但其流入人口更多进入民营中小企业与创业性经营环节，就业的可及性与收入的本地实现程度相对更高。第三重成因在省域内部的空间结构。广东珠三角与粤东西北之间存在陡峭的发展梯度，产业集聚带来的劳动生产率优势高度集中于都市圈核心</w:t>
      </w:r>
      <w:r>
        <w:rPr>
          <w:rFonts w:ascii="Times New Roman" w:hAnsi="Times New Roman" w:eastAsia="宋体"/>
          <w:b w:val="0"/>
          <w:sz w:val="24"/>
          <w:vertAlign w:val="superscript"/>
        </w:rPr>
        <w:t>[15]</w:t>
      </w:r>
      <w:r>
        <w:rPr>
          <w:rFonts w:ascii="Times New Roman" w:hAnsi="Times New Roman" w:eastAsia="宋体"/>
          <w:b w:val="0"/>
          <w:sz w:val="24"/>
        </w:rPr>
        <w:t>，全省居民收入的平均数被欠发达地区显著摊薄；浙江的块状经济与县域工业化使生产力布局相对分散均衡，全省所有设区市居民收入均超过全国平均水平、为全国唯一，平均数背后的分布形态更为紧凑。三重成因叠加，构成浙江“中产出—高收入”结构的完整解释：所有制结构决定初次分配的份额，就业形态决定收入实现的广度，空间结构决定平均数的代表性。</w:t>
      </w:r>
    </w:p>
    <w:p>
      <w:pPr>
        <w:spacing w:line="360" w:lineRule="auto" w:after="0"/>
        <w:ind w:firstLine="480"/>
        <w:jc w:val="both"/>
      </w:pPr>
      <w:r>
        <w:rPr>
          <w:rFonts w:ascii="Times New Roman" w:hAnsi="Times New Roman" w:eastAsia="宋体"/>
          <w:b w:val="0"/>
          <w:sz w:val="24"/>
        </w:rPr>
        <w:t>三重坐标错位的理论含义在于：产出坐标与收入坐标的位次可以系统性分离，“做大蛋糕”的能力并不自动兑现为“分好蛋糕”的比例，二者之间隔着就业分配关（关口Ⅱ）的传导环节。以全国坐标进一步衬托，2024年全国居民人均可支配收入为41314元，浙江显著高于全国平均水平，其城镇居民收入已连续24年、农村居民收入已连续40年居全国省区第一。如此长周期的领先不可能由短期政策制造，只能由分配结构的制度性优势持续累积而成——全省在册经营主体1095.17万户，其中民营企业380.77万户，“创业带动就业、就业带动增收”的链条在微观层面支撑着</w:t>
      </w:r>
      <m:oMath>
        <m:r>
          <w:rPr>
            <w:rFonts w:ascii="Cambria Math" w:hAnsi="Cambria Math"/>
          </w:rPr>
          <m:t xml:space="preserve">λ</m:t>
        </m:r>
        <m:d>
          <m:dPr>
            <m:begChr m:val="("/>
            <m:endChr m:val=")"/>
          </m:dPr>
          <m:e>
            <m:sSub>
              <m:e>
                <m:r>
                  <w:rPr>
                    <w:rFonts w:ascii="Cambria Math" w:hAnsi="Cambria Math"/>
                  </w:rPr>
                  <m:t xml:space="preserve">θ</m:t>
                </m:r>
              </m:e>
              <m:sub>
                <m:r>
                  <w:rPr>
                    <w:rFonts w:ascii="Cambria Math" w:hAnsi="Cambria Math"/>
                  </w:rPr>
                  <m:t xml:space="preserve">2</m:t>
                </m:r>
              </m:sub>
            </m:sSub>
          </m:e>
        </m:d>
      </m:oMath>
      <w:r>
        <w:rPr>
          <w:rFonts w:ascii="Times New Roman" w:hAnsi="Times New Roman" w:eastAsia="宋体"/>
          <w:b w:val="0"/>
          <w:sz w:val="24"/>
        </w:rPr>
        <w:t>的高位运行。对理论模型而言，四省对照提供了关键的参数识别证据：</w:t>
      </w:r>
      <m:oMath>
        <m:sSub>
          <m:e>
            <m:r>
              <w:rPr>
                <w:rFonts w:ascii="Cambria Math" w:hAnsi="Cambria Math"/>
              </w:rPr>
              <m:t xml:space="preserve">θ</m:t>
            </m:r>
          </m:e>
          <m:sub>
            <m:r>
              <w:rPr>
                <w:rFonts w:ascii="Cambria Math" w:hAnsi="Cambria Math"/>
              </w:rPr>
              <m:t xml:space="preserve">2</m:t>
            </m:r>
          </m:sub>
        </m:sSub>
      </m:oMath>
      <w:r>
        <w:rPr>
          <w:rFonts w:ascii="Times New Roman" w:hAnsi="Times New Roman" w:eastAsia="宋体"/>
          <w:b w:val="0"/>
          <w:sz w:val="24"/>
        </w:rPr>
        <w:t>并非技术参数而是结构参数，由所有制结构、企业规模分布与劳动力市场形态共同塑造；这正是共富型新质生产力分析框架将就业分配关列为三大转化关口之一并赋予其独立参数地位的省际印证。</w:t>
      </w:r>
    </w:p>
    <w:p>
      <w:pPr>
        <w:spacing w:line="360" w:lineRule="auto" w:after="80"/>
        <w:jc w:val="left"/>
      </w:pPr>
      <w:r>
        <w:rPr>
          <w:rFonts w:ascii="Times New Roman" w:hAnsi="Times New Roman" w:eastAsia="黑体"/>
          <w:b/>
          <w:sz w:val="28"/>
        </w:rPr>
        <w:t>（二）均衡维度：“共同”坐标上的领先优势</w:t>
      </w:r>
    </w:p>
    <w:p>
      <w:pPr>
        <w:spacing w:line="360" w:lineRule="auto" w:after="0"/>
        <w:ind w:firstLine="480"/>
        <w:jc w:val="both"/>
      </w:pPr>
      <w:r>
        <w:rPr>
          <w:rFonts w:ascii="Times New Roman" w:hAnsi="Times New Roman" w:eastAsia="宋体"/>
          <w:b w:val="0"/>
          <w:sz w:val="24"/>
        </w:rPr>
        <w:t>若说收入坐标上浙江的领先是量的领先，均衡坐标上的领先则是结构性的。2024年浙江城乡居民收入倍差为1.83，显著低于江苏（2.04）、山东（2.14）与广东（2.31）；浙江农村居民人均可支配收入达42786元、连续多年居全国省区第一，全省所有设区市居民收入均超过全国平均水平。四省对照的启示在于：经济总量、创新投入乃至人均产出的领先，并不自动转化为城乡均衡的领先——广东研发投入强度四省最高而城乡倍差亦为四省最高，表明创新势能的空间分布与富民效能的空间可及之间存在明显张力；浙江则在人均产出并非最高的条件下实现了收入与均衡的双重领先。这一“均衡溢价”正是共同富裕示范区建设的省际显示度所在，也印证了理论模型的判断：城乡差距的走向并非由技术进步本身决定，而是由公共服务均等化等制度参数</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决定。</w:t>
      </w:r>
    </w:p>
    <w:p>
      <w:pPr>
        <w:spacing w:line="360" w:lineRule="auto" w:after="0"/>
        <w:ind w:firstLine="480"/>
        <w:jc w:val="both"/>
      </w:pPr>
      <w:r>
        <w:rPr>
          <w:rFonts w:ascii="Times New Roman" w:hAnsi="Times New Roman" w:eastAsia="宋体"/>
          <w:b w:val="0"/>
          <w:sz w:val="24"/>
        </w:rPr>
        <w:t>广东与山东两个案例的机理值得分别展开。创新活动具有强烈的空间集聚偏好，研发资源、风险资本与高技能人才向都市圈核心集中，本是创新效率的内在要求；但集聚的收益若缺乏制度化的扩散与反哺安排，便会在省域内部形成“中心—外围”的自我强化循环，发展与平衡的张力由此产生</w:t>
      </w:r>
      <w:r>
        <w:rPr>
          <w:rFonts w:ascii="Times New Roman" w:hAnsi="Times New Roman" w:eastAsia="宋体"/>
          <w:b w:val="0"/>
          <w:sz w:val="24"/>
          <w:vertAlign w:val="superscript"/>
        </w:rPr>
        <w:t>[13]</w:t>
      </w:r>
      <w:r>
        <w:rPr>
          <w:rFonts w:ascii="Times New Roman" w:hAnsi="Times New Roman" w:eastAsia="宋体"/>
          <w:b w:val="0"/>
          <w:sz w:val="24"/>
        </w:rPr>
        <w:t>。广东研发投入强度四省第一与城乡倍差四省最高并存，正是“集聚有余、扩散不足”的典型症候：珠三角的创新势能未能通过产业梯度转移、公共服务均等化与财政转移支付充分传导至粤东西北，创新版图的高峰与共富版图的洼地在同一省域内并存。山东的情形则有不同，其城乡倍差偏高更多源于城镇化进程的滞后——66.5%的常住人口城镇化率不仅明显低于其余三省，也低于全国平均水平（67.0%），农业转移人口市民化对城乡收入差距收敛的带动作用尚未充分释放。同为倍差偏高，广东是“扩散型”短板，山东是“进程型”短板，政策处方截然不同；这从反面说明，均衡绩效的诊断必须深入到参数结构层面，总量与强度指标的排名无法替代。</w:t>
      </w:r>
    </w:p>
    <w:p>
      <w:pPr>
        <w:spacing w:line="360" w:lineRule="auto" w:after="0"/>
        <w:ind w:firstLine="480"/>
        <w:jc w:val="both"/>
      </w:pPr>
      <w:r>
        <w:rPr>
          <w:rFonts w:ascii="Times New Roman" w:hAnsi="Times New Roman" w:eastAsia="宋体"/>
          <w:b w:val="0"/>
          <w:sz w:val="24"/>
        </w:rPr>
        <w:t>浙江的均衡领先同样不是自然演化的产物，而是二十余年制度建设的存量累积。“千万工程”自2003年部署以来持续迭代升级，推动城乡居民收入倍差从2003年的2.43缩小至2024年的1.83，农村居民人均可支配收入从2003年的5431元增至2023年的40311元，其经验内核在于把城乡融合从理念转化为工程化、清单化、可迭代的持续行动</w:t>
      </w:r>
      <w:r>
        <w:rPr>
          <w:rFonts w:ascii="Times New Roman" w:hAnsi="Times New Roman" w:eastAsia="宋体"/>
          <w:b w:val="0"/>
          <w:sz w:val="24"/>
          <w:vertAlign w:val="superscript"/>
        </w:rPr>
        <w:t>[72]</w:t>
      </w:r>
      <w:r>
        <w:rPr>
          <w:rFonts w:ascii="Times New Roman" w:hAnsi="Times New Roman" w:eastAsia="宋体"/>
          <w:b w:val="0"/>
          <w:sz w:val="24"/>
        </w:rPr>
        <w:t>；“山海协作”工程自2002年启动，二十年间山区26县累计获得援助资金近1000亿元、实施产业合作项目12438个、投资7305亿元，为欠发达地区嵌入全省分工体系提供了制度通道</w:t>
      </w:r>
      <w:r>
        <w:rPr>
          <w:rFonts w:ascii="Times New Roman" w:hAnsi="Times New Roman" w:eastAsia="宋体"/>
          <w:b w:val="0"/>
          <w:sz w:val="24"/>
          <w:vertAlign w:val="superscript"/>
        </w:rPr>
        <w:t>[75]</w:t>
      </w:r>
      <w:r>
        <w:rPr>
          <w:rFonts w:ascii="Times New Roman" w:hAnsi="Times New Roman" w:eastAsia="宋体"/>
          <w:b w:val="0"/>
          <w:sz w:val="24"/>
        </w:rPr>
        <w:t>；2022年12月浙江在全国率先实现低保标准市域同标，城乡义务教育共同体覆盖所有乡村学校，公共服务均等化的制度参数</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被持续调高。2024年，浙江居民收入低于全国平均的县（区）由8个减少为4个，均衡的改善仍在边际推进之中。将这些制度事实置于四省对照的背景下，结论便十分清晰：均衡坐标上的领先本质上是</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的领先，是“制度转化器”长期运转的累积成果；对照2024年全国城乡收入倍差2.34的水平，浙江的1.83所代表的不仅是量的差距，更是城乡关系形态的阶段性差异。</w:t>
      </w:r>
    </w:p>
    <w:p>
      <w:pPr>
        <w:spacing w:line="360" w:lineRule="auto" w:after="80"/>
        <w:jc w:val="left"/>
      </w:pPr>
      <w:r>
        <w:rPr>
          <w:rFonts w:ascii="Times New Roman" w:hAnsi="Times New Roman" w:eastAsia="黑体"/>
          <w:b/>
          <w:sz w:val="28"/>
        </w:rPr>
        <w:t>（三）要素结构：投入强度与转化配套的省际分野</w:t>
      </w:r>
    </w:p>
    <w:p>
      <w:pPr>
        <w:spacing w:line="360" w:lineRule="auto" w:after="0"/>
        <w:ind w:firstLine="480"/>
        <w:jc w:val="both"/>
      </w:pPr>
      <w:r>
        <w:rPr>
          <w:rFonts w:ascii="Times New Roman" w:hAnsi="Times New Roman" w:eastAsia="宋体"/>
          <w:b w:val="0"/>
          <w:sz w:val="24"/>
        </w:rPr>
        <w:t>从条件变量的省际结构看，四省呈现清晰的分野。创新投入维度，广东（3.54%）、江苏（3.29%）领先，浙江（3.20%）居第三，山东（2.59%）明显偏低；人力资本维度，江苏（每10万人口18663人）居首，浙江（16990人）次之；而在转化配套维度，浙江全面领先——数字普惠金融指数453.78居四省之首，中国民营企业500强入围数107家，超过江苏（90家）与广东、山东（各51家）之和的一半以上，凸显民营经济活力的断层优势。四省要素结构的雷达图如图16所示。</w:t>
      </w:r>
    </w:p>
    <w:p>
      <w:pPr>
        <w:spacing w:before="120"/>
        <w:jc w:val="center"/>
      </w:pPr>
      <w:r>
        <w:drawing>
          <wp:inline xmlns:a="http://schemas.openxmlformats.org/drawingml/2006/main" xmlns:pic="http://schemas.openxmlformats.org/drawingml/2006/picture">
            <wp:extent cx="3320003" cy="2839151"/>
            <wp:docPr id="16" name="Picture 16"/>
            <wp:cNvGraphicFramePr>
              <a:graphicFrameLocks noChangeAspect="1"/>
            </wp:cNvGraphicFramePr>
            <a:graphic>
              <a:graphicData uri="http://schemas.openxmlformats.org/drawingml/2006/picture">
                <pic:pic>
                  <pic:nvPicPr>
                    <pic:cNvPr id="0" name="fig16_radar.png"/>
                    <pic:cNvPicPr/>
                  </pic:nvPicPr>
                  <pic:blipFill>
                    <a:blip r:embed="rId24"/>
                    <a:stretch>
                      <a:fillRect/>
                    </a:stretch>
                  </pic:blipFill>
                  <pic:spPr>
                    <a:xfrm>
                      <a:off x="0" y="0"/>
                      <a:ext cx="3320003" cy="2839151"/>
                    </a:xfrm>
                    <a:prstGeom prst="rect"/>
                  </pic:spPr>
                </pic:pic>
              </a:graphicData>
            </a:graphic>
          </wp:inline>
        </w:drawing>
      </w:r>
    </w:p>
    <w:p>
      <w:pPr>
        <w:spacing w:after="80"/>
        <w:jc w:val="center"/>
      </w:pPr>
      <w:r>
        <w:rPr>
          <w:rFonts w:ascii="Times New Roman" w:hAnsi="Times New Roman" w:eastAsia="黑体"/>
          <w:b/>
          <w:sz w:val="21"/>
        </w:rPr>
        <w:t xml:space="preserve">图16　</w:t>
      </w:r>
      <w:r>
        <w:rPr>
          <w:rFonts w:ascii="Times New Roman" w:hAnsi="Times New Roman" w:eastAsia="宋体"/>
          <w:b/>
          <w:sz w:val="21"/>
        </w:rPr>
        <w:t>粤苏鲁浙四省发展格局雷达图</w:t>
      </w:r>
    </w:p>
    <w:p>
      <w:pPr>
        <w:spacing w:after="120"/>
        <w:jc w:val="left"/>
      </w:pPr>
      <w:r>
        <w:rPr>
          <w:rFonts w:ascii="Times New Roman" w:hAnsi="Times New Roman" w:eastAsia="宋体"/>
          <w:b w:val="0"/>
          <w:sz w:val="21"/>
        </w:rPr>
        <w:t>注：各维度按四省最大值归一化；城乡均衡度为城乡居民收入倍差的倒数；指标年份口径同表14注。</w:t>
      </w:r>
    </w:p>
    <w:p>
      <w:pPr>
        <w:spacing w:line="360" w:lineRule="auto" w:after="0"/>
        <w:ind w:firstLine="480"/>
        <w:jc w:val="both"/>
      </w:pPr>
      <w:r>
        <w:rPr>
          <w:rFonts w:ascii="Times New Roman" w:hAnsi="Times New Roman" w:eastAsia="宋体"/>
          <w:b w:val="0"/>
          <w:sz w:val="24"/>
        </w:rPr>
        <w:t>以三大转化关口的参数结构解读，四省呈现差异化的组合形态：广东近似“强势能—弱均衡”结构，创新投入与知识生产（</w:t>
      </w:r>
      <m:oMath>
        <m:sSub>
          <m:e>
            <m:r>
              <w:rPr>
                <w:rFonts w:ascii="Cambria Math" w:hAnsi="Cambria Math"/>
              </w:rPr>
              <m:t xml:space="preserve">θ</m:t>
            </m:r>
          </m:e>
          <m:sub>
            <m:r>
              <w:rPr>
                <w:rFonts w:ascii="Cambria Math" w:hAnsi="Cambria Math"/>
              </w:rPr>
              <m:t xml:space="preserve">0</m:t>
            </m:r>
          </m:sub>
        </m:sSub>
      </m:oMath>
      <w:r>
        <w:rPr>
          <w:rFonts w:ascii="Times New Roman" w:hAnsi="Times New Roman" w:eastAsia="宋体"/>
          <w:b w:val="0"/>
          <w:sz w:val="24"/>
        </w:rPr>
        <w:t>）全国领先，但城乡倍差最高，人力资本反哺关（</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）的短板明显，其省域内部珠三角与粤东西北的梯度落差构成结构性约束；江苏近似“强势能—中转化”结构，人均产出与人力资本居首，但居民收入与人均产出之比四省最低，就业分配关（</w:t>
      </w:r>
      <m:oMath>
        <m:sSub>
          <m:e>
            <m:r>
              <w:rPr>
                <w:rFonts w:ascii="Cambria Math" w:hAnsi="Cambria Math"/>
              </w:rPr>
              <m:t xml:space="preserve">θ</m:t>
            </m:r>
          </m:e>
          <m:sub>
            <m:r>
              <w:rPr>
                <w:rFonts w:ascii="Cambria Math" w:hAnsi="Cambria Math"/>
              </w:rPr>
              <m:t xml:space="preserve">2</m:t>
            </m:r>
          </m:sub>
        </m:sSub>
      </m:oMath>
      <w:r>
        <w:rPr>
          <w:rFonts w:ascii="Times New Roman" w:hAnsi="Times New Roman" w:eastAsia="宋体"/>
          <w:b w:val="0"/>
          <w:sz w:val="24"/>
        </w:rPr>
        <w:t>）的传导存在折损；山东呈“投入追赶”结构，研发强度与城镇化率均有明显差距，处于势能积蓄期；浙江则呈“全链条均衡”结构——单项要素除民营活力与数字金融外多不居首，但势能、动能、效能三个环节无显著短板，转化链条的完整性最高。这一省际证据直接支持模型命题M3：相近的发展绩效可以由不同的参数组合实现，而浙江组合的独特性在于以最强的转化配套弥补非最强的投入强度，恰是“创新—民营协同型”（S2）组态的典型形态。</w:t>
      </w:r>
    </w:p>
    <w:p>
      <w:pPr>
        <w:spacing w:line="360" w:lineRule="auto" w:after="0"/>
        <w:ind w:firstLine="480"/>
        <w:jc w:val="both"/>
      </w:pPr>
      <w:r>
        <w:rPr>
          <w:rFonts w:ascii="Times New Roman" w:hAnsi="Times New Roman" w:eastAsia="宋体"/>
          <w:b w:val="0"/>
          <w:sz w:val="24"/>
        </w:rPr>
        <w:t>将四省的参数画像进一步展开，可以看到每种结构各自的优势与代价。广东的“强势能—弱均衡”并不意味着其转化链条整体失灵：其居民收入与人均产出之比达46.2%、仅次于浙江，表明珠三角内部的就业分配传导相当有效，症结在于势能的空间覆盖半径有限，</w:t>
      </w:r>
      <m:oMath>
        <m:sSub>
          <m:e>
            <m:r>
              <w:rPr>
                <w:rFonts w:ascii="Cambria Math" w:hAnsi="Cambria Math"/>
              </w:rPr>
              <m:t xml:space="preserve">θ</m:t>
            </m:r>
          </m:e>
          <m:sub>
            <m:r>
              <w:rPr>
                <w:rFonts w:ascii="Cambria Math" w:hAnsi="Cambria Math"/>
              </w:rPr>
              <m:t xml:space="preserve">0</m:t>
            </m:r>
          </m:sub>
        </m:sSub>
      </m:oMath>
      <w:r>
        <w:rPr>
          <w:rFonts w:ascii="Times New Roman" w:hAnsi="Times New Roman" w:eastAsia="宋体"/>
          <w:b w:val="0"/>
          <w:sz w:val="24"/>
        </w:rPr>
        <w:t>的高度与</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的广度不相匹配。江苏的“强势能—中转化”最具理论张力：人均产出与人力资本双居四省之首，居民收入绝对水平亦位居全国前列，但34.5%的转化比例显示其增长成果中相当部分沉淀于企业部门与政府部门而非居民部门，这与其资本密集、外向配套的产业结构直接相关；江苏路径的长处在积累能力与再投资能力，代价则是居民部门分享比例的相对折损。山东的“投入追赶”结构中，研发强度与城镇化率构成双重滞后，但其接近10万亿元的经济体量与完备的工业门类意味着，一旦势能积蓄完成，规模化转化的潜力不可低估。浙江的“全链条均衡”则可从表14逐行验证：十项指标中，浙江居首者五项——居民收入、居民收入与人均GDP之比、城乡倍差、数字普惠金融指数与民企500强入围数——全部集中于转化与分配环节；其余五项中广东居首者三项（总量、研发强度、城镇化率）、江苏居首者两项（人均产出、人力资本）。势能环节无一居首而效能环节全面领先，恰是“以转化优势弥补投入非最优”的结构画像。</w:t>
      </w:r>
    </w:p>
    <w:p>
      <w:pPr>
        <w:spacing w:line="360" w:lineRule="auto" w:after="0"/>
        <w:ind w:firstLine="480"/>
        <w:jc w:val="both"/>
      </w:pPr>
      <w:r>
        <w:rPr>
          <w:rFonts w:ascii="Times New Roman" w:hAnsi="Times New Roman" w:eastAsia="宋体"/>
          <w:b w:val="0"/>
          <w:sz w:val="24"/>
        </w:rPr>
        <w:t>这一省际证据对命题M3的支持可以细化为三层。第一层是等效性：四省的发展绩效同处全国第一方阵，但实现绩效的参数组合互不相同——广东靠</w:t>
      </w:r>
      <m:oMath>
        <m:sSub>
          <m:e>
            <m:r>
              <w:rPr>
                <w:rFonts w:ascii="Cambria Math" w:hAnsi="Cambria Math"/>
              </w:rPr>
              <m:t xml:space="preserve">θ</m:t>
            </m:r>
          </m:e>
          <m:sub>
            <m:r>
              <w:rPr>
                <w:rFonts w:ascii="Cambria Math" w:hAnsi="Cambria Math"/>
              </w:rPr>
              <m:t xml:space="preserve">0</m:t>
            </m:r>
          </m:sub>
        </m:sSub>
      </m:oMath>
      <w:r>
        <w:rPr>
          <w:rFonts w:ascii="Times New Roman" w:hAnsi="Times New Roman" w:eastAsia="宋体"/>
          <w:b w:val="0"/>
          <w:sz w:val="24"/>
        </w:rPr>
        <w:t>的绝对高度，江苏靠</w:t>
      </w:r>
      <m:oMath>
        <m:sSub>
          <m:e>
            <m:r>
              <w:rPr>
                <w:rFonts w:ascii="Cambria Math" w:hAnsi="Cambria Math"/>
              </w:rPr>
              <m:t xml:space="preserve">θ</m:t>
            </m:r>
          </m:e>
          <m:sub>
            <m:r>
              <w:rPr>
                <w:rFonts w:ascii="Cambria Math" w:hAnsi="Cambria Math"/>
              </w:rPr>
              <m:t xml:space="preserve">0</m:t>
            </m:r>
          </m:sub>
        </m:sSub>
      </m:oMath>
      <w:r>
        <w:rPr>
          <w:rFonts w:ascii="Times New Roman" w:hAnsi="Times New Roman" w:eastAsia="宋体"/>
          <w:b w:val="0"/>
          <w:sz w:val="24"/>
        </w:rPr>
        <w:t>与人力资本的复合厚度，浙江靠</w:t>
      </w:r>
      <m:oMath>
        <m:sSub>
          <m:e>
            <m:r>
              <w:rPr>
                <w:rFonts w:ascii="Cambria Math" w:hAnsi="Cambria Math"/>
              </w:rPr>
              <m:t xml:space="preserve">θ</m:t>
            </m:r>
          </m:e>
          <m:sub>
            <m:r>
              <w:rPr>
                <w:rFonts w:ascii="Cambria Math" w:hAnsi="Cambria Math"/>
              </w:rPr>
              <m:t xml:space="preserve">2</m:t>
            </m:r>
          </m:sub>
        </m:sSub>
      </m:oMath>
      <w:r>
        <w:rPr>
          <w:rFonts w:ascii="Times New Roman" w:hAnsi="Times New Roman" w:eastAsia="宋体"/>
          <w:b w:val="0"/>
          <w:sz w:val="24"/>
        </w:rPr>
        <w:t>与</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的传导效率，高绩效不存在唯一的参数配方。第二层是非对称性：参数组合的差异塑造了绩效结构的差异，总量、人均、收入、均衡四个坐标上四省各擅胜场，没有任何一省实现全坐标居首，说明在给定发展阶段上参数之间存在现实的配置权衡。第三层是短板约束：转化链条上任何一关的折损都会在下游坐标留下痕迹——江苏</w:t>
      </w:r>
      <m:oMath>
        <m:sSub>
          <m:e>
            <m:r>
              <w:rPr>
                <w:rFonts w:ascii="Cambria Math" w:hAnsi="Cambria Math"/>
              </w:rPr>
              <m:t xml:space="preserve">θ</m:t>
            </m:r>
          </m:e>
          <m:sub>
            <m:r>
              <w:rPr>
                <w:rFonts w:ascii="Cambria Math" w:hAnsi="Cambria Math"/>
              </w:rPr>
              <m:t xml:space="preserve">2</m:t>
            </m:r>
          </m:sub>
        </m:sSub>
      </m:oMath>
      <w:r>
        <w:rPr>
          <w:rFonts w:ascii="Times New Roman" w:hAnsi="Times New Roman" w:eastAsia="宋体"/>
          <w:b w:val="0"/>
          <w:sz w:val="24"/>
        </w:rPr>
        <w:t>环节的折损显现为转化比例四省最低，广东</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环节的短板显现为倍差四省最高；浙江之所以在收入与均衡坐标上双双领先，正因其链条无显著断点。就浙江领先幅度最大的两项转化配套而言，其作用机理均有坚实的文献基础：数字普惠金融通过降低金融服务门槛提升长尾人群与小微主体的信贷可得性，具有显著的包容性增长效应</w:t>
      </w:r>
      <w:r>
        <w:rPr>
          <w:rFonts w:ascii="Times New Roman" w:hAnsi="Times New Roman" w:eastAsia="宋体"/>
          <w:b w:val="0"/>
          <w:sz w:val="24"/>
          <w:vertAlign w:val="superscript"/>
        </w:rPr>
        <w:t>[89,91]</w:t>
      </w:r>
      <w:r>
        <w:rPr>
          <w:rFonts w:ascii="Times New Roman" w:hAnsi="Times New Roman" w:eastAsia="宋体"/>
          <w:b w:val="0"/>
          <w:sz w:val="24"/>
        </w:rPr>
        <w:t>，453.78的指数意味着这一效应在浙江的覆盖密度为四省之最；民营企业500强入围107家、连续27年居全国第一的背后，则是民营经济作为就业吸纳与收入分配主渠道的功能——民营企业贡献了浙江进出口总额的80.8%，规模以上工业民营企业达5.5万家、占比92.7%，企业生态的厚度直接决定创新成果产业化与就业化的速度。</w:t>
      </w:r>
    </w:p>
    <w:p>
      <w:pPr>
        <w:spacing w:line="360" w:lineRule="auto" w:after="80"/>
        <w:jc w:val="left"/>
      </w:pPr>
      <w:r>
        <w:rPr>
          <w:rFonts w:ascii="Times New Roman" w:hAnsi="Times New Roman" w:eastAsia="黑体"/>
          <w:b/>
          <w:sz w:val="28"/>
        </w:rPr>
        <w:t>（四）浙江方位与“十五五”的追赶点</w:t>
      </w:r>
    </w:p>
    <w:p>
      <w:pPr>
        <w:spacing w:line="360" w:lineRule="auto" w:after="0"/>
        <w:ind w:firstLine="480"/>
        <w:jc w:val="both"/>
      </w:pPr>
      <w:r>
        <w:rPr>
          <w:rFonts w:ascii="Times New Roman" w:hAnsi="Times New Roman" w:eastAsia="宋体"/>
          <w:b w:val="0"/>
          <w:sz w:val="24"/>
        </w:rPr>
        <w:t>综合四省对照，浙江在共富型新质生产力坐标系中的方位可以概括为：居民收入最高、城乡差距最小、民营经济最活跃、数字金融最普惠的“转化效率高地”，同时是创新投入强度与人均产出存在追赶空间的“势能提升在途者”。这一方位判断的政策含义是双向的：一方面，浙江的比较优势在关口而不在源头，“十五五”时期须格外警惕转化优势的边际递减——民营经济活力与数字金融的领先幅度可能随其他省份的追赶而收窄；另一方面，浙江的首要追赶点在创新投入强度，障碍度诊断（第七章）显示R&amp;D经费投入强度已于2024年跃居新质生产力系统第一障碍因子，与本章的省际对照互为印证，省委十五届八次全会提出的2030年全社会研发投入强度3.5%以上目标，正是对这一短板的针对性部署。“固转化之长、补投入之短”，构成第十一章路径设计的省际坐标依据。</w:t>
      </w:r>
    </w:p>
    <w:p>
      <w:pPr>
        <w:spacing w:line="360" w:lineRule="auto" w:after="0"/>
        <w:ind w:firstLine="480"/>
        <w:jc w:val="both"/>
      </w:pPr>
      <w:r>
        <w:rPr>
          <w:rFonts w:ascii="Times New Roman" w:hAnsi="Times New Roman" w:eastAsia="宋体"/>
          <w:b w:val="0"/>
          <w:sz w:val="24"/>
        </w:rPr>
        <w:t>“转化优势边际递减”的风险应当具体化为三条传导渠道加以监测。其一，数字金融的先发优势具有技术扩散意义上的自然收敛倾向：数字基础设施与金融科技的可复制性强，后发省份的追赶速度往往快于传统金融差距的收敛速度，浙江453.78的指数相对于江苏（438.61）、广东（426.48）的领先属于同一量级内的领先而非代际领先，安全边际并不宽裕。其二，民营经济的制度环境优势正在被普遍化：各省营商环境改革持续推进，浙江“金名片”的相对含金量取决于自身改革的边际速度而非存量口碑。其三，也是最根本的，若创新投入强度的差距长期存在，转化效率的优势将逐渐失去可转化的对象——效能是势能与转化效率共同作用的结果，势能增长放缓终将约束效能的上限。因此，“固转化之长”的要义不是守成，而是把经验性优势升级为制度性优势：将民营经济促进、数字普惠金融发展、城乡要素双向流动等领域行之有效的做法上升为稳定的制度供给，使其他省份能够学到的是“做法”、难以复制的是“生态”。</w:t>
      </w:r>
    </w:p>
    <w:p>
      <w:pPr>
        <w:spacing w:line="360" w:lineRule="auto" w:after="0"/>
        <w:ind w:firstLine="480"/>
        <w:jc w:val="both"/>
      </w:pPr>
      <w:r>
        <w:rPr>
          <w:rFonts w:ascii="Times New Roman" w:hAnsi="Times New Roman" w:eastAsia="宋体"/>
          <w:b w:val="0"/>
          <w:sz w:val="24"/>
        </w:rPr>
        <w:t>“补投入之短”则已有明确的量化锚点与政策部署。2024年浙江研发经费达2901.4亿元、居全国第4，投入强度升至3.22%，但与粤苏两省相比仍有差距；《关于加快建设创新浙江因地制宜发展新质生产力的实施方案》确定了2027年研发投入强度3.4%以上的近期目标，省委十五届八次全会进一步锚定2030年3.5%以上，并同步设定人均地区生产总值约17万元、居民人均可支配收入9万元左右、城乡居民收入倍差缩小至1.8以内的目标组合</w:t>
      </w:r>
      <w:r>
        <w:rPr>
          <w:rFonts w:ascii="Times New Roman" w:hAnsi="Times New Roman" w:eastAsia="宋体"/>
          <w:b w:val="0"/>
          <w:sz w:val="24"/>
          <w:vertAlign w:val="superscript"/>
        </w:rPr>
        <w:t>[7]</w:t>
      </w:r>
      <w:r>
        <w:rPr>
          <w:rFonts w:ascii="Times New Roman" w:hAnsi="Times New Roman" w:eastAsia="宋体"/>
          <w:b w:val="0"/>
          <w:sz w:val="24"/>
        </w:rPr>
        <w:t>。这组目标的内在逻辑正是本章省际对照的政策转译：投入强度目标对准势能短板，收入与倍差目标锁定并巩固转化优势，人均产出目标则要求两者的乘积效应如期兑现。换言之，浙江“十五五”的省际竞争策略不是在对手的强项上硬性对标，而是在保持转化链条完整性的前提下，将投入强度提升到不再构成系统性约束的水平，这与障碍度诊断给出的“第一障碍因子”判断在方向上完全一致。</w:t>
      </w:r>
    </w:p>
    <w:p>
      <w:pPr>
        <w:spacing w:line="360" w:lineRule="auto" w:after="0"/>
        <w:ind w:firstLine="480"/>
        <w:jc w:val="both"/>
      </w:pPr>
      <w:r>
        <w:rPr>
          <w:rFonts w:ascii="Times New Roman" w:hAnsi="Times New Roman" w:eastAsia="宋体"/>
          <w:b w:val="0"/>
          <w:sz w:val="24"/>
        </w:rPr>
        <w:t>最后应当指出，四省比较的意义不止于浙江一省的方位校准。《建议》强调“区域协调发展是中国式现代化的内在要求”，要求“巩固提升京津冀、长三角、粤港澳大湾区高质量发展动力源作用”</w:t>
      </w:r>
      <w:r>
        <w:rPr>
          <w:rFonts w:ascii="Times New Roman" w:hAnsi="Times New Roman" w:eastAsia="宋体"/>
          <w:b w:val="0"/>
          <w:sz w:val="24"/>
          <w:vertAlign w:val="superscript"/>
        </w:rPr>
        <w:t>[1]</w:t>
      </w:r>
      <w:r>
        <w:rPr>
          <w:rFonts w:ascii="Times New Roman" w:hAnsi="Times New Roman" w:eastAsia="宋体"/>
          <w:b w:val="0"/>
          <w:sz w:val="24"/>
        </w:rPr>
        <w:t>，经济大省发展路径的多样性本身就是全国区域格局的重要资产，头部省份之间的良性竞争与互学互鉴构成区域协调发展的高层次动力</w:t>
      </w:r>
      <w:r>
        <w:rPr>
          <w:rFonts w:ascii="Times New Roman" w:hAnsi="Times New Roman" w:eastAsia="宋体"/>
          <w:b w:val="0"/>
          <w:sz w:val="24"/>
          <w:vertAlign w:val="superscript"/>
        </w:rPr>
        <w:t>[24]</w:t>
      </w:r>
      <w:r>
        <w:rPr>
          <w:rFonts w:ascii="Times New Roman" w:hAnsi="Times New Roman" w:eastAsia="宋体"/>
          <w:b w:val="0"/>
          <w:sz w:val="24"/>
        </w:rPr>
        <w:t>。2024年长三角地区生产总值达33.17万亿元、占全国的24.7%，浙江与江苏同处这一动力源之中，江苏的人力资本厚度与浙江的转化生态存在明显的互补空间，可以通过要素流动与制度对接实现优势互补。对全国而言，浙江案例的示范价值在于证明：在人均产出并非最高的条件下，通过关口治理同样能够实现居民收入与城乡均衡的双重领先，这为投入能力有限的省份提供了“不以最高投入为前提”的共富路径参照，也正是共同富裕示范区之“示范”二字的深层含义。以此方位判断为坐标，第十一章将把“固转化之长、补投入之短”展开为系统的路径设计与政策安排。</w:t>
      </w:r>
    </w:p>
    <w:p>
      <w:pPr>
        <w:spacing w:line="360" w:lineRule="auto" w:after="160"/>
        <w:jc w:val="center"/>
      </w:pPr>
      <w:r>
        <w:rPr>
          <w:rFonts w:ascii="Times New Roman" w:hAnsi="Times New Roman" w:eastAsia="黑体"/>
          <w:b/>
          <w:sz w:val="32"/>
        </w:rPr>
        <w:t>十一、“十五五”路径：深化共富型新质生产力发展的浙江方略</w:t>
      </w:r>
    </w:p>
    <w:p>
      <w:pPr>
        <w:spacing w:line="360" w:lineRule="auto" w:after="0"/>
        <w:ind w:firstLine="480"/>
        <w:jc w:val="both"/>
      </w:pPr>
      <w:r>
        <w:rPr>
          <w:rFonts w:ascii="Times New Roman" w:hAnsi="Times New Roman" w:eastAsia="宋体"/>
          <w:b w:val="0"/>
          <w:sz w:val="24"/>
        </w:rPr>
        <w:t>党的二十届四中全会指出，“‘十五五’时期在基本实现社会主义现代化进程中具有承前启后的重要地位”，要求“推动经济实现质的有效提升和量的合理增长，推动人的全面发展、全体人民共同富裕迈出坚实步伐”。省委十五届八次全会确立了“高质量发展建设共同富裕示范区取得决定性进展，率先呈现基本实现社会主义现代化的生动图景”的“十五五”总目标；按照《建议》起草说明的阐释，这一时期是浙江持续夯实基础、全面发力、突破提升、高质量发展建设共同富裕示范区的决定性阶段。本报告的实证分析表明：浙江新质生产力发展指数（</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）与共同富裕指数（</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）的耦合协调度（</w:t>
      </w:r>
      <m:oMath>
        <m:r>
          <w:rPr>
            <w:rFonts w:ascii="Cambria Math" w:hAnsi="Cambria Math"/>
          </w:rPr>
          <m:t xml:space="preserve">D</m:t>
        </m:r>
      </m:oMath>
      <w:r>
        <w:rPr>
          <w:rFonts w:ascii="Times New Roman" w:hAnsi="Times New Roman" w:eastAsia="宋体"/>
          <w:b w:val="0"/>
          <w:sz w:val="24"/>
        </w:rPr>
        <w:t>）已由2015年的0.345（轻度失调）跃升至2024年的0.902（优质协调），2024年</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（0.824）反超</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（0.802）、改变了2020年以来</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单边领先的格局，“双向赋能”效应开始显现；fsQCA组态分析进一步揭示，“创新引领×数字金融×民营活力×城乡融合”的全要素协同型组态是浙江高共富绩效的路径底座，而“创新孤岛型”非高绩效组态的存在则警示：转化关口一旦失灵，创新投入本身并不必然带来富民效能。据此，“十五五”时期浙江深化共富型新质生产力发展的总体方略，应当围绕“势能—动能—效能”三阶转化链条，聚焦成果转化关、就业分配关、人力资本反哺关三大转化关口，依托有为政府、有效市场、有感社会“三位一体”的制度转化器，实施六条相互支撑的路径：前两条着力厚积创新势能、畅通成果转化关，第三条与第五条着力打通就业分配关的就业维度与分配维度，第四条着力修复成果转化关的空间断点，第六条着力巩固人力资本反哺关，共同构成从制度供给到量化锚点的完整施工体系，如图17所示。</w:t>
      </w:r>
    </w:p>
    <w:p>
      <w:pPr>
        <w:spacing w:before="120"/>
        <w:jc w:val="center"/>
      </w:pPr>
      <w:r>
        <w:drawing>
          <wp:inline xmlns:a="http://schemas.openxmlformats.org/drawingml/2006/main" xmlns:pic="http://schemas.openxmlformats.org/drawingml/2006/picture">
            <wp:extent cx="5038343" cy="2881579"/>
            <wp:docPr id="17" name="Picture 17"/>
            <wp:cNvGraphicFramePr>
              <a:graphicFrameLocks noChangeAspect="1"/>
            </wp:cNvGraphicFramePr>
            <a:graphic>
              <a:graphicData uri="http://schemas.openxmlformats.org/drawingml/2006/picture">
                <pic:pic>
                  <pic:nvPicPr>
                    <pic:cNvPr id="0" name="fig12_roadmap.png"/>
                    <pic:cNvPicPr/>
                  </pic:nvPicPr>
                  <pic:blipFill>
                    <a:blip r:embed="rId25"/>
                    <a:stretch>
                      <a:fillRect/>
                    </a:stretch>
                  </pic:blipFill>
                  <pic:spPr>
                    <a:xfrm>
                      <a:off x="0" y="0"/>
                      <a:ext cx="5038343" cy="2881579"/>
                    </a:xfrm>
                    <a:prstGeom prst="rect"/>
                  </pic:spPr>
                </pic:pic>
              </a:graphicData>
            </a:graphic>
          </wp:inline>
        </w:drawing>
      </w:r>
    </w:p>
    <w:p>
      <w:pPr>
        <w:spacing w:after="80"/>
        <w:jc w:val="center"/>
      </w:pPr>
      <w:r>
        <w:rPr>
          <w:rFonts w:ascii="Times New Roman" w:hAnsi="Times New Roman" w:eastAsia="黑体"/>
          <w:b/>
          <w:sz w:val="21"/>
        </w:rPr>
        <w:t xml:space="preserve">图17　</w:t>
      </w:r>
      <w:r>
        <w:rPr>
          <w:rFonts w:ascii="Times New Roman" w:hAnsi="Times New Roman" w:eastAsia="宋体"/>
          <w:b/>
          <w:sz w:val="21"/>
        </w:rPr>
        <w:t>“十五五”时期浙江深化共富型新质生产力发展的路径施工图</w:t>
      </w:r>
    </w:p>
    <w:p>
      <w:pPr>
        <w:spacing w:line="360" w:lineRule="auto" w:after="0"/>
        <w:ind w:firstLine="480"/>
        <w:jc w:val="both"/>
      </w:pPr>
      <w:r>
        <w:rPr>
          <w:rFonts w:ascii="Times New Roman" w:hAnsi="Times New Roman" w:eastAsia="宋体"/>
          <w:b w:val="0"/>
          <w:sz w:val="24"/>
        </w:rPr>
        <w:t>在展开分述之前，有必要先行说明路径设计所遵循的“理论框架—实证结论—政策对表”三重依据。就理论依据而言，习近平总书记指出，“概括地说，新质生产力是创新起主导作用，摆脱传统经济增长方式、生产力发展路径，具有高科技、高效能、高质量特征，符合新发展理念的先进生产力质态”，并强调“发展新质生产力，必须进一步全面深化改革，形成与之相适应的新型生产关系”</w:t>
      </w:r>
      <w:r>
        <w:rPr>
          <w:rFonts w:ascii="Times New Roman" w:hAnsi="Times New Roman" w:eastAsia="宋体"/>
          <w:b w:val="0"/>
          <w:sz w:val="24"/>
          <w:vertAlign w:val="superscript"/>
        </w:rPr>
        <w:t>[5]</w:t>
      </w:r>
      <w:r>
        <w:rPr>
          <w:rFonts w:ascii="Times New Roman" w:hAnsi="Times New Roman" w:eastAsia="宋体"/>
          <w:b w:val="0"/>
          <w:sz w:val="24"/>
        </w:rPr>
        <w:t>。本报告据此构建的“势能—动能—效能”三阶转化框架表明，共富型新质生产力的生成是三阶环节在制度转化器作用下的链式反应，路径设计不能停留在“抓创新”“促分配”的单点罗列，而必须瞄准链条上的转化关口精准布子。就实证依据而言，前文的三重实证与省际比较给出了明确诊断：耦合协调度已进入优质协调区间但需持续巩固，全要素协同型组态是通往高共富绩效的充分路径，浙江在四省比较中的相对优势恰在于势能向效能的转化效率。就政策对表而言，六条路径逐一对应《建议》与省委全会部署的条线安排，使学理逻辑、实证证据与政策话语在同一张施工图上闭合。</w:t>
      </w:r>
    </w:p>
    <w:p>
      <w:pPr>
        <w:spacing w:line="360" w:lineRule="auto" w:after="0"/>
        <w:ind w:firstLine="480"/>
        <w:jc w:val="both"/>
      </w:pPr>
      <w:r>
        <w:rPr>
          <w:rFonts w:ascii="Times New Roman" w:hAnsi="Times New Roman" w:eastAsia="宋体"/>
          <w:b w:val="0"/>
          <w:sz w:val="24"/>
        </w:rPr>
        <w:t>尤须强调的是，六条路径在方法论上应作为一个组态整体加以把握。组态分析的核心启示在于因果的联合性与等效性——单个条件通常既非充分亦非必要，条件的组合才构成通往结果的路径[131,139]。这意味着“十五五”政策实施的重心不在于对某一条路径孤注一掷，而在于保持六条路径的协同在场。为使路径可考核、可追踪，本章为每条路径设置了2030年量化锚点，锚点全部取自省委十五届八次全会确定的量化目标体系——人均地区生产总值接近发达经济体水平（约17万元）、全社会研发投入强度3.5%以上、全员劳动生产率30万元/人左右、居民人均可支配收入9万元左右、常住人口城镇化率78%左右、城乡居民收入倍差缩小至1.8以内——并与创新浙江建设、缩小“三大差距”的2027年阶段目标相衔接，形成“2027年阶段检验—2030年锚点验收—2035年远景对表”的三级进度管理框架。</w:t>
      </w:r>
    </w:p>
    <w:p>
      <w:pPr>
        <w:spacing w:line="360" w:lineRule="auto" w:after="80"/>
        <w:jc w:val="left"/>
      </w:pPr>
      <w:r>
        <w:rPr>
          <w:rFonts w:ascii="Times New Roman" w:hAnsi="Times New Roman" w:eastAsia="黑体"/>
          <w:b/>
          <w:sz w:val="28"/>
        </w:rPr>
        <w:t>（一）以“创新浙江”建设厚积创新势能</w:t>
      </w:r>
    </w:p>
    <w:p>
      <w:pPr>
        <w:spacing w:line="360" w:lineRule="auto" w:after="0"/>
        <w:ind w:firstLine="480"/>
        <w:jc w:val="both"/>
      </w:pPr>
      <w:r>
        <w:rPr>
          <w:rFonts w:ascii="Times New Roman" w:hAnsi="Times New Roman" w:eastAsia="宋体"/>
          <w:b w:val="0"/>
          <w:sz w:val="24"/>
        </w:rPr>
        <w:t>创新势能是三阶转化链条的起点，也是共富型新质生产力的第一性来源。实证结果显示，浙江创新势能子系统指数由2015年的0.186升至2024年的0.757；fsQCA必要性分析中，“创新投入强度缺失”对非高共富绩效的一致性高达0.869、接近必要条件量级，且创新投入在两条高绩效组态中均为核心条件——这意味着创新投入不足几乎必然导致共富绩效不高，厚积创新势能是不可替代的先手棋。这一机理与《建议》“统筹教育强国、科技强国、人才强国建设，提升国家创新体系整体效能，全面增强自主创新能力，抢占科技发展制高点，不断催生新质生产力”的部署高度契合；省委十五届七次全会亦明确坚持教育科技人才一体改革发展为主要支撑、科技创新和产业创新深度融合为关键路径。“十五五”时期的具体抓手：一是深入实施“315”科技创新体系建设工程，做强以之江、西湖等10家省实验室为骨干的战略科技力量，依托杭州城西科创大走廊提升创新策源能力，力争2027年全国重点实验室达到27家以上、每万人高价值发明专利达到25件。二是深化教育科技人才一体改革，实施“双一流196”工程和“135”人才强省体系建设工程，支持浙江大学加快迈向世界一流大学前列、西湖大学建设世界一流新型研究型大学，深化“校（院）企双聘”，完善“科技副总”“产业教授”机制，以人才跨体制流动打通教育链、创新链与产业链。三是保持研发投入的持续爬坡，在2024年R&amp;D经费2901.4亿元、居全国第4的基础上，按照创新浙江2027年R&amp;D强度3.4%以上的阶段目标滚动加力。2030年锚点：全社会研发投入强度达到3.5%以上，为势能向动能、效能的梯次转化提供充沛“位能”。</w:t>
      </w:r>
    </w:p>
    <w:p>
      <w:pPr>
        <w:spacing w:line="360" w:lineRule="auto" w:after="0"/>
        <w:ind w:firstLine="480"/>
        <w:jc w:val="both"/>
      </w:pPr>
      <w:r>
        <w:rPr>
          <w:rFonts w:ascii="Times New Roman" w:hAnsi="Times New Roman" w:eastAsia="宋体"/>
          <w:b w:val="0"/>
          <w:sz w:val="24"/>
        </w:rPr>
        <w:t>就部署依据与学理机理作进一步展开。《建议》第四部分开宗明义指出“中国式现代化要靠科技现代化作支撑”，并从加强原始创新和关键核心技术攻关、推动科技创新和产业创新深度融合、一体推进教育科技人才发展、深入推进数字中国建设四个方面作出系统安排。这一安排与内生增长理论的核心洞见相互印证：长期增长的引擎不在要素的数量扩张而在知识生产与人力资本积累，研发部门的规模与效率决定技术进步的速率，人力资本存量决定知识吸收与再创造的能力[152,153]。就本报告的框架而言，创新势能处于三阶转化链条的最上游，其积蓄速度决定了后续动能转换与效能释放的理论上限；生产力的现代化转型必须以创新起主导作用的先进生产力质态为方向，创新投入的持续加码构成新质生产力生成的第一推动</w:t>
      </w:r>
      <w:r>
        <w:rPr>
          <w:rFonts w:ascii="Times New Roman" w:hAnsi="Times New Roman" w:eastAsia="宋体"/>
          <w:b w:val="0"/>
          <w:sz w:val="24"/>
          <w:vertAlign w:val="superscript"/>
        </w:rPr>
        <w:t>[40,41]</w:t>
      </w:r>
      <w:r>
        <w:rPr>
          <w:rFonts w:ascii="Times New Roman" w:hAnsi="Times New Roman" w:eastAsia="宋体"/>
          <w:b w:val="0"/>
          <w:sz w:val="24"/>
        </w:rPr>
        <w:t>。fsQCA必要性分析给出的0.869一致性水平，正是这一学理判断在浙江情境中的经验对应物。</w:t>
      </w:r>
    </w:p>
    <w:p>
      <w:pPr>
        <w:spacing w:line="360" w:lineRule="auto" w:after="0"/>
        <w:ind w:firstLine="480"/>
        <w:jc w:val="both"/>
      </w:pPr>
      <w:r>
        <w:rPr>
          <w:rFonts w:ascii="Times New Roman" w:hAnsi="Times New Roman" w:eastAsia="宋体"/>
          <w:b w:val="0"/>
          <w:sz w:val="24"/>
        </w:rPr>
        <w:t>就重点举措的实施基础再作细化。浙江厚积创新势能的载体体系已具雏形、贵在成势。战略科技力量方面，10家省实验室中7家布局杭州，之江实验室2017年9月由省政府、浙江大学与阿里巴巴共建成立，西湖大学2018年成立、系全国第一所社会力量举办、国家重点支持的新型研究型大学，杭州城西科创大走廊2016年启动建设、串联紫金港、未来、青山湖三大科技城，共同构成“实验室矩阵+新型大学+科创走廊”的策源组合，“十四五”末浙江区域创新能力稳居全国第4。创新主体方面，高新技术企业由2015年的7905家增至2024年的4.75万家左右，科技型中小企业累计达13.1万家，梯度培育体系日益厚实。投入强度方面，R&amp;D经费投入强度由2015年的2.33%升至2024年的3.22%，与3.4%、3.5%的阶段目标已处于同一量级，关键在于保持爬坡斜率并优化投入结构。教育科技人才一体改革则是上述载体高效运转的制度前提，浙江在“校（院）企双聘”“科技副总”等机制上的先行探索，已在贯通教育链、创新链与产业链方面显现成效</w:t>
      </w:r>
      <w:r>
        <w:rPr>
          <w:rFonts w:ascii="Times New Roman" w:hAnsi="Times New Roman" w:eastAsia="宋体"/>
          <w:b w:val="0"/>
          <w:sz w:val="24"/>
          <w:vertAlign w:val="superscript"/>
        </w:rPr>
        <w:t>[78]</w:t>
      </w:r>
      <w:r>
        <w:rPr>
          <w:rFonts w:ascii="Times New Roman" w:hAnsi="Times New Roman" w:eastAsia="宋体"/>
          <w:b w:val="0"/>
          <w:sz w:val="24"/>
        </w:rPr>
        <w:t>。</w:t>
      </w:r>
    </w:p>
    <w:p>
      <w:pPr>
        <w:spacing w:line="360" w:lineRule="auto" w:after="0"/>
        <w:ind w:firstLine="480"/>
        <w:jc w:val="both"/>
      </w:pPr>
      <w:r>
        <w:rPr>
          <w:rFonts w:ascii="Times New Roman" w:hAnsi="Times New Roman" w:eastAsia="宋体"/>
          <w:b w:val="0"/>
          <w:sz w:val="24"/>
        </w:rPr>
        <w:t>就量化锚点与风险提示而言，2030年研发投入强度3.5%以上的锚点与创新浙江2027年3.4%以上的阶段目标构成滚动衔接，按现有爬坡态势具备可达性，但须警惕三重风险。一是投入结构风险：若基础研究与前沿探索的占比提升不足，高强度投入可能沉淀为低水平重复建设。二是转化脱节风险：“创新孤岛型”组态警示，创新投入一旦与数字金融、人力资本、城镇化等转化条件脱耦，势能将无法沉淀为富民效能，因此对本路径的考核不应止于投入强度单项指标，而应与技术交易总额、成果产业化等转化指标捆绑评估。三是区域极化风险：创新资源向杭州、宁波等高能级城市集中固然符合集聚规律，但须同步启动路径四的空间传导安排，防止势能积蓄以扩大地区差距为代价。</w:t>
      </w:r>
    </w:p>
    <w:p>
      <w:pPr>
        <w:spacing w:line="360" w:lineRule="auto" w:after="80"/>
        <w:jc w:val="left"/>
      </w:pPr>
      <w:r>
        <w:rPr>
          <w:rFonts w:ascii="Times New Roman" w:hAnsi="Times New Roman" w:eastAsia="黑体"/>
          <w:b/>
          <w:sz w:val="28"/>
        </w:rPr>
        <w:t>（二）以“人工智能+”行动畅通势能向动能转化</w:t>
      </w:r>
    </w:p>
    <w:p>
      <w:pPr>
        <w:spacing w:line="360" w:lineRule="auto" w:after="0"/>
        <w:ind w:firstLine="480"/>
        <w:jc w:val="both"/>
      </w:pPr>
      <w:r>
        <w:rPr>
          <w:rFonts w:ascii="Times New Roman" w:hAnsi="Times New Roman" w:eastAsia="宋体"/>
          <w:b w:val="0"/>
          <w:sz w:val="24"/>
        </w:rPr>
        <w:t>成果转化关是“势能—动能”转化的第一道关口，其失灵形态即fsQCA识别出的“创新孤岛型”组态（N4）——有创新投入但数字金融、人力资本、城镇化等转化配套缺失，创新势能困于“孤岛”而无法沉淀为富民效能。浙江产业动能子系统指数由2015年的0.095升至2024年的0.831，是新质生产力发展指数两个子系统中跃升幅度更大者，恰恰说明成果转化体系的畅通是浙江组态区别于“创新孤岛”的关键。《建议》要求“全面实施‘人工智能+’行动，以人工智能引领科研范式变革，加强人工智能同产业发展、文化建设、民生保障、社会治理相结合，抢占人工智能产业应用制高点，全方位赋能千行百业”，并部署“推动量子科技、生物制造、氢能和核聚变能、脑机接口、具身智能、第六代移动通信等成为新的经济增长点”；省委十五届七次全会则明确“人工智能将成为创新浙江的最鲜明标识、最核心支撑”。“十五五”时期的具体抓手：一是纵深推进《浙江省“人工智能+”行动计划（2024—2027年）》，到2027年培育10个以上全国一流垂直行业大模型、500个以上标杆应用场景；夯实算力底座，在2025年底已建成投用总算力超156 EFLOPS的基础上，2026年提升至200 EFLOPS以上。巩固2025年1—11月全省规上人工智能核心产业营收6294亿元、同比增长21.6%的良好势头。二是放大杭州“六小龙”的策源示范效应，以深度求索的大模型、宇树科技的人形机器人、强脑科技的脑机接口、云深处科技的四足机器人等为牵引，超前布局具身智能、脑机接口等未来产业，依托宁波人形机器人创新中心等平台推动前沿技术就地转化。三是健全技术要素市场化配置机制，对标创新浙江2027年技术交易总额5300亿元以上的目标，让创新势能顺着市场通道落入产业体系。2030年锚点：全省规模以上人工智能核心产业营业收入达到1.2万亿元，衔接数字经济2027年增加值7万亿元、核心产业增加值1.6万亿元的阶段目标。</w:t>
      </w:r>
    </w:p>
    <w:p>
      <w:pPr>
        <w:spacing w:line="360" w:lineRule="auto" w:after="0"/>
        <w:ind w:firstLine="480"/>
        <w:jc w:val="both"/>
      </w:pPr>
      <w:r>
        <w:rPr>
          <w:rFonts w:ascii="Times New Roman" w:hAnsi="Times New Roman" w:eastAsia="宋体"/>
          <w:b w:val="0"/>
          <w:sz w:val="24"/>
        </w:rPr>
        <w:t>就部署依据与学理机理作进一步展开。“人工智能+”行动之所以被置于畅通势能向动能转化的枢纽位置，在于人工智能作为新一代通用目的技术，能够同时压缩创新势能沉淀为产业动能的时间距离与空间距离：一方面以数据要素与算法模型重构科研范式，缩短从实验室到生产线的转化链路；另一方面以数字平台降低技术扩散的边际成本，使前沿技术得以低门槛嵌入千行百业，数字经济由此成为新质生产力生成的加速器</w:t>
      </w:r>
      <w:r>
        <w:rPr>
          <w:rFonts w:ascii="Times New Roman" w:hAnsi="Times New Roman" w:eastAsia="宋体"/>
          <w:b w:val="0"/>
          <w:sz w:val="24"/>
          <w:vertAlign w:val="superscript"/>
        </w:rPr>
        <w:t>[26,50]</w:t>
      </w:r>
      <w:r>
        <w:rPr>
          <w:rFonts w:ascii="Times New Roman" w:hAnsi="Times New Roman" w:eastAsia="宋体"/>
          <w:b w:val="0"/>
          <w:sz w:val="24"/>
        </w:rPr>
        <w:t>。浙江的独特禀赋在于数字经济先发优势的长期累积：自2003年“数字浙江”部署以来，2017年数字经济上升为“一号工程”，2024年数字经济核心产业增加值达11060亿元、占GDP的12.3%，这为“人工智能+”提供了厚实的产业土壤、场景储备与数据要素基础。</w:t>
      </w:r>
    </w:p>
    <w:p>
      <w:pPr>
        <w:spacing w:line="360" w:lineRule="auto" w:after="0"/>
        <w:ind w:firstLine="480"/>
        <w:jc w:val="both"/>
      </w:pPr>
      <w:r>
        <w:rPr>
          <w:rFonts w:ascii="Times New Roman" w:hAnsi="Times New Roman" w:eastAsia="宋体"/>
          <w:b w:val="0"/>
          <w:sz w:val="24"/>
        </w:rPr>
        <w:t>就重点举措的微观机制再作细化。杭州“六小龙”的集体涌现是浙江成果转化生态的标志性事件，值得作机制层面的拆解：深度求索2023年成立，2025年1月发布的R1模型比肩OpenAI o1、登顶中美应用商店免费榜；宇树科技2016年创立，2024年机器狗全球市占约70%、人形机器人交付超1500台；游戏科学的《黑神话：悟空》发售3天销量超1000万套；强脑科技2018年落户杭州、深耕非侵入式脑机接口；群核科技2026年4月成为“六小龙”首家上市企业；云深处科技2017年依托浙江大学创立，其四足机器人在全国率先实现变电站全自主巡检。六家企业无一例外生长于“高校院所溢出+民营资本接力+应用场景开放+政府生态营造”的转化闭环之中，这正是本报告所论成果转化关畅通的微观写照。“十五五”时期应把这一生态经验制度化：以场景开放清单牵引垂直行业大模型落地，以算力基础设施的适度超前布局降低中小企业智能化门槛，以技术要素市场化配置改革打通职务科技成果的产权激励堵点。</w:t>
      </w:r>
    </w:p>
    <w:p>
      <w:pPr>
        <w:spacing w:line="360" w:lineRule="auto" w:after="0"/>
        <w:ind w:firstLine="480"/>
        <w:jc w:val="both"/>
      </w:pPr>
      <w:r>
        <w:rPr>
          <w:rFonts w:ascii="Times New Roman" w:hAnsi="Times New Roman" w:eastAsia="宋体"/>
          <w:b w:val="0"/>
          <w:sz w:val="24"/>
        </w:rPr>
        <w:t>就量化锚点与风险提示而言，2030年规上人工智能核心产业营业收入1.2万亿元的锚点，需在2025年1—11月营收6294亿元的基数上保持较快扩张势头，巩固21.6%的增速态势即可实现量级衔接。风险方面：一是算力供给与能耗约束的平衡问题，总算力由156 EFLOPS向200 EFLOPS以上爬坡，须与绿色化改造同步推进；二是大模型赛道的同质化竞争风险，浙江的垂直行业模型应立足本省制造业场景形成差异化纵深；三是转化链条的中试断点风险，须防止前沿技术在实验室与量产线之间的“死亡之谷”重新拉大，使“创新孤岛型”组态在细分领域局部复现。</w:t>
      </w:r>
    </w:p>
    <w:p>
      <w:pPr>
        <w:spacing w:line="360" w:lineRule="auto" w:after="80"/>
        <w:jc w:val="left"/>
      </w:pPr>
      <w:r>
        <w:rPr>
          <w:rFonts w:ascii="Times New Roman" w:hAnsi="Times New Roman" w:eastAsia="黑体"/>
          <w:b/>
          <w:sz w:val="28"/>
        </w:rPr>
        <w:t>（三）以现代化产业体系建设扩大高质量就业容量</w:t>
      </w:r>
    </w:p>
    <w:p>
      <w:pPr>
        <w:spacing w:line="360" w:lineRule="auto" w:after="0"/>
        <w:ind w:firstLine="480"/>
        <w:jc w:val="both"/>
      </w:pPr>
      <w:r>
        <w:rPr>
          <w:rFonts w:ascii="Times New Roman" w:hAnsi="Times New Roman" w:eastAsia="宋体"/>
          <w:b w:val="0"/>
          <w:sz w:val="24"/>
        </w:rPr>
        <w:t>就业分配关是“动能—效能”转化的枢纽，其断点表现为“增长不增收”。从指标结构看，在新质生产力发展指数中，全员劳动生产率的熵值法权重高达0.3740、居全部指标之首，表明生产率跃升是浙江动能积蓄的主引擎；而生产率红利能否转化为居民收入，取决于产业体系的就业包容度。《建议》要求“坚持把发展经济的着力点放在实体经济上，坚持智能化、绿色化、融合化方向……保持制造业合理比重，构建以先进制造业为骨干的现代化产业体系”，并将“高质量充分就业取得新进展，居民收入增长和经济增长同步、劳动报酬提高和劳动生产率提高同步”列为民生目标；省委十五届八次全会部署“以人工智能为核心变量、以先进制造业为骨干、以现代服务业为重要支撑”打造浙江特色现代化产业体系。“十五五”时期的具体抓手：一是深入实施“415X”先进制造业集群培育工程，以4个万亿级世界级产业群、15个千亿级特色集群和若干百亿级“新星”产业群构建梯度就业载体，依托累计93家省级“未来工厂”和3家灯塔工厂推动“机器换人”与“技能提升”同步，防止智能化改造单向挤出就业。二是壮大专精特新企业方阵这一高质量就业的“蓄水池”，巩固国家级专精特新“小巨人”企业1807家、居全国第三，制造业单项冠军278家、居全国第一的领先优势，使中小企业升级与中等技能岗位创造同频。三是充分激活民营经济这一最大就业容纳器——2024年浙江民营经济增加值占GDP的67.4%，规上工业民企占比92.7%——落实“两个毫不动摇”，支持民企参与新能源、人工智能、低空经济等领域投资，将铁路、核电等领域民企持股比例提高到10%以上，深化杭甬温要素市场化配置综合改革试点，在“十四五”城镇新增就业累计565.13万人的基础上保持就业扩容势头。2030年锚点：全员劳动生产率达到30万元/人左右（2024年为22.9万元/人），且劳动报酬提高与劳动生产率提高同步。</w:t>
      </w:r>
    </w:p>
    <w:p>
      <w:pPr>
        <w:spacing w:line="360" w:lineRule="auto" w:after="0"/>
        <w:ind w:firstLine="480"/>
        <w:jc w:val="both"/>
      </w:pPr>
      <w:r>
        <w:rPr>
          <w:rFonts w:ascii="Times New Roman" w:hAnsi="Times New Roman" w:eastAsia="宋体"/>
          <w:b w:val="0"/>
          <w:sz w:val="24"/>
        </w:rPr>
        <w:t>就机理辨析作进一步展开。智能化转型与就业扩容的关系，是就业分配关能否打通的理论焦点。悲观判断认为大量程式化岗位将被自动化替代，乐观判断则强调技术进步在替代旧任务的同时创造新任务、新岗位，就业的净效应取决于替代效应与复职效应的相对强度[19,106]。来自中国劳动力市场的证据进一步表明，机器人与人工智能应用对就业的冲击呈现结构性而非总量性特征：受冲击最深的是程式化中等技能岗位，而研发、设计、运维等新型岗位同步扩张，劳动收入份额的变动方向取决于产业结构转型与技能供给的匹配程度[21,98,107]。这一结构性特征对政策的含义十分清晰：就业分配关的治理重点不是延缓智能化，而是加快劳动力技能结构与产业需求结构的匹配速度，使“机器换人”与“技能提升”并行推进，防止数字化转型的收益分配向资本和高技能劳动单向倾斜。浙江以先进制造业为骨干的产业体系，恰好提供了大规模中等技能岗位的载体，这正是把现代化产业体系建设列为就业维度主路径的深层理由。</w:t>
      </w:r>
    </w:p>
    <w:p>
      <w:pPr>
        <w:spacing w:line="360" w:lineRule="auto" w:after="0"/>
        <w:ind w:firstLine="480"/>
        <w:jc w:val="both"/>
      </w:pPr>
      <w:r>
        <w:rPr>
          <w:rFonts w:ascii="Times New Roman" w:hAnsi="Times New Roman" w:eastAsia="宋体"/>
          <w:b w:val="0"/>
          <w:sz w:val="24"/>
        </w:rPr>
        <w:t>就重点举措的实施基础再作细化。其一，“415X”集群的就业载体功能应予凸显，万亿级、千亿级、百亿级集群分别承担就业基本盘、县域就业承接与新职业孵化的功能；93家省级“未来工厂”中杭州以23家居全省首位，3家灯塔工厂——全球服装业首家的犀牛智造、隆基绿能嘉兴工厂、全球核电首家的三门核电——示范了智能化改造与技能岗位再造并举的路径。其二，专精特新方阵的“蓄水池”效应有坚实的城市样本：宁波制造业单项冠军达104家、连续7年居全国城市第一，其经验表明单项冠军企业的深耕式成长能够持续创造稳定的高质量技能岗位。其三，民营经济的就业容纳器功能仍有释放空间：民营企业贡献了全省80.8%的进出口，在册经营主体1095.17万户中民营企业达380.77万户，中国民营企业500强浙江2025年入围107家、连续27年居全国第一；民企投资准入的进一步放宽，将直接转化为新兴领域的就业增量。</w:t>
      </w:r>
    </w:p>
    <w:p>
      <w:pPr>
        <w:spacing w:line="360" w:lineRule="auto" w:after="0"/>
        <w:ind w:firstLine="480"/>
        <w:jc w:val="both"/>
      </w:pPr>
      <w:r>
        <w:rPr>
          <w:rFonts w:ascii="Times New Roman" w:hAnsi="Times New Roman" w:eastAsia="宋体"/>
          <w:b w:val="0"/>
          <w:sz w:val="24"/>
        </w:rPr>
        <w:t>就量化锚点与风险提示而言，全员劳动生产率由2024年的22.9万元/人提升至2030年的30万元/人左右，延续的是2020年16.6万元/人以来的跃升轨迹；规上工业劳动生产率已达29.1万元/人，表明工业部门率先逼近锚点水平，难点在于服务业与农业生产率的同步抬升。风险提示有二：一是“增长不增收”的断点风险，锚点考核必须与“劳动报酬提高和劳动生产率提高同步”的约束性要求捆绑执行，防止生产率红利沉淀为资本回报而非劳动报酬；二是结构性失业风险，智能化改造集中推进期可能出现中等技能岗位的阶段性收缩，应以大规模技能培训与新职业开发对冲，使“十四五”累计565.13万人的城镇新增就业势头在更高技能层级上延续。</w:t>
      </w:r>
    </w:p>
    <w:p>
      <w:pPr>
        <w:spacing w:line="360" w:lineRule="auto" w:after="80"/>
        <w:jc w:val="left"/>
      </w:pPr>
      <w:r>
        <w:rPr>
          <w:rFonts w:ascii="Times New Roman" w:hAnsi="Times New Roman" w:eastAsia="黑体"/>
          <w:b/>
          <w:sz w:val="28"/>
        </w:rPr>
        <w:t>（四）以缩小“三大差距”为主攻方向健全空间传导机制</w:t>
      </w:r>
    </w:p>
    <w:p>
      <w:pPr>
        <w:spacing w:line="360" w:lineRule="auto" w:after="0"/>
        <w:ind w:firstLine="480"/>
        <w:jc w:val="both"/>
      </w:pPr>
      <w:r>
        <w:rPr>
          <w:rFonts w:ascii="Times New Roman" w:hAnsi="Times New Roman" w:eastAsia="宋体"/>
          <w:b w:val="0"/>
          <w:sz w:val="24"/>
        </w:rPr>
        <w:t>成果转化关在空间维度的断点，即创新要素向高能级城市极化而外围县域承接乏力所形成的“创新孤岛”，是地区差距的生成机理；fsQCA简约解显示，创新投入、数字普惠金融与城镇化构成高共富绩效的“核心三件套”，城镇化水平作为核心条件的稳定在场，印证了空间传导机制对共富绩效的枢纽作用。《建议》强调“区域协调发展是中国式现代化的内在要求”；省委十五届八次全会明确“把缩小城乡差距、地区差距、收入差距作为主攻方向，充分运用‘千万工程’蕴含的理念方法机制，聚焦山区海岛县和农村农民，围绕‘富民’统筹推进‘强城’‘兴村’‘融合’三篇文章”，并部署强化陆海联动、山海协作，形成双城牵引、区域协调发展新格局。“十五五”时期的具体抓手：一是推动山海协作工程迭代升级，在20年来山区26县获援助资金近1000亿元、落地产业合作项目12438个的基础上，深化“1+1+1+1”新型结对机制（省领导+经济强县+国企+社会力量），做强18个签约共建“产业飞地”、30个实现26县全覆盖的“消薄飞地”以及丽水共建30块科创飞地的多点布局，以“科创飞地”反向承接高能级城市创新势能的空间外溢。二是增强县域承载力，巩固山区26县GDP全部超百亿、增速高于全省1个百分点的追赶态势，落实“山区23县+2海岛县”动态调整机制，力争2027年山区海岛县数量减至20个以下、居民收入与全省平均之比达到77%。三是放大均衡底盘优势，2024年浙江居民收入低于全国平均的县（区）已由8个降为4个、所有设区市居民收入均超全国平均（全国唯一），设区市居民收入最高最低倍差仅1.54，“十五五”应以都市圈同城化与基础设施联网进一步压缩空间梯度。2030年锚点：常住人口城镇化率达到78%左右，全省人均地区生产总值和城乡居民收入接近发达经济体水平、缩小“三大差距”取得跨越式成效，山区海岛县居民收入与全省平均之比持续提升。</w:t>
      </w:r>
    </w:p>
    <w:p>
      <w:pPr>
        <w:spacing w:line="360" w:lineRule="auto" w:after="0"/>
        <w:ind w:firstLine="480"/>
        <w:jc w:val="both"/>
      </w:pPr>
      <w:r>
        <w:rPr>
          <w:rFonts w:ascii="Times New Roman" w:hAnsi="Times New Roman" w:eastAsia="宋体"/>
          <w:b w:val="0"/>
          <w:sz w:val="24"/>
        </w:rPr>
        <w:t>就机理辨析作进一步展开。空间维度的断点治理必须直面集聚与平衡的内在张力。空间政治经济学的基本结论是：经济活动向高能级城市集聚是生产率提升的必然过程，行政化的空间均摊反而两败俱伤，出路在于“在集聚中走向平衡”——让集聚地区做大总量，让人口自由流动，让公共服务与转移支付去平衡人均差距，而城市倾向的政策偏差恰是城乡差距扩大的重要制度成因；城镇化本身即具有共同富裕效应，农业转移人口的市民化在提高其收入水平的同时改善其收入结构</w:t>
      </w:r>
      <w:r>
        <w:rPr>
          <w:rFonts w:ascii="Times New Roman" w:hAnsi="Times New Roman" w:eastAsia="宋体"/>
          <w:b w:val="0"/>
          <w:sz w:val="24"/>
          <w:vertAlign w:val="superscript"/>
        </w:rPr>
        <w:t>[14,16,69]</w:t>
      </w:r>
      <w:r>
        <w:rPr>
          <w:rFonts w:ascii="Times New Roman" w:hAnsi="Times New Roman" w:eastAsia="宋体"/>
          <w:b w:val="0"/>
          <w:sz w:val="24"/>
        </w:rPr>
        <w:t>。浙江空间治理的智慧在于没有停留在“集聚—均衡”的二元对立，而是以山海协作构造了一套要素双向流动的制度化通道：强县与山区县结对不是单向输血，而是通过产业飞地、消薄飞地、科创飞地的“三飞地”架构实现税源共享、资产收益共享与创新势能共享，已被视为一项具有中国特色的区域协调发展制度安排</w:t>
      </w:r>
      <w:r>
        <w:rPr>
          <w:rFonts w:ascii="Times New Roman" w:hAnsi="Times New Roman" w:eastAsia="宋体"/>
          <w:b w:val="0"/>
          <w:sz w:val="24"/>
          <w:vertAlign w:val="superscript"/>
        </w:rPr>
        <w:t>[75]</w:t>
      </w:r>
      <w:r>
        <w:rPr>
          <w:rFonts w:ascii="Times New Roman" w:hAnsi="Times New Roman" w:eastAsia="宋体"/>
          <w:b w:val="0"/>
          <w:sz w:val="24"/>
        </w:rPr>
        <w:t>。</w:t>
      </w:r>
    </w:p>
    <w:p>
      <w:pPr>
        <w:spacing w:line="360" w:lineRule="auto" w:after="0"/>
        <w:ind w:firstLine="480"/>
        <w:jc w:val="both"/>
      </w:pPr>
      <w:r>
        <w:rPr>
          <w:rFonts w:ascii="Times New Roman" w:hAnsi="Times New Roman" w:eastAsia="宋体"/>
          <w:b w:val="0"/>
          <w:sz w:val="24"/>
        </w:rPr>
        <w:t>就重点举措的实施基础再作细化。山海协作自2002年启动以来已积累二十余年的制度存量：50个经济强县结对山区26县，仅2023年即落地合作项目225个、到位资金320亿元，累计撬动投资7305亿元。“十五五”的迭代方向是从“项目援助”升级为“功能嵌入”，即把山区海岛县嵌入全省产业链的特定环节而非孤立扶持，其中科创飞地的反向承接功能尤具空间：山区县在杭州等地设立研发孵化基地、成果回县域产业化，等于在不违背创新要素集聚规律的前提下重构了收益分配的空间格局。县域承接力建设则须正视梯度现实：设区市人均GDP最高最低倍差仍达2.20，而增速格局已现积极信号——2024年增速居前的丽水（6.6%）、绍兴（6.5%）、衢州（6.4%）、温州与金华（6.3%）呈现山区县增速领跑态势；共同富裕示范区建设确定的地区人均GDP最高最低倍差2.1以内、地区人均收入最高最低倍差1.55以内等目标，为“十五五”空间收敛提供了清晰的对表刻度。</w:t>
      </w:r>
    </w:p>
    <w:p>
      <w:pPr>
        <w:spacing w:line="360" w:lineRule="auto" w:after="0"/>
        <w:ind w:firstLine="480"/>
        <w:jc w:val="both"/>
      </w:pPr>
      <w:r>
        <w:rPr>
          <w:rFonts w:ascii="Times New Roman" w:hAnsi="Times New Roman" w:eastAsia="宋体"/>
          <w:b w:val="0"/>
          <w:sz w:val="24"/>
        </w:rPr>
        <w:t>就量化锚点与风险提示而言，2030年常住人口城镇化率78%左右的锚点，意味着在2024年75.5%的基础上继续有序吸纳农业转移人口，城镇化的边际推进将越来越依赖公共服务的常住地供给而非单纯的户籍门槛松动，这要求本路径与路径六协同发力。风险提示有三：一是飞地机制的利益分成可持续性，若税收分成与统计分算规则不稳定，经济强县的参与激励将随时间衰减；二是山区海岛县的产业根植性风险，承接产业若缺乏本地要素配套与技能支撑，易成“候鸟经济”；三是人口流出县域的收缩治理问题，应允许部分县域以“精明收缩”换取人均水平提升，动态调整机制的“能进能出”设计正是为此预留的制度接口。</w:t>
      </w:r>
    </w:p>
    <w:p>
      <w:pPr>
        <w:spacing w:line="360" w:lineRule="auto" w:after="80"/>
        <w:jc w:val="left"/>
      </w:pPr>
      <w:r>
        <w:rPr>
          <w:rFonts w:ascii="Times New Roman" w:hAnsi="Times New Roman" w:eastAsia="黑体"/>
          <w:b/>
          <w:sz w:val="28"/>
        </w:rPr>
        <w:t>（五）以收入分配制度改革释放富民效能</w:t>
      </w:r>
    </w:p>
    <w:p>
      <w:pPr>
        <w:spacing w:line="360" w:lineRule="auto" w:after="0"/>
        <w:ind w:firstLine="480"/>
        <w:jc w:val="both"/>
      </w:pPr>
      <w:r>
        <w:rPr>
          <w:rFonts w:ascii="Times New Roman" w:hAnsi="Times New Roman" w:eastAsia="宋体"/>
          <w:b w:val="0"/>
          <w:sz w:val="24"/>
        </w:rPr>
        <w:t>就业分配关的分配维度决定动能红利“分得好不好”。实证发现，2020年疫情冲击下浙江富裕度子指数回落而共享度子指数逆势提升（0.401→0.478），低保市域同标、转移支付等兜底机制发挥了“稳定器”作用；2024年共同富裕指数（</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）反超新质生产力发展指数（</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），改变了2020年以来</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单边领先的格局，说明分配端建设已开始形成对生产端的反哺——这正是“十五五”深化分配改革的实证依据。《建议》要求“使居民收入增长和经济增长同步、劳动报酬提高和劳动生产率提高同步”，分配结构得到优化、“中等收入群体持续扩大”。“十五五”时期的具体抓手：一是深化“扩中提低”改革，浙江已在全国率先划定家庭年收入10万元的中等收入群体线，2021年家庭年可支配收入10万—50万元群体比例达72.4%、比2016年提高24.3个百分点，“十五五”应对照共同富裕示范区实施方案确定的2025年目标（家庭年可支配收入10万—50万元群体比例80%、20万—60万元群体比例45%）持续攻坚并进一步提高标准，健全技能人才、新就业形态劳动者等重点群体的增收激励。二是完善要素参与分配机制，依托杭甬温要素市场化配置综合改革试点，拓宽居民财产性收入渠道，推动数据、技术、知识等新型要素的收益向劳动者合理倾斜。三是做深强村富民集成改革，在全省强村公司达2278家、参股行政村11280个、年利润21.7亿元、村均分红15.4万元的基础上，深化片区组团发展，推动省级重点村片区由226个扩展至2027年的500个以上，巩固集体经济经营性收入50万元以上行政村占比60%的成果；持续实施低收入农户增收行动，保持低收入农户收入两位数增长态势（2024年23830元、增长11.1%；2025年26439元、增长10.9%）。2030年锚点：居民人均可支配收入达到9万元左右，城乡居民收入倍差缩小至1.8以内（规划口径1.77），人均地区生产总值接近发达经济体水平（约17万元）。</w:t>
      </w:r>
    </w:p>
    <w:p>
      <w:pPr>
        <w:spacing w:line="360" w:lineRule="auto" w:after="0"/>
        <w:ind w:firstLine="480"/>
        <w:jc w:val="both"/>
      </w:pPr>
      <w:r>
        <w:rPr>
          <w:rFonts w:ascii="Times New Roman" w:hAnsi="Times New Roman" w:eastAsia="宋体"/>
          <w:b w:val="0"/>
          <w:sz w:val="24"/>
        </w:rPr>
        <w:t>就机理辨析作进一步展开。分配维度的改革须在初次分配、再分配与第三次分配的完整架构中定位：初次分配的关键是提高劳动报酬份额、以机会公平畅通向上流动通道，再分配的关键是税收、社保与转移支付的精准调节，而改革的总体要义在于包容效率与公平——分配改革不是效率的对立面，橄榄型分配结构本身就是扩大内需、稳定预期的增长要素</w:t>
      </w:r>
      <w:r>
        <w:rPr>
          <w:rFonts w:ascii="Times New Roman" w:hAnsi="Times New Roman" w:eastAsia="宋体"/>
          <w:b w:val="0"/>
          <w:sz w:val="24"/>
          <w:vertAlign w:val="superscript"/>
        </w:rPr>
        <w:t>[31,58,65,67]</w:t>
      </w:r>
      <w:r>
        <w:rPr>
          <w:rFonts w:ascii="Times New Roman" w:hAnsi="Times New Roman" w:eastAsia="宋体"/>
          <w:b w:val="0"/>
          <w:sz w:val="24"/>
        </w:rPr>
        <w:t>。浙江2020年共享度子指数逆势提升与2024年</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反超</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的实证信号，共同印证了分配端建设通过内需扩容与预期稳定反哺生产端的“双向赋能”机制。“十五五”分配改革的主线，就是把这种冲击应对型的分配韧性转化为常态运行的制度化能力。</w:t>
      </w:r>
    </w:p>
    <w:p>
      <w:pPr>
        <w:spacing w:line="360" w:lineRule="auto" w:after="0"/>
        <w:ind w:firstLine="480"/>
        <w:jc w:val="both"/>
      </w:pPr>
      <w:r>
        <w:rPr>
          <w:rFonts w:ascii="Times New Roman" w:hAnsi="Times New Roman" w:eastAsia="宋体"/>
          <w:b w:val="0"/>
          <w:sz w:val="24"/>
        </w:rPr>
        <w:t>就重点举措的证据基础再作细化。“扩中提低”方面，2021年浙江家庭年可支配收入20万—60万元群体比例已达30.6%，与10万—50万元群体72.4%的比例共同勾勒出橄榄型结构的雏形；“十五五”的重点是让技能人才、新就业形态劳动者、进城农民工等潜力群体进入中等收入行列，使机会公平的改善成为低收入群体增收的独立动力。强村富民方面，集体经济组织的公司化运营能否真正壮大集体经济，取决于治理结构与市场化运作程度，来自浙江的实证检验总体给出了肯定回答，但也提示须防范内部人控制与收益分配悬空等治理风险</w:t>
      </w:r>
      <w:r>
        <w:rPr>
          <w:rFonts w:ascii="Times New Roman" w:hAnsi="Times New Roman" w:eastAsia="宋体"/>
          <w:b w:val="0"/>
          <w:sz w:val="24"/>
          <w:vertAlign w:val="superscript"/>
        </w:rPr>
        <w:t>[76,77]</w:t>
      </w:r>
      <w:r>
        <w:rPr>
          <w:rFonts w:ascii="Times New Roman" w:hAnsi="Times New Roman" w:eastAsia="宋体"/>
          <w:b w:val="0"/>
          <w:sz w:val="24"/>
        </w:rPr>
        <w:t>；226个省级重点村片区已带动1447个村抱团发展，片区组团正在把单村的能力约束转化为跨村的规模经济。低收入农户增收方面，2023年低收入农户人均可支配收入达21440元、增长13.4%、首次突破2万元，2024年、2025年延续两位数增长，说明“兜底保障+开发帮扶”双轨机制有效运转，“十五五”应逐步提高经营性收入与工资性收入的贡献占比，增强增收内生性。</w:t>
      </w:r>
    </w:p>
    <w:p>
      <w:pPr>
        <w:spacing w:line="360" w:lineRule="auto" w:after="0"/>
        <w:ind w:firstLine="480"/>
        <w:jc w:val="both"/>
      </w:pPr>
      <w:r>
        <w:rPr>
          <w:rFonts w:ascii="Times New Roman" w:hAnsi="Times New Roman" w:eastAsia="宋体"/>
          <w:b w:val="0"/>
          <w:sz w:val="24"/>
        </w:rPr>
        <w:t>就量化锚点与风险提示而言，居民人均可支配收入9万元左右的2030年锚点，是在2025年70240元、首次突破7万元的基础上设定的，与人均地区生产总值接近发达经济体水平（约17万元）的锚点相互匹配；城乡倍差1.8以内（规划口径1.77）的锚点，则要求2025年1.81的倍差继续下探。浙江农村居民收入连续40年、城镇居民收入连续24年居全国省区第一，城乡倍差1.83对全国2.34的显著优势，为锚点达成提供了底气。风险提示有二：一是财产性收入渠道的波动风险，资本市场与房地产市场的调整可能拖累居民财产性收入增长，要素参与分配改革应更多着力于数据、技术等新型要素的收益分享机制；二是低收入农户增收对转移性收入的依赖若不能逐步降低，两位数增速的可持续性将面临考验，须以就业帮扶与产业带动夯实增收的市场化基础。</w:t>
      </w:r>
    </w:p>
    <w:p>
      <w:pPr>
        <w:spacing w:line="360" w:lineRule="auto" w:after="80"/>
        <w:jc w:val="left"/>
      </w:pPr>
      <w:r>
        <w:rPr>
          <w:rFonts w:ascii="Times New Roman" w:hAnsi="Times New Roman" w:eastAsia="黑体"/>
          <w:b/>
          <w:sz w:val="28"/>
        </w:rPr>
        <w:t>（六）以基本公共服务一体化夯实人力资本反哺</w:t>
      </w:r>
    </w:p>
    <w:p>
      <w:pPr>
        <w:spacing w:line="360" w:lineRule="auto" w:after="0"/>
        <w:ind w:firstLine="480"/>
        <w:jc w:val="both"/>
      </w:pPr>
      <w:r>
        <w:rPr>
          <w:rFonts w:ascii="Times New Roman" w:hAnsi="Times New Roman" w:eastAsia="宋体"/>
          <w:b w:val="0"/>
          <w:sz w:val="24"/>
        </w:rPr>
        <w:t>人力资本反哺关决定富民效能能否回流为新一轮创新势能，其断点表现为“低水平循环”并固化城乡差距。fsQCA结果显示，人力资本水平是“创新—人才引领型”高绩效组态（S1）的组成条件，而其缺失则频繁出现在各类非高绩效组态之中；理论框架部分揭示的共同富裕反哺新质生产力三条渠道——人力资本积累、内需市场扩容、社会预期稳定——均以基本公共服务的可及性与均等化为前提。《建议》要求“坚持尽力而为、量力而行，加强普惠性、基础性、兜底性民生建设，解决好人民群众急难愁盼问题，畅通社会流动渠道，提高人民生活品质”，并将“基本公共服务均等化水平明显提升”纳入“十五五”主要目标；省委十五届八次全会亦将“全体人民共享高品质幸福生活更加可感可及”列为“六个重大突破”的重要内容。“十五五”时期的具体抓手：一是深化教育均等化改革，巩固城乡义务教育共同体覆盖所有乡村学校、公办学校结对覆盖率95%以上的成果，使农村人口的人力资本积累速度快于城乡收入收敛速度，从源头阻断“低水平循环”。二是扩面推广舟山、淳安、龙游、景宁“一市三县”基本公共服务一体化试点经验，健全医疗、养老服务的常住地供给机制，夯实基本养老保险参保4757.71万人的制度底座，守住全国率先实现的低保标准市域同标（11市均超1000元/月）底线并稳步提标。三是保持民生投入强度，在民生支出占一般公共预算支出76.4%（2024年）的高位上优化支出结构，将更多资源投向教育、健康等生产性民生领域，巩固户籍人口人均预期寿命82.55岁、居全国省区第一的健康人力资本优势，以稳定的社会预期支撑创新创业的风险承担。2030年锚点：基本公共服务均等化水平明显提升，城乡居民实际消费水平差距进一步缩小，为2035年全省域基本实现共同富裕奠定人力资本与制度基础。</w:t>
      </w:r>
    </w:p>
    <w:p>
      <w:pPr>
        <w:spacing w:line="360" w:lineRule="auto" w:after="0"/>
        <w:ind w:firstLine="480"/>
        <w:jc w:val="both"/>
      </w:pPr>
      <w:r>
        <w:rPr>
          <w:rFonts w:ascii="Times New Roman" w:hAnsi="Times New Roman" w:eastAsia="宋体"/>
          <w:b w:val="0"/>
          <w:sz w:val="24"/>
        </w:rPr>
        <w:t>就机理辨析作进一步展开。人力资本反哺关的枢纽地位源于人力资本在增长机制中的双重身份：它既是效能释放的结果——居民收入提高与公共服务改善直接转化为家庭的教育健康投资——又是新一轮势能积蓄的投入品；由于人力资本积累具有显著的外部性，其社会收益率高于私人收益率，市场自发供给必然不足，这正是基本公共服务必须由政府主导实现均等化供给的经济学理由。从共同富裕的动态过程看，解决相对贫困的根本出路在于能力建设而非单纯的转移支付，公共服务均等化正是能力建设的制度载体；消费潜力的释放亦有赖于社会保障对预防性储蓄的替代，数字金融等普惠工具则可放大这一消费增长效应</w:t>
      </w:r>
      <w:r>
        <w:rPr>
          <w:rFonts w:ascii="Times New Roman" w:hAnsi="Times New Roman" w:eastAsia="宋体"/>
          <w:b w:val="0"/>
          <w:sz w:val="24"/>
          <w:vertAlign w:val="superscript"/>
        </w:rPr>
        <w:t>[68,90]</w:t>
      </w:r>
      <w:r>
        <w:rPr>
          <w:rFonts w:ascii="Times New Roman" w:hAnsi="Times New Roman" w:eastAsia="宋体"/>
          <w:b w:val="0"/>
          <w:sz w:val="24"/>
        </w:rPr>
        <w:t>。三条反哺渠道中，人力资本积累决定长期增长的高度，内需市场扩容决定动能循环的宽度，社会预期稳定决定创新试错的深度，三者均依赖于公共服务体系这一底层基础设施。</w:t>
      </w:r>
    </w:p>
    <w:p>
      <w:pPr>
        <w:spacing w:line="360" w:lineRule="auto" w:after="0"/>
        <w:ind w:firstLine="480"/>
        <w:jc w:val="both"/>
      </w:pPr>
      <w:r>
        <w:rPr>
          <w:rFonts w:ascii="Times New Roman" w:hAnsi="Times New Roman" w:eastAsia="宋体"/>
          <w:b w:val="0"/>
          <w:sz w:val="24"/>
        </w:rPr>
        <w:t>就重点举措的实施基础再作细化。浙江公共服务一体化的制度存量在全国具有先发意义：低保标准市域同标于2022年12月在全国率先实现，11市平均标准达1083元/月；“一市三县”试点覆盖海岛（舟山）、库区（淳安）、山区（龙游、景宁）等典型地域类型，经验具有较强的可迁移性；城乡义务教育共同体已覆盖所有乡村学校。尤须重视的是数字治理对公共服务可及性的放大效应：从2016年底启动的“最多跑一次”改革，到2021年的数字化改革，再到2023年的政务服务增值化改革，“浙里办”注册用户达1.3亿，数字入口的普及大幅压缩了公共服务获取的时间成本与信息门槛，使均等化从“设施均等”走向“可及均等”。“十五五”时期应把常住地供给机制作为改革主轴，让基本公共服务跟人走，与路径四所锚定的78%左右城镇化率形成制度呼应。</w:t>
      </w:r>
    </w:p>
    <w:p>
      <w:pPr>
        <w:spacing w:line="360" w:lineRule="auto" w:after="0"/>
        <w:ind w:firstLine="480"/>
        <w:jc w:val="both"/>
      </w:pPr>
      <w:r>
        <w:rPr>
          <w:rFonts w:ascii="Times New Roman" w:hAnsi="Times New Roman" w:eastAsia="宋体"/>
          <w:b w:val="0"/>
          <w:sz w:val="24"/>
        </w:rPr>
        <w:t>就量化锚点与风险提示而言，本路径的锚点更多体现为制度性而非数值性——基本公共服务均等化水平明显提升、城乡居民实际消费水平差距进一步缩小，其最终对表点是2035年全省域基本实现共同富裕。风险提示有三：一是人口老龄化对基本养老保险可持续性的压力，4757.71万人的参保底座须辅之以基金长期平衡的前瞻性安排；二是民生支出的结构固化风险，76.4%的民生支出占比已居高位，“十五五”的重心应从规模扩张转向结构优化，把增量资源更多导向教育、健康等生产性民生领域；三是福利刚性风险，须恪守“尽力而为、量力而行”的原则，使民生改善与财力增长相匹配，避免超越发展阶段的承诺透支长期可持续性。</w:t>
      </w:r>
    </w:p>
    <w:p>
      <w:pPr>
        <w:spacing w:line="360" w:lineRule="auto" w:after="80"/>
        <w:jc w:val="left"/>
      </w:pPr>
      <w:r>
        <w:rPr>
          <w:rFonts w:ascii="Times New Roman" w:hAnsi="Times New Roman" w:eastAsia="黑体"/>
          <w:b/>
          <w:sz w:val="28"/>
        </w:rPr>
        <w:t>（七）健全路径协同与实施保障机制</w:t>
      </w:r>
    </w:p>
    <w:p>
      <w:pPr>
        <w:spacing w:line="360" w:lineRule="auto" w:after="0"/>
        <w:ind w:firstLine="480"/>
        <w:jc w:val="both"/>
      </w:pPr>
      <w:r>
        <w:rPr>
          <w:rFonts w:ascii="Times New Roman" w:hAnsi="Times New Roman" w:eastAsia="宋体"/>
          <w:b w:val="0"/>
          <w:sz w:val="24"/>
        </w:rPr>
        <w:t>六条路径的效力不取决于各自单兵推进的深度，而取决于组合在场的协同质量。组态理论的“联合效应”与“等效替代”原理提示，条件之间存在互补与替代的复杂关系，政策组合的边际收益来自条件间的耦合而非单项强度的极大化[141]。就浙江的组态诊断而言，创新投入、数字普惠金融与城镇化的“核心三件套”分别由路径一与路径二、路径二与路径五、路径四供给，三者缺一，组态即向“创新孤岛”等非高绩效形态退化。因此，“十五五”实施中应建立路径间的联动校核机制：当某一路径进度显著超前或滞后时，重点核查其配套路径是否同步——例如研发投入强度爬坡快于技术交易总额增长时，须加密路径二的转化安排；劳动生产率提升快于居民收入增长时，须加力路径三与路径五的同步性建设。这种“看组合、不看单项”的实施观，是组态方法给予政策执行的独特启示。</w:t>
      </w:r>
    </w:p>
    <w:p>
      <w:pPr>
        <w:spacing w:line="360" w:lineRule="auto" w:after="0"/>
        <w:ind w:firstLine="480"/>
        <w:jc w:val="both"/>
      </w:pPr>
      <w:r>
        <w:rPr>
          <w:rFonts w:ascii="Times New Roman" w:hAnsi="Times New Roman" w:eastAsia="宋体"/>
          <w:b w:val="0"/>
          <w:sz w:val="24"/>
        </w:rPr>
        <w:t>在组织保障上，应把党的全面领导的政治优势转化为跨路径统筹的治理效能。《建议》将“坚持党的全面领导”列为“十五五”经济社会发展必须遵循的首要原则，并明确“坚持有效市场和有为政府相结合”；省委十五届八次全会提出的“5个必须”中，“必须牢牢扭住高质量发展建设共同富裕示范区这一核心任务”“必须坚定扛起经济大省挑大梁的责任担当”直接框定了路径实施的责任坐标。具体而言：一是规划衔接机制，2026年1月17日省十四届人大四次会议已通过“十五五”规划纲要，六条路径的量化锚点应逐项落入纲要指标体系与年度计划，防止“规划—执行”两张皮；二是专项推进机制，依托创新浙江建设、缩小“三大差距”等既有专班架构，明确每条路径的牵头部门与协同部门清单；三是市县传导机制，允许山区海岛县、都市区核心区等不同类型区域对六条路径作差异化权重配置，避免“一刀切”考核对地方行为的扭曲。</w:t>
      </w:r>
    </w:p>
    <w:p>
      <w:pPr>
        <w:spacing w:line="360" w:lineRule="auto" w:after="0"/>
        <w:ind w:firstLine="480"/>
        <w:jc w:val="both"/>
      </w:pPr>
      <w:r>
        <w:rPr>
          <w:rFonts w:ascii="Times New Roman" w:hAnsi="Times New Roman" w:eastAsia="宋体"/>
          <w:b w:val="0"/>
          <w:sz w:val="24"/>
        </w:rPr>
        <w:t>在评估监测上，应把本报告的测度框架转化为常态化的政策仪表盘。共同富裕的统计监测评价需要兼顾发展性、共享性与可持续性的多维平衡，监测工具的科学性直接影响政策校准的精度</w:t>
      </w:r>
      <w:r>
        <w:rPr>
          <w:rFonts w:ascii="Times New Roman" w:hAnsi="Times New Roman" w:eastAsia="宋体"/>
          <w:b w:val="0"/>
          <w:sz w:val="24"/>
          <w:vertAlign w:val="superscript"/>
        </w:rPr>
        <w:t>[61]</w:t>
      </w:r>
      <w:r>
        <w:rPr>
          <w:rFonts w:ascii="Times New Roman" w:hAnsi="Times New Roman" w:eastAsia="宋体"/>
          <w:b w:val="0"/>
          <w:sz w:val="24"/>
        </w:rPr>
        <w:t>。建议以三个层次构建监测体系：第一层次跟踪</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与耦合协调度</w:t>
      </w:r>
      <m:oMath>
        <m:r>
          <w:rPr>
            <w:rFonts w:ascii="Cambria Math" w:hAnsi="Cambria Math"/>
          </w:rPr>
          <m:t xml:space="preserve">D</m:t>
        </m:r>
      </m:oMath>
      <w:r>
        <w:rPr>
          <w:rFonts w:ascii="Times New Roman" w:hAnsi="Times New Roman" w:eastAsia="宋体"/>
          <w:b w:val="0"/>
          <w:sz w:val="24"/>
        </w:rPr>
        <w:t>的年度演变，以</w:t>
      </w:r>
      <m:oMath>
        <m:r>
          <w:rPr>
            <w:rFonts w:ascii="Cambria Math" w:hAnsi="Cambria Math"/>
          </w:rPr>
          <m:t xml:space="preserve">D</m:t>
        </m:r>
      </m:oMath>
      <w:r>
        <w:rPr>
          <w:rFonts w:ascii="Times New Roman" w:hAnsi="Times New Roman" w:eastAsia="宋体"/>
          <w:b w:val="0"/>
          <w:sz w:val="24"/>
        </w:rPr>
        <w:t>值稳定在优质协调区间作为总体健康度判据；第二层次跟踪障碍度诊断结果，对障碍度持续上升的指标启动政策响应；第三层次跟踪六条路径量化锚点的完成进度，按“2027年阶段检验—2030年锚点验收”的节奏滚动评估。评估结果的运用应突出诊断功能而非排名功能——耦合协调分析的价值在于揭示短板子系统与失衡方向，若异化为地方竞争的锦标赛工具，反而可能诱发数据注水与指标博弈。</w:t>
      </w:r>
    </w:p>
    <w:p>
      <w:pPr>
        <w:spacing w:line="360" w:lineRule="auto" w:after="0"/>
        <w:ind w:firstLine="480"/>
        <w:jc w:val="both"/>
      </w:pPr>
      <w:r>
        <w:rPr>
          <w:rFonts w:ascii="Times New Roman" w:hAnsi="Times New Roman" w:eastAsia="宋体"/>
          <w:b w:val="0"/>
          <w:sz w:val="24"/>
        </w:rPr>
        <w:t>在试点迭代上，应延续浙江改革方法论中“小切口试点—集成式推广—制度化定型”的成熟路数。从“最多跑一次”到数字化改革再到政务服务增值化改革的接续演进，展示了改革命题随实践深化而滚动升级的迭代逻辑；“一市三县”公共服务一体化试点、杭甬温要素市场化配置综合改革试点、山区海岛县动态调整机制，则分别为路径六、路径五和路径四预置了试验场。“十五五”时期的试点管理应强化三个环节：一是试点选择的组态代表性，兼顾创新高地、制造强县、山区海岛等不同条件组合的区域类型，使试点经验的适用边界清晰可辨；二是试点评估的反事实意识，尽可能设置可比对照，防止把趋势性改善误认为试点效应；三是推广环节的制度转译，把试点中依赖特定条件的做法转化为可复制的规则安排，使“盆景”真正连片成为“风景”。以此为闭环，浙江方略便不仅是一张目标图，更是一套自我校正、持续进化的施工体系。</w:t>
      </w:r>
    </w:p>
    <w:p>
      <w:pPr>
        <w:spacing w:line="360" w:lineRule="auto" w:after="0"/>
        <w:ind w:firstLine="480"/>
        <w:jc w:val="both"/>
      </w:pPr>
      <w:r>
        <w:rPr>
          <w:rFonts w:ascii="Times New Roman" w:hAnsi="Times New Roman" w:eastAsia="宋体"/>
          <w:b w:val="0"/>
          <w:sz w:val="24"/>
        </w:rPr>
        <w:t>综上，六条路径分别对应“势能积蓄—成果转化—就业吸纳—空间传导—分配优化—人力反哺”六个环节，前后衔接、闭环运转：创新浙江建设与“人工智能+”行动做大转化的“源”与“流”，现代化产业体系与收入分配改革做实转化的“承”与“分”，缩小“三大差距”与公共服务一体化做优转化的“网”与“环”。以有为政府的规划与改革供给、有效市场的民营活力与要素配置、有感社会的数字治理与基层善治为制度转化器，浙江完全有条件在“十五五”时期将耦合协调度稳定在优质协调区间并持续提升，使共富型新质生产力从“实践原型”走向“制度范式”，为全国因地制宜发展新质生产力、扎实推进全体人民共同富裕提供省域先行经验。</w:t>
      </w:r>
    </w:p>
    <w:p>
      <w:pPr>
        <w:spacing w:line="360" w:lineRule="auto" w:after="160"/>
        <w:jc w:val="center"/>
      </w:pPr>
      <w:r>
        <w:rPr>
          <w:rFonts w:ascii="Times New Roman" w:hAnsi="Times New Roman" w:eastAsia="黑体"/>
          <w:b/>
          <w:sz w:val="32"/>
        </w:rPr>
        <w:t>十二、结论与展望</w:t>
      </w:r>
    </w:p>
    <w:p>
      <w:pPr>
        <w:spacing w:line="360" w:lineRule="auto" w:after="0"/>
        <w:ind w:firstLine="480"/>
        <w:jc w:val="both"/>
      </w:pPr>
      <w:r>
        <w:rPr>
          <w:rFonts w:ascii="Times New Roman" w:hAnsi="Times New Roman" w:eastAsia="宋体"/>
          <w:b w:val="0"/>
          <w:sz w:val="24"/>
        </w:rPr>
        <w:t>党的二十届四中全会通过的《中共中央关于制定国民经济和社会发展第十五个五年规划的建议》明确提出，“因地制宜发展新质生产力”，“推动人的全面发展、全体人民共同富裕迈出坚实步伐”；省委十五届八次全会进一步确立了“高质量发展建设共同富裕示范区取得决定性进展，率先呈现基本实现社会主义现代化的生动图景”的“十五五”总目标。本报告围绕新质生产力赋能共同富裕这一重大命题，构建“共富型新质生产力”概念与“势能—动能—效能”三阶转化框架，综合运用熵值法、耦合协调度模型与fsQCA方法对浙江实践展开系统的理论与实证考察。本章归纳主要结论，提炼理论贡献与政策启示，并指出研究局限与未来方向。</w:t>
      </w:r>
    </w:p>
    <w:p>
      <w:pPr>
        <w:spacing w:line="360" w:lineRule="auto" w:after="0"/>
        <w:ind w:firstLine="480"/>
        <w:jc w:val="both"/>
      </w:pPr>
      <w:r>
        <w:rPr>
          <w:rFonts w:ascii="Times New Roman" w:hAnsi="Times New Roman" w:eastAsia="宋体"/>
          <w:b w:val="0"/>
          <w:sz w:val="24"/>
        </w:rPr>
        <w:t>回望全报告的分析进路，理论建构回答“何谓共富型新质生产力”，数理模型回答“转化何以可能”，实践考察回答“浙江做了什么”，三重实证回答“转化效果如何”，省际比较回答“浙江方位何在”，路径设计回答“下一步怎么办”，六个环节环环相扣，共同服务于新质生产力如何赋能共同富裕这一中心问题。以此为线索，可以把分散于各章的发现统摄为一个总体判断：浙江已经初步走出一条创新驱动与均衡共享互促共进的共富型发展道路，两大系统的耦合协调实现了历史性跨越，但三大转化关口的制度建设仍在途中，双向赋能的高水平共生格局尚待巩固。</w:t>
      </w:r>
    </w:p>
    <w:p>
      <w:pPr>
        <w:spacing w:line="360" w:lineRule="auto" w:after="80"/>
        <w:jc w:val="left"/>
      </w:pPr>
      <w:r>
        <w:rPr>
          <w:rFonts w:ascii="Times New Roman" w:hAnsi="Times New Roman" w:eastAsia="黑体"/>
          <w:b/>
          <w:sz w:val="28"/>
        </w:rPr>
        <w:t>（一）主要结论</w:t>
      </w:r>
    </w:p>
    <w:p>
      <w:pPr>
        <w:spacing w:line="360" w:lineRule="auto" w:after="0"/>
        <w:ind w:firstLine="480"/>
        <w:jc w:val="both"/>
      </w:pPr>
      <w:r>
        <w:rPr>
          <w:rFonts w:ascii="Times New Roman" w:hAnsi="Times New Roman" w:eastAsia="宋体"/>
          <w:b w:val="0"/>
          <w:sz w:val="24"/>
        </w:rPr>
        <w:t>围绕理论框架部分提出的三个研究命题，实证检验形成如下结论。一是命题P1获得有力支持，浙江新质生产力与共同富裕两大系统的耦合协调度呈持续上升的历史性跨越轨迹。2015—2024年，新质生产力发展指数（</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）由0.130升至0.802，共同富裕指数（</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）由0.108升至0.824，两者Pearson相关系数达0.9941，呈高度同向共进态势；耦合协调度（</w:t>
      </w:r>
      <m:oMath>
        <m:r>
          <w:rPr>
            <w:rFonts w:ascii="Cambria Math" w:hAnsi="Cambria Math"/>
          </w:rPr>
          <m:t xml:space="preserve">D</m:t>
        </m:r>
      </m:oMath>
      <w:r>
        <w:rPr>
          <w:rFonts w:ascii="Times New Roman" w:hAnsi="Times New Roman" w:eastAsia="宋体"/>
          <w:b w:val="0"/>
          <w:sz w:val="24"/>
        </w:rPr>
        <w:t>）由2015年的0.345（轻度失调）提升至2024年的0.902（优质协调），年均提升0.062，十年间连续跨越濒临失调、勉强协调、初级协调、中级协调、良好协调五个等级，先后经历磨合追赶期（2015—2017）、协调起步期（2018—2020）与高水平耦合跃升期（2021—2024）三个阶段。二是命题P2得到经验证据的印证，转化关口修复机制与耦合协调水平的提升在时序上高度吻合。2021年共同富裕示范区获批之年</w:t>
      </w:r>
      <m:oMath>
        <m:r>
          <w:rPr>
            <w:rFonts w:ascii="Cambria Math" w:hAnsi="Cambria Math"/>
          </w:rPr>
          <m:t xml:space="preserve">D</m:t>
        </m:r>
      </m:oMath>
      <w:r>
        <w:rPr>
          <w:rFonts w:ascii="Times New Roman" w:hAnsi="Times New Roman" w:eastAsia="宋体"/>
          <w:b w:val="0"/>
          <w:sz w:val="24"/>
        </w:rPr>
        <w:t>值达0.764，恰为从初级协调跃入中级协调的转折年，此后于2022年、2024年先后跃上良好协调与优质协调两个台阶；2020年疫情冲击下富裕度回落而共享度逆势提升，显示低保市域同标、转移支付等兜底机制发挥了“稳定器”作用；2024年</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（0.824）反超</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0.802），共同富裕对新质生产力的反哺效应开始显现，理论框架中的“双向赋能”机制获得初步验证；第九章N4“创新孤岛型”组态亦从截面维度反向印证了这一命题。三是命题P3获fsQCA结果确证，共富型发展存在多元等效的组态路径。基于31个省份的组态分析表明，不存在导向高共富绩效的单一必要条件，“创新—人才引领型”（S1）与“创新—民营协同型”（S2）两条路径的一致性分别为0.956与0.980，总体解一致性0.955、覆盖度0.704，创新投入、数字普惠金融与城镇化构成高共富绩效的“核心三件套”；浙江同时落入两条路径，其“创新引领×数字金融×民营活力×城乡融合”的全要素协同型组态在全国坐标中具有鲜明辨识度。反面组态中，“创新孤岛型”（N4，一致性0.990）表明有创新投入而转化配套缺失的省份仍陷于非高绩效，直接印证了三大转化关口失灵的理论判断。</w:t>
      </w:r>
    </w:p>
    <w:p>
      <w:pPr>
        <w:spacing w:line="360" w:lineRule="auto" w:after="0"/>
        <w:ind w:firstLine="480"/>
        <w:jc w:val="both"/>
      </w:pPr>
      <w:r>
        <w:rPr>
          <w:rFonts w:ascii="Times New Roman" w:hAnsi="Times New Roman" w:eastAsia="宋体"/>
          <w:b w:val="0"/>
          <w:sz w:val="24"/>
        </w:rPr>
        <w:t>在上述三个命题得到检验的基础上，还可按“测度—耦合—组态—省际—模型”五个层面，对全报告的实证发现作总括性的重述与深化。</w:t>
      </w:r>
    </w:p>
    <w:p>
      <w:pPr>
        <w:spacing w:line="360" w:lineRule="auto" w:after="0"/>
        <w:ind w:firstLine="480"/>
        <w:jc w:val="both"/>
      </w:pPr>
      <w:r>
        <w:rPr>
          <w:rFonts w:ascii="Times New Roman" w:hAnsi="Times New Roman" w:eastAsia="宋体"/>
          <w:b w:val="0"/>
          <w:sz w:val="24"/>
        </w:rPr>
        <w:t>1．测度层面。熵值法测度表明，十年间浙江两大系统的发展水平均实现数倍量级的抬升，且节奏高度同步，势能积蓄、动能转换与效能释放呈现梯次接续的结构特征：创新势能率先起势，产业动能接续放大，富裕度与共享度随后改善。子系统的韧性存在差异，2020年富裕度受外部冲击回落而共享度逆势提升，说明制度性共享安排比市场性富裕成果更具抗冲击能力，这为“以制度建设托底共享”的政策取向提供了直接依据。测度所刻画的浙江领先方位，与省域共同富裕监测评价文献的判断相互印证</w:t>
      </w:r>
      <w:r>
        <w:rPr>
          <w:rFonts w:ascii="Times New Roman" w:hAnsi="Times New Roman" w:eastAsia="宋体"/>
          <w:b w:val="0"/>
          <w:sz w:val="24"/>
          <w:vertAlign w:val="superscript"/>
        </w:rPr>
        <w:t>[61,64]</w:t>
      </w:r>
      <w:r>
        <w:rPr>
          <w:rFonts w:ascii="Times New Roman" w:hAnsi="Times New Roman" w:eastAsia="宋体"/>
          <w:b w:val="0"/>
          <w:sz w:val="24"/>
        </w:rPr>
        <w:t>。</w:t>
      </w:r>
    </w:p>
    <w:p>
      <w:pPr>
        <w:spacing w:line="360" w:lineRule="auto" w:after="0"/>
        <w:ind w:firstLine="480"/>
        <w:jc w:val="both"/>
      </w:pPr>
      <w:r>
        <w:rPr>
          <w:rFonts w:ascii="Times New Roman" w:hAnsi="Times New Roman" w:eastAsia="宋体"/>
          <w:b w:val="0"/>
          <w:sz w:val="24"/>
        </w:rPr>
        <w:t>2．耦合层面。耦合协调分析揭示了一个重要的结构性事实：两系统的耦合度</w:t>
      </w:r>
      <m:oMath>
        <m:r>
          <w:rPr>
            <w:rFonts w:ascii="Cambria Math" w:hAnsi="Cambria Math"/>
          </w:rPr>
          <m:t xml:space="preserve">C</m:t>
        </m:r>
      </m:oMath>
      <w:r>
        <w:rPr>
          <w:rFonts w:ascii="Times New Roman" w:hAnsi="Times New Roman" w:eastAsia="宋体"/>
          <w:b w:val="0"/>
          <w:sz w:val="24"/>
        </w:rPr>
        <w:t>较早进入高位区间，而协调度</w:t>
      </w:r>
      <m:oMath>
        <m:r>
          <w:rPr>
            <w:rFonts w:ascii="Cambria Math" w:hAnsi="Cambria Math"/>
          </w:rPr>
          <m:t xml:space="preserve">D</m:t>
        </m:r>
      </m:oMath>
      <w:r>
        <w:rPr>
          <w:rFonts w:ascii="Times New Roman" w:hAnsi="Times New Roman" w:eastAsia="宋体"/>
          <w:b w:val="0"/>
          <w:sz w:val="24"/>
        </w:rPr>
        <w:t>的跃升主要由综合评价水平</w:t>
      </w:r>
      <m:oMath>
        <m:r>
          <w:rPr>
            <w:rFonts w:ascii="Cambria Math" w:hAnsi="Cambria Math"/>
          </w:rPr>
          <m:t xml:space="preserve">T</m:t>
        </m:r>
      </m:oMath>
      <w:r>
        <w:rPr>
          <w:rFonts w:ascii="Times New Roman" w:hAnsi="Times New Roman" w:eastAsia="宋体"/>
          <w:b w:val="0"/>
          <w:sz w:val="24"/>
        </w:rPr>
        <w:t>的持续抬升驱动，表明浙江的问题从来不是“两张皮”式的系统脱节，而是整体发展水平的爬坡；相对发展度显示两系统交替领先、总体同步，2020年出现短暂回摆后迅速修复。在方法处理上，本报告吸收了对国内耦合协调应用中公式误用与区分度不足的批评并加以规避，敏感性检验表明基准结论对权重与参数设定稳健[127]。</w:t>
      </w:r>
    </w:p>
    <w:p>
      <w:pPr>
        <w:spacing w:line="360" w:lineRule="auto" w:after="0"/>
        <w:ind w:firstLine="480"/>
        <w:jc w:val="both"/>
      </w:pPr>
      <w:r>
        <w:rPr>
          <w:rFonts w:ascii="Times New Roman" w:hAnsi="Times New Roman" w:eastAsia="宋体"/>
          <w:b w:val="0"/>
          <w:sz w:val="24"/>
        </w:rPr>
        <w:t>3．组态层面。fsQCA结果凸显了因果复杂性的两个面向：一是等效性，通往高共富绩效的路径不止一条，条件之间存在替代与互补关系；二是因果非对称性，高绩效组态与非高绩效组态并非互为镜像，后者有其独立的生成逻辑[131,141]。“核心三件套”的识别说明，创新投入必须与数字普惠金融的分配渗透功能、城镇化的空间承载功能相互咬合方能奏效；“创新孤岛型”的存在则从反面警示，仅有创新投入而缺乏就业分配与成果转化配套，势能无法转化为共享效能。</w:t>
      </w:r>
    </w:p>
    <w:p>
      <w:pPr>
        <w:spacing w:line="360" w:lineRule="auto" w:after="0"/>
        <w:ind w:firstLine="480"/>
        <w:jc w:val="both"/>
      </w:pPr>
      <w:r>
        <w:rPr>
          <w:rFonts w:ascii="Times New Roman" w:hAnsi="Times New Roman" w:eastAsia="宋体"/>
          <w:b w:val="0"/>
          <w:sz w:val="24"/>
        </w:rPr>
        <w:t>4．省际层面。与广东、江苏、山东等经济大省对照，浙江的鲜明特征不在总量规模而在转化效率：2024年浙江城乡居民收入倍差为1.83，明显低于全国的2.34，也低于广东的2.31与江苏的2.04；农村居民收入连续40年居全国省区第一；居民收入与人均地区生产总值之比相对更高，表明增长成果向居民部门的转化通道更为畅通。这一“转化效率高地”方位，与民营经济发达（2024年民营经济增加值占地区生产总值的67.4%）、就业吸纳能力强、城乡要素流动壁垒低的经济社会结构密切相关，本质上是三大转化关口摩擦系数较低的外在表现。</w:t>
      </w:r>
    </w:p>
    <w:p>
      <w:pPr>
        <w:spacing w:line="360" w:lineRule="auto" w:after="0"/>
        <w:ind w:firstLine="480"/>
        <w:jc w:val="both"/>
      </w:pPr>
      <w:r>
        <w:rPr>
          <w:rFonts w:ascii="Times New Roman" w:hAnsi="Times New Roman" w:eastAsia="宋体"/>
          <w:b w:val="0"/>
          <w:sz w:val="24"/>
        </w:rPr>
        <w:t>5．模型层面。数理模型的比较静态含义获得经验对应：</w:t>
      </w:r>
      <m:oMath>
        <m:sSub>
          <m:e>
            <m:r>
              <w:rPr>
                <w:rFonts w:ascii="Cambria Math" w:hAnsi="Cambria Math"/>
              </w:rPr>
              <m:t xml:space="preserve">θ</m:t>
            </m:r>
          </m:e>
          <m:sub>
            <m:r>
              <w:rPr>
                <w:rFonts w:ascii="Cambria Math" w:hAnsi="Cambria Math"/>
              </w:rPr>
              <m:t xml:space="preserve">1</m:t>
            </m:r>
          </m:sub>
        </m:sSub>
      </m:oMath>
      <w:r>
        <w:rPr>
          <w:rFonts w:ascii="Times New Roman" w:hAnsi="Times New Roman" w:eastAsia="宋体"/>
          <w:b w:val="0"/>
          <w:sz w:val="24"/>
        </w:rPr>
        <w:t>所刻画的成果转化效率提升具有水平效应，对应创新势能向产业动能的顺畅转化；</w:t>
      </w:r>
      <m:oMath>
        <m:sSub>
          <m:e>
            <m:r>
              <w:rPr>
                <w:rFonts w:ascii="Cambria Math" w:hAnsi="Cambria Math"/>
              </w:rPr>
              <m:t xml:space="preserve">θ</m:t>
            </m:r>
          </m:e>
          <m:sub>
            <m:r>
              <w:rPr>
                <w:rFonts w:ascii="Cambria Math" w:hAnsi="Cambria Math"/>
              </w:rPr>
              <m:t xml:space="preserve">2</m:t>
            </m:r>
          </m:sub>
        </m:sSub>
      </m:oMath>
      <w:r>
        <w:rPr>
          <w:rFonts w:ascii="Times New Roman" w:hAnsi="Times New Roman" w:eastAsia="宋体"/>
          <w:b w:val="0"/>
          <w:sz w:val="24"/>
        </w:rPr>
        <w:t>所刻画的就业分配机制改善直接作用于城乡倍差的持续收敛；</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所刻画的人力资本反哺强化了增长的内生可持续性，这一逻辑植根于内生增长与人力资本积累的经典框架[152,153]。耦合动力学中互惠共生情形所预言的双向正反馈，在2024年</w:t>
      </w:r>
      <m:oMath>
        <m:sSub>
          <m:e>
            <m:r>
              <w:rPr>
                <w:rFonts w:ascii="Cambria Math" w:hAnsi="Cambria Math"/>
              </w:rPr>
              <m:t xml:space="preserve">U</m:t>
            </m:r>
          </m:e>
          <m:sub>
            <m:r>
              <w:rPr>
                <w:rFonts w:ascii="Cambria Math" w:hAnsi="Cambria Math"/>
              </w:rPr>
              <m:t xml:space="preserve">2</m:t>
            </m:r>
          </m:sub>
        </m:sSub>
      </m:oMath>
      <w:r>
        <w:rPr>
          <w:rFonts w:ascii="Times New Roman" w:hAnsi="Times New Roman" w:eastAsia="宋体"/>
          <w:b w:val="0"/>
          <w:sz w:val="24"/>
        </w:rPr>
        <w:t>反超</w:t>
      </w:r>
      <m:oMath>
        <m:sSub>
          <m:e>
            <m:r>
              <w:rPr>
                <w:rFonts w:ascii="Cambria Math" w:hAnsi="Cambria Math"/>
              </w:rPr>
              <m:t xml:space="preserve">U</m:t>
            </m:r>
          </m:e>
          <m:sub>
            <m:r>
              <w:rPr>
                <w:rFonts w:ascii="Cambria Math" w:hAnsi="Cambria Math"/>
              </w:rPr>
              <m:t xml:space="preserve">1</m:t>
            </m:r>
          </m:sub>
        </m:sSub>
      </m:oMath>
      <w:r>
        <w:rPr>
          <w:rFonts w:ascii="Times New Roman" w:hAnsi="Times New Roman" w:eastAsia="宋体"/>
          <w:b w:val="0"/>
          <w:sz w:val="24"/>
        </w:rPr>
        <w:t>的事实中获得初步印证，表明浙江正逐步逼近理论刻画的高水平共生均衡，命题M1—M3与三重实证证据形成了闭合的对应关系。</w:t>
      </w:r>
    </w:p>
    <w:p>
      <w:pPr>
        <w:spacing w:line="360" w:lineRule="auto" w:after="80"/>
        <w:jc w:val="left"/>
      </w:pPr>
      <w:r>
        <w:rPr>
          <w:rFonts w:ascii="Times New Roman" w:hAnsi="Times New Roman" w:eastAsia="黑体"/>
          <w:b/>
          <w:sz w:val="28"/>
        </w:rPr>
        <w:t>（二）理论贡献与政策启示</w:t>
      </w:r>
    </w:p>
    <w:p>
      <w:pPr>
        <w:spacing w:line="360" w:lineRule="auto" w:after="0"/>
        <w:ind w:firstLine="480"/>
        <w:jc w:val="both"/>
      </w:pPr>
      <w:r>
        <w:rPr>
          <w:rFonts w:ascii="Times New Roman" w:hAnsi="Times New Roman" w:eastAsia="宋体"/>
          <w:b w:val="0"/>
          <w:sz w:val="24"/>
        </w:rPr>
        <w:t>本研究的边际贡献主要有三。其一，在概念层面提出“共富型新质生产力”，将生产力跃迁与生产关系优化统一于同一分析框架，回应了新质生产力“创新极化”倾向与共同富裕“均衡共享”要求之间的理论张力；其二，在机制层面构建“势能—动能—效能”三阶转化框架，以成果转化关、就业分配关、人力资本反哺关三大转化关口刻画链条断点与“三大差距”（城乡差距、地区差距、收入差距）生成机理的对应关系，弥补了既有研究“机制黑箱”与“单向视角”的不足；其三，在经验层面首次对浙江两大系统进行系统性耦合协调测度，并以组态方法定位“浙江路径”的全国坐标，为省域样本的系统化研究提供了可复制的分析范式。政策启示相应有三：一是共富型发展没有唯一模板，各地应立足要素禀赋在多元等效路径中择优组合，避免对单一要素的路径依赖；二是转化关口的制度供给是耦合协调跃升的关键变量，“十五五”时期应以创新浙江建设、“人工智能+”行动与缩小“三大差距”的系统集成，持续降低三大关口的转化成本；三是有为政府、有效市场、有感社会“三位一体”的制度转化器是浙江经验的深层逻辑，其可推广性在于制度组合而非个别政策工具。</w:t>
      </w:r>
    </w:p>
    <w:p>
      <w:pPr>
        <w:spacing w:line="360" w:lineRule="auto" w:after="0"/>
        <w:ind w:firstLine="480"/>
        <w:jc w:val="both"/>
      </w:pPr>
      <w:r>
        <w:rPr>
          <w:rFonts w:ascii="Times New Roman" w:hAnsi="Times New Roman" w:eastAsia="宋体"/>
          <w:b w:val="0"/>
          <w:sz w:val="24"/>
        </w:rPr>
        <w:t>就三点理论贡献可进一步申论。概念层面，既有研究多将新质生产力对共同富裕的作用理解为单向的“赋能”关系，聚焦生产力一端的溢出效应</w:t>
      </w:r>
      <w:r>
        <w:rPr>
          <w:rFonts w:ascii="Times New Roman" w:hAnsi="Times New Roman" w:eastAsia="宋体"/>
          <w:b w:val="0"/>
          <w:sz w:val="24"/>
          <w:vertAlign w:val="superscript"/>
        </w:rPr>
        <w:t>[84]</w:t>
      </w:r>
      <w:r>
        <w:rPr>
          <w:rFonts w:ascii="Times New Roman" w:hAnsi="Times New Roman" w:eastAsia="宋体"/>
          <w:b w:val="0"/>
          <w:sz w:val="24"/>
        </w:rPr>
        <w:t>；本报告则强调两大系统的双向耦合与共同演化。习近平总书记明确指出，“发展新质生产力，必须进一步全面深化改革，形成与之相适应的新型生产关系”</w:t>
      </w:r>
      <w:r>
        <w:rPr>
          <w:rFonts w:ascii="Times New Roman" w:hAnsi="Times New Roman" w:eastAsia="宋体"/>
          <w:b w:val="0"/>
          <w:sz w:val="24"/>
          <w:vertAlign w:val="superscript"/>
        </w:rPr>
        <w:t>[5]</w:t>
      </w:r>
      <w:r>
        <w:rPr>
          <w:rFonts w:ascii="Times New Roman" w:hAnsi="Times New Roman" w:eastAsia="宋体"/>
          <w:b w:val="0"/>
          <w:sz w:val="24"/>
        </w:rPr>
        <w:t>。“共富型新质生产力”正是对这一论断的学理化表达：它把先进生产力质态与促进共同富裕的生产关系安排视为一体两面，使“为谁发展生产力”的价值问题内生于生产力分析本身，而非事后附加的分配考量，从而在马克思主义政治经济学的框架内实现了效率维度与公平维度的概念整合。</w:t>
      </w:r>
    </w:p>
    <w:p>
      <w:pPr>
        <w:spacing w:line="360" w:lineRule="auto" w:after="0"/>
        <w:ind w:firstLine="480"/>
        <w:jc w:val="both"/>
      </w:pPr>
      <w:r>
        <w:rPr>
          <w:rFonts w:ascii="Times New Roman" w:hAnsi="Times New Roman" w:eastAsia="宋体"/>
          <w:b w:val="0"/>
          <w:sz w:val="24"/>
        </w:rPr>
        <w:t>框架与模型层面的贡献在于可检验性。三阶转化框架将抽象的赋能关系分解为可观察的链条环节，三大转化关口与“三大差距”的生成机理一一对应，使“赋能在哪里受阻”成为可以诊断的经验问题；数理模型进一步将制度性因素参数化为</w:t>
      </w:r>
      <m:oMath>
        <m:sSub>
          <m:e>
            <m:r>
              <w:rPr>
                <w:rFonts w:ascii="Cambria Math" w:hAnsi="Cambria Math"/>
              </w:rPr>
              <m:t xml:space="preserve">θ</m:t>
            </m:r>
          </m:e>
          <m:sub>
            <m:r>
              <w:rPr>
                <w:rFonts w:ascii="Cambria Math" w:hAnsi="Cambria Math"/>
              </w:rPr>
              <m:t xml:space="preserve">0</m:t>
            </m:r>
          </m:sub>
        </m:sSub>
      </m:oMath>
      <w:r>
        <w:rPr>
          <w:rFonts w:ascii="Times New Roman" w:hAnsi="Times New Roman" w:eastAsia="宋体"/>
          <w:b w:val="0"/>
          <w:sz w:val="24"/>
        </w:rPr>
        <w:t>至</w:t>
      </w:r>
      <m:oMath>
        <m:sSub>
          <m:e>
            <m:r>
              <w:rPr>
                <w:rFonts w:ascii="Cambria Math" w:hAnsi="Cambria Math"/>
              </w:rPr>
              <m:t xml:space="preserve">θ</m:t>
            </m:r>
          </m:e>
          <m:sub>
            <m:r>
              <w:rPr>
                <w:rFonts w:ascii="Cambria Math" w:hAnsi="Cambria Math"/>
              </w:rPr>
              <m:t xml:space="preserve">3</m:t>
            </m:r>
          </m:sub>
        </m:sSub>
      </m:oMath>
      <w:r>
        <w:rPr>
          <w:rFonts w:ascii="Times New Roman" w:hAnsi="Times New Roman" w:eastAsia="宋体"/>
          <w:b w:val="0"/>
          <w:sz w:val="24"/>
        </w:rPr>
        <w:t>，赋予框架明确的比较静态含义与证伪条件，命题M1—M3分别由指数测度、耦合协调分析与组态比较承担检验任务，理论建构与实证检验因此形成闭环，避免了概念演绎与经验研究“两张皮”的通病。</w:t>
      </w:r>
    </w:p>
    <w:p>
      <w:pPr>
        <w:spacing w:line="360" w:lineRule="auto" w:after="0"/>
        <w:ind w:firstLine="480"/>
        <w:jc w:val="both"/>
      </w:pPr>
      <w:r>
        <w:rPr>
          <w:rFonts w:ascii="Times New Roman" w:hAnsi="Times New Roman" w:eastAsia="宋体"/>
          <w:b w:val="0"/>
          <w:sz w:val="24"/>
        </w:rPr>
        <w:t>方法层面的贡献在于组合互证。时序测度回答“水平与趋势”，耦合协调回答“关系与阶段”，fsQCA回答“路径与条件”，三种方法在逻辑上互补、在结论上互证；纵向的单省深描与横向的跨省比较相结合，既保留了案例研究的过程细节，又借助组态分析获得了超越单案例的外部参照，缓解了单一方法各自的推断局限[139]。</w:t>
      </w:r>
    </w:p>
    <w:p>
      <w:pPr>
        <w:spacing w:line="360" w:lineRule="auto" w:after="0"/>
        <w:ind w:firstLine="480"/>
        <w:jc w:val="both"/>
      </w:pPr>
      <w:r>
        <w:rPr>
          <w:rFonts w:ascii="Times New Roman" w:hAnsi="Times New Roman" w:eastAsia="宋体"/>
          <w:b w:val="0"/>
          <w:sz w:val="24"/>
        </w:rPr>
        <w:t>政策启示可相应区分三个层次加以提炼。对浙江而言，核心任务是把耦合协调的“优质”状态巩固为“稳态”，防止转化关口在更高发展水平上出现新的梗阻。“十五五”时期应以创新浙江建设持续夯实势能、以“人工智能+”行动扩展动能、以缩小“三大差距”系统集成畅通效能，紧扣2030年全社会研发投入强度3.5%以上、居民人均可支配收入9万元左右、城乡居民收入倍差1.8以内等量化锚点，并以2027年山区海岛县居民收入与全省平均比值达到77%为近期突破口，使反哺通道的势能在下一轮创新周期中充分释放。</w:t>
      </w:r>
    </w:p>
    <w:p>
      <w:pPr>
        <w:spacing w:line="360" w:lineRule="auto" w:after="0"/>
        <w:ind w:firstLine="480"/>
        <w:jc w:val="both"/>
      </w:pPr>
      <w:r>
        <w:rPr>
          <w:rFonts w:ascii="Times New Roman" w:hAnsi="Times New Roman" w:eastAsia="宋体"/>
          <w:b w:val="0"/>
          <w:sz w:val="24"/>
        </w:rPr>
        <w:t>对兄弟省份而言，浙江经验的价值不在于全要素组态的整体移植，而在于组态思维本身。各地应对照两条高绩效路径识别自身的“缺件”：创新资源相对薄弱的地区，可优先夯实数字普惠金融与新型城镇化两块普适性基座，为后续创新要素集聚创造条件；创新投入已具规模的地区，则须警惕“创新孤岛”陷阱，同步补齐成果转化配套与就业分配机制。山海协作等以制度化结对促进区域协调的安排，作为可复制的制度模块具有明确的借鉴价值</w:t>
      </w:r>
      <w:r>
        <w:rPr>
          <w:rFonts w:ascii="Times New Roman" w:hAnsi="Times New Roman" w:eastAsia="宋体"/>
          <w:b w:val="0"/>
          <w:sz w:val="24"/>
          <w:vertAlign w:val="superscript"/>
        </w:rPr>
        <w:t>[75]</w:t>
      </w:r>
      <w:r>
        <w:rPr>
          <w:rFonts w:ascii="Times New Roman" w:hAnsi="Times New Roman" w:eastAsia="宋体"/>
          <w:b w:val="0"/>
          <w:sz w:val="24"/>
        </w:rPr>
        <w:t>。</w:t>
      </w:r>
    </w:p>
    <w:p>
      <w:pPr>
        <w:spacing w:line="360" w:lineRule="auto" w:after="0"/>
        <w:ind w:firstLine="480"/>
        <w:jc w:val="both"/>
      </w:pPr>
      <w:r>
        <w:rPr>
          <w:rFonts w:ascii="Times New Roman" w:hAnsi="Times New Roman" w:eastAsia="宋体"/>
          <w:b w:val="0"/>
          <w:sz w:val="24"/>
        </w:rPr>
        <w:t>在全国层面，浙江实践为处理创新极化与均衡共享的张力提供了省域先行样本。其一般性启示在于：坚持“有效市场和有为政府相结合”，把转化关口的制度供给作为发展新质生产力的配套工程同步部署，而非等待差距扩大后再行补救；在全国统一的制度框架下，允许各地依据要素禀赋选择差异化的组态路径，以多元等效替代单一模板的考核导向；同时坚持尽力而为、量力而行，使共同富裕的推进节奏与生产力发展水平相适应，在高质量发展中促进共同富裕。</w:t>
      </w:r>
    </w:p>
    <w:p>
      <w:pPr>
        <w:spacing w:line="360" w:lineRule="auto" w:after="80"/>
        <w:jc w:val="left"/>
      </w:pPr>
      <w:r>
        <w:rPr>
          <w:rFonts w:ascii="Times New Roman" w:hAnsi="Times New Roman" w:eastAsia="黑体"/>
          <w:b/>
          <w:sz w:val="28"/>
        </w:rPr>
        <w:t>（三）研究局限与未来方向</w:t>
      </w:r>
    </w:p>
    <w:p>
      <w:pPr>
        <w:spacing w:line="360" w:lineRule="auto" w:after="0"/>
        <w:ind w:firstLine="480"/>
        <w:jc w:val="both"/>
      </w:pPr>
      <w:r>
        <w:rPr>
          <w:rFonts w:ascii="Times New Roman" w:hAnsi="Times New Roman" w:eastAsia="宋体"/>
          <w:b w:val="0"/>
          <w:sz w:val="24"/>
        </w:rPr>
        <w:t>本研究尚存三方面局限，也构成后续深化的方向。一是fsQCA基于截面数据识别组态，难以刻画条件组合随时间的演化，未来可引入动态QCA方法，考察“十五五”期间各省组态路径的迁移轨迹与浙江组态的稳定性；二是省级加总数据可能掩盖省域内部的结构性差异，后续可构建覆盖山区海岛县的县域面板，对三大转化关口的空间异质性进行更细颗粒度的检验；三是宏观测度尚不能直接打开转化链条的微观过程，未来应结合企业、农户层面的微观调查数据，对成果转化、就业分配与人力资本反哺的微观机制开展因果识别，为共富型新质生产力理论提供更坚实的经验基础。随着“十五五”宏伟蓝图的展开，新质生产力赋能共同富裕的浙江实践必将不断丰富，相关研究亦当与实践同频演进、持续深化。</w:t>
      </w:r>
    </w:p>
    <w:p>
      <w:pPr>
        <w:spacing w:line="360" w:lineRule="auto" w:after="0"/>
        <w:ind w:firstLine="480"/>
        <w:jc w:val="both"/>
      </w:pPr>
      <w:r>
        <w:rPr>
          <w:rFonts w:ascii="Times New Roman" w:hAnsi="Times New Roman" w:eastAsia="宋体"/>
          <w:b w:val="0"/>
          <w:sz w:val="24"/>
        </w:rPr>
        <w:t>除上述三点之外，还有两处方法论边界需要如实申明。其一，单案例时序证据的因果识别边界。本报告关于转化关口修复推动耦合协调跃升的判断，建立在政策节点与</w:t>
      </w:r>
      <m:oMath>
        <m:r>
          <w:rPr>
            <w:rFonts w:ascii="Cambria Math" w:hAnsi="Cambria Math"/>
          </w:rPr>
          <m:t xml:space="preserve">D</m:t>
        </m:r>
      </m:oMath>
      <w:r>
        <w:rPr>
          <w:rFonts w:ascii="Times New Roman" w:hAnsi="Times New Roman" w:eastAsia="宋体"/>
          <w:b w:val="0"/>
          <w:sz w:val="24"/>
        </w:rPr>
        <w:t>值跃迁时序高度吻合的一致性证据之上，属于机制取向的过程追踪，而非严格意义上的反事实因果识别；示范区获批等重大政策的净效应，尚待未来以适当的对照识别策略加以分离。其二，指标体系的简约性取舍。熵值法的客观赋权避免了主观赋权的任意性，但数据驱动的权重未必与理论重要性完全一致；受统计口径与数据可得性约束，精神富裕、机会公平等难以量化的维度未能充分纳入指标体系，测度结果对共同富裕丰富内涵的刻画仍是近似的。对这些边界的自觉，恰是后续研究得以精进的前提。</w:t>
      </w:r>
    </w:p>
    <w:p>
      <w:pPr>
        <w:spacing w:line="360" w:lineRule="auto" w:after="0"/>
        <w:ind w:firstLine="480"/>
        <w:jc w:val="both"/>
      </w:pPr>
      <w:r>
        <w:rPr>
          <w:rFonts w:ascii="Times New Roman" w:hAnsi="Times New Roman" w:eastAsia="宋体"/>
          <w:b w:val="0"/>
          <w:sz w:val="24"/>
        </w:rPr>
        <w:t>进一步就研究议程与实践前景言之，本报告提出的“势能—动能—效能”框架与测度方案具有明确的可移植性，未来可将其应用于其他省域乃至市域样本，通过多案例的平行复制检验框架的一般性，观察双向赋能机制能否在不同禀赋条件下再现；随着生产力形态的演进，指标体系亦应动态纳入人工智能等新变量，使测度框架与实践前沿保持同步。就实践而言，按照既定部署，到2035年浙江将全省域基本实现共同富裕；在迈向这一目标的进程中，共富型新质生产力研究将持续获得丰厚的经验土壤与广阔的问题空间，理论之树亦将因实践之根的深扎而常青。</w:t>
      </w:r>
    </w:p>
    <w:p>
      <w:pPr>
        <w:spacing w:line="360" w:lineRule="auto" w:after="160"/>
        <w:jc w:val="center"/>
      </w:pPr>
      <w:r>
        <w:rPr>
          <w:rFonts w:ascii="Times New Roman" w:hAnsi="Times New Roman" w:eastAsia="黑体"/>
          <w:b/>
          <w:sz w:val="32"/>
        </w:rPr>
        <w:t>参考文献</w:t>
      </w:r>
    </w:p>
    <w:p>
      <w:pPr>
        <w:spacing w:after="60"/>
        <w:ind w:left="420" w:hanging="420"/>
        <w:jc w:val="left"/>
      </w:pPr>
      <w:r>
        <w:rPr>
          <w:rFonts w:ascii="Times New Roman" w:hAnsi="Times New Roman" w:eastAsia="宋体"/>
          <w:b w:val="0"/>
          <w:sz w:val="21"/>
        </w:rPr>
        <w:t>[1] 中共中央关于制定国民经济和社会发展第十五个五年规划的建议[N]. 人民日报, 2025-10-29(1).</w:t>
      </w:r>
    </w:p>
    <w:p>
      <w:pPr>
        <w:spacing w:after="60"/>
        <w:ind w:left="420" w:hanging="420"/>
        <w:jc w:val="left"/>
      </w:pPr>
      <w:r>
        <w:rPr>
          <w:rFonts w:ascii="Times New Roman" w:hAnsi="Times New Roman" w:eastAsia="宋体"/>
          <w:b w:val="0"/>
          <w:sz w:val="21"/>
        </w:rPr>
        <w:t>[2] 蔡昉. 人口转变、人口红利与刘易斯转折点[J]. 经济研究, 2010, 45(4): 4-13.</w:t>
      </w:r>
    </w:p>
    <w:p>
      <w:pPr>
        <w:spacing w:after="60"/>
        <w:ind w:left="420" w:hanging="420"/>
        <w:jc w:val="left"/>
      </w:pPr>
      <w:r>
        <w:rPr>
          <w:rFonts w:ascii="Times New Roman" w:hAnsi="Times New Roman" w:eastAsia="宋体"/>
          <w:b w:val="0"/>
          <w:sz w:val="21"/>
        </w:rPr>
        <w:t>[3] 蔡昉. 中国经济增长如何转向全要素生产率驱动型[J]. 中国社会科学, 2013(1): 56-71.</w:t>
      </w:r>
    </w:p>
    <w:p>
      <w:pPr>
        <w:spacing w:after="60"/>
        <w:ind w:left="420" w:hanging="420"/>
        <w:jc w:val="left"/>
      </w:pPr>
      <w:r>
        <w:rPr>
          <w:rFonts w:ascii="Times New Roman" w:hAnsi="Times New Roman" w:eastAsia="宋体"/>
          <w:b w:val="0"/>
          <w:sz w:val="21"/>
        </w:rPr>
        <w:t>[4] 刘世锦, 等. 陷阱还是高墙：中国经济面临的真实挑战与战略选择[M]. 中信出版社, 2011.</w:t>
      </w:r>
    </w:p>
    <w:p>
      <w:pPr>
        <w:spacing w:after="60"/>
        <w:ind w:left="420" w:hanging="420"/>
        <w:jc w:val="left"/>
      </w:pPr>
      <w:r>
        <w:rPr>
          <w:rFonts w:ascii="Times New Roman" w:hAnsi="Times New Roman" w:eastAsia="宋体"/>
          <w:b w:val="0"/>
          <w:sz w:val="21"/>
        </w:rPr>
        <w:t>[5] 习近平. 发展新质生产力是推动高质量发展的内在要求和重要着力点[J]. 求是, 2024(11): 4-8.</w:t>
      </w:r>
    </w:p>
    <w:p>
      <w:pPr>
        <w:spacing w:after="60"/>
        <w:ind w:left="420" w:hanging="420"/>
        <w:jc w:val="left"/>
      </w:pPr>
      <w:r>
        <w:rPr>
          <w:rFonts w:ascii="Times New Roman" w:hAnsi="Times New Roman" w:eastAsia="宋体"/>
          <w:b w:val="0"/>
          <w:sz w:val="21"/>
        </w:rPr>
        <w:t>[6] 习近平. 扎实推动共同富裕[J]. 求是, 2021(20): 4-8.</w:t>
      </w:r>
    </w:p>
    <w:p>
      <w:pPr>
        <w:spacing w:after="60"/>
        <w:ind w:left="420" w:hanging="420"/>
        <w:jc w:val="left"/>
      </w:pPr>
      <w:r>
        <w:rPr>
          <w:rFonts w:ascii="Times New Roman" w:hAnsi="Times New Roman" w:eastAsia="宋体"/>
          <w:b w:val="0"/>
          <w:sz w:val="21"/>
        </w:rPr>
        <w:t>[7] 中共浙江省委关于制定浙江省国民经济和社会发展第十五个五年规划的建议[N]. 浙江日报, 2025-12-03(1).</w:t>
      </w:r>
    </w:p>
    <w:p>
      <w:pPr>
        <w:spacing w:after="60"/>
        <w:ind w:left="420" w:hanging="420"/>
        <w:jc w:val="left"/>
      </w:pPr>
      <w:r>
        <w:rPr>
          <w:rFonts w:ascii="Times New Roman" w:hAnsi="Times New Roman" w:eastAsia="宋体"/>
          <w:b w:val="0"/>
          <w:sz w:val="21"/>
        </w:rPr>
        <w:t>[8] 中共中央, 国务院. 关于支持浙江高质量发展建设共同富裕示范区的意见[N]. 人民日报, 2021-06-11(1).</w:t>
      </w:r>
    </w:p>
    <w:p>
      <w:pPr>
        <w:spacing w:after="60"/>
        <w:ind w:left="420" w:hanging="420"/>
        <w:jc w:val="left"/>
      </w:pPr>
      <w:r>
        <w:rPr>
          <w:rFonts w:ascii="Times New Roman" w:hAnsi="Times New Roman" w:eastAsia="宋体"/>
          <w:b w:val="0"/>
          <w:sz w:val="21"/>
        </w:rPr>
        <w:t>[9] 中共浙江省委, 浙江省人民政府. 关于以“千万工程”牵引城乡融合发展缩小“三大差距”推进共同富裕先行示范的实施方案[Z]. 2025-03.</w:t>
      </w:r>
    </w:p>
    <w:p>
      <w:pPr>
        <w:spacing w:after="60"/>
        <w:ind w:left="420" w:hanging="420"/>
        <w:jc w:val="left"/>
      </w:pPr>
      <w:r>
        <w:rPr>
          <w:rFonts w:ascii="Times New Roman" w:hAnsi="Times New Roman" w:eastAsia="宋体"/>
          <w:b w:val="0"/>
          <w:sz w:val="21"/>
        </w:rPr>
        <w:t>[10] 中共浙江省委关于加快建设创新浙江因地制宜发展新质生产力的决定[Z]. 2025-07-17.</w:t>
      </w:r>
    </w:p>
    <w:p>
      <w:pPr>
        <w:spacing w:after="60"/>
        <w:ind w:left="420" w:hanging="420"/>
        <w:jc w:val="left"/>
      </w:pPr>
      <w:r>
        <w:rPr>
          <w:rFonts w:ascii="Times New Roman" w:hAnsi="Times New Roman" w:eastAsia="宋体"/>
          <w:b w:val="0"/>
          <w:sz w:val="21"/>
        </w:rPr>
        <w:t>[11] KUZNETS S. Economic growth and income inequality[J]. American Economic Review, 1955, 45(1): 1-28.</w:t>
      </w:r>
    </w:p>
    <w:p>
      <w:pPr>
        <w:spacing w:after="60"/>
        <w:ind w:left="420" w:hanging="420"/>
        <w:jc w:val="left"/>
      </w:pPr>
      <w:r>
        <w:rPr>
          <w:rFonts w:ascii="Times New Roman" w:hAnsi="Times New Roman" w:eastAsia="宋体"/>
          <w:b w:val="0"/>
          <w:sz w:val="21"/>
        </w:rPr>
        <w:t>[12] PIKETTY T, SAEZ E. Income inequality in the United States, 1913-1998[J]. Quarterly Journal of Economics, 2003, 118(1): 1-39.</w:t>
      </w:r>
    </w:p>
    <w:p>
      <w:pPr>
        <w:spacing w:after="60"/>
        <w:ind w:left="420" w:hanging="420"/>
        <w:jc w:val="left"/>
      </w:pPr>
      <w:r>
        <w:rPr>
          <w:rFonts w:ascii="Times New Roman" w:hAnsi="Times New Roman" w:eastAsia="宋体"/>
          <w:b w:val="0"/>
          <w:sz w:val="21"/>
        </w:rPr>
        <w:t>[13] 陆铭, 李鹏飞, 钟辉勇. 发展与平衡的新时代——新中国70年的空间政治经济学[J]. 管理世界, 2019, 35(10): 11-23.</w:t>
      </w:r>
    </w:p>
    <w:p>
      <w:pPr>
        <w:spacing w:after="60"/>
        <w:ind w:left="420" w:hanging="420"/>
        <w:jc w:val="left"/>
      </w:pPr>
      <w:r>
        <w:rPr>
          <w:rFonts w:ascii="Times New Roman" w:hAnsi="Times New Roman" w:eastAsia="宋体"/>
          <w:b w:val="0"/>
          <w:sz w:val="21"/>
        </w:rPr>
        <w:t>[14] 陆铭. 城市、区域和国家发展——空间政治经济学的现在与未来[J]. 经济学(季刊), 2017, 16(4): 1499-1532.</w:t>
      </w:r>
    </w:p>
    <w:p>
      <w:pPr>
        <w:spacing w:after="60"/>
        <w:ind w:left="420" w:hanging="420"/>
        <w:jc w:val="left"/>
      </w:pPr>
      <w:r>
        <w:rPr>
          <w:rFonts w:ascii="Times New Roman" w:hAnsi="Times New Roman" w:eastAsia="宋体"/>
          <w:b w:val="0"/>
          <w:sz w:val="21"/>
        </w:rPr>
        <w:t>[15] 范剑勇. 产业集聚与地区间劳动生产率差异[J]. 经济研究, 2006(11): 72-81.</w:t>
      </w:r>
    </w:p>
    <w:p>
      <w:pPr>
        <w:spacing w:after="60"/>
        <w:ind w:left="420" w:hanging="420"/>
        <w:jc w:val="left"/>
      </w:pPr>
      <w:r>
        <w:rPr>
          <w:rFonts w:ascii="Times New Roman" w:hAnsi="Times New Roman" w:eastAsia="宋体"/>
          <w:b w:val="0"/>
          <w:sz w:val="21"/>
        </w:rPr>
        <w:t>[16] 陆铭, 陈钊. 城市化、城市倾向的经济政策与城乡收入差距[J]. 经济研究, 2004(6): 50-58.</w:t>
      </w:r>
    </w:p>
    <w:p>
      <w:pPr>
        <w:spacing w:after="60"/>
        <w:ind w:left="420" w:hanging="420"/>
        <w:jc w:val="left"/>
      </w:pPr>
      <w:r>
        <w:rPr>
          <w:rFonts w:ascii="Times New Roman" w:hAnsi="Times New Roman" w:eastAsia="宋体"/>
          <w:b w:val="0"/>
          <w:sz w:val="21"/>
        </w:rPr>
        <w:t>[17] AUTOR D H, LEVY F, MURNANE R J. The skill content of recent technological change: an empirical exploration[J]. Quarterly Journal of Economics, 2003, 118(4): 1279-1333.</w:t>
      </w:r>
    </w:p>
    <w:p>
      <w:pPr>
        <w:spacing w:after="60"/>
        <w:ind w:left="420" w:hanging="420"/>
        <w:jc w:val="left"/>
      </w:pPr>
      <w:r>
        <w:rPr>
          <w:rFonts w:ascii="Times New Roman" w:hAnsi="Times New Roman" w:eastAsia="宋体"/>
          <w:b w:val="0"/>
          <w:sz w:val="21"/>
        </w:rPr>
        <w:t>[18] 董直庆, 蔡啸, 王林辉. 技能溢价：基于技术进步方向的解释[J]. 中国社会科学, 2014(10): 19-39.</w:t>
      </w:r>
    </w:p>
    <w:p>
      <w:pPr>
        <w:spacing w:after="60"/>
        <w:ind w:left="420" w:hanging="420"/>
        <w:jc w:val="left"/>
      </w:pPr>
      <w:r>
        <w:rPr>
          <w:rFonts w:ascii="Times New Roman" w:hAnsi="Times New Roman" w:eastAsia="宋体"/>
          <w:b w:val="0"/>
          <w:sz w:val="21"/>
        </w:rPr>
        <w:t>[19] ACEMOGLU D, RESTREPO P. The race between man and machine: implications of technology for growth, factor shares, and employment[J]. American Economic Review, 2018, 108(6): 1488-1542.</w:t>
      </w:r>
    </w:p>
    <w:p>
      <w:pPr>
        <w:spacing w:after="60"/>
        <w:ind w:left="420" w:hanging="420"/>
        <w:jc w:val="left"/>
      </w:pPr>
      <w:r>
        <w:rPr>
          <w:rFonts w:ascii="Times New Roman" w:hAnsi="Times New Roman" w:eastAsia="宋体"/>
          <w:b w:val="0"/>
          <w:sz w:val="21"/>
        </w:rPr>
        <w:t>[20] ACEMOGLU D, RESTREPO P. Robots and jobs: evidence from US labor markets[J]. Journal of Political Economy, 2020, 128(6): 2188-2244.</w:t>
      </w:r>
    </w:p>
    <w:p>
      <w:pPr>
        <w:spacing w:after="60"/>
        <w:ind w:left="420" w:hanging="420"/>
        <w:jc w:val="left"/>
      </w:pPr>
      <w:r>
        <w:rPr>
          <w:rFonts w:ascii="Times New Roman" w:hAnsi="Times New Roman" w:eastAsia="宋体"/>
          <w:b w:val="0"/>
          <w:sz w:val="21"/>
        </w:rPr>
        <w:t>[21] 王永钦, 董雯. 机器人的兴起如何影响中国劳动力市场——来自制造业上市公司的证据[J]. 经济研究, 2020, 55(10): 159-175.</w:t>
      </w:r>
    </w:p>
    <w:p>
      <w:pPr>
        <w:spacing w:after="60"/>
        <w:ind w:left="420" w:hanging="420"/>
        <w:jc w:val="left"/>
      </w:pPr>
      <w:r>
        <w:rPr>
          <w:rFonts w:ascii="Times New Roman" w:hAnsi="Times New Roman" w:eastAsia="宋体"/>
          <w:b w:val="0"/>
          <w:sz w:val="21"/>
        </w:rPr>
        <w:t>[22] KARABARBOUNIS L, NEIMAN B. The global decline of the labor share[J]. Quarterly Journal of Economics, 2014, 129(1): 61-103.</w:t>
      </w:r>
    </w:p>
    <w:p>
      <w:pPr>
        <w:spacing w:after="60"/>
        <w:ind w:left="420" w:hanging="420"/>
        <w:jc w:val="left"/>
      </w:pPr>
      <w:r>
        <w:rPr>
          <w:rFonts w:ascii="Times New Roman" w:hAnsi="Times New Roman" w:eastAsia="宋体"/>
          <w:b w:val="0"/>
          <w:sz w:val="21"/>
        </w:rPr>
        <w:t>[23] AUTOR D, DORN D, KATZ L F, et al. The fall of the labor share and the rise of superstar firms[J]. Quarterly Journal of Economics, 2020, 135(2): 645-709.</w:t>
      </w:r>
    </w:p>
    <w:p>
      <w:pPr>
        <w:spacing w:after="60"/>
        <w:ind w:left="420" w:hanging="420"/>
        <w:jc w:val="left"/>
      </w:pPr>
      <w:r>
        <w:rPr>
          <w:rFonts w:ascii="Times New Roman" w:hAnsi="Times New Roman" w:eastAsia="宋体"/>
          <w:b w:val="0"/>
          <w:sz w:val="21"/>
        </w:rPr>
        <w:t>[24] 张学良, 王耀辉, 韩慧敏. 新时代以来区域协调发展的成效、趋势与展望[J]. 财经研究, 2024, 50(12): 4-18.</w:t>
      </w:r>
    </w:p>
    <w:p>
      <w:pPr>
        <w:spacing w:after="60"/>
        <w:ind w:left="420" w:hanging="420"/>
        <w:jc w:val="left"/>
      </w:pPr>
      <w:r>
        <w:rPr>
          <w:rFonts w:ascii="Times New Roman" w:hAnsi="Times New Roman" w:eastAsia="宋体"/>
          <w:b w:val="0"/>
          <w:sz w:val="21"/>
        </w:rPr>
        <w:t>[25] 浙江省统计局, 国家统计局浙江调查总队. 浙江省国民经济和社会发展统计公报(2015—2025年历年)[R]. 杭州: 浙江省统计局, 2016—2026.</w:t>
      </w:r>
    </w:p>
    <w:p>
      <w:pPr>
        <w:spacing w:after="60"/>
        <w:ind w:left="420" w:hanging="420"/>
        <w:jc w:val="left"/>
      </w:pPr>
      <w:r>
        <w:rPr>
          <w:rFonts w:ascii="Times New Roman" w:hAnsi="Times New Roman" w:eastAsia="宋体"/>
          <w:b w:val="0"/>
          <w:sz w:val="21"/>
        </w:rPr>
        <w:t>[26] 周文, 许凌云. 论新质生产力——内涵特征与重要着力点[J]. 改革, 2023(10): 1-13.</w:t>
      </w:r>
    </w:p>
    <w:p>
      <w:pPr>
        <w:spacing w:after="60"/>
        <w:ind w:left="420" w:hanging="420"/>
        <w:jc w:val="left"/>
      </w:pPr>
      <w:r>
        <w:rPr>
          <w:rFonts w:ascii="Times New Roman" w:hAnsi="Times New Roman" w:eastAsia="宋体"/>
          <w:b w:val="0"/>
          <w:sz w:val="21"/>
        </w:rPr>
        <w:t>[27] 洪银兴. 新质生产力及其培育和发展[J]. 经济学动态, 2024(1): 3-11.</w:t>
      </w:r>
    </w:p>
    <w:p>
      <w:pPr>
        <w:spacing w:after="60"/>
        <w:ind w:left="420" w:hanging="420"/>
        <w:jc w:val="left"/>
      </w:pPr>
      <w:r>
        <w:rPr>
          <w:rFonts w:ascii="Times New Roman" w:hAnsi="Times New Roman" w:eastAsia="宋体"/>
          <w:b w:val="0"/>
          <w:sz w:val="21"/>
        </w:rPr>
        <w:t>[28] 刘培林, 钱滔, 黄先海, 等. 共同富裕的内涵、实现路径与测度方法[J]. 管理世界, 2021, 37(8): 117-129.</w:t>
      </w:r>
    </w:p>
    <w:p>
      <w:pPr>
        <w:spacing w:after="60"/>
        <w:ind w:left="420" w:hanging="420"/>
        <w:jc w:val="left"/>
      </w:pPr>
      <w:r>
        <w:rPr>
          <w:rFonts w:ascii="Times New Roman" w:hAnsi="Times New Roman" w:eastAsia="宋体"/>
          <w:b w:val="0"/>
          <w:sz w:val="21"/>
        </w:rPr>
        <w:t>[29] 万海远, 陈基平. 共同富裕的理论内涵与量化方法[J]. 财贸经济, 2021, 42(12): 18-33.</w:t>
      </w:r>
    </w:p>
    <w:p>
      <w:pPr>
        <w:spacing w:after="60"/>
        <w:ind w:left="420" w:hanging="420"/>
        <w:jc w:val="left"/>
      </w:pPr>
      <w:r>
        <w:rPr>
          <w:rFonts w:ascii="Times New Roman" w:hAnsi="Times New Roman" w:eastAsia="宋体"/>
          <w:b w:val="0"/>
          <w:sz w:val="21"/>
        </w:rPr>
        <w:t>[30] 陈丽君, 郁建兴, 徐铱娜. 共同富裕指数模型的构建[J]. 治理研究, 2021, 37(4): 5-16.</w:t>
      </w:r>
    </w:p>
    <w:p>
      <w:pPr>
        <w:spacing w:after="60"/>
        <w:ind w:left="420" w:hanging="420"/>
        <w:jc w:val="left"/>
      </w:pPr>
      <w:r>
        <w:rPr>
          <w:rFonts w:ascii="Times New Roman" w:hAnsi="Times New Roman" w:eastAsia="宋体"/>
          <w:b w:val="0"/>
          <w:sz w:val="21"/>
        </w:rPr>
        <w:t>[31] 李实. 共同富裕的目标和实现路径选择[J]. 经济研究, 2021, 56(11): 4-13.</w:t>
      </w:r>
    </w:p>
    <w:p>
      <w:pPr>
        <w:spacing w:after="60"/>
        <w:ind w:left="420" w:hanging="420"/>
        <w:jc w:val="left"/>
      </w:pPr>
      <w:r>
        <w:rPr>
          <w:rFonts w:ascii="Times New Roman" w:hAnsi="Times New Roman" w:eastAsia="宋体"/>
          <w:b w:val="0"/>
          <w:sz w:val="21"/>
        </w:rPr>
        <w:t>[32] 蒲清平, 黄媛媛. 习近平总书记关于新质生产力重要论述的生成逻辑、理论创新与时代价值[J]. 西南大学学报(社会科学版), 2023, 49(6): 1-11.</w:t>
      </w:r>
    </w:p>
    <w:p>
      <w:pPr>
        <w:spacing w:after="60"/>
        <w:ind w:left="420" w:hanging="420"/>
        <w:jc w:val="left"/>
      </w:pPr>
      <w:r>
        <w:rPr>
          <w:rFonts w:ascii="Times New Roman" w:hAnsi="Times New Roman" w:eastAsia="宋体"/>
          <w:b w:val="0"/>
          <w:sz w:val="21"/>
        </w:rPr>
        <w:t>[33] 蒲清平, 向往. 新质生产力的内涵特征、内在逻辑和实现途径——推进中国式现代化的新动能[J]. 新疆师范大学学报(哲学社会科学版), 2024, 45(1): 77-85.</w:t>
      </w:r>
    </w:p>
    <w:p>
      <w:pPr>
        <w:spacing w:after="60"/>
        <w:ind w:left="420" w:hanging="420"/>
        <w:jc w:val="left"/>
      </w:pPr>
      <w:r>
        <w:rPr>
          <w:rFonts w:ascii="Times New Roman" w:hAnsi="Times New Roman" w:eastAsia="宋体"/>
          <w:b w:val="0"/>
          <w:sz w:val="21"/>
        </w:rPr>
        <w:t>[34] 张林, 蒲清平. 新质生产力的内涵特征、理论创新与价值意蕴[J]. 重庆大学学报(社会科学版), 2023, 29(6): 137-148.</w:t>
      </w:r>
    </w:p>
    <w:p>
      <w:pPr>
        <w:spacing w:after="60"/>
        <w:ind w:left="420" w:hanging="420"/>
        <w:jc w:val="left"/>
      </w:pPr>
      <w:r>
        <w:rPr>
          <w:rFonts w:ascii="Times New Roman" w:hAnsi="Times New Roman" w:eastAsia="宋体"/>
          <w:b w:val="0"/>
          <w:sz w:val="21"/>
        </w:rPr>
        <w:t>[35] 令小雄, 谢何源, 妥亮, 等. 新质生产力的三重向度：时空向度、结构向度、科技向度[J]. 新疆师范大学学报(哲学社会科学版), 2024, 45(1): 67-76.</w:t>
      </w:r>
    </w:p>
    <w:p>
      <w:pPr>
        <w:spacing w:after="60"/>
        <w:ind w:left="420" w:hanging="420"/>
        <w:jc w:val="left"/>
      </w:pPr>
      <w:r>
        <w:rPr>
          <w:rFonts w:ascii="Times New Roman" w:hAnsi="Times New Roman" w:eastAsia="宋体"/>
          <w:b w:val="0"/>
          <w:sz w:val="21"/>
        </w:rPr>
        <w:t>[36] 高帆. “新质生产力”的提出逻辑、多维内涵及时代意义[J]. 政治经济学评论, 2023, 14(6): 127-145.</w:t>
      </w:r>
    </w:p>
    <w:p>
      <w:pPr>
        <w:spacing w:after="60"/>
        <w:ind w:left="420" w:hanging="420"/>
        <w:jc w:val="left"/>
      </w:pPr>
      <w:r>
        <w:rPr>
          <w:rFonts w:ascii="Times New Roman" w:hAnsi="Times New Roman" w:eastAsia="宋体"/>
          <w:b w:val="0"/>
          <w:sz w:val="21"/>
        </w:rPr>
        <w:t>[37] 魏崇辉. 新质生产力的基本意涵、历史演进与实践路径[J]. 理论与改革, 2023(6): 25-38.</w:t>
      </w:r>
    </w:p>
    <w:p>
      <w:pPr>
        <w:spacing w:after="60"/>
        <w:ind w:left="420" w:hanging="420"/>
        <w:jc w:val="left"/>
      </w:pPr>
      <w:r>
        <w:rPr>
          <w:rFonts w:ascii="Times New Roman" w:hAnsi="Times New Roman" w:eastAsia="宋体"/>
          <w:b w:val="0"/>
          <w:sz w:val="21"/>
        </w:rPr>
        <w:t>[38] 黄群慧, 盛方富. 新质生产力系统：要素特质、结构承载与功能取向[J]. 改革, 2024(2): 15-24.</w:t>
      </w:r>
    </w:p>
    <w:p>
      <w:pPr>
        <w:spacing w:after="60"/>
        <w:ind w:left="420" w:hanging="420"/>
        <w:jc w:val="left"/>
      </w:pPr>
      <w:r>
        <w:rPr>
          <w:rFonts w:ascii="Times New Roman" w:hAnsi="Times New Roman" w:eastAsia="宋体"/>
          <w:b w:val="0"/>
          <w:sz w:val="21"/>
        </w:rPr>
        <w:t>[39] 薛钦源, 史丹, 史可寒. 新质生产力的形成逻辑、新质特征和理论要素[J]. 当代财经, 2024(7): 3-16.</w:t>
      </w:r>
    </w:p>
    <w:p>
      <w:pPr>
        <w:spacing w:after="60"/>
        <w:ind w:left="420" w:hanging="420"/>
        <w:jc w:val="left"/>
      </w:pPr>
      <w:r>
        <w:rPr>
          <w:rFonts w:ascii="Times New Roman" w:hAnsi="Times New Roman" w:eastAsia="宋体"/>
          <w:b w:val="0"/>
          <w:sz w:val="21"/>
        </w:rPr>
        <w:t>[40] 任保平. 生产力现代化转型形成新质生产力的逻辑[J]. 经济研究, 2024, 59(3): 12-19.</w:t>
      </w:r>
    </w:p>
    <w:p>
      <w:pPr>
        <w:spacing w:after="60"/>
        <w:ind w:left="420" w:hanging="420"/>
        <w:jc w:val="left"/>
      </w:pPr>
      <w:r>
        <w:rPr>
          <w:rFonts w:ascii="Times New Roman" w:hAnsi="Times New Roman" w:eastAsia="宋体"/>
          <w:b w:val="0"/>
          <w:sz w:val="21"/>
        </w:rPr>
        <w:t>[41] 刘伟. 科学认识与切实发展新质生产力[J]. 经济研究, 2024, 59(3): 4-11.</w:t>
      </w:r>
    </w:p>
    <w:p>
      <w:pPr>
        <w:spacing w:after="60"/>
        <w:ind w:left="420" w:hanging="420"/>
        <w:jc w:val="left"/>
      </w:pPr>
      <w:r>
        <w:rPr>
          <w:rFonts w:ascii="Times New Roman" w:hAnsi="Times New Roman" w:eastAsia="宋体"/>
          <w:b w:val="0"/>
          <w:sz w:val="21"/>
        </w:rPr>
        <w:t>[42] 李光勤, 李梦娇. 中国省域新质生产力水平评价、空间格局及其演化特征[J]. 经济地理, 2024, 44(8): 116-125.</w:t>
      </w:r>
    </w:p>
    <w:p>
      <w:pPr>
        <w:spacing w:after="60"/>
        <w:ind w:left="420" w:hanging="420"/>
        <w:jc w:val="left"/>
      </w:pPr>
      <w:r>
        <w:rPr>
          <w:rFonts w:ascii="Times New Roman" w:hAnsi="Times New Roman" w:eastAsia="宋体"/>
          <w:b w:val="0"/>
          <w:sz w:val="21"/>
        </w:rPr>
        <w:t>[43] 王珏, 王荣基. 新质生产力：指标构建与时空演进[J]. 西安财经大学学报, 2024, 37(1): 31-47.</w:t>
      </w:r>
    </w:p>
    <w:p>
      <w:pPr>
        <w:spacing w:after="60"/>
        <w:ind w:left="420" w:hanging="420"/>
        <w:jc w:val="left"/>
      </w:pPr>
      <w:r>
        <w:rPr>
          <w:rFonts w:ascii="Times New Roman" w:hAnsi="Times New Roman" w:eastAsia="宋体"/>
          <w:b w:val="0"/>
          <w:sz w:val="21"/>
        </w:rPr>
        <w:t>[44] 卢江, 郭子昂, 王煜萍. 新质生产力发展水平、区域差异与提升路径[J]. 重庆大学学报(社会科学版), 2024, 30(3): 1-17.</w:t>
      </w:r>
    </w:p>
    <w:p>
      <w:pPr>
        <w:spacing w:after="60"/>
        <w:ind w:left="420" w:hanging="420"/>
        <w:jc w:val="left"/>
      </w:pPr>
      <w:r>
        <w:rPr>
          <w:rFonts w:ascii="Times New Roman" w:hAnsi="Times New Roman" w:eastAsia="宋体"/>
          <w:b w:val="0"/>
          <w:sz w:val="21"/>
        </w:rPr>
        <w:t>[45] 韩文龙, 张瑞生, 赵峰. 新质生产力水平测算与中国经济增长新动能[J]. 数量经济技术经济研究, 2024, 41(6): 5-25.</w:t>
      </w:r>
    </w:p>
    <w:p>
      <w:pPr>
        <w:spacing w:after="60"/>
        <w:ind w:left="420" w:hanging="420"/>
        <w:jc w:val="left"/>
      </w:pPr>
      <w:r>
        <w:rPr>
          <w:rFonts w:ascii="Times New Roman" w:hAnsi="Times New Roman" w:eastAsia="宋体"/>
          <w:b w:val="0"/>
          <w:sz w:val="21"/>
        </w:rPr>
        <w:t>[46] 沈坤荣, 金童谣, 赵倩. 以新质生产力赋能高质量发展[J]. 南京社会科学, 2024(1): 37-42.</w:t>
      </w:r>
    </w:p>
    <w:p>
      <w:pPr>
        <w:spacing w:after="60"/>
        <w:ind w:left="420" w:hanging="420"/>
        <w:jc w:val="left"/>
      </w:pPr>
      <w:r>
        <w:rPr>
          <w:rFonts w:ascii="Times New Roman" w:hAnsi="Times New Roman" w:eastAsia="宋体"/>
          <w:b w:val="0"/>
          <w:sz w:val="21"/>
        </w:rPr>
        <w:t>[47] 徐政, 郑霖豪, 程梦瑶. 新质生产力赋能高质量发展的内在逻辑与实践构想[J]. 当代经济研究, 2023(11): 51-58.</w:t>
      </w:r>
    </w:p>
    <w:p>
      <w:pPr>
        <w:spacing w:after="60"/>
        <w:ind w:left="420" w:hanging="420"/>
        <w:jc w:val="left"/>
      </w:pPr>
      <w:r>
        <w:rPr>
          <w:rFonts w:ascii="Times New Roman" w:hAnsi="Times New Roman" w:eastAsia="宋体"/>
          <w:b w:val="0"/>
          <w:sz w:val="21"/>
        </w:rPr>
        <w:t>[48] 刘志彪, 凌永辉, 孙瑞东. 新型支柱产业：发展新质生产力的主阵地与政策选择[J]. 山东大学学报(哲学社会科学版), 2024(6): 117-128.</w:t>
      </w:r>
    </w:p>
    <w:p>
      <w:pPr>
        <w:spacing w:after="60"/>
        <w:ind w:left="420" w:hanging="420"/>
        <w:jc w:val="left"/>
      </w:pPr>
      <w:r>
        <w:rPr>
          <w:rFonts w:ascii="Times New Roman" w:hAnsi="Times New Roman" w:eastAsia="宋体"/>
          <w:b w:val="0"/>
          <w:sz w:val="21"/>
        </w:rPr>
        <w:t>[49] 刘志彪, 凌永辉, 孙瑞东. 新质生产力下产业发展方向与战略——以江苏为例[J]. 南京社会科学, 2023(11): 59-66.</w:t>
      </w:r>
    </w:p>
    <w:p>
      <w:pPr>
        <w:spacing w:after="60"/>
        <w:ind w:left="420" w:hanging="420"/>
        <w:jc w:val="left"/>
      </w:pPr>
      <w:r>
        <w:rPr>
          <w:rFonts w:ascii="Times New Roman" w:hAnsi="Times New Roman" w:eastAsia="宋体"/>
          <w:b w:val="0"/>
          <w:sz w:val="21"/>
        </w:rPr>
        <w:t>[50] 张夏恒. 数字经济加速新质生产力生成的内在逻辑与实现路径[J]. 西南大学学报(社会科学版), 2024, 50(3): 1-14.</w:t>
      </w:r>
    </w:p>
    <w:p>
      <w:pPr>
        <w:spacing w:after="60"/>
        <w:ind w:left="420" w:hanging="420"/>
        <w:jc w:val="left"/>
      </w:pPr>
      <w:r>
        <w:rPr>
          <w:rFonts w:ascii="Times New Roman" w:hAnsi="Times New Roman" w:eastAsia="宋体"/>
          <w:b w:val="0"/>
          <w:sz w:val="21"/>
        </w:rPr>
        <w:t>[51] 王琴梅, 杨军鸽. 数字新质生产力与我国农业的高质量发展研究[J]. 陕西师范大学学报(哲学社会科学版), 2023, 52(6): 61-72.</w:t>
      </w:r>
    </w:p>
    <w:p>
      <w:pPr>
        <w:spacing w:after="60"/>
        <w:ind w:left="420" w:hanging="420"/>
        <w:jc w:val="left"/>
      </w:pPr>
      <w:r>
        <w:rPr>
          <w:rFonts w:ascii="Times New Roman" w:hAnsi="Times New Roman" w:eastAsia="宋体"/>
          <w:b w:val="0"/>
          <w:sz w:val="21"/>
        </w:rPr>
        <w:t>[52] 黄先海, 黄雨晗, 虞柳明. 人工智能赋能农业新质生产力：实现逻辑、运行机制与跃升路径[J]. 中国农村经济, 2025(7): 3-22.</w:t>
      </w:r>
    </w:p>
    <w:p>
      <w:pPr>
        <w:spacing w:after="60"/>
        <w:ind w:left="420" w:hanging="420"/>
        <w:jc w:val="left"/>
      </w:pPr>
      <w:r>
        <w:rPr>
          <w:rFonts w:ascii="Times New Roman" w:hAnsi="Times New Roman" w:eastAsia="宋体"/>
          <w:b w:val="0"/>
          <w:sz w:val="21"/>
        </w:rPr>
        <w:t>[53] 蒋永穆, 豆小磊. 共同富裕思想：演进历程、现实意蕴及路径选择[J]. 新疆师范大学学报（哲学社会科学版）, 2021, 42(6): 16-29.</w:t>
      </w:r>
    </w:p>
    <w:p>
      <w:pPr>
        <w:spacing w:after="60"/>
        <w:ind w:left="420" w:hanging="420"/>
        <w:jc w:val="left"/>
      </w:pPr>
      <w:r>
        <w:rPr>
          <w:rFonts w:ascii="Times New Roman" w:hAnsi="Times New Roman" w:eastAsia="宋体"/>
          <w:b w:val="0"/>
          <w:sz w:val="21"/>
        </w:rPr>
        <w:t>[54] 周文, 施炫伶. 共同富裕的内涵特征与实践路径[J]. 政治经济学评论, 2022, 13(3): 3-23.</w:t>
      </w:r>
    </w:p>
    <w:p>
      <w:pPr>
        <w:spacing w:after="60"/>
        <w:ind w:left="420" w:hanging="420"/>
        <w:jc w:val="left"/>
      </w:pPr>
      <w:r>
        <w:rPr>
          <w:rFonts w:ascii="Times New Roman" w:hAnsi="Times New Roman" w:eastAsia="宋体"/>
          <w:b w:val="0"/>
          <w:sz w:val="21"/>
        </w:rPr>
        <w:t>[55] 郁建兴, 任杰. 共同富裕的理论内涵与政策议程[J]. 政治学研究, 2021(3): 13-25.</w:t>
      </w:r>
    </w:p>
    <w:p>
      <w:pPr>
        <w:spacing w:after="60"/>
        <w:ind w:left="420" w:hanging="420"/>
        <w:jc w:val="left"/>
      </w:pPr>
      <w:r>
        <w:rPr>
          <w:rFonts w:ascii="Times New Roman" w:hAnsi="Times New Roman" w:eastAsia="宋体"/>
          <w:b w:val="0"/>
          <w:sz w:val="21"/>
        </w:rPr>
        <w:t>[56] 张来明, 李建伟. 促进共同富裕的内涵、战略目标与政策措施[J]. 改革, 2021(9): 16-33.</w:t>
      </w:r>
    </w:p>
    <w:p>
      <w:pPr>
        <w:spacing w:after="60"/>
        <w:ind w:left="420" w:hanging="420"/>
        <w:jc w:val="left"/>
      </w:pPr>
      <w:r>
        <w:rPr>
          <w:rFonts w:ascii="Times New Roman" w:hAnsi="Times New Roman" w:eastAsia="宋体"/>
          <w:b w:val="0"/>
          <w:sz w:val="21"/>
        </w:rPr>
        <w:t>[57] 李海舰, 杜爽. 推进共同富裕若干问题探析[J]. 改革, 2021(12): 1-15.</w:t>
      </w:r>
    </w:p>
    <w:p>
      <w:pPr>
        <w:spacing w:after="60"/>
        <w:ind w:left="420" w:hanging="420"/>
        <w:jc w:val="left"/>
      </w:pPr>
      <w:r>
        <w:rPr>
          <w:rFonts w:ascii="Times New Roman" w:hAnsi="Times New Roman" w:eastAsia="宋体"/>
          <w:b w:val="0"/>
          <w:sz w:val="21"/>
        </w:rPr>
        <w:t>[58] 洪银兴. 以包容效率与公平的改革促进共同富裕[J]. 经济学家, 2022(2): 5-15.</w:t>
      </w:r>
    </w:p>
    <w:p>
      <w:pPr>
        <w:spacing w:after="60"/>
        <w:ind w:left="420" w:hanging="420"/>
        <w:jc w:val="left"/>
      </w:pPr>
      <w:r>
        <w:rPr>
          <w:rFonts w:ascii="Times New Roman" w:hAnsi="Times New Roman" w:eastAsia="宋体"/>
          <w:b w:val="0"/>
          <w:sz w:val="21"/>
        </w:rPr>
        <w:t>[59] 张军扩, 侯永志, 刘培林, 等. 高质量发展的目标要求和战略路径[J]. 管理世界, 2019, 35(7): 1-7.</w:t>
      </w:r>
    </w:p>
    <w:p>
      <w:pPr>
        <w:spacing w:after="60"/>
        <w:ind w:left="420" w:hanging="420"/>
        <w:jc w:val="left"/>
      </w:pPr>
      <w:r>
        <w:rPr>
          <w:rFonts w:ascii="Times New Roman" w:hAnsi="Times New Roman" w:eastAsia="宋体"/>
          <w:b w:val="0"/>
          <w:sz w:val="21"/>
        </w:rPr>
        <w:t>[60] 金碚. 关于“高质量发展”的经济学研究[J]. 中国工业经济, 2018(4): 5-18.</w:t>
      </w:r>
    </w:p>
    <w:p>
      <w:pPr>
        <w:spacing w:after="60"/>
        <w:ind w:left="420" w:hanging="420"/>
        <w:jc w:val="left"/>
      </w:pPr>
      <w:r>
        <w:rPr>
          <w:rFonts w:ascii="Times New Roman" w:hAnsi="Times New Roman" w:eastAsia="宋体"/>
          <w:b w:val="0"/>
          <w:sz w:val="21"/>
        </w:rPr>
        <w:t>[61] 李金昌, 余卫. 共同富裕统计监测评价探讨[J]. 统计研究, 2022, 39(2): 3-17.</w:t>
      </w:r>
    </w:p>
    <w:p>
      <w:pPr>
        <w:spacing w:after="60"/>
        <w:ind w:left="420" w:hanging="420"/>
        <w:jc w:val="left"/>
      </w:pPr>
      <w:r>
        <w:rPr>
          <w:rFonts w:ascii="Times New Roman" w:hAnsi="Times New Roman" w:eastAsia="宋体"/>
          <w:b w:val="0"/>
          <w:sz w:val="21"/>
        </w:rPr>
        <w:t>[62] 孙豪, 曹肖烨. 中国省域共同富裕的测度与评价[J]. 浙江社会科学, 2022(6): 4-18.</w:t>
      </w:r>
    </w:p>
    <w:p>
      <w:pPr>
        <w:spacing w:after="60"/>
        <w:ind w:left="420" w:hanging="420"/>
        <w:jc w:val="left"/>
      </w:pPr>
      <w:r>
        <w:rPr>
          <w:rFonts w:ascii="Times New Roman" w:hAnsi="Times New Roman" w:eastAsia="宋体"/>
          <w:b w:val="0"/>
          <w:sz w:val="21"/>
        </w:rPr>
        <w:t>[63] 陈宗胜, 杨希雷. 论中国共同富裕测度指标和阶段性进展程度[J]. 经济研究, 2023, 58(9): 79-97.</w:t>
      </w:r>
    </w:p>
    <w:p>
      <w:pPr>
        <w:spacing w:after="60"/>
        <w:ind w:left="420" w:hanging="420"/>
        <w:jc w:val="left"/>
      </w:pPr>
      <w:r>
        <w:rPr>
          <w:rFonts w:ascii="Times New Roman" w:hAnsi="Times New Roman" w:eastAsia="宋体"/>
          <w:b w:val="0"/>
          <w:sz w:val="21"/>
        </w:rPr>
        <w:t>[64] 龚斌磊, 钱泽森, 李实. 共同富裕的测度与驱动机制研究[J]. 数量经济技术经济研究, 2023, 40(12): 5-26.</w:t>
      </w:r>
    </w:p>
    <w:p>
      <w:pPr>
        <w:spacing w:after="60"/>
        <w:ind w:left="420" w:hanging="420"/>
        <w:jc w:val="left"/>
      </w:pPr>
      <w:r>
        <w:rPr>
          <w:rFonts w:ascii="Times New Roman" w:hAnsi="Times New Roman" w:eastAsia="宋体"/>
          <w:b w:val="0"/>
          <w:sz w:val="21"/>
        </w:rPr>
        <w:t>[65] 李实, 朱梦冰. 推进收入分配制度改革促进共同富裕实现[J]. 管理世界, 2022, 38(1): 52-61.</w:t>
      </w:r>
    </w:p>
    <w:p>
      <w:pPr>
        <w:spacing w:after="60"/>
        <w:ind w:left="420" w:hanging="420"/>
        <w:jc w:val="left"/>
      </w:pPr>
      <w:r>
        <w:rPr>
          <w:rFonts w:ascii="Times New Roman" w:hAnsi="Times New Roman" w:eastAsia="宋体"/>
          <w:b w:val="0"/>
          <w:sz w:val="21"/>
        </w:rPr>
        <w:t>[66] 罗楚亮, 李实, 岳希明. 中国居民收入差距变动分析（2013—2018）[J]. 中国社会科学, 2021(1): 33-54.</w:t>
      </w:r>
    </w:p>
    <w:p>
      <w:pPr>
        <w:spacing w:after="60"/>
        <w:ind w:left="420" w:hanging="420"/>
        <w:jc w:val="left"/>
      </w:pPr>
      <w:r>
        <w:rPr>
          <w:rFonts w:ascii="Times New Roman" w:hAnsi="Times New Roman" w:eastAsia="宋体"/>
          <w:b w:val="0"/>
          <w:sz w:val="21"/>
        </w:rPr>
        <w:t>[67] 史新杰, 李实, 陈天之, 等. 机会公平视角的共同富裕——来自低收入群体的实证研究[J]. 经济研究, 2022, 57(9): 99-115.</w:t>
      </w:r>
    </w:p>
    <w:p>
      <w:pPr>
        <w:spacing w:after="60"/>
        <w:ind w:left="420" w:hanging="420"/>
        <w:jc w:val="left"/>
      </w:pPr>
      <w:r>
        <w:rPr>
          <w:rFonts w:ascii="Times New Roman" w:hAnsi="Times New Roman" w:eastAsia="宋体"/>
          <w:b w:val="0"/>
          <w:sz w:val="21"/>
        </w:rPr>
        <w:t>[68] 檀学文. 走向共同富裕的解决相对贫困思路研究[J]. 中国农村经济, 2020(6): 21-36.</w:t>
      </w:r>
    </w:p>
    <w:p>
      <w:pPr>
        <w:spacing w:after="60"/>
        <w:ind w:left="420" w:hanging="420"/>
        <w:jc w:val="left"/>
      </w:pPr>
      <w:r>
        <w:rPr>
          <w:rFonts w:ascii="Times New Roman" w:hAnsi="Times New Roman" w:eastAsia="宋体"/>
          <w:b w:val="0"/>
          <w:sz w:val="21"/>
        </w:rPr>
        <w:t>[69] 万广华, 江葳蕤, 赵梦雪. 城镇化的共同富裕效应[J]. 中国农村经济, 2022(4): 2-22.</w:t>
      </w:r>
    </w:p>
    <w:p>
      <w:pPr>
        <w:spacing w:after="60"/>
        <w:ind w:left="420" w:hanging="420"/>
        <w:jc w:val="left"/>
      </w:pPr>
      <w:r>
        <w:rPr>
          <w:rFonts w:ascii="Times New Roman" w:hAnsi="Times New Roman" w:eastAsia="宋体"/>
          <w:b w:val="0"/>
          <w:sz w:val="21"/>
        </w:rPr>
        <w:t>[70] 杨仁发, 李自鑫. 创新型城市试点政策能够促进共同富裕吗？[J]. 财经研究, 2023, 49(8): 19-33.</w:t>
      </w:r>
    </w:p>
    <w:p>
      <w:pPr>
        <w:spacing w:after="60"/>
        <w:ind w:left="420" w:hanging="420"/>
        <w:jc w:val="left"/>
      </w:pPr>
      <w:r>
        <w:rPr>
          <w:rFonts w:ascii="Times New Roman" w:hAnsi="Times New Roman" w:eastAsia="宋体"/>
          <w:b w:val="0"/>
          <w:sz w:val="21"/>
        </w:rPr>
        <w:t>[71] 曾胜, 赵雪姝, 何玲. 科技金融、经济高质量发展与共同富裕——基于门槛效应的实证分析[J]. 西南大学学报(社会科学版), 2024, 50(4): 141-154.</w:t>
      </w:r>
    </w:p>
    <w:p>
      <w:pPr>
        <w:spacing w:after="60"/>
        <w:ind w:left="420" w:hanging="420"/>
        <w:jc w:val="left"/>
      </w:pPr>
      <w:r>
        <w:rPr>
          <w:rFonts w:ascii="Times New Roman" w:hAnsi="Times New Roman" w:eastAsia="宋体"/>
          <w:b w:val="0"/>
          <w:sz w:val="21"/>
        </w:rPr>
        <w:t>[72] 黄祖辉, 傅琳琳. “千万工程”推进乡村全面振兴的实践逻辑与经验启示[J]. 改革, 2025(2): 1-20.</w:t>
      </w:r>
    </w:p>
    <w:p>
      <w:pPr>
        <w:spacing w:after="60"/>
        <w:ind w:left="420" w:hanging="420"/>
        <w:jc w:val="left"/>
      </w:pPr>
      <w:r>
        <w:rPr>
          <w:rFonts w:ascii="Times New Roman" w:hAnsi="Times New Roman" w:eastAsia="宋体"/>
          <w:b w:val="0"/>
          <w:sz w:val="21"/>
        </w:rPr>
        <w:t>[73] 高鸣, 周子铭. “千万工程”经验赋能乡村产业发展的理论逻辑、现实基础与行动路径[J]. 南京农业大学学报(社会科学版), 2024, 24(2): 1-15.</w:t>
      </w:r>
    </w:p>
    <w:p>
      <w:pPr>
        <w:spacing w:after="60"/>
        <w:ind w:left="420" w:hanging="420"/>
        <w:jc w:val="left"/>
      </w:pPr>
      <w:r>
        <w:rPr>
          <w:rFonts w:ascii="Times New Roman" w:hAnsi="Times New Roman" w:eastAsia="宋体"/>
          <w:b w:val="0"/>
          <w:sz w:val="21"/>
        </w:rPr>
        <w:t>[74] 高鸣, 郑兆峰. 宜居宜业和美乡村建设的理论逻辑与实践进路——基于浙江“千万工程”的经验与启示[J]. 中州学刊, 2024(2): 14-22.</w:t>
      </w:r>
    </w:p>
    <w:p>
      <w:pPr>
        <w:spacing w:after="60"/>
        <w:ind w:left="420" w:hanging="420"/>
        <w:jc w:val="left"/>
      </w:pPr>
      <w:r>
        <w:rPr>
          <w:rFonts w:ascii="Times New Roman" w:hAnsi="Times New Roman" w:eastAsia="宋体"/>
          <w:b w:val="0"/>
          <w:sz w:val="21"/>
        </w:rPr>
        <w:t>[75] 邱毅, 宫钰. “山海协作”：一项中国特色的区域协调发展制度安排[J]. 治理研究, 2024, 40(4): 15-25.</w:t>
      </w:r>
    </w:p>
    <w:p>
      <w:pPr>
        <w:spacing w:after="60"/>
        <w:ind w:left="420" w:hanging="420"/>
        <w:jc w:val="left"/>
      </w:pPr>
      <w:r>
        <w:rPr>
          <w:rFonts w:ascii="Times New Roman" w:hAnsi="Times New Roman" w:eastAsia="宋体"/>
          <w:b w:val="0"/>
          <w:sz w:val="21"/>
        </w:rPr>
        <w:t>[76] 王成军, 张旭, 李雷. 农村集体经济组织公司化运营可以壮大集体经济吗——基于浙江省的实证检验[J]. 中国农村经济, 2024(8): 68-87.</w:t>
      </w:r>
    </w:p>
    <w:p>
      <w:pPr>
        <w:spacing w:after="60"/>
        <w:ind w:left="420" w:hanging="420"/>
        <w:jc w:val="left"/>
      </w:pPr>
      <w:r>
        <w:rPr>
          <w:rFonts w:ascii="Times New Roman" w:hAnsi="Times New Roman" w:eastAsia="宋体"/>
          <w:b w:val="0"/>
          <w:sz w:val="21"/>
        </w:rPr>
        <w:t>[77] 赵黎. 发展新型农村集体经济何以促进共同富裕：可持续发展视角下的双案例分析[J]. 中国农村经济, 2023(8): 60-83.</w:t>
      </w:r>
    </w:p>
    <w:p>
      <w:pPr>
        <w:spacing w:after="60"/>
        <w:ind w:left="420" w:hanging="420"/>
        <w:jc w:val="left"/>
      </w:pPr>
      <w:r>
        <w:rPr>
          <w:rFonts w:ascii="Times New Roman" w:hAnsi="Times New Roman" w:eastAsia="宋体"/>
          <w:b w:val="0"/>
          <w:sz w:val="21"/>
        </w:rPr>
        <w:t>[78] 苗阳, 方晶, 胡逸晔. 浙江省教育、科技、人才一体化改革的机制、成效与深化路径[J]. 科技管理研究, 2025(23): 31-40.</w:t>
      </w:r>
    </w:p>
    <w:p>
      <w:pPr>
        <w:spacing w:after="60"/>
        <w:ind w:left="420" w:hanging="420"/>
        <w:jc w:val="left"/>
      </w:pPr>
      <w:r>
        <w:rPr>
          <w:rFonts w:ascii="Times New Roman" w:hAnsi="Times New Roman" w:eastAsia="宋体"/>
          <w:b w:val="0"/>
          <w:sz w:val="21"/>
        </w:rPr>
        <w:t>[79] 刘彦随. 中国新时代城乡融合与乡村振兴[J]. 地理学报, 2018, 73(4): 637-650.</w:t>
      </w:r>
    </w:p>
    <w:p>
      <w:pPr>
        <w:spacing w:after="60"/>
        <w:ind w:left="420" w:hanging="420"/>
        <w:jc w:val="left"/>
      </w:pPr>
      <w:r>
        <w:rPr>
          <w:rFonts w:ascii="Times New Roman" w:hAnsi="Times New Roman" w:eastAsia="宋体"/>
          <w:b w:val="0"/>
          <w:sz w:val="21"/>
        </w:rPr>
        <w:t>[80] 何仁伟. 城乡融合与乡村振兴：理论探讨、机理阐释与实现路径[J]. 地理研究, 2018, 37(11): 2127-2140.</w:t>
      </w:r>
    </w:p>
    <w:p>
      <w:pPr>
        <w:spacing w:after="60"/>
        <w:ind w:left="420" w:hanging="420"/>
        <w:jc w:val="left"/>
      </w:pPr>
      <w:r>
        <w:rPr>
          <w:rFonts w:ascii="Times New Roman" w:hAnsi="Times New Roman" w:eastAsia="宋体"/>
          <w:b w:val="0"/>
          <w:sz w:val="21"/>
        </w:rPr>
        <w:t>[81] 叶兴庆. 新时代中国乡村振兴战略论纲[J]. 改革, 2018(1): 65-73.</w:t>
      </w:r>
    </w:p>
    <w:p>
      <w:pPr>
        <w:spacing w:after="60"/>
        <w:ind w:left="420" w:hanging="420"/>
        <w:jc w:val="left"/>
      </w:pPr>
      <w:r>
        <w:rPr>
          <w:rFonts w:ascii="Times New Roman" w:hAnsi="Times New Roman" w:eastAsia="宋体"/>
          <w:b w:val="0"/>
          <w:sz w:val="21"/>
        </w:rPr>
        <w:t>[82] 黄祖辉. 准确把握中国乡村振兴战略[J]. 中国农村经济, 2018(4): 2-12.</w:t>
      </w:r>
    </w:p>
    <w:p>
      <w:pPr>
        <w:spacing w:after="60"/>
        <w:ind w:left="420" w:hanging="420"/>
        <w:jc w:val="left"/>
      </w:pPr>
      <w:r>
        <w:rPr>
          <w:rFonts w:ascii="Times New Roman" w:hAnsi="Times New Roman" w:eastAsia="宋体"/>
          <w:b w:val="0"/>
          <w:sz w:val="21"/>
        </w:rPr>
        <w:t>[83] 魏后凯. “十四五”时期中国农村发展若干重大问题[J]. 中国农村经济, 2020(1): 2-16.</w:t>
      </w:r>
    </w:p>
    <w:p>
      <w:pPr>
        <w:spacing w:after="60"/>
        <w:ind w:left="420" w:hanging="420"/>
        <w:jc w:val="left"/>
      </w:pPr>
      <w:r>
        <w:rPr>
          <w:rFonts w:ascii="Times New Roman" w:hAnsi="Times New Roman" w:eastAsia="宋体"/>
          <w:b w:val="0"/>
          <w:sz w:val="21"/>
        </w:rPr>
        <w:t>[84] 燕连福, 牛刚刚. 新质生产力赋能共同富裕的内在逻辑与推进路径[J]. 马克思主义理论学科研究, 2024(2): 82-90.</w:t>
      </w:r>
    </w:p>
    <w:p>
      <w:pPr>
        <w:spacing w:after="60"/>
        <w:ind w:left="420" w:hanging="420"/>
        <w:jc w:val="left"/>
      </w:pPr>
      <w:r>
        <w:rPr>
          <w:rFonts w:ascii="Times New Roman" w:hAnsi="Times New Roman" w:eastAsia="宋体"/>
          <w:b w:val="0"/>
          <w:sz w:val="21"/>
        </w:rPr>
        <w:t>[85] 王军, 朱杰, 罗茜. 中国数字经济发展水平及演变测度[J]. 数量经济技术经济研究, 2021, 38(7): 26-42.</w:t>
      </w:r>
    </w:p>
    <w:p>
      <w:pPr>
        <w:spacing w:after="60"/>
        <w:ind w:left="420" w:hanging="420"/>
        <w:jc w:val="left"/>
      </w:pPr>
      <w:r>
        <w:rPr>
          <w:rFonts w:ascii="Times New Roman" w:hAnsi="Times New Roman" w:eastAsia="宋体"/>
          <w:b w:val="0"/>
          <w:sz w:val="21"/>
        </w:rPr>
        <w:t>[86] 刘军, 杨渊鋆, 张三峰. 中国数字经济测度与驱动因素研究[J]. 上海经济研究, 2020(6): 81-96.</w:t>
      </w:r>
    </w:p>
    <w:p>
      <w:pPr>
        <w:spacing w:after="60"/>
        <w:ind w:left="420" w:hanging="420"/>
        <w:jc w:val="left"/>
      </w:pPr>
      <w:r>
        <w:rPr>
          <w:rFonts w:ascii="Times New Roman" w:hAnsi="Times New Roman" w:eastAsia="宋体"/>
          <w:b w:val="0"/>
          <w:sz w:val="21"/>
        </w:rPr>
        <w:t>[87] 郭峰, 王靖一, 王芳, 等. 测度中国数字普惠金融发展：指数编制与空间特征[J]. 经济学(季刊), 2020, 19(4): 1401-1418.</w:t>
      </w:r>
    </w:p>
    <w:p>
      <w:pPr>
        <w:spacing w:after="60"/>
        <w:ind w:left="420" w:hanging="420"/>
        <w:jc w:val="left"/>
      </w:pPr>
      <w:r>
        <w:rPr>
          <w:rFonts w:ascii="Times New Roman" w:hAnsi="Times New Roman" w:eastAsia="宋体"/>
          <w:b w:val="0"/>
          <w:sz w:val="21"/>
        </w:rPr>
        <w:t>[88] 黄益平, 黄卓. 中国的数字金融发展：现在与未来[J]. 经济学(季刊), 2018, 17(4): 1489-1502.</w:t>
      </w:r>
    </w:p>
    <w:p>
      <w:pPr>
        <w:spacing w:after="60"/>
        <w:ind w:left="420" w:hanging="420"/>
        <w:jc w:val="left"/>
      </w:pPr>
      <w:r>
        <w:rPr>
          <w:rFonts w:ascii="Times New Roman" w:hAnsi="Times New Roman" w:eastAsia="宋体"/>
          <w:b w:val="0"/>
          <w:sz w:val="21"/>
        </w:rPr>
        <w:t>[89] 张勋, 万广华, 张佳佳, 等. 数字经济、普惠金融与包容性增长[J]. 经济研究, 2019, 54(8): 71-86.</w:t>
      </w:r>
    </w:p>
    <w:p>
      <w:pPr>
        <w:spacing w:after="60"/>
        <w:ind w:left="420" w:hanging="420"/>
        <w:jc w:val="left"/>
      </w:pPr>
      <w:r>
        <w:rPr>
          <w:rFonts w:ascii="Times New Roman" w:hAnsi="Times New Roman" w:eastAsia="宋体"/>
          <w:b w:val="0"/>
          <w:sz w:val="21"/>
        </w:rPr>
        <w:t>[90] 张勋, 杨桐, 汪晨, 等. 数字金融发展与居民消费增长：理论与中国实践[J]. 管理世界, 2020, 36(11): 48-63.</w:t>
      </w:r>
    </w:p>
    <w:p>
      <w:pPr>
        <w:spacing w:after="60"/>
        <w:ind w:left="420" w:hanging="420"/>
        <w:jc w:val="left"/>
      </w:pPr>
      <w:r>
        <w:rPr>
          <w:rFonts w:ascii="Times New Roman" w:hAnsi="Times New Roman" w:eastAsia="宋体"/>
          <w:b w:val="0"/>
          <w:sz w:val="21"/>
        </w:rPr>
        <w:t>[91] 张勋, 万广华, 吴海涛. 缩小数字鸿沟：中国特色数字金融发展[J]. 中国社会科学, 2021(8): 35-51.</w:t>
      </w:r>
    </w:p>
    <w:p>
      <w:pPr>
        <w:spacing w:after="60"/>
        <w:ind w:left="420" w:hanging="420"/>
        <w:jc w:val="left"/>
      </w:pPr>
      <w:r>
        <w:rPr>
          <w:rFonts w:ascii="Times New Roman" w:hAnsi="Times New Roman" w:eastAsia="宋体"/>
          <w:b w:val="0"/>
          <w:sz w:val="21"/>
        </w:rPr>
        <w:t>[92] 张金林, 董小凡, 李健. 数字普惠金融能否推进共同富裕——基于微观家庭数据的经验研究[J]. 财经研究, 2022, 48(7): 4-17.</w:t>
      </w:r>
    </w:p>
    <w:p>
      <w:pPr>
        <w:spacing w:after="60"/>
        <w:ind w:left="420" w:hanging="420"/>
        <w:jc w:val="left"/>
      </w:pPr>
      <w:r>
        <w:rPr>
          <w:rFonts w:ascii="Times New Roman" w:hAnsi="Times New Roman" w:eastAsia="宋体"/>
          <w:b w:val="0"/>
          <w:sz w:val="21"/>
        </w:rPr>
        <w:t>[93] 周利, 冯大威, 易行健. 数字普惠金融与城乡收入差距：“数字红利”还是“数字鸿沟”[J]. 经济学家, 2020(5): 99-108.</w:t>
      </w:r>
    </w:p>
    <w:p>
      <w:pPr>
        <w:spacing w:after="60"/>
        <w:ind w:left="420" w:hanging="420"/>
        <w:jc w:val="left"/>
      </w:pPr>
      <w:r>
        <w:rPr>
          <w:rFonts w:ascii="Times New Roman" w:hAnsi="Times New Roman" w:eastAsia="宋体"/>
          <w:b w:val="0"/>
          <w:sz w:val="21"/>
        </w:rPr>
        <w:t>[94] 陈文, 吴赢. 数字经济发展、数字鸿沟与城乡居民收入差距[J]. 南方经济, 2021(11): 1-17.</w:t>
      </w:r>
    </w:p>
    <w:p>
      <w:pPr>
        <w:spacing w:after="60"/>
        <w:ind w:left="420" w:hanging="420"/>
        <w:jc w:val="left"/>
      </w:pPr>
      <w:r>
        <w:rPr>
          <w:rFonts w:ascii="Times New Roman" w:hAnsi="Times New Roman" w:eastAsia="宋体"/>
          <w:b w:val="0"/>
          <w:sz w:val="21"/>
        </w:rPr>
        <w:t>[95] 程名望, 张家平. 互联网普及与城乡收入差距：理论与实证[J]. 中国农村经济, 2019(2): 19-41.</w:t>
      </w:r>
    </w:p>
    <w:p>
      <w:pPr>
        <w:spacing w:after="60"/>
        <w:ind w:left="420" w:hanging="420"/>
        <w:jc w:val="left"/>
      </w:pPr>
      <w:r>
        <w:rPr>
          <w:rFonts w:ascii="Times New Roman" w:hAnsi="Times New Roman" w:eastAsia="宋体"/>
          <w:b w:val="0"/>
          <w:sz w:val="21"/>
        </w:rPr>
        <w:t>[96] 宋晓玲. 数字普惠金融缩小城乡收入差距的实证检验[J]. 财经科学, 2017(6): 14-25.</w:t>
      </w:r>
    </w:p>
    <w:p>
      <w:pPr>
        <w:spacing w:after="60"/>
        <w:ind w:left="420" w:hanging="420"/>
        <w:jc w:val="left"/>
      </w:pPr>
      <w:r>
        <w:rPr>
          <w:rFonts w:ascii="Times New Roman" w:hAnsi="Times New Roman" w:eastAsia="宋体"/>
          <w:b w:val="0"/>
          <w:sz w:val="21"/>
        </w:rPr>
        <w:t>[97] 李晓钟, 李俊雨. 数字经济发展对城乡收入差距的影响研究[J]. 农业技术经济, 2022(2): 77-93.</w:t>
      </w:r>
    </w:p>
    <w:p>
      <w:pPr>
        <w:spacing w:after="60"/>
        <w:ind w:left="420" w:hanging="420"/>
        <w:jc w:val="left"/>
      </w:pPr>
      <w:r>
        <w:rPr>
          <w:rFonts w:ascii="Times New Roman" w:hAnsi="Times New Roman" w:eastAsia="宋体"/>
          <w:b w:val="0"/>
          <w:sz w:val="21"/>
        </w:rPr>
        <w:t>[98] 柏培文, 张云. 数字经济、人口红利下降与中低技能劳动者权益[J]. 经济研究, 2021, 56(5): 91-108.</w:t>
      </w:r>
    </w:p>
    <w:p>
      <w:pPr>
        <w:spacing w:after="60"/>
        <w:ind w:left="420" w:hanging="420"/>
        <w:jc w:val="left"/>
      </w:pPr>
      <w:r>
        <w:rPr>
          <w:rFonts w:ascii="Times New Roman" w:hAnsi="Times New Roman" w:eastAsia="宋体"/>
          <w:b w:val="0"/>
          <w:sz w:val="21"/>
        </w:rPr>
        <w:t>[99] 王少平, 欧阳志刚. 我国城乡收入差距的度量及其对经济增长的效应[J]. 经济研究, 2007(10): 44-55.</w:t>
      </w:r>
    </w:p>
    <w:p>
      <w:pPr>
        <w:spacing w:after="60"/>
        <w:ind w:left="420" w:hanging="420"/>
        <w:jc w:val="left"/>
      </w:pPr>
      <w:r>
        <w:rPr>
          <w:rFonts w:ascii="Times New Roman" w:hAnsi="Times New Roman" w:eastAsia="宋体"/>
          <w:b w:val="0"/>
          <w:sz w:val="21"/>
        </w:rPr>
        <w:t>[100] 万广华, 宋婕, 左丛民, 等. 中国式现代化视域下数字经济的共同富裕效应：方法与证据[J]. 经济研究, 2024, 59(6): 29-48.</w:t>
      </w:r>
    </w:p>
    <w:p>
      <w:pPr>
        <w:spacing w:after="60"/>
        <w:ind w:left="420" w:hanging="420"/>
        <w:jc w:val="left"/>
      </w:pPr>
      <w:r>
        <w:rPr>
          <w:rFonts w:ascii="Times New Roman" w:hAnsi="Times New Roman" w:eastAsia="宋体"/>
          <w:b w:val="0"/>
          <w:sz w:val="21"/>
        </w:rPr>
        <w:t>[101] 田鸽, 张勋. 数字经济、非农就业与社会分工[J]. 管理世界, 2022, 38(5): 72-84.</w:t>
      </w:r>
    </w:p>
    <w:p>
      <w:pPr>
        <w:spacing w:after="60"/>
        <w:ind w:left="420" w:hanging="420"/>
        <w:jc w:val="left"/>
      </w:pPr>
      <w:r>
        <w:rPr>
          <w:rFonts w:ascii="Times New Roman" w:hAnsi="Times New Roman" w:eastAsia="宋体"/>
          <w:b w:val="0"/>
          <w:sz w:val="21"/>
        </w:rPr>
        <w:t>[102] 赵涛, 张智, 梁上坤. 数字经济、创业活跃度与高质量发展——来自中国城市的经验证据[J]. 管理世界, 2020, 36(10): 65-76.</w:t>
      </w:r>
    </w:p>
    <w:p>
      <w:pPr>
        <w:spacing w:after="60"/>
        <w:ind w:left="420" w:hanging="420"/>
        <w:jc w:val="left"/>
      </w:pPr>
      <w:r>
        <w:rPr>
          <w:rFonts w:ascii="Times New Roman" w:hAnsi="Times New Roman" w:eastAsia="宋体"/>
          <w:b w:val="0"/>
          <w:sz w:val="21"/>
        </w:rPr>
        <w:t>[103] 夏杰长, 刘诚. 数字经济赋能共同富裕：作用路径与政策设计[J]. 经济与管理研究, 2021, 42(9): 3-13.</w:t>
      </w:r>
    </w:p>
    <w:p>
      <w:pPr>
        <w:spacing w:after="60"/>
        <w:ind w:left="420" w:hanging="420"/>
        <w:jc w:val="left"/>
      </w:pPr>
      <w:r>
        <w:rPr>
          <w:rFonts w:ascii="Times New Roman" w:hAnsi="Times New Roman" w:eastAsia="宋体"/>
          <w:b w:val="0"/>
          <w:sz w:val="21"/>
        </w:rPr>
        <w:t>[104] 师博, 胡西娟. 高质量发展视域下数字经济推进共同富裕的机制与路径[J]. 改革, 2022(8): 76-86.</w:t>
      </w:r>
    </w:p>
    <w:p>
      <w:pPr>
        <w:spacing w:after="60"/>
        <w:ind w:left="420" w:hanging="420"/>
        <w:jc w:val="left"/>
      </w:pPr>
      <w:r>
        <w:rPr>
          <w:rFonts w:ascii="Times New Roman" w:hAnsi="Times New Roman" w:eastAsia="宋体"/>
          <w:b w:val="0"/>
          <w:sz w:val="21"/>
        </w:rPr>
        <w:t>[105] ACEMOGLU D. Directed technical change[J]. Review of Economic Studies, 2002, 69(4): 781-809.</w:t>
      </w:r>
    </w:p>
    <w:p>
      <w:pPr>
        <w:spacing w:after="60"/>
        <w:ind w:left="420" w:hanging="420"/>
        <w:jc w:val="left"/>
      </w:pPr>
      <w:r>
        <w:rPr>
          <w:rFonts w:ascii="Times New Roman" w:hAnsi="Times New Roman" w:eastAsia="宋体"/>
          <w:b w:val="0"/>
          <w:sz w:val="21"/>
        </w:rPr>
        <w:t>[106] FREY C B, OSBORNE M A. The future of employment: how susceptible are jobs to computerisation?[J]. Technological Forecasting and Social Change, 2017, 114: 254-280.</w:t>
      </w:r>
    </w:p>
    <w:p>
      <w:pPr>
        <w:spacing w:after="60"/>
        <w:ind w:left="420" w:hanging="420"/>
        <w:jc w:val="left"/>
      </w:pPr>
      <w:r>
        <w:rPr>
          <w:rFonts w:ascii="Times New Roman" w:hAnsi="Times New Roman" w:eastAsia="宋体"/>
          <w:b w:val="0"/>
          <w:sz w:val="21"/>
        </w:rPr>
        <w:t>[107] 郭凯明. 人工智能发展、产业结构转型升级与劳动收入份额变动[J]. 管理世界, 2019, 35(7): 60-77.</w:t>
      </w:r>
    </w:p>
    <w:p>
      <w:pPr>
        <w:spacing w:after="60"/>
        <w:ind w:left="420" w:hanging="420"/>
        <w:jc w:val="left"/>
      </w:pPr>
      <w:r>
        <w:rPr>
          <w:rFonts w:ascii="Times New Roman" w:hAnsi="Times New Roman" w:eastAsia="宋体"/>
          <w:b w:val="0"/>
          <w:sz w:val="21"/>
        </w:rPr>
        <w:t>[108] 王林辉, 胡晟明, 董直庆. 人工智能技术会诱致劳动收入不平等吗——模型推演与分类评估[J]. 中国工业经济, 2020(4): 97-115.</w:t>
      </w:r>
    </w:p>
    <w:p>
      <w:pPr>
        <w:spacing w:after="60"/>
        <w:ind w:left="420" w:hanging="420"/>
        <w:jc w:val="left"/>
      </w:pPr>
      <w:r>
        <w:rPr>
          <w:rFonts w:ascii="Times New Roman" w:hAnsi="Times New Roman" w:eastAsia="宋体"/>
          <w:b w:val="0"/>
          <w:sz w:val="21"/>
        </w:rPr>
        <w:t>[109] 白重恩, 钱震杰. 国民收入的要素分配：统计数据背后的故事[J]. 经济研究, 2009, 44(3): 27-41.</w:t>
      </w:r>
    </w:p>
    <w:p>
      <w:pPr>
        <w:spacing w:after="60"/>
        <w:ind w:left="420" w:hanging="420"/>
        <w:jc w:val="left"/>
      </w:pPr>
      <w:r>
        <w:rPr>
          <w:rFonts w:ascii="Times New Roman" w:hAnsi="Times New Roman" w:eastAsia="宋体"/>
          <w:b w:val="0"/>
          <w:sz w:val="21"/>
        </w:rPr>
        <w:t>[110] 廖重斌. 环境与经济协调发展的定量评判及其分类体系——以珠江三角洲城市群为例[J]. 热带地理, 1999, 19(2): 171-177.</w:t>
      </w:r>
    </w:p>
    <w:p>
      <w:pPr>
        <w:spacing w:after="60"/>
        <w:ind w:left="420" w:hanging="420"/>
        <w:jc w:val="left"/>
      </w:pPr>
      <w:r>
        <w:rPr>
          <w:rFonts w:ascii="Times New Roman" w:hAnsi="Times New Roman" w:eastAsia="宋体"/>
          <w:b w:val="0"/>
          <w:sz w:val="21"/>
        </w:rPr>
        <w:t>[111] 刘耀彬, 李仁东, 宋学锋. 中国城市化与生态环境耦合度分析[J]. 自然资源学报, 2005, 20(1): 105-112.</w:t>
      </w:r>
    </w:p>
    <w:p>
      <w:pPr>
        <w:spacing w:after="60"/>
        <w:ind w:left="420" w:hanging="420"/>
        <w:jc w:val="left"/>
      </w:pPr>
      <w:r>
        <w:rPr>
          <w:rFonts w:ascii="Times New Roman" w:hAnsi="Times New Roman" w:eastAsia="宋体"/>
          <w:b w:val="0"/>
          <w:sz w:val="21"/>
        </w:rPr>
        <w:t>[112] 王少剑, 方创琳, 王洋. 京津冀地区城市化与生态环境交互耦合关系定量测度[J]. 生态学报, 2015, 35(7): 2244-2254.</w:t>
      </w:r>
    </w:p>
    <w:p>
      <w:pPr>
        <w:spacing w:after="60"/>
        <w:ind w:left="420" w:hanging="420"/>
        <w:jc w:val="left"/>
      </w:pPr>
      <w:r>
        <w:rPr>
          <w:rFonts w:ascii="Times New Roman" w:hAnsi="Times New Roman" w:eastAsia="宋体"/>
          <w:b w:val="0"/>
          <w:sz w:val="21"/>
        </w:rPr>
        <w:t>[113] 方创琳, 崔学刚, 梁龙武. 城镇化与生态环境耦合圈理论及耦合器调控[J]. 地理学报, 2019, 74(12): 2529-2546.</w:t>
      </w:r>
    </w:p>
    <w:p>
      <w:pPr>
        <w:spacing w:after="60"/>
        <w:ind w:left="420" w:hanging="420"/>
        <w:jc w:val="left"/>
      </w:pPr>
      <w:r>
        <w:rPr>
          <w:rFonts w:ascii="Times New Roman" w:hAnsi="Times New Roman" w:eastAsia="宋体"/>
          <w:b w:val="0"/>
          <w:sz w:val="21"/>
        </w:rPr>
        <w:t>[114] 刘海猛, 方创琳, 李咏红. 城镇化与生态环境“耦合魔方”的基本概念及框架[J]. 地理学报, 2019, 74(8): 1489-1507.</w:t>
      </w:r>
    </w:p>
    <w:p>
      <w:pPr>
        <w:spacing w:after="60"/>
        <w:ind w:left="420" w:hanging="420"/>
        <w:jc w:val="left"/>
      </w:pPr>
      <w:r>
        <w:rPr>
          <w:rFonts w:ascii="Times New Roman" w:hAnsi="Times New Roman" w:eastAsia="宋体"/>
          <w:b w:val="0"/>
          <w:sz w:val="21"/>
        </w:rPr>
        <w:t>[115] 徐玉莲, 王玉冬, 林艳. 区域科技创新与科技金融耦合协调度评价研究[J]. 科学学与科学技术管理, 2011, 32(12): 116-122.</w:t>
      </w:r>
    </w:p>
    <w:p>
      <w:pPr>
        <w:spacing w:after="60"/>
        <w:ind w:left="420" w:hanging="420"/>
        <w:jc w:val="left"/>
      </w:pPr>
      <w:r>
        <w:rPr>
          <w:rFonts w:ascii="Times New Roman" w:hAnsi="Times New Roman" w:eastAsia="宋体"/>
          <w:b w:val="0"/>
          <w:sz w:val="21"/>
        </w:rPr>
        <w:t>[116] 张芷若, 谷国锋. 中国科技金融与区域经济发展的耦合关系研究[J]. 地理科学, 2020, 40(5): 751-759.</w:t>
      </w:r>
    </w:p>
    <w:p>
      <w:pPr>
        <w:spacing w:after="60"/>
        <w:ind w:left="420" w:hanging="420"/>
        <w:jc w:val="left"/>
      </w:pPr>
      <w:r>
        <w:rPr>
          <w:rFonts w:ascii="Times New Roman" w:hAnsi="Times New Roman" w:eastAsia="宋体"/>
          <w:b w:val="0"/>
          <w:sz w:val="21"/>
        </w:rPr>
        <w:t>[117] 张芷若, 谷国锋. 科技金融与科技创新耦合协调度的空间格局分析[J]. 经济地理, 2019, 39(4): 50-58.</w:t>
      </w:r>
    </w:p>
    <w:p>
      <w:pPr>
        <w:spacing w:after="60"/>
        <w:ind w:left="420" w:hanging="420"/>
        <w:jc w:val="left"/>
      </w:pPr>
      <w:r>
        <w:rPr>
          <w:rFonts w:ascii="Times New Roman" w:hAnsi="Times New Roman" w:eastAsia="宋体"/>
          <w:b w:val="0"/>
          <w:sz w:val="21"/>
        </w:rPr>
        <w:t>[118] 邹新月, 王旺. 中国数字金融与科技创新耦合协调发展的时空演变及其交互影响[J]. 广东财经大学学报, 2021, 36(3): 4-17.</w:t>
      </w:r>
    </w:p>
    <w:p>
      <w:pPr>
        <w:spacing w:after="60"/>
        <w:ind w:left="420" w:hanging="420"/>
        <w:jc w:val="left"/>
      </w:pPr>
      <w:r>
        <w:rPr>
          <w:rFonts w:ascii="Times New Roman" w:hAnsi="Times New Roman" w:eastAsia="宋体"/>
          <w:b w:val="0"/>
          <w:sz w:val="21"/>
        </w:rPr>
        <w:t>[119] 徐维祥, 李露, 周建平, 等. 乡村振兴与新型城镇化耦合协调的动态演进及其驱动机制[J]. 自然资源学报, 2020, 35(9): 2044-2062.</w:t>
      </w:r>
    </w:p>
    <w:p>
      <w:pPr>
        <w:spacing w:after="60"/>
        <w:ind w:left="420" w:hanging="420"/>
        <w:jc w:val="left"/>
      </w:pPr>
      <w:r>
        <w:rPr>
          <w:rFonts w:ascii="Times New Roman" w:hAnsi="Times New Roman" w:eastAsia="宋体"/>
          <w:b w:val="0"/>
          <w:sz w:val="21"/>
        </w:rPr>
        <w:t>[120] 张旺, 白永秀. 数字经济与乡村振兴耦合的理论构建、实证分析及优化路径[J]. 中国软科学, 2022(1): 132-146.</w:t>
      </w:r>
    </w:p>
    <w:p>
      <w:pPr>
        <w:spacing w:after="60"/>
        <w:ind w:left="420" w:hanging="420"/>
        <w:jc w:val="left"/>
      </w:pPr>
      <w:r>
        <w:rPr>
          <w:rFonts w:ascii="Times New Roman" w:hAnsi="Times New Roman" w:eastAsia="宋体"/>
          <w:b w:val="0"/>
          <w:sz w:val="21"/>
        </w:rPr>
        <w:t>[121] 邓熙舜, 罗利平, 蒋勇. 数字乡村与乡村振兴耦合协调及其障碍因子研究[J]. 世界农业, 2023(6): 93-108.</w:t>
      </w:r>
    </w:p>
    <w:p>
      <w:pPr>
        <w:spacing w:after="60"/>
        <w:ind w:left="420" w:hanging="420"/>
        <w:jc w:val="left"/>
      </w:pPr>
      <w:r>
        <w:rPr>
          <w:rFonts w:ascii="Times New Roman" w:hAnsi="Times New Roman" w:eastAsia="宋体"/>
          <w:b w:val="0"/>
          <w:sz w:val="21"/>
        </w:rPr>
        <w:t>[122] 周成, 冯学钢, 唐睿. 区域经济—生态环境—旅游产业耦合协调发展分析与预测——以长江经济带沿线各省市为例[J]. 经济地理, 2016, 36(3): 186-193.</w:t>
      </w:r>
    </w:p>
    <w:p>
      <w:pPr>
        <w:spacing w:after="60"/>
        <w:ind w:left="420" w:hanging="420"/>
        <w:jc w:val="left"/>
      </w:pPr>
      <w:r>
        <w:rPr>
          <w:rFonts w:ascii="Times New Roman" w:hAnsi="Times New Roman" w:eastAsia="宋体"/>
          <w:b w:val="0"/>
          <w:sz w:val="21"/>
        </w:rPr>
        <w:t>[123] 王成, 唐宁. 重庆市乡村三生空间功能耦合协调的时空特征与格局演化[J]. 地理研究, 2018, 37(6): 1100-1114.</w:t>
      </w:r>
    </w:p>
    <w:p>
      <w:pPr>
        <w:spacing w:after="60"/>
        <w:ind w:left="420" w:hanging="420"/>
        <w:jc w:val="left"/>
      </w:pPr>
      <w:r>
        <w:rPr>
          <w:rFonts w:ascii="Times New Roman" w:hAnsi="Times New Roman" w:eastAsia="宋体"/>
          <w:b w:val="0"/>
          <w:sz w:val="21"/>
        </w:rPr>
        <w:t>[124] 陈翠兰. 长江经济带科技创新、经济增长与生态效益的耦合协调发展研究[J]. 地域研究与开发, 2023, 42(1): 1-6.</w:t>
      </w:r>
    </w:p>
    <w:p>
      <w:pPr>
        <w:spacing w:after="60"/>
        <w:ind w:left="420" w:hanging="420"/>
        <w:jc w:val="left"/>
      </w:pPr>
      <w:r>
        <w:rPr>
          <w:rFonts w:ascii="Times New Roman" w:hAnsi="Times New Roman" w:eastAsia="宋体"/>
          <w:b w:val="0"/>
          <w:sz w:val="21"/>
        </w:rPr>
        <w:t>[125] 汤铃, 李建平, 余乐安, 等. 基于距离协调度模型的系统协调发展定量评价方法[J]. 系统工程理论与实践, 2010, 30(4): 594-602.</w:t>
      </w:r>
    </w:p>
    <w:p>
      <w:pPr>
        <w:spacing w:after="60"/>
        <w:ind w:left="420" w:hanging="420"/>
        <w:jc w:val="left"/>
      </w:pPr>
      <w:r>
        <w:rPr>
          <w:rFonts w:ascii="Times New Roman" w:hAnsi="Times New Roman" w:eastAsia="宋体"/>
          <w:b w:val="0"/>
          <w:sz w:val="21"/>
        </w:rPr>
        <w:t>[126] 丛晓男. 耦合度模型的形式、性质及在地理学中的若干误用[J]. 经济地理, 2019, 39(4): 18-25.</w:t>
      </w:r>
    </w:p>
    <w:p>
      <w:pPr>
        <w:spacing w:after="60"/>
        <w:ind w:left="420" w:hanging="420"/>
        <w:jc w:val="left"/>
      </w:pPr>
      <w:r>
        <w:rPr>
          <w:rFonts w:ascii="Times New Roman" w:hAnsi="Times New Roman" w:eastAsia="宋体"/>
          <w:b w:val="0"/>
          <w:sz w:val="21"/>
        </w:rPr>
        <w:t>[127] 王淑佳, 孔伟, 任亮, 等. 国内耦合协调度模型的误区及修正[J]. 自然资源学报, 2021, 36(3): 793-810.</w:t>
      </w:r>
    </w:p>
    <w:p>
      <w:pPr>
        <w:spacing w:after="60"/>
        <w:ind w:left="420" w:hanging="420"/>
        <w:jc w:val="left"/>
      </w:pPr>
      <w:r>
        <w:rPr>
          <w:rFonts w:ascii="Times New Roman" w:hAnsi="Times New Roman" w:eastAsia="宋体"/>
          <w:b w:val="0"/>
          <w:sz w:val="21"/>
        </w:rPr>
        <w:t>[128] RAGIN C C. The Comparative Method: Moving Beyond Qualitative and Quantitative Strategies[M]. Berkeley: University of California Press, 1987.</w:t>
      </w:r>
    </w:p>
    <w:p>
      <w:pPr>
        <w:spacing w:after="60"/>
        <w:ind w:left="420" w:hanging="420"/>
        <w:jc w:val="left"/>
      </w:pPr>
      <w:r>
        <w:rPr>
          <w:rFonts w:ascii="Times New Roman" w:hAnsi="Times New Roman" w:eastAsia="宋体"/>
          <w:b w:val="0"/>
          <w:sz w:val="21"/>
        </w:rPr>
        <w:t>[129] RAGIN C C. Redesigning Social Inquiry: Fuzzy Sets and Beyond[M]. Chicago: University of Chicago Press, 2008.</w:t>
      </w:r>
    </w:p>
    <w:p>
      <w:pPr>
        <w:spacing w:after="60"/>
        <w:ind w:left="420" w:hanging="420"/>
        <w:jc w:val="left"/>
      </w:pPr>
      <w:r>
        <w:rPr>
          <w:rFonts w:ascii="Times New Roman" w:hAnsi="Times New Roman" w:eastAsia="宋体"/>
          <w:b w:val="0"/>
          <w:sz w:val="21"/>
        </w:rPr>
        <w:t>[130] FISS P C. A set-theoretic approach to organizational configurations[J]. Academy of Management Review, 2007, 32(4): 1180-1198.</w:t>
      </w:r>
    </w:p>
    <w:p>
      <w:pPr>
        <w:spacing w:after="60"/>
        <w:ind w:left="420" w:hanging="420"/>
        <w:jc w:val="left"/>
      </w:pPr>
      <w:r>
        <w:rPr>
          <w:rFonts w:ascii="Times New Roman" w:hAnsi="Times New Roman" w:eastAsia="宋体"/>
          <w:b w:val="0"/>
          <w:sz w:val="21"/>
        </w:rPr>
        <w:t>[131] FISS P C. Building better causal theories: A fuzzy set approach to typologies in organization research[J]. Academy of Management Journal, 2011, 54(2): 393-420.</w:t>
      </w:r>
    </w:p>
    <w:p>
      <w:pPr>
        <w:spacing w:after="60"/>
        <w:ind w:left="420" w:hanging="420"/>
        <w:jc w:val="left"/>
      </w:pPr>
      <w:r>
        <w:rPr>
          <w:rFonts w:ascii="Times New Roman" w:hAnsi="Times New Roman" w:eastAsia="宋体"/>
          <w:b w:val="0"/>
          <w:sz w:val="21"/>
        </w:rPr>
        <w:t>[132] FURNARI S, CRILLY D, MISANGYI V F, et al. Capturing causal complexity: Heuristics for configurational theorizing[J]. Academy of Management Review, 2021, 46(4): 778-799.</w:t>
      </w:r>
    </w:p>
    <w:p>
      <w:pPr>
        <w:spacing w:after="60"/>
        <w:ind w:left="420" w:hanging="420"/>
        <w:jc w:val="left"/>
      </w:pPr>
      <w:r>
        <w:rPr>
          <w:rFonts w:ascii="Times New Roman" w:hAnsi="Times New Roman" w:eastAsia="宋体"/>
          <w:b w:val="0"/>
          <w:sz w:val="21"/>
        </w:rPr>
        <w:t>[133] MISANGYI V F, GRECKHAMER T, FURNARI S, et al. Embracing causal complexity: The emergence of a neo-configurational perspective[J]. Journal of Management, 2017, 43(1): 255-282.</w:t>
      </w:r>
    </w:p>
    <w:p>
      <w:pPr>
        <w:spacing w:after="60"/>
        <w:ind w:left="420" w:hanging="420"/>
        <w:jc w:val="left"/>
      </w:pPr>
      <w:r>
        <w:rPr>
          <w:rFonts w:ascii="Times New Roman" w:hAnsi="Times New Roman" w:eastAsia="宋体"/>
          <w:b w:val="0"/>
          <w:sz w:val="21"/>
        </w:rPr>
        <w:t>[134] WOODSIDE A G. Moving beyond multiple regression analysis to algorithms: Calling for adoption of a paradigm shift from symmetric to asymmetric thinking in data analysis and crafting theory[J]. Journal of Business Research, 2013, 66(4): 463-472.</w:t>
      </w:r>
    </w:p>
    <w:p>
      <w:pPr>
        <w:spacing w:after="60"/>
        <w:ind w:left="420" w:hanging="420"/>
        <w:jc w:val="left"/>
      </w:pPr>
      <w:r>
        <w:rPr>
          <w:rFonts w:ascii="Times New Roman" w:hAnsi="Times New Roman" w:eastAsia="宋体"/>
          <w:b w:val="0"/>
          <w:sz w:val="21"/>
        </w:rPr>
        <w:t>[135] DUL J. Necessary Condition Analysis (NCA): Logic and methodology of "necessary but not sufficient" causality[J]. Organizational Research Methods, 2016, 19(1): 10-52.</w:t>
      </w:r>
    </w:p>
    <w:p>
      <w:pPr>
        <w:spacing w:after="60"/>
        <w:ind w:left="420" w:hanging="420"/>
        <w:jc w:val="left"/>
      </w:pPr>
      <w:r>
        <w:rPr>
          <w:rFonts w:ascii="Times New Roman" w:hAnsi="Times New Roman" w:eastAsia="宋体"/>
          <w:b w:val="0"/>
          <w:sz w:val="21"/>
        </w:rPr>
        <w:t>[136] 里豪克斯 B, 拉金 C C. QCA设计原理与应用：超越定性与定量研究的新方法[M]. 机械工业出版社, 2017.</w:t>
      </w:r>
    </w:p>
    <w:p>
      <w:pPr>
        <w:spacing w:after="60"/>
        <w:ind w:left="420" w:hanging="420"/>
        <w:jc w:val="left"/>
      </w:pPr>
      <w:r>
        <w:rPr>
          <w:rFonts w:ascii="Times New Roman" w:hAnsi="Times New Roman" w:eastAsia="宋体"/>
          <w:b w:val="0"/>
          <w:sz w:val="21"/>
        </w:rPr>
        <w:t>[137] SCHNEIDER C Q, WAGEMANN C. Set-Theoretic Methods for the Social Sciences: A Guide to Qualitative Comparative Analysis[M]. Cambridge: Cambridge University Press, 2012.</w:t>
      </w:r>
    </w:p>
    <w:p>
      <w:pPr>
        <w:spacing w:after="60"/>
        <w:ind w:left="420" w:hanging="420"/>
        <w:jc w:val="left"/>
      </w:pPr>
      <w:r>
        <w:rPr>
          <w:rFonts w:ascii="Times New Roman" w:hAnsi="Times New Roman" w:eastAsia="宋体"/>
          <w:b w:val="0"/>
          <w:sz w:val="21"/>
        </w:rPr>
        <w:t>[138] GRECKHAMER T, FURNARI S, FISS P C, et al. Studying configurations with qualitative comparative analysis: Best practices in strategy and organization research[J]. Strategic Organization, 2018, 16(4): 482-495.</w:t>
      </w:r>
    </w:p>
    <w:p>
      <w:pPr>
        <w:spacing w:after="60"/>
        <w:ind w:left="420" w:hanging="420"/>
        <w:jc w:val="left"/>
      </w:pPr>
      <w:r>
        <w:rPr>
          <w:rFonts w:ascii="Times New Roman" w:hAnsi="Times New Roman" w:eastAsia="宋体"/>
          <w:b w:val="0"/>
          <w:sz w:val="21"/>
        </w:rPr>
        <w:t>[139] 杜运周, 贾良定. 组态视角与定性比较分析（QCA）：管理学研究的一条新道路[J]. 管理世界, 2017(6): 155-167.</w:t>
      </w:r>
    </w:p>
    <w:p>
      <w:pPr>
        <w:spacing w:after="60"/>
        <w:ind w:left="420" w:hanging="420"/>
        <w:jc w:val="left"/>
      </w:pPr>
      <w:r>
        <w:rPr>
          <w:rFonts w:ascii="Times New Roman" w:hAnsi="Times New Roman" w:eastAsia="宋体"/>
          <w:b w:val="0"/>
          <w:sz w:val="21"/>
        </w:rPr>
        <w:t>[140] 张明, 杜运周. 组织与管理研究中QCA方法的应用：定位、策略和方向[J]. 管理学报, 2019, 16(9): 1312-1323.</w:t>
      </w:r>
    </w:p>
    <w:p>
      <w:pPr>
        <w:spacing w:after="60"/>
        <w:ind w:left="420" w:hanging="420"/>
        <w:jc w:val="left"/>
      </w:pPr>
      <w:r>
        <w:rPr>
          <w:rFonts w:ascii="Times New Roman" w:hAnsi="Times New Roman" w:eastAsia="宋体"/>
          <w:b w:val="0"/>
          <w:sz w:val="21"/>
        </w:rPr>
        <w:t>[141] 杜运周, 李佳馨, 刘秋辰, 等. 复杂动态视角下的组态理论与QCA方法：研究进展与未来方向[J]. 管理世界, 2021, 37(3): 180-197.</w:t>
      </w:r>
    </w:p>
    <w:p>
      <w:pPr>
        <w:spacing w:after="60"/>
        <w:ind w:left="420" w:hanging="420"/>
        <w:jc w:val="left"/>
      </w:pPr>
      <w:r>
        <w:rPr>
          <w:rFonts w:ascii="Times New Roman" w:hAnsi="Times New Roman" w:eastAsia="宋体"/>
          <w:b w:val="0"/>
          <w:sz w:val="21"/>
        </w:rPr>
        <w:t>[142] 张明, 陈伟宏, 蓝海林. 中国企业“凭什么”完全并购境外高技术企业——基于94个案例的模糊集定性比较分析(fsQCA)[J]. 中国工业经济, 2019(4): 117-135.</w:t>
      </w:r>
    </w:p>
    <w:p>
      <w:pPr>
        <w:spacing w:after="60"/>
        <w:ind w:left="420" w:hanging="420"/>
        <w:jc w:val="left"/>
      </w:pPr>
      <w:r>
        <w:rPr>
          <w:rFonts w:ascii="Times New Roman" w:hAnsi="Times New Roman" w:eastAsia="宋体"/>
          <w:b w:val="0"/>
          <w:sz w:val="21"/>
        </w:rPr>
        <w:t>[143] 张明, 蓝海林, 陈伟宏, 等. 殊途同归不同效：战略变革前因组态及其绩效研究[J]. 管理世界, 2020, 36(9): 168-186.</w:t>
      </w:r>
    </w:p>
    <w:p>
      <w:pPr>
        <w:spacing w:after="60"/>
        <w:ind w:left="420" w:hanging="420"/>
        <w:jc w:val="left"/>
      </w:pPr>
      <w:r>
        <w:rPr>
          <w:rFonts w:ascii="Times New Roman" w:hAnsi="Times New Roman" w:eastAsia="宋体"/>
          <w:b w:val="0"/>
          <w:sz w:val="21"/>
        </w:rPr>
        <w:t>[144] 陶克涛, 张术丹, 赵云辉. 什么决定了政府公共卫生治理绩效?——基于QCA方法的联动效应研究[J]. 管理世界, 2021, 37(5): 128-138.</w:t>
      </w:r>
    </w:p>
    <w:p>
      <w:pPr>
        <w:spacing w:after="60"/>
        <w:ind w:left="420" w:hanging="420"/>
        <w:jc w:val="left"/>
      </w:pPr>
      <w:r>
        <w:rPr>
          <w:rFonts w:ascii="Times New Roman" w:hAnsi="Times New Roman" w:eastAsia="宋体"/>
          <w:b w:val="0"/>
          <w:sz w:val="21"/>
        </w:rPr>
        <w:t>[145] 程建青, 罗瑾琏, 杜运周, 等. 制度环境与心理认知何时激活创业?——一个基于QCA方法的研究[J]. 科学学与科学技术管理, 2019, 40(2): 114-131.</w:t>
      </w:r>
    </w:p>
    <w:p>
      <w:pPr>
        <w:spacing w:after="60"/>
        <w:ind w:left="420" w:hanging="420"/>
        <w:jc w:val="left"/>
      </w:pPr>
      <w:r>
        <w:rPr>
          <w:rFonts w:ascii="Times New Roman" w:hAnsi="Times New Roman" w:eastAsia="宋体"/>
          <w:b w:val="0"/>
          <w:sz w:val="21"/>
        </w:rPr>
        <w:t>[146] 谭海波, 范梓腾, 杜运周. 技术管理能力、注意力分配与地方政府网站建设——一项基于TOE框架的组态分析[J]. 管理世界, 2019, 35(9): 81-94.</w:t>
      </w:r>
    </w:p>
    <w:p>
      <w:pPr>
        <w:spacing w:after="60"/>
        <w:ind w:left="420" w:hanging="420"/>
        <w:jc w:val="left"/>
      </w:pPr>
      <w:r>
        <w:rPr>
          <w:rFonts w:ascii="Times New Roman" w:hAnsi="Times New Roman" w:eastAsia="宋体"/>
          <w:b w:val="0"/>
          <w:sz w:val="21"/>
        </w:rPr>
        <w:t>[147] 杜运周, 刘秋辰, 程建青. 什么样的营商环境生态产生城市高创业活跃度？——基于制度组态的分析[J]. 管理世界, 2020, 36(9): 141-154.</w:t>
      </w:r>
    </w:p>
    <w:p>
      <w:pPr>
        <w:spacing w:after="60"/>
        <w:ind w:left="420" w:hanging="420"/>
        <w:jc w:val="left"/>
      </w:pPr>
      <w:r>
        <w:rPr>
          <w:rFonts w:ascii="Times New Roman" w:hAnsi="Times New Roman" w:eastAsia="宋体"/>
          <w:b w:val="0"/>
          <w:sz w:val="21"/>
        </w:rPr>
        <w:t>[148] 杜运周, 刘秋辰, 陈凯薇, 等. 营商环境生态、全要素生产率与城市高质量发展的多元模式——基于复杂系统观的组态分析[J]. 管理世界, 2022, 38(9): 127-145.</w:t>
      </w:r>
    </w:p>
    <w:p>
      <w:pPr>
        <w:spacing w:after="60"/>
        <w:ind w:left="420" w:hanging="420"/>
        <w:jc w:val="left"/>
      </w:pPr>
      <w:r>
        <w:rPr>
          <w:rFonts w:ascii="Times New Roman" w:hAnsi="Times New Roman" w:eastAsia="宋体"/>
          <w:b w:val="0"/>
          <w:sz w:val="21"/>
        </w:rPr>
        <w:t>[149] 陈劲, 王福世, 李秉远. 中国人工智能人才高地建设的路径探析——基于模糊集定性比较分析[J]. 商业经济与管理, 2026(2): 34-47.</w:t>
      </w:r>
    </w:p>
    <w:p>
      <w:pPr>
        <w:spacing w:after="60"/>
        <w:ind w:left="420" w:hanging="420"/>
        <w:jc w:val="left"/>
      </w:pPr>
      <w:r>
        <w:rPr>
          <w:rFonts w:ascii="Times New Roman" w:hAnsi="Times New Roman" w:eastAsia="宋体"/>
          <w:b w:val="0"/>
          <w:sz w:val="21"/>
        </w:rPr>
        <w:t>[150] 王福世, 陈劲, 贺敬文, 等. 中国人才高地建设的多元路径研究——基于fsQCA的组态分析[J]. 经济与管理研究, 2026, 47(6).</w:t>
      </w:r>
    </w:p>
    <w:p>
      <w:pPr>
        <w:spacing w:after="60"/>
        <w:ind w:left="420" w:hanging="420"/>
        <w:jc w:val="left"/>
      </w:pPr>
      <w:r>
        <w:rPr>
          <w:rFonts w:ascii="Times New Roman" w:hAnsi="Times New Roman" w:eastAsia="宋体"/>
          <w:b w:val="0"/>
          <w:sz w:val="21"/>
        </w:rPr>
        <w:t>[151] SOLOW R M. A contribution to the theory of economic growth[J]. Quarterly Journal of Economics, 1956, 70(1): 65-94.</w:t>
      </w:r>
    </w:p>
    <w:p>
      <w:pPr>
        <w:spacing w:after="60"/>
        <w:ind w:left="420" w:hanging="420"/>
        <w:jc w:val="left"/>
      </w:pPr>
      <w:r>
        <w:rPr>
          <w:rFonts w:ascii="Times New Roman" w:hAnsi="Times New Roman" w:eastAsia="宋体"/>
          <w:b w:val="0"/>
          <w:sz w:val="21"/>
        </w:rPr>
        <w:t>[152] ROMER P M. Endogenous technological change[J]. Journal of Political Economy, 1990, 98(5): S71-S102.</w:t>
      </w:r>
    </w:p>
    <w:p>
      <w:pPr>
        <w:spacing w:after="60"/>
        <w:ind w:left="420" w:hanging="420"/>
        <w:jc w:val="left"/>
      </w:pPr>
      <w:r>
        <w:rPr>
          <w:rFonts w:ascii="Times New Roman" w:hAnsi="Times New Roman" w:eastAsia="宋体"/>
          <w:b w:val="0"/>
          <w:sz w:val="21"/>
        </w:rPr>
        <w:t>[153] LUCAS R E. On the mechanics of economic development[J]. Journal of Monetary Economics, 1988, 22(1): 3-42.</w:t>
      </w:r>
    </w:p>
    <w:p>
      <w:pPr>
        <w:spacing w:after="60"/>
        <w:ind w:left="420" w:hanging="420"/>
        <w:jc w:val="left"/>
      </w:pPr>
      <w:r>
        <w:rPr>
          <w:rFonts w:ascii="Times New Roman" w:hAnsi="Times New Roman" w:eastAsia="宋体"/>
          <w:b w:val="0"/>
          <w:sz w:val="21"/>
        </w:rPr>
        <w:t>[154] AGHION P, HOWITT P. A model of growth through creative destruction[J]. Econometrica, 1992, 60(2): 323-351.</w:t>
      </w:r>
    </w:p>
    <w:p>
      <w:pPr>
        <w:spacing w:after="60"/>
        <w:ind w:left="420" w:hanging="420"/>
        <w:jc w:val="left"/>
      </w:pPr>
      <w:r>
        <w:rPr>
          <w:rFonts w:ascii="Times New Roman" w:hAnsi="Times New Roman" w:eastAsia="宋体"/>
          <w:b w:val="0"/>
          <w:sz w:val="21"/>
        </w:rPr>
        <w:t>[155] PAPPAS I O, WOODSIDE A G. Fuzzy-set Qualitative Comparative Analysis (fsQCA): Guidelines for research practice in Information Systems and marketing[J]. International Journal of Information Management, 2021, 58: 102310.</w:t>
      </w:r>
    </w:p>
    <w:p>
      <w:pPr>
        <w:spacing w:after="60"/>
        <w:ind w:left="420" w:hanging="420"/>
        <w:jc w:val="left"/>
      </w:pPr>
      <w:r>
        <w:rPr>
          <w:rFonts w:ascii="Times New Roman" w:hAnsi="Times New Roman" w:eastAsia="宋体"/>
          <w:b w:val="0"/>
          <w:sz w:val="21"/>
        </w:rPr>
        <w:t>[156] 国家统计局, 科学技术部, 财政部. 全国科技经费投入统计公报(2015—2024年历年)[R]. 北京: 国家统计局, 2016—2025.</w:t>
      </w:r>
    </w:p>
    <w:p>
      <w:pPr>
        <w:spacing w:after="60"/>
        <w:ind w:left="420" w:hanging="420"/>
        <w:jc w:val="left"/>
      </w:pPr>
      <w:r>
        <w:rPr>
          <w:rFonts w:ascii="Times New Roman" w:hAnsi="Times New Roman" w:eastAsia="宋体"/>
          <w:b w:val="0"/>
          <w:sz w:val="21"/>
        </w:rPr>
        <w:t>[157] 国家统计局. 第七次全国人口普查公报(第六号): 人口受教育情况[R]. 北京: 国家统计局, 2021.</w:t>
      </w:r>
    </w:p>
    <w:p>
      <w:pPr>
        <w:spacing w:after="60"/>
        <w:ind w:left="420" w:hanging="420"/>
        <w:jc w:val="left"/>
      </w:pPr>
      <w:r>
        <w:rPr>
          <w:rFonts w:ascii="Times New Roman" w:hAnsi="Times New Roman" w:eastAsia="宋体"/>
          <w:b w:val="0"/>
          <w:sz w:val="21"/>
        </w:rPr>
        <w:t>[158] 北京大学数字金融研究中心课题组. 北京大学数字普惠金融指数(2011—2023年)[R]. 北京: 北京大学数字金融研究中心, 2024.</w:t>
      </w:r>
    </w:p>
    <w:p>
      <w:pPr>
        <w:spacing w:after="60"/>
        <w:ind w:left="420" w:hanging="420"/>
        <w:jc w:val="left"/>
      </w:pPr>
      <w:r>
        <w:rPr>
          <w:rFonts w:ascii="Times New Roman" w:hAnsi="Times New Roman" w:eastAsia="宋体"/>
          <w:b w:val="0"/>
          <w:sz w:val="21"/>
        </w:rPr>
        <w:t>[159] 刘伟, 张辉. 中国经济增长中的产业结构变迁和技术进步[J]. 经济研究, 2008(11): 4-15.</w:t>
      </w:r>
    </w:p>
    <w:p>
      <w:pPr>
        <w:spacing w:line="360" w:lineRule="auto" w:after="160"/>
        <w:jc w:val="center"/>
      </w:pPr>
      <w:r>
        <w:rPr>
          <w:rFonts w:ascii="Times New Roman" w:hAnsi="Times New Roman" w:eastAsia="黑体"/>
          <w:b/>
          <w:sz w:val="32"/>
        </w:rPr>
        <w:t>附录　数据来源与口径说明</w:t>
      </w:r>
    </w:p>
    <w:p>
      <w:pPr>
        <w:spacing w:line="360" w:lineRule="auto" w:after="0"/>
        <w:ind w:firstLine="480"/>
        <w:jc w:val="both"/>
      </w:pPr>
      <w:r>
        <w:rPr>
          <w:rFonts w:ascii="Times New Roman" w:hAnsi="Times New Roman" w:eastAsia="宋体"/>
          <w:b w:val="0"/>
          <w:sz w:val="24"/>
        </w:rPr>
        <w:t xml:space="preserve">1. </w:t>
      </w:r>
      <w:r>
        <w:rPr>
          <w:rFonts w:ascii="Times New Roman" w:hAnsi="Times New Roman" w:eastAsia="宋体"/>
          <w:b/>
          <w:sz w:val="24"/>
        </w:rPr>
        <w:t>浙江省时间序列数据（2015—2024年）</w:t>
      </w:r>
      <w:r>
        <w:rPr>
          <w:rFonts w:ascii="Times New Roman" w:hAnsi="Times New Roman" w:eastAsia="宋体"/>
          <w:b w:val="0"/>
          <w:sz w:val="24"/>
        </w:rPr>
        <w:t>：地区生产总值、人均地区生产总值、居民收入与消费、城镇化率、全员劳动生产率、高新技术企业数、数字经济核心产业增加值等均取自历年《浙江省国民经济和社会发展统计公报》（浙江省统计局、国家统计局浙江调查总队发布）；R&amp;D经费投入强度2015—2019年为省统计公报公布数，2020—2024年为《全国科技经费投入统计公报》口径。2025年数据取自《2025年浙江省国民经济和社会发展统计公报》及浙江省统计局年度经济运行发布。</w:t>
      </w:r>
    </w:p>
    <w:p>
      <w:pPr>
        <w:spacing w:line="360" w:lineRule="auto" w:after="0"/>
        <w:ind w:firstLine="480"/>
        <w:jc w:val="both"/>
      </w:pPr>
      <w:r>
        <w:rPr>
          <w:rFonts w:ascii="Times New Roman" w:hAnsi="Times New Roman" w:eastAsia="宋体"/>
          <w:b w:val="0"/>
          <w:sz w:val="24"/>
        </w:rPr>
        <w:t xml:space="preserve">2. </w:t>
      </w:r>
      <w:r>
        <w:rPr>
          <w:rFonts w:ascii="Times New Roman" w:hAnsi="Times New Roman" w:eastAsia="宋体"/>
          <w:b/>
          <w:sz w:val="24"/>
        </w:rPr>
        <w:t>口径注记</w:t>
      </w:r>
      <w:r>
        <w:rPr>
          <w:rFonts w:ascii="Times New Roman" w:hAnsi="Times New Roman" w:eastAsia="宋体"/>
          <w:b w:val="0"/>
          <w:sz w:val="24"/>
        </w:rPr>
        <w:t>：①数字经济核心产业增加值2015—2017年为“信息经济核心产业”口径，官方统计序列可衔接；②常住人口城镇化率、人均地区生产总值自2020年起为第七次全国人口普查修订口径；③全员劳动生产率2019—2021年为公报“预计”数；④高新技术产业占规模以上工业比重因2018年、2023年两次执行新的统计分类目录存在口径断点，故未纳入指数测度，仅在正文作趋势性描述；⑤2018年浙江R&amp;D经费绝对额系按当年公报公布比重（2.52%）与GDP推算。</w:t>
      </w:r>
    </w:p>
    <w:p>
      <w:pPr>
        <w:spacing w:line="360" w:lineRule="auto" w:after="0"/>
        <w:ind w:firstLine="480"/>
        <w:jc w:val="both"/>
      </w:pPr>
      <w:r>
        <w:rPr>
          <w:rFonts w:ascii="Times New Roman" w:hAnsi="Times New Roman" w:eastAsia="宋体"/>
          <w:b w:val="0"/>
          <w:sz w:val="24"/>
        </w:rPr>
        <w:t xml:space="preserve">3. </w:t>
      </w:r>
      <w:r>
        <w:rPr>
          <w:rFonts w:ascii="Times New Roman" w:hAnsi="Times New Roman" w:eastAsia="宋体"/>
          <w:b/>
          <w:sz w:val="24"/>
        </w:rPr>
        <w:t>31个省份截面数据</w:t>
      </w:r>
      <w:r>
        <w:rPr>
          <w:rFonts w:ascii="Times New Roman" w:hAnsi="Times New Roman" w:eastAsia="宋体"/>
          <w:b w:val="0"/>
          <w:sz w:val="24"/>
        </w:rPr>
        <w:t>：居民人均可支配收入、城乡收入倍差（2024年）取自国家统计局分省年度数据及各省统计公报；R&amp;D经费投入强度取自《2023年全国科技经费投入统计公报》及各省科技经费投入统计公报（福建、西藏为官方经费与官方GDP之比的推算值，广西、甘肃、青海、黑龙江为2022年值）；数字普惠金融指数取自北京大学数字金融研究中心《北京大学数字普惠金融指数（2011—2023年）》省级指数（2023年值）；人力资本水平取自第七次全国人口普查公报；民营企业500强入围数取自全国工商联2025年发布榜单；城镇化率取自各省2024年统计公报。</w:t>
      </w:r>
    </w:p>
    <w:p>
      <w:pPr>
        <w:spacing w:line="360" w:lineRule="auto" w:after="0"/>
        <w:ind w:firstLine="480"/>
        <w:jc w:val="both"/>
      </w:pPr>
      <w:r>
        <w:rPr>
          <w:rFonts w:ascii="Times New Roman" w:hAnsi="Times New Roman" w:eastAsia="宋体"/>
          <w:b w:val="0"/>
          <w:sz w:val="24"/>
        </w:rPr>
        <w:t xml:space="preserve">4. </w:t>
      </w:r>
      <w:r>
        <w:rPr>
          <w:rFonts w:ascii="Times New Roman" w:hAnsi="Times New Roman" w:eastAsia="宋体"/>
          <w:b/>
          <w:sz w:val="24"/>
        </w:rPr>
        <w:t>测度方法程序</w:t>
      </w:r>
      <w:r>
        <w:rPr>
          <w:rFonts w:ascii="Times New Roman" w:hAnsi="Times New Roman" w:eastAsia="宋体"/>
          <w:b w:val="0"/>
          <w:sz w:val="24"/>
        </w:rPr>
        <w:t>：熵值法、耦合协调度模型与fsQCA（含校准、必要性分析、真值表构建与Quine-McCluskey布尔最小化）均由课题组以Python编程实现并交叉验证，计算过程与结果表格一一对应。</w:t>
      </w:r>
    </w:p>
    <w:p>
      <w:pPr>
        <w:spacing w:line="360" w:lineRule="auto" w:after="0"/>
        <w:ind w:firstLine="480"/>
        <w:jc w:val="both"/>
      </w:pPr>
      <w:r>
        <w:rPr>
          <w:rFonts w:ascii="Times New Roman" w:hAnsi="Times New Roman" w:eastAsia="宋体"/>
          <w:b w:val="0"/>
          <w:sz w:val="24"/>
        </w:rPr>
        <w:t xml:space="preserve">5. </w:t>
      </w:r>
      <w:r>
        <w:rPr>
          <w:rFonts w:ascii="Times New Roman" w:hAnsi="Times New Roman" w:eastAsia="宋体"/>
          <w:b/>
          <w:sz w:val="24"/>
        </w:rPr>
        <w:t>典型案例素材</w:t>
      </w:r>
      <w:r>
        <w:rPr>
          <w:rFonts w:ascii="Times New Roman" w:hAnsi="Times New Roman" w:eastAsia="宋体"/>
          <w:b w:val="0"/>
          <w:sz w:val="24"/>
        </w:rPr>
        <w:t>：均来自政府官方网站、新华社、人民日报、浙江日报等权威公开报道，关键事实经多来源交叉核验。</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