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300"/>
        <w:jc w:val="center"/>
      </w:pPr>
      <w:r>
        <w:rPr>
          <w:rFonts w:ascii="Times New Roman" w:hAnsi="Times New Roman" w:eastAsia="黑体"/>
          <w:b/>
          <w:i w:val="0"/>
          <w:sz w:val="34"/>
        </w:rPr>
        <w:t>高校毕业生职业决策状况调查问卷</w:t>
      </w:r>
    </w:p>
    <w:p>
      <w:pPr>
        <w:spacing w:before="0" w:after="240" w:lineRule="auto" w:line="30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A Survey of Career Decision Making among Chinese University Graduating Students</w:t>
      </w:r>
    </w:p>
    <w:p>
      <w:pPr>
        <w:spacing w:before="40" w:after="120"/>
        <w:pBdr>
          <w:bottom w:val="single" w:sz="6" w:color="808080"/>
        </w:pBdr>
      </w:pPr>
    </w:p>
    <w:p>
      <w:pPr>
        <w:spacing w:before="0" w:after="80" w:lineRule="auto" w:line="300"/>
      </w:pPr>
      <w:r>
        <w:rPr>
          <w:rFonts w:ascii="Times New Roman" w:hAnsi="Times New Roman" w:eastAsia="黑体"/>
          <w:b/>
          <w:i w:val="0"/>
          <w:sz w:val="22"/>
        </w:rPr>
        <w:t>亲爱的同学：</w:t>
      </w:r>
    </w:p>
    <w:p>
      <w:pPr>
        <w:spacing w:before="0" w:after="60" w:lineRule="auto" w:line="3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您好！这是一项关于高校毕业生职业决策的学术研究。我们希望了解，在临近毕业、需要为自己的职业方向做出选择的时候，同学们的心理状态、探索行为，以及来自家庭的影响之间是怎样的关系。您的回答将帮助学校和就业指导工作更好地理解毕业生的真实处境。</w:t>
      </w:r>
    </w:p>
    <w:p>
      <w:pPr>
        <w:spacing w:before="0" w:after="60" w:lineRule="auto" w:line="3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本问卷不记名，全部题目没有对错之分，也没有“标准答案”，请按照您的真实感受作答即可。全部作答约需 12 分钟。</w:t>
      </w:r>
    </w:p>
    <w:p>
      <w:pPr>
        <w:spacing w:before="0" w:after="60" w:lineRule="auto" w:line="3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根据研究伦理要求，我们向您说明以下几点：</w:t>
      </w:r>
    </w:p>
    <w:p>
      <w:pPr>
        <w:spacing w:before="0" w:after="40" w:lineRule="auto" w:line="300"/>
        <w:ind w:left="420"/>
      </w:pPr>
      <w:r>
        <w:rPr>
          <w:rFonts w:ascii="Times New Roman" w:hAnsi="Times New Roman" w:eastAsia="宋体"/>
          <w:b w:val="0"/>
          <w:i w:val="0"/>
          <w:sz w:val="21"/>
        </w:rPr>
        <w:t>（1）参与完全自愿。您可以在任何时候退出，无需说明理由，不会有任何影响。</w:t>
      </w:r>
    </w:p>
    <w:p>
      <w:pPr>
        <w:spacing w:before="0" w:after="40" w:lineRule="auto" w:line="300"/>
        <w:ind w:left="420"/>
      </w:pPr>
      <w:r>
        <w:rPr>
          <w:rFonts w:ascii="Times New Roman" w:hAnsi="Times New Roman" w:eastAsia="宋体"/>
          <w:b w:val="0"/>
          <w:i w:val="0"/>
          <w:sz w:val="21"/>
        </w:rPr>
        <w:t>（2）问卷不收集姓名、学号、手机号、身份证号等可识别个人身份的信息。</w:t>
      </w:r>
    </w:p>
    <w:p>
      <w:pPr>
        <w:spacing w:before="0" w:after="40" w:lineRule="auto" w:line="300"/>
        <w:ind w:left="420"/>
      </w:pPr>
      <w:r>
        <w:rPr>
          <w:rFonts w:ascii="Times New Roman" w:hAnsi="Times New Roman" w:eastAsia="宋体"/>
          <w:b w:val="0"/>
          <w:i w:val="0"/>
          <w:sz w:val="21"/>
        </w:rPr>
        <w:t>（3）数据仅用于学术研究，以汇总统计的形式呈现，不会出现任何个人的作答。</w:t>
      </w:r>
    </w:p>
    <w:p>
      <w:pPr>
        <w:spacing w:before="0" w:after="40" w:lineRule="auto" w:line="300"/>
        <w:ind w:left="420"/>
      </w:pPr>
      <w:r>
        <w:rPr>
          <w:rFonts w:ascii="Times New Roman" w:hAnsi="Times New Roman" w:eastAsia="宋体"/>
          <w:b w:val="0"/>
          <w:i w:val="0"/>
          <w:sz w:val="21"/>
        </w:rPr>
        <w:t>（4）原始数据由研究者加密保存，保存期满后销毁。</w:t>
      </w:r>
    </w:p>
    <w:p>
      <w:pPr>
        <w:spacing w:before="0" w:after="40" w:lineRule="auto" w:line="300"/>
        <w:ind w:left="420"/>
      </w:pPr>
      <w:r>
        <w:rPr>
          <w:rFonts w:ascii="Times New Roman" w:hAnsi="Times New Roman" w:eastAsia="宋体"/>
          <w:b w:val="0"/>
          <w:i w:val="0"/>
          <w:sz w:val="21"/>
        </w:rPr>
        <w:t>（5）本研究已通过嘉兴学院相关伦理审查程序。</w:t>
      </w:r>
    </w:p>
    <w:p>
      <w:pPr>
        <w:spacing w:before="0" w:after="120" w:lineRule="auto" w:line="3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如对本研究有任何疑问，欢迎联系：嘉兴学院商学院  （邮箱：00008227@zjxu.edu.cn）。</w:t>
      </w:r>
    </w:p>
    <w:p>
      <w:pPr>
        <w:spacing w:before="0" w:after="40" w:lineRule="auto" w:line="300"/>
        <w:jc w:val="right"/>
      </w:pPr>
      <w:r>
        <w:rPr>
          <w:rFonts w:ascii="Times New Roman" w:hAnsi="Times New Roman" w:eastAsia="黑体"/>
          <w:b/>
          <w:i w:val="0"/>
          <w:sz w:val="21"/>
        </w:rPr>
        <w:t>衷心感谢您的参与！</w:t>
      </w:r>
    </w:p>
    <w:p>
      <w:pPr>
        <w:spacing w:before="0" w:after="160" w:lineRule="auto" w:line="300"/>
        <w:jc w:val="right"/>
      </w:pPr>
      <w:r>
        <w:rPr>
          <w:rFonts w:ascii="Times New Roman" w:hAnsi="Times New Roman" w:eastAsia="宋体"/>
          <w:b w:val="0"/>
          <w:i w:val="0"/>
          <w:sz w:val="21"/>
        </w:rPr>
        <w:t>课题组  敬上</w:t>
      </w:r>
    </w:p>
    <w:p>
      <w:pPr>
        <w:spacing w:before="40" w:after="120"/>
        <w:pBdr>
          <w:bottom w:val="single" w:sz="6" w:color="80808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blGrid>
        <w:gridCol w:w="5443"/>
        <w:gridCol w:w="3969"/>
      </w:tblGrid>
      <w:tr>
        <w:tc>
          <w:tcPr>
            <w:tcW w:type="dxa" w:w="5443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□ 我已阅读并理解上述说明，自愿参与本次调查。</w:t>
            </w:r>
          </w:p>
        </w:tc>
        <w:tc>
          <w:tcPr>
            <w:tcW w:type="dxa" w:w="396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□ 我不愿参与（选择此项将结束作答）</w:t>
            </w:r>
          </w:p>
        </w:tc>
      </w:tr>
    </w:tbl>
    <w:p>
      <w:pPr>
        <w:sectPr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spacing w:before="0" w:after="60" w:lineRule="auto" w:line="300"/>
      </w:pPr>
      <w:r>
        <w:rPr>
          <w:rFonts w:ascii="Times New Roman" w:hAnsi="Times New Roman" w:eastAsia="黑体"/>
          <w:b/>
          <w:i w:val="0"/>
          <w:sz w:val="26"/>
        </w:rPr>
        <w:t>第一部分  基本情况</w:t>
      </w:r>
    </w:p>
    <w:p>
      <w:pPr>
        <w:spacing w:before="0" w:after="12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请在符合您情况的选项前打勾。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/>
          <w:i w:val="0"/>
          <w:sz w:val="21"/>
        </w:rPr>
        <w:t>1. 性别：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  □ 男    □ 女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/>
          <w:i w:val="0"/>
          <w:sz w:val="21"/>
        </w:rPr>
        <w:t>2. 年级：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  □ 本科三年级    □ 本科四年级    □ 硕士二年级    □ 硕士三年级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/>
          <w:i w:val="0"/>
          <w:sz w:val="21"/>
        </w:rPr>
        <w:t>3. 学科门类：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  □ 人文社科    □ 理学与工学    □ 经济与管理    □ 医学    □ 艺术及其他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/>
          <w:i w:val="0"/>
          <w:sz w:val="21"/>
        </w:rPr>
        <w:t>4. 就读院校层次：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  □ “双一流”建设高校    □ 普通本科院校    □ 高职高专院校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/>
          <w:i w:val="0"/>
          <w:sz w:val="21"/>
        </w:rPr>
        <w:t>5. 是否独生子女：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  □ 是    □ 否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/>
          <w:i w:val="0"/>
          <w:sz w:val="21"/>
        </w:rPr>
        <w:t>6. 生源地：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  □ 城市    □ 县城或城镇    □ 农村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/>
          <w:i w:val="0"/>
          <w:sz w:val="21"/>
        </w:rPr>
        <w:t>7. 父母双方的最高学历：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  □ 初中及以下    □ 高中或中专    □ 大专    □ 本科    □ 硕士及以上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/>
          <w:i w:val="0"/>
          <w:sz w:val="21"/>
        </w:rPr>
        <w:t>8. 家庭月收入（元）：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  □ 5000 以下    □ 5000–9999    □ 10000–19999    □ 20000–29999    □ 30000 及以上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/>
          <w:i w:val="0"/>
          <w:sz w:val="21"/>
        </w:rPr>
        <w:t>9. 实习经历：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  □ 没有    □ 有，累计不足 3 个月    □ 有，累计 3 个月及以上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/>
          <w:i w:val="0"/>
          <w:sz w:val="21"/>
        </w:rPr>
        <w:t>10. 目前的求职状态：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  □ 尚未开始    □ 正在投递    □ 已参加面试    □ 已获得录用意向    □ 已签约或已确定升学</w:t>
      </w:r>
    </w:p>
    <w:p>
      <w:pPr>
        <w:spacing w:before="280" w:after="60" w:lineRule="auto" w:line="300"/>
      </w:pPr>
      <w:r>
        <w:rPr>
          <w:rFonts w:ascii="Times New Roman" w:hAnsi="Times New Roman" w:eastAsia="黑体"/>
          <w:b/>
          <w:i w:val="0"/>
          <w:sz w:val="26"/>
        </w:rPr>
        <w:t>第二部分  正式题项</w:t>
      </w:r>
    </w:p>
    <w:p>
      <w:pPr>
        <w:spacing w:before="0" w:after="12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以下题目请根据每部分开头说明的等级作答，在相应数字下的圆圈中选择。</w:t>
      </w:r>
    </w:p>
    <w:p>
      <w:pPr>
        <w:spacing w:before="200" w:after="40" w:lineRule="auto" w:line="300"/>
      </w:pPr>
      <w:r>
        <w:rPr>
          <w:rFonts w:ascii="Times New Roman" w:hAnsi="Times New Roman" w:eastAsia="黑体"/>
          <w:b/>
          <w:i w:val="0"/>
          <w:sz w:val="24"/>
        </w:rPr>
        <w:t>一、职业决策焦虑</w:t>
      </w:r>
    </w:p>
    <w:p>
      <w:pPr>
        <w:spacing w:before="0" w:after="4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下面是一些同学在面对职业选择时可能有的感受。请判断每句话与您近来的情况有多符合。</w:t>
      </w:r>
    </w:p>
    <w:p>
      <w:pPr>
        <w:spacing w:before="0" w:after="8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1 = 完全不符合   2 = 比较不符合   3 = 一般   4 = 比较符合   5 = 完全符合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blGrid>
        <w:gridCol w:w="6010"/>
        <w:gridCol w:w="680"/>
        <w:gridCol w:w="680"/>
        <w:gridCol w:w="680"/>
        <w:gridCol w:w="680"/>
        <w:gridCol w:w="680"/>
      </w:tblGrid>
      <w:tr>
        <w:tc>
          <w:tcPr>
            <w:tcW w:type="dxa" w:w="6009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题项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1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2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3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4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5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CA1. 一想到毕业后要确定职业方向，我就感到紧张。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CA2. 我担心自己最终会选错职业道路。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CA3. 和同学谈起求职话题时，我会感到不安。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CA4. 想到未来要从事的工作，我心里常常没底。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CA5. 我害怕自己的能力配不上想去的岗位。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CA6. 需要为职业做决定的时候，我会想要回避。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CA7. 在职业选择这件事上，我总体上是从容的。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CA8. 临近毕业，我会因为职业问题而睡不好觉。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</w:tbl>
    <w:p>
      <w:pPr>
        <w:spacing w:before="0" w:after="40" w:lineRule="auto" w:line="300"/>
      </w:pPr>
      <w:r>
        <w:rPr>
          <w:rFonts w:ascii="Times New Roman" w:hAnsi="Times New Roman" w:eastAsia="宋体"/>
          <w:b w:val="0"/>
          <w:i w:val="0"/>
          <w:color w:val="666666"/>
          <w:sz w:val="18"/>
        </w:rPr>
        <w:t>注：第 CA7 题为反向计分题。</w:t>
      </w:r>
    </w:p>
    <w:p>
      <w:pPr>
        <w:spacing w:before="200" w:after="40" w:lineRule="auto" w:line="300"/>
      </w:pPr>
      <w:r>
        <w:rPr>
          <w:rFonts w:ascii="Times New Roman" w:hAnsi="Times New Roman" w:eastAsia="黑体"/>
          <w:b/>
          <w:i w:val="0"/>
          <w:sz w:val="24"/>
        </w:rPr>
        <w:t>二、职业探索行为</w:t>
      </w:r>
    </w:p>
    <w:p>
      <w:pPr>
        <w:spacing w:before="0" w:after="4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请回想过去三个月，您做下面这些事情的频繁程度。</w:t>
      </w:r>
    </w:p>
    <w:p>
      <w:pPr>
        <w:spacing w:before="0" w:after="8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1 = 从不   2 = 很少   3 = 有时   4 = 经常   5 = 总是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blGrid>
        <w:gridCol w:w="6010"/>
        <w:gridCol w:w="680"/>
        <w:gridCol w:w="680"/>
        <w:gridCol w:w="680"/>
        <w:gridCol w:w="680"/>
        <w:gridCol w:w="680"/>
      </w:tblGrid>
      <w:tr>
        <w:tc>
          <w:tcPr>
            <w:tcW w:type="dxa" w:w="6009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题项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1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2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3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4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5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CE1. 认真想过自己在工作中真正看重什么。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CE2. 反思过自己的性格适合哪一类职业。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CE3. 评估过自己在求职上的优势和短板。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CE4. 梳理过以往经历中让我最有成就感的部分。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CE5. 查阅过目标行业的招聘信息或行业报告。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CE6. 向已就业的学长学姐或从业者了解过工作内容。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CE7. 参加过宣讲会、招聘会或职业讲座。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CE8. 通过实习或兼职了解过某一职业的实际情况。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</w:tbl>
    <w:p>
      <w:pPr>
        <w:spacing w:before="0" w:after="40" w:lineRule="auto" w:line="3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blGrid>
        <w:gridCol w:w="6010"/>
        <w:gridCol w:w="680"/>
        <w:gridCol w:w="680"/>
        <w:gridCol w:w="680"/>
        <w:gridCol w:w="680"/>
        <w:gridCol w:w="680"/>
      </w:tblGrid>
      <w:tr>
        <w:tc>
          <w:tcPr>
            <w:tcW w:type="dxa" w:w="6009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题项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1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2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3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4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5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AC1. 本题用于检查作答质量，请直接选择“比较符合”。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</w:tbl>
    <w:p>
      <w:pPr>
        <w:spacing w:before="200" w:after="40" w:lineRule="auto" w:line="300"/>
      </w:pPr>
      <w:r>
        <w:rPr>
          <w:rFonts w:ascii="Times New Roman" w:hAnsi="Times New Roman" w:eastAsia="黑体"/>
          <w:b/>
          <w:i w:val="0"/>
          <w:sz w:val="24"/>
        </w:rPr>
        <w:t>三、职业决策自我效能</w:t>
      </w:r>
    </w:p>
    <w:p>
      <w:pPr>
        <w:spacing w:before="0" w:after="4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如果现在就要做下面这些事，您对自己能做好有多大信心？</w:t>
      </w:r>
    </w:p>
    <w:p>
      <w:pPr>
        <w:spacing w:before="0" w:after="8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1 = 完全没有信心   2 = 信心不足   3 = 一般   4 = 比较有信心   5 = 非常有信心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blGrid>
        <w:gridCol w:w="6010"/>
        <w:gridCol w:w="680"/>
        <w:gridCol w:w="680"/>
        <w:gridCol w:w="680"/>
        <w:gridCol w:w="680"/>
        <w:gridCol w:w="680"/>
      </w:tblGrid>
      <w:tr>
        <w:tc>
          <w:tcPr>
            <w:tcW w:type="dxa" w:w="6009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题项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1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2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3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4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5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SE1. 判断自己的能力适合哪些职业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SE2. 说清楚自己在工作中最看重的三件事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SE3. 查到你感兴趣的职业近三年的就业与薪酬情况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SE4. 找到并联系上在你目标行业工作的人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SE5. 在几个都还不错的方向中选定一个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SE6. 即使家人不完全赞同，仍坚持自己认定的职业目标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SE7. 为实现职业目标制定未来两年的具体计划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SE8. 找出实现职业目标还需要补上的能力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SE9. 第一志愿走不通时，及时调整并另作打算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SE10. 在求职受挫之后重新振作、继续投递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</w:tbl>
    <w:p>
      <w:pPr>
        <w:spacing w:before="200" w:after="40" w:lineRule="auto" w:line="300"/>
      </w:pPr>
      <w:r>
        <w:rPr>
          <w:rFonts w:ascii="Times New Roman" w:hAnsi="Times New Roman" w:eastAsia="黑体"/>
          <w:b/>
          <w:i w:val="0"/>
          <w:sz w:val="24"/>
        </w:rPr>
        <w:t>四、父母自主支持型生涯支持</w:t>
      </w:r>
    </w:p>
    <w:p>
      <w:pPr>
        <w:spacing w:before="0" w:after="4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下面是一些关于父母在您职业问题上的做法。请判断每句话与您家里的情况有多符合。</w:t>
      </w:r>
    </w:p>
    <w:p>
      <w:pPr>
        <w:spacing w:before="0" w:after="8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1 = 完全不符合   2 = 比较不符合   3 = 一般   4 = 比较符合   5 = 完全符合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blGrid>
        <w:gridCol w:w="6010"/>
        <w:gridCol w:w="680"/>
        <w:gridCol w:w="680"/>
        <w:gridCol w:w="680"/>
        <w:gridCol w:w="680"/>
        <w:gridCol w:w="680"/>
      </w:tblGrid>
      <w:tr>
        <w:tc>
          <w:tcPr>
            <w:tcW w:type="dxa" w:w="6009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题项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1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2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3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4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5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PA1. 在职业选择上，父母会先听我怎么想。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PA2. 父母鼓励我按照自己的兴趣去尝试。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PA3. 我犹豫的时候，父母会帮我把各个选择的利弊摆出来，但把决定权留给我。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PA4. 即使不是他们的首选，父母也尊重我最终的职业决定。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PA5. 父母会帮我留意机会、提供信息，但不替我做选择。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PA6. 父母把找工作看成是我自己的事，并支持我为此负责。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</w:tbl>
    <w:p>
      <w:pPr>
        <w:spacing w:before="200" w:after="40" w:lineRule="auto" w:line="300"/>
      </w:pPr>
      <w:r>
        <w:rPr>
          <w:rFonts w:ascii="Times New Roman" w:hAnsi="Times New Roman" w:eastAsia="黑体"/>
          <w:b/>
          <w:i w:val="0"/>
          <w:sz w:val="24"/>
        </w:rPr>
        <w:t>五、父母指导代办型生涯介入</w:t>
      </w:r>
    </w:p>
    <w:p>
      <w:pPr>
        <w:spacing w:before="0" w:after="4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同样是关于父母的做法，请继续判断符合程度。</w:t>
      </w:r>
    </w:p>
    <w:p>
      <w:pPr>
        <w:spacing w:before="0" w:after="8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1 = 完全不符合   2 = 比较不符合   3 = 一般   4 = 比较符合   5 = 完全符合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blGrid>
        <w:gridCol w:w="6010"/>
        <w:gridCol w:w="680"/>
        <w:gridCol w:w="680"/>
        <w:gridCol w:w="680"/>
        <w:gridCol w:w="680"/>
        <w:gridCol w:w="680"/>
      </w:tblGrid>
      <w:tr>
        <w:tc>
          <w:tcPr>
            <w:tcW w:type="dxa" w:w="6009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题项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1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2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3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4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5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PD1. 父母已经替我定好了毕业以后该做什么。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PD2. 在职业问题上，父母的意见基本上就是最后的决定。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PD3. 父母会直接替我联系工作机会或者托人打招呼。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PD4. 如果我的想法和父母不一致，他们会反复劝说直到我让步。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PD5. 父母认为我还不够成熟，不适合自己决定职业方向。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PD6. 父母会因为我不接受他们的安排而不高兴。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</w:tbl>
    <w:p>
      <w:pPr>
        <w:spacing w:before="200" w:after="40" w:lineRule="auto" w:line="300"/>
      </w:pPr>
      <w:r>
        <w:rPr>
          <w:rFonts w:ascii="Times New Roman" w:hAnsi="Times New Roman" w:eastAsia="黑体"/>
          <w:b/>
          <w:i w:val="0"/>
          <w:sz w:val="24"/>
        </w:rPr>
        <w:t>六、父母生涯参与频率</w:t>
      </w:r>
    </w:p>
    <w:p>
      <w:pPr>
        <w:spacing w:before="0" w:after="4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请回想过去半年，下列情况发生的频繁程度。</w:t>
      </w:r>
    </w:p>
    <w:p>
      <w:pPr>
        <w:spacing w:before="0" w:after="8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1 = 从不   2 = 很少   3 = 有时   4 = 较频繁   5 = 非常频繁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blGrid>
        <w:gridCol w:w="6010"/>
        <w:gridCol w:w="680"/>
        <w:gridCol w:w="680"/>
        <w:gridCol w:w="680"/>
        <w:gridCol w:w="680"/>
        <w:gridCol w:w="680"/>
      </w:tblGrid>
      <w:tr>
        <w:tc>
          <w:tcPr>
            <w:tcW w:type="dxa" w:w="6009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题项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1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2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3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4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5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PF1. 父母与我谈论毕业去向的频率。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PF2. 父母主动向我提供求职信息的频率。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PF3. 父母过问我求职进展的频率。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</w:tbl>
    <w:p>
      <w:pPr>
        <w:spacing w:before="200" w:after="40" w:lineRule="auto" w:line="300"/>
      </w:pPr>
      <w:r>
        <w:rPr>
          <w:rFonts w:ascii="Times New Roman" w:hAnsi="Times New Roman" w:eastAsia="黑体"/>
          <w:b/>
          <w:i w:val="0"/>
          <w:sz w:val="24"/>
        </w:rPr>
        <w:t>七、职业决策困难</w:t>
      </w:r>
    </w:p>
    <w:p>
      <w:pPr>
        <w:spacing w:before="0" w:after="4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下面是同学们在做职业决定时常遇到的困难。请判断每句话在多大程度上符合您现在的情况。本部分为九点量表。</w:t>
      </w:r>
    </w:p>
    <w:p>
      <w:pPr>
        <w:spacing w:before="0" w:after="8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1 = 完全不符合我   ……   5 = 一般   ……   9 = 完全符合我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blGrid>
        <w:gridCol w:w="482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4819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题项</w:t>
            </w:r>
          </w:p>
        </w:tc>
        <w:tc>
          <w:tcPr>
            <w:tcW w:type="dxa" w:w="51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1</w:t>
            </w:r>
          </w:p>
        </w:tc>
        <w:tc>
          <w:tcPr>
            <w:tcW w:type="dxa" w:w="51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2</w:t>
            </w:r>
          </w:p>
        </w:tc>
        <w:tc>
          <w:tcPr>
            <w:tcW w:type="dxa" w:w="51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3</w:t>
            </w:r>
          </w:p>
        </w:tc>
        <w:tc>
          <w:tcPr>
            <w:tcW w:type="dxa" w:w="51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4</w:t>
            </w:r>
          </w:p>
        </w:tc>
        <w:tc>
          <w:tcPr>
            <w:tcW w:type="dxa" w:w="51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5</w:t>
            </w:r>
          </w:p>
        </w:tc>
        <w:tc>
          <w:tcPr>
            <w:tcW w:type="dxa" w:w="51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6</w:t>
            </w:r>
          </w:p>
        </w:tc>
        <w:tc>
          <w:tcPr>
            <w:tcW w:type="dxa" w:w="51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7</w:t>
            </w:r>
          </w:p>
        </w:tc>
        <w:tc>
          <w:tcPr>
            <w:tcW w:type="dxa" w:w="51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8</w:t>
            </w:r>
          </w:p>
        </w:tc>
        <w:tc>
          <w:tcPr>
            <w:tcW w:type="dxa" w:w="51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9</w:t>
            </w:r>
          </w:p>
        </w:tc>
      </w:tr>
      <w:tr>
        <w:tc>
          <w:tcPr>
            <w:tcW w:type="dxa" w:w="481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CD1. 我平时就不太会做决定，职业选择也不例外。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CD2. 我觉得现在还不到考虑职业的时候。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CD3. 我不太清楚一个职业决定要怎么做才算做好了。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CD4. 我期待一份“完美”的工作，又担心它并不存在。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CD5. 我不清楚自己更适合哪一类职业。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CD6. 我不了解可以选择的职业到底有哪些。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AC2. 本题不需要判断，请直接选择“5”。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CD7. 我不掌握各个职业真实的工作内容和发展前景。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CD8. 我不知道该从哪里获得可靠的职业信息。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CD9. 关于同一个职业，我听到的说法彼此矛盾。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CD10. 我看重的几个条件（收入、稳定、兴趣）没办法同时满足。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CD11. 我想去的方向和身边重要的人希望的方向不一致。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CD12. 我对某个职业原先的印象和后来了解到的情况对不上。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51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</w:tbl>
    <w:p>
      <w:pPr>
        <w:spacing w:before="200" w:after="40" w:lineRule="auto" w:line="300"/>
      </w:pPr>
      <w:r>
        <w:rPr>
          <w:rFonts w:ascii="Times New Roman" w:hAnsi="Times New Roman" w:eastAsia="黑体"/>
          <w:b/>
          <w:i w:val="0"/>
          <w:sz w:val="24"/>
        </w:rPr>
        <w:t>八、标记变量（颜色偏好）</w:t>
      </w:r>
    </w:p>
    <w:p>
      <w:pPr>
        <w:spacing w:before="0" w:after="4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最后是几道与前面内容无关的题目，用于问卷质量检验。</w:t>
      </w:r>
    </w:p>
    <w:p>
      <w:pPr>
        <w:spacing w:before="0" w:after="8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1 = 完全不符合   2 = 比较不符合   3 = 一般   4 = 比较符合   5 = 完全符合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blGrid>
        <w:gridCol w:w="6010"/>
        <w:gridCol w:w="680"/>
        <w:gridCol w:w="680"/>
        <w:gridCol w:w="680"/>
        <w:gridCol w:w="680"/>
        <w:gridCol w:w="680"/>
      </w:tblGrid>
      <w:tr>
        <w:tc>
          <w:tcPr>
            <w:tcW w:type="dxa" w:w="6009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题项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1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2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3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4</w:t>
            </w:r>
          </w:p>
        </w:tc>
        <w:tc>
          <w:tcPr>
            <w:tcW w:type="dxa" w:w="680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5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MK1. 蓝色是我喜欢的颜色。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MK2. 买衣服或用品时，我倾向于选蓝色的。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6009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MK3. 蓝色让我感到舒服。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680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○</w:t>
            </w:r>
          </w:p>
        </w:tc>
      </w:tr>
    </w:tbl>
    <w:p>
      <w:pPr>
        <w:spacing w:before="280" w:after="80" w:lineRule="auto" w:line="300"/>
        <w:jc w:val="center"/>
      </w:pPr>
      <w:r>
        <w:rPr>
          <w:rFonts w:ascii="Times New Roman" w:hAnsi="Times New Roman" w:eastAsia="黑体"/>
          <w:b/>
          <w:i w:val="0"/>
          <w:sz w:val="22"/>
        </w:rPr>
        <w:t>问卷到此结束，再次感谢您的参与！</w:t>
      </w:r>
    </w:p>
    <w:p>
      <w:pPr>
        <w:sectPr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spacing w:before="0" w:after="60" w:lineRule="auto" w:line="300"/>
      </w:pPr>
      <w:r>
        <w:rPr>
          <w:rFonts w:ascii="Times New Roman" w:hAnsi="Times New Roman" w:eastAsia="黑体"/>
          <w:b/>
          <w:i w:val="0"/>
          <w:sz w:val="26"/>
        </w:rPr>
        <w:t>附录  量表来源与使用授权说明</w:t>
      </w:r>
    </w:p>
    <w:p>
      <w:pPr>
        <w:spacing w:before="0" w:after="120" w:lineRule="auto" w:line="30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本问卷题目为面向中国高校毕业生编写的中文测量条目，对应下列已发表工具所界定的构念，不是其原始条目的逐字翻译。正式施测前请逐项确认授权状态；标注 ★ 的量表需要事先取得许可。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blGrid>
        <w:gridCol w:w="1701"/>
        <w:gridCol w:w="4196"/>
        <w:gridCol w:w="3515"/>
      </w:tblGrid>
      <w:tr>
        <w:tc>
          <w:tcPr>
            <w:tcW w:type="dxa" w:w="1701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构念</w:t>
            </w:r>
          </w:p>
        </w:tc>
        <w:tc>
          <w:tcPr>
            <w:tcW w:type="dxa" w:w="4195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对应的已发表工具</w:t>
            </w:r>
          </w:p>
        </w:tc>
        <w:tc>
          <w:tcPr>
            <w:tcW w:type="dxa" w:w="3515"/>
            <w:shd w:val="clear" w:fill="EFEFEF"/>
          </w:tcPr>
          <w:p>
            <w:pPr>
              <w:spacing w:before="30" w:after="30" w:lineRule="auto" w:line="252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授权与使用说明</w:t>
            </w:r>
          </w:p>
        </w:tc>
      </w:tr>
      <w:tr>
        <w:tc>
          <w:tcPr>
            <w:tcW w:type="dxa" w:w="1701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职业决策焦虑</w:t>
            </w:r>
          </w:p>
        </w:tc>
        <w:tc>
          <w:tcPr>
            <w:tcW w:type="dxa" w:w="419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Chartrand, J. M., Robbins, S. B., Morrill, W. H., &amp; Boggs, K. (1990). Career Factors Inventory 的焦虑分量表；Vignoli, E. (2015). Journal of Vocational Behavior, 89, 182–191 的生涯焦虑测量。</w:t>
            </w:r>
          </w:p>
        </w:tc>
        <w:tc>
          <w:tcPr>
            <w:tcW w:type="dxa" w:w="351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两者均在论文正文中公布条目，研究使用需引用来源，无需另行付费授权。</w:t>
            </w:r>
          </w:p>
        </w:tc>
      </w:tr>
      <w:tr>
        <w:tc>
          <w:tcPr>
            <w:tcW w:type="dxa" w:w="1701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职业探索行为</w:t>
            </w:r>
          </w:p>
        </w:tc>
        <w:tc>
          <w:tcPr>
            <w:tcW w:type="dxa" w:w="419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Stumpf, S. A., Colarelli, S. M., &amp; Hartman, K. (1983). Career Exploration Survey. Journal of Vocational Behavior, 22, 191–226.</w:t>
            </w:r>
          </w:p>
        </w:tc>
        <w:tc>
          <w:tcPr>
            <w:tcW w:type="dxa" w:w="351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条目见原文附录，研究使用需引用来源。</w:t>
            </w:r>
          </w:p>
        </w:tc>
      </w:tr>
      <w:tr>
        <w:tc>
          <w:tcPr>
            <w:tcW w:type="dxa" w:w="1701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职业决策自我效能</w:t>
            </w:r>
          </w:p>
        </w:tc>
        <w:tc>
          <w:tcPr>
            <w:tcW w:type="dxa" w:w="419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Betz, N. E., Klein, K. L., &amp; Taylor, K. M. (1996). Career Decision-Making Self-Efficacy Scale — Short Form.</w:t>
            </w:r>
          </w:p>
        </w:tc>
        <w:tc>
          <w:tcPr>
            <w:tcW w:type="dxa" w:w="351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★ 该量表由 Mind Garden 发行，正式使用前必须购买许可并按份计费；本问卷条目为按五维度自行编写的等价测量，若要直接使用 CDMSE-SF 原条目，请先取得授权。</w:t>
            </w:r>
          </w:p>
        </w:tc>
      </w:tr>
      <w:tr>
        <w:tc>
          <w:tcPr>
            <w:tcW w:type="dxa" w:w="1701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父母自主支持型生涯支持</w:t>
            </w:r>
          </w:p>
        </w:tc>
        <w:tc>
          <w:tcPr>
            <w:tcW w:type="dxa" w:w="419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Turner, S. L., Alliman-Brissett, A., Lapan, R. T., Udipi, S., &amp; Ergun, D. (2003). Career-Related Parent Support Scale；Guay, F., Senécal, C., Gauthier, L., &amp; Fernet, C. (2003). Journal of Counseling Psychology, 50, 165–177 的自主支持测量。</w:t>
            </w:r>
          </w:p>
        </w:tc>
        <w:tc>
          <w:tcPr>
            <w:tcW w:type="dxa" w:w="351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条目见原文，研究使用需引用来源。</w:t>
            </w:r>
          </w:p>
        </w:tc>
      </w:tr>
      <w:tr>
        <w:tc>
          <w:tcPr>
            <w:tcW w:type="dxa" w:w="1701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父母指导代办型生涯介入</w:t>
            </w:r>
          </w:p>
        </w:tc>
        <w:tc>
          <w:tcPr>
            <w:tcW w:type="dxa" w:w="419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Dietrich, J., &amp; Kracke, B. (2009). Career-specific parental behaviors. Journal of Vocational Behavior, 75, 109–119 的“干涉”（interference）分量表。</w:t>
            </w:r>
          </w:p>
        </w:tc>
        <w:tc>
          <w:tcPr>
            <w:tcW w:type="dxa" w:w="351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条目见原文附录，研究使用需引用来源。</w:t>
            </w:r>
          </w:p>
        </w:tc>
      </w:tr>
      <w:tr>
        <w:tc>
          <w:tcPr>
            <w:tcW w:type="dxa" w:w="1701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父母生涯参与频率</w:t>
            </w:r>
          </w:p>
        </w:tc>
        <w:tc>
          <w:tcPr>
            <w:tcW w:type="dxa" w:w="419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为本研究编写，用以单独测量“参与的多少”，与 PA、PD 测量的“参与的方式”相区分。</w:t>
            </w:r>
          </w:p>
        </w:tc>
        <w:tc>
          <w:tcPr>
            <w:tcW w:type="dxa" w:w="351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自编，无授权问题。</w:t>
            </w:r>
          </w:p>
        </w:tc>
      </w:tr>
      <w:tr>
        <w:tc>
          <w:tcPr>
            <w:tcW w:type="dxa" w:w="1701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职业决策困难</w:t>
            </w:r>
          </w:p>
        </w:tc>
        <w:tc>
          <w:tcPr>
            <w:tcW w:type="dxa" w:w="419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Gati, I., Krausz, M., &amp; Osipow, S. H. (1996). A taxonomy of difficulties in career decision making. Journal of Counseling Psychology, 43, 510–526；简版见 Gati, I., &amp; Saka, N. (2001).</w:t>
            </w:r>
          </w:p>
        </w:tc>
        <w:tc>
          <w:tcPr>
            <w:tcW w:type="dxa" w:w="351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CDDQ 可从作者的公开研究网站免费取得，研究使用需引用来源。</w:t>
            </w:r>
          </w:p>
        </w:tc>
      </w:tr>
      <w:tr>
        <w:tc>
          <w:tcPr>
            <w:tcW w:type="dxa" w:w="1701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标记变量（颜色偏好）</w:t>
            </w:r>
          </w:p>
        </w:tc>
        <w:tc>
          <w:tcPr>
            <w:tcW w:type="dxa" w:w="419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Simmering, M. J., Fuller, C. M., Richardson, H. A., Ocal, Y., &amp; Atinc, G. M. (2015). Organizational Research Methods, 18, 473–511 建议的理论无关标记变量。</w:t>
            </w:r>
          </w:p>
        </w:tc>
        <w:tc>
          <w:tcPr>
            <w:tcW w:type="dxa" w:w="3515"/>
          </w:tcPr>
          <w:p>
            <w:pPr>
              <w:spacing w:before="30" w:after="30"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自编等价条目，用于标记变量法检验共同方法偏差。</w:t>
            </w:r>
          </w:p>
        </w:tc>
      </w:tr>
    </w:tbl>
    <w:p>
      <w:pPr>
        <w:spacing w:before="240" w:after="60" w:lineRule="auto" w:line="300"/>
      </w:pPr>
      <w:r>
        <w:rPr>
          <w:rFonts w:ascii="Times New Roman" w:hAnsi="Times New Roman" w:eastAsia="黑体"/>
          <w:b/>
          <w:i w:val="0"/>
          <w:sz w:val="24"/>
        </w:rPr>
        <w:t>施测与质量控制要点</w:t>
      </w:r>
    </w:p>
    <w:p>
      <w:pPr>
        <w:spacing w:before="0" w:after="60" w:lineRule="auto" w:line="30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1. 发放方式：通过问卷星生成链接，由各学院辅导员在毕业年级班级群内投放，同一 IP 与同一微信账号限答一次。</w:t>
      </w:r>
    </w:p>
    <w:p>
      <w:pPr>
        <w:spacing w:before="0" w:after="60" w:lineRule="auto" w:line="30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2. 题目呈现：第二部分各量表的呈现顺序随机化，量表内部题目顺序固定，以免破坏反向题与注意力检测题的位置设计。</w:t>
      </w:r>
    </w:p>
    <w:p>
      <w:pPr>
        <w:spacing w:before="0" w:after="60" w:lineRule="auto" w:line="30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3. 强制作答：全部题目设为必答，避免缺失值；同时记录作答时长。</w:t>
      </w:r>
    </w:p>
    <w:p>
      <w:pPr>
        <w:spacing w:before="0" w:after="60" w:lineRule="auto" w:line="30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4. 剔除规则（施测前即确定，不得事后调整）：注意力检测题 AC1、AC2 任一错答；作答时长短于 180 秒；全部条目作答标准差不足 0.30（连续选同一选项）。</w:t>
      </w:r>
    </w:p>
    <w:p>
      <w:pPr>
        <w:spacing w:before="0" w:after="60" w:lineRule="auto" w:line="30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5. 计划有效样本：见《预期结果》一稿中的检验力分析结论。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