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mc="http://schemas.openxmlformats.org/markup-compatibility/2006" xmlns:w="http://schemas.openxmlformats.org/wordprocessingml/2006/main" xmlns:w14="http://schemas.microsoft.com/office/word/2010/wordml" mc:Ignorable="w14 w15 wp14">
  <w:body>
    <w:p w14:paraId="60DABFAA">
      <w:pPr>
        <w:keepNext w:val="0"/>
        <w:keepLines w:val="0"/>
        <w:pageBreakBefore w:val="0"/>
        <w:widowControl w:val="0"/>
        <w:kinsoku/>
        <w:wordWrap/>
        <w:overflowPunct/>
        <w:topLinePunct w:val="0"/>
        <w:autoSpaceDE/>
        <w:autoSpaceDN/>
        <w:bidi w:val="0"/>
        <w:adjustRightInd w:val="0"/>
        <w:snapToGrid w:val="0"/>
        <w:spacing w:beforeAutospacing="0" w:afterAutospacing="0"/>
        <w:jc w:val="both"/>
        <w:textAlignment w:val="auto"/>
        <w:rPr>
          <w:rFonts w:hint="default" w:ascii="Times New Roman" w:hAnsi="Times New Roman" w:cs="Times New Roman"/>
          <w:sz w:val="28"/>
          <w:szCs w:val="28"/>
        </w:rPr>
      </w:pPr>
      <w:bookmarkStart w:id="0" w:name="_GoBack"/>
      <w:r>
        <w:rPr>
          <w:rFonts w:hint="default" w:ascii="Times New Roman" w:hAnsi="Times New Roman" w:cs="Times New Roman"/>
          <w:sz w:val="28"/>
          <w:szCs w:val="28"/>
        </w:rPr>
        <w:t>Dear Editors:</w:t>
      </w:r>
    </w:p>
    <w:p w14:paraId="59E79769">
      <w:pPr>
        <w:pStyle w:val="4"/>
        <w:keepNext w:val="0"/>
        <w:keepLines w:val="0"/>
        <w:pageBreakBefore w:val="0"/>
        <w:widowControl/>
        <w:suppressLineNumbers w:val="0"/>
        <w:kinsoku/>
        <w:wordWrap/>
        <w:overflowPunct/>
        <w:topLinePunct w:val="0"/>
        <w:autoSpaceDE/>
        <w:autoSpaceDN/>
        <w:bidi w:val="0"/>
        <w:spacing w:before="0" w:beforeAutospacing="0" w:after="0" w:afterAutospacing="0"/>
        <w:ind w:left="0" w:right="0"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We would like to submit the enclosed manuscript entitled </w:t>
      </w:r>
      <w:r>
        <w:rPr>
          <w:rFonts w:hint="default" w:ascii="Times New Roman" w:hAnsi="Times New Roman" w:cs="Times New Roman"/>
          <w:sz w:val="24"/>
          <w:szCs w:val="24"/>
          <w:b/>
          <w:bCs/>
        </w:rPr>
        <w:t xml:space="preserve">“Narrowing the Gate, Not Breaking the Ladder: Artificial Intelligence, Entry-Level Access and the Under-Provision of On-the-Job Training”</w:t>
      </w:r>
      <w:r>
        <w:rPr>
          <w:rFonts w:hint="default" w:ascii="Times New Roman" w:hAnsi="Times New Roman" w:cs="Times New Roman"/>
          <w:sz w:val="24"/>
          <w:szCs w:val="24"/>
        </w:rPr>
        <w:t xml:space="preserve">, which we wish to be considered for publication in </w:t>
      </w:r>
      <w:r>
        <w:rPr>
          <w:rFonts w:hint="default" w:ascii="Times New Roman" w:hAnsi="Times New Roman" w:cs="Times New Roman"/>
          <w:sz w:val="24"/>
          <w:szCs w:val="24"/>
          <w:i/>
          <w:iCs/>
        </w:rPr>
        <w:t xml:space="preserve">Systems</w:t>
      </w:r>
      <w:r>
        <w:rPr>
          <w:rFonts w:hint="default" w:ascii="Times New Roman" w:hAnsi="Times New Roman" w:cs="Times New Roman"/>
          <w:sz w:val="24"/>
          <w:szCs w:val="24"/>
        </w:rPr>
        <w:t xml:space="preserve"> for the Special Issue </w:t>
      </w:r>
      <w:r>
        <w:rPr>
          <w:rFonts w:hint="default" w:ascii="Times New Roman" w:hAnsi="Times New Roman" w:cs="Times New Roman"/>
          <w:sz w:val="24"/>
          <w:szCs w:val="24"/>
          <w:b/>
          <w:bCs/>
        </w:rPr>
        <w:t xml:space="preserve">“Artificial Intelligence in Socio-Technical Systems.”</w:t>
      </w:r>
    </w:p>
    <w:p w14:paraId="3ECD5F1C">
      <w:pPr>
        <w:pStyle w:val="4"/>
        <w:keepNext w:val="0"/>
        <w:keepLines w:val="0"/>
        <w:pageBreakBefore w:val="0"/>
        <w:widowControl/>
        <w:suppressLineNumbers w:val="0"/>
        <w:kinsoku/>
        <w:wordWrap/>
        <w:overflowPunct/>
        <w:topLinePunct w:val="0"/>
        <w:autoSpaceDE/>
        <w:autoSpaceDN/>
        <w:bidi w:val="0"/>
        <w:spacing w:beforeAutospacing="0" w:afterAutospacing="0"/>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No conflict of interest exists in the submission of this manuscript, and the manuscript is approved by all authors for publication. I would like to declare on behalf of my co-authors that the work described was original research that has not been published previously and is not under consideration for publication elsewhere, in whole or in part. All authors listed have approved the manuscript that is enclosed.</w:t>
      </w:r>
    </w:p>
    <w:p w14:paraId="78DE10B5">
      <w:pPr>
        <w:pStyle w:val="4"/>
        <w:keepNext w:val="0"/>
        <w:keepLines w:val="0"/>
        <w:pageBreakBefore w:val="0"/>
        <w:widowControl/>
        <w:suppressLineNumbers w:val="0"/>
        <w:kinsoku/>
        <w:wordWrap/>
        <w:overflowPunct/>
        <w:topLinePunct w:val="0"/>
        <w:autoSpaceDE/>
        <w:autoSpaceDN/>
        <w:bidi w:val="0"/>
        <w:spacing w:beforeAutospacing="0" w:afterAutospacing="0"/>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An entry-level job is a joint product: it delivers output today and it is the only technology that turns a novice into an experienced worker. Artificial intelligence substitutes for the first component and not for the second, which has made the fate of the career ladder an urgent question for every economy with a large graduating cohort. This study builds a two-tier search-and-matching model of that ladder in which mentoring intensity, promotion, vacancy creation on both tiers, wages and the demand for artificial intelligence are all determined jointly, and in which two ordinary contracting frictions—non-contractible training and poaching of trained workers—separate the private from the social return to producing an experienced worker. Eight structural parameters are estimated so that the model reproduces eight published Chinese labour-market moments exactly rather than approximately, and the estimated economy is then confronted with a relationship that was held out of the estimation entirely.</w:t>
      </w:r>
    </w:p>
    <w:p w14:paraId="27F540D1">
      <w:pPr>
        <w:pStyle w:val="4"/>
        <w:keepNext w:val="0"/>
        <w:keepLines w:val="0"/>
        <w:pageBreakBefore w:val="0"/>
        <w:widowControl/>
        <w:suppressLineNumbers w:val="0"/>
        <w:kinsoku/>
        <w:wordWrap/>
        <w:overflowPunct/>
        <w:topLinePunct w:val="0"/>
        <w:autoSpaceDE/>
        <w:autoSpaceDN/>
        <w:bidi w:val="0"/>
        <w:spacing w:beforeAutospacing="0" w:afterAutospacing="0"/>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The innovations of this paper are as follows.</w:t>
      </w:r>
    </w:p>
    <w:p w14:paraId="7A4F2D90">
      <w:pPr>
        <w:pStyle w:val="4"/>
        <w:keepNext w:val="0"/>
        <w:keepLines w:val="0"/>
        <w:pageBreakBefore w:val="0"/>
        <w:widowControl/>
        <w:suppressLineNumbers w:val="0"/>
        <w:kinsoku/>
        <w:wordWrap/>
        <w:overflowPunct/>
        <w:topLinePunct w:val="0"/>
        <w:autoSpaceDE/>
        <w:autoSpaceDN/>
        <w:bidi w:val="0"/>
        <w:spacing w:beforeAutospacing="0" w:afterAutospacing="0"/>
        <w:ind w:firstLine="482"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b/>
          <w:bCs/>
        </w:rPr>
        <w:t xml:space="preserve">(1) The paper identifies and quantifies a large market failure in an economy that is efficient by construction on every other margin.</w:t>
      </w:r>
      <w:r>
        <w:rPr>
          <w:rFonts w:hint="default" w:ascii="Times New Roman" w:hAnsi="Times New Roman" w:cs="Times New Roman"/>
          <w:sz w:val="24"/>
          <w:szCs w:val="24"/>
        </w:rPr>
        <w:t xml:space="preserve"> Worker bargaining power is set equal to the matching elasticity, so the Hosios condition holds exactly and the classical search externality is switched off. Even so, the estimated economy provides about one seventh of the socially efficient amount of on-the-job training, so first promotion takes 3.5 years instead of 1.0, the stock of experienced workers is 6.9 per cent below the optimum and welfare is 1.39 per cent below it. We prove and then verify numerically to machine precision that the Hosios condition decentralises vacancy creation but can never decentralise training, and we decompose the residual wedge into a hold-up component (96 per cent) and a poaching component.</w:t>
      </w:r>
    </w:p>
    <w:p w14:paraId="75951CA2">
      <w:pPr>
        <w:pStyle w:val="4"/>
        <w:keepNext w:val="0"/>
        <w:keepLines w:val="0"/>
        <w:pageBreakBefore w:val="0"/>
        <w:widowControl/>
        <w:suppressLineNumbers w:val="0"/>
        <w:kinsoku/>
        <w:wordWrap/>
        <w:overflowPunct/>
        <w:topLinePunct w:val="0"/>
        <w:autoSpaceDE/>
        <w:autoSpaceDN/>
        <w:bidi w:val="0"/>
        <w:spacing w:beforeAutospacing="0" w:afterAutospacing="0"/>
        <w:ind w:firstLine="482" w:firstLineChars="200"/>
        <w:jc w:val="both"/>
        <w:textAlignment w:val="auto"/>
        <w:rPr>
          <w:rFonts w:hint="default" w:ascii="Times New Roman" w:hAnsi="Times New Roman" w:cs="Times New Roman"/>
          <w:sz w:val="24"/>
          <w:szCs w:val="24"/>
        </w:rPr>
      </w:pPr>
      <w:r>
        <w:rPr>
          <w:rFonts w:hint="default" w:ascii="Times New Roman" w:hAnsi="Times New Roman" w:eastAsia="宋体" w:cs="Times New Roman"/>
          <w:sz w:val="24"/>
          <w:szCs w:val="24"/>
          <w:b/>
          <w:bCs/>
        </w:rPr>
        <w:t xml:space="preserve">(2) The paper reports a substantive negative result: artificial intelligence narrows the gate but does not break the ladder.</w:t>
      </w:r>
      <w:r>
        <w:rPr>
          <w:rFonts w:hint="default" w:ascii="Times New Roman" w:hAnsi="Times New Roman" w:eastAsia="宋体" w:cs="Times New Roman"/>
          <w:sz w:val="24"/>
          <w:szCs w:val="24"/>
        </w:rPr>
        <w:t xml:space="preserve"> Our prior, and the prevailing reading of the evidence, was that automating entry-level work must eventually starve an economy of experienced workers. The estimated model says otherwise. When the artificial-intelligence share of entry-level tasks doubles, the entry-level employment rate falls by 7.2 per cent, but firms respond by mentoring the smaller intake 79 per cent more intensively, so the flow of promotions and the stock of experienced workers move by less than 1.4 per cent and time to first promotion falls rather than rises. The training wedge narrows rather than widens, because scarcer entrants are individually more worth training. The externality is large, but it is pre-existing and is not created by the technology—which changes the policy question from how to slow artificial intelligence to how to price training.</w:t>
      </w:r>
    </w:p>
    <w:p w14:paraId="3FE491FE">
      <w:pPr>
        <w:pStyle w:val="4"/>
        <w:keepNext w:val="0"/>
        <w:keepLines w:val="0"/>
        <w:pageBreakBefore w:val="0"/>
        <w:widowControl/>
        <w:suppressLineNumbers w:val="0"/>
        <w:kinsoku/>
        <w:wordWrap/>
        <w:overflowPunct/>
        <w:topLinePunct w:val="0"/>
        <w:autoSpaceDE/>
        <w:autoSpaceDN/>
        <w:bidi w:val="0"/>
        <w:spacing w:beforeAutospacing="0" w:afterAutospacing="0"/>
        <w:ind w:firstLine="482" w:firstLineChars="200"/>
        <w:jc w:val="both"/>
        <w:textAlignment w:val="auto"/>
        <w:rPr>
          <w:rFonts w:hint="default" w:ascii="Times New Roman" w:hAnsi="Times New Roman" w:cs="Times New Roman"/>
          <w:sz w:val="24"/>
          <w:szCs w:val="24"/>
        </w:rPr>
      </w:pPr>
      <w:r>
        <w:rPr>
          <w:rFonts w:hint="default" w:ascii="Times New Roman" w:hAnsi="Times New Roman" w:eastAsia="宋体" w:cs="Times New Roman"/>
          <w:sz w:val="24"/>
          <w:szCs w:val="24"/>
          <w:b/>
          <w:bCs/>
        </w:rPr>
        <w:t xml:space="preserve">(3) The paper shows that the incidence of the shock is institutional rather than technological, and validates the model out of sample.</w:t>
      </w:r>
      <w:r>
        <w:rPr>
          <w:rFonts w:hint="default" w:ascii="Times New Roman" w:hAnsi="Times New Roman" w:eastAsia="宋体" w:cs="Times New Roman"/>
          <w:sz w:val="24"/>
          <w:szCs w:val="24"/>
        </w:rPr>
        <w:t xml:space="preserve"> Whether the shock is borne by entry-level pay or by entry-level access depends almost entirely on the wage rule. With flexible bargaining the entry wage falls 7.6 per cent and the employment rate barely moves; with a rigid entry wage the employment rate falls 12.4 per cent and pay does not move at all. The widely cited stylised fact that artificial intelligence reduces young workers’ employment without reducing their pay is therefore evidence about wage-setting institutions, and it reconciles studies that find large employment effects with studies that find precise nulls. Using no employment-by-exposure information anywhere in the estimation, the model predicts a cross-occupation entry-level employment gradient of -14.8 per cent against the -16.0 per cent estimated from United States payroll microdata, and reproduces the employment-not-pay pattern at approximately the observed relative magnitude. At a common budget a mentoring credit dominates entry-level wage and vacancy subsidies and a tax on artificial intelligence, with a marginal value of public funds of 14.3 against -2.34 for the wage subsidy, which is worse than doing nothing.</w:t>
      </w:r>
    </w:p>
    <w:p w14:paraId="34A7BE63">
      <w:pPr>
        <w:pStyle w:val="4"/>
        <w:keepNext w:val="0"/>
        <w:keepLines w:val="0"/>
        <w:pageBreakBefore w:val="0"/>
        <w:widowControl/>
        <w:suppressLineNumbers w:val="0"/>
        <w:kinsoku/>
        <w:wordWrap/>
        <w:overflowPunct/>
        <w:topLinePunct w:val="0"/>
        <w:autoSpaceDE/>
        <w:autoSpaceDN/>
        <w:bidi w:val="0"/>
        <w:spacing w:beforeAutospacing="0" w:afterAutospacing="0"/>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We believe that this manuscript fits well within the scope of </w:t>
      </w:r>
      <w:r>
        <w:rPr>
          <w:rFonts w:hint="default" w:ascii="Times New Roman" w:hAnsi="Times New Roman" w:cs="Times New Roman"/>
          <w:sz w:val="24"/>
          <w:szCs w:val="24"/>
          <w:i/>
          <w:iCs/>
        </w:rPr>
        <w:t xml:space="preserve">Systems</w:t>
      </w:r>
      <w:r>
        <w:rPr>
          <w:rFonts w:hint="default" w:ascii="Times New Roman" w:hAnsi="Times New Roman" w:cs="Times New Roman"/>
          <w:sz w:val="24"/>
          <w:szCs w:val="24"/>
        </w:rPr>
        <w:t xml:space="preserve"> and the Special Issue “Artificial Intelligence in Socio-Technical Systems”. The Special Issue calls for work on the interaction between artificial intelligence and the human, organisational and institutional structures it is embedded in. The career ladder is exactly such a structure: it is a feedback loop in which entry-level hiring produces experienced workers and experienced workers supply the mentoring without which no further entrants can be promoted. Our contribution is to show that whether artificial intelligence damages that loop, and who bears the cost when it does not, depends on institutional features—the contractibility of training and the rigidity of entry wages—rather than on the technology alone. The manuscript also connects to recent work in the journal on artificial intelligence in organisational decision systems and on youth transition outcomes as emergent systemic properties, to which it supplies the price-theoretic mechanism and an estimated magnitude.</w:t>
      </w:r>
    </w:p>
    <w:p w14:paraId="64E0EEA9">
      <w:pPr>
        <w:pStyle w:val="4"/>
        <w:keepNext w:val="0"/>
        <w:keepLines w:val="0"/>
        <w:pageBreakBefore w:val="0"/>
        <w:widowControl/>
        <w:suppressLineNumbers w:val="0"/>
        <w:kinsoku/>
        <w:wordWrap/>
        <w:overflowPunct/>
        <w:topLinePunct w:val="0"/>
        <w:autoSpaceDE/>
        <w:autoSpaceDN/>
        <w:bidi w:val="0"/>
        <w:spacing w:beforeAutospacing="0" w:afterAutospacing="0"/>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We sincerely appreciate your consideration of our manuscript and look forward to receiving comments from the reviewers.</w:t>
      </w:r>
    </w:p>
    <w:p w14:paraId="34C1AFF2">
      <w:pPr>
        <w:keepNext w:val="0"/>
        <w:keepLines w:val="0"/>
        <w:pageBreakBefore w:val="0"/>
        <w:widowControl w:val="0"/>
        <w:kinsoku/>
        <w:wordWrap/>
        <w:overflowPunct/>
        <w:topLinePunct w:val="0"/>
        <w:autoSpaceDE/>
        <w:autoSpaceDN/>
        <w:bidi w:val="0"/>
        <w:adjustRightInd w:val="0"/>
        <w:snapToGrid w:val="0"/>
        <w:spacing w:beforeAutospacing="0" w:afterAutospacing="0"/>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We deeply appreciate your consideration of our manuscript and look forward to receiving comments from the reviewers. Correspondence should be directed to Xinyu Cai at the following address:</w:t>
      </w:r>
    </w:p>
    <w:p w14:paraId="0587AB70">
      <w:pPr>
        <w:keepNext w:val="0"/>
        <w:keepLines w:val="0"/>
        <w:pageBreakBefore w:val="0"/>
        <w:widowControl w:val="0"/>
        <w:kinsoku/>
        <w:wordWrap/>
        <w:overflowPunct/>
        <w:topLinePunct w:val="0"/>
        <w:autoSpaceDE/>
        <w:autoSpaceDN/>
        <w:bidi w:val="0"/>
        <w:adjustRightInd w:val="0"/>
        <w:snapToGrid w:val="0"/>
        <w:spacing w:beforeAutospacing="0" w:afterAutospacing="0"/>
        <w:ind w:firstLine="480" w:firstLineChars="200"/>
        <w:jc w:val="both"/>
        <w:textAlignment w:val="auto"/>
        <w:rPr>
          <w:rFonts w:hint="default" w:ascii="Times New Roman" w:hAnsi="Times New Roman" w:cs="Times New Roman"/>
          <w:sz w:val="24"/>
          <w:szCs w:val="24"/>
        </w:rPr>
      </w:pPr>
    </w:p>
    <w:p w14:paraId="40C896F8">
      <w:pPr>
        <w:keepNext w:val="0"/>
        <w:keepLines w:val="0"/>
        <w:pageBreakBefore w:val="0"/>
        <w:widowControl w:val="0"/>
        <w:kinsoku/>
        <w:wordWrap/>
        <w:overflowPunct/>
        <w:topLinePunct w:val="0"/>
        <w:autoSpaceDE/>
        <w:autoSpaceDN/>
        <w:bidi w:val="0"/>
        <w:adjustRightInd w:val="0"/>
        <w:snapToGrid w:val="0"/>
        <w:spacing w:beforeAutospacing="0" w:afterAutospacing="0"/>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Degree: Ph.D.</w:t>
      </w:r>
    </w:p>
    <w:p w14:paraId="6A54732B">
      <w:pPr>
        <w:keepNext w:val="0"/>
        <w:keepLines w:val="0"/>
        <w:pageBreakBefore w:val="0"/>
        <w:widowControl w:val="0"/>
        <w:kinsoku/>
        <w:wordWrap/>
        <w:overflowPunct/>
        <w:topLinePunct w:val="0"/>
        <w:autoSpaceDE/>
        <w:autoSpaceDN/>
        <w:bidi w:val="0"/>
        <w:adjustRightInd w:val="0"/>
        <w:snapToGrid w:val="0"/>
        <w:spacing w:beforeAutospacing="0" w:afterAutospacing="0"/>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Institution and address: College of Business, Jiaxing University;</w:t>
      </w:r>
      <w:r>
        <w:rPr>
          <w:rFonts w:hint="default" w:ascii="Times New Roman" w:hAnsi="Times New Roman" w:cs="Times New Roman"/>
          <w:sz w:val="24"/>
          <w:szCs w:val="24"/>
        </w:rPr>
        <w:t xml:space="preserve"> </w:t>
      </w:r>
      <w:r>
        <w:rPr>
          <w:rFonts w:hint="default" w:ascii="Times New Roman" w:hAnsi="Times New Roman" w:cs="Times New Roman"/>
          <w:sz w:val="24"/>
          <w:szCs w:val="24"/>
        </w:rPr>
        <w:t>Jiaxing 314001,China;</w:t>
      </w:r>
    </w:p>
    <w:p w14:paraId="44D338F9">
      <w:pPr>
        <w:keepNext w:val="0"/>
        <w:keepLines w:val="0"/>
        <w:pageBreakBefore w:val="0"/>
        <w:widowControl w:val="0"/>
        <w:kinsoku/>
        <w:wordWrap/>
        <w:overflowPunct/>
        <w:topLinePunct w:val="0"/>
        <w:autoSpaceDE/>
        <w:autoSpaceDN/>
        <w:bidi w:val="0"/>
        <w:adjustRightInd w:val="0"/>
        <w:snapToGrid w:val="0"/>
        <w:spacing w:beforeAutospacing="0" w:afterAutospacing="0"/>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Email: </w:t>
      </w:r>
      <w:r>
        <w:rPr>
          <w:rFonts w:hint="default" w:ascii="Times New Roman" w:hAnsi="Times New Roman" w:cs="Times New Roman"/>
          <w:sz w:val="24"/>
          <w:szCs w:val="24"/>
        </w:rPr>
        <w:t>caixinyu@zjxu.edu.cn</w:t>
      </w:r>
    </w:p>
    <w:p w14:paraId="763D8810">
      <w:pPr>
        <w:keepNext w:val="0"/>
        <w:keepLines w:val="0"/>
        <w:pageBreakBefore w:val="0"/>
        <w:widowControl w:val="0"/>
        <w:kinsoku/>
        <w:wordWrap/>
        <w:overflowPunct/>
        <w:topLinePunct w:val="0"/>
        <w:autoSpaceDE/>
        <w:autoSpaceDN/>
        <w:bidi w:val="0"/>
        <w:adjustRightInd w:val="0"/>
        <w:snapToGrid w:val="0"/>
        <w:spacing w:beforeAutospacing="0" w:afterAutospacing="0"/>
        <w:ind w:firstLine="480" w:firstLineChars="200"/>
        <w:jc w:val="both"/>
        <w:textAlignment w:val="auto"/>
        <w:rPr>
          <w:rFonts w:hint="default" w:ascii="Times New Roman" w:hAnsi="Times New Roman" w:cs="Times New Roman"/>
          <w:sz w:val="24"/>
          <w:szCs w:val="24"/>
        </w:rPr>
      </w:pPr>
    </w:p>
    <w:p w14:paraId="3199C553">
      <w:pPr>
        <w:keepNext w:val="0"/>
        <w:keepLines w:val="0"/>
        <w:pageBreakBefore w:val="0"/>
        <w:widowControl w:val="0"/>
        <w:kinsoku/>
        <w:wordWrap/>
        <w:overflowPunct/>
        <w:topLinePunct w:val="0"/>
        <w:autoSpaceDE/>
        <w:autoSpaceDN/>
        <w:bidi w:val="0"/>
        <w:adjustRightInd w:val="0"/>
        <w:snapToGrid w:val="0"/>
        <w:spacing w:beforeAutospacing="0" w:afterAutospacing="0"/>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Thanks very much for your attention to our paper.</w:t>
      </w:r>
    </w:p>
    <w:p w14:paraId="7333D033">
      <w:pPr>
        <w:keepNext w:val="0"/>
        <w:keepLines w:val="0"/>
        <w:pageBreakBefore w:val="0"/>
        <w:widowControl w:val="0"/>
        <w:kinsoku/>
        <w:wordWrap/>
        <w:overflowPunct/>
        <w:topLinePunct w:val="0"/>
        <w:autoSpaceDE/>
        <w:autoSpaceDN/>
        <w:bidi w:val="0"/>
        <w:adjustRightInd w:val="0"/>
        <w:snapToGrid w:val="0"/>
        <w:spacing w:beforeAutospacing="0" w:afterAutospacing="0"/>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sz w:val="24"/>
          <w:szCs w:val="24"/>
        </w:rPr>
        <w:t xml:space="preserve">                                                             Very sincerely yours,</w:t>
      </w:r>
    </w:p>
    <w:p w14:paraId="2E8BE344">
      <w:pPr>
        <w:keepNext w:val="0"/>
        <w:keepLines w:val="0"/>
        <w:pageBreakBefore w:val="0"/>
        <w:widowControl w:val="0"/>
        <w:kinsoku/>
        <w:wordWrap/>
        <w:overflowPunct/>
        <w:topLinePunct w:val="0"/>
        <w:autoSpaceDE/>
        <w:autoSpaceDN/>
        <w:bidi w:val="0"/>
        <w:adjustRightInd w:val="0"/>
        <w:snapToGrid w:val="0"/>
        <w:spacing w:beforeAutospacing="0" w:afterAutospacing="0"/>
        <w:ind w:firstLine="480" w:firstLineChars="200"/>
        <w:jc w:val="both"/>
        <w:textAlignment w:val="auto"/>
        <w:rPr>
          <w:rFonts w:hint="default" w:ascii="Times New Roman" w:hAnsi="Times New Roman" w:cs="Times New Roman"/>
          <w:sz w:val="24"/>
          <w:szCs w:val="24"/>
        </w:rPr>
      </w:pPr>
    </w:p>
    <w:p w14:paraId="641F7432">
      <w:pPr>
        <w:keepNext w:val="0"/>
        <w:keepLines w:val="0"/>
        <w:pageBreakBefore w:val="0"/>
        <w:widowControl w:val="0"/>
        <w:tabs>
          <w:tab w:val="left" w:pos="7320"/>
        </w:tabs>
        <w:kinsoku/>
        <w:wordWrap/>
        <w:overflowPunct/>
        <w:topLinePunct w:val="0"/>
        <w:autoSpaceDE/>
        <w:autoSpaceDN/>
        <w:bidi w:val="0"/>
        <w:adjustRightInd w:val="0"/>
        <w:snapToGrid w:val="0"/>
        <w:spacing w:beforeAutospacing="0" w:afterAutospacing="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Xinyu Cai</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82FAF"/>
    <w:rsid w:val="00082FAF"/>
    <w:rsid w:val="002A02D6"/>
    <w:rsid w:val="00326FAC"/>
    <w:rsid w:val="00347474"/>
    <w:rsid w:val="00400E36"/>
    <w:rsid w:val="004D1F03"/>
    <w:rsid w:val="00541EFA"/>
    <w:rsid w:val="00836A0E"/>
    <w:rsid w:val="008D3714"/>
    <w:rsid w:val="009D7DA5"/>
    <w:rsid w:val="00AF43C8"/>
    <w:rsid w:val="00BA346D"/>
    <w:rsid w:val="00D77660"/>
    <w:rsid w:val="00E17960"/>
    <w:rsid w:val="00E7116F"/>
    <w:rsid w:val="00E73937"/>
    <w:rsid w:val="00E83FCF"/>
    <w:rsid w:val="00F350DB"/>
    <w:rsid w:val="00FE364F"/>
    <w:rsid w:val="0586071E"/>
    <w:rsid w:val="384E3F93"/>
    <w:rsid w:val="63B415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11"/>
    <w:unhideWhenUsed/>
    <w:qFormat/>
    <w:uiPriority w:val="99"/>
    <w:pPr>
      <w:tabs>
        <w:tab w:val="center" w:pos="4153"/>
        <w:tab w:val="right" w:pos="8306"/>
      </w:tabs>
      <w:snapToGrid w:val="0"/>
      <w:jc w:val="left"/>
    </w:pPr>
    <w:rPr>
      <w:sz w:val="18"/>
      <w:szCs w:val="18"/>
    </w:rPr>
  </w:style>
  <w:style w:type="paragraph" w:styleId="3">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paragraph" w:styleId="4">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character" w:styleId="7">
    <w:name w:val="Strong"/>
    <w:basedOn w:val="6"/>
    <w:qFormat/>
    <w:uiPriority w:val="22"/>
    <w:rPr>
      <w:b/>
    </w:rPr>
  </w:style>
  <w:style w:type="character" w:styleId="8">
    <w:name w:val="Emphasis"/>
    <w:basedOn w:val="6"/>
    <w:qFormat/>
    <w:uiPriority w:val="20"/>
    <w:rPr>
      <w:i/>
    </w:rPr>
  </w:style>
  <w:style w:type="character" w:styleId="9">
    <w:name w:val="Hyperlink"/>
    <w:qFormat/>
    <w:uiPriority w:val="0"/>
    <w:rPr>
      <w:color w:val="0000FF"/>
      <w:u w:val="single"/>
    </w:rPr>
  </w:style>
  <w:style w:type="character" w:customStyle="1" w:styleId="10">
    <w:name w:val="页眉 字符"/>
    <w:basedOn w:val="6"/>
    <w:link w:val="3"/>
    <w:qFormat/>
    <w:uiPriority w:val="99"/>
    <w:rPr>
      <w:sz w:val="18"/>
      <w:szCs w:val="18"/>
    </w:rPr>
  </w:style>
  <w:style w:type="character" w:customStyle="1" w:styleId="11">
    <w:name w:val="页脚 字符"/>
    <w:basedOn w:val="6"/>
    <w:link w:val="2"/>
    <w:qFormat/>
    <w:uiPriority w:val="99"/>
    <w:rPr>
      <w:sz w:val="18"/>
      <w:szCs w:val="18"/>
    </w:rPr>
  </w:style>
  <w:style w:type="paragraph" w:styleId="12">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556</Words>
  <Characters>3627</Characters>
  <Lines>18</Lines>
  <Paragraphs>5</Paragraphs>
  <TotalTime>28</TotalTime>
  <ScaleCrop>false</ScaleCrop>
  <LinksUpToDate>false</LinksUpToDate>
  <CharactersWithSpaces>4225</CharactersWithSpaces>
  <Application>WPS Office_12.1.0.24031_F1E327BC-269C-435d-A152-05C5408002CA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2024-06-21T04:10:00Z</dcterms:created>
  <dc:creator>zhu</dc:creator>
  <cp:lastModifiedBy>蔡鑫宇</cp:lastModifiedBy>
  <dcterms:modified xsi:type="dcterms:W3CDTF">2026-07-11T16:46:54Z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2052-12.1.0.24031</vt:lpwstr>
  </property>
  <property fmtid="{D5CDD505-2E9C-101B-9397-08002B2CF9AE}" pid="3" name="ICV">
    <vt:lpwstr>235BF508A7C24B29864DE49229F30014_13</vt:lpwstr>
  </property>
  <property fmtid="{D5CDD505-2E9C-101B-9397-08002B2CF9AE}" pid="4" name="KSOTemplateDocerSaveRecord">
    <vt:lpwstr>eyJoZGlkIjoiYjkyZmNhZmMwYTRkMzdjNDc0ZDBiODA4ZTNmNjg2YzYiLCJ1c2VySWQiOiI0NTI1MjUxOTgifQ==</vt:lpwstr>
  </property>
</Properties>
</file>