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60DABFAA">
      <w:pPr>
        <w:keepNext w:val="0"/>
        <w:keepLines w:val="0"/>
        <w:pageBreakBefore w:val="0"/>
        <w:widowControl w:val="0"/>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Dear Editors:</w:t>
      </w:r>
    </w:p>
    <w:p w14:paraId="59E79769">
      <w:pPr>
        <w:pStyle w:val="4"/>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submit the enclosed manuscript entitled </w:t>
      </w:r>
      <w:r>
        <w:rPr>
          <w:rFonts w:hint="default" w:ascii="Times New Roman" w:hAnsi="Times New Roman" w:cs="Times New Roman"/>
          <w:sz w:val="24"/>
          <w:szCs w:val="24"/>
          <w:b/>
          <w:bCs/>
        </w:rPr>
        <w:t xml:space="preserve">“The Queue Absorbs the Shock: Administrative Job Rationing, Delayed Retirement and the Blind Spot in Youth Unemployment Statistics”</w:t>
      </w:r>
      <w:r>
        <w:rPr>
          <w:rFonts w:hint="default" w:ascii="Times New Roman" w:hAnsi="Times New Roman" w:cs="Times New Roman"/>
          <w:sz w:val="24"/>
          <w:szCs w:val="24"/>
        </w:rPr>
        <w:t xml:space="preserve">, which we wish to be considered for publication in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for the Special Issue </w:t>
      </w:r>
      <w:r>
        <w:rPr>
          <w:rFonts w:hint="default" w:ascii="Times New Roman" w:hAnsi="Times New Roman" w:cs="Times New Roman"/>
          <w:sz w:val="24"/>
          <w:szCs w:val="24"/>
          <w:b/>
          <w:bCs/>
        </w:rPr>
        <w:t xml:space="preserve">“Systems Thinking and Modelling in Socio-Economic Systems.”</w:t>
      </w:r>
      <w:r>
        <w:rPr>
          <w:rFonts w:hint="default" w:ascii="Times New Roman" w:hAnsi="Times New Roman" w:cs="Times New Roman"/>
          <w:sz w:val="24"/>
          <w:szCs w:val="24"/>
        </w:rPr>
        <w:t xml:space="preserve"> Should that Special Issue have closed by the time of submission, we would be glad for the manuscript to be considered for the </w:t>
      </w:r>
      <w:r>
        <w:rPr>
          <w:rFonts w:hint="default" w:ascii="Times New Roman" w:hAnsi="Times New Roman" w:cs="Times New Roman"/>
          <w:sz w:val="24"/>
          <w:szCs w:val="24"/>
          <w:i/>
          <w:iCs/>
        </w:rPr>
        <w:t xml:space="preserve">Systems Practice in Social Science</w:t>
      </w:r>
      <w:r>
        <w:rPr>
          <w:rFonts w:hint="default" w:ascii="Times New Roman" w:hAnsi="Times New Roman" w:cs="Times New Roman"/>
          <w:sz w:val="24"/>
          <w:szCs w:val="24"/>
        </w:rPr>
        <w:t xml:space="preserve"> Section instead.</w:t>
      </w:r>
    </w:p>
    <w:p w14:paraId="3ECD5F1C">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conflict of interest exists in the submission of this manuscript, and the manuscript is approved by all authors for publication. I would like to declare on behalf of my co-authors that the work described was original research that has not been published previously and is not under consideration for publication elsewhere, in whole or in part. All authors listed have approved the manuscript that is enclosed.</w:t>
      </w:r>
    </w:p>
    <w:p w14:paraId="78DE10B5">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China began raising its statutory retirement age on 1 January 2025, and the public debate has been dominated by a single question: whether older workers staying longer will cost younger workers their jobs. This study shows that the question is the wrong one, and that the statistic used to answer it cannot detect what the reform actually does. We build a two-sector, two-age search-and-matching model in which an establishment sector whose headcount is fixed by administrative rule coexists with a free-entry market sector. Because establishment posts pay a large compensation premium and are allocated by examination, young workers queue for them exactly as rural migrants queue for urban jobs in Harris and Todaro. Six structural parameters are estimated so that the model reproduces six published Chinese labour-market moments exactly rather than approximately, and the estimated economy then reproduces a queueing duration that was never targeted and that matches independent evidence on repeat examination candidates.</w:t>
      </w:r>
    </w:p>
    <w:p w14:paraId="27F540D1">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innovations of this paper are as follows.</w:t>
      </w:r>
    </w:p>
    <w:p w14:paraId="7A4F2D90">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b/>
          <w:bCs/>
        </w:rPr>
        <w:t xml:space="preserve">(1) The paper separates two questions that the retirement debate has merged, and shows that the reassuring answer to the first does not carry over to the second.</w:t>
      </w:r>
      <w:r>
        <w:rPr>
          <w:rFonts w:hint="default" w:ascii="Times New Roman" w:hAnsi="Times New Roman" w:cs="Times New Roman"/>
          <w:sz w:val="24"/>
          <w:szCs w:val="24"/>
        </w:rPr>
        <w:t xml:space="preserve"> “Will I be displaced from a job I hold?” is governed by free entry, which restores what a shock takes away; our crowding-out coefficient is −0.0006, so the lump-of-labour hypothesis is rejected and the international consensus is reproduced in a model never calibrated to it. “Will the job I am preparing for still be there?” is governed by an administrative ceiling, which restores nothing, because there is no employer-side decision to restore. The chance that a member of an entering cohort ever holds a rationed job falls 5.7 per cent—about 127,000 young people a year at a cohort of 12.7 million—and a Shapley decomposition attributes the whole of that fall to the establishment’s shrinking replacement flow, with the horizon and demographic routes contributing exactly zero.</w:t>
      </w:r>
    </w:p>
    <w:p w14:paraId="75951CA2">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(2) The paper demonstrates, rather than asserts, that a headline indicator can be structurally blind to a large change.</w:t>
      </w:r>
      <w:r>
        <w:rPr>
          <w:rFonts w:hint="default" w:ascii="Times New Roman" w:hAnsi="Times New Roman" w:eastAsia="宋体" w:cs="Times New Roman"/>
          <w:sz w:val="24"/>
          <w:szCs w:val="24"/>
        </w:rPr>
        <w:t xml:space="preserve"> Over the full fifteen-year reform the youth unemployment rate moves by 0.029 percentage points. It does so not because nothing happens but because three channels of opposite sign almost exactly cancel inside it: in log points the quota route contributes −1.03, the horizon route +0.66 and the demographic route +0.52. Access falls 35 times more than the headline rate moves, in the estimated economy and in every one of 192 Latin hypercube draws over the parameters we did not estimate. The blindness is structural, not statistical: an unemployment rate is a stock ratio at a moment, while access to a rationed sector is a probability over a lifetime, and broadening the unemployment concept would not help because the people affected are employed. We therefore propose three administrative series—establishment hires per cohort, registered candidates per cohort, and the implied wait—that would have caught this, cost nothing, and are not currently published.</w:t>
      </w:r>
    </w:p>
    <w:p w14:paraId="3FE491FE">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(3) The paper prices the queue and shows that the intuitive remedy lowers welfare.</w:t>
      </w:r>
      <w:r>
        <w:rPr>
          <w:rFonts w:hint="default" w:ascii="Times New Roman" w:hAnsi="Times New Roman" w:eastAsia="宋体" w:cs="Times New Roman"/>
          <w:sz w:val="24"/>
          <w:szCs w:val="24"/>
        </w:rPr>
        <w:t xml:space="preserve"> The young people preparing full time for examinations forgo output worth 1.9 per cent of gross domestic product a year, and selection by examination would have to raise the productivity of every establishment worker by 46 per cent, permanently, for that to be efficient. At a common budget of 0.1 per cent of output, expanding the establishment—the response most often proposed—raises access but lowers welfare per head and returns 0.92 units of welfare per unit of public money, because the Harris–Todaro indifference condition restores the queue in proportion to whatever is added to the prize. Cutting the administered premium returns 1.59, and is the best of the three instruments in every uncertainty draw. Fully indexing the establishment to the labour force restores 177 per cent of the lost access but costs 1.38 per cent of output and lowers welfare per head. The paper therefore ends on a policy recommendation that runs against the direction of current practice, and on a measurement recommendation that costs nothing to adopt.</w:t>
      </w:r>
    </w:p>
    <w:p w14:paraId="34A7BE63">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believe that this manuscript fits well within the scope of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and the Special Issue “Systems Thinking and Modelling in Socio-Economic Systems”. The Special Issue calls for systems thinking and modelling applied to current socio-economic problems, and this paper is a worked instance of the classical systems proposition that a social system responds counterintuitively to intervention. A labour market with an administratively rationed segment is a coupled system, not a single market: a demographic shock propagates through three distinct routes that do not share a sign, and the aggregate indicator used to monitor the system adds them together and reports nothing. We can say exactly why the indicator is silent, decompose the offsetting forces by the Shapley value, measure how much larger the real change is than the measured one, and show that the intuitive remedy makes the system worse. The manuscript also connects directly to recent work in the journal on youth transition outcomes as emergent systemic properties and on employment systems modelled by simulation, to which it supplies an estimated general-equilibrium mechanism and a concrete proposal for what to measure instead.</w:t>
      </w:r>
    </w:p>
    <w:p w14:paraId="64E0EEA9">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sincerely appreciate your consideration of our manuscript and look forward to receiving comments from the reviewers.</w:t>
      </w:r>
    </w:p>
    <w:p w14:paraId="34C1AFF2">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40C896F8">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Degree: Ph.D.</w:t>
      </w:r>
    </w:p>
    <w:p w14:paraId="6A54732B">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Institution and address: College of Business, Jiaxing University;</w:t>
      </w:r>
      <w:r>
        <w:rPr>
          <w:rFonts w:hint="default" w:ascii="Times New Roman" w:hAnsi="Times New Roman" w:cs="Times New Roman"/>
          <w:sz w:val="24"/>
          <w:szCs w:val="24"/>
        </w:rPr>
        <w:t xml:space="preserve"> </w:t>
      </w:r>
      <w:r>
        <w:rPr>
          <w:rFonts w:hint="default" w:ascii="Times New Roman" w:hAnsi="Times New Roman" w:cs="Times New Roman"/>
          <w:sz w:val="24"/>
          <w:szCs w:val="24"/>
        </w:rPr>
        <w:t>Jiaxing 314001,China;</w:t>
      </w:r>
    </w:p>
    <w:p w14:paraId="44D338F9">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Email: </w:t>
      </w:r>
      <w:r>
        <w:rPr>
          <w:rFonts w:hint="default" w:ascii="Times New Roman" w:hAnsi="Times New Roman" w:cs="Times New Roman"/>
          <w:sz w:val="24"/>
          <w:szCs w:val="24"/>
        </w:rPr>
        <w:t>caixinyu@zjxu.edu.cn</w:t>
      </w:r>
    </w:p>
    <w:p w14:paraId="763D881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3199C55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Very sincerely yours,</w:t>
      </w:r>
    </w:p>
    <w:p w14:paraId="2E8BE344">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641F7432">
      <w:pPr>
        <w:keepNext w:val="0"/>
        <w:keepLines w:val="0"/>
        <w:pageBreakBefore w:val="0"/>
        <w:widowControl w:val="0"/>
        <w:tabs>
          <w:tab w:val="left" w:pos="7320"/>
        </w:tabs>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Xinyu Cai</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 w:val="63B41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Emphasis"/>
    <w:basedOn w:val="6"/>
    <w:qFormat/>
    <w:uiPriority w:val="20"/>
    <w:rPr>
      <w:i/>
    </w:rPr>
  </w:style>
  <w:style w:type="character" w:styleId="9">
    <w:name w:val="Hyperlink"/>
    <w:qFormat/>
    <w:uiPriority w:val="0"/>
    <w:rPr>
      <w:color w:val="0000FF"/>
      <w:u w:val="single"/>
    </w:rPr>
  </w:style>
  <w:style w:type="character" w:customStyle="1" w:styleId="10">
    <w:name w:val="页眉 字符"/>
    <w:basedOn w:val="6"/>
    <w:link w:val="3"/>
    <w:qFormat/>
    <w:uiPriority w:val="99"/>
    <w:rPr>
      <w:sz w:val="18"/>
      <w:szCs w:val="18"/>
    </w:rPr>
  </w:style>
  <w:style w:type="character" w:customStyle="1" w:styleId="11">
    <w:name w:val="页脚 字符"/>
    <w:basedOn w:val="6"/>
    <w:link w:val="2"/>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556</Words>
  <Characters>3627</Characters>
  <Lines>18</Lines>
  <Paragraphs>5</Paragraphs>
  <TotalTime>28</TotalTime>
  <ScaleCrop>false</ScaleCrop>
  <LinksUpToDate>false</LinksUpToDate>
  <CharactersWithSpaces>4225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2026-07-11T16:46:54Z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