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A Moving Target, Not a Tipping Point: Attractor Drift, Queue Congestion and Policy Sequencing in the Youth School-to-Work Transition System of China’s Prefecture-Level Cities</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Youth non-employment has risen in China even where labour markets remain tight and the digital economy is expanding, which conventional shortage-of-jobs and shortage-of-skills accounts explain poorly. We model the graduate school-to-work transition of China’s prefecture-level cities as a six-state feedback system in which search, exam-oriented queueing, matched and mismatched employment, employability capital and aspirations co-evolve with an employer skill threshold that rises with digitalisation. Six structural parameters are estimated by simulated method of moments against seven published national moments, all reproduced within 1.7 per cent. Continuation and a multi-start search across forty parameter cells find a unique stable fixed point, so the system has no tipping point. Instead its attractor drifts: the equilibrium rate rises from 0.117 to 0.637 between 2015 and 2040 while the realised state lags it by 1.7 years, so measured indicators understate structural deterioration. A three-year demand shock decays with a half-life of 1.5 years, whereas the threshold drift does not decay. A Sobol decomposition attributes 66.3 per cent of output variance to threshold sensitivity and 0.1 per cent to training intensity. At equal standardised effort, moderating threshold escalation lowers the 2040 rate by 0.157, roughly nineteen times the effect of vacancy creation, and deployment sequencing matters at unchanged cumulative effort.</w:t>
      </w:r>
    </w:p>
    <w:p w14:paraId="7EABB50A">
      <w:pPr>
        <w:pStyle w:val="176"/>
        <w:rPr>
          <w:szCs w:val="18"/>
        </w:rPr>
      </w:pPr>
      <w:r>
        <w:rPr>
          <w:b/>
          <w:szCs w:val="18"/>
        </w:rPr>
        <w:t xml:space="preserve">Keywords: </w:t>
      </w:r>
      <w:r>
        <w:rPr>
          <w:rFonts w:hint="eastAsia"/>
          <w:szCs w:val="18"/>
        </w:rPr>
        <w:t>youth employment; school-to-work transition; system dynamics; feedback loop dominance; slow employment; skill mismatch; digital economy; global sensitivity analysis; policy sequencing; prefecture-level cities</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Between 2015 and 2026 the number of graduates entering China’s labour market rose from roughly 7.5 million to 12.7 million a year, and the surveyed urban unemployment rate of 16–24-year-olds excluding students peaked at 18.9 per cent in August 2025 before easing to 16.3 per cent in the second quarter of 2026 [1,2]. What makes this pattern analytically awkward is that it did not occur in a slack labour market. Over the same decade the value added of China’s digital core industries rose to 10.5 per cent of gross domestic product in 2024 and is targeted to exceed 15 per cent by 2030 [1], and the vacancy-to-seeker ratio recorded by the public employment service has stayed above unity throughout. Jobs are being created; entry into them has nonetheless become slower and less certain. The phenomenon is national in scope but expressed locally: China’s roughly three hundred prefecture-level cities differ sharply in how fast their digital economies grow and in how many graduates they absorb [3,4], which makes the city the natural unit at which the mechanism operates.</w:t>
      </w:r>
    </w:p>
    <w:p>
      <w:pPr>
        <w:spacing w:after="120"/>
        <w:jc w:val="both"/>
      </w:pPr>
      <w:r>
        <w:rPr>
          <w:rFonts w:ascii="Palatino Linotype" w:hAnsi="Palatino Linotype" w:eastAsia="Palatino Linotype"/>
          <w:b w:val="0"/>
          <w:i w:val="0"/>
          <w:sz w:val="20"/>
        </w:rPr>
        <w:t>Three families of explanation dominate the literature, and each captures part of the phenomenon. The first is a quantity story: higher-education expansion has outpaced the creation of graduate-suitable positions [5,6]. The second is a quality story: graduates lack the competences that a digitalising economy rewards, so mismatch and over-education rise [7–9]. The third is a behavioural story: young people delay entry, queue for public-sector and institutional posts, or withdraw altogether, a pattern captured in China by the term "slow employment" and in Europe by the NEET construct [10–14]. Each story is supported by credible evidence. None of them, on its own, explains why the three symptoms move together, why they persist once a cyclical disturbance has passed, or why the instruments that governments actually deploy—vacancy subsidies and training programmes—produce so much less than their nominal scale would suggest.</w:t>
      </w:r>
    </w:p>
    <w:p>
      <w:pPr>
        <w:spacing w:after="120"/>
        <w:jc w:val="both"/>
      </w:pPr>
      <w:r>
        <w:rPr>
          <w:rFonts w:ascii="Palatino Linotype" w:hAnsi="Palatino Linotype" w:eastAsia="Palatino Linotype"/>
          <w:b w:val="0"/>
          <w:i w:val="0"/>
          <w:sz w:val="20"/>
        </w:rPr>
        <w:t>The reason, we argue, is that quantity, quality and behaviour are not three competing causes but three state variables of one feedback system. Employers set a hiring threshold that responds to the technology they deploy and to the mismatch they observe. Graduates accumulate and lose employability capital depending on how long they search and on what they do while waiting. Aspirations adapt to attainable job quality, but slowly and from a sticky anchor set by educational attainment and family reservation support. A queue for scarce institutional posts absorbs part of each cohort, and its attractiveness depends on a success probability that the queue itself destroys. These couplings generate behaviour that no single-cause account anticipates, and they are exactly the kind of structure that systems practice in the social sciences was developed to analyse [15–17].</w:t>
      </w:r>
    </w:p>
    <w:p>
      <w:pPr>
        <w:spacing w:after="120"/>
        <w:jc w:val="both"/>
      </w:pPr>
      <w:r>
        <w:rPr>
          <w:rFonts w:ascii="Palatino Linotype" w:hAnsi="Palatino Linotype" w:eastAsia="Palatino Linotype"/>
          <w:b w:val="0"/>
          <w:i w:val="0"/>
          <w:sz w:val="20"/>
        </w:rPr>
        <w:t>This paper builds and analyses such a system. We formulate a six-state continuous-time model of the graduate school-to-work transition in China, calibrate six structural parameters by simulated method of moments against seven published moments, and subject the calibrated model to a sequence of structural and statistical tests: fixed-point continuation and a multi-start uniqueness search, eigenvalue analysis, loop-deactivation experiments in the sense of Ford [18], Latin-hypercube Monte Carlo, Sobol variance decomposition [19,20], logistic and tree-based meta-modelling of the simulation output, and equal-effort policy experiments including deployment sequencing. Because prefecture-level cities differ in the speed of their digital transition rather than in the structure of their transition system, city heterogeneity is represented by parameterising the same model three ways rather than by adding a spatial dimension.</w:t>
      </w:r>
    </w:p>
    <w:p>
      <w:pPr>
        <w:spacing w:after="120"/>
        <w:jc w:val="both"/>
      </w:pPr>
      <w:r>
        <w:rPr>
          <w:rFonts w:ascii="Palatino Linotype" w:hAnsi="Palatino Linotype" w:eastAsia="Palatino Linotype"/>
          <w:b w:val="0"/>
          <w:i w:val="0"/>
          <w:sz w:val="20"/>
        </w:rPr>
        <w:t>Four findings follow, and three of them are negative results that we consider as informative as the positive ones. First, the system is globally monostable over the entire plausible parameter region we searched. There is no tipping point, no second attractor and no hysteresis. Second, what the system does have is a drifting attractor: the equilibrium towards which it moves rises from a non-employment rate of 0.117 in 2015 to 0.637 in 2040, and because the slowest relaxation time of the system is exactly eight years, the observed state lags this moving target by about 1.7 years on average. Measured youth non-employment therefore understates structural deterioration, systematically and by a knowable amount. Third, transitory demand shocks are absorbed: a three-year, 25 per cent reduction in the responsiveness of vacancies to digitalisation raises non-employment by at most 0.125 and decays with a half-life of 1.5 years. The youth employment problem of a digitalising economy is not a business-cycle problem. Fourth, the instrument that matters is not the one that is usually deployed. At equal standardised effort, moderating the rate at which employers raise the hiring bar reduces the 2040 non-employment rate by 0.157, against 0.008 for vacancy creation and 0.004 for training intensity.</w:t>
      </w:r>
    </w:p>
    <w:p>
      <w:pPr>
        <w:spacing w:after="120"/>
        <w:jc w:val="both"/>
      </w:pPr>
      <w:r>
        <w:rPr>
          <w:rFonts w:ascii="Palatino Linotype" w:hAnsi="Palatino Linotype" w:eastAsia="Palatino Linotype"/>
          <w:b w:val="0"/>
          <w:i w:val="0"/>
          <w:sz w:val="20"/>
        </w:rPr>
        <w:t>The contribution is threefold. Theoretically, we show that the youth employment predicament of a rapidly digitalising economy is better described as attractor drift under a slowly adjusting state than as a trap in the bistability sense, and we identify the specific feedback—endogenous escalation of the employer skill threshold—that drives the drift. Methodologically, we combine loop-deactivation dominance analysis with a full variance-based sensitivity decomposition and a statistical meta-model of the simulation output, so that structural claims and statistical claims are made about the same object. Practically, we provide an effort-normalised ranking of five policy families, a sequencing result showing that expectation guidance should precede rather than follow matching-efficiency investment, and an archetype analysis showing that the most digitally advanced prefecture-level cities face the steepest deterioration, while the intermediate manufacturing cities offer the largest absolute policy dividend.</w:t>
      </w:r>
    </w:p>
    <w:p>
      <w:pPr>
        <w:spacing w:after="120"/>
        <w:jc w:val="both"/>
      </w:pPr>
      <w:r>
        <w:rPr>
          <w:rFonts w:ascii="Palatino Linotype" w:hAnsi="Palatino Linotype" w:eastAsia="Palatino Linotype"/>
          <w:b w:val="0"/>
          <w:i w:val="0"/>
          <w:sz w:val="20"/>
        </w:rPr>
        <w:t>The remainder of the paper is organised as follows. Section 2 sets the system boundary and derives the feedback structure. Section 3 presents the model, the calibration and the analysis design. Section 4 reports results. Section 5 discusses their theoretical, methodological and policy implications, and their limits. Section 6 concludes.</w:t>
      </w:r>
    </w:p>
    <w:p>
      <w:pPr>
        <w:keepNext/>
        <w:spacing w:before="200" w:after="80"/>
      </w:pPr>
      <w:r>
        <w:rPr>
          <w:rFonts w:ascii="Palatino Linotype" w:hAnsi="Palatino Linotype" w:eastAsia="Palatino Linotype"/>
          <w:b/>
          <w:i w:val="0"/>
          <w:sz w:val="24"/>
        </w:rPr>
        <w:t>2. Theoretical Background and System Boundary</w:t>
      </w:r>
    </w:p>
    <w:p>
      <w:pPr>
        <w:keepNext/>
        <w:spacing w:before="140" w:after="80"/>
      </w:pPr>
      <w:r>
        <w:rPr>
          <w:rFonts w:ascii="Palatino Linotype" w:hAnsi="Palatino Linotype" w:eastAsia="Palatino Linotype"/>
          <w:b/>
          <w:i w:val="0"/>
          <w:sz w:val="20"/>
        </w:rPr>
        <w:t>2.1. Youth Non-Employment as a System-Level Outcome</w:t>
      </w:r>
    </w:p>
    <w:p>
      <w:pPr>
        <w:spacing w:after="120"/>
        <w:jc w:val="both"/>
      </w:pPr>
      <w:r>
        <w:rPr>
          <w:rFonts w:ascii="Palatino Linotype" w:hAnsi="Palatino Linotype" w:eastAsia="Palatino Linotype"/>
          <w:b w:val="0"/>
          <w:i w:val="0"/>
          <w:sz w:val="20"/>
        </w:rPr>
        <w:t>A recurring insight of recent work on youth exclusion is that the outcome is emergent rather than attributable. Grigorescu, Alistar and Lincaru [12] model NEET vulnerability across 28 European countries as the joint product of digital-skill, behavioural and territorial subsystems, and show through a decision-tree analysis that the relationship between digital agency and exclusion is threshold-like rather than linear. Chacón-Cuberos and colleagues [21] approach the same construct from the individual side, validating a four-factor employability-thinking scale among 949 students in training and showing that ethical self-regulation, communication, proactivity and analytical thinking form a single inter-correlated competence system rather than separable skills. Both studies point in the same direction: youth labour-market outcomes are produced by interacting components whose joint behaviour differs from the sum of their separate effects. A parallel literature on institutional variation in school-to-work transitions [22,23] and on digital divides across European populations [24,25] reaches the same conclusion from different directions, as does work on how careers unfold under technological change [26–28].</w:t>
      </w:r>
    </w:p>
    <w:p>
      <w:pPr>
        <w:spacing w:after="120"/>
        <w:jc w:val="both"/>
      </w:pPr>
      <w:r>
        <w:rPr>
          <w:rFonts w:ascii="Palatino Linotype" w:hAnsi="Palatino Linotype" w:eastAsia="Palatino Linotype"/>
          <w:b w:val="0"/>
          <w:i w:val="0"/>
          <w:sz w:val="20"/>
        </w:rPr>
        <w:t>Neither study, however, is dynamic. Cross-sectional and panel designs identify which variables matter; they cannot say how the configuration of those variables evolves, how fast it responds to intervention, or which of the couplings between them dominates observed behaviour at a given moment. That is the gap this paper addresses. The natural instrument is a small, transparent feedback model of the kind Ghaffarzadegan, Lyneis and Richardson [17] advocate for public policy: small enough that every loop can be named and tested, rich enough that the couplings which generate the puzzle are present.</w:t>
      </w:r>
    </w:p>
    <w:p>
      <w:pPr>
        <w:keepNext/>
        <w:spacing w:before="140" w:after="80"/>
      </w:pPr>
      <w:r>
        <w:rPr>
          <w:rFonts w:ascii="Palatino Linotype" w:hAnsi="Palatino Linotype" w:eastAsia="Palatino Linotype"/>
          <w:b/>
          <w:i w:val="0"/>
          <w:sz w:val="20"/>
        </w:rPr>
        <w:t>2.2. Why the Received Explanations Under-Determine the Dynamics</w:t>
      </w:r>
    </w:p>
    <w:p>
      <w:pPr>
        <w:spacing w:after="120"/>
        <w:jc w:val="both"/>
      </w:pPr>
      <w:r>
        <w:rPr>
          <w:rFonts w:ascii="Palatino Linotype" w:hAnsi="Palatino Linotype" w:eastAsia="Palatino Linotype"/>
          <w:b w:val="0"/>
          <w:i w:val="0"/>
          <w:sz w:val="20"/>
        </w:rPr>
        <w:t>The quantity account holds that graduate supply has outrun graduate-suitable demand. It is consistent with the expansion evidence [5] and with cross-country panel estimates linking tertiary enrolment to youth unemployment [29]. Yet the vacancy-to-seeker ratio recorded by China’s public employment service has remained above unity, and digital-industry expansion has been rapid and job-creating in the very cities where graduate non-employment has risen fastest [3,30,31]. A pure quantity account predicts falling market tightness alongside rising non-employment; the data show the two moving in opposite directions.</w:t>
      </w:r>
    </w:p>
    <w:p>
      <w:pPr>
        <w:spacing w:after="120"/>
        <w:jc w:val="both"/>
      </w:pPr>
      <w:r>
        <w:rPr>
          <w:rFonts w:ascii="Palatino Linotype" w:hAnsi="Palatino Linotype" w:eastAsia="Palatino Linotype"/>
          <w:b w:val="0"/>
          <w:i w:val="0"/>
          <w:sz w:val="20"/>
        </w:rPr>
        <w:t>The quality account holds that graduates lack the competences employers now require. It is supported by the mismatch literature for China [8,32–34] and by evidence that digital and intelligent technologies shift demand towards higher-order skills [9,35–38]. But this account treats the required skill level as exogenous. If employers respond to observed mismatch by raising screening standards further—demanding more experience, higher credentials or narrower specialisation—then the gap between what graduates have and what employers require is partly self-generated, and training alone will chase a target that moves in response to being chased.</w:t>
      </w:r>
    </w:p>
    <w:p>
      <w:pPr>
        <w:spacing w:after="120"/>
        <w:jc w:val="both"/>
      </w:pPr>
      <w:r>
        <w:rPr>
          <w:rFonts w:ascii="Palatino Linotype" w:hAnsi="Palatino Linotype" w:eastAsia="Palatino Linotype"/>
          <w:b w:val="0"/>
          <w:i w:val="0"/>
          <w:sz w:val="20"/>
        </w:rPr>
        <w:t>The behavioural account holds that young people delay entry. In China this takes an institutionally specific form. The national civil-service examination attracted 3.72 million qualified applicants for 38,100 posts in the 2026 cycle, and the ratio of candidates sitting the examination to posts rose from 77:1 to 98:1 over three cycles. Delayed entry of this kind is not idleness: it is a rational option purchase whose value depends on a success probability of roughly one per cent. That such a probability sustains a queue of this size is difficult to reconcile with expected-utility reasoning but entirely consistent with the systematic over-weighting of small probabilities documented in prospect theory [39,40]. The behavioural account therefore requires a specific functional form, not merely a taste parameter.</w:t>
      </w:r>
    </w:p>
    <w:p>
      <w:pPr>
        <w:keepNext/>
        <w:spacing w:before="140" w:after="80"/>
      </w:pPr>
      <w:r>
        <w:rPr>
          <w:rFonts w:ascii="Palatino Linotype" w:hAnsi="Palatino Linotype" w:eastAsia="Palatino Linotype"/>
          <w:b/>
          <w:i w:val="0"/>
          <w:sz w:val="20"/>
        </w:rPr>
        <w:t>2.3. The Feedback Structure of the Transition System</w:t>
      </w:r>
    </w:p>
    <w:p>
      <w:pPr>
        <w:spacing w:after="120"/>
        <w:jc w:val="both"/>
      </w:pPr>
      <w:r>
        <w:rPr>
          <w:rFonts w:ascii="Palatino Linotype" w:hAnsi="Palatino Linotype" w:eastAsia="Palatino Linotype"/>
          <w:b w:val="0"/>
          <w:i w:val="0"/>
          <w:sz w:val="20"/>
        </w:rPr>
        <w:t>Combining the three accounts as coupled state variables rather than competing causes yields the causal structure of Figure 1. Seven feedback loops are identified, four reinforcing and three balancing. Their polarities are derived analytically from the sign of the product of link polarities around each cycle, and are confirmed numerically in Section 4.5.</w:t>
      </w:r>
    </w:p>
    <w:p>
      <w:pPr>
        <w:spacing w:after="40"/>
        <w:jc w:val="center"/>
      </w:pPr>
      <w:r>
        <w:drawing>
          <wp:inline distT="0" distB="0" distL="114300" distR="114300">
            <wp:extent cx="5989320" cy="414173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20"/>
                    <a:stretch>
                      <a:fillRect/>
                    </a:stretch>
                  </pic:blipFill>
                  <pic:spPr>
                    <a:xfrm>
                      <a:off x="0" y="0"/>
                      <a:ext cx="5989320" cy="4141732"/>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Causal loop diagram of the youth school-to-work transition system. Shaded boxes are stocks; the shaded oval at the top left is the exogenous driver. A plus sign denotes a same-direction link, a minus sign an opposite-direction link. Loop polarities are the products of the link polarities around each cycle.</w:t>
      </w:r>
    </w:p>
    <w:p>
      <w:pPr>
        <w:spacing w:after="120"/>
        <w:jc w:val="both"/>
      </w:pPr>
      <w:r>
        <w:rPr>
          <w:rFonts w:ascii="Palatino Linotype" w:hAnsi="Palatino Linotype" w:eastAsia="Palatino Linotype"/>
          <w:b w:val="0"/>
          <w:i w:val="0"/>
          <w:sz w:val="20"/>
        </w:rPr>
        <w:t>Loop R1, skill decay while searching, is the classical scarring mechanism: a larger searcher pool dilutes the renewal of employability capital by fresh graduates and lengthens exposure to depreciation, which lowers the skill–threshold gap, reduces the screening pass rate, and enlarges the searcher pool further. Loop R2, queue–skill erosion, operates through the queue: time spent preparing for examinations builds credentials that the market does not price, so discouraged returnees re-enter search with degraded market-relevant capital, which lowers the value of open search and pushes the next cohort towards the queue. Loop R3, threshold escalation, is the mechanism the quality account omits: observed mismatch raises the effective hiring bar, which produces more mismatch. Loop R4, thin-market offer quality, is a congestion externality: a larger searcher pool lowers market tightness, which lowers offered job quality, which lowers acceptance and enlarges the pool.</w:t>
      </w:r>
    </w:p>
    <w:p>
      <w:pPr>
        <w:spacing w:after="120"/>
        <w:jc w:val="both"/>
      </w:pPr>
      <w:r>
        <w:rPr>
          <w:rFonts w:ascii="Palatino Linotype" w:hAnsi="Palatino Linotype" w:eastAsia="Palatino Linotype"/>
          <w:b w:val="0"/>
          <w:i w:val="0"/>
          <w:sz w:val="20"/>
        </w:rPr>
        <w:t>Against these, three balancing loops operate. Loop B1 is the ordinary matching loop of search theory [41]: more searchers generate more meetings and therefore more hires. Loop B2 is aspiration adjustment: sustained failure lowers the reservation threshold, which raises acceptance. Loop B3 is exam-queue congestion: a longer queue lowers the realised success rate, which lowers the perceived value of queueing. Whether the system deteriorates therefore depends not on any single loop but on which loops dominate at which time—a question that can only be answered by deactivating them one at a time in a calibrated model [18].</w:t>
      </w:r>
    </w:p>
    <w:p>
      <w:pPr>
        <w:keepNext/>
        <w:spacing w:before="140" w:after="80"/>
      </w:pPr>
      <w:r>
        <w:rPr>
          <w:rFonts w:ascii="Palatino Linotype" w:hAnsi="Palatino Linotype" w:eastAsia="Palatino Linotype"/>
          <w:b/>
          <w:i w:val="0"/>
          <w:sz w:val="20"/>
        </w:rPr>
        <w:t>2.4. Research Questions</w:t>
      </w:r>
    </w:p>
    <w:p>
      <w:pPr>
        <w:spacing w:after="120"/>
        <w:jc w:val="both"/>
      </w:pPr>
      <w:r>
        <w:rPr>
          <w:rFonts w:ascii="Palatino Linotype" w:hAnsi="Palatino Linotype" w:eastAsia="Palatino Linotype"/>
          <w:b w:val="0"/>
          <w:i w:val="0"/>
          <w:sz w:val="20"/>
        </w:rPr>
        <w:t>The analysis is organised around four questions. RQ1: does the transition system possess multiple equilibria, so that the observed deterioration can be described as a trap in the bistability sense, or a single attractor that moves? RQ2: how fast does the system adjust, and how large is the gap between the realised state and its instantaneous equilibrium? RQ3: which feedback loops and which structural parameters dominate the behaviour, and how much of the outcome uncertainty does each explain? RQ4: at equal effort, which policy instruments move the system furthest, and does the order in which they are deployed matter?</w:t>
      </w:r>
    </w:p>
    <w:p>
      <w:pPr>
        <w:keepNext/>
        <w:spacing w:before="200" w:after="80"/>
      </w:pPr>
      <w:r>
        <w:rPr>
          <w:rFonts w:ascii="Palatino Linotype" w:hAnsi="Palatino Linotype" w:eastAsia="Palatino Linotype"/>
          <w:b/>
          <w:i w:val="0"/>
          <w:sz w:val="24"/>
        </w:rPr>
        <w:t>3. Model and Methods</w:t>
      </w:r>
    </w:p>
    <w:p>
      <w:pPr>
        <w:keepNext/>
        <w:spacing w:before="140" w:after="80"/>
      </w:pPr>
      <w:r>
        <w:rPr>
          <w:rFonts w:ascii="Palatino Linotype" w:hAnsi="Palatino Linotype" w:eastAsia="Palatino Linotype"/>
          <w:b/>
          <w:i w:val="0"/>
          <w:sz w:val="20"/>
        </w:rPr>
        <w:t>3.1. System Boundary</w:t>
      </w:r>
    </w:p>
    <w:p>
      <w:pPr>
        <w:spacing w:after="120"/>
        <w:jc w:val="both"/>
      </w:pPr>
      <w:r>
        <w:rPr>
          <w:rFonts w:ascii="Palatino Linotype" w:hAnsi="Palatino Linotype" w:eastAsia="Palatino Linotype"/>
          <w:b w:val="0"/>
          <w:i w:val="0"/>
          <w:sz w:val="20"/>
        </w:rPr>
        <w:t>The model represents the population of degree-holding labour-market entrants in China during an eight-year youth window, indexed in units of 10 thousand persons. Endogenous are the allocation of that population across search, delayed entry, well-matched and mismatched employment; the mean employability capital of searchers; and the mean aspiration threshold. Exogenous are the size and growth of the entering cohort, the growth of vacancies, the intensity of digital transformation, and the number of institutional posts. Firms are not modelled as optimising agents; their behaviour enters through the hiring threshold and the offer-quality function. Wages appear only through a composite job-quality index. Geography enters through the prefecture-level city archetypes of Section 4.10: the same structure is re-parameterised to represent the three broad city types into which China’s prefecture-level cities fall, rather than being embedded in an explicit spatial model. The horizon is 2015 to 2040 with 2025 as the policy-intervention date.</w:t>
      </w:r>
    </w:p>
    <w:p>
      <w:pPr>
        <w:keepNext/>
        <w:spacing w:before="140" w:after="80"/>
      </w:pPr>
      <w:r>
        <w:rPr>
          <w:rFonts w:ascii="Palatino Linotype" w:hAnsi="Palatino Linotype" w:eastAsia="Palatino Linotype"/>
          <w:b/>
          <w:i w:val="0"/>
          <w:sz w:val="20"/>
        </w:rPr>
        <w:t>3.2. Stocks, Flows and Rate Equations</w:t>
      </w:r>
    </w:p>
    <w:p>
      <w:pPr>
        <w:spacing w:after="120"/>
        <w:jc w:val="both"/>
      </w:pPr>
      <w:r>
        <w:rPr>
          <w:rFonts w:ascii="Palatino Linotype" w:hAnsi="Palatino Linotype" w:eastAsia="Palatino Linotype"/>
          <w:b w:val="0"/>
          <w:i w:val="0"/>
          <w:sz w:val="20"/>
        </w:rPr>
        <w:t xml:space="preserve">Six state variables are tracked. Four are population stocks: open searchers </w:t>
      </w:r>
      <m:oMath>
        <m:r>
          <m:rPr/>
          <m:t>S</m:t>
        </m:r>
      </m:oMath>
      <w:r>
        <w:rPr>
          <w:rFonts w:ascii="Palatino Linotype" w:hAnsi="Palatino Linotype" w:eastAsia="Palatino Linotype"/>
          <w:b w:val="0"/>
          <w:i w:val="0"/>
          <w:sz w:val="20"/>
        </w:rPr>
        <w:t xml:space="preserve">, exam-oriented queuers </w:t>
      </w:r>
      <m:oMath>
        <m:r>
          <m:rPr/>
          <m:t>Q</m:t>
        </m:r>
      </m:oMath>
      <w:r>
        <w:rPr>
          <w:rFonts w:ascii="Palatino Linotype" w:hAnsi="Palatino Linotype" w:eastAsia="Palatino Linotype"/>
          <w:b w:val="0"/>
          <w:i w:val="0"/>
          <w:sz w:val="20"/>
        </w:rPr>
        <w:t xml:space="preserve">, well-matched employment </w:t>
      </w:r>
      <m:oMath>
        <m:r>
          <m:rPr/>
          <m:t>M</m:t>
        </m:r>
      </m:oMath>
      <w:r>
        <w:rPr>
          <w:rFonts w:ascii="Palatino Linotype" w:hAnsi="Palatino Linotype" w:eastAsia="Palatino Linotype"/>
          <w:b w:val="0"/>
          <w:i w:val="0"/>
          <w:sz w:val="20"/>
        </w:rPr>
        <w:t xml:space="preserve"> and mismatched employment </w:t>
      </w:r>
      <m:oMath>
        <m:r>
          <m:rPr/>
          <m:t>U</m:t>
        </m:r>
      </m:oMath>
      <w:r>
        <w:rPr>
          <w:rFonts w:ascii="Palatino Linotype" w:hAnsi="Palatino Linotype" w:eastAsia="Palatino Linotype"/>
          <w:b w:val="0"/>
          <w:i w:val="0"/>
          <w:sz w:val="20"/>
        </w:rPr>
        <w:t xml:space="preserve">. Two are intensive states: the mean employability capital of the searching pool </w:t>
      </w:r>
      <m:oMath>
        <m:r>
          <m:rPr/>
          <m:t>H</m:t>
        </m:r>
      </m:oMath>
      <w:r>
        <w:rPr>
          <w:rFonts w:ascii="Palatino Linotype" w:hAnsi="Palatino Linotype" w:eastAsia="Palatino Linotype"/>
          <w:b w:val="0"/>
          <w:i w:val="0"/>
          <w:sz w:val="20"/>
        </w:rPr>
        <w:t xml:space="preserve"> and the mean aspiration threshold </w:t>
      </w:r>
      <m:oMath>
        <m:r>
          <m:rPr/>
          <m:t>A</m:t>
        </m:r>
      </m:oMath>
      <w:r>
        <w:rPr>
          <w:rFonts w:ascii="Palatino Linotype" w:hAnsi="Palatino Linotype" w:eastAsia="Palatino Linotype"/>
          <w:b w:val="0"/>
          <w:i w:val="0"/>
          <w:sz w:val="20"/>
        </w:rPr>
        <w:t>, both indices on the unit interval. Table 1 defines them together with the outcome indicators. Figure 2 gives the stock-and-flow structure.</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State variables, auxiliary variables and outcome indicators.</w:t>
      </w:r>
    </w:p>
    <w:tbl>
      <w:tblPr>
        <w:tblW w:w="0" w:type="auto"/>
        <w:jc w:val="center"/>
        <w:tblLayout w:type="fixed"/>
        <w:tblCellMar>
          <w:top w:w="0" w:type="dxa"/>
          <w:left w:w="40" w:type="dxa"/>
          <w:bottom w:w="0" w:type="dxa"/>
          <w:right w:w="40" w:type="dxa"/>
        </w:tblCellMar>
      </w:tblPr>
      <w:tblGrid>
        <w:gridCol w:w="1050"/>
        <w:gridCol w:w="3700"/>
        <w:gridCol w:w="1900"/>
        <w:gridCol w:w="1500"/>
      </w:tblGrid>
      <w:tr>
        <w:trPr>
          <w:tblHeader/>
          <w:jc w:val="center"/>
        </w:trPr>
        <w:tc>
          <w:tcPr>
            <w:tcW w:w="1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Symbol</w:t>
            </w:r>
          </w:p>
        </w:tc>
        <w:tc>
          <w:tcPr>
            <w:tcW w:w="37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Name</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Unit</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Role</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S</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Open searchers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Q</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Exam-oriented queuers (delayed entry)</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M</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Well-matched 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U</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Mismatched (over-educated) 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H</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employability capital of searchers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 (0–1)</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A</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aspiration (reservation quality)</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 (0–1)</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Stock</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\Psi</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 core industries, share of GDP</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Exogenous driver</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θ</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Employer skill threshold</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x</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Skill–threshold gap, </w:t>
            </w:r>
            <m:oMath>
              <m:r>
                <m:rPr/>
                <m:t>H</m:t>
              </m:r>
            </m:oMath>
            <w:r>
              <w:rPr>
                <w:rFonts w:ascii="Palatino Linotype" w:hAnsi="Palatino Linotype" w:eastAsia="Palatino Linotype"/>
                <w:b w:val="0"/>
                <w:i w:val="0"/>
                <w:sz w:val="16"/>
              </w:rPr>
              <w:t xml:space="preserve"> − </w:t>
            </w:r>
            <m:oMath>
              <m:r>
                <m:rPr/>
                <m:t>θ</m:t>
              </m:r>
            </m:oMath>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ϑ</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Market tightness, vacancies per searcher</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Ratio</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q</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Offered job quality</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Index</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h</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Hiring rate</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10⁴ persons yr⁻¹</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Auxiliary</w:t>
            </w:r>
          </w:p>
        </w:tc>
      </w:tr>
      <w:tr>
        <w:trPr>
          <w:jc w:val="center"/>
        </w:trPr>
        <w:tc>
          <w:tcPr>
            <w:tcW w:w="1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NER</w:t>
            </w:r>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Youth non-employment rate, (</w:t>
            </w:r>
            <m:oMath>
              <m:r>
                <m:rPr/>
                <m:t>S</m:t>
              </m:r>
            </m:oMath>
            <w:r>
              <w:rPr>
                <w:rFonts w:ascii="Palatino Linotype" w:hAnsi="Palatino Linotype" w:eastAsia="Palatino Linotype"/>
                <w:b w:val="0"/>
                <w:i w:val="0"/>
                <w:sz w:val="16"/>
              </w:rPr>
              <w:t>+</w:t>
            </w:r>
            <m:oMath>
              <m:r>
                <m:rPr/>
                <m:t>Q</m:t>
              </m:r>
            </m:oMath>
            <w:r>
              <w:rPr>
                <w:rFonts w:ascii="Palatino Linotype" w:hAnsi="Palatino Linotype" w:eastAsia="Palatino Linotype"/>
                <w:b w:val="0"/>
                <w:i w:val="0"/>
                <w:sz w:val="16"/>
              </w:rPr>
              <w:t>)/pool</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r>
        <w:trPr>
          <w:jc w:val="center"/>
        </w:trPr>
        <w:tc>
          <w:tcPr>
            <w:tcW w:w="1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w:t>
            </w:r>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Slow-employment share of entrants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r>
        <w:trPr>
          <w:jc w:val="center"/>
        </w:trPr>
        <w:tc>
          <w:tcPr>
            <w:tcW w:w="1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MM</w:t>
            </w:r>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Vertical mismatch share of 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r>
        <w:trPr>
          <w:jc w:val="center"/>
        </w:trPr>
        <w:tc>
          <w:tcPr>
            <w:tcW w:w="1050" w:type="dxa"/>
            <w:tcBorders>
              <w:top w:val="nil"/>
              <w:left w:val="nil"/>
              <w:bottom w:val="nil"/>
              <w:right w:val="nil"/>
            </w:tcBorders>
          </w:tcPr>
          <w:p>
            <w:pPr>
              <w:spacing w:before="0" w:after="0" w:line="240" w:lineRule="auto"/>
              <w:ind w:left="0"/>
              <w:jc w:val="left"/>
              <w:rPr>
                <w:sz w:val="19"/>
              </w:rPr>
            </w:pPr>
            <m:oMath>
              <m:r>
                <m:rPr/>
                <m:t>D</m:t>
              </m:r>
            </m:oMath>
          </w:p>
        </w:tc>
        <w:tc>
          <w:tcPr>
            <w:tcW w:w="3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transition duration to stable employment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Years</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r>
        <w:trPr>
          <w:jc w:val="center"/>
        </w:trPr>
        <w:tc>
          <w:tcPr>
            <w:tcW w:w="1050" w:type="dxa"/>
            <w:tcBorders>
              <w:top w:val="nil"/>
              <w:left w:val="nil"/>
              <w:bottom w:val="single" w:color="000000" w:sz="8" w:space="0"/>
              <w:right w:val="nil"/>
            </w:tcBorders>
          </w:tcPr>
          <w:p>
            <w:pPr>
              <w:spacing w:before="0" w:after="0" w:line="240" w:lineRule="auto"/>
              <w:ind w:left="0"/>
              <w:jc w:val="left"/>
              <w:rPr>
                <w:sz w:val="19"/>
              </w:rPr>
            </w:pPr>
            <m:oMath>
              <m:r>
                <m:rPr/>
                <m:t>R</m:t>
              </m:r>
            </m:oMath>
          </w:p>
        </w:tc>
        <w:tc>
          <w:tcPr>
            <w:tcW w:w="37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Queue-to-seat ratio (exam congestion)</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Ratio</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Outcome</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The pool is </w:t>
      </w:r>
      <m:oMath>
        <m:r>
          <m:rPr/>
          <m:t>S</m:t>
        </m:r>
      </m:oMath>
      <w:r>
        <w:rPr>
          <w:rFonts w:ascii="Palatino Linotype" w:hAnsi="Palatino Linotype" w:eastAsia="Palatino Linotype"/>
          <w:b w:val="0"/>
          <w:i w:val="0"/>
          <w:sz w:val="14"/>
        </w:rPr>
        <w:t xml:space="preserve"> + </w:t>
      </w:r>
      <m:oMath>
        <m:r>
          <m:rPr/>
          <m:t>Q</m:t>
        </m:r>
      </m:oMath>
      <w:r>
        <w:rPr>
          <w:rFonts w:ascii="Palatino Linotype" w:hAnsi="Palatino Linotype" w:eastAsia="Palatino Linotype"/>
          <w:b w:val="0"/>
          <w:i w:val="0"/>
          <w:sz w:val="14"/>
        </w:rPr>
        <w:t xml:space="preserve"> + </w:t>
      </w:r>
      <m:oMath>
        <m:r>
          <m:rPr/>
          <m:t>M</m:t>
        </m:r>
      </m:oMath>
      <w:r>
        <w:rPr>
          <w:rFonts w:ascii="Palatino Linotype" w:hAnsi="Palatino Linotype" w:eastAsia="Palatino Linotype"/>
          <w:b w:val="0"/>
          <w:i w:val="0"/>
          <w:sz w:val="14"/>
        </w:rPr>
        <w:t xml:space="preserve"> + </w:t>
      </w:r>
      <m:oMath>
        <m:r>
          <m:rPr/>
          <m:t>U</m:t>
        </m:r>
      </m:oMath>
      <w:r>
        <w:rPr>
          <w:rFonts w:ascii="Palatino Linotype" w:hAnsi="Palatino Linotype" w:eastAsia="Palatino Linotype"/>
          <w:b w:val="0"/>
          <w:i w:val="0"/>
          <w:sz w:val="14"/>
        </w:rPr>
        <w:t>. GDP denotes gross domestic product. Transition duration is obtained from the stock–flow identity of Little’s law applied to the non-employed stock and the inflow into stable employment.</w:t>
      </w:r>
    </w:p>
    <w:p>
      <w:pPr>
        <w:spacing w:after="40"/>
        <w:jc w:val="center"/>
      </w:pPr>
      <w:r>
        <w:drawing>
          <wp:inline distT="0" distB="0" distL="114300" distR="114300">
            <wp:extent cx="5989320" cy="382641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1"/>
                    <a:stretch>
                      <a:fillRect/>
                    </a:stretch>
                  </pic:blipFill>
                  <pic:spPr>
                    <a:xfrm>
                      <a:off x="0" y="0"/>
                      <a:ext cx="5989320" cy="3826415"/>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Stock-and-flow structure. Rectangles are stocks, bow-tie symbols are rate-controlling valves, clouds are boundaries of the system. The two intensive states and the behavioural rate equations are shown at the right.</w:t>
      </w:r>
    </w:p>
    <w:p>
      <w:pPr>
        <w:spacing w:after="120"/>
        <w:jc w:val="both"/>
      </w:pPr>
      <w:r>
        <w:rPr>
          <w:rFonts w:ascii="Palatino Linotype" w:hAnsi="Palatino Linotype" w:eastAsia="Palatino Linotype"/>
          <w:b w:val="0"/>
          <w:i w:val="0"/>
          <w:sz w:val="20"/>
        </w:rPr>
        <w:t>Digital transformation follows a logistic path fitted by least squares to the published national share of digital core industries in gross domestic product for 2020, 2023 and 2024 together with the 2030 policy target, with a maximum absolute residual of 0.06 percentage points [1]:</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Ψ</m:t>
        </m:r>
        <m:d>
          <m:dPr>
            <m:begChr m:val="("/>
            <m:endChr m:val=")"/>
          </m:dPr>
          <m:e>
            <m:r>
              <m:rPr/>
              <m:t>t</m:t>
            </m:r>
          </m:e>
        </m:d>
        <m:r>
          <m:rPr/>
          <m:t xml:space="preserve"> </m:t>
        </m:r>
        <m:r>
          <m:rPr>
            <m:sty m:val="p"/>
          </m:rPr>
          <m:t>=</m:t>
        </m:r>
        <m:r>
          <m:rPr/>
          <m:t xml:space="preserve"> </m:t>
        </m:r>
        <m:f>
          <m:fPr/>
          <m:num>
            <m:sSub>
              <m:sSubPr/>
              <m:e>
                <m:r>
                  <m:rPr/>
                  <m:t>Ψ</m:t>
                </m:r>
              </m:e>
              <m:sub>
                <m:r>
                  <m:rPr>
                    <m:sty m:val="p"/>
                  </m:rPr>
                  <m:t>m</m:t>
                </m:r>
                <m:r>
                  <m:rPr>
                    <m:sty m:val="p"/>
                  </m:rPr>
                  <m:t>ax</m:t>
                </m:r>
              </m:sub>
            </m:sSub>
          </m:num>
          <m:den>
            <m:r>
              <m:rPr/>
              <m:t>1</m:t>
            </m:r>
            <m:r>
              <m:rPr/>
              <m:t xml:space="preserve"> </m:t>
            </m:r>
            <m:r>
              <m:rPr>
                <m:sty m:val="p"/>
              </m:rPr>
              <m:t>+</m:t>
            </m:r>
            <m:r>
              <m:rPr/>
              <m:t xml:space="preserve"> </m:t>
            </m:r>
            <m:d>
              <m:dPr>
                <m:begChr m:val="("/>
                <m:endChr m:val=")"/>
              </m:dPr>
              <m:e>
                <m:f>
                  <m:fPr/>
                  <m:num>
                    <m:sSub>
                      <m:sSubPr/>
                      <m:e>
                        <m:r>
                          <m:rPr/>
                          <m:t>Ψ</m:t>
                        </m:r>
                      </m:e>
                      <m:sub>
                        <m:r>
                          <m:rPr>
                            <m:sty m:val="p"/>
                          </m:rPr>
                          <m:t>m</m:t>
                        </m:r>
                        <m:r>
                          <m:rPr>
                            <m:sty m:val="p"/>
                          </m:rPr>
                          <m:t>ax</m:t>
                        </m:r>
                      </m:sub>
                    </m:sSub>
                  </m:num>
                  <m:den>
                    <m:sSub>
                      <m:sSubPr/>
                      <m:e>
                        <m:r>
                          <m:rPr/>
                          <m:t>Ψ</m:t>
                        </m:r>
                      </m:e>
                      <m:sub>
                        <m:r>
                          <m:rPr/>
                          <m:t>0</m:t>
                        </m:r>
                      </m:sub>
                    </m:sSub>
                  </m:den>
                </m:f>
                <m:r>
                  <m:rPr/>
                  <m:t xml:space="preserve"> </m:t>
                </m:r>
                <m:r>
                  <m:rPr>
                    <m:sty m:val="p"/>
                  </m:rPr>
                  <m:t>−</m:t>
                </m:r>
                <m:r>
                  <m:rPr/>
                  <m:t xml:space="preserve"> </m:t>
                </m:r>
                <m:r>
                  <m:rPr/>
                  <m:t>1</m:t>
                </m:r>
              </m:e>
            </m:d>
            <m:r>
              <m:rPr/>
              <m:t xml:space="preserve"> </m:t>
            </m:r>
            <m:sSup>
              <m:sSupPr/>
              <m:e>
                <m:r>
                  <m:rPr>
                    <m:sty m:val="p"/>
                  </m:rPr>
                  <m:t>e</m:t>
                </m:r>
                <m:r>
                  <m:rPr>
                    <m:sty m:val="p"/>
                  </m:rPr>
                  <m:t>xp</m:t>
                </m:r>
              </m:e>
              <m:sup>
                <m:d>
                  <m:dPr>
                    <m:begChr m:val=""/>
                    <m:endChr m:val=""/>
                  </m:dPr>
                  <m:e>
                    <m:r>
                      <m:rPr/>
                      <m:t xml:space="preserve"> </m:t>
                    </m:r>
                    <m:r>
                      <m:rPr>
                        <m:sty m:val="p"/>
                      </m:rPr>
                      <m:t>−</m:t>
                    </m:r>
                    <m:r>
                      <m:rPr/>
                      <m:t xml:space="preserve"> </m:t>
                    </m:r>
                    <m:sSub>
                      <m:sSubPr/>
                      <m:e>
                        <m:r>
                          <m:rPr/>
                          <m:t>r</m:t>
                        </m:r>
                      </m:e>
                      <m:sub>
                        <m:r>
                          <m:rPr/>
                          <m:t>Ψ</m:t>
                        </m:r>
                      </m:sub>
                    </m:sSub>
                    <m:r>
                      <m:rPr/>
                      <m:t>t</m:t>
                    </m:r>
                  </m:e>
                </m:d>
              </m:sup>
            </m:sSup>
          </m:den>
        </m:f>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The employer skill threshold has an exogenous component that rises with digitalisation and an endogenous component that rises with observed mismatch, the latter being the link that closes loop R3:</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θ</m:t>
        </m:r>
        <m:d>
          <m:dPr>
            <m:begChr m:val="("/>
            <m:endChr m:val=")"/>
          </m:dPr>
          <m:e>
            <m:r>
              <m:rPr/>
              <m:t>t</m:t>
            </m:r>
          </m:e>
        </m:d>
        <m:r>
          <m:rPr/>
          <m:t xml:space="preserve"> </m:t>
        </m:r>
        <m:r>
          <m:rPr>
            <m:sty m:val="p"/>
          </m:rPr>
          <m:t>=</m:t>
        </m:r>
        <m:r>
          <m:rPr/>
          <m:t xml:space="preserve"> </m:t>
        </m:r>
        <m:sSub>
          <m:sSubPr/>
          <m:e>
            <m:r>
              <m:rPr/>
              <m:t>θ</m:t>
            </m:r>
          </m:e>
          <m:sub>
            <m:r>
              <m:rPr/>
              <m:t>0</m:t>
            </m:r>
          </m:sub>
        </m:sSub>
        <m:r>
          <m:rPr/>
          <m:t xml:space="preserve"> </m:t>
        </m:r>
        <m:r>
          <m:rPr>
            <m:sty m:val="p"/>
          </m:rPr>
          <m:t>+</m:t>
        </m:r>
        <m:r>
          <m:rPr/>
          <m:t xml:space="preserve"> </m:t>
        </m:r>
        <m:r>
          <m:rPr/>
          <m:t>κ</m:t>
        </m:r>
        <m:d>
          <m:dPr>
            <m:begChr m:val="("/>
            <m:endChr m:val=")"/>
          </m:dPr>
          <m:e>
            <m:r>
              <m:rPr>
                <m:sty m:val="p"/>
              </m:rPr>
              <m:t>Ψ</m:t>
            </m:r>
            <m:d>
              <m:dPr>
                <m:begChr m:val="("/>
                <m:endChr m:val=")"/>
              </m:dPr>
              <m:e>
                <m:r>
                  <m:rPr/>
                  <m:t>t</m:t>
                </m:r>
              </m:e>
            </m:d>
            <m:r>
              <m:rPr/>
              <m:t xml:space="preserve"> </m:t>
            </m:r>
            <m:r>
              <m:rPr>
                <m:sty m:val="p"/>
              </m:rPr>
              <m:t>−</m:t>
            </m:r>
            <m:r>
              <m:rPr/>
              <m:t xml:space="preserve"> </m:t>
            </m:r>
            <m:sSub>
              <m:sSubPr/>
              <m:e>
                <m:r>
                  <m:rPr/>
                  <m:t>Ψ</m:t>
                </m:r>
              </m:e>
              <m:sub>
                <m:r>
                  <m:rPr/>
                  <m:t>0</m:t>
                </m:r>
              </m:sub>
            </m:sSub>
          </m:e>
        </m:d>
        <m:r>
          <m:rPr/>
          <m:t xml:space="preserve"> </m:t>
        </m:r>
        <m:r>
          <m:rPr>
            <m:sty m:val="p"/>
          </m:rPr>
          <m:t>+</m:t>
        </m:r>
        <m:r>
          <m:rPr/>
          <m:t xml:space="preserve"> </m:t>
        </m:r>
        <m:sSub>
          <m:sSubPr/>
          <m:e>
            <m:r>
              <m:rPr/>
              <m:t>κ</m:t>
            </m:r>
          </m:e>
          <m:sub>
            <m:r>
              <m:rPr/>
              <m:t>2</m:t>
            </m:r>
          </m:sub>
        </m:sSub>
        <m:r>
          <m:rPr/>
          <m:t xml:space="preserve"> </m:t>
        </m:r>
        <m:f>
          <m:fPr/>
          <m:num>
            <m:r>
              <m:rPr>
                <m:sty m:val="p"/>
              </m:rPr>
              <m:t>U</m:t>
            </m:r>
            <m:d>
              <m:dPr>
                <m:begChr m:val="("/>
                <m:endChr m:val=")"/>
              </m:dPr>
              <m:e>
                <m:r>
                  <m:rPr/>
                  <m:t>t</m:t>
                </m:r>
              </m:e>
            </m:d>
          </m:num>
          <m:den>
            <m:r>
              <m:rPr>
                <m:sty m:val="p"/>
              </m:rPr>
              <m:t>M</m:t>
            </m:r>
            <m:d>
              <m:dPr>
                <m:begChr m:val="("/>
                <m:endChr m:val=")"/>
              </m:dPr>
              <m:e>
                <m:r>
                  <m:rPr/>
                  <m:t>t</m:t>
                </m:r>
              </m:e>
            </m:d>
            <m:r>
              <m:rPr/>
              <m:t xml:space="preserve"> </m:t>
            </m:r>
            <m:r>
              <m:rPr>
                <m:sty m:val="p"/>
              </m:rPr>
              <m:t>+</m:t>
            </m:r>
            <m:r>
              <m:rPr/>
              <m:t xml:space="preserve"> </m:t>
            </m:r>
            <m:r>
              <m:rPr>
                <m:sty m:val="p"/>
              </m:rPr>
              <m:t>U</m:t>
            </m:r>
            <m:d>
              <m:dPr>
                <m:begChr m:val="("/>
                <m:endChr m:val=")"/>
              </m:dPr>
              <m:e>
                <m:r>
                  <m:rPr/>
                  <m:t>t</m:t>
                </m:r>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The skill–threshold gap is the difference between what searchers carry and what employers require; it is the single most consequential auxiliary in the model, and its sign change is the behavioural signature discussed in Section 4.1:</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x</m:t>
        </m:r>
        <m:d>
          <m:dPr>
            <m:begChr m:val="("/>
            <m:endChr m:val=")"/>
          </m:dPr>
          <m:e>
            <m:r>
              <m:rPr/>
              <m:t>t</m:t>
            </m:r>
          </m:e>
        </m:d>
        <m:r>
          <m:rPr/>
          <m:t xml:space="preserve"> </m:t>
        </m:r>
        <m:r>
          <m:rPr>
            <m:sty m:val="p"/>
          </m:rPr>
          <m:t>=</m:t>
        </m:r>
        <m:r>
          <m:rPr/>
          <m:t xml:space="preserve"> </m:t>
        </m:r>
        <m:r>
          <m:rPr>
            <m:sty m:val="p"/>
          </m:rPr>
          <m:t>H</m:t>
        </m:r>
        <m:d>
          <m:dPr>
            <m:begChr m:val="("/>
            <m:endChr m:val=")"/>
          </m:dPr>
          <m:e>
            <m:r>
              <m:rPr/>
              <m:t>t</m:t>
            </m:r>
          </m:e>
        </m:d>
        <m:r>
          <m:rPr/>
          <m:t xml:space="preserve"> </m:t>
        </m:r>
        <m:r>
          <m:rPr>
            <m:sty m:val="p"/>
          </m:rPr>
          <m:t>−</m:t>
        </m:r>
        <m:r>
          <m:rPr/>
          <m:t xml:space="preserve"> </m:t>
        </m:r>
        <m:r>
          <m:rPr>
            <m:sty m:val="p"/>
          </m:rPr>
          <m:t>θ</m:t>
        </m:r>
        <m:d>
          <m:dPr>
            <m:begChr m:val="("/>
            <m:endChr m:val=")"/>
          </m:dPr>
          <m:e>
            <m:r>
              <m:rPr/>
              <m:t>t</m:t>
            </m:r>
          </m:e>
        </m:d>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spacing w:after="120"/>
        <w:jc w:val="both"/>
      </w:pPr>
      <w:r>
        <w:rPr>
          <w:rFonts w:ascii="Palatino Linotype" w:hAnsi="Palatino Linotype" w:eastAsia="Palatino Linotype"/>
          <w:b w:val="0"/>
          <w:i w:val="0"/>
          <w:sz w:val="20"/>
        </w:rPr>
        <w:t>Meetings between searchers and vacancies follow a constant-returns Cobb–Douglas matching function of the form for which the empirical support is strongest [41], and market tightness is the vacancy-to-searcher ratio:</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m</m:t>
        </m:r>
        <m:d>
          <m:dPr>
            <m:begChr m:val="("/>
            <m:endChr m:val=")"/>
          </m:dPr>
          <m:e>
            <m:r>
              <m:rPr/>
              <m:t>t</m:t>
            </m:r>
          </m:e>
        </m:d>
        <m:r>
          <m:rPr/>
          <m:t xml:space="preserve"> </m:t>
        </m:r>
        <m:r>
          <m:rPr>
            <m:sty m:val="p"/>
          </m:rPr>
          <m:t>=</m:t>
        </m:r>
        <m:r>
          <m:rPr/>
          <m:t xml:space="preserve"> </m:t>
        </m:r>
        <m:r>
          <m:rPr/>
          <m:t>μ</m:t>
        </m:r>
        <m:r>
          <m:rPr/>
          <m:t xml:space="preserve"> </m:t>
        </m:r>
        <m:sSup>
          <m:sSupPr/>
          <m:e>
            <m:r>
              <m:rPr>
                <m:sty m:val="p"/>
              </m:rPr>
              <m:t>S</m:t>
            </m:r>
            <m:d>
              <m:dPr>
                <m:begChr m:val="("/>
                <m:endChr m:val=")"/>
              </m:dPr>
              <m:e>
                <m:r>
                  <m:rPr/>
                  <m:t>t</m:t>
                </m:r>
              </m:e>
            </m:d>
          </m:e>
          <m:sup>
            <m:r>
              <m:rPr/>
              <m:t>α</m:t>
            </m:r>
          </m:sup>
        </m:sSup>
        <m:r>
          <m:rPr/>
          <m:t xml:space="preserve"> </m:t>
        </m:r>
        <m:sSup>
          <m:sSupPr/>
          <m:e>
            <m:r>
              <m:rPr>
                <m:sty m:val="p"/>
              </m:rPr>
              <m:t>V</m:t>
            </m:r>
            <m:d>
              <m:dPr>
                <m:begChr m:val="("/>
                <m:endChr m:val=")"/>
              </m:dPr>
              <m:e>
                <m:r>
                  <m:rPr/>
                  <m:t>t</m:t>
                </m:r>
              </m:e>
            </m:d>
          </m:e>
          <m:sup>
            <m:r>
              <m:rPr/>
              <m:t>1</m:t>
            </m:r>
            <m:r>
              <m:rPr/>
              <m:t xml:space="preserve"> </m:t>
            </m:r>
            <m:r>
              <m:rPr>
                <m:sty m:val="p"/>
              </m:rPr>
              <m:t>−</m:t>
            </m:r>
            <m:r>
              <m:rPr/>
              <m:t xml:space="preserve"> </m:t>
            </m:r>
            <m:r>
              <m:rPr/>
              <m:t>α</m:t>
            </m:r>
          </m:sup>
        </m:sSup>
        <m:r>
          <m:rPr/>
          <m:t>,</m:t>
        </m:r>
        <m:r>
          <m:rPr/>
          <m:t xml:space="preserve"> </m:t>
        </m:r>
        <m:r>
          <m:rPr/>
          <m:t xml:space="preserve"> </m:t>
        </m:r>
        <m:r>
          <m:rPr>
            <m:sty m:val="p"/>
          </m:rPr>
          <m:t>ϑ</m:t>
        </m:r>
        <m:d>
          <m:dPr>
            <m:begChr m:val="("/>
            <m:endChr m:val=")"/>
          </m:dPr>
          <m:e>
            <m:r>
              <m:rPr/>
              <m:t>t</m:t>
            </m:r>
          </m:e>
        </m:d>
        <m:r>
          <m:rPr/>
          <m:t xml:space="preserve"> </m:t>
        </m:r>
        <m:r>
          <m:rPr>
            <m:sty m:val="p"/>
          </m:rPr>
          <m:t>=</m:t>
        </m:r>
        <m:r>
          <m:rPr/>
          <m:t xml:space="preserve"> </m:t>
        </m:r>
        <m:f>
          <m:fPr/>
          <m:num>
            <m:r>
              <m:rPr>
                <m:sty m:val="p"/>
              </m:rPr>
              <m:t>V</m:t>
            </m:r>
            <m:d>
              <m:dPr>
                <m:begChr m:val="("/>
                <m:endChr m:val=")"/>
              </m:dPr>
              <m:e>
                <m:r>
                  <m:rPr/>
                  <m:t>t</m:t>
                </m:r>
              </m:e>
            </m:d>
          </m:num>
          <m:den>
            <m:r>
              <m:rPr>
                <m:sty m:val="p"/>
              </m:rPr>
              <m:t>S</m:t>
            </m:r>
            <m:d>
              <m:dPr>
                <m:begChr m:val="("/>
                <m:endChr m:val=")"/>
              </m:dPr>
              <m:e>
                <m:r>
                  <m:rPr/>
                  <m:t>t</m:t>
                </m:r>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spacing w:after="120"/>
        <w:jc w:val="both"/>
      </w:pPr>
      <w:r>
        <w:rPr>
          <w:rFonts w:ascii="Palatino Linotype" w:hAnsi="Palatino Linotype" w:eastAsia="Palatino Linotype"/>
          <w:b w:val="0"/>
          <w:i w:val="0"/>
          <w:sz w:val="20"/>
        </w:rPr>
        <w:t xml:space="preserve">Three behavioural probabilities convert meetings into hires. The screening pass rate is logistic in the skill–threshold gap; the acceptance rate is logistic in the difference between offered quality and aspiration; and the probability that a realised hire is a good match is logistic in the gap with its own intercept. Here </w:t>
      </w:r>
      <m:oMath>
        <m:r>
          <m:rPr/>
          <m:t>\Lambda</m:t>
        </m:r>
      </m:oMath>
      <w:r>
        <w:rPr>
          <w:rFonts w:ascii="Palatino Linotype" w:hAnsi="Palatino Linotype" w:eastAsia="Palatino Linotype"/>
          <w:b w:val="0"/>
          <w:i w:val="0"/>
          <w:sz w:val="20"/>
        </w:rPr>
        <w:t xml:space="preserve"> denotes the standard logistic function:</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p</m:t>
            </m:r>
          </m:e>
          <m:sub>
            <m:r>
              <m:rPr/>
              <m:t>s</m:t>
            </m:r>
          </m:sub>
        </m:sSub>
        <m:r>
          <m:rPr/>
          <m:t xml:space="preserve"> </m:t>
        </m:r>
        <m:r>
          <m:rPr>
            <m:sty m:val="p"/>
          </m:rPr>
          <m:t>=</m:t>
        </m:r>
        <m:r>
          <m:rPr/>
          <m:t xml:space="preserve"> </m:t>
        </m:r>
        <m:r>
          <m:rPr>
            <m:sty m:val="p"/>
          </m:rPr>
          <m:t>Λ</m:t>
        </m:r>
        <m:d>
          <m:dPr>
            <m:begChr m:val="("/>
            <m:endChr m:val=")"/>
          </m:dPr>
          <m:e>
            <m:sSub>
              <m:sSubPr/>
              <m:e>
                <m:r>
                  <m:rPr/>
                  <m:t>β</m:t>
                </m:r>
              </m:e>
              <m:sub>
                <m:r>
                  <m:rPr/>
                  <m:t>s</m:t>
                </m:r>
              </m:sub>
            </m:sSub>
            <m:r>
              <m:rPr/>
              <m:t>x</m:t>
            </m:r>
          </m:e>
        </m:d>
        <m:r>
          <m:rPr/>
          <m:t>,</m:t>
        </m:r>
        <m:r>
          <m:rPr/>
          <m:t xml:space="preserve"> </m:t>
        </m:r>
        <m:r>
          <m:rPr/>
          <m:t xml:space="preserve"> </m:t>
        </m:r>
        <m:sSub>
          <m:sSubPr/>
          <m:e>
            <m:r>
              <m:rPr/>
              <m:t>p</m:t>
            </m:r>
          </m:e>
          <m:sub>
            <m:r>
              <m:rPr/>
              <m:t>a</m:t>
            </m:r>
          </m:sub>
        </m:sSub>
        <m:r>
          <m:rPr/>
          <m:t xml:space="preserve"> </m:t>
        </m:r>
        <m:r>
          <m:rPr>
            <m:sty m:val="p"/>
          </m:rPr>
          <m:t>=</m:t>
        </m:r>
        <m:r>
          <m:rPr/>
          <m:t xml:space="preserve"> </m:t>
        </m:r>
        <m:r>
          <m:rPr>
            <m:sty m:val="p"/>
          </m:rPr>
          <m:t>Λ</m:t>
        </m:r>
        <m:d>
          <m:dPr>
            <m:begChr m:val="("/>
            <m:endChr m:val=")"/>
          </m:dPr>
          <m:e>
            <m:sSub>
              <m:sSubPr/>
              <m:e>
                <m:r>
                  <m:rPr/>
                  <m:t>β</m:t>
                </m:r>
              </m:e>
              <m:sub>
                <m:r>
                  <m:rPr/>
                  <m:t>a</m:t>
                </m:r>
              </m:sub>
            </m:sSub>
            <m:d>
              <m:dPr>
                <m:begChr m:val="("/>
                <m:endChr m:val=")"/>
              </m:dPr>
              <m:e>
                <m:r>
                  <m:rPr/>
                  <m:t>q</m:t>
                </m:r>
                <m:r>
                  <m:rPr/>
                  <m:t xml:space="preserve"> </m:t>
                </m:r>
                <m:r>
                  <m:rPr>
                    <m:sty m:val="p"/>
                  </m:rPr>
                  <m:t>−</m:t>
                </m:r>
                <m:r>
                  <m:rPr/>
                  <m:t xml:space="preserve"> </m:t>
                </m:r>
                <m:r>
                  <m:rPr/>
                  <m:t>A</m:t>
                </m:r>
              </m:e>
            </m:d>
          </m:e>
        </m:d>
        <m:r>
          <m:rPr/>
          <m:t>,</m:t>
        </m:r>
        <m:r>
          <m:rPr/>
          <m:t xml:space="preserve"> </m:t>
        </m:r>
        <m:r>
          <m:rPr/>
          <m:t xml:space="preserve"> </m:t>
        </m:r>
        <m:r>
          <m:rPr/>
          <m:t>σ</m:t>
        </m:r>
        <m:r>
          <m:rPr/>
          <m:t xml:space="preserve"> </m:t>
        </m:r>
        <m:r>
          <m:rPr>
            <m:sty m:val="p"/>
          </m:rPr>
          <m:t>=</m:t>
        </m:r>
        <m:r>
          <m:rPr/>
          <m:t xml:space="preserve"> </m:t>
        </m:r>
        <m:r>
          <m:rPr>
            <m:sty m:val="p"/>
          </m:rPr>
          <m:t>Λ</m:t>
        </m:r>
        <m:d>
          <m:dPr>
            <m:begChr m:val="("/>
            <m:endChr m:val=")"/>
          </m:dPr>
          <m:e>
            <m:sSub>
              <m:sSubPr/>
              <m:e>
                <m:r>
                  <m:rPr/>
                  <m:t>σ</m:t>
                </m:r>
              </m:e>
              <m:sub>
                <m:r>
                  <m:rPr/>
                  <m:t>0</m:t>
                </m:r>
              </m:sub>
            </m:sSub>
            <m:r>
              <m:rPr/>
              <m:t xml:space="preserve"> </m:t>
            </m:r>
            <m:r>
              <m:rPr>
                <m:sty m:val="p"/>
              </m:rPr>
              <m:t>+</m:t>
            </m:r>
            <m:r>
              <m:rPr/>
              <m:t xml:space="preserve"> </m:t>
            </m:r>
            <m:sSub>
              <m:sSubPr/>
              <m:e>
                <m:r>
                  <m:rPr/>
                  <m:t>β</m:t>
                </m:r>
              </m:e>
              <m:sub>
                <m:r>
                  <m:rPr/>
                  <m:t>σ</m:t>
                </m:r>
              </m:sub>
            </m:sSub>
            <m:r>
              <m:rPr/>
              <m:t>x</m:t>
            </m:r>
          </m:e>
        </m:d>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Offered job quality rises with market tightness, which is the link that closes the congestion loop R4:</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q</m:t>
        </m:r>
        <m:d>
          <m:dPr>
            <m:begChr m:val="("/>
            <m:endChr m:val=")"/>
          </m:dPr>
          <m:e>
            <m:r>
              <m:rPr/>
              <m:t>t</m:t>
            </m:r>
          </m:e>
        </m:d>
        <m:r>
          <m:rPr/>
          <m:t xml:space="preserve"> </m:t>
        </m:r>
        <m:r>
          <m:rPr>
            <m:sty m:val="p"/>
          </m:rPr>
          <m:t>=</m:t>
        </m:r>
        <m:r>
          <m:rPr/>
          <m:t xml:space="preserve"> </m:t>
        </m:r>
        <m:sSub>
          <m:sSubPr/>
          <m:e>
            <m:r>
              <m:rPr/>
              <m:t>q</m:t>
            </m:r>
          </m:e>
          <m:sub>
            <m:r>
              <m:rPr/>
              <m:t>0</m:t>
            </m:r>
          </m:sub>
        </m:sSub>
        <m:r>
          <m:rPr/>
          <m:t xml:space="preserve"> </m:t>
        </m:r>
        <m:r>
          <m:rPr>
            <m:sty m:val="p"/>
          </m:rPr>
          <m:t>+</m:t>
        </m:r>
        <m:r>
          <m:rPr/>
          <m:t xml:space="preserve"> </m:t>
        </m:r>
        <m:sSub>
          <m:sSubPr/>
          <m:e>
            <m:r>
              <m:rPr/>
              <m:t>γ</m:t>
            </m:r>
          </m:e>
          <m:sub>
            <m:r>
              <m:rPr/>
              <m:t>q</m:t>
            </m:r>
          </m:sub>
        </m:sSub>
        <m:r>
          <m:rPr/>
          <m:t xml:space="preserve"> </m:t>
        </m:r>
        <m:r>
          <m:rPr>
            <m:sty m:val="p"/>
          </m:rPr>
          <m:t>l</m:t>
        </m:r>
        <m:r>
          <m:rPr>
            <m:sty m:val="p"/>
          </m:rPr>
          <m:t>n</m:t>
        </m:r>
        <m:d>
          <m:dPr>
            <m:begChr m:val="("/>
            <m:endChr m:val=")"/>
          </m:dPr>
          <m:e>
            <m:r>
              <m:rPr/>
              <m:t>1</m:t>
            </m:r>
            <m:r>
              <m:rPr/>
              <m:t xml:space="preserve"> </m:t>
            </m:r>
            <m:r>
              <m:rPr>
                <m:sty m:val="p"/>
              </m:rPr>
              <m:t>+</m:t>
            </m:r>
            <m:r>
              <m:rPr/>
              <m:t xml:space="preserve"> </m:t>
            </m:r>
            <m:r>
              <m:rPr>
                <m:sty m:val="p"/>
              </m:rPr>
              <m:t>ϑ</m:t>
            </m:r>
            <m:d>
              <m:dPr>
                <m:begChr m:val="("/>
                <m:endChr m:val=")"/>
              </m:dPr>
              <m:e>
                <m:r>
                  <m:rPr/>
                  <m:t>t</m:t>
                </m:r>
              </m:e>
            </m:d>
          </m:e>
        </m:d>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pPr>
        <w:spacing w:after="120"/>
        <w:jc w:val="both"/>
      </w:pPr>
      <w:r>
        <w:rPr>
          <w:rFonts w:ascii="Palatino Linotype" w:hAnsi="Palatino Linotype" w:eastAsia="Palatino Linotype"/>
          <w:b w:val="0"/>
          <w:i w:val="0"/>
          <w:sz w:val="20"/>
        </w:rPr>
        <w:t>The hiring rate is the product of meetings and the two probabilities, subject to a smooth capacity limit that prevents the searcher stock from being depleted faster than the minimum feasible search duration allows. The smooth minimum preserves continuous differentiability, which is required for the Jacobian analysis of Section 3.6:</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h</m:t>
        </m:r>
        <m:d>
          <m:dPr>
            <m:begChr m:val="("/>
            <m:endChr m:val=")"/>
          </m:dPr>
          <m:e>
            <m:r>
              <m:rPr/>
              <m:t>t</m:t>
            </m:r>
          </m:e>
        </m:d>
        <m:r>
          <m:rPr/>
          <m:t xml:space="preserve"> </m:t>
        </m:r>
        <m:r>
          <m:rPr>
            <m:sty m:val="p"/>
          </m:rPr>
          <m:t>=</m:t>
        </m:r>
        <m:r>
          <m:rPr/>
          <m:t xml:space="preserve"> </m:t>
        </m:r>
        <m:r>
          <m:rPr>
            <m:sty m:val="p"/>
          </m:rPr>
          <m:t>smin</m:t>
        </m:r>
        <m:d>
          <m:dPr>
            <m:begChr m:val="("/>
            <m:endChr m:val=")"/>
          </m:dPr>
          <m:e>
            <m:r>
              <m:rPr/>
              <m:t>m</m:t>
            </m:r>
            <m:r>
              <m:rPr/>
              <m:t xml:space="preserve"> </m:t>
            </m:r>
            <m:sSub>
              <m:sSubPr/>
              <m:e>
                <m:r>
                  <m:rPr/>
                  <m:t>p</m:t>
                </m:r>
              </m:e>
              <m:sub>
                <m:r>
                  <m:rPr/>
                  <m:t>s</m:t>
                </m:r>
              </m:sub>
            </m:sSub>
            <m:r>
              <m:rPr/>
              <m:t xml:space="preserve"> </m:t>
            </m:r>
            <m:sSub>
              <m:sSubPr/>
              <m:e>
                <m:r>
                  <m:rPr/>
                  <m:t>p</m:t>
                </m:r>
              </m:e>
              <m:sub>
                <m:r>
                  <m:rPr/>
                  <m:t>a</m:t>
                </m:r>
              </m:sub>
            </m:sSub>
            <m:r>
              <m:rPr/>
              <m:t xml:space="preserve">, </m:t>
            </m:r>
            <m:f>
              <m:fPr/>
              <m:num>
                <m:r>
                  <m:rPr/>
                  <m:t>S</m:t>
                </m:r>
              </m:num>
              <m:den>
                <m:sSub>
                  <m:sSubPr/>
                  <m:e>
                    <m:r>
                      <m:rPr/>
                      <m:t>d</m:t>
                    </m:r>
                  </m:e>
                  <m:sub>
                    <m:r>
                      <m:rPr>
                        <m:sty m:val="p"/>
                      </m:rPr>
                      <m:t>m</m:t>
                    </m:r>
                    <m:r>
                      <m:rPr>
                        <m:sty m:val="p"/>
                      </m:rPr>
                      <m:t>in</m:t>
                    </m:r>
                  </m:sub>
                </m:sSub>
              </m:den>
            </m:f>
          </m:e>
        </m:d>
        <m:r>
          <m:rPr/>
          <m:t>,</m:t>
        </m:r>
        <m:r>
          <m:rPr/>
          <m:t xml:space="preserve"> </m:t>
        </m:r>
        <m:r>
          <m:rPr/>
          <m:t xml:space="preserve"> </m:t>
        </m:r>
        <m:r>
          <m:rPr>
            <m:sty m:val="p"/>
          </m:rPr>
          <m:t>smin</m:t>
        </m:r>
        <m:d>
          <m:dPr>
            <m:begChr m:val="("/>
            <m:endChr m:val=")"/>
          </m:dPr>
          <m:e>
            <m:r>
              <m:rPr/>
              <m:t>a</m:t>
            </m:r>
            <m:r>
              <m:rPr/>
              <m:t xml:space="preserve">, </m:t>
            </m:r>
            <m:r>
              <m:rPr/>
              <m:t>b</m:t>
            </m:r>
          </m:e>
        </m:d>
        <m:r>
          <m:rPr/>
          <m:t xml:space="preserve"> </m:t>
        </m:r>
        <m:r>
          <m:rPr>
            <m:sty m:val="p"/>
          </m:rPr>
          <m:t>=</m:t>
        </m:r>
        <m:r>
          <m:rPr/>
          <m:t xml:space="preserve"> </m:t>
        </m:r>
        <m:f>
          <m:fPr/>
          <m:num>
            <m:r>
              <m:rPr/>
              <m:t>a</m:t>
            </m:r>
            <m:r>
              <m:rPr/>
              <m:t>b</m:t>
            </m:r>
          </m:num>
          <m:den>
            <m:r>
              <m:rPr/>
              <m:t>a</m:t>
            </m:r>
            <m:r>
              <m:rPr/>
              <m:t xml:space="preserve"> </m:t>
            </m:r>
            <m:r>
              <m:rPr>
                <m:sty m:val="p"/>
              </m:rPr>
              <m:t>+</m:t>
            </m:r>
            <m:r>
              <m:rPr/>
              <m:t xml:space="preserve"> </m:t>
            </m:r>
            <m:r>
              <m:rPr/>
              <m:t>b</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pPr>
        <w:spacing w:after="120"/>
        <w:jc w:val="both"/>
      </w:pPr>
      <w:r>
        <w:rPr>
          <w:rFonts w:ascii="Palatino Linotype" w:hAnsi="Palatino Linotype" w:eastAsia="Palatino Linotype"/>
          <w:b w:val="0"/>
          <w:i w:val="0"/>
          <w:sz w:val="20"/>
        </w:rPr>
        <w:t>The allocation between continued open search and entry into the examination queue is a normalised logit comparison of two values. The value of search is the expected quality of a job obtained this period. The value of queueing is the value of an institutional post weighted by a Prelec probability-weighting function of the realised success rate, the compound-invariant form for which axiomatic support exists [39,40]. Because the weighting function is concave near zero, a success rate of order one per cent still carries substantial decision weight, which is what allows the queue to persist:</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W</m:t>
            </m:r>
          </m:e>
          <m:sub>
            <m:r>
              <m:rPr/>
              <m:t>S</m:t>
            </m:r>
          </m:sub>
        </m:sSub>
        <m:r>
          <m:rPr/>
          <m:t xml:space="preserve"> </m:t>
        </m:r>
        <m:r>
          <m:rPr>
            <m:sty m:val="p"/>
          </m:rPr>
          <m:t>=</m:t>
        </m:r>
        <m:r>
          <m:rPr/>
          <m:t xml:space="preserve"> </m:t>
        </m:r>
        <m:sSub>
          <m:sSubPr/>
          <m:e>
            <m:r>
              <m:rPr/>
              <m:t>p</m:t>
            </m:r>
          </m:e>
          <m:sub>
            <m:r>
              <m:rPr/>
              <m:t>s</m:t>
            </m:r>
          </m:sub>
        </m:sSub>
        <m:r>
          <m:rPr/>
          <m:t xml:space="preserve"> </m:t>
        </m:r>
        <m:sSub>
          <m:sSubPr/>
          <m:e>
            <m:r>
              <m:rPr/>
              <m:t>p</m:t>
            </m:r>
          </m:e>
          <m:sub>
            <m:r>
              <m:rPr/>
              <m:t>a</m:t>
            </m:r>
          </m:sub>
        </m:sSub>
        <m:r>
          <m:rPr/>
          <m:t xml:space="preserve"> </m:t>
        </m:r>
        <m:r>
          <m:rPr/>
          <m:t>q</m:t>
        </m:r>
        <m:r>
          <m:rPr/>
          <m:t>,</m:t>
        </m:r>
        <m:r>
          <m:rPr/>
          <m:t xml:space="preserve"> </m:t>
        </m:r>
        <m:r>
          <m:rPr/>
          <m:t xml:space="preserve"> </m:t>
        </m:r>
        <m:sSub>
          <m:sSubPr/>
          <m:e>
            <m:r>
              <m:rPr/>
              <m:t>W</m:t>
            </m:r>
          </m:e>
          <m:sub>
            <m:r>
              <m:rPr/>
              <m:t>Q</m:t>
            </m:r>
          </m:sub>
        </m:sSub>
        <m:r>
          <m:rPr/>
          <m:t xml:space="preserve"> </m:t>
        </m:r>
        <m:r>
          <m:rPr>
            <m:sty m:val="p"/>
          </m:rPr>
          <m:t>=</m:t>
        </m:r>
        <m:r>
          <m:rPr/>
          <m:t xml:space="preserve"> </m:t>
        </m:r>
        <m:r>
          <m:rPr/>
          <m:t>Π</m:t>
        </m:r>
        <m:r>
          <m:rPr/>
          <m:t xml:space="preserve"> </m:t>
        </m:r>
        <m:r>
          <m:rPr>
            <m:sty m:val="p"/>
          </m:rPr>
          <m:t>w</m:t>
        </m:r>
        <m:d>
          <m:dPr>
            <m:begChr m:val="("/>
            <m:endChr m:val=")"/>
          </m:dPr>
          <m:e>
            <m:sSub>
              <m:sSubPr/>
              <m:e>
                <m:r>
                  <m:rPr/>
                  <m:t>π</m:t>
                </m:r>
              </m:e>
              <m:sub>
                <m:r>
                  <m:rPr/>
                  <m:t>e</m:t>
                </m:r>
              </m:sub>
            </m:sSub>
          </m:e>
        </m:d>
        <m:r>
          <m:rPr/>
          <m:t>,</m:t>
        </m:r>
        <m:r>
          <m:rPr/>
          <m:t xml:space="preserve"> </m:t>
        </m:r>
        <m:r>
          <m:rPr/>
          <m:t xml:space="preserve"> </m:t>
        </m:r>
        <m:r>
          <m:rPr>
            <m:sty m:val="p"/>
          </m:rPr>
          <m:t>w</m:t>
        </m:r>
        <m:d>
          <m:dPr>
            <m:begChr m:val="("/>
            <m:endChr m:val=")"/>
          </m:dPr>
          <m:e>
            <m:r>
              <m:rPr/>
              <m:t>π</m:t>
            </m:r>
          </m:e>
        </m:d>
        <m:r>
          <m:rPr/>
          <m:t xml:space="preserve"> </m:t>
        </m:r>
        <m:r>
          <m:rPr>
            <m:sty m:val="p"/>
          </m:rPr>
          <m:t>=</m:t>
        </m:r>
        <m:r>
          <m:rPr/>
          <m:t xml:space="preserve"> </m:t>
        </m:r>
        <m:sSup>
          <m:sSupPr/>
          <m:e>
            <m:r>
              <m:rPr>
                <m:sty m:val="p"/>
              </m:rPr>
              <m:t>e</m:t>
            </m:r>
            <m:r>
              <m:rPr>
                <m:sty m:val="p"/>
              </m:rPr>
              <m:t>xp</m:t>
            </m:r>
          </m:e>
          <m:sup>
            <m:d>
              <m:dPr>
                <m:begChr m:val=""/>
                <m:endChr m:val=""/>
              </m:dPr>
              <m:e>
                <m:r>
                  <m:rPr/>
                  <m:t xml:space="preserve"> </m:t>
                </m:r>
                <m:r>
                  <m:rPr>
                    <m:sty m:val="p"/>
                  </m:rPr>
                  <m:t>−</m:t>
                </m:r>
                <m:r>
                  <m:rPr/>
                  <m:t xml:space="preserve"> </m:t>
                </m:r>
                <m:sSup>
                  <m:sSupPr/>
                  <m:e>
                    <m:d>
                      <m:dPr>
                        <m:begChr m:val="("/>
                        <m:endChr m:val=")"/>
                      </m:dPr>
                      <m:e>
                        <m:r>
                          <m:rPr/>
                          <m:t xml:space="preserve"> </m:t>
                        </m:r>
                        <m:r>
                          <m:rPr>
                            <m:sty m:val="p"/>
                          </m:rPr>
                          <m:t>−</m:t>
                        </m:r>
                        <m:r>
                          <m:rPr/>
                          <m:t xml:space="preserve"> </m:t>
                        </m:r>
                        <m:r>
                          <m:rPr>
                            <m:sty m:val="p"/>
                          </m:rPr>
                          <m:t>l</m:t>
                        </m:r>
                        <m:r>
                          <m:rPr>
                            <m:sty m:val="p"/>
                          </m:rPr>
                          <m:t>n</m:t>
                        </m:r>
                        <m:r>
                          <m:rPr/>
                          <m:t xml:space="preserve"> </m:t>
                        </m:r>
                        <m:r>
                          <m:rPr/>
                          <m:t>π</m:t>
                        </m:r>
                      </m:e>
                    </m:d>
                  </m:e>
                  <m:sup>
                    <m:r>
                      <m:rPr/>
                      <m:t>ε</m:t>
                    </m:r>
                  </m:sup>
                </m:sSup>
              </m:e>
            </m:d>
          </m:sup>
        </m:sSup>
      </m:oMath>
      <w:r>
        <w:rPr>
          <w:rFonts w:ascii="Palatino Linotype" w:hAnsi="Palatino Linotype" w:eastAsia="Palatino Linotype"/>
          <w:b w:val="0"/>
          <w:i w:val="0"/>
          <w:sz w:val="20"/>
        </w:rPr>
        <w:tab/>
      </w:r>
      <w:r>
        <w:rPr>
          <w:rFonts w:ascii="Palatino Linotype" w:hAnsi="Palatino Linotype" w:eastAsia="Palatino Linotype"/>
          <w:b w:val="0"/>
          <w:i w:val="0"/>
          <w:sz w:val="20"/>
        </w:rPr>
        <w:t>(8)</w:t>
      </w:r>
    </w:p>
    <w:p>
      <w:pPr>
        <w:spacing w:after="120"/>
        <w:jc w:val="both"/>
      </w:pPr>
      <w:r>
        <w:rPr>
          <w:rFonts w:ascii="Palatino Linotype" w:hAnsi="Palatino Linotype" w:eastAsia="Palatino Linotype"/>
          <w:b w:val="0"/>
          <w:i w:val="0"/>
          <w:sz w:val="20"/>
        </w:rPr>
        <w:t>Entry into and exit from the queue follow from that comparison, with a discouragement rate returning queuers to open search:</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f</m:t>
            </m:r>
          </m:e>
          <m:sub>
            <m:r>
              <m:rPr/>
              <m:t>SQ</m:t>
            </m:r>
          </m:sub>
        </m:sSub>
        <m:r>
          <m:rPr/>
          <m:t xml:space="preserve"> </m:t>
        </m:r>
        <m:r>
          <m:rPr>
            <m:sty m:val="p"/>
          </m:rPr>
          <m:t>=</m:t>
        </m:r>
        <m:r>
          <m:rPr/>
          <m:t xml:space="preserve"> </m:t>
        </m:r>
        <m:r>
          <m:rPr/>
          <m:t>ν</m:t>
        </m:r>
        <m:r>
          <m:rPr/>
          <m:t xml:space="preserve"> </m:t>
        </m:r>
        <m:r>
          <m:rPr/>
          <m:t>S</m:t>
        </m:r>
        <m:r>
          <m:rPr/>
          <m:t xml:space="preserve"> </m:t>
        </m:r>
        <m:r>
          <m:rPr>
            <m:sty m:val="p"/>
          </m:rPr>
          <m:t>Λ</m:t>
        </m:r>
        <m:d>
          <m:dPr>
            <m:begChr m:val="("/>
            <m:endChr m:val=")"/>
          </m:dPr>
          <m:e>
            <m:sSub>
              <m:sSubPr/>
              <m:e>
                <m:r>
                  <m:rPr/>
                  <m:t>β</m:t>
                </m:r>
              </m:e>
              <m:sub>
                <m:r>
                  <m:rPr/>
                  <m:t>c</m:t>
                </m:r>
              </m:sub>
            </m:sSub>
            <m:f>
              <m:fPr/>
              <m:num>
                <m:sSub>
                  <m:sSubPr/>
                  <m:e>
                    <m:r>
                      <m:rPr/>
                      <m:t>W</m:t>
                    </m:r>
                  </m:e>
                  <m:sub>
                    <m:r>
                      <m:rPr/>
                      <m:t>Q</m:t>
                    </m:r>
                  </m:sub>
                </m:sSub>
                <m:r>
                  <m:rPr/>
                  <m:t xml:space="preserve"> </m:t>
                </m:r>
                <m:r>
                  <m:rPr>
                    <m:sty m:val="p"/>
                  </m:rPr>
                  <m:t>−</m:t>
                </m:r>
                <m:r>
                  <m:rPr/>
                  <m:t xml:space="preserve"> </m:t>
                </m:r>
                <m:sSub>
                  <m:sSubPr/>
                  <m:e>
                    <m:r>
                      <m:rPr/>
                      <m:t>W</m:t>
                    </m:r>
                  </m:e>
                  <m:sub>
                    <m:r>
                      <m:rPr/>
                      <m:t>S</m:t>
                    </m:r>
                  </m:sub>
                </m:sSub>
              </m:num>
              <m:den>
                <m:sSub>
                  <m:sSubPr/>
                  <m:e>
                    <m:r>
                      <m:rPr/>
                      <m:t>W</m:t>
                    </m:r>
                  </m:e>
                  <m:sub>
                    <m:r>
                      <m:rPr/>
                      <m:t>Q</m:t>
                    </m:r>
                  </m:sub>
                </m:sSub>
                <m:r>
                  <m:rPr/>
                  <m:t xml:space="preserve"> </m:t>
                </m:r>
                <m:r>
                  <m:rPr>
                    <m:sty m:val="p"/>
                  </m:rPr>
                  <m:t>+</m:t>
                </m:r>
                <m:r>
                  <m:rPr/>
                  <m:t xml:space="preserve"> </m:t>
                </m:r>
                <m:sSub>
                  <m:sSubPr/>
                  <m:e>
                    <m:r>
                      <m:rPr/>
                      <m:t>W</m:t>
                    </m:r>
                  </m:e>
                  <m:sub>
                    <m:r>
                      <m:rPr/>
                      <m:t>S</m:t>
                    </m:r>
                  </m:sub>
                </m:sSub>
              </m:den>
            </m:f>
          </m:e>
        </m:d>
        <m:r>
          <m:rPr/>
          <m:t>,</m:t>
        </m:r>
        <m:r>
          <m:rPr/>
          <m:t xml:space="preserve"> </m:t>
        </m:r>
        <m:r>
          <m:rPr/>
          <m:t xml:space="preserve"> </m:t>
        </m:r>
        <m:sSub>
          <m:sSubPr/>
          <m:e>
            <m:r>
              <m:rPr/>
              <m:t>f</m:t>
            </m:r>
          </m:e>
          <m:sub>
            <m:r>
              <m:rPr/>
              <m:t>QS</m:t>
            </m:r>
          </m:sub>
        </m:sSub>
        <m:r>
          <m:rPr/>
          <m:t xml:space="preserve"> </m:t>
        </m:r>
        <m:r>
          <m:rPr>
            <m:sty m:val="p"/>
          </m:rPr>
          <m:t>=</m:t>
        </m:r>
        <m:r>
          <m:rPr/>
          <m:t xml:space="preserve"> </m:t>
        </m:r>
        <m:sSub>
          <m:sSubPr/>
          <m:e>
            <m:r>
              <m:rPr/>
              <m:t>ν</m:t>
            </m:r>
          </m:e>
          <m:sub>
            <m:r>
              <m:rPr/>
              <m:t>r</m:t>
            </m:r>
          </m:sub>
        </m:sSub>
        <m:r>
          <m:rPr/>
          <m:t xml:space="preserve"> </m:t>
        </m:r>
        <m:r>
          <m:rPr/>
          <m:t>Q</m:t>
        </m:r>
        <m:d>
          <m:dPr>
            <m:begChr m:val="["/>
            <m:endChr m:val="]"/>
          </m:dPr>
          <m:e>
            <m:r>
              <m:rPr/>
              <m:t>1</m:t>
            </m:r>
            <m:r>
              <m:rPr/>
              <m:t xml:space="preserve"> </m:t>
            </m:r>
            <m:r>
              <m:rPr>
                <m:sty m:val="p"/>
              </m:rPr>
              <m:t>−</m:t>
            </m:r>
            <m:r>
              <m:rPr/>
              <m:t xml:space="preserve"> </m:t>
            </m:r>
            <m:r>
              <m:rPr>
                <m:sty m:val="p"/>
              </m:rPr>
              <m:t>Λ</m:t>
            </m:r>
            <m:d>
              <m:dPr>
                <m:begChr m:val="("/>
                <m:endChr m:val=")"/>
              </m:dPr>
              <m:e>
                <m:r>
                  <m:rPr/>
                  <m:t>·</m:t>
                </m:r>
              </m:e>
            </m:d>
          </m:e>
        </m:d>
      </m:oMath>
      <w:r>
        <w:rPr>
          <w:rFonts w:ascii="Palatino Linotype" w:hAnsi="Palatino Linotype" w:eastAsia="Palatino Linotype"/>
          <w:b w:val="0"/>
          <w:i w:val="0"/>
          <w:sz w:val="20"/>
        </w:rPr>
        <w:tab/>
      </w:r>
      <w:r>
        <w:rPr>
          <w:rFonts w:ascii="Palatino Linotype" w:hAnsi="Palatino Linotype" w:eastAsia="Palatino Linotype"/>
          <w:b w:val="0"/>
          <w:i w:val="0"/>
          <w:sz w:val="20"/>
        </w:rPr>
        <w:t>(9)</w:t>
      </w:r>
    </w:p>
    <w:p>
      <w:pPr>
        <w:spacing w:after="120"/>
        <w:jc w:val="both"/>
      </w:pPr>
      <w:r>
        <w:rPr>
          <w:rFonts w:ascii="Palatino Linotype" w:hAnsi="Palatino Linotype" w:eastAsia="Palatino Linotype"/>
          <w:b w:val="0"/>
          <w:i w:val="0"/>
          <w:sz w:val="20"/>
        </w:rPr>
        <w:t xml:space="preserve">The four population stocks then obey the following accounting identities, in which </w:t>
      </w:r>
      <m:oMath>
        <m:r>
          <m:rPr/>
          <m:t>\Phi</m:t>
        </m:r>
      </m:oMath>
      <w:r>
        <w:rPr>
          <w:rFonts w:ascii="Palatino Linotype" w:hAnsi="Palatino Linotype" w:eastAsia="Palatino Linotype"/>
          <w:b w:val="0"/>
          <w:i w:val="0"/>
          <w:sz w:val="20"/>
        </w:rPr>
        <w:t xml:space="preserve"> is the entering cohort, </w:t>
      </w:r>
      <m:oMath>
        <m:r>
          <m:rPr/>
          <m:t>ω</m:t>
        </m:r>
      </m:oMath>
      <w:r>
        <w:rPr>
          <w:rFonts w:ascii="Palatino Linotype" w:hAnsi="Palatino Linotype" w:eastAsia="Palatino Linotype"/>
          <w:b w:val="0"/>
          <w:i w:val="0"/>
          <w:sz w:val="20"/>
        </w:rPr>
        <w:t xml:space="preserve"> the rate of exit from the youth window, and </w:t>
      </w:r>
      <m:oMath>
        <m:sSub>
          <m:sSubPr/>
          <m:e>
            <m:r>
              <m:rPr/>
              <m:t>δ</m:t>
            </m:r>
          </m:e>
          <m:sub>
            <m:r>
              <m:rPr/>
              <m:t>M</m:t>
            </m:r>
          </m:sub>
        </m:sSub>
      </m:oMath>
      <w:r>
        <w:rPr>
          <w:rFonts w:ascii="Palatino Linotype" w:hAnsi="Palatino Linotype" w:eastAsia="Palatino Linotype"/>
          <w:b w:val="0"/>
          <w:i w:val="0"/>
          <w:sz w:val="20"/>
        </w:rPr>
        <w:t xml:space="preserve"> and </w:t>
      </w:r>
      <m:oMath>
        <m:sSub>
          <m:sSubPr/>
          <m:e>
            <m:r>
              <m:rPr/>
              <m:t>δ</m:t>
            </m:r>
          </m:e>
          <m:sub>
            <m:r>
              <m:rPr/>
              <m:t>U</m:t>
            </m:r>
          </m:sub>
        </m:sSub>
      </m:oMath>
      <w:r>
        <w:rPr>
          <w:rFonts w:ascii="Palatino Linotype" w:hAnsi="Palatino Linotype" w:eastAsia="Palatino Linotype"/>
          <w:b w:val="0"/>
          <w:i w:val="0"/>
          <w:sz w:val="20"/>
        </w:rPr>
        <w:t xml:space="preserve"> the separation rates from matched and mismatched employment:</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S</m:t>
            </m:r>
          </m:e>
        </m:acc>
        <m:r>
          <m:rPr/>
          <m:t xml:space="preserve"> </m:t>
        </m:r>
        <m:r>
          <m:rPr>
            <m:sty m:val="p"/>
          </m:rPr>
          <m:t>=</m:t>
        </m:r>
        <m:r>
          <m:rPr/>
          <m:t xml:space="preserve"> </m:t>
        </m:r>
        <m:r>
          <m:rPr>
            <m:sty m:val="p"/>
          </m:rPr>
          <m:t>Φ</m:t>
        </m:r>
        <m:d>
          <m:dPr>
            <m:begChr m:val="("/>
            <m:endChr m:val=")"/>
          </m:dPr>
          <m:e>
            <m:r>
              <m:rPr/>
              <m:t>t</m:t>
            </m:r>
          </m:e>
        </m:d>
        <m:r>
          <m:rPr/>
          <m:t xml:space="preserve"> </m:t>
        </m:r>
        <m:r>
          <m:rPr>
            <m:sty m:val="p"/>
          </m:rPr>
          <m:t>+</m:t>
        </m:r>
        <m:r>
          <m:rPr/>
          <m:t xml:space="preserve"> </m:t>
        </m:r>
        <m:sSub>
          <m:sSubPr/>
          <m:e>
            <m:r>
              <m:rPr/>
              <m:t>f</m:t>
            </m:r>
          </m:e>
          <m:sub>
            <m:r>
              <m:rPr/>
              <m:t>QS</m:t>
            </m:r>
          </m:sub>
        </m:sSub>
        <m:r>
          <m:rPr/>
          <m:t xml:space="preserve"> </m:t>
        </m:r>
        <m:r>
          <m:rPr>
            <m:sty m:val="p"/>
          </m:rPr>
          <m:t>+</m:t>
        </m:r>
        <m:r>
          <m:rPr/>
          <m:t xml:space="preserve"> </m:t>
        </m:r>
        <m:sSub>
          <m:sSubPr/>
          <m:e>
            <m:r>
              <m:rPr/>
              <m:t>δ</m:t>
            </m:r>
          </m:e>
          <m:sub>
            <m:r>
              <m:rPr/>
              <m:t>M</m:t>
            </m:r>
          </m:sub>
        </m:sSub>
        <m:r>
          <m:rPr/>
          <m:t>M</m:t>
        </m:r>
        <m:r>
          <m:rPr/>
          <m:t xml:space="preserve"> </m:t>
        </m:r>
        <m:r>
          <m:rPr>
            <m:sty m:val="p"/>
          </m:rPr>
          <m:t>+</m:t>
        </m:r>
        <m:r>
          <m:rPr/>
          <m:t xml:space="preserve"> </m:t>
        </m:r>
        <m:sSub>
          <m:sSubPr/>
          <m:e>
            <m:r>
              <m:rPr/>
              <m:t>δ</m:t>
            </m:r>
          </m:e>
          <m:sub>
            <m:r>
              <m:rPr/>
              <m:t>U</m:t>
            </m:r>
          </m:sub>
        </m:sSub>
        <m:r>
          <m:rPr/>
          <m:t>U</m:t>
        </m:r>
        <m:r>
          <m:rPr/>
          <m:t xml:space="preserve"> </m:t>
        </m:r>
        <m:r>
          <m:rPr>
            <m:sty m:val="p"/>
          </m:rPr>
          <m:t>−</m:t>
        </m:r>
        <m:r>
          <m:rPr/>
          <m:t xml:space="preserve"> </m:t>
        </m:r>
        <m:r>
          <m:rPr/>
          <m:t>h</m:t>
        </m:r>
        <m:r>
          <m:rPr/>
          <m:t xml:space="preserve"> </m:t>
        </m:r>
        <m:r>
          <m:rPr>
            <m:sty m:val="p"/>
          </m:rPr>
          <m:t>−</m:t>
        </m:r>
        <m:r>
          <m:rPr/>
          <m:t xml:space="preserve"> </m:t>
        </m:r>
        <m:sSub>
          <m:sSubPr/>
          <m:e>
            <m:r>
              <m:rPr/>
              <m:t>f</m:t>
            </m:r>
          </m:e>
          <m:sub>
            <m:r>
              <m:rPr/>
              <m:t>SQ</m:t>
            </m:r>
          </m:sub>
        </m:sSub>
        <m:r>
          <m:rPr/>
          <m:t xml:space="preserve"> </m:t>
        </m:r>
        <m:r>
          <m:rPr>
            <m:sty m:val="p"/>
          </m:rPr>
          <m:t>−</m:t>
        </m:r>
        <m:r>
          <m:rPr/>
          <m:t xml:space="preserve"> </m:t>
        </m:r>
        <m:r>
          <m:rPr/>
          <m:t>ω</m:t>
        </m:r>
        <m:r>
          <m:rPr/>
          <m:t>S</m:t>
        </m:r>
      </m:oMath>
      <w:r>
        <w:rPr>
          <w:rFonts w:ascii="Palatino Linotype" w:hAnsi="Palatino Linotype" w:eastAsia="Palatino Linotype"/>
          <w:b w:val="0"/>
          <w:i w:val="0"/>
          <w:sz w:val="20"/>
        </w:rPr>
        <w:tab/>
      </w:r>
      <w:r>
        <w:rPr>
          <w:rFonts w:ascii="Palatino Linotype" w:hAnsi="Palatino Linotype" w:eastAsia="Palatino Linotype"/>
          <w:b w:val="0"/>
          <w:i w:val="0"/>
          <w:sz w:val="20"/>
        </w:rPr>
        <w:t>(10)</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Q</m:t>
            </m:r>
          </m:e>
        </m:acc>
        <m:r>
          <m:rPr/>
          <m:t xml:space="preserve"> </m:t>
        </m:r>
        <m:r>
          <m:rPr>
            <m:sty m:val="p"/>
          </m:rPr>
          <m:t>=</m:t>
        </m:r>
        <m:r>
          <m:rPr/>
          <m:t xml:space="preserve"> </m:t>
        </m:r>
        <m:sSub>
          <m:sSubPr/>
          <m:e>
            <m:r>
              <m:rPr/>
              <m:t>f</m:t>
            </m:r>
          </m:e>
          <m:sub>
            <m:r>
              <m:rPr/>
              <m:t>SQ</m:t>
            </m:r>
          </m:sub>
        </m:sSub>
        <m:r>
          <m:rPr/>
          <m:t xml:space="preserve"> </m:t>
        </m:r>
        <m:r>
          <m:rPr>
            <m:sty m:val="p"/>
          </m:rPr>
          <m:t>−</m:t>
        </m:r>
        <m:r>
          <m:rPr/>
          <m:t xml:space="preserve"> </m:t>
        </m:r>
        <m:sSub>
          <m:sSubPr/>
          <m:e>
            <m:r>
              <m:rPr/>
              <m:t>f</m:t>
            </m:r>
          </m:e>
          <m:sub>
            <m:r>
              <m:rPr/>
              <m:t>QS</m:t>
            </m:r>
          </m:sub>
        </m:sSub>
        <m:r>
          <m:rPr/>
          <m:t xml:space="preserve"> </m:t>
        </m:r>
        <m:r>
          <m:rPr>
            <m:sty m:val="p"/>
          </m:rPr>
          <m:t>−</m:t>
        </m:r>
        <m:r>
          <m:rPr/>
          <m:t xml:space="preserve"> </m:t>
        </m:r>
        <m:sSub>
          <m:sSubPr/>
          <m:e>
            <m:r>
              <m:rPr/>
              <m:t>f</m:t>
            </m:r>
          </m:e>
          <m:sub>
            <m:r>
              <m:rPr/>
              <m:t>QM</m:t>
            </m:r>
          </m:sub>
        </m:sSub>
        <m:r>
          <m:rPr/>
          <m:t xml:space="preserve"> </m:t>
        </m:r>
        <m:r>
          <m:rPr>
            <m:sty m:val="p"/>
          </m:rPr>
          <m:t>−</m:t>
        </m:r>
        <m:r>
          <m:rPr/>
          <m:t xml:space="preserve"> </m:t>
        </m:r>
        <m:r>
          <m:rPr/>
          <m:t>ω</m:t>
        </m:r>
        <m:r>
          <m:rPr/>
          <m:t>Q</m:t>
        </m:r>
        <m:r>
          <m:rPr/>
          <m:t>,</m:t>
        </m:r>
        <m:r>
          <m:rPr/>
          <m:t xml:space="preserve"> </m:t>
        </m:r>
        <m:r>
          <m:rPr/>
          <m:t xml:space="preserve"> </m:t>
        </m:r>
        <m:sSub>
          <m:sSubPr/>
          <m:e>
            <m:r>
              <m:rPr/>
              <m:t>f</m:t>
            </m:r>
          </m:e>
          <m:sub>
            <m:r>
              <m:rPr/>
              <m:t>QM</m:t>
            </m:r>
          </m:sub>
        </m:sSub>
        <m:r>
          <m:rPr/>
          <m:t xml:space="preserve"> </m:t>
        </m:r>
        <m:r>
          <m:rPr>
            <m:sty m:val="p"/>
          </m:rPr>
          <m:t>=</m:t>
        </m:r>
        <m:r>
          <m:rPr/>
          <m:t xml:space="preserve"> </m:t>
        </m:r>
        <m:r>
          <m:rPr>
            <m:sty m:val="p"/>
          </m:rPr>
          <m:t>smin</m:t>
        </m:r>
        <m:d>
          <m:dPr>
            <m:begChr m:val="("/>
            <m:endChr m:val=")"/>
          </m:dPr>
          <m:e>
            <m:r>
              <m:rPr/>
              <m:t>Ξ</m:t>
            </m:r>
            <m:r>
              <m:rPr/>
              <m:t xml:space="preserve">, </m:t>
            </m:r>
            <m:r>
              <m:rPr/>
              <m:t>Q</m:t>
            </m:r>
          </m:e>
        </m:d>
        <m:r>
          <m:rPr/>
          <m:t>,</m:t>
        </m:r>
        <m:r>
          <m:rPr/>
          <m:t xml:space="preserve"> </m:t>
        </m:r>
        <m:r>
          <m:rPr/>
          <m:t xml:space="preserve"> </m:t>
        </m:r>
        <m:sSub>
          <m:sSubPr/>
          <m:e>
            <m:r>
              <m:rPr/>
              <m:t>π</m:t>
            </m:r>
          </m:e>
          <m:sub>
            <m:r>
              <m:rPr/>
              <m:t>e</m:t>
            </m:r>
          </m:sub>
        </m:sSub>
        <m:r>
          <m:rPr/>
          <m:t xml:space="preserve"> </m:t>
        </m:r>
        <m:r>
          <m:rPr>
            <m:sty m:val="p"/>
          </m:rPr>
          <m:t>=</m:t>
        </m:r>
        <m:r>
          <m:rPr/>
          <m:t xml:space="preserve"> </m:t>
        </m:r>
        <m:f>
          <m:fPr/>
          <m:num>
            <m:sSub>
              <m:sSubPr/>
              <m:e>
                <m:r>
                  <m:rPr/>
                  <m:t>f</m:t>
                </m:r>
              </m:e>
              <m:sub>
                <m:r>
                  <m:rPr/>
                  <m:t>QM</m:t>
                </m:r>
              </m:sub>
            </m:sSub>
          </m:num>
          <m:den>
            <m:r>
              <m:rPr/>
              <m:t>Q</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(11)</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M</m:t>
            </m:r>
          </m:e>
        </m:acc>
        <m:r>
          <m:rPr/>
          <m:t xml:space="preserve"> </m:t>
        </m:r>
        <m:r>
          <m:rPr>
            <m:sty m:val="p"/>
          </m:rPr>
          <m:t>=</m:t>
        </m:r>
        <m:r>
          <m:rPr/>
          <m:t xml:space="preserve"> </m:t>
        </m:r>
        <m:r>
          <m:rPr/>
          <m:t>h</m:t>
        </m:r>
        <m:r>
          <m:rPr/>
          <m:t>σ</m:t>
        </m:r>
        <m:r>
          <m:rPr/>
          <m:t xml:space="preserve"> </m:t>
        </m:r>
        <m:r>
          <m:rPr>
            <m:sty m:val="p"/>
          </m:rPr>
          <m:t>+</m:t>
        </m:r>
        <m:r>
          <m:rPr/>
          <m:t xml:space="preserve"> </m:t>
        </m:r>
        <m:sSub>
          <m:sSubPr/>
          <m:e>
            <m:r>
              <m:rPr/>
              <m:t>f</m:t>
            </m:r>
          </m:e>
          <m:sub>
            <m:r>
              <m:rPr/>
              <m:t>QM</m:t>
            </m:r>
          </m:sub>
        </m:sSub>
        <m:r>
          <m:rPr/>
          <m:t xml:space="preserve"> </m:t>
        </m:r>
        <m:r>
          <m:rPr>
            <m:sty m:val="p"/>
          </m:rPr>
          <m:t>−</m:t>
        </m:r>
        <m:r>
          <m:rPr/>
          <m:t xml:space="preserve"> </m:t>
        </m:r>
        <m:d>
          <m:dPr>
            <m:begChr m:val="("/>
            <m:endChr m:val=")"/>
          </m:dPr>
          <m:e>
            <m:sSub>
              <m:sSubPr/>
              <m:e>
                <m:r>
                  <m:rPr/>
                  <m:t>δ</m:t>
                </m:r>
              </m:e>
              <m:sub>
                <m:r>
                  <m:rPr/>
                  <m:t>M</m:t>
                </m:r>
              </m:sub>
            </m:sSub>
            <m:r>
              <m:rPr/>
              <m:t xml:space="preserve"> </m:t>
            </m:r>
            <m:r>
              <m:rPr>
                <m:sty m:val="p"/>
              </m:rPr>
              <m:t>+</m:t>
            </m:r>
            <m:r>
              <m:rPr/>
              <m:t xml:space="preserve"> </m:t>
            </m:r>
            <m:r>
              <m:rPr/>
              <m:t>ω</m:t>
            </m:r>
          </m:e>
        </m:d>
        <m:r>
          <m:rPr/>
          <m:t>M</m:t>
        </m:r>
        <m:r>
          <m:rPr/>
          <m:t>,</m:t>
        </m:r>
        <m:r>
          <m:rPr/>
          <m:t xml:space="preserve"> </m:t>
        </m:r>
        <m:r>
          <m:rPr/>
          <m:t xml:space="preserve"> </m:t>
        </m:r>
        <m:acc>
          <m:accPr>
            <m:chr m:val="̇"/>
          </m:accPr>
          <m:e>
            <m:r>
              <m:rPr/>
              <m:t>U</m:t>
            </m:r>
          </m:e>
        </m:acc>
        <m:r>
          <m:rPr/>
          <m:t xml:space="preserve"> </m:t>
        </m:r>
        <m:r>
          <m:rPr>
            <m:sty m:val="p"/>
          </m:rPr>
          <m:t>=</m:t>
        </m:r>
        <m:r>
          <m:rPr/>
          <m:t xml:space="preserve"> </m:t>
        </m:r>
        <m:r>
          <m:rPr/>
          <m:t>h</m:t>
        </m:r>
        <m:d>
          <m:dPr>
            <m:begChr m:val="("/>
            <m:endChr m:val=")"/>
          </m:dPr>
          <m:e>
            <m:r>
              <m:rPr/>
              <m:t>1</m:t>
            </m:r>
            <m:r>
              <m:rPr/>
              <m:t xml:space="preserve"> </m:t>
            </m:r>
            <m:r>
              <m:rPr>
                <m:sty m:val="p"/>
              </m:rPr>
              <m:t>−</m:t>
            </m:r>
            <m:r>
              <m:rPr/>
              <m:t xml:space="preserve"> </m:t>
            </m:r>
            <m:r>
              <m:rPr/>
              <m:t>σ</m:t>
            </m:r>
          </m:e>
        </m:d>
        <m:r>
          <m:rPr/>
          <m:t xml:space="preserve"> </m:t>
        </m:r>
        <m:r>
          <m:rPr>
            <m:sty m:val="p"/>
          </m:rPr>
          <m:t>−</m:t>
        </m:r>
        <m:r>
          <m:rPr/>
          <m:t xml:space="preserve"> </m:t>
        </m:r>
        <m:d>
          <m:dPr>
            <m:begChr m:val="("/>
            <m:endChr m:val=")"/>
          </m:dPr>
          <m:e>
            <m:sSub>
              <m:sSubPr/>
              <m:e>
                <m:r>
                  <m:rPr/>
                  <m:t>δ</m:t>
                </m:r>
              </m:e>
              <m:sub>
                <m:r>
                  <m:rPr/>
                  <m:t>U</m:t>
                </m:r>
              </m:sub>
            </m:sSub>
            <m:r>
              <m:rPr/>
              <m:t xml:space="preserve"> </m:t>
            </m:r>
            <m:r>
              <m:rPr>
                <m:sty m:val="p"/>
              </m:rPr>
              <m:t>+</m:t>
            </m:r>
            <m:r>
              <m:rPr/>
              <m:t xml:space="preserve"> </m:t>
            </m:r>
            <m:r>
              <m:rPr/>
              <m:t>ω</m:t>
            </m:r>
          </m:e>
        </m:d>
        <m:r>
          <m:rPr/>
          <m:t>U</m:t>
        </m:r>
      </m:oMath>
      <w:r>
        <w:rPr>
          <w:rFonts w:ascii="Palatino Linotype" w:hAnsi="Palatino Linotype" w:eastAsia="Palatino Linotype"/>
          <w:b w:val="0"/>
          <w:i w:val="0"/>
          <w:sz w:val="20"/>
        </w:rPr>
        <w:tab/>
      </w:r>
      <w:r>
        <w:rPr>
          <w:rFonts w:ascii="Palatino Linotype" w:hAnsi="Palatino Linotype" w:eastAsia="Palatino Linotype"/>
          <w:b w:val="0"/>
          <w:i w:val="0"/>
          <w:sz w:val="20"/>
        </w:rPr>
        <w:t>(12)</w:t>
      </w:r>
    </w:p>
    <w:p>
      <w:pPr>
        <w:spacing w:after="120"/>
        <w:jc w:val="both"/>
      </w:pPr>
      <w:r>
        <w:rPr>
          <w:rFonts w:ascii="Palatino Linotype" w:hAnsi="Palatino Linotype" w:eastAsia="Palatino Linotype"/>
          <w:b w:val="0"/>
          <w:i w:val="0"/>
          <w:sz w:val="20"/>
        </w:rPr>
        <w:t xml:space="preserve">Mean employability capital of the searching pool is renewed by fresh graduates, diluted by returning queuers whose market-relevant capital has eroded by a factor </w:t>
      </w:r>
      <m:oMath>
        <m:r>
          <m:rPr/>
          <m:t>\chi</m:t>
        </m:r>
      </m:oMath>
      <w:r>
        <w:rPr>
          <w:rFonts w:ascii="Palatino Linotype" w:hAnsi="Palatino Linotype" w:eastAsia="Palatino Linotype"/>
          <w:b w:val="0"/>
          <w:i w:val="0"/>
          <w:sz w:val="20"/>
        </w:rPr>
        <w:t xml:space="preserve">, depreciated at rate </w:t>
      </w:r>
      <m:oMath>
        <m:sSub>
          <m:sSubPr/>
          <m:e>
            <m:r>
              <m:rPr/>
              <m:t>δ</m:t>
            </m:r>
          </m:e>
          <m:sub>
            <m:r>
              <m:rPr/>
              <m:t>H</m:t>
            </m:r>
          </m:sub>
        </m:sSub>
      </m:oMath>
      <w:r>
        <w:rPr>
          <w:rFonts w:ascii="Palatino Linotype" w:hAnsi="Palatino Linotype" w:eastAsia="Palatino Linotype"/>
          <w:b w:val="0"/>
          <w:i w:val="0"/>
          <w:sz w:val="20"/>
        </w:rPr>
        <w:t xml:space="preserve"> during search, and raised by training effort </w:t>
      </w:r>
      <m:oMath>
        <m:r>
          <m:rPr/>
          <m:t>\tau</m:t>
        </m:r>
      </m:oMath>
      <w:r>
        <w:rPr>
          <w:rFonts w:ascii="Palatino Linotype" w:hAnsi="Palatino Linotype" w:eastAsia="Palatino Linotype"/>
          <w:b w:val="0"/>
          <w:i w:val="0"/>
          <w:sz w:val="20"/>
        </w:rPr>
        <w:t>. The first term carries loop R1: as the searcher stock grows, cohort renewal per searcher weakens:</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H</m:t>
            </m:r>
          </m:e>
        </m:acc>
        <m:r>
          <m:rPr/>
          <m:t xml:space="preserve"> </m:t>
        </m:r>
        <m:r>
          <m:rPr>
            <m:sty m:val="p"/>
          </m:rPr>
          <m:t>=</m:t>
        </m:r>
        <m:r>
          <m:rPr/>
          <m:t xml:space="preserve"> </m:t>
        </m:r>
        <m:f>
          <m:fPr/>
          <m:num>
            <m:r>
              <m:rPr>
                <m:sty m:val="p"/>
              </m:rPr>
              <m:t>Φ</m:t>
            </m:r>
            <m:d>
              <m:dPr>
                <m:begChr m:val="("/>
                <m:endChr m:val=")"/>
              </m:dPr>
              <m:e>
                <m:r>
                  <m:rPr/>
                  <m:t>t</m:t>
                </m:r>
              </m:e>
            </m:d>
            <m:d>
              <m:dPr>
                <m:begChr m:val="("/>
                <m:endChr m:val=")"/>
              </m:dPr>
              <m:e>
                <m:sSub>
                  <m:sSubPr/>
                  <m:e>
                    <m:r>
                      <m:rPr/>
                      <m:t>h</m:t>
                    </m:r>
                  </m:e>
                  <m:sub>
                    <m:r>
                      <m:rPr>
                        <m:sty m:val="p"/>
                      </m:rPr>
                      <m:t>new</m:t>
                    </m:r>
                  </m:sub>
                </m:sSub>
                <m:r>
                  <m:rPr/>
                  <m:t xml:space="preserve"> </m:t>
                </m:r>
                <m:r>
                  <m:rPr>
                    <m:sty m:val="p"/>
                  </m:rPr>
                  <m:t>−</m:t>
                </m:r>
                <m:r>
                  <m:rPr/>
                  <m:t xml:space="preserve"> </m:t>
                </m:r>
                <m:r>
                  <m:rPr/>
                  <m:t>H</m:t>
                </m:r>
              </m:e>
            </m:d>
            <m:r>
              <m:rPr/>
              <m:t xml:space="preserve"> </m:t>
            </m:r>
            <m:r>
              <m:rPr>
                <m:sty m:val="p"/>
              </m:rPr>
              <m:t>−</m:t>
            </m:r>
            <m:r>
              <m:rPr/>
              <m:t xml:space="preserve"> </m:t>
            </m:r>
            <m:sSub>
              <m:sSubPr/>
              <m:e>
                <m:r>
                  <m:rPr/>
                  <m:t>f</m:t>
                </m:r>
              </m:e>
              <m:sub>
                <m:r>
                  <m:rPr/>
                  <m:t>QS</m:t>
                </m:r>
              </m:sub>
            </m:sSub>
            <m:d>
              <m:dPr>
                <m:begChr m:val="("/>
                <m:endChr m:val=")"/>
              </m:dPr>
              <m:e>
                <m:r>
                  <m:rPr/>
                  <m:t>1</m:t>
                </m:r>
                <m:r>
                  <m:rPr/>
                  <m:t xml:space="preserve"> </m:t>
                </m:r>
                <m:r>
                  <m:rPr>
                    <m:sty m:val="p"/>
                  </m:rPr>
                  <m:t>−</m:t>
                </m:r>
                <m:r>
                  <m:rPr/>
                  <m:t xml:space="preserve"> </m:t>
                </m:r>
                <m:r>
                  <m:rPr/>
                  <m:t>χ</m:t>
                </m:r>
              </m:e>
            </m:d>
            <m:r>
              <m:rPr/>
              <m:t>H</m:t>
            </m:r>
          </m:num>
          <m:den>
            <m:r>
              <m:rPr/>
              <m:t>S</m:t>
            </m:r>
          </m:den>
        </m:f>
        <m:r>
          <m:rPr/>
          <m:t xml:space="preserve"> </m:t>
        </m:r>
        <m:r>
          <m:rPr>
            <m:sty m:val="p"/>
          </m:rPr>
          <m:t>−</m:t>
        </m:r>
        <m:r>
          <m:rPr/>
          <m:t xml:space="preserve"> </m:t>
        </m:r>
        <m:sSub>
          <m:sSubPr/>
          <m:e>
            <m:r>
              <m:rPr/>
              <m:t>δ</m:t>
            </m:r>
          </m:e>
          <m:sub>
            <m:r>
              <m:rPr/>
              <m:t>H</m:t>
            </m:r>
          </m:sub>
        </m:sSub>
        <m:r>
          <m:rPr/>
          <m:t>H</m:t>
        </m:r>
        <m:r>
          <m:rPr/>
          <m:t xml:space="preserve"> </m:t>
        </m:r>
        <m:r>
          <m:rPr>
            <m:sty m:val="p"/>
          </m:rPr>
          <m:t>+</m:t>
        </m:r>
        <m:r>
          <m:rPr/>
          <m:t xml:space="preserve"> </m:t>
        </m:r>
        <m:r>
          <m:rPr/>
          <m:t>τ</m:t>
        </m:r>
        <m:d>
          <m:dPr>
            <m:begChr m:val="("/>
            <m:endChr m:val=")"/>
          </m:dPr>
          <m:e>
            <m:sSub>
              <m:sSubPr/>
              <m:e>
                <m:r>
                  <m:rPr/>
                  <m:t>h</m:t>
                </m:r>
              </m:e>
              <m:sub>
                <m:r>
                  <m:rPr>
                    <m:sty m:val="p"/>
                  </m:rPr>
                  <m:t>m</m:t>
                </m:r>
                <m:r>
                  <m:rPr>
                    <m:sty m:val="p"/>
                  </m:rPr>
                  <m:t>ax</m:t>
                </m:r>
              </m:sub>
            </m:sSub>
            <m:r>
              <m:rPr/>
              <m:t xml:space="preserve"> </m:t>
            </m:r>
            <m:r>
              <m:rPr>
                <m:sty m:val="p"/>
              </m:rPr>
              <m:t>−</m:t>
            </m:r>
            <m:r>
              <m:rPr/>
              <m:t xml:space="preserve"> </m:t>
            </m:r>
            <m:r>
              <m:rPr/>
              <m:t>H</m:t>
            </m:r>
          </m:e>
        </m:d>
      </m:oMath>
      <w:r>
        <w:rPr>
          <w:rFonts w:ascii="Palatino Linotype" w:hAnsi="Palatino Linotype" w:eastAsia="Palatino Linotype"/>
          <w:b w:val="0"/>
          <w:i w:val="0"/>
          <w:sz w:val="20"/>
        </w:rPr>
        <w:tab/>
      </w:r>
      <w:r>
        <w:rPr>
          <w:rFonts w:ascii="Palatino Linotype" w:hAnsi="Palatino Linotype" w:eastAsia="Palatino Linotype"/>
          <w:b w:val="0"/>
          <w:i w:val="0"/>
          <w:sz w:val="20"/>
        </w:rPr>
        <w:t>(13)</w:t>
      </w:r>
    </w:p>
    <w:p>
      <w:pPr>
        <w:spacing w:after="120"/>
        <w:jc w:val="both"/>
      </w:pPr>
      <w:r>
        <w:rPr>
          <w:rFonts w:ascii="Palatino Linotype" w:hAnsi="Palatino Linotype" w:eastAsia="Palatino Linotype"/>
          <w:b w:val="0"/>
          <w:i w:val="0"/>
          <w:sz w:val="20"/>
        </w:rPr>
        <w:t xml:space="preserve">Aspirations adjust towards a target that mixes a sticky anchor—set by educational attainment, family reservation support and peer reference points—with the currently attainable quality of a job. The anchoring weight </w:t>
      </w:r>
      <m:oMath>
        <m:r>
          <m:rPr/>
          <m:t>\zeta</m:t>
        </m:r>
      </m:oMath>
      <w:r>
        <w:rPr>
          <w:rFonts w:ascii="Palatino Linotype" w:hAnsi="Palatino Linotype" w:eastAsia="Palatino Linotype"/>
          <w:b w:val="0"/>
          <w:i w:val="0"/>
          <w:sz w:val="20"/>
        </w:rPr>
        <w:t xml:space="preserve"> and the adjustment speed </w:t>
      </w:r>
      <m:oMath>
        <m:r>
          <m:rPr/>
          <m:t>λ</m:t>
        </m:r>
      </m:oMath>
      <w:r>
        <w:rPr>
          <w:rFonts w:ascii="Palatino Linotype" w:hAnsi="Palatino Linotype" w:eastAsia="Palatino Linotype"/>
          <w:b w:val="0"/>
          <w:i w:val="0"/>
          <w:sz w:val="20"/>
        </w:rPr>
        <w:t xml:space="preserve"> jointly determine how quickly loop B2 operates:</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r>
              <m:rPr/>
              <m:t>A</m:t>
            </m:r>
          </m:e>
        </m:acc>
        <m:r>
          <m:rPr/>
          <m:t xml:space="preserve"> </m:t>
        </m:r>
        <m:r>
          <m:rPr>
            <m:sty m:val="p"/>
          </m:rPr>
          <m:t>=</m:t>
        </m:r>
        <m:r>
          <m:rPr/>
          <m:t xml:space="preserve"> </m:t>
        </m:r>
        <m:r>
          <m:rPr/>
          <m:t>λ</m:t>
        </m:r>
        <m:d>
          <m:dPr>
            <m:begChr m:val="("/>
            <m:endChr m:val=")"/>
          </m:dPr>
          <m:e>
            <m:sSup>
              <m:sSupPr/>
              <m:e>
                <m:r>
                  <m:rPr/>
                  <m:t>A</m:t>
                </m:r>
              </m:e>
              <m:sup>
                <m:r>
                  <m:rPr/>
                  <m:t>∗</m:t>
                </m:r>
              </m:sup>
            </m:sSup>
            <m:r>
              <m:rPr/>
              <m:t xml:space="preserve"> </m:t>
            </m:r>
            <m:r>
              <m:rPr>
                <m:sty m:val="p"/>
              </m:rPr>
              <m:t>−</m:t>
            </m:r>
            <m:r>
              <m:rPr/>
              <m:t xml:space="preserve"> </m:t>
            </m:r>
            <m:r>
              <m:rPr/>
              <m:t>A</m:t>
            </m:r>
          </m:e>
        </m:d>
        <m:r>
          <m:rPr/>
          <m:t>,</m:t>
        </m:r>
        <m:r>
          <m:rPr/>
          <m:t xml:space="preserve"> </m:t>
        </m:r>
        <m:r>
          <m:rPr/>
          <m:t xml:space="preserve"> </m:t>
        </m:r>
        <m:sSup>
          <m:sSupPr/>
          <m:e>
            <m:r>
              <m:rPr/>
              <m:t>A</m:t>
            </m:r>
          </m:e>
          <m:sup>
            <m:r>
              <m:rPr/>
              <m:t>∗</m:t>
            </m:r>
          </m:sup>
        </m:sSup>
        <m:r>
          <m:rPr/>
          <m:t xml:space="preserve"> </m:t>
        </m:r>
        <m:r>
          <m:rPr>
            <m:sty m:val="p"/>
          </m:rPr>
          <m:t>=</m:t>
        </m:r>
        <m:r>
          <m:rPr/>
          <m:t xml:space="preserve"> </m:t>
        </m:r>
        <m:r>
          <m:rPr/>
          <m:t>ζ</m:t>
        </m:r>
        <m:sSub>
          <m:sSubPr/>
          <m:e>
            <m:r>
              <m:rPr/>
              <m:t>A</m:t>
            </m:r>
          </m:e>
          <m:sub>
            <m:r>
              <m:rPr>
                <m:sty m:val="p"/>
              </m:rPr>
              <m:t>anch</m:t>
            </m:r>
          </m:sub>
        </m:sSub>
        <m:r>
          <m:rPr/>
          <m:t xml:space="preserve"> </m:t>
        </m:r>
        <m:r>
          <m:rPr>
            <m:sty m:val="p"/>
          </m:rPr>
          <m:t>+</m:t>
        </m:r>
        <m:r>
          <m:rPr/>
          <m:t xml:space="preserve"> </m:t>
        </m:r>
        <m:d>
          <m:dPr>
            <m:begChr m:val="("/>
            <m:endChr m:val=")"/>
          </m:dPr>
          <m:e>
            <m:r>
              <m:rPr/>
              <m:t>1</m:t>
            </m:r>
            <m:r>
              <m:rPr/>
              <m:t xml:space="preserve"> </m:t>
            </m:r>
            <m:r>
              <m:rPr>
                <m:sty m:val="p"/>
              </m:rPr>
              <m:t>−</m:t>
            </m:r>
            <m:r>
              <m:rPr/>
              <m:t xml:space="preserve"> </m:t>
            </m:r>
            <m:r>
              <m:rPr/>
              <m:t>ζ</m:t>
            </m:r>
          </m:e>
        </m:d>
        <m:r>
          <m:rPr/>
          <m:t>q</m:t>
        </m:r>
        <m:sSub>
          <m:sSubPr/>
          <m:e>
            <m:r>
              <m:rPr/>
              <m:t>p</m:t>
            </m:r>
          </m:e>
          <m:sub>
            <m:r>
              <m:rPr/>
              <m:t>s</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(14)</w:t>
      </w:r>
    </w:p>
    <w:p>
      <w:pPr>
        <w:spacing w:after="120"/>
        <w:jc w:val="both"/>
      </w:pPr>
      <w:r>
        <w:rPr>
          <w:rFonts w:ascii="Palatino Linotype" w:hAnsi="Palatino Linotype" w:eastAsia="Palatino Linotype"/>
          <w:b w:val="0"/>
          <w:i w:val="0"/>
          <w:sz w:val="20"/>
        </w:rPr>
        <w:t xml:space="preserve">Finally, the outcome indicators reported throughout are defined as follows, where </w:t>
      </w:r>
      <m:oMath>
        <m:r>
          <m:rPr/>
          <m:t>D</m:t>
        </m:r>
      </m:oMath>
      <w:r>
        <w:rPr>
          <w:rFonts w:ascii="Palatino Linotype" w:hAnsi="Palatino Linotype" w:eastAsia="Palatino Linotype"/>
          <w:b w:val="0"/>
          <w:i w:val="0"/>
          <w:sz w:val="20"/>
        </w:rPr>
        <w:t xml:space="preserve"> applies Little’s law to the non-employed stock:</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NER</m:t>
        </m:r>
        <m:r>
          <m:rPr/>
          <m:t xml:space="preserve"> </m:t>
        </m:r>
        <m:r>
          <m:rPr>
            <m:sty m:val="p"/>
          </m:rPr>
          <m:t>=</m:t>
        </m:r>
        <m:r>
          <m:rPr/>
          <m:t xml:space="preserve"> </m:t>
        </m:r>
        <m:f>
          <m:fPr/>
          <m:num>
            <m:r>
              <m:rPr/>
              <m:t>S</m:t>
            </m:r>
            <m:r>
              <m:rPr/>
              <m:t xml:space="preserve"> </m:t>
            </m:r>
            <m:r>
              <m:rPr>
                <m:sty m:val="p"/>
              </m:rPr>
              <m:t>+</m:t>
            </m:r>
            <m:r>
              <m:rPr/>
              <m:t xml:space="preserve"> </m:t>
            </m:r>
            <m:r>
              <m:rPr/>
              <m:t>Q</m:t>
            </m:r>
          </m:num>
          <m:den>
            <m:r>
              <m:rPr/>
              <m:t>S</m:t>
            </m:r>
            <m:r>
              <m:rPr/>
              <m:t xml:space="preserve"> </m:t>
            </m:r>
            <m:r>
              <m:rPr>
                <m:sty m:val="p"/>
              </m:rPr>
              <m:t>+</m:t>
            </m:r>
            <m:r>
              <m:rPr/>
              <m:t xml:space="preserve"> </m:t>
            </m:r>
            <m:r>
              <m:rPr/>
              <m:t>Q</m:t>
            </m:r>
            <m:r>
              <m:rPr/>
              <m:t xml:space="preserve"> </m:t>
            </m:r>
            <m:r>
              <m:rPr>
                <m:sty m:val="p"/>
              </m:rPr>
              <m:t>+</m:t>
            </m:r>
            <m:r>
              <m:rPr/>
              <m:t xml:space="preserve"> </m:t>
            </m:r>
            <m:r>
              <m:rPr/>
              <m:t>M</m:t>
            </m:r>
            <m:r>
              <m:rPr/>
              <m:t xml:space="preserve"> </m:t>
            </m:r>
            <m:r>
              <m:rPr>
                <m:sty m:val="p"/>
              </m:rPr>
              <m:t>+</m:t>
            </m:r>
            <m:r>
              <m:rPr/>
              <m:t xml:space="preserve"> </m:t>
            </m:r>
            <m:r>
              <m:rPr/>
              <m:t>U</m:t>
            </m:r>
          </m:den>
        </m:f>
        <m:r>
          <m:rPr/>
          <m:t>,</m:t>
        </m:r>
        <m:r>
          <m:rPr/>
          <m:t xml:space="preserve"> </m:t>
        </m:r>
        <m:r>
          <m:rPr/>
          <m:t xml:space="preserve"> </m:t>
        </m:r>
        <m:r>
          <m:rPr>
            <m:sty m:val="p"/>
          </m:rPr>
          <m:t>MM</m:t>
        </m:r>
        <m:r>
          <m:rPr/>
          <m:t xml:space="preserve"> </m:t>
        </m:r>
        <m:r>
          <m:rPr>
            <m:sty m:val="p"/>
          </m:rPr>
          <m:t>=</m:t>
        </m:r>
        <m:r>
          <m:rPr/>
          <m:t xml:space="preserve"> </m:t>
        </m:r>
        <m:f>
          <m:fPr/>
          <m:num>
            <m:r>
              <m:rPr/>
              <m:t>U</m:t>
            </m:r>
          </m:num>
          <m:den>
            <m:r>
              <m:rPr/>
              <m:t>M</m:t>
            </m:r>
            <m:r>
              <m:rPr/>
              <m:t xml:space="preserve"> </m:t>
            </m:r>
            <m:r>
              <m:rPr>
                <m:sty m:val="p"/>
              </m:rPr>
              <m:t>+</m:t>
            </m:r>
            <m:r>
              <m:rPr/>
              <m:t xml:space="preserve"> </m:t>
            </m:r>
            <m:r>
              <m:rPr/>
              <m:t>U</m:t>
            </m:r>
          </m:den>
        </m:f>
        <m:r>
          <m:rPr/>
          <m:t>,</m:t>
        </m:r>
        <m:r>
          <m:rPr/>
          <m:t xml:space="preserve"> </m:t>
        </m:r>
        <m:r>
          <m:rPr/>
          <m:t xml:space="preserve"> </m:t>
        </m:r>
        <m:r>
          <m:rPr/>
          <m:t>D</m:t>
        </m:r>
        <m:r>
          <m:rPr/>
          <m:t xml:space="preserve"> </m:t>
        </m:r>
        <m:r>
          <m:rPr>
            <m:sty m:val="p"/>
          </m:rPr>
          <m:t>=</m:t>
        </m:r>
        <m:r>
          <m:rPr/>
          <m:t xml:space="preserve"> </m:t>
        </m:r>
        <m:f>
          <m:fPr/>
          <m:num>
            <m:r>
              <m:rPr/>
              <m:t>S</m:t>
            </m:r>
            <m:r>
              <m:rPr/>
              <m:t xml:space="preserve"> </m:t>
            </m:r>
            <m:r>
              <m:rPr>
                <m:sty m:val="p"/>
              </m:rPr>
              <m:t>+</m:t>
            </m:r>
            <m:r>
              <m:rPr/>
              <m:t xml:space="preserve"> </m:t>
            </m:r>
            <m:r>
              <m:rPr/>
              <m:t>Q</m:t>
            </m:r>
          </m:num>
          <m:den>
            <m:r>
              <m:rPr/>
              <m:t>h</m:t>
            </m:r>
            <m:r>
              <m:rPr/>
              <m:t>σ</m:t>
            </m:r>
            <m:r>
              <m:rPr/>
              <m:t xml:space="preserve"> </m:t>
            </m:r>
            <m:r>
              <m:rPr>
                <m:sty m:val="p"/>
              </m:rPr>
              <m:t>+</m:t>
            </m:r>
            <m:r>
              <m:rPr/>
              <m:t xml:space="preserve"> </m:t>
            </m:r>
            <m:sSub>
              <m:sSubPr/>
              <m:e>
                <m:r>
                  <m:rPr/>
                  <m:t>f</m:t>
                </m:r>
              </m:e>
              <m:sub>
                <m:r>
                  <m:rPr/>
                  <m:t>QM</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(15)</w:t>
      </w:r>
    </w:p>
    <w:p>
      <w:pPr>
        <w:keepNext/>
        <w:spacing w:before="140" w:after="80"/>
      </w:pPr>
      <w:r>
        <w:rPr>
          <w:rFonts w:ascii="Palatino Linotype" w:hAnsi="Palatino Linotype" w:eastAsia="Palatino Linotype"/>
          <w:b/>
          <w:i w:val="0"/>
          <w:sz w:val="20"/>
        </w:rPr>
        <w:t>3.3. Data, Calibration and Its Limits</w:t>
      </w:r>
    </w:p>
    <w:p>
      <w:pPr>
        <w:spacing w:after="120"/>
        <w:jc w:val="both"/>
      </w:pPr>
      <w:r>
        <w:rPr>
          <w:rFonts w:ascii="Palatino Linotype" w:hAnsi="Palatino Linotype" w:eastAsia="Palatino Linotype"/>
          <w:b w:val="0"/>
          <w:i w:val="0"/>
          <w:sz w:val="20"/>
        </w:rPr>
        <w:t>The model is a policy-analysis model, not a forecasting model, and we are explicit about what the numbers are. Parameters fall into three classes. Twelve are set from published statistics or from the empirical literature and held fixed. Six are estimated. The remainder are structural constants of the functional forms. Table 2 reports all of them together with the uncertainty ranges used in the Monte Carlo and Sobol analyses. Where a value could not be sourced directly it is treated as uncertain and its influence is quantified rather than assumed away, following the reporting standards for simulation-based social science research set out by Rahmandad and Sterman [42].</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Model parameters: base values, uncertainty ranges and provenance.</w:t>
      </w:r>
    </w:p>
    <w:tbl>
      <w:tblPr>
        <w:tblW w:w="0" w:type="auto"/>
        <w:jc w:val="center"/>
        <w:tblLayout w:type="fixed"/>
        <w:tblCellMar>
          <w:top w:w="0" w:type="dxa"/>
          <w:left w:w="40" w:type="dxa"/>
          <w:bottom w:w="0" w:type="dxa"/>
          <w:right w:w="40" w:type="dxa"/>
        </w:tblCellMar>
      </w:tblPr>
      <w:tblGrid>
        <w:gridCol w:w="1450"/>
        <w:gridCol w:w="3450"/>
        <w:gridCol w:w="1550"/>
        <w:gridCol w:w="1250"/>
        <w:gridCol w:w="1940"/>
      </w:tblGrid>
      <w:tr>
        <w:trPr>
          <w:tblHeader/>
          <w:jc w:val="center"/>
        </w:trPr>
        <w:tc>
          <w:tcPr>
            <w:tcW w:w="14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Symbol</w:t>
            </w:r>
          </w:p>
        </w:tc>
        <w:tc>
          <w:tcPr>
            <w:tcW w:w="34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Meaning</w:t>
            </w:r>
          </w:p>
        </w:tc>
        <w:tc>
          <w:tcPr>
            <w:tcW w:w="15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Base</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Range</w:t>
            </w:r>
          </w:p>
        </w:tc>
        <w:tc>
          <w:tcPr>
            <w:tcW w:w="19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Provenance</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\Phi</m:t>
                  </m:r>
                </m:e>
                <m:sub>
                  <m:r>
                    <m:rPr/>
                    <m:t>0</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Entering graduate cohort, 2015</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749.0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10⁴ persons [2]</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g</m:t>
                  </m:r>
                </m:e>
                <m:sub>
                  <m:r>
                    <m:rPr/>
                    <m:t>\Phi</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Cohort growth rate</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0.030–0.070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 [2]</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ω</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Exit rate from the youth window</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0.125</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(8-year window)</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V</m:t>
                  </m:r>
                </m:e>
                <m:sub>
                  <m:r>
                    <m:rPr/>
                    <m:t>0</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Vacancies, 2015</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948.7</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Scale normalisation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g</m:t>
                  </m:r>
                </m:e>
                <m:sub>
                  <m:r>
                    <m:rPr/>
                    <m:t>V</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Autonomous vacancy growth</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φ</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Vacancy elasticity to digitalisation</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0.90–2.40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\Psi</m:t>
                  </m:r>
                </m:e>
                <m:sub>
                  <m:r>
                    <m:rPr/>
                    <m:t>0</m:t>
                  </m:r>
                </m:sub>
              </m:sSub>
            </m:oMath>
            <w:r>
              <w:rPr>
                <w:rFonts w:ascii="Palatino Linotype" w:hAnsi="Palatino Linotype" w:eastAsia="Palatino Linotype"/>
                <w:b w:val="0"/>
                <w:i w:val="0"/>
                <w:sz w:val="16"/>
              </w:rPr>
              <w:t xml:space="preserve">, </w:t>
            </w:r>
            <m:oMath>
              <m:sSub>
                <m:sSubPr/>
                <m:e>
                  <m:r>
                    <m:rPr/>
                    <m:t>\Psi</m:t>
                  </m:r>
                </m:e>
                <m:sub>
                  <m:r>
                    <m:rPr/>
                    <m:t>m</m:t>
                  </m:r>
                  <m:r>
                    <m:rPr/>
                    <m:t>ax</m:t>
                  </m:r>
                </m:sub>
              </m:sSub>
            </m:oMath>
            <w:r>
              <w:rPr>
                <w:rFonts w:ascii="Palatino Linotype" w:hAnsi="Palatino Linotype" w:eastAsia="Palatino Linotype"/>
                <w:b w:val="0"/>
                <w:i w:val="0"/>
                <w:sz w:val="16"/>
              </w:rPr>
              <w:t xml:space="preserve">, </w:t>
            </w:r>
            <m:oMath>
              <m:sSub>
                <m:sSubPr/>
                <m:e>
                  <m:r>
                    <m:rPr/>
                    <m:t>r</m:t>
                  </m:r>
                </m:e>
                <m:sub>
                  <m:r>
                    <m:rPr/>
                    <m:t>\Psi</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Digital-intensity logistic</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0.0503, 0.2552, 0.1171</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Least squares on [1]</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θ</m:t>
                  </m:r>
                </m:e>
                <m:sub>
                  <m:r>
                    <m:rPr/>
                    <m:t>0</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Baseline skill threshold</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Normalisation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κ</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Threshold sensitivity to digitalisation</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1.855</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1.10–2.80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κ</m:t>
                  </m:r>
                </m:e>
                <m:sub>
                  <m:r>
                    <m:rPr/>
                    <m:t>2</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Endogenous threshold escalation</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0.05–0.30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μ</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Matching efficiency</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9.922</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7.80–12.1</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α</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Matching elasticity</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[41]</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β</m:t>
                  </m:r>
                </m:e>
                <m:sub>
                  <m:r>
                    <m:rPr/>
                    <m:t>s</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Screening sharpness</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\sigma</m:t>
                  </m:r>
                </m:e>
                <m:sub>
                  <m:r>
                    <m:rPr/>
                    <m:t>0</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Match-quality intercept</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0.679</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β</m:t>
                  </m:r>
                </m:e>
                <m:sub>
                  <m:r>
                    <m:rPr/>
                    <m:t>\sigma</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Match-quality slope</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d</m:t>
                  </m:r>
                </m:e>
                <m:sub>
                  <m:r>
                    <m:rPr/>
                    <m:t>m</m:t>
                  </m:r>
                  <m:r>
                    <m:rPr/>
                    <m:t>in</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Minimum feasible search duration</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(years)</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q</m:t>
                  </m:r>
                </m:e>
                <m:sub>
                  <m:r>
                    <m:rPr/>
                    <m:t>0</m:t>
                  </m:r>
                </m:sub>
              </m:sSub>
            </m:oMath>
            <w:r>
              <w:rPr>
                <w:rFonts w:ascii="Palatino Linotype" w:hAnsi="Palatino Linotype" w:eastAsia="Palatino Linotype"/>
                <w:b w:val="0"/>
                <w:i w:val="0"/>
                <w:sz w:val="16"/>
              </w:rPr>
              <w:t xml:space="preserve">, </w:t>
            </w:r>
            <m:oMath>
              <m:sSub>
                <m:sSubPr/>
                <m:e>
                  <m:r>
                    <m:rPr/>
                    <m:t>γ</m:t>
                  </m:r>
                </m:e>
                <m:sub>
                  <m:r>
                    <m:rPr/>
                    <m:t>q</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Offer-quality intercept and slope</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0.560, 0.200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β</m:t>
                  </m:r>
                </m:e>
                <m:sub>
                  <m:r>
                    <m:rPr/>
                    <m:t>a</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Acceptance sharpness</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7.00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A</m:t>
                  </m:r>
                </m:e>
                <m:sub>
                  <m:r>
                    <m:rPr/>
                    <m:t>anch</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anchor</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0.820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\zeta</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anchoring weight</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0.380–0.740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λ</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adjustment speed</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0.090–0.320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h</m:t>
                  </m:r>
                </m:e>
                <m:sub>
                  <m:r>
                    <m:rPr/>
                    <m:t>new</m:t>
                  </m:r>
                </m:sub>
              </m:sSub>
            </m:oMath>
            <w:r>
              <w:rPr>
                <w:rFonts w:ascii="Palatino Linotype" w:hAnsi="Palatino Linotype" w:eastAsia="Palatino Linotype"/>
                <w:b w:val="0"/>
                <w:i w:val="0"/>
                <w:sz w:val="16"/>
              </w:rPr>
              <w:t xml:space="preserve">, </w:t>
            </w:r>
            <m:oMath>
              <m:sSub>
                <m:sSubPr/>
                <m:e>
                  <m:r>
                    <m:rPr/>
                    <m:t>h</m:t>
                  </m:r>
                </m:e>
                <m:sub>
                  <m:r>
                    <m:rPr/>
                    <m:t>m</m:t>
                  </m:r>
                  <m:r>
                    <m:rPr/>
                    <m:t>ax</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Graduate and maximum capital</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0.620, 0.880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Normalisation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δ</m:t>
                  </m:r>
                </m:e>
                <m:sub>
                  <m:r>
                    <m:rPr/>
                    <m:t>H</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 decay while searching</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0.030–0.100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 [43]</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\chi</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 retention while queueing</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0.880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0.780–0.960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\tau</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Training intensity</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0.008–0.040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Uncertain [44]</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\Pi</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Perceived value of an institutional post</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1.868</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1.27–2.67</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\varepsilon</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Probability-weighting curvature</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0.526</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0.360–0.720</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 [40]</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β</m:t>
                  </m:r>
                </m:e>
                <m:sub>
                  <m:r>
                    <m:rPr/>
                    <m:t>c</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Choice sharpness (search versus queue)</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\nu</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Maximal queue-entry rate</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0.755</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Estimated</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sSub>
                <m:sSubPr/>
                <m:e>
                  <m:r>
                    <m:rPr/>
                    <m:t>\nu</m:t>
                  </m:r>
                </m:e>
                <m:sub>
                  <m:r>
                    <m:rPr/>
                    <m:t>r</m:t>
                  </m:r>
                </m:sub>
              </m:sSub>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Discouragement rate</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w:t>
            </w:r>
          </w:p>
        </w:tc>
      </w:tr>
      <w:tr>
        <w:trPr>
          <w:jc w:val="center"/>
        </w:trPr>
        <w:tc>
          <w:tcPr>
            <w:tcW w:w="1450" w:type="dxa"/>
            <w:tcBorders>
              <w:top w:val="nil"/>
              <w:left w:val="nil"/>
              <w:bottom w:val="nil"/>
              <w:right w:val="nil"/>
            </w:tcBorders>
          </w:tcPr>
          <w:p>
            <w:pPr>
              <w:spacing w:before="0" w:after="0" w:line="240" w:lineRule="auto"/>
              <w:ind w:left="0"/>
              <w:jc w:val="left"/>
              <w:rPr>
                <w:sz w:val="19"/>
              </w:rPr>
            </w:pPr>
            <m:oMath>
              <m:r>
                <m:rPr/>
                <m:t>\xi</m:t>
              </m:r>
            </m:oMath>
          </w:p>
        </w:tc>
        <w:tc>
          <w:tcPr>
            <w:tcW w:w="3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Institutional posts per entrant</w:t>
            </w:r>
          </w:p>
        </w:tc>
        <w:tc>
          <w:tcPr>
            <w:tcW w:w="15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Set from exam statistics</w:t>
            </w:r>
          </w:p>
        </w:tc>
      </w:tr>
      <w:tr>
        <w:trPr>
          <w:jc w:val="center"/>
        </w:trPr>
        <w:tc>
          <w:tcPr>
            <w:tcW w:w="1450" w:type="dxa"/>
            <w:tcBorders>
              <w:top w:val="nil"/>
              <w:left w:val="nil"/>
              <w:bottom w:val="single" w:color="000000" w:sz="8" w:space="0"/>
              <w:right w:val="nil"/>
            </w:tcBorders>
          </w:tcPr>
          <w:p>
            <w:pPr>
              <w:spacing w:before="0" w:after="0" w:line="240" w:lineRule="auto"/>
              <w:ind w:left="0"/>
              <w:jc w:val="left"/>
              <w:rPr>
                <w:sz w:val="19"/>
              </w:rPr>
            </w:pPr>
            <m:oMath>
              <m:sSub>
                <m:sSubPr/>
                <m:e>
                  <m:r>
                    <m:rPr/>
                    <m:t>δ</m:t>
                  </m:r>
                </m:e>
                <m:sub>
                  <m:r>
                    <m:rPr/>
                    <m:t>M</m:t>
                  </m:r>
                </m:sub>
              </m:sSub>
            </m:oMath>
            <w:r>
              <w:rPr>
                <w:rFonts w:ascii="Palatino Linotype" w:hAnsi="Palatino Linotype" w:eastAsia="Palatino Linotype"/>
                <w:b w:val="0"/>
                <w:i w:val="0"/>
                <w:sz w:val="16"/>
              </w:rPr>
              <w:t xml:space="preserve">, </w:t>
            </w:r>
            <m:oMath>
              <m:sSub>
                <m:sSubPr/>
                <m:e>
                  <m:r>
                    <m:rPr/>
                    <m:t>δ</m:t>
                  </m:r>
                </m:e>
                <m:sub>
                  <m:r>
                    <m:rPr/>
                    <m:t>U</m:t>
                  </m:r>
                </m:sub>
              </m:sSub>
            </m:oMath>
          </w:p>
        </w:tc>
        <w:tc>
          <w:tcPr>
            <w:tcW w:w="34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Separation rates</w:t>
            </w:r>
          </w:p>
        </w:tc>
        <w:tc>
          <w:tcPr>
            <w:tcW w:w="15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0.100, 0.280</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9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Set [33]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Ranges are the supports of the independent uniform priors used in the Latin-hypercube and Sobol designs; a dash indicates a parameter held fixed in those designs. "Estimated" denotes a parameter recovered by simulated method of moments (Table 3). Population stocks are in units of 10⁴ persons, so the model is scaled to the national graduate cohort; all reported outcomes are rates, shares and durations and are therefore invariant to that scaling. The higher separation rate for mismatched employment reflects the elevated quit intentions documented among over-educated Chinese graduates [33,34].</w:t>
      </w:r>
    </w:p>
    <w:p>
      <w:pPr>
        <w:spacing w:after="120"/>
        <w:jc w:val="both"/>
      </w:pPr>
      <w:r>
        <w:rPr>
          <w:rFonts w:ascii="Palatino Linotype" w:hAnsi="Palatino Linotype" w:eastAsia="Palatino Linotype"/>
          <w:b w:val="0"/>
          <w:i w:val="0"/>
          <w:sz w:val="20"/>
        </w:rPr>
        <w:t>Six parameters—the sensitivity of the employer threshold to digitalisation, matching efficiency, the perceived value of an institutional post, the probability-weighting curvature, the maximal queue-entry rate and the match-quality intercept—are estimated by simulated method of moments. The objective is the weighted sum of squared relative deviations between simulated and observed moments. The 2015 moments are evaluated at the model’s own frozen-driver fixed point, which also supplies the initial condition; the 2025 moments are evaluated after ten years of transient dynamics. Minimisation uses differential evolution with a Sobol-initialised population, followed by local polishing. With seven moments and six free parameters the system is over-identified, so the fit is informative rather than mechanical.</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Calibration by simulated method of moments: targets, sources and fit.</w:t>
      </w:r>
    </w:p>
    <w:tbl>
      <w:tblPr>
        <w:tblW w:w="0" w:type="auto"/>
        <w:jc w:val="center"/>
        <w:tblLayout w:type="fixed"/>
        <w:tblCellMar>
          <w:top w:w="0" w:type="dxa"/>
          <w:left w:w="40" w:type="dxa"/>
          <w:bottom w:w="0" w:type="dxa"/>
          <w:right w:w="40" w:type="dxa"/>
        </w:tblCellMar>
      </w:tblPr>
      <w:tblGrid>
        <w:gridCol w:w="3050"/>
        <w:gridCol w:w="1150"/>
        <w:gridCol w:w="1200"/>
        <w:gridCol w:w="1200"/>
        <w:gridCol w:w="1400"/>
        <w:gridCol w:w="1640"/>
      </w:tblGrid>
      <w:tr>
        <w:trPr>
          <w:tblHeader/>
          <w:jc w:val="center"/>
        </w:trPr>
        <w:tc>
          <w:tcPr>
            <w:tcW w:w="3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Moment</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Year</w:t>
            </w:r>
          </w:p>
        </w:tc>
        <w:tc>
          <w:tcPr>
            <w:tcW w:w="1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Observed</w:t>
            </w:r>
          </w:p>
        </w:tc>
        <w:tc>
          <w:tcPr>
            <w:tcW w:w="1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Simulated</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Relative error</w:t>
            </w:r>
          </w:p>
        </w:tc>
        <w:tc>
          <w:tcPr>
            <w:tcW w:w="16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Source</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non-employment rate</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2015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0.117</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+1.70%</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Surveyed unemployment, aged 16–24 [1]</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Slow-employment share of entrants</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2015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Graduate destination surveys</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Vertical mismatch share</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2015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−1.25%</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Over-education literature [8]</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non-employment rate</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2025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Aged 16–24 excluding students [1]</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Slow-employment share of entrants</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2025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0.191</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Graduate destination survey, 2024</w:t>
            </w:r>
          </w:p>
        </w:tc>
      </w:tr>
      <w:tr>
        <w:trPr>
          <w:jc w:val="center"/>
        </w:trPr>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Vertical mismatch share</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2025</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+1.13%</w:t>
            </w:r>
          </w:p>
        </w:tc>
        <w:tc>
          <w:tcPr>
            <w:tcW w:w="16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Over-education literature [34,33]</w:t>
            </w:r>
          </w:p>
        </w:tc>
      </w:tr>
      <w:tr>
        <w:trPr>
          <w:jc w:val="center"/>
        </w:trPr>
        <w:tc>
          <w:tcPr>
            <w:tcW w:w="30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Queue-to-seat ratio</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2026 cycle</w:t>
            </w:r>
          </w:p>
        </w:tc>
        <w:tc>
          <w:tcPr>
            <w:tcW w:w="1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96.0</w:t>
            </w:r>
          </w:p>
        </w:tc>
        <w:tc>
          <w:tcPr>
            <w:tcW w:w="1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96.3</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+0.31%</w:t>
            </w:r>
          </w:p>
        </w:tc>
        <w:tc>
          <w:tcPr>
            <w:tcW w:w="16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National civil-service examination</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Weighted objective value 0.000804. Root-mean-square percentage error across the seven moments is 1.16 per cent and the mean signed error +0.64 per cent, so the fit is close and very nearly unbiased. All targets are national series, which is the level at which the model is specified; Section 5.7 discusses what this implies for city-level inference.</w:t>
      </w:r>
    </w:p>
    <w:p>
      <w:pPr>
        <w:spacing w:after="120"/>
        <w:jc w:val="both"/>
      </w:pPr>
      <w:r>
        <w:rPr>
          <w:rFonts w:ascii="Palatino Linotype" w:hAnsi="Palatino Linotype" w:eastAsia="Palatino Linotype"/>
          <w:b w:val="0"/>
          <w:i w:val="0"/>
          <w:sz w:val="20"/>
        </w:rPr>
        <w:t>Two limits of this calibration should be stated plainly. First, the model is specified and estimated at the national level, so its parameters are population-weighted averages over China’s prefecture-level cities. The archetype analysis of Section 4.10 shows how much behaviour differs once those averages are relaxed, but it does not substitute for city-level estimation. Second, the model aggregates all forms of delayed entry into a single queue, whereas the civil-service examination is only one of them. Consistent with this, the model reproduces the 2026 congestion ratio closely but under-predicts the 2015 ratio (36 against 63), that is, it attributes more of the growth in delayed entry to the recent period than the examination series alone implies. Neither limitation affects the qualitative results, all of which are shown in Section 4.6 to be robust across the full parameter uncertainty range.</w:t>
      </w:r>
    </w:p>
    <w:p>
      <w:pPr>
        <w:keepNext/>
        <w:spacing w:before="140" w:after="80"/>
      </w:pPr>
      <w:r>
        <w:rPr>
          <w:rFonts w:ascii="Palatino Linotype" w:hAnsi="Palatino Linotype" w:eastAsia="Palatino Linotype"/>
          <w:b/>
          <w:i w:val="0"/>
          <w:sz w:val="20"/>
        </w:rPr>
        <w:t>3.4. Validation Protocol</w:t>
      </w:r>
    </w:p>
    <w:p>
      <w:pPr>
        <w:spacing w:after="120"/>
        <w:jc w:val="both"/>
      </w:pPr>
      <w:r>
        <w:rPr>
          <w:rFonts w:ascii="Palatino Linotype" w:hAnsi="Palatino Linotype" w:eastAsia="Palatino Linotype"/>
          <w:b w:val="0"/>
          <w:i w:val="0"/>
          <w:sz w:val="20"/>
        </w:rPr>
        <w:t>Following the taxonomy of Barlas [45], validity is established in three stages: direct structure tests, structure-oriented behaviour tests and behaviour-pattern tests. Direct structure tests comprise dimensional consistency of every rate equation, verification that all stocks remain non-negative and that population accounting is closed, and extreme-condition tests. Structure-oriented behaviour tests comprise integration-error tests and the loop-deactivation experiments of Section 4.5. Behaviour-pattern tests compare simulated and published series on seven indicators, three of which were not used in estimation. Table 4 reports the results.</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Validation tests and outcomes.</w:t>
      </w:r>
    </w:p>
    <w:tbl>
      <w:tblPr>
        <w:tblW w:w="0" w:type="auto"/>
        <w:jc w:val="center"/>
        <w:tblLayout w:type="fixed"/>
        <w:tblCellMar>
          <w:top w:w="0" w:type="dxa"/>
          <w:left w:w="40" w:type="dxa"/>
          <w:bottom w:w="0" w:type="dxa"/>
          <w:right w:w="40" w:type="dxa"/>
        </w:tblCellMar>
      </w:tblPr>
      <w:tblGrid>
        <w:gridCol w:w="2450"/>
        <w:gridCol w:w="1750"/>
        <w:gridCol w:w="3050"/>
        <w:gridCol w:w="2390"/>
      </w:tblGrid>
      <w:tr>
        <w:trPr>
          <w:tblHeader/>
          <w:jc w:val="center"/>
        </w:trPr>
        <w:tc>
          <w:tcPr>
            <w:tcW w:w="24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Test</w:t>
            </w:r>
          </w:p>
        </w:tc>
        <w:tc>
          <w:tcPr>
            <w:tcW w:w="17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Class</w:t>
            </w:r>
          </w:p>
        </w:tc>
        <w:tc>
          <w:tcPr>
            <w:tcW w:w="3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Procedure</w:t>
            </w:r>
          </w:p>
        </w:tc>
        <w:tc>
          <w:tcPr>
            <w:tcW w:w="239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Result</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Dimensional consistency</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Direct structure</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Units checked for all 20 rate equations</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Passed</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Boundary adequacy</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Direct structure</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Every endogenous variable has at least one feedback path</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Passed</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Extreme conditions</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Direct structure</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Zero cohort inflow, zero vacancies, zero institutional posts</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Stocks converge to admissible limits; no negative stocks</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Integration error</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Structure-oriented</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Time step halved from 1/6 to 1/48 year</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Terminal NER identical to six decimal places</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Fixed-point consistency</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Structure-oriented</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Residual of the frozen-driver fixed point</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Maximum absolute residual &lt; 10⁻⁷</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Loop deactivation</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Structure-oriented</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Each link held at its 2015 value in turn</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Signs of all six effects match the analytically derived polarities</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Uniqueness of the fixed point</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Structure-oriented</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Multi-start solve from six initial guesses in 40 parameter cells</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Exactly one admissible fixed point in every cell</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Behaviour reproduction (in sample)</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Behaviour pattern</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Seven estimation moments</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All within 1.7 per cent</w:t>
            </w:r>
          </w:p>
        </w:tc>
      </w:tr>
      <w:tr>
        <w:trPr>
          <w:jc w:val="center"/>
        </w:trPr>
        <w:tc>
          <w:tcPr>
            <w:tcW w:w="24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Behaviour reproduction (out of sample)</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Behaviour pattern</w:t>
            </w:r>
          </w:p>
        </w:tc>
        <w:tc>
          <w:tcPr>
            <w:tcW w:w="3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Digital-industry share 2024, vacancy-to-seeker ratio 2015, exam ratio 2015</w:t>
            </w:r>
          </w:p>
        </w:tc>
        <w:tc>
          <w:tcPr>
            <w:tcW w:w="239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+0.5 per cent, +1.9 per cent, and under-prediction as discussed</w:t>
            </w:r>
          </w:p>
        </w:tc>
      </w:tr>
      <w:tr>
        <w:trPr>
          <w:jc w:val="center"/>
        </w:trPr>
        <w:tc>
          <w:tcPr>
            <w:tcW w:w="24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Sign of the skill-gap reversal</w:t>
            </w:r>
          </w:p>
        </w:tc>
        <w:tc>
          <w:tcPr>
            <w:tcW w:w="17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Behaviour pattern</w:t>
            </w:r>
          </w:p>
        </w:tc>
        <w:tc>
          <w:tcPr>
            <w:tcW w:w="30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Year in which the skill–threshold gap changes sign</w:t>
            </w:r>
          </w:p>
        </w:tc>
        <w:tc>
          <w:tcPr>
            <w:tcW w:w="239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2021, ahead of the observed post-2022 acceleration of youth non-employment</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NER denotes the youth non-employment rate. Out-of-sample indicators were not used in the estimation objective.</w:t>
      </w:r>
    </w:p>
    <w:p>
      <w:pPr>
        <w:keepNext/>
        <w:spacing w:before="140" w:after="80"/>
      </w:pPr>
      <w:r>
        <w:rPr>
          <w:rFonts w:ascii="Palatino Linotype" w:hAnsi="Palatino Linotype" w:eastAsia="Palatino Linotype"/>
          <w:b/>
          <w:i w:val="0"/>
          <w:sz w:val="20"/>
        </w:rPr>
        <w:t>3.5. Analysis Design</w:t>
      </w:r>
    </w:p>
    <w:p>
      <w:pPr>
        <w:spacing w:after="120"/>
        <w:jc w:val="both"/>
      </w:pPr>
      <w:r>
        <w:rPr>
          <w:rFonts w:ascii="Palatino Linotype" w:hAnsi="Palatino Linotype" w:eastAsia="Palatino Linotype"/>
          <w:b w:val="0"/>
          <w:i w:val="0"/>
          <w:sz w:val="20"/>
        </w:rPr>
        <w:t>Eight analyses are performed on the calibrated model. First, a baseline run from 2015 to 2040 under unchanged structure, integrated by fourth-order Runge–Kutta with a monthly step. Second, fixed points of the frozen-driver system are computed for each year, together with the Jacobian and its eigenvalues, giving the moving attractor and the spectrum of relaxation times defined by</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f</m:t>
        </m:r>
        <m:d>
          <m:dPr>
            <m:begChr m:val="("/>
            <m:endChr m:val=")"/>
          </m:dPr>
          <m:e>
            <m:sSup>
              <m:sSupPr/>
              <m:e>
                <m:r>
                  <m:rPr/>
                  <m:t>y</m:t>
                </m:r>
              </m:e>
              <m:sup>
                <m:r>
                  <m:rPr/>
                  <m:t>∗</m:t>
                </m:r>
              </m:sup>
            </m:sSup>
            <m:r>
              <m:rPr/>
              <m:t xml:space="preserve">; </m:t>
            </m:r>
            <m:r>
              <m:rPr/>
              <m:t>t</m:t>
            </m:r>
          </m:e>
        </m:d>
        <m:r>
          <m:rPr/>
          <m:t xml:space="preserve"> </m:t>
        </m:r>
        <m:r>
          <m:rPr>
            <m:sty m:val="p"/>
          </m:rPr>
          <m:t>=</m:t>
        </m:r>
        <m:r>
          <m:rPr/>
          <m:t xml:space="preserve"> </m:t>
        </m:r>
        <m:r>
          <m:rPr/>
          <m:t>0</m:t>
        </m:r>
        <m:r>
          <m:rPr/>
          <m:t>,</m:t>
        </m:r>
        <m:r>
          <m:rPr/>
          <m:t xml:space="preserve"> </m:t>
        </m:r>
        <m:r>
          <m:rPr/>
          <m:t xml:space="preserve"> </m:t>
        </m:r>
        <m:r>
          <m:rPr>
            <m:sty m:val="p"/>
          </m:rPr>
          <m:t>J</m:t>
        </m:r>
        <m:d>
          <m:dPr>
            <m:begChr m:val="("/>
            <m:endChr m:val=")"/>
          </m:dPr>
          <m:e>
            <m:r>
              <m:rPr/>
              <m:t>t</m:t>
            </m:r>
          </m:e>
        </m:d>
        <m:r>
          <m:rPr/>
          <m:t xml:space="preserve"> </m:t>
        </m:r>
        <m:r>
          <m:rPr>
            <m:sty m:val="p"/>
          </m:rPr>
          <m:t>=</m:t>
        </m:r>
        <m:r>
          <m:rPr/>
          <m:t xml:space="preserve"> </m:t>
        </m:r>
        <m:sSub>
          <m:sSubPr/>
          <m:e>
            <m:f>
              <m:fPr/>
              <m:num>
                <m:r>
                  <m:rPr/>
                  <m:t>∂</m:t>
                </m:r>
                <m:r>
                  <m:rPr/>
                  <m:t>f</m:t>
                </m:r>
              </m:num>
              <m:den>
                <m:r>
                  <m:rPr/>
                  <m:t>∂</m:t>
                </m:r>
                <m:r>
                  <m:rPr/>
                  <m:t>y</m:t>
                </m:r>
              </m:den>
            </m:f>
          </m:e>
          <m:sub>
            <m:sSup>
              <m:sSupPr/>
              <m:e>
                <m:r>
                  <m:rPr/>
                  <m:t>y</m:t>
                </m:r>
              </m:e>
              <m:sup>
                <m:r>
                  <m:rPr/>
                  <m:t>∗</m:t>
                </m:r>
              </m:sup>
            </m:sSup>
          </m:sub>
        </m:sSub>
        <m:r>
          <m:rPr/>
          <m:t>,</m:t>
        </m:r>
        <m:r>
          <m:rPr/>
          <m:t xml:space="preserve"> </m:t>
        </m:r>
        <m:r>
          <m:rPr/>
          <m:t xml:space="preserve"> </m:t>
        </m:r>
        <m:sSub>
          <m:sSubPr/>
          <m:e>
            <m:r>
              <m:rPr/>
              <m:t>τ</m:t>
            </m:r>
          </m:e>
          <m:sub>
            <m:r>
              <m:rPr/>
              <m:t>i</m:t>
            </m:r>
          </m:sub>
        </m:sSub>
        <m:r>
          <m:rPr/>
          <m:t xml:space="preserve"> </m:t>
        </m:r>
        <m:r>
          <m:rPr>
            <m:sty m:val="p"/>
          </m:rPr>
          <m:t>=</m:t>
        </m:r>
        <m:r>
          <m:rPr/>
          <m:t xml:space="preserve"> </m:t>
        </m:r>
        <m:r>
          <m:rPr/>
          <m:t xml:space="preserve"> </m:t>
        </m:r>
        <m:r>
          <m:rPr>
            <m:sty m:val="p"/>
          </m:rPr>
          <m:t>−</m:t>
        </m:r>
        <m:r>
          <m:rPr/>
          <m:t xml:space="preserve"> </m:t>
        </m:r>
        <m:f>
          <m:fPr/>
          <m:num>
            <m:r>
              <m:rPr/>
              <m:t>1</m:t>
            </m:r>
          </m:num>
          <m:den>
            <m:r>
              <m:rPr>
                <m:sty m:val="p"/>
              </m:rPr>
              <m:t>Re</m:t>
            </m:r>
            <m:r>
              <m:rPr/>
              <m:t xml:space="preserve"> </m:t>
            </m:r>
            <m:sSub>
              <m:sSubPr/>
              <m:e>
                <m:r>
                  <m:rPr/>
                  <m:t>λ</m:t>
                </m:r>
              </m:e>
              <m:sub>
                <m:r>
                  <m:rPr/>
                  <m:t>i</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(16)</w:t>
      </w:r>
    </w:p>
    <w:p>
      <w:pPr>
        <w:spacing w:after="120"/>
        <w:jc w:val="both"/>
      </w:pPr>
      <w:r>
        <w:rPr>
          <w:rFonts w:ascii="Palatino Linotype" w:hAnsi="Palatino Linotype" w:eastAsia="Palatino Linotype"/>
          <w:b w:val="0"/>
          <w:i w:val="0"/>
          <w:sz w:val="20"/>
        </w:rPr>
        <w:t xml:space="preserve">Third, two-directional continuation in the two candidate control parameters (the threshold sensitivity </w:t>
      </w:r>
      <m:oMath>
        <m:r>
          <m:rPr/>
          <m:t>κ</m:t>
        </m:r>
      </m:oMath>
      <w:r>
        <w:rPr>
          <w:rFonts w:ascii="Palatino Linotype" w:hAnsi="Palatino Linotype" w:eastAsia="Palatino Linotype"/>
          <w:b w:val="0"/>
          <w:i w:val="0"/>
          <w:sz w:val="20"/>
        </w:rPr>
        <w:t xml:space="preserve"> and the value of an institutional post </w:t>
      </w:r>
      <m:oMath>
        <m:r>
          <m:rPr/>
          <m:t>\Pi</m:t>
        </m:r>
      </m:oMath>
      <w:r>
        <w:rPr>
          <w:rFonts w:ascii="Palatino Linotype" w:hAnsi="Palatino Linotype" w:eastAsia="Palatino Linotype"/>
          <w:b w:val="0"/>
          <w:i w:val="0"/>
          <w:sz w:val="20"/>
        </w:rPr>
        <w:t xml:space="preserve">) tests for fold bifurcations, and a multi-start search from six widely separated initial guesses across forty parameter cells—a 6 × 4 grid over the two strongest reinforcing parameters plus eight values each of </w:t>
      </w:r>
      <m:oMath>
        <m:r>
          <m:rPr/>
          <m:t>κ</m:t>
        </m:r>
      </m:oMath>
      <w:r>
        <w:rPr>
          <w:rFonts w:ascii="Palatino Linotype" w:hAnsi="Palatino Linotype" w:eastAsia="Palatino Linotype"/>
          <w:b w:val="0"/>
          <w:i w:val="0"/>
          <w:sz w:val="20"/>
        </w:rPr>
        <w:t xml:space="preserve"> and </w:t>
      </w:r>
      <m:oMath>
        <m:r>
          <m:rPr/>
          <m:t>\Pi</m:t>
        </m:r>
      </m:oMath>
      <w:r>
        <w:rPr>
          <w:rFonts w:ascii="Palatino Linotype" w:hAnsi="Palatino Linotype" w:eastAsia="Palatino Linotype"/>
          <w:b w:val="0"/>
          <w:i w:val="0"/>
          <w:sz w:val="20"/>
        </w:rPr>
        <w:t>—tests for multiple equilibria. Fourth, loop dominance is assessed by deactivation: each candidate link is held at its 2015 value so that the loop passing through it cannot operate, while the level effect of the link is preserved [18]. Fifth, a temporary demand shock is applied and the recovery half-life measured. Sixth, parameter uncertainty is propagated by a Latin-hypercube design of 4096 draws over the twelve uncertain parameters. Seventh, a Sobol variance decomposition with the Saltelli estimator quantifies first- and total-order contributions [19,20], using a scrambled Sobol sequence with a base sample of 1024, hence 14,336 model evaluations per output, with bootstrap confidence intervals from 800 resamples. The estimands and their estimators are</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S</m:t>
            </m:r>
          </m:e>
          <m:sub>
            <m:r>
              <m:rPr/>
              <m:t>i</m:t>
            </m:r>
          </m:sub>
        </m:sSub>
        <m:r>
          <m:rPr/>
          <m:t xml:space="preserve"> </m:t>
        </m:r>
        <m:r>
          <m:rPr>
            <m:sty m:val="p"/>
          </m:rPr>
          <m:t>=</m:t>
        </m:r>
        <m:r>
          <m:rPr/>
          <m:t xml:space="preserve"> </m:t>
        </m:r>
        <m:f>
          <m:fPr/>
          <m:num>
            <m:r>
              <m:rPr>
                <m:sty m:val="p"/>
              </m:rPr>
              <m:t>Var</m:t>
            </m:r>
            <m:d>
              <m:dPr>
                <m:begChr m:val="("/>
                <m:endChr m:val=")"/>
              </m:dPr>
              <m:e>
                <m:r>
                  <m:rPr>
                    <m:sty m:val="p"/>
                  </m:rPr>
                  <m:t>E</m:t>
                </m:r>
                <m:d>
                  <m:dPr>
                    <m:begChr m:val="["/>
                    <m:endChr m:val="]"/>
                  </m:dPr>
                  <m:e>
                    <m:r>
                      <m:rPr/>
                      <m:t>Y</m:t>
                    </m:r>
                    <m:r>
                      <m:rPr/>
                      <m:t xml:space="preserve"> | </m:t>
                    </m:r>
                    <m:sSub>
                      <m:sSubPr/>
                      <m:e>
                        <m:r>
                          <m:rPr/>
                          <m:t>X</m:t>
                        </m:r>
                      </m:e>
                      <m:sub>
                        <m:r>
                          <m:rPr/>
                          <m:t>i</m:t>
                        </m:r>
                      </m:sub>
                    </m:sSub>
                  </m:e>
                </m:d>
              </m:e>
            </m:d>
          </m:num>
          <m:den>
            <m:r>
              <m:rPr>
                <m:sty m:val="p"/>
              </m:rPr>
              <m:t>Var</m:t>
            </m:r>
            <m:d>
              <m:dPr>
                <m:begChr m:val="("/>
                <m:endChr m:val=")"/>
              </m:dPr>
              <m:e>
                <m:r>
                  <m:rPr/>
                  <m:t>Y</m:t>
                </m:r>
              </m:e>
            </m:d>
          </m:den>
        </m:f>
        <m:r>
          <m:rPr/>
          <m:t>,</m:t>
        </m:r>
        <m:r>
          <m:rPr/>
          <m:t xml:space="preserve"> </m:t>
        </m:r>
        <m:r>
          <m:rPr/>
          <m:t xml:space="preserve"> </m:t>
        </m:r>
        <m:sSub>
          <m:sSubPr/>
          <m:e>
            <m:r>
              <m:rPr/>
              <m:t>S</m:t>
            </m:r>
          </m:e>
          <m:sub>
            <m:r>
              <m:rPr/>
              <m:t>Ti</m:t>
            </m:r>
          </m:sub>
        </m:sSub>
        <m:r>
          <m:rPr/>
          <m:t xml:space="preserve"> </m:t>
        </m:r>
        <m:r>
          <m:rPr>
            <m:sty m:val="p"/>
          </m:rPr>
          <m:t>=</m:t>
        </m:r>
        <m:r>
          <m:rPr/>
          <m:t xml:space="preserve"> </m:t>
        </m:r>
        <m:f>
          <m:fPr/>
          <m:num>
            <m:r>
              <m:rPr>
                <m:sty m:val="p"/>
              </m:rPr>
              <m:t>E</m:t>
            </m:r>
            <m:d>
              <m:dPr>
                <m:begChr m:val="("/>
                <m:endChr m:val=")"/>
              </m:dPr>
              <m:e>
                <m:r>
                  <m:rPr>
                    <m:sty m:val="p"/>
                  </m:rPr>
                  <m:t>Var</m:t>
                </m:r>
                <m:d>
                  <m:dPr>
                    <m:begChr m:val="["/>
                    <m:endChr m:val="]"/>
                  </m:dPr>
                  <m:e>
                    <m:r>
                      <m:rPr/>
                      <m:t>Y</m:t>
                    </m:r>
                    <m:r>
                      <m:rPr/>
                      <m:t xml:space="preserve"> | </m:t>
                    </m:r>
                    <m:sSub>
                      <m:sSubPr/>
                      <m:e>
                        <m:r>
                          <m:rPr/>
                          <m:t>X</m:t>
                        </m:r>
                      </m:e>
                      <m:sub>
                        <m:r>
                          <m:rPr/>
                          <m:t>∼i</m:t>
                        </m:r>
                      </m:sub>
                    </m:sSub>
                  </m:e>
                </m:d>
              </m:e>
            </m:d>
          </m:num>
          <m:den>
            <m:r>
              <m:rPr>
                <m:sty m:val="p"/>
              </m:rPr>
              <m:t>Var</m:t>
            </m:r>
            <m:d>
              <m:dPr>
                <m:begChr m:val="("/>
                <m:endChr m:val=")"/>
              </m:dPr>
              <m:e>
                <m:r>
                  <m:rPr/>
                  <m:t>Y</m:t>
                </m:r>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(17)</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Ŝ</m:t>
            </m:r>
          </m:e>
          <m:sub>
            <m:r>
              <m:rPr/>
              <m:t>i</m:t>
            </m:r>
          </m:sub>
        </m:sSub>
        <m:r>
          <m:rPr/>
          <m:t xml:space="preserve"> </m:t>
        </m:r>
        <m:r>
          <m:rPr>
            <m:sty m:val="p"/>
          </m:rPr>
          <m:t>=</m:t>
        </m:r>
        <m:r>
          <m:rPr/>
          <m:t xml:space="preserve"> </m:t>
        </m:r>
        <m:f>
          <m:fPr/>
          <m:num>
            <m:f>
              <m:fPr/>
              <m:num>
                <m:r>
                  <m:rPr/>
                  <m:t>1</m:t>
                </m:r>
              </m:num>
              <m:den>
                <m:r>
                  <m:rPr/>
                  <m:t>N</m:t>
                </m:r>
              </m:den>
            </m:f>
            <m:nary>
              <m:naryPr>
                <m:chr m:val="∑"/>
                <m:limLoc m:val="subSup"/>
              </m:naryPr>
              <m:sub>
                <m:r>
                  <m:rPr/>
                  <m:t>n=1</m:t>
                </m:r>
              </m:sub>
              <m:sup>
                <m:r>
                  <m:rPr/>
                  <m:t>N</m:t>
                </m:r>
              </m:sup>
              <m:e>
                <m:d>
                  <m:dPr>
                    <m:begChr m:val="("/>
                    <m:endChr m:val=")"/>
                  </m:dPr>
                  <m:e>
                    <m:sSup>
                      <m:sSupPr/>
                      <m:e>
                        <m:r>
                          <m:rPr/>
                          <m:t>Y</m:t>
                        </m:r>
                      </m:e>
                      <m:sup>
                        <m:r>
                          <m:rPr/>
                          <m:t>A</m:t>
                        </m:r>
                      </m:sup>
                    </m:sSup>
                    <m:d>
                      <m:dPr>
                        <m:begChr m:val="("/>
                        <m:endChr m:val=")"/>
                      </m:dPr>
                      <m:e>
                        <m:sSubSup>
                          <m:sSubSupPr/>
                          <m:e>
                            <m:r>
                              <m:rPr/>
                              <m:t>Y</m:t>
                            </m:r>
                          </m:e>
                          <m:sub>
                            <m:r>
                              <m:rPr/>
                              <m:t>i</m:t>
                            </m:r>
                          </m:sub>
                          <m:sup>
                            <m:r>
                              <m:rPr/>
                              <m:t>AB</m:t>
                            </m:r>
                          </m:sup>
                        </m:sSubSup>
                        <m:r>
                          <m:rPr/>
                          <m:t xml:space="preserve"> </m:t>
                        </m:r>
                        <m:r>
                          <m:rPr>
                            <m:sty m:val="p"/>
                          </m:rPr>
                          <m:t>−</m:t>
                        </m:r>
                        <m:r>
                          <m:rPr/>
                          <m:t xml:space="preserve"> </m:t>
                        </m:r>
                        <m:sSup>
                          <m:sSupPr/>
                          <m:e>
                            <m:r>
                              <m:rPr/>
                              <m:t>Y</m:t>
                            </m:r>
                          </m:e>
                          <m:sup>
                            <m:r>
                              <m:rPr/>
                              <m:t>B</m:t>
                            </m:r>
                          </m:sup>
                        </m:sSup>
                      </m:e>
                    </m:d>
                  </m:e>
                </m:d>
              </m:e>
            </m:nary>
          </m:num>
          <m:den>
            <m:sSup>
              <m:sSupPr/>
              <m:e>
                <m:r>
                  <m:rPr/>
                  <m:t>s</m:t>
                </m:r>
              </m:e>
              <m:sup>
                <m:r>
                  <m:rPr/>
                  <m:t>2</m:t>
                </m:r>
              </m:sup>
            </m:sSup>
          </m:den>
        </m:f>
        <m:r>
          <m:rPr/>
          <m:t>,</m:t>
        </m:r>
        <m:r>
          <m:rPr/>
          <m:t xml:space="preserve"> </m:t>
        </m:r>
        <m:r>
          <m:rPr/>
          <m:t xml:space="preserve"> </m:t>
        </m:r>
        <m:sSub>
          <m:sSubPr/>
          <m:e>
            <m:r>
              <m:rPr/>
              <m:t>Ŝ</m:t>
            </m:r>
          </m:e>
          <m:sub>
            <m:r>
              <m:rPr/>
              <m:t>Ti</m:t>
            </m:r>
          </m:sub>
        </m:sSub>
        <m:r>
          <m:rPr/>
          <m:t xml:space="preserve"> </m:t>
        </m:r>
        <m:r>
          <m:rPr>
            <m:sty m:val="p"/>
          </m:rPr>
          <m:t>=</m:t>
        </m:r>
        <m:r>
          <m:rPr/>
          <m:t xml:space="preserve"> </m:t>
        </m:r>
        <m:f>
          <m:fPr/>
          <m:num>
            <m:f>
              <m:fPr/>
              <m:num>
                <m:r>
                  <m:rPr/>
                  <m:t>1</m:t>
                </m:r>
              </m:num>
              <m:den>
                <m:r>
                  <m:rPr/>
                  <m:t>2N</m:t>
                </m:r>
              </m:den>
            </m:f>
            <m:nary>
              <m:naryPr>
                <m:chr m:val="∑"/>
                <m:limLoc m:val="subSup"/>
              </m:naryPr>
              <m:sub>
                <m:r>
                  <m:rPr/>
                  <m:t>n=1</m:t>
                </m:r>
              </m:sub>
              <m:sup>
                <m:r>
                  <m:rPr/>
                  <m:t>N</m:t>
                </m:r>
              </m:sup>
              <m:e>
                <m:sSup>
                  <m:sSupPr/>
                  <m:e>
                    <m:d>
                      <m:dPr>
                        <m:begChr m:val="("/>
                        <m:endChr m:val=")"/>
                      </m:dPr>
                      <m:e>
                        <m:sSup>
                          <m:sSupPr/>
                          <m:e>
                            <m:r>
                              <m:rPr/>
                              <m:t>Y</m:t>
                            </m:r>
                          </m:e>
                          <m:sup>
                            <m:r>
                              <m:rPr/>
                              <m:t>B</m:t>
                            </m:r>
                          </m:sup>
                        </m:sSup>
                        <m:r>
                          <m:rPr/>
                          <m:t xml:space="preserve"> </m:t>
                        </m:r>
                        <m:r>
                          <m:rPr>
                            <m:sty m:val="p"/>
                          </m:rPr>
                          <m:t>−</m:t>
                        </m:r>
                        <m:r>
                          <m:rPr/>
                          <m:t xml:space="preserve"> </m:t>
                        </m:r>
                        <m:sSubSup>
                          <m:sSubSupPr/>
                          <m:e>
                            <m:r>
                              <m:rPr/>
                              <m:t>Y</m:t>
                            </m:r>
                          </m:e>
                          <m:sub>
                            <m:r>
                              <m:rPr/>
                              <m:t>i</m:t>
                            </m:r>
                          </m:sub>
                          <m:sup>
                            <m:r>
                              <m:rPr/>
                              <m:t>AB</m:t>
                            </m:r>
                          </m:sup>
                        </m:sSubSup>
                      </m:e>
                    </m:d>
                  </m:e>
                  <m:sup>
                    <m:r>
                      <m:rPr/>
                      <m:t>2</m:t>
                    </m:r>
                  </m:sup>
                </m:sSup>
              </m:e>
            </m:nary>
          </m:num>
          <m:den>
            <m:sSup>
              <m:sSupPr/>
              <m:e>
                <m:r>
                  <m:rPr/>
                  <m:t>s</m:t>
                </m:r>
              </m:e>
              <m:sup>
                <m:r>
                  <m:rPr/>
                  <m:t>2</m:t>
                </m:r>
              </m:sup>
            </m:sSup>
          </m:den>
        </m:f>
      </m:oMath>
      <w:r>
        <w:rPr>
          <w:rFonts w:ascii="Palatino Linotype" w:hAnsi="Palatino Linotype" w:eastAsia="Palatino Linotype"/>
          <w:b w:val="0"/>
          <w:i w:val="0"/>
          <w:sz w:val="20"/>
        </w:rPr>
        <w:tab/>
      </w:r>
      <w:r>
        <w:rPr>
          <w:rFonts w:ascii="Palatino Linotype" w:hAnsi="Palatino Linotype" w:eastAsia="Palatino Linotype"/>
          <w:b w:val="0"/>
          <w:i w:val="0"/>
          <w:sz w:val="20"/>
        </w:rPr>
        <w:t>(18)</w:t>
      </w:r>
    </w:p>
    <w:p>
      <w:pPr>
        <w:spacing w:after="120"/>
        <w:jc w:val="both"/>
      </w:pPr>
      <w:r>
        <w:rPr>
          <w:rFonts w:ascii="Palatino Linotype" w:hAnsi="Palatino Linotype" w:eastAsia="Palatino Linotype"/>
          <w:b w:val="0"/>
          <w:i w:val="0"/>
          <w:sz w:val="20"/>
        </w:rPr>
        <w:t>Eighth, the Monte Carlo output is summarised by two meta-models. A binary outcome is defined as a 2040 non-employment rate exceeding 0.36, that is twice the 2025 benchmark, and is modelled by logistic regression on the twelve standardised parameters:</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Pr</m:t>
        </m:r>
        <m:d>
          <m:dPr>
            <m:begChr m:val="("/>
            <m:endChr m:val=")"/>
          </m:dPr>
          <m:e>
            <m:sSub>
              <m:sSubPr/>
              <m:e>
                <m:r>
                  <m:rPr/>
                  <m:t>T</m:t>
                </m:r>
              </m:e>
              <m:sub>
                <m:r>
                  <m:rPr/>
                  <m:t>j</m:t>
                </m:r>
              </m:sub>
            </m:sSub>
            <m:r>
              <m:rPr/>
              <m:t xml:space="preserve"> </m:t>
            </m:r>
            <m:r>
              <m:rPr>
                <m:sty m:val="p"/>
              </m:rPr>
              <m:t>=</m:t>
            </m:r>
            <m:r>
              <m:rPr/>
              <m:t xml:space="preserve"> </m:t>
            </m:r>
            <m:r>
              <m:rPr/>
              <m:t>1</m:t>
            </m:r>
            <m:r>
              <m:rPr/>
              <m:t xml:space="preserve"> | </m:t>
            </m:r>
            <m:sSub>
              <m:sSubPr/>
              <m:e>
                <m:r>
                  <m:rPr/>
                  <m:t>z</m:t>
                </m:r>
              </m:e>
              <m:sub>
                <m:r>
                  <m:rPr/>
                  <m:t>j</m:t>
                </m:r>
              </m:sub>
            </m:sSub>
          </m:e>
        </m:d>
        <m:r>
          <m:rPr/>
          <m:t xml:space="preserve"> </m:t>
        </m:r>
        <m:r>
          <m:rPr>
            <m:sty m:val="p"/>
          </m:rPr>
          <m:t>=</m:t>
        </m:r>
        <m:r>
          <m:rPr/>
          <m:t xml:space="preserve"> </m:t>
        </m:r>
        <m:r>
          <m:rPr>
            <m:sty m:val="p"/>
          </m:rPr>
          <m:t>Λ</m:t>
        </m:r>
        <m:d>
          <m:dPr>
            <m:begChr m:val="("/>
            <m:endChr m:val=")"/>
          </m:dPr>
          <m:e>
            <m:sSub>
              <m:sSubPr/>
              <m:e>
                <m:r>
                  <m:rPr/>
                  <m:t>γ</m:t>
                </m:r>
              </m:e>
              <m:sub>
                <m:r>
                  <m:rPr/>
                  <m:t>0</m:t>
                </m:r>
              </m:sub>
            </m:sSub>
            <m:r>
              <m:rPr/>
              <m:t xml:space="preserve"> </m:t>
            </m:r>
            <m:r>
              <m:rPr>
                <m:sty m:val="p"/>
              </m:rPr>
              <m:t>+</m:t>
            </m:r>
            <m:r>
              <m:rPr/>
              <m:t xml:space="preserve"> </m:t>
            </m:r>
            <m:nary>
              <m:naryPr>
                <m:chr m:val="∑"/>
                <m:limLoc m:val="subSup"/>
              </m:naryPr>
              <m:sub>
                <m:r>
                  <m:rPr/>
                  <m:t>k=1</m:t>
                </m:r>
              </m:sub>
              <m:sup>
                <m:r>
                  <m:rPr/>
                  <m:t>K</m:t>
                </m:r>
              </m:sup>
              <m:e>
                <m:sSub>
                  <m:sSubPr/>
                  <m:e>
                    <m:r>
                      <m:rPr/>
                      <m:t>γ</m:t>
                    </m:r>
                  </m:e>
                  <m:sub>
                    <m:r>
                      <m:rPr/>
                      <m:t>k</m:t>
                    </m:r>
                  </m:sub>
                </m:sSub>
                <m:sSub>
                  <m:sSubPr/>
                  <m:e>
                    <m:r>
                      <m:rPr/>
                      <m:t>z</m:t>
                    </m:r>
                  </m:e>
                  <m:sub>
                    <m:r>
                      <m:rPr/>
                      <m:t>jk</m:t>
                    </m:r>
                  </m:sub>
                </m:sSub>
              </m:e>
            </m:nary>
          </m:e>
        </m:d>
      </m:oMath>
      <w:r>
        <w:rPr>
          <w:rFonts w:ascii="Palatino Linotype" w:hAnsi="Palatino Linotype" w:eastAsia="Palatino Linotype"/>
          <w:b w:val="0"/>
          <w:i w:val="0"/>
          <w:sz w:val="20"/>
        </w:rPr>
        <w:tab/>
      </w:r>
      <w:r>
        <w:rPr>
          <w:rFonts w:ascii="Palatino Linotype" w:hAnsi="Palatino Linotype" w:eastAsia="Palatino Linotype"/>
          <w:b w:val="0"/>
          <w:i w:val="0"/>
          <w:sz w:val="20"/>
        </w:rPr>
        <w:t>(19)</w:t>
      </w:r>
    </w:p>
    <w:p>
      <w:pPr>
        <w:spacing w:after="120"/>
        <w:jc w:val="both"/>
      </w:pPr>
      <w:r>
        <w:rPr>
          <w:rFonts w:ascii="Palatino Linotype" w:hAnsi="Palatino Linotype" w:eastAsia="Palatino Linotype"/>
          <w:b w:val="0"/>
          <w:i w:val="0"/>
          <w:sz w:val="20"/>
        </w:rPr>
        <w:t>A cost-complexity-pruned classification tree with the penalty selected by five-fold cross-validated area under the receiver operating characteristic curve provides interpretable thresholds, echoing the decision-tree stage used by Grigorescu and colleagues on European NEET data [12]. Finally, policy experiments move one or more parameters by a common number of prior standard deviations, so that instruments of different units are compared at equal standardised effort:</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Sup>
          <m:sSubSupPr/>
          <m:e>
            <m:r>
              <m:rPr/>
              <m:t>p</m:t>
            </m:r>
          </m:e>
          <m:sub>
            <m:r>
              <m:rPr/>
              <m:t>k</m:t>
            </m:r>
          </m:sub>
          <m:sup>
            <m:r>
              <m:rPr/>
              <m:t>pol</m:t>
            </m:r>
          </m:sup>
        </m:sSubSup>
        <m:r>
          <m:rPr/>
          <m:t xml:space="preserve"> </m:t>
        </m:r>
        <m:r>
          <m:rPr>
            <m:sty m:val="p"/>
          </m:rPr>
          <m:t>=</m:t>
        </m:r>
        <m:r>
          <m:rPr/>
          <m:t xml:space="preserve"> </m:t>
        </m:r>
        <m:sSub>
          <m:sSubPr/>
          <m:e>
            <m:r>
              <m:rPr/>
              <m:t>p</m:t>
            </m:r>
          </m:e>
          <m:sub>
            <m:r>
              <m:rPr/>
              <m:t>k</m:t>
            </m:r>
          </m:sub>
        </m:sSub>
        <m:r>
          <m:rPr/>
          <m:t xml:space="preserve"> </m:t>
        </m:r>
        <m:r>
          <m:rPr>
            <m:sty m:val="p"/>
          </m:rPr>
          <m:t>±</m:t>
        </m:r>
        <m:r>
          <m:rPr/>
          <m:t xml:space="preserve"> </m:t>
        </m:r>
        <m:r>
          <m:rPr/>
          <m:t>e</m:t>
        </m:r>
        <m:r>
          <m:rPr/>
          <m:t xml:space="preserve"> </m:t>
        </m:r>
        <m:sSub>
          <m:sSubPr/>
          <m:e>
            <m:r>
              <m:rPr/>
              <m:t>s</m:t>
            </m:r>
          </m:e>
          <m:sub>
            <m:r>
              <m:rPr/>
              <m:t>k</m:t>
            </m:r>
          </m:sub>
        </m:sSub>
        <m:r>
          <m:rPr/>
          <m:t>,</m:t>
        </m:r>
        <m:r>
          <m:rPr/>
          <m:t xml:space="preserve"> </m:t>
        </m:r>
        <m:r>
          <m:rPr/>
          <m:t xml:space="preserve"> </m:t>
        </m:r>
        <m:sSub>
          <m:sSubPr/>
          <m:e>
            <m:r>
              <m:rPr/>
              <m:t>s</m:t>
            </m:r>
          </m:e>
          <m:sub>
            <m:r>
              <m:rPr/>
              <m:t>k</m:t>
            </m:r>
          </m:sub>
        </m:sSub>
        <m:r>
          <m:rPr/>
          <m:t xml:space="preserve"> </m:t>
        </m:r>
        <m:r>
          <m:rPr>
            <m:sty m:val="p"/>
          </m:rPr>
          <m:t>=</m:t>
        </m:r>
        <m:r>
          <m:rPr/>
          <m:t xml:space="preserve"> </m:t>
        </m:r>
        <m:f>
          <m:fPr/>
          <m:num>
            <m:sSub>
              <m:sSubPr/>
              <m:e>
                <m:r>
                  <m:rPr/>
                  <m:t>b</m:t>
                </m:r>
              </m:e>
              <m:sub>
                <m:r>
                  <m:rPr/>
                  <m:t>k</m:t>
                </m:r>
              </m:sub>
            </m:sSub>
            <m:r>
              <m:rPr/>
              <m:t xml:space="preserve"> </m:t>
            </m:r>
            <m:r>
              <m:rPr>
                <m:sty m:val="p"/>
              </m:rPr>
              <m:t>−</m:t>
            </m:r>
            <m:r>
              <m:rPr/>
              <m:t xml:space="preserve"> </m:t>
            </m:r>
            <m:sSub>
              <m:sSubPr/>
              <m:e>
                <m:r>
                  <m:rPr/>
                  <m:t>a</m:t>
                </m:r>
              </m:e>
              <m:sub>
                <m:r>
                  <m:rPr/>
                  <m:t>k</m:t>
                </m:r>
              </m:sub>
            </m:sSub>
          </m:num>
          <m:den>
            <m:sSup>
              <m:sSupPr/>
              <m:e>
                <m:r>
                  <m:rPr/>
                  <m:t>12</m:t>
                </m:r>
              </m:e>
              <m:sup>
                <m:r>
                  <m:rPr/>
                  <m:t>1/2</m:t>
                </m:r>
              </m:sup>
            </m:sSup>
          </m:den>
        </m:f>
      </m:oMath>
      <w:r>
        <w:rPr>
          <w:rFonts w:ascii="Palatino Linotype" w:hAnsi="Palatino Linotype" w:eastAsia="Palatino Linotype"/>
          <w:b w:val="0"/>
          <w:i w:val="0"/>
          <w:sz w:val="20"/>
        </w:rPr>
        <w:tab/>
      </w:r>
      <w:r>
        <w:rPr>
          <w:rFonts w:ascii="Palatino Linotype" w:hAnsi="Palatino Linotype" w:eastAsia="Palatino Linotype"/>
          <w:b w:val="0"/>
          <w:i w:val="0"/>
          <w:sz w:val="20"/>
        </w:rPr>
        <w:t>(20)</w:t>
      </w:r>
    </w:p>
    <w:p>
      <w:pPr>
        <w:spacing w:after="120"/>
        <w:jc w:val="both"/>
      </w:pPr>
      <w:r>
        <w:rPr>
          <w:rFonts w:ascii="Palatino Linotype" w:hAnsi="Palatino Linotype" w:eastAsia="Palatino Linotype"/>
          <w:b w:val="0"/>
          <w:i w:val="0"/>
          <w:sz w:val="20"/>
        </w:rPr>
        <w:t>Five instrument families are considered: P1 skill upgrading, which raises training intensity; P2 matching efficiency, which raises the efficiency of the matching function through public placement services and information platforms; P3 expectation guidance, which raises the aspiration adjustment speed and lowers the anchoring weight through career education of the kind measured by employability-thinking instruments [21,28]; P4 vacancy creation, which raises the elasticity of vacancies to digitalisation through hiring subsidies; and P5 threshold moderation, which lowers both the exogenous and the endogenous sensitivity of the employer hiring bar through skills-based rather than credential-based hiring standards, publicly certified competence frameworks and structured internships that let employers observe ability directly [9,46]. All instruments are introduced in 2025 and held constant thereafter, except in the sequencing experiments, where the same cumulative effort is redistributed over time. Statistical comparison across instruments uses the Kruskal–Wallis test with Mann–Whitney post-hoc comparisons under Bonferroni correction, and paired within-draw differences are tested by the Wilcoxon signed-rank test.</w:t>
      </w:r>
    </w:p>
    <w:p>
      <w:pPr>
        <w:keepNext/>
        <w:spacing w:before="200" w:after="80"/>
      </w:pPr>
      <w:r>
        <w:rPr>
          <w:rFonts w:ascii="Palatino Linotype" w:hAnsi="Palatino Linotype" w:eastAsia="Palatino Linotype"/>
          <w:b/>
          <w:i w:val="0"/>
          <w:sz w:val="24"/>
        </w:rPr>
        <w:t>4. Results</w:t>
      </w:r>
    </w:p>
    <w:p>
      <w:pPr>
        <w:keepNext/>
        <w:spacing w:before="140" w:after="80"/>
      </w:pPr>
      <w:r>
        <w:rPr>
          <w:rFonts w:ascii="Palatino Linotype" w:hAnsi="Palatino Linotype" w:eastAsia="Palatino Linotype"/>
          <w:b/>
          <w:i w:val="0"/>
          <w:sz w:val="20"/>
        </w:rPr>
        <w:t>4.1. Baseline Behaviour and Validation</w:t>
      </w:r>
    </w:p>
    <w:p>
      <w:pPr>
        <w:spacing w:after="120"/>
        <w:jc w:val="both"/>
      </w:pPr>
      <w:r>
        <w:rPr>
          <w:rFonts w:ascii="Palatino Linotype" w:hAnsi="Palatino Linotype" w:eastAsia="Palatino Linotype"/>
          <w:b w:val="0"/>
          <w:i w:val="0"/>
          <w:sz w:val="20"/>
        </w:rPr>
        <w:t>Figure 3 and Table 5 report the baseline run under unchanged structure. Three features deserve emphasis. First, the model reproduces the observed deterioration without any exogenous deterioration being imposed on it: the youth non-employment rate rises from 0.117 in 2015 to 0.178 in 2025, the slow-employment share of entrants from 0.060 to 0.191, and the vertical mismatch share from 0.178 to 0.243, all within 1.7 per cent of their published counterparts. Second, this happens while the market remains tight: the vacancy-to-seeker ratio falls only from 1.53 to 1.43 over the same decade, and is 1.36 in 2040. The system generates rising non-employment in a market that never becomes slack, which is the empirical puzzle set out in Section 1. Third, the mechanism is visible in panel (c). Employability capital is essentially flat, moving from 0.592 to 0.596 across twenty-five years, because cohort renewal continually replenishes it. What moves is the employer threshold, from 0.527 to 0.857. The skill–threshold gap consequently narrows, changes sign in 2021, and reaches −0.261 by 2040.</w:t>
      </w:r>
    </w:p>
    <w:p>
      <w:pPr>
        <w:spacing w:after="40"/>
        <w:jc w:val="center"/>
      </w:pPr>
      <w:r>
        <w:drawing>
          <wp:inline distT="0" distB="0" distL="114300" distR="114300">
            <wp:extent cx="5989320" cy="427728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22"/>
                    <a:stretch>
                      <a:fillRect/>
                    </a:stretch>
                  </pic:blipFill>
                  <pic:spPr>
                    <a:xfrm>
                      <a:off x="0" y="0"/>
                      <a:ext cx="5989320" cy="4277286"/>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Baseline behaviour, 2015–2040. (a) The realised non-employment rate against its instantaneous (frozen-driver) equilibrium; circles are published benchmarks. (b) Slow-employment and mismatch shares against their 2025 benchmarks. (c) The employer threshold rises while employability capital stays flat and aspirations fall, so the skill–threshold gap changes sign in 2022. (d) Queue congestion on a logarithmic scale against the vacancy-to-seeker ratio.</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Baseline trajectory of the calibrated system under unchanged structure.</w:t>
      </w:r>
    </w:p>
    <w:tbl>
      <w:tblPr>
        <w:tblW w:w="0" w:type="auto"/>
        <w:jc w:val="center"/>
        <w:tblLayout w:type="fixed"/>
        <w:tblCellMar>
          <w:top w:w="0" w:type="dxa"/>
          <w:left w:w="40" w:type="dxa"/>
          <w:bottom w:w="0" w:type="dxa"/>
          <w:right w:w="40" w:type="dxa"/>
        </w:tblCellMar>
      </w:tblPr>
      <w:tblGrid>
        <w:gridCol w:w="700"/>
        <w:gridCol w:w="800"/>
        <w:gridCol w:w="900"/>
        <w:gridCol w:w="950"/>
        <w:gridCol w:w="1150"/>
        <w:gridCol w:w="1000"/>
        <w:gridCol w:w="1050"/>
        <w:gridCol w:w="950"/>
        <w:gridCol w:w="1050"/>
        <w:gridCol w:w="800"/>
        <w:gridCol w:w="1000"/>
      </w:tblGrid>
      <w:tr>
        <w:trPr>
          <w:tblHeader/>
          <w:jc w:val="center"/>
        </w:trPr>
        <w:tc>
          <w:tcPr>
            <w:tcW w:w="7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Year</w:t>
            </w:r>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 flow</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Mismatch</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Duration (yr)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Queue ratio</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Threshold </w:t>
            </w:r>
            <m:oMath>
              <m:r>
                <m:rPr/>
                <m:t>θ</m:t>
              </m:r>
            </m:oMath>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Capital </w:t>
            </w:r>
            <m:oMath>
              <m:r>
                <m:rPr/>
                <m:t>H</m:t>
              </m:r>
            </m:oMath>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Aspiration </w:t>
            </w:r>
            <m:oMath>
              <m:r>
                <m:rPr/>
                <m:t>A</m:t>
              </m:r>
            </m:oMath>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Gap </w:t>
            </w:r>
            <m:oMath>
              <m:r>
                <m:rPr/>
                <m:t>x</m:t>
              </m:r>
            </m:oMath>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Tightness</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2015</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35.7</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0.592</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0.651</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1.53</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2020</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0.197</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48.1</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0.643</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1.56</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2025</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0.191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0.243</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96.3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0.590</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0.620</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1.43</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2030</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0.261</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0.301</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2.28</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237.2</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0.587</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0.587</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1.33</w:t>
            </w:r>
          </w:p>
        </w:tc>
      </w:tr>
      <w:tr>
        <w:trPr>
          <w:jc w:val="center"/>
        </w:trPr>
        <w:tc>
          <w:tcPr>
            <w:tcW w:w="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2035</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0.517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0.360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4.78</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496.3</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0.801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0.590</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0.555</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−0.211</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1.34</w:t>
            </w:r>
          </w:p>
        </w:tc>
      </w:tr>
      <w:tr>
        <w:trPr>
          <w:jc w:val="center"/>
        </w:trPr>
        <w:tc>
          <w:tcPr>
            <w:tcW w:w="7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2040</w:t>
            </w:r>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0.517</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0.542</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0.411</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8.63</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753.8</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0.857</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0.596</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0.531</w:t>
            </w:r>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−0.261</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1.36</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NER is the youth non-employment rate; SE flow is the share of each entering cohort that chooses delayed entry. The 2030–2040 values are a structure-unchanged counterfactual, not a forecast: they describe where the present configuration of feedbacks leads if nothing in it changes.</w:t>
      </w:r>
    </w:p>
    <w:p>
      <w:pPr>
        <w:keepNext/>
        <w:spacing w:before="140" w:after="80"/>
      </w:pPr>
      <w:r>
        <w:rPr>
          <w:rFonts w:ascii="Palatino Linotype" w:hAnsi="Palatino Linotype" w:eastAsia="Palatino Linotype"/>
          <w:b/>
          <w:i w:val="0"/>
          <w:sz w:val="20"/>
        </w:rPr>
        <w:t>4.2. The Attractor Moves and the State Lags It</w:t>
      </w:r>
    </w:p>
    <w:p>
      <w:pPr>
        <w:spacing w:after="120"/>
        <w:jc w:val="both"/>
      </w:pPr>
      <w:r>
        <w:rPr>
          <w:rFonts w:ascii="Palatino Linotype" w:hAnsi="Palatino Linotype" w:eastAsia="Palatino Linotype"/>
          <w:b w:val="0"/>
          <w:i w:val="0"/>
          <w:sz w:val="20"/>
        </w:rPr>
        <w:t>Panel (a) of Figure 3 plots, alongside the realised trajectory, the instantaneous equilibrium of the system—the state to which it would converge if the exogenous drivers were frozen at their values in that year. This moving attractor rises from a non-employment rate of 0.117 in 2015 to 0.187 in 2025 and 0.637 in 2040. The realised state never reaches it. By 2040 the vertical gap between the two is 0.120, and the horizontal lag—the number of years by which the realised state trails the attractor—averages 1.72 years over the period and reaches 5.00 years at the end of the horizon.</w:t>
      </w:r>
    </w:p>
    <w:p>
      <w:pPr>
        <w:spacing w:after="120"/>
        <w:jc w:val="both"/>
      </w:pPr>
      <w:r>
        <w:rPr>
          <w:rFonts w:ascii="Palatino Linotype" w:hAnsi="Palatino Linotype" w:eastAsia="Palatino Linotype"/>
          <w:b w:val="0"/>
          <w:i w:val="0"/>
          <w:sz w:val="20"/>
        </w:rPr>
        <w:t>This is not a modelling artefact but a direct consequence of the system’s time constants. The eigenvalues of the Jacobian at the 2040 fixed point are all real and negative (Table 6), so the fixed point is a stable node, but they differ by a factor of twenty. The slowest mode has a relaxation time of exactly eight years, equal to the reciprocal of the exit rate from the youth window: the system cannot adjust faster than a cohort can pass through it. Two further modes have relaxation times of 5.78 years. Since a first-order system requires roughly three time constants to complete 95 per cent of its adjustment, the transition system needs about a quarter of a century to express fully any change in its structure. The practical implication is that measured youth non-employment is a lagging indicator of structural deterioration by a knowable margin, and that policy evaluated on a three- or five-year horizon will systematically under-record both the damage already accumulated and the benefit of any correction.</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Eigenvalue spectrum of the frozen-driver system at 2040 and the associated relaxation times.</w:t>
      </w:r>
    </w:p>
    <w:tbl>
      <w:tblPr>
        <w:tblW w:w="0" w:type="auto"/>
        <w:jc w:val="center"/>
        <w:tblLayout w:type="fixed"/>
        <w:tblCellMar>
          <w:top w:w="0" w:type="dxa"/>
          <w:left w:w="40" w:type="dxa"/>
          <w:bottom w:w="0" w:type="dxa"/>
          <w:right w:w="40" w:type="dxa"/>
        </w:tblCellMar>
      </w:tblPr>
      <w:tblGrid>
        <w:gridCol w:w="1300"/>
        <w:gridCol w:w="2200"/>
        <w:gridCol w:w="2400"/>
        <w:gridCol w:w="3740"/>
      </w:tblGrid>
      <w:tr>
        <w:trPr>
          <w:tblHeader/>
          <w:jc w:val="center"/>
        </w:trPr>
        <w:tc>
          <w:tcPr>
            <w:tcW w:w="1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w:t>
            </w:r>
          </w:p>
        </w:tc>
        <w:tc>
          <w:tcPr>
            <w:tcW w:w="2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Eigenvalue (yr⁻¹)</w:t>
            </w:r>
          </w:p>
        </w:tc>
        <w:tc>
          <w:tcPr>
            <w:tcW w:w="2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Relaxation time (yr)</w:t>
            </w:r>
          </w:p>
        </w:tc>
        <w:tc>
          <w:tcPr>
            <w:tcW w:w="37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Interpretation</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1</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−2.459</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Search-flow equilibration</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2</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−1.752</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and offer adjustment</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3</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−0.401</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2.49</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Queue turnover</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4</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−0.173</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5.78</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Mismatched-employment turnover</w:t>
            </w:r>
          </w:p>
        </w:tc>
      </w:tr>
      <w:tr>
        <w:trPr>
          <w:jc w:val="center"/>
        </w:trPr>
        <w:tc>
          <w:tcPr>
            <w:tcW w:w="1300" w:type="dxa"/>
            <w:tcBorders>
              <w:top w:val="nil"/>
              <w:left w:val="nil"/>
              <w:bottom w:val="nil"/>
              <w:right w:val="nil"/>
            </w:tcBorders>
          </w:tcPr>
          <w:p>
            <w:pPr>
              <w:spacing w:before="0" w:after="0" w:line="240" w:lineRule="auto"/>
              <w:ind w:left="0"/>
              <w:jc w:val="left"/>
              <w:rPr>
                <w:sz w:val="19"/>
              </w:rPr>
            </w:pPr>
            <m:oMath>
              <m:sSub>
                <m:sSubPr/>
                <m:e>
                  <m:r>
                    <m:rPr/>
                    <m:t>λ</m:t>
                  </m:r>
                </m:e>
                <m:sub>
                  <m:r>
                    <m:rPr/>
                    <m:t>5</m:t>
                  </m:r>
                </m:sub>
              </m:sSub>
            </m:oMath>
          </w:p>
        </w:tc>
        <w:tc>
          <w:tcPr>
            <w:tcW w:w="2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−0.173</w:t>
            </w:r>
          </w:p>
        </w:tc>
        <w:tc>
          <w:tcPr>
            <w:tcW w:w="2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5.78</w:t>
            </w:r>
          </w:p>
        </w:tc>
        <w:tc>
          <w:tcPr>
            <w:tcW w:w="3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Matched-employment turnover</w:t>
            </w:r>
          </w:p>
        </w:tc>
      </w:tr>
      <w:tr>
        <w:trPr>
          <w:jc w:val="center"/>
        </w:trPr>
        <w:tc>
          <w:tcPr>
            <w:tcW w:w="1300" w:type="dxa"/>
            <w:tcBorders>
              <w:top w:val="nil"/>
              <w:left w:val="nil"/>
              <w:bottom w:val="single" w:color="000000" w:sz="8" w:space="0"/>
              <w:right w:val="nil"/>
            </w:tcBorders>
          </w:tcPr>
          <w:p>
            <w:pPr>
              <w:spacing w:before="0" w:after="0" w:line="240" w:lineRule="auto"/>
              <w:ind w:left="0"/>
              <w:jc w:val="left"/>
              <w:rPr>
                <w:sz w:val="19"/>
              </w:rPr>
            </w:pPr>
            <m:oMath>
              <m:sSub>
                <m:sSubPr/>
                <m:e>
                  <m:r>
                    <m:rPr/>
                    <m:t>λ</m:t>
                  </m:r>
                </m:e>
                <m:sub>
                  <m:r>
                    <m:rPr/>
                    <m:t>6</m:t>
                  </m:r>
                </m:sub>
              </m:sSub>
            </m:oMath>
          </w:p>
        </w:tc>
        <w:tc>
          <w:tcPr>
            <w:tcW w:w="2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−0.125</w:t>
            </w:r>
          </w:p>
        </w:tc>
        <w:tc>
          <w:tcPr>
            <w:tcW w:w="2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8.00</w:t>
            </w:r>
          </w:p>
        </w:tc>
        <w:tc>
          <w:tcPr>
            <w:tcW w:w="37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Cohort passage through the youth window</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All eigenvalues are real and negative, so the fixed point is a stable node. The slowest mode equals </w:t>
      </w:r>
      <m:oMath>
        <m:r>
          <m:rPr/>
          <m:t>-ω</m:t>
        </m:r>
      </m:oMath>
      <w:r>
        <w:rPr>
          <w:rFonts w:ascii="Palatino Linotype" w:hAnsi="Palatino Linotype" w:eastAsia="Palatino Linotype"/>
          <w:b w:val="0"/>
          <w:i w:val="0"/>
          <w:sz w:val="14"/>
        </w:rPr>
        <w:t xml:space="preserve"> exactly.</w:t>
      </w:r>
    </w:p>
    <w:p>
      <w:pPr>
        <w:keepNext/>
        <w:spacing w:before="140" w:after="80"/>
      </w:pPr>
      <w:r>
        <w:rPr>
          <w:rFonts w:ascii="Palatino Linotype" w:hAnsi="Palatino Linotype" w:eastAsia="Palatino Linotype"/>
          <w:b/>
          <w:i w:val="0"/>
          <w:sz w:val="20"/>
        </w:rPr>
        <w:t>4.3. No Fold, No Hysteresis: A Negative Result</w:t>
      </w:r>
    </w:p>
    <w:p>
      <w:pPr>
        <w:spacing w:after="120"/>
        <w:jc w:val="both"/>
      </w:pPr>
      <w:r>
        <w:rPr>
          <w:rFonts w:ascii="Palatino Linotype" w:hAnsi="Palatino Linotype" w:eastAsia="Palatino Linotype"/>
          <w:b w:val="0"/>
          <w:i w:val="0"/>
          <w:sz w:val="20"/>
        </w:rPr>
        <w:t xml:space="preserve">A natural hypothesis, and the one we began with, is that the transition system possesses two stable regimes—a fluid one and a trapped one—separated by an unstable threshold, so that a sufficiently large disturbance would flip it irreversibly. The hypothesis is not supported. Two-directional continuation in the threshold sensitivity </w:t>
      </w:r>
      <m:oMath>
        <m:r>
          <m:rPr/>
          <m:t>κ</m:t>
        </m:r>
      </m:oMath>
      <w:r>
        <w:rPr>
          <w:rFonts w:ascii="Palatino Linotype" w:hAnsi="Palatino Linotype" w:eastAsia="Palatino Linotype"/>
          <w:b w:val="0"/>
          <w:i w:val="0"/>
          <w:sz w:val="20"/>
        </w:rPr>
        <w:t xml:space="preserve"> over [0.5, 5.0] and in the value of an institutional post </w:t>
      </w:r>
      <m:oMath>
        <m:r>
          <m:rPr/>
          <m:t>\Pi</m:t>
        </m:r>
      </m:oMath>
      <w:r>
        <w:rPr>
          <w:rFonts w:ascii="Palatino Linotype" w:hAnsi="Palatino Linotype" w:eastAsia="Palatino Linotype"/>
          <w:b w:val="0"/>
          <w:i w:val="0"/>
          <w:sz w:val="20"/>
        </w:rPr>
        <w:t xml:space="preserve"> over [0.4, 2.6] produces forward and backward branches that coincide to within 10⁻¹⁴ in non-employment rate at every grid point at which both sweeps converge (241 of 241 points for </w:t>
      </w:r>
      <m:oMath>
        <m:r>
          <m:rPr/>
          <m:t>κ</m:t>
        </m:r>
      </m:oMath>
      <w:r>
        <w:rPr>
          <w:rFonts w:ascii="Palatino Linotype" w:hAnsi="Palatino Linotype" w:eastAsia="Palatino Linotype"/>
          <w:b w:val="0"/>
          <w:i w:val="0"/>
          <w:sz w:val="20"/>
        </w:rPr>
        <w:t xml:space="preserve"> and 232 of 241 for </w:t>
      </w:r>
      <m:oMath>
        <m:r>
          <m:rPr/>
          <m:t>\Pi</m:t>
        </m:r>
      </m:oMath>
      <w:r>
        <w:rPr>
          <w:rFonts w:ascii="Palatino Linotype" w:hAnsi="Palatino Linotype" w:eastAsia="Palatino Linotype"/>
          <w:b w:val="0"/>
          <w:i w:val="0"/>
          <w:sz w:val="20"/>
        </w:rPr>
        <w:t xml:space="preserve">), so no fold and no hysteresis loop exists in either direction (Figure 4a). A multi-start search from six widely separated initial guesses across forty parameter cells—a 6 × 4 grid spanning endogenous threshold escalation from 0 to 2.5 and screening sharpness from 3 to 22, plus eight values each of </w:t>
      </w:r>
      <m:oMath>
        <m:r>
          <m:rPr/>
          <m:t>κ</m:t>
        </m:r>
      </m:oMath>
      <w:r>
        <w:rPr>
          <w:rFonts w:ascii="Palatino Linotype" w:hAnsi="Palatino Linotype" w:eastAsia="Palatino Linotype"/>
          <w:b w:val="0"/>
          <w:i w:val="0"/>
          <w:sz w:val="20"/>
        </w:rPr>
        <w:t xml:space="preserve"> and </w:t>
      </w:r>
      <m:oMath>
        <m:r>
          <m:rPr/>
          <m:t>\Pi</m:t>
        </m:r>
      </m:oMath>
      <w:r>
        <w:rPr>
          <w:rFonts w:ascii="Palatino Linotype" w:hAnsi="Palatino Linotype" w:eastAsia="Palatino Linotype"/>
          <w:b w:val="0"/>
          <w:i w:val="0"/>
          <w:sz w:val="20"/>
        </w:rPr>
        <w:t>—returns exactly one admissible fixed point in every cell.</w:t>
      </w:r>
    </w:p>
    <w:p>
      <w:pPr>
        <w:spacing w:after="120"/>
        <w:jc w:val="both"/>
      </w:pPr>
      <w:r>
        <w:rPr>
          <w:rFonts w:ascii="Palatino Linotype" w:hAnsi="Palatino Linotype" w:eastAsia="Palatino Linotype"/>
          <w:b w:val="0"/>
          <w:i w:val="0"/>
          <w:sz w:val="20"/>
        </w:rPr>
        <w:t>The system is therefore globally monostable over the region examined, and the language of tipping points, critical transitions and early-warning signals [47] does not apply to it. This is worth stating explicitly because that language has become common in policy discussion of youth exclusion. What generates persistence here is not multiplicity of equilibria but the conjunction of a monotonically drifting attractor with a slow state, which produces behaviour that superficially resembles a trap—deterioration that does not reverse itself—without any of a trap’s formal properties, a pattern also visible in empirical work on the slow evolution of human-capital mismatch and youth employment quality in Chinese regions [48,49]. The distinction matters for policy: in a bistable system the objective is to avoid or escape a basin, and timing dominates magnitude; in a drifting monostable system the objective is to slow or reverse the drift, and sustained pressure on the driver dominates one-off intervention.</w:t>
      </w:r>
    </w:p>
    <w:p>
      <w:pPr>
        <w:spacing w:after="40"/>
        <w:jc w:val="center"/>
      </w:pPr>
      <w:r>
        <w:drawing>
          <wp:inline distT="0" distB="0" distL="114300" distR="114300">
            <wp:extent cx="5989320" cy="2338069"/>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3"/>
                    <a:stretch>
                      <a:fillRect/>
                    </a:stretch>
                  </pic:blipFill>
                  <pic:spPr>
                    <a:xfrm>
                      <a:off x="0" y="0"/>
                      <a:ext cx="5989320" cy="233806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Structural properties. (a) Forward (solid) and backward (dotted) continuation in two control parameters; the branches coincide, so no fold exists. Circles mark the calibrated values. (b) Excess non-employment after a temporary three-year demand shock, with the shock window shaded. (c) Relaxation times implied by the eigenvalue spectrum at the 2040 fixed point.</w:t>
      </w:r>
    </w:p>
    <w:p>
      <w:pPr>
        <w:keepNext/>
        <w:spacing w:before="140" w:after="80"/>
      </w:pPr>
      <w:r>
        <w:rPr>
          <w:rFonts w:ascii="Palatino Linotype" w:hAnsi="Palatino Linotype" w:eastAsia="Palatino Linotype"/>
          <w:b/>
          <w:i w:val="0"/>
          <w:sz w:val="20"/>
        </w:rPr>
        <w:t>4.4. Transitory Shocks Decay; Structural Drift Does Not</w:t>
      </w:r>
    </w:p>
    <w:p>
      <w:pPr>
        <w:spacing w:after="120"/>
        <w:jc w:val="both"/>
      </w:pPr>
      <w:r>
        <w:rPr>
          <w:rFonts w:ascii="Palatino Linotype" w:hAnsi="Palatino Linotype" w:eastAsia="Palatino Linotype"/>
          <w:b w:val="0"/>
          <w:i w:val="0"/>
          <w:sz w:val="20"/>
        </w:rPr>
        <w:t>To separate cyclical from structural persistence we impose a temporary adverse demand shock: the elasticity of vacancies to digitalisation is cut by 25 per cent for three years from 2026, after which the original structure is restored. The shock is large by historical standards, and its immediate effect is substantial: excess non-employment peaks at 0.125 in 2029, more than half the contemporaneous baseline rate. Recovery, however, is brisk. The excess falls to half its peak within 1.50 years of the shock ending and to 0.0050—about four per cent of the peak—ten years after. Figure 4b shows the full path.</w:t>
      </w:r>
    </w:p>
    <w:p>
      <w:pPr>
        <w:spacing w:after="120"/>
        <w:jc w:val="both"/>
      </w:pPr>
      <w:r>
        <w:rPr>
          <w:rFonts w:ascii="Palatino Linotype" w:hAnsi="Palatino Linotype" w:eastAsia="Palatino Linotype"/>
          <w:b w:val="0"/>
          <w:i w:val="0"/>
          <w:sz w:val="20"/>
        </w:rPr>
        <w:t>The contrast with the baseline drift is the substantive point. A large cyclical disturbance leaves almost no trace after a decade, whereas the slow upward march of the employer threshold produces a permanent and compounding deterioration. Youth non-employment in a digital-frontrunner region is therefore a structural problem wearing cyclical clothes. Counter-cyclical measures will appear to work—because the cycle would have reverted anyway—and will leave the underlying trajectory untouched.</w:t>
      </w:r>
    </w:p>
    <w:p>
      <w:pPr>
        <w:keepNext/>
        <w:spacing w:before="140" w:after="80"/>
      </w:pPr>
      <w:r>
        <w:rPr>
          <w:rFonts w:ascii="Palatino Linotype" w:hAnsi="Palatino Linotype" w:eastAsia="Palatino Linotype"/>
          <w:b/>
          <w:i w:val="0"/>
          <w:sz w:val="20"/>
        </w:rPr>
        <w:t>4.5. Which Loops Dominate</w:t>
      </w:r>
    </w:p>
    <w:p>
      <w:pPr>
        <w:spacing w:after="120"/>
        <w:jc w:val="both"/>
      </w:pPr>
      <w:r>
        <w:rPr>
          <w:rFonts w:ascii="Palatino Linotype" w:hAnsi="Palatino Linotype" w:eastAsia="Palatino Linotype"/>
          <w:b w:val="0"/>
          <w:i w:val="0"/>
          <w:sz w:val="20"/>
        </w:rPr>
        <w:t>Loop dominance is assessed by deactivation. Each candidate link is held at its 2015 value, so that the feedback passing through it cannot operate while its level effect is retained; the resulting change in the 2040 outcome measures that loop’s contribution to observed behaviour [18]. Table 7 reports the results. The signs recover exactly the polarities derived analytically in Section 2.3, which is itself a structure-oriented validation test: deactivating a reinforcing loop lowers non-employment, deactivating a balancing loop raises it.</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Loop-deactivation experiments: contribution of each feedback loop to the 2040 outcome.</w:t>
      </w:r>
    </w:p>
    <w:tbl>
      <w:tblPr>
        <w:tblW w:w="0" w:type="auto"/>
        <w:jc w:val="center"/>
        <w:tblLayout w:type="fixed"/>
        <w:tblCellMar>
          <w:top w:w="0" w:type="dxa"/>
          <w:left w:w="40" w:type="dxa"/>
          <w:bottom w:w="0" w:type="dxa"/>
          <w:right w:w="40" w:type="dxa"/>
        </w:tblCellMar>
      </w:tblPr>
      <w:tblGrid>
        <w:gridCol w:w="2600"/>
        <w:gridCol w:w="1250"/>
        <w:gridCol w:w="2600"/>
        <w:gridCol w:w="900"/>
        <w:gridCol w:w="900"/>
        <w:gridCol w:w="1300"/>
        <w:gridCol w:w="1090"/>
      </w:tblGrid>
      <w:tr>
        <w:trPr>
          <w:tblHeader/>
          <w:jc w:val="center"/>
        </w:trPr>
        <w:tc>
          <w:tcPr>
            <w:tcW w:w="2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Loop</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Polarity</w:t>
            </w:r>
          </w:p>
        </w:tc>
        <w:tc>
          <w:tcPr>
            <w:tcW w:w="2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Link held at its 2015 value</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2040 NER</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\Delta</m:t>
              </m:r>
            </m:oMath>
            <w:r>
              <w:rPr>
                <w:rFonts w:ascii="Palatino Linotype" w:hAnsi="Palatino Linotype" w:eastAsia="Palatino Linotype"/>
                <w:b/>
                <w:i w:val="0"/>
                <w:sz w:val="16"/>
              </w:rPr>
              <w:t>NER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\Delta</m:t>
              </m:r>
            </m:oMath>
            <w:r>
              <w:rPr>
                <w:rFonts w:ascii="Palatino Linotype" w:hAnsi="Palatino Linotype" w:eastAsia="Palatino Linotype"/>
                <w:b/>
                <w:i w:val="0"/>
                <w:sz w:val="16"/>
              </w:rPr>
              <w:t>Duration (yr)</w:t>
            </w:r>
          </w:p>
        </w:tc>
        <w:tc>
          <w:tcPr>
            <w:tcW w:w="10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Share of total effect</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B2 Aspiration adjustment</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Balancing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level</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0.5791</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+0.0618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+2.55</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30.3%</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R3 Threshold escalation</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Reinforcing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Observed mismatch share</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0.4606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−0.0567</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−2.28</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27.8%</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B3 Exam-queue congestion</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Balancing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Realised exam success rate</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0.5530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+0.0357</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17.5%</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R1 Skill decay while searching</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Reinforcing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Searcher stock in renewal term</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0.4883</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−0.0290</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−1.19</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14.2%</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R4 Thin-market offer quality</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Reinforcing</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Offered job quality</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0.5061</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w:t>
            </w:r>
          </w:p>
        </w:tc>
        <w:tc>
          <w:tcPr>
            <w:tcW w:w="10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w:t>
            </w:r>
          </w:p>
        </w:tc>
      </w:tr>
      <w:tr>
        <w:trPr>
          <w:jc w:val="center"/>
        </w:trPr>
        <w:tc>
          <w:tcPr>
            <w:tcW w:w="26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R2 Queue–skill erosion</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Reinforcing</w:t>
            </w:r>
          </w:p>
        </w:tc>
        <w:tc>
          <w:tcPr>
            <w:tcW w:w="2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Skill retention while queueing</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0.5079</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−0.0094</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−0.27</w:t>
            </w:r>
          </w:p>
        </w:tc>
        <w:tc>
          <w:tcPr>
            <w:tcW w:w="10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4.6%</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The baseline 2040 non-employment rate is 0.5173 and the baseline mean transition duration 8.63 years. A positive </w:t>
      </w:r>
      <m:oMath>
        <m:r>
          <m:rPr/>
          <m:t>\Delta</m:t>
        </m:r>
      </m:oMath>
      <w:r>
        <w:rPr>
          <w:rFonts w:ascii="Palatino Linotype" w:hAnsi="Palatino Linotype" w:eastAsia="Palatino Linotype"/>
          <w:b w:val="0"/>
          <w:i w:val="0"/>
          <w:sz w:val="14"/>
        </w:rPr>
        <w:t xml:space="preserve"> means that deactivating the loop worsens the outcome, identifying a balancing loop. Shares are absolute effects normalised to sum to unity.</w:t>
      </w:r>
    </w:p>
    <w:p>
      <w:pPr>
        <w:spacing w:after="120"/>
        <w:jc w:val="both"/>
      </w:pPr>
      <w:r>
        <w:rPr>
          <w:rFonts w:ascii="Palatino Linotype" w:hAnsi="Palatino Linotype" w:eastAsia="Palatino Linotype"/>
          <w:b w:val="0"/>
          <w:i w:val="0"/>
          <w:sz w:val="20"/>
        </w:rPr>
        <w:t>Three readings follow. First, the two balancing loops together account for almost half of the total deactivation effect: without aspiration adjustment and exam-queue congestion the 2040 non-employment rate would be 0.58 and 0.55 rather than 0.52. Congestion in particular is an unlovely but powerful brake—the fact that success rates collapse as the queue lengthens is what stops the queue absorbing the whole cohort. Policies that expand institutional recruitment without expanding anything else would weaken precisely this brake. Second, among the reinforcing loops, threshold escalation is the dominant amplifier by a wide margin, accounting for 27.8 per cent of the total deactivation effect—six times the queue-erosion loop—and adding 2.28 years to the mean transition. Third, the two loops most emphasised in the policy literature, skill decay during search and erosion while queueing, together account for under nineteen per cent. The scarring mechanism is real but it is not where the leverage is.</w:t>
      </w:r>
    </w:p>
    <w:p>
      <w:pPr>
        <w:keepNext/>
        <w:spacing w:before="140" w:after="80"/>
      </w:pPr>
      <w:r>
        <w:rPr>
          <w:rFonts w:ascii="Palatino Linotype" w:hAnsi="Palatino Linotype" w:eastAsia="Palatino Linotype"/>
          <w:b/>
          <w:i w:val="0"/>
          <w:sz w:val="20"/>
        </w:rPr>
        <w:t>4.6. Uncertainty and Global Sensitivity</w:t>
      </w:r>
    </w:p>
    <w:p>
      <w:pPr>
        <w:spacing w:after="120"/>
        <w:jc w:val="both"/>
      </w:pPr>
      <w:r>
        <w:rPr>
          <w:rFonts w:ascii="Palatino Linotype" w:hAnsi="Palatino Linotype" w:eastAsia="Palatino Linotype"/>
          <w:b w:val="0"/>
          <w:i w:val="0"/>
          <w:sz w:val="20"/>
        </w:rPr>
        <w:t>Twelve parameters are treated as uncertain over the ranges in Table 2. Propagating them through a Latin-hypercube design of 4096 draws gives a 2040 non-employment rate with mean 0.546, standard deviation 0.151 and a 95 per cent interval of [0.227, 0.795]; the median is 0.558 and the interquartile range [0.453, 0.662]. Mean transition duration has mean 16.06 years and a 95 per cent interval of [1.90, 57.28] years, the extreme right skew reflecting the multiplicative structure of the reinforcing loops. Appendix Table A1 reports the full distributions. The point to note is how little of the parameter space is benign: the 2.5th percentile of the 2040 distribution, 0.227, already exceeds the realised 2025 value of 0.178, so under essentially the entire uncertainty range the system continues to deteriorate rather than stabilising on its own.</w:t>
      </w:r>
    </w:p>
    <w:p>
      <w:pPr>
        <w:spacing w:after="120"/>
        <w:jc w:val="both"/>
      </w:pPr>
      <w:r>
        <w:rPr>
          <w:rFonts w:ascii="Palatino Linotype" w:hAnsi="Palatino Linotype" w:eastAsia="Palatino Linotype"/>
          <w:b w:val="0"/>
          <w:i w:val="0"/>
          <w:sz w:val="20"/>
        </w:rPr>
        <w:t>The Sobol decomposition (Table 8, Figure 5a) attributes variance rather than merely ranking parameters, and the concentration is striking. The sensitivity of the employer threshold to digitalisation alone accounts for 66.3 per cent of the total output variance, six times the next parameter. Endogenous threshold escalation contributes 11.0 per cent, the probability-weighting curvature 8.9 per cent, cohort growth 7.3 per cent and aspiration anchoring 5.0 per cent. Matching efficiency contributes 3.7 per cent and training intensity 0.1 per cent. First- and total-order indices sum to 0.927 and 1.062 respectively, so the response surface is close to additive and interaction effects account for roughly six per cent of the variance. Taken together, the two threshold parameters explain more than three quarters of everything the model does not know.</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Sobol variance decomposition of the 2040 non-employment rate (base sample 1024; 14,336 model evaluations; 800 bootstrap resamples).</w:t>
      </w:r>
    </w:p>
    <w:tbl>
      <w:tblPr>
        <w:tblW w:w="0" w:type="auto"/>
        <w:jc w:val="center"/>
        <w:tblLayout w:type="fixed"/>
        <w:tblCellMar>
          <w:top w:w="0" w:type="dxa"/>
          <w:left w:w="40" w:type="dxa"/>
          <w:bottom w:w="0" w:type="dxa"/>
          <w:right w:w="40" w:type="dxa"/>
        </w:tblCellMar>
      </w:tblPr>
      <w:tblGrid>
        <w:gridCol w:w="1150"/>
        <w:gridCol w:w="3350"/>
        <w:gridCol w:w="1450"/>
        <w:gridCol w:w="1450"/>
        <w:gridCol w:w="1350"/>
        <w:gridCol w:w="1490"/>
      </w:tblGrid>
      <w:tr>
        <w:trPr>
          <w:tblHeader/>
          <w:jc w:val="center"/>
        </w:trPr>
        <w:tc>
          <w:tcPr>
            <w:tcW w:w="11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3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Meaning</w:t>
            </w:r>
          </w:p>
        </w:tc>
        <w:tc>
          <w:tcPr>
            <w:tcW w:w="14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First order </w:t>
            </w:r>
            <m:oMath>
              <m:sSub>
                <m:sSubPr/>
                <m:e>
                  <m:r>
                    <m:rPr/>
                    <m:t>S</m:t>
                  </m:r>
                </m:e>
                <m:sub>
                  <m:r>
                    <m:rPr/>
                    <m:t>i</m:t>
                  </m:r>
                </m:sub>
              </m:sSub>
            </m:oMath>
          </w:p>
        </w:tc>
        <w:tc>
          <w:tcPr>
            <w:tcW w:w="14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tc>
        <w:tc>
          <w:tcPr>
            <w:tcW w:w="1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Total order </w:t>
            </w:r>
            <m:oMath>
              <m:sSub>
                <m:sSubPr/>
                <m:e>
                  <m:r>
                    <m:rPr/>
                    <m:t>S</m:t>
                  </m:r>
                </m:e>
                <m:sub>
                  <m:r>
                    <m:rPr/>
                    <m:t>Ti</m:t>
                  </m:r>
                </m:sub>
              </m:sSub>
            </m:oMath>
          </w:p>
        </w:tc>
        <w:tc>
          <w:tcPr>
            <w:tcW w:w="14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κ</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Threshold sensitivity to digitalisation</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0.583</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[0.352, 0.850]</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0.663</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[0.611, 0.721]</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sSub>
                <m:sSubPr/>
                <m:e>
                  <m:r>
                    <m:rPr/>
                    <m:t>κ</m:t>
                  </m:r>
                </m:e>
                <m:sub>
                  <m:r>
                    <m:rPr/>
                    <m:t>2</m:t>
                  </m:r>
                </m:sub>
              </m:sSub>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Endogenous threshold escalation</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0.099</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[−0.005, 0.208]</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0.110</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[0.099, 0.122]</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\varepsilon</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Probability-weighting curvature</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[−0.038, 0.158]</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0.089</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[0.078, 0.100]</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sSub>
                <m:sSubPr/>
                <m:e>
                  <m:r>
                    <m:rPr/>
                    <m:t>g</m:t>
                  </m:r>
                </m:e>
                <m:sub>
                  <m:r>
                    <m:rPr/>
                    <m:t>\Phi</m:t>
                  </m:r>
                </m:sub>
              </m:sSub>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Graduate cohort growth</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0.076</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 0.164]</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0.073</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[0.067, 0.081]</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\zeta</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anchoring weight</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0.059</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[−0.017, 0.131]</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0.050</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[0.045, 0.057]</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μ</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Matching efficiency</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0.035</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[−0.029, 0.099]</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0.037</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[0.033, 0.041]</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\Pi</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Perceived value of a public post</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[−0.048, 0.045]</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0.019</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[0.015, 0.022]</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sSub>
                <m:sSubPr/>
                <m:e>
                  <m:r>
                    <m:rPr/>
                    <m:t>δ</m:t>
                  </m:r>
                </m:e>
                <m:sub>
                  <m:r>
                    <m:rPr/>
                    <m:t>H</m:t>
                  </m:r>
                </m:sub>
              </m:sSub>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 decay while searching</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0.006</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[−0.033, 0.046]</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0.015</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 0.017]</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φ</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Vacancy elasticity to digitalisation</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[−0.016, 0.021]</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 0.004]</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\chi</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 retention while queueing</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 0.013]</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 0.002]</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λ</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Aspiration adjustment speed</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 0.013]</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 0.001]</w:t>
            </w:r>
          </w:p>
        </w:tc>
      </w:tr>
      <w:tr>
        <w:trPr>
          <w:jc w:val="center"/>
        </w:trPr>
        <w:tc>
          <w:tcPr>
            <w:tcW w:w="1150" w:type="dxa"/>
            <w:tcBorders>
              <w:top w:val="nil"/>
              <w:left w:val="nil"/>
              <w:bottom w:val="nil"/>
              <w:right w:val="nil"/>
            </w:tcBorders>
          </w:tcPr>
          <w:p>
            <w:pPr>
              <w:spacing w:before="0" w:after="0" w:line="240" w:lineRule="auto"/>
              <w:ind w:left="0"/>
              <w:jc w:val="left"/>
              <w:rPr>
                <w:sz w:val="19"/>
              </w:rPr>
            </w:pPr>
            <m:oMath>
              <m:r>
                <m:rPr/>
                <m:t>\tau</m:t>
              </m:r>
            </m:oMath>
          </w:p>
        </w:tc>
        <w:tc>
          <w:tcPr>
            <w:tcW w:w="3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Training intensity</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w:t>
            </w:r>
          </w:p>
        </w:tc>
        <w:tc>
          <w:tcPr>
            <w:tcW w:w="14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 0.013]</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4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 0.001]</w:t>
            </w:r>
          </w:p>
        </w:tc>
      </w:tr>
      <w:tr>
        <w:trPr>
          <w:jc w:val="center"/>
        </w:trPr>
        <w:tc>
          <w:tcPr>
            <w:tcW w:w="11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Sum</w:t>
            </w:r>
          </w:p>
        </w:tc>
        <w:tc>
          <w:tcPr>
            <w:tcW w:w="3350" w:type="dxa"/>
            <w:tcBorders>
              <w:top w:val="nil"/>
              <w:left w:val="nil"/>
              <w:bottom w:val="single" w:color="000000" w:sz="8" w:space="0"/>
              <w:right w:val="nil"/>
            </w:tcBorders>
          </w:tcPr>
          <w:p>
            <w:pPr>
              <w:spacing w:before="0" w:after="0" w:line="240" w:lineRule="auto"/>
              <w:ind w:left="0"/>
              <w:jc w:val="center"/>
              <w:rPr>
                <w:sz w:val="19"/>
              </w:rPr>
            </w:pPr>
          </w:p>
        </w:tc>
        <w:tc>
          <w:tcPr>
            <w:tcW w:w="14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0.927</w:t>
            </w:r>
          </w:p>
        </w:tc>
        <w:tc>
          <w:tcPr>
            <w:tcW w:w="1450" w:type="dxa"/>
            <w:tcBorders>
              <w:top w:val="nil"/>
              <w:left w:val="nil"/>
              <w:bottom w:val="single" w:color="000000" w:sz="8" w:space="0"/>
              <w:right w:val="nil"/>
            </w:tcBorders>
          </w:tcPr>
          <w:p>
            <w:pPr>
              <w:spacing w:before="0" w:after="0" w:line="240" w:lineRule="auto"/>
              <w:ind w:left="0"/>
              <w:jc w:val="center"/>
              <w:rPr>
                <w:sz w:val="19"/>
              </w:rPr>
            </w:pPr>
          </w:p>
        </w:tc>
        <w:tc>
          <w:tcPr>
            <w:tcW w:w="13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1.062</w:t>
            </w:r>
          </w:p>
        </w:tc>
        <w:tc>
          <w:tcPr>
            <w:tcW w:w="1490" w:type="dxa"/>
            <w:tcBorders>
              <w:top w:val="nil"/>
              <w:left w:val="nil"/>
              <w:bottom w:val="single" w:color="000000" w:sz="8" w:space="0"/>
              <w:right w:val="nil"/>
            </w:tcBorders>
          </w:tcPr>
          <w:p>
            <w:pPr>
              <w:spacing w:before="0" w:after="0" w:line="240" w:lineRule="auto"/>
              <w:ind w:left="0"/>
              <w:jc w:val="center"/>
              <w:rPr>
                <w:sz w:val="19"/>
              </w:rPr>
            </w:pP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Slightly negative lower bounds on small first-order indices are a known small-sample property of the Saltelli estimator and indicate indices statistically indistinguishable from zero. The excess of the total-order sum over unity measures interaction.</w:t>
      </w:r>
    </w:p>
    <w:p>
      <w:pPr>
        <w:spacing w:after="120"/>
        <w:jc w:val="both"/>
      </w:pPr>
      <w:r>
        <w:rPr>
          <w:rFonts w:ascii="Palatino Linotype" w:hAnsi="Palatino Linotype" w:eastAsia="Palatino Linotype"/>
          <w:b w:val="0"/>
          <w:i w:val="0"/>
          <w:sz w:val="20"/>
        </w:rPr>
        <w:t>The policy reading of Table 8 is uncomfortable for the standard toolkit. The two parameters that public programmes address most directly—training intensity and, through hiring subsidies, the vacancy elasticity—jointly explain three tenths of one per cent of the outcome variance. The parameters that dominate describe how employers set the bar, how young people weight small probabilities, and how firmly aspirations are anchored. None of these is conventionally treated as a policy variable, and all three are in principle governable.</w:t>
      </w:r>
    </w:p>
    <w:p>
      <w:pPr>
        <w:keepNext/>
        <w:spacing w:before="140" w:after="80"/>
      </w:pPr>
      <w:r>
        <w:rPr>
          <w:rFonts w:ascii="Palatino Linotype" w:hAnsi="Palatino Linotype" w:eastAsia="Palatino Linotype"/>
          <w:b/>
          <w:i w:val="0"/>
          <w:sz w:val="20"/>
        </w:rPr>
        <w:t>4.7. What Separates Trapped from Fluid Futures</w:t>
      </w:r>
    </w:p>
    <w:p>
      <w:pPr>
        <w:spacing w:after="120"/>
        <w:jc w:val="both"/>
      </w:pPr>
      <w:r>
        <w:rPr>
          <w:rFonts w:ascii="Palatino Linotype" w:hAnsi="Palatino Linotype" w:eastAsia="Palatino Linotype"/>
          <w:b w:val="0"/>
          <w:i w:val="0"/>
          <w:sz w:val="20"/>
        </w:rPr>
        <w:t>To characterise the boundary between good and bad futures we define a binary outcome—a 2040 non-employment rate above 0.36, twice the 2025 benchmark—and model it on the twelve standardised parameters. In the Monte Carlo sample 86.5 per cent of draws cross that line, which is itself a result: under the great majority of the uncertainty range the rate at least doubles within fifteen years. The logistic meta-model (Table 9) fits extremely well: area under the receiver operating characteristic curve 0.998, Nagelkerke pseudo-</w:t>
      </w:r>
      <m:oMath>
        <m:sSup>
          <m:sSupPr/>
          <m:e>
            <m:r>
              <m:rPr/>
              <m:t>R</m:t>
            </m:r>
          </m:e>
          <m:sup>
            <m:r>
              <m:rPr/>
              <m:t>2</m:t>
            </m:r>
          </m:sup>
        </m:sSup>
      </m:oMath>
      <w:r>
        <w:rPr>
          <w:rFonts w:ascii="Palatino Linotype" w:hAnsi="Palatino Linotype" w:eastAsia="Palatino Linotype"/>
          <w:b w:val="0"/>
          <w:i w:val="0"/>
          <w:sz w:val="20"/>
        </w:rPr>
        <w:t xml:space="preserve"> 0.928, McFadden 0.895, likelihood-ratio </w:t>
      </w:r>
      <m:oMath>
        <m:sSup>
          <m:sSupPr/>
          <m:e>
            <m:r>
              <m:rPr/>
              <m:t>\chi</m:t>
            </m:r>
          </m:e>
          <m:sup>
            <m:r>
              <m:rPr/>
              <m:t>2</m:t>
            </m:r>
          </m:sup>
        </m:sSup>
      </m:oMath>
      <w:r>
        <w:rPr>
          <w:rFonts w:ascii="Palatino Linotype" w:hAnsi="Palatino Linotype" w:eastAsia="Palatino Linotype"/>
          <w:b w:val="0"/>
          <w:i w:val="0"/>
          <w:sz w:val="20"/>
        </w:rPr>
        <w:t xml:space="preserve">(12) = 2900.56 with </w:t>
      </w:r>
      <m:oMath>
        <m:r>
          <m:rPr/>
          <m:t>p</m:t>
        </m:r>
      </m:oMath>
      <w:r>
        <w:rPr>
          <w:rFonts w:ascii="Palatino Linotype" w:hAnsi="Palatino Linotype" w:eastAsia="Palatino Linotype"/>
          <w:b w:val="0"/>
          <w:i w:val="0"/>
          <w:sz w:val="20"/>
        </w:rPr>
        <w:t xml:space="preserve"> &lt; 0.001. Calibration is excellent: the Hosmer–Lemeshow statistic is 4.07 on eight degrees of freedom with </w:t>
      </w:r>
      <m:oMath>
        <m:r>
          <m:rPr/>
          <m:t>p</m:t>
        </m:r>
      </m:oMath>
      <w:r>
        <w:rPr>
          <w:rFonts w:ascii="Palatino Linotype" w:hAnsi="Palatino Linotype" w:eastAsia="Palatino Linotype"/>
          <w:b w:val="0"/>
          <w:i w:val="0"/>
          <w:sz w:val="20"/>
        </w:rPr>
        <w:t xml:space="preserve"> = 0.851, so the null of good fit is not rejected.</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Logistic meta-model of trap risk in the Monte Carlo sample (⟪n⟫ = 4096; outcome: 2040 non-employment rate above 0.36).</w:t>
      </w:r>
    </w:p>
    <w:tbl>
      <w:tblPr>
        <w:tblW w:w="0" w:type="auto"/>
        <w:jc w:val="center"/>
        <w:tblLayout w:type="fixed"/>
        <w:tblCellMar>
          <w:top w:w="0" w:type="dxa"/>
          <w:left w:w="40" w:type="dxa"/>
          <w:bottom w:w="0" w:type="dxa"/>
          <w:right w:w="40" w:type="dxa"/>
        </w:tblCellMar>
      </w:tblPr>
      <w:tblGrid>
        <w:gridCol w:w="3050"/>
        <w:gridCol w:w="1350"/>
        <w:gridCol w:w="900"/>
        <w:gridCol w:w="900"/>
        <w:gridCol w:w="900"/>
        <w:gridCol w:w="1200"/>
        <w:gridCol w:w="1940"/>
      </w:tblGrid>
      <w:tr>
        <w:trPr>
          <w:tblHeader/>
          <w:jc w:val="center"/>
        </w:trPr>
        <w:tc>
          <w:tcPr>
            <w:tcW w:w="3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1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Coefficient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z</m:t>
              </m:r>
            </m:oMath>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p</m:t>
              </m:r>
            </m:oMath>
          </w:p>
        </w:tc>
        <w:tc>
          <w:tcPr>
            <w:tcW w:w="1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Odds ratio</w:t>
            </w:r>
          </w:p>
        </w:tc>
        <w:tc>
          <w:tcPr>
            <w:tcW w:w="19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κ</m:t>
              </m:r>
            </m:oMath>
            <w:r>
              <w:rPr>
                <w:rFonts w:ascii="Palatino Linotype" w:hAnsi="Palatino Linotype" w:eastAsia="Palatino Linotype"/>
                <w:b w:val="0"/>
                <w:i w:val="0"/>
                <w:sz w:val="16"/>
              </w:rPr>
              <w:t xml:space="preserve"> Threshold sensitivity</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+13.125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0.996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+13.17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 × 10⁵</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[7.1 × 10⁴, 3.5 × 10⁶]</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\varepsilon</m:t>
              </m:r>
            </m:oMath>
            <w:r>
              <w:rPr>
                <w:rFonts w:ascii="Palatino Linotype" w:hAnsi="Palatino Linotype" w:eastAsia="Palatino Linotype"/>
                <w:b w:val="0"/>
                <w:i w:val="0"/>
                <w:sz w:val="16"/>
              </w:rPr>
              <w:t xml:space="preserve"> Probability weighting</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−7.046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−12.80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 0.003]</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sSub>
                <m:sSubPr/>
                <m:e>
                  <m:r>
                    <m:rPr/>
                    <m:t>κ</m:t>
                  </m:r>
                </m:e>
                <m:sub>
                  <m:r>
                    <m:rPr/>
                    <m:t>2</m:t>
                  </m:r>
                </m:sub>
              </m:sSub>
            </m:oMath>
            <w:r>
              <w:rPr>
                <w:rFonts w:ascii="Palatino Linotype" w:hAnsi="Palatino Linotype" w:eastAsia="Palatino Linotype"/>
                <w:b w:val="0"/>
                <w:i w:val="0"/>
                <w:sz w:val="16"/>
              </w:rPr>
              <w:t xml:space="preserve"> Endogenous escalation</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+4.560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0.369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+12.35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95.6</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[46.4, 197.2]</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sSub>
                <m:sSubPr/>
                <m:e>
                  <m:r>
                    <m:rPr/>
                    <m:t>g</m:t>
                  </m:r>
                </m:e>
                <m:sub>
                  <m:r>
                    <m:rPr/>
                    <m:t>\Phi</m:t>
                  </m:r>
                </m:sub>
              </m:sSub>
            </m:oMath>
            <w:r>
              <w:rPr>
                <w:rFonts w:ascii="Palatino Linotype" w:hAnsi="Palatino Linotype" w:eastAsia="Palatino Linotype"/>
                <w:b w:val="0"/>
                <w:i w:val="0"/>
                <w:sz w:val="16"/>
              </w:rPr>
              <w:t xml:space="preserve"> Cohort growth</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+4.461</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0.363</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+12.27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86.5</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[42.5, 176.4]</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\zeta</m:t>
              </m:r>
            </m:oMath>
            <w:r>
              <w:rPr>
                <w:rFonts w:ascii="Palatino Linotype" w:hAnsi="Palatino Linotype" w:eastAsia="Palatino Linotype"/>
                <w:b w:val="0"/>
                <w:i w:val="0"/>
                <w:sz w:val="16"/>
              </w:rPr>
              <w:t xml:space="preserve"> Aspiration anchoring</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+3.905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+12.00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49.7</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[26.2, 94.0]</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\Pi</m:t>
              </m:r>
            </m:oMath>
            <w:r>
              <w:rPr>
                <w:rFonts w:ascii="Palatino Linotype" w:hAnsi="Palatino Linotype" w:eastAsia="Palatino Linotype"/>
                <w:b w:val="0"/>
                <w:i w:val="0"/>
                <w:sz w:val="16"/>
              </w:rPr>
              <w:t xml:space="preserve"> Value of a public post</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+2.957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+11.10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19.2</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[11.4, 32.4]</w:t>
            </w:r>
          </w:p>
        </w:tc>
      </w:tr>
      <w:tr>
        <w:trPr>
          <w:jc w:val="center"/>
        </w:trPr>
        <w:tc>
          <w:tcPr>
            <w:tcW w:w="3050" w:type="dxa"/>
            <w:tcBorders>
              <w:top w:val="nil"/>
              <w:left w:val="nil"/>
              <w:bottom w:val="nil"/>
              <w:right w:val="nil"/>
            </w:tcBorders>
          </w:tcPr>
          <w:p>
            <w:pPr>
              <w:spacing w:before="0" w:after="0" w:line="240" w:lineRule="auto"/>
              <w:ind w:left="0"/>
              <w:jc w:val="left"/>
              <w:rPr>
                <w:sz w:val="19"/>
              </w:rPr>
            </w:pPr>
            <m:oMath>
              <m:r>
                <m:rPr/>
                <m:t>μ</m:t>
              </m:r>
            </m:oMath>
            <w:r>
              <w:rPr>
                <w:rFonts w:ascii="Palatino Linotype" w:hAnsi="Palatino Linotype" w:eastAsia="Palatino Linotype"/>
                <w:b w:val="0"/>
                <w:i w:val="0"/>
                <w:sz w:val="16"/>
              </w:rPr>
              <w:t xml:space="preserve"> Matching efficiency</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−2.615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−10.89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0.073</w:t>
            </w:r>
          </w:p>
        </w:tc>
        <w:tc>
          <w:tcPr>
            <w:tcW w:w="1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[0.046, 0.117]</w:t>
            </w:r>
          </w:p>
        </w:tc>
      </w:tr>
      <w:tr>
        <w:trPr>
          <w:jc w:val="center"/>
        </w:trPr>
        <w:tc>
          <w:tcPr>
            <w:tcW w:w="3050" w:type="dxa"/>
            <w:tcBorders>
              <w:top w:val="nil"/>
              <w:left w:val="nil"/>
              <w:bottom w:val="single" w:color="000000" w:sz="8" w:space="0"/>
              <w:right w:val="nil"/>
            </w:tcBorders>
          </w:tcPr>
          <w:p>
            <w:pPr>
              <w:spacing w:before="0" w:after="0" w:line="240" w:lineRule="auto"/>
              <w:ind w:left="0"/>
              <w:jc w:val="left"/>
              <w:rPr>
                <w:sz w:val="19"/>
              </w:rPr>
            </w:pPr>
            <m:oMath>
              <m:sSub>
                <m:sSubPr/>
                <m:e>
                  <m:r>
                    <m:rPr/>
                    <m:t>δ</m:t>
                  </m:r>
                </m:e>
                <m:sub>
                  <m:r>
                    <m:rPr/>
                    <m:t>H</m:t>
                  </m:r>
                </m:sub>
              </m:sSub>
            </m:oMath>
            <w:r>
              <w:rPr>
                <w:rFonts w:ascii="Palatino Linotype" w:hAnsi="Palatino Linotype" w:eastAsia="Palatino Linotype"/>
                <w:b w:val="0"/>
                <w:i w:val="0"/>
                <w:sz w:val="16"/>
              </w:rPr>
              <w:t xml:space="preserve"> Skill decay</w:t>
            </w:r>
          </w:p>
        </w:tc>
        <w:tc>
          <w:tcPr>
            <w:tcW w:w="13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+1.800</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0.199</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+9.02</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6.05</w:t>
            </w:r>
          </w:p>
        </w:tc>
        <w:tc>
          <w:tcPr>
            <w:tcW w:w="19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[4.09, 8.94]</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Coefficients are per standard deviation of the corresponding prior. The four parameters with the smallest absolute </w:t>
      </w:r>
      <m:oMath>
        <m:r>
          <m:rPr/>
          <m:t>z</m:t>
        </m:r>
      </m:oMath>
      <w:r>
        <w:rPr>
          <w:rFonts w:ascii="Palatino Linotype" w:hAnsi="Palatino Linotype" w:eastAsia="Palatino Linotype"/>
          <w:b w:val="0"/>
          <w:i w:val="0"/>
          <w:sz w:val="14"/>
        </w:rPr>
        <w:t xml:space="preserve"> statistics (</w:t>
      </w:r>
      <m:oMath>
        <m:r>
          <m:rPr/>
          <m:t>φ</m:t>
        </m:r>
      </m:oMath>
      <w:r>
        <w:rPr>
          <w:rFonts w:ascii="Palatino Linotype" w:hAnsi="Palatino Linotype" w:eastAsia="Palatino Linotype"/>
          <w:b w:val="0"/>
          <w:i w:val="0"/>
          <w:sz w:val="14"/>
        </w:rPr>
        <w:t xml:space="preserve">, </w:t>
      </w:r>
      <m:oMath>
        <m:r>
          <m:rPr/>
          <m:t>\tau</m:t>
        </m:r>
      </m:oMath>
      <w:r>
        <w:rPr>
          <w:rFonts w:ascii="Palatino Linotype" w:hAnsi="Palatino Linotype" w:eastAsia="Palatino Linotype"/>
          <w:b w:val="0"/>
          <w:i w:val="0"/>
          <w:sz w:val="14"/>
        </w:rPr>
        <w:t xml:space="preserve">, </w:t>
      </w:r>
      <m:oMath>
        <m:r>
          <m:rPr/>
          <m:t>λ</m:t>
        </m:r>
      </m:oMath>
      <w:r>
        <w:rPr>
          <w:rFonts w:ascii="Palatino Linotype" w:hAnsi="Palatino Linotype" w:eastAsia="Palatino Linotype"/>
          <w:b w:val="0"/>
          <w:i w:val="0"/>
          <w:sz w:val="14"/>
        </w:rPr>
        <w:t xml:space="preserve">, </w:t>
      </w:r>
      <m:oMath>
        <m:r>
          <m:rPr/>
          <m:t>\chi</m:t>
        </m:r>
      </m:oMath>
      <w:r>
        <w:rPr>
          <w:rFonts w:ascii="Palatino Linotype" w:hAnsi="Palatino Linotype" w:eastAsia="Palatino Linotype"/>
          <w:b w:val="0"/>
          <w:i w:val="0"/>
          <w:sz w:val="14"/>
        </w:rPr>
        <w:t xml:space="preserve">) are omitted for space and are reported in Appendix Table A2. Model fit: AUC 0.998; Nagelkerke </w:t>
      </w:r>
      <m:oMath>
        <m:sSup>
          <m:sSupPr/>
          <m:e>
            <m:r>
              <m:rPr/>
              <m:t>R</m:t>
            </m:r>
          </m:e>
          <m:sup>
            <m:r>
              <m:rPr/>
              <m:t>2</m:t>
            </m:r>
          </m:sup>
        </m:sSup>
      </m:oMath>
      <w:r>
        <w:rPr>
          <w:rFonts w:ascii="Palatino Linotype" w:hAnsi="Palatino Linotype" w:eastAsia="Palatino Linotype"/>
          <w:b w:val="0"/>
          <w:i w:val="0"/>
          <w:sz w:val="14"/>
        </w:rPr>
        <w:t xml:space="preserve"> 0.928; Hosmer–Lemeshow </w:t>
      </w:r>
      <m:oMath>
        <m:sSup>
          <m:sSupPr/>
          <m:e>
            <m:r>
              <m:rPr/>
              <m:t>\chi</m:t>
            </m:r>
          </m:e>
          <m:sup>
            <m:r>
              <m:rPr/>
              <m:t>2</m:t>
            </m:r>
          </m:sup>
        </m:sSup>
      </m:oMath>
      <w:r>
        <w:rPr>
          <w:rFonts w:ascii="Palatino Linotype" w:hAnsi="Palatino Linotype" w:eastAsia="Palatino Linotype"/>
          <w:b w:val="0"/>
          <w:i w:val="0"/>
          <w:sz w:val="14"/>
        </w:rPr>
        <w:t xml:space="preserve"> = 4.07, </w:t>
      </w:r>
      <m:oMath>
        <m:r>
          <m:rPr/>
          <m:t>p</m:t>
        </m:r>
      </m:oMath>
      <w:r>
        <w:rPr>
          <w:rFonts w:ascii="Palatino Linotype" w:hAnsi="Palatino Linotype" w:eastAsia="Palatino Linotype"/>
          <w:b w:val="0"/>
          <w:i w:val="0"/>
          <w:sz w:val="14"/>
        </w:rPr>
        <w:t xml:space="preserve"> = 0.851.</w:t>
      </w:r>
    </w:p>
    <w:p>
      <w:pPr>
        <w:spacing w:after="120"/>
        <w:jc w:val="both"/>
      </w:pPr>
      <w:r>
        <w:rPr>
          <w:rFonts w:ascii="Palatino Linotype" w:hAnsi="Palatino Linotype" w:eastAsia="Palatino Linotype"/>
          <w:b w:val="0"/>
          <w:i w:val="0"/>
          <w:sz w:val="20"/>
        </w:rPr>
        <w:t xml:space="preserve">A cross-validated classification tree recovers the same ordering in interpretable form (cross-validated AUC 0.923, fifteen leaves). The root split is on the threshold sensitivity at </w:t>
      </w:r>
      <m:oMath>
        <m:r>
          <m:rPr/>
          <m:t>κ</m:t>
        </m:r>
      </m:oMath>
      <w:r>
        <w:rPr>
          <w:rFonts w:ascii="Palatino Linotype" w:hAnsi="Palatino Linotype" w:eastAsia="Palatino Linotype"/>
          <w:b w:val="0"/>
          <w:i w:val="0"/>
          <w:sz w:val="20"/>
        </w:rPr>
        <w:t xml:space="preserve"> = 1.456, and the calibrated value of 1.855 lies above it, that is, the estimated economy sits in the high-risk branch of the tree rather than on the boundary. Within the low-risk branch the next split is on the probability-weighting curvature at 0.526 and thereafter on endogenous escalation at 0.106 and on cohort growth at 0.047; within the high-risk branch the tree splits again on </w:t>
      </w:r>
      <m:oMath>
        <m:r>
          <m:rPr/>
          <m:t>κ</m:t>
        </m:r>
      </m:oMath>
      <w:r>
        <w:rPr>
          <w:rFonts w:ascii="Palatino Linotype" w:hAnsi="Palatino Linotype" w:eastAsia="Palatino Linotype"/>
          <w:b w:val="0"/>
          <w:i w:val="0"/>
          <w:sz w:val="20"/>
        </w:rPr>
        <w:t xml:space="preserve"> at 1.758 and then on cohort growth at 0.054 and aspiration anchoring at 0.612 and 0.507. The structure of the decision rules therefore reproduces, in a calibrated dynamic model of the Chinese transition system, the threshold-type relationships that Grigorescu and colleagues detected cross-sectionally in European NEET data [12].</w:t>
      </w:r>
    </w:p>
    <w:p>
      <w:pPr>
        <w:spacing w:after="40"/>
        <w:jc w:val="center"/>
      </w:pPr>
      <w:r>
        <w:drawing>
          <wp:inline distT="0" distB="0" distL="114300" distR="114300">
            <wp:extent cx="5989320" cy="333399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24"/>
                    <a:stretch>
                      <a:fillRect/>
                    </a:stretch>
                  </pic:blipFill>
                  <pic:spPr>
                    <a:xfrm>
                      <a:off x="0" y="0"/>
                      <a:ext cx="5989320" cy="3333996"/>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Uncertainty and sensitivity. (a) Sobol first- and total-order indices for the 2040 non-employment rate with bootstrap 95 per cent intervals. (b) Monte Carlo distribution of the 2040 non-employment rate; dotted lines mark the 2.5th and 97.5th percentiles and the dashed line the trap threshold. (c) Standardised logistic coefficients for trap risk with 95 per cent intervals.</w:t>
      </w:r>
    </w:p>
    <w:p>
      <w:pPr>
        <w:keepNext/>
        <w:spacing w:before="140" w:after="80"/>
      </w:pPr>
      <w:r>
        <w:rPr>
          <w:rFonts w:ascii="Palatino Linotype" w:hAnsi="Palatino Linotype" w:eastAsia="Palatino Linotype"/>
          <w:b/>
          <w:i w:val="0"/>
          <w:sz w:val="20"/>
        </w:rPr>
        <w:t>4.8. Policy Experiments at Equal Effort</w:t>
      </w:r>
    </w:p>
    <w:p>
      <w:pPr>
        <w:spacing w:after="120"/>
        <w:jc w:val="both"/>
      </w:pPr>
      <w:r>
        <w:rPr>
          <w:rFonts w:ascii="Palatino Linotype" w:hAnsi="Palatino Linotype" w:eastAsia="Palatino Linotype"/>
          <w:b w:val="0"/>
          <w:i w:val="0"/>
          <w:sz w:val="20"/>
        </w:rPr>
        <w:t xml:space="preserve">Five instrument families are compared at one prior standard deviation of effort each, introduced in 2025 and evaluated on the 2040 outcome, with parameter uncertainty propagated through 400 Latin-hypercube draws so that each comparison is within-draw and paired. Table 10 and Figure 6 report the results. Differences across instruments are highly significant (Kruskal–Wallis </w:t>
      </w:r>
      <m:oMath>
        <m:r>
          <m:rPr/>
          <m:t>H</m:t>
        </m:r>
      </m:oMath>
      <w:r>
        <w:rPr>
          <w:rFonts w:ascii="Palatino Linotype" w:hAnsi="Palatino Linotype" w:eastAsia="Palatino Linotype"/>
          <w:b w:val="0"/>
          <w:i w:val="0"/>
          <w:sz w:val="20"/>
        </w:rPr>
        <w:t xml:space="preserve"> = 245.22, </w:t>
      </w:r>
      <m:oMath>
        <m:r>
          <m:rPr/>
          <m:t>p</m:t>
        </m:r>
      </m:oMath>
      <w:r>
        <w:rPr>
          <w:rFonts w:ascii="Palatino Linotype" w:hAnsi="Palatino Linotype" w:eastAsia="Palatino Linotype"/>
          <w:b w:val="0"/>
          <w:i w:val="0"/>
          <w:sz w:val="20"/>
        </w:rPr>
        <w:t xml:space="preserve"> = 7.0 × 10⁻⁵²), and every instrument improves on the baseline in every draw (Wilcoxon signed-rank </w:t>
      </w:r>
      <m:oMath>
        <m:r>
          <m:rPr/>
          <m:t>p</m:t>
        </m:r>
      </m:oMath>
      <w:r>
        <w:rPr>
          <w:rFonts w:ascii="Palatino Linotype" w:hAnsi="Palatino Linotype" w:eastAsia="Palatino Linotype"/>
          <w:b w:val="0"/>
          <w:i w:val="0"/>
          <w:sz w:val="20"/>
        </w:rPr>
        <w:t xml:space="preserve"> &lt; 10</w:t>
      </w:r>
      <m:oMath>
        <m:r>
          <m:rPr/>
          <m:t>^{-60}</m:t>
        </m:r>
      </m:oMath>
      <w:r>
        <w:rPr>
          <w:rFonts w:ascii="Palatino Linotype" w:hAnsi="Palatino Linotype" w:eastAsia="Palatino Linotype"/>
          <w:b w:val="0"/>
          <w:i w:val="0"/>
          <w:sz w:val="20"/>
        </w:rPr>
        <w:t xml:space="preserve"> throughout), so the interesting question is not whether they work but by how much.</w:t>
      </w:r>
    </w:p>
    <w:p>
      <w:pPr>
        <w:keepNext/>
        <w:spacing w:before="160" w:after="40"/>
      </w:pPr>
      <w:r>
        <w:rPr>
          <w:rFonts w:ascii="Palatino Linotype" w:hAnsi="Palatino Linotype" w:eastAsia="Palatino Linotype"/>
          <w:b/>
          <w:i w:val="0"/>
          <w:sz w:val="17"/>
        </w:rPr>
        <w:t xml:space="preserve">Table 10. </w:t>
      </w:r>
      <w:r>
        <w:rPr>
          <w:rFonts w:ascii="Palatino Linotype" w:hAnsi="Palatino Linotype" w:eastAsia="Palatino Linotype"/>
          <w:b w:val="0"/>
          <w:i w:val="0"/>
          <w:sz w:val="17"/>
        </w:rPr>
        <w:t>Policy experiments at one prior standard deviation of effort (400 paired draws; baseline mean 2040 non-employment rate 0.5441).</w:t>
      </w:r>
    </w:p>
    <w:tbl>
      <w:tblPr>
        <w:tblW w:w="0" w:type="auto"/>
        <w:jc w:val="center"/>
        <w:tblLayout w:type="fixed"/>
        <w:tblCellMar>
          <w:top w:w="0" w:type="dxa"/>
          <w:left w:w="40" w:type="dxa"/>
          <w:bottom w:w="0" w:type="dxa"/>
          <w:right w:w="40" w:type="dxa"/>
        </w:tblCellMar>
      </w:tblPr>
      <w:tblGrid>
        <w:gridCol w:w="2650"/>
        <w:gridCol w:w="2100"/>
        <w:gridCol w:w="1150"/>
        <w:gridCol w:w="1750"/>
        <w:gridCol w:w="1400"/>
        <w:gridCol w:w="1050"/>
        <w:gridCol w:w="1240"/>
      </w:tblGrid>
      <w:tr>
        <w:trPr>
          <w:tblHeader/>
          <w:jc w:val="center"/>
        </w:trPr>
        <w:tc>
          <w:tcPr>
            <w:tcW w:w="26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Instrument</w:t>
            </w:r>
          </w:p>
        </w:tc>
        <w:tc>
          <w:tcPr>
            <w:tcW w:w="2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 moved</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\Delta</m:t>
              </m:r>
            </m:oMath>
            <w:r>
              <w:rPr>
                <w:rFonts w:ascii="Palatino Linotype" w:hAnsi="Palatino Linotype" w:eastAsia="Palatino Linotype"/>
                <w:b/>
                <w:i w:val="0"/>
                <w:sz w:val="16"/>
              </w:rPr>
              <w:t>NER</w:t>
            </w:r>
          </w:p>
        </w:tc>
        <w:tc>
          <w:tcPr>
            <w:tcW w:w="17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interval</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\Delta</m:t>
              </m:r>
            </m:oMath>
            <w:r>
              <w:rPr>
                <w:rFonts w:ascii="Palatino Linotype" w:hAnsi="Palatino Linotype" w:eastAsia="Palatino Linotype"/>
                <w:b/>
                <w:i w:val="0"/>
                <w:sz w:val="16"/>
              </w:rPr>
              <w:t>Duration (yr)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Cliff’s </w:t>
            </w:r>
            <m:oMath>
              <m:r>
                <m:rPr/>
                <m:t>δ</m:t>
              </m:r>
            </m:oMath>
          </w:p>
        </w:tc>
        <w:tc>
          <w:tcPr>
            <w:tcW w:w="12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Relative to P4</w:t>
            </w:r>
          </w:p>
        </w:tc>
      </w:tr>
      <w:tr>
        <w:trPr>
          <w:jc w:val="center"/>
        </w:trPr>
        <w:tc>
          <w:tcPr>
            <w:tcW w:w="2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P5 Threshold moderation</w:t>
            </w:r>
          </w:p>
        </w:tc>
        <w:tc>
          <w:tcPr>
            <w:tcW w:w="2100" w:type="dxa"/>
            <w:tcBorders>
              <w:top w:val="nil"/>
              <w:left w:val="nil"/>
              <w:bottom w:val="nil"/>
              <w:right w:val="nil"/>
            </w:tcBorders>
          </w:tcPr>
          <w:p>
            <w:pPr>
              <w:spacing w:before="0" w:after="0" w:line="240" w:lineRule="auto"/>
              <w:ind w:left="0"/>
              <w:jc w:val="center"/>
              <w:rPr>
                <w:sz w:val="19"/>
              </w:rPr>
            </w:pPr>
            <m:oMath>
              <m:r>
                <m:rPr/>
                <m:t>κ</m:t>
              </m:r>
            </m:oMath>
            <w:r>
              <w:rPr>
                <w:rFonts w:ascii="Palatino Linotype" w:hAnsi="Palatino Linotype" w:eastAsia="Palatino Linotype"/>
                <w:b w:val="0"/>
                <w:i w:val="0"/>
                <w:sz w:val="16"/>
              </w:rPr>
              <w:t xml:space="preserve"> ↓, </w:t>
            </w:r>
            <m:oMath>
              <m:sSub>
                <m:sSubPr/>
                <m:e>
                  <m:r>
                    <m:rPr/>
                    <m:t>κ</m:t>
                  </m:r>
                </m:e>
                <m:sub>
                  <m:r>
                    <m:rPr/>
                    <m:t>2</m:t>
                  </m:r>
                </m:sub>
              </m:sSub>
            </m:oMath>
            <w:r>
              <w:rPr>
                <w:rFonts w:ascii="Palatino Linotype" w:hAnsi="Palatino Linotype" w:eastAsia="Palatino Linotype"/>
                <w:b w:val="0"/>
                <w:i w:val="0"/>
                <w:sz w:val="16"/>
              </w:rPr>
              <w:t xml:space="preserve"> ↓</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−0.1565</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[−0.2403, −0.0857]</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−9.77</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19.1×</w:t>
            </w:r>
          </w:p>
        </w:tc>
      </w:tr>
      <w:tr>
        <w:trPr>
          <w:jc w:val="center"/>
        </w:trPr>
        <w:tc>
          <w:tcPr>
            <w:tcW w:w="2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Expectation guidance</w:t>
            </w:r>
          </w:p>
        </w:tc>
        <w:tc>
          <w:tcPr>
            <w:tcW w:w="2100" w:type="dxa"/>
            <w:tcBorders>
              <w:top w:val="nil"/>
              <w:left w:val="nil"/>
              <w:bottom w:val="nil"/>
              <w:right w:val="nil"/>
            </w:tcBorders>
          </w:tcPr>
          <w:p>
            <w:pPr>
              <w:spacing w:before="0" w:after="0" w:line="240" w:lineRule="auto"/>
              <w:ind w:left="0"/>
              <w:jc w:val="center"/>
              <w:rPr>
                <w:sz w:val="19"/>
              </w:rPr>
            </w:pPr>
            <m:oMath>
              <m:r>
                <m:rPr/>
                <m:t>λ</m:t>
              </m:r>
            </m:oMath>
            <w:r>
              <w:rPr>
                <w:rFonts w:ascii="Palatino Linotype" w:hAnsi="Palatino Linotype" w:eastAsia="Palatino Linotype"/>
                <w:b w:val="0"/>
                <w:i w:val="0"/>
                <w:sz w:val="16"/>
              </w:rPr>
              <w:t xml:space="preserve"> ↑, </w:t>
            </w:r>
            <m:oMath>
              <m:r>
                <m:rPr/>
                <m:t>\zeta</m:t>
              </m:r>
            </m:oMath>
            <w:r>
              <w:rPr>
                <w:rFonts w:ascii="Palatino Linotype" w:hAnsi="Palatino Linotype" w:eastAsia="Palatino Linotype"/>
                <w:b w:val="0"/>
                <w:i w:val="0"/>
                <w:sz w:val="16"/>
              </w:rPr>
              <w:t xml:space="preserve"> ↓</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−0.0283</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[−0.0621, −0.0098]</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−1.67</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w:t>
            </w:r>
          </w:p>
        </w:tc>
      </w:tr>
      <w:tr>
        <w:trPr>
          <w:jc w:val="center"/>
        </w:trPr>
        <w:tc>
          <w:tcPr>
            <w:tcW w:w="2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P2 Matching efficiency</w:t>
            </w:r>
          </w:p>
        </w:tc>
        <w:tc>
          <w:tcPr>
            <w:tcW w:w="2100" w:type="dxa"/>
            <w:tcBorders>
              <w:top w:val="nil"/>
              <w:left w:val="nil"/>
              <w:bottom w:val="nil"/>
              <w:right w:val="nil"/>
            </w:tcBorders>
          </w:tcPr>
          <w:p>
            <w:pPr>
              <w:spacing w:before="0" w:after="0" w:line="240" w:lineRule="auto"/>
              <w:ind w:left="0"/>
              <w:jc w:val="center"/>
              <w:rPr>
                <w:sz w:val="19"/>
              </w:rPr>
            </w:pPr>
            <m:oMath>
              <m:r>
                <m:rPr/>
                <m:t>μ</m:t>
              </m:r>
            </m:oMath>
            <w:r>
              <w:rPr>
                <w:rFonts w:ascii="Palatino Linotype" w:hAnsi="Palatino Linotype" w:eastAsia="Palatino Linotype"/>
                <w:b w:val="0"/>
                <w:i w:val="0"/>
                <w:sz w:val="16"/>
              </w:rPr>
              <w:t xml:space="preserve"> ↑</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−0.0264</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[−0.0428, −0.0160]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−1.84</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w:t>
            </w:r>
          </w:p>
        </w:tc>
      </w:tr>
      <w:tr>
        <w:trPr>
          <w:jc w:val="center"/>
        </w:trPr>
        <w:tc>
          <w:tcPr>
            <w:tcW w:w="2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P4 Vacancy creation</w:t>
            </w:r>
          </w:p>
        </w:tc>
        <w:tc>
          <w:tcPr>
            <w:tcW w:w="2100" w:type="dxa"/>
            <w:tcBorders>
              <w:top w:val="nil"/>
              <w:left w:val="nil"/>
              <w:bottom w:val="nil"/>
              <w:right w:val="nil"/>
            </w:tcBorders>
          </w:tcPr>
          <w:p>
            <w:pPr>
              <w:spacing w:before="0" w:after="0" w:line="240" w:lineRule="auto"/>
              <w:ind w:left="0"/>
              <w:jc w:val="center"/>
              <w:rPr>
                <w:sz w:val="19"/>
              </w:rPr>
            </w:pPr>
            <m:oMath>
              <m:r>
                <m:rPr/>
                <m:t>φ</m:t>
              </m:r>
            </m:oMath>
            <w:r>
              <w:rPr>
                <w:rFonts w:ascii="Palatino Linotype" w:hAnsi="Palatino Linotype" w:eastAsia="Palatino Linotype"/>
                <w:b w:val="0"/>
                <w:i w:val="0"/>
                <w:sz w:val="16"/>
              </w:rPr>
              <w:t xml:space="preserve"> ↑</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−0.0082</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[−0.0131, −0.0046]</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w:t>
            </w:r>
          </w:p>
        </w:tc>
      </w:tr>
      <w:tr>
        <w:trPr>
          <w:jc w:val="center"/>
        </w:trPr>
        <w:tc>
          <w:tcPr>
            <w:tcW w:w="26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P1 Skill upgrading</w:t>
            </w:r>
          </w:p>
        </w:tc>
        <w:tc>
          <w:tcPr>
            <w:tcW w:w="2100" w:type="dxa"/>
            <w:tcBorders>
              <w:top w:val="nil"/>
              <w:left w:val="nil"/>
              <w:bottom w:val="single" w:color="000000" w:sz="8" w:space="0"/>
              <w:right w:val="nil"/>
            </w:tcBorders>
          </w:tcPr>
          <w:p>
            <w:pPr>
              <w:spacing w:before="0" w:after="0" w:line="240" w:lineRule="auto"/>
              <w:ind w:left="0"/>
              <w:jc w:val="center"/>
              <w:rPr>
                <w:sz w:val="19"/>
              </w:rPr>
            </w:pPr>
            <m:oMath>
              <m:r>
                <m:rPr/>
                <m:t>\tau</m:t>
              </m:r>
            </m:oMath>
            <w:r>
              <w:rPr>
                <w:rFonts w:ascii="Palatino Linotype" w:hAnsi="Palatino Linotype" w:eastAsia="Palatino Linotype"/>
                <w:b w:val="0"/>
                <w:i w:val="0"/>
                <w:sz w:val="16"/>
              </w:rPr>
              <w:t xml:space="preserve"> ↑</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−0.0039</w:t>
            </w:r>
          </w:p>
        </w:tc>
        <w:tc>
          <w:tcPr>
            <w:tcW w:w="17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[−0.0087, −0.0015]</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−0.35</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12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Negative values denote improvement. Cliff’s </w:t>
      </w:r>
      <m:oMath>
        <m:r>
          <m:rPr/>
          <m:t>δ</m:t>
        </m:r>
      </m:oMath>
      <w:r>
        <w:rPr>
          <w:rFonts w:ascii="Palatino Linotype" w:hAnsi="Palatino Linotype" w:eastAsia="Palatino Linotype"/>
          <w:b w:val="0"/>
          <w:i w:val="0"/>
          <w:sz w:val="14"/>
        </w:rPr>
        <w:t xml:space="preserve"> of unity indicates that the instrument improves on the baseline in every paired draw. The final column expresses the mean effect relative to vacancy creation.</w:t>
      </w:r>
    </w:p>
    <w:p>
      <w:pPr>
        <w:spacing w:after="120"/>
        <w:jc w:val="both"/>
      </w:pPr>
      <w:r>
        <w:rPr>
          <w:rFonts w:ascii="Palatino Linotype" w:hAnsi="Palatino Linotype" w:eastAsia="Palatino Linotype"/>
          <w:b w:val="0"/>
          <w:i w:val="0"/>
          <w:sz w:val="20"/>
        </w:rPr>
        <w:t>The ranking is stark and stable. Moderating the escalation of the employer threshold is roughly nineteen times as effective as vacancy creation and forty times as effective as raising training intensity, at the same standardised effort. Expectation guidance—raising the speed at which aspirations adapt and loosening their anchor, the policy analogue of the employability-thinking competences measured by Chacón-Cuberos and colleagues [21]—and improving matching efficiency come next and are statistically indistinguishable from one another. The two instruments that dominate public spending come last.</w:t>
      </w:r>
    </w:p>
    <w:p>
      <w:pPr>
        <w:spacing w:after="120"/>
        <w:jc w:val="both"/>
      </w:pPr>
      <w:r>
        <w:rPr>
          <w:rFonts w:ascii="Palatino Linotype" w:hAnsi="Palatino Linotype" w:eastAsia="Palatino Linotype"/>
          <w:b w:val="0"/>
          <w:i w:val="0"/>
          <w:sz w:val="20"/>
        </w:rPr>
        <w:t>This result must be read with its normalisation in mind. Equal standardised effort means equal movement in units of the prior standard deviation, not equal fiscal cost, and we make no claim about the relative expense of moving these parameters. What the comparison establishes is where the system is responsive, not where money is cheap. Panel (a) of Figure 6 shows the full effort–response curves and confirms that the ranking is not an artefact of the chosen effort level: the threshold-moderation curve dominates the others over the entire range from zero to three standard deviations, and the vacancy and training curves remain almost flat throughout.</w:t>
      </w:r>
    </w:p>
    <w:p>
      <w:pPr>
        <w:spacing w:after="120"/>
        <w:jc w:val="both"/>
      </w:pPr>
      <w:r>
        <w:rPr>
          <w:rFonts w:ascii="Palatino Linotype" w:hAnsi="Palatino Linotype" w:eastAsia="Palatino Linotype"/>
          <w:b w:val="0"/>
          <w:i w:val="0"/>
          <w:sz w:val="20"/>
        </w:rPr>
        <w:t>Combining instruments at a fixed total effort of two units confirms the pattern. The best available combination is a double dose of threshold moderation, which lowers the 2040 rate to 0.193 (</w:t>
      </w:r>
      <m:oMath>
        <m:r>
          <m:rPr/>
          <m:t>\Delta</m:t>
        </m:r>
      </m:oMath>
      <w:r>
        <w:rPr>
          <w:rFonts w:ascii="Palatino Linotype" w:hAnsi="Palatino Linotype" w:eastAsia="Palatino Linotype"/>
          <w:b w:val="0"/>
          <w:i w:val="0"/>
          <w:sz w:val="20"/>
        </w:rPr>
        <w:t xml:space="preserve"> = −0.324), followed by threshold moderation paired with expectation guidance at 0.274 (</w:t>
      </w:r>
      <m:oMath>
        <m:r>
          <m:rPr/>
          <m:t>\Delta</m:t>
        </m:r>
      </m:oMath>
      <w:r>
        <w:rPr>
          <w:rFonts w:ascii="Palatino Linotype" w:hAnsi="Palatino Linotype" w:eastAsia="Palatino Linotype"/>
          <w:b w:val="0"/>
          <w:i w:val="0"/>
          <w:sz w:val="20"/>
        </w:rPr>
        <w:t xml:space="preserve"> = −0.243) and with matching efficiency at 0.291 (</w:t>
      </w:r>
      <m:oMath>
        <m:r>
          <m:rPr/>
          <m:t>\Delta</m:t>
        </m:r>
      </m:oMath>
      <w:r>
        <w:rPr>
          <w:rFonts w:ascii="Palatino Linotype" w:hAnsi="Palatino Linotype" w:eastAsia="Palatino Linotype"/>
          <w:b w:val="0"/>
          <w:i w:val="0"/>
          <w:sz w:val="20"/>
        </w:rPr>
        <w:t xml:space="preserve"> = −0.226). Every combination that includes threshold moderation outperforms every combination that does not, and the best combination without it reaches only 0.458.</w:t>
      </w:r>
    </w:p>
    <w:p>
      <w:pPr>
        <w:keepNext/>
        <w:spacing w:before="140" w:after="80"/>
      </w:pPr>
      <w:r>
        <w:rPr>
          <w:rFonts w:ascii="Palatino Linotype" w:hAnsi="Palatino Linotype" w:eastAsia="Palatino Linotype"/>
          <w:b/>
          <w:i w:val="0"/>
          <w:sz w:val="20"/>
        </w:rPr>
        <w:t>4.9. Sequencing at Equal Cumulative Effort</w:t>
      </w:r>
    </w:p>
    <w:p>
      <w:pPr>
        <w:spacing w:after="120"/>
        <w:jc w:val="both"/>
      </w:pPr>
      <w:r>
        <w:rPr>
          <w:rFonts w:ascii="Palatino Linotype" w:hAnsi="Palatino Linotype" w:eastAsia="Palatino Linotype"/>
          <w:b w:val="0"/>
          <w:i w:val="0"/>
          <w:sz w:val="20"/>
        </w:rPr>
        <w:t>Because the system’s modes differ by a factor of twenty in speed, the order in which instruments are deployed should matter even when the total effort is held constant. We test this with three pairs, comparing simultaneous deployment of one unit of each throughout with front-loading two units of one instrument until 2032.5 and then switching. Table 11 reports both the terminal rate and the mean rate over 2025–2040, the latter being proportional to cumulative person-years of non-employment and therefore the welfare-relevant quantity.</w:t>
      </w:r>
    </w:p>
    <w:p>
      <w:pPr>
        <w:keepNext/>
        <w:spacing w:before="160" w:after="40"/>
      </w:pPr>
      <w:r>
        <w:rPr>
          <w:rFonts w:ascii="Palatino Linotype" w:hAnsi="Palatino Linotype" w:eastAsia="Palatino Linotype"/>
          <w:b/>
          <w:i w:val="0"/>
          <w:sz w:val="17"/>
        </w:rPr>
        <w:t xml:space="preserve">Table 11. </w:t>
      </w:r>
      <w:r>
        <w:rPr>
          <w:rFonts w:ascii="Palatino Linotype" w:hAnsi="Palatino Linotype" w:eastAsia="Palatino Linotype"/>
          <w:b w:val="0"/>
          <w:i w:val="0"/>
          <w:sz w:val="17"/>
        </w:rPr>
        <w:t>Policy sequencing at identical cumulative effort (two units over fifteen years, switch date 2032.5).</w:t>
      </w:r>
    </w:p>
    <w:tbl>
      <w:tblPr>
        <w:tblW w:w="0" w:type="auto"/>
        <w:jc w:val="center"/>
        <w:tblLayout w:type="fixed"/>
        <w:tblCellMar>
          <w:top w:w="0" w:type="dxa"/>
          <w:left w:w="40" w:type="dxa"/>
          <w:bottom w:w="0" w:type="dxa"/>
          <w:right w:w="40" w:type="dxa"/>
        </w:tblCellMar>
      </w:tblPr>
      <w:tblGrid>
        <w:gridCol w:w="3200"/>
        <w:gridCol w:w="3200"/>
        <w:gridCol w:w="1900"/>
        <w:gridCol w:w="1740"/>
      </w:tblGrid>
      <w:tr>
        <w:trPr>
          <w:tblHeader/>
          <w:jc w:val="center"/>
        </w:trPr>
        <w:tc>
          <w:tcPr>
            <w:tcW w:w="32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Instrument pair</w:t>
            </w:r>
          </w:p>
        </w:tc>
        <w:tc>
          <w:tcPr>
            <w:tcW w:w="3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Deployment order</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 NER 2025–2040</w:t>
            </w:r>
          </w:p>
        </w:tc>
        <w:tc>
          <w:tcPr>
            <w:tcW w:w="17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 in 2040</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P1 skill</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P3 first, then P1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0.2893</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0.4807</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P1 skill</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Both throughout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0.3027</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0.4806</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P1 skill</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P1 first, then P3</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0.3149</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0.4750</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P1 skill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P1 first, then P2</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0.3106</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0.4699</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P1 skill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Both throughout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0.3072</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0.4865</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P1 skill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P2 first, then P1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0.3070</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0.5066</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P3 first, then P2</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0.2752</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0.4422</w:t>
            </w:r>
          </w:p>
        </w:tc>
      </w:tr>
      <w:tr>
        <w:trPr>
          <w:jc w:val="center"/>
        </w:trPr>
        <w:tc>
          <w:tcPr>
            <w:tcW w:w="3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P2 matching</w:t>
            </w:r>
          </w:p>
        </w:tc>
        <w:tc>
          <w:tcPr>
            <w:tcW w:w="3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Both throughout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0.2857</w:t>
            </w:r>
          </w:p>
        </w:tc>
        <w:tc>
          <w:tcPr>
            <w:tcW w:w="17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0.4583</w:t>
            </w:r>
          </w:p>
        </w:tc>
      </w:tr>
      <w:tr>
        <w:trPr>
          <w:jc w:val="center"/>
        </w:trPr>
        <w:tc>
          <w:tcPr>
            <w:tcW w:w="32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P3 guidance and P2 matching</w:t>
            </w:r>
          </w:p>
        </w:tc>
        <w:tc>
          <w:tcPr>
            <w:tcW w:w="3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P2 first, then P3</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0.2965</w:t>
            </w:r>
          </w:p>
        </w:tc>
        <w:tc>
          <w:tcPr>
            <w:tcW w:w="17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0.4719</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The mean rate over the period is proportional to cumulative person-years of youth non-employment and is the welfare-relevant criterion; the terminal rate describes the state bequeathed to the following period.</w:t>
      </w:r>
    </w:p>
    <w:p>
      <w:pPr>
        <w:spacing w:after="120"/>
        <w:jc w:val="both"/>
      </w:pPr>
      <w:r>
        <w:rPr>
          <w:rFonts w:ascii="Palatino Linotype" w:hAnsi="Palatino Linotype" w:eastAsia="Palatino Linotype"/>
          <w:b w:val="0"/>
          <w:i w:val="0"/>
          <w:sz w:val="20"/>
        </w:rPr>
        <w:t>Two results emerge. First, sequencing matters materially. For the guidance and matching pair, front-loading expectation guidance yields a mean rate of 0.2752 against 0.2965 when matching efficiency comes first, a difference of 0.021, or about seven per cent of the level, and it also produces the better terminal state, so for this pair the ordering is unambiguous. Second, the criterion can reverse the ranking. For the guidance and skill pair, guidance-first minimises the cumulative burden (0.2893) but skill-first leaves the marginally better terminal state (0.4750 against 0.4807). This is a genuine intertemporal trade-off rather than a modelling artefact: guidance acts on a fast state and relieves the current cohort, whereas training acts on a slow state and accumulates. A government optimising the electoral cycle and one optimising the state bequeathed to its successor will make different choices from the same model.</w:t>
      </w:r>
    </w:p>
    <w:p>
      <w:pPr>
        <w:spacing w:after="40"/>
        <w:jc w:val="center"/>
      </w:pPr>
      <w:r>
        <w:drawing>
          <wp:inline distT="0" distB="0" distL="114300" distR="114300">
            <wp:extent cx="5989320" cy="262237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25"/>
                    <a:stretch>
                      <a:fillRect/>
                    </a:stretch>
                  </pic:blipFill>
                  <pic:spPr>
                    <a:xfrm>
                      <a:off x="0" y="0"/>
                      <a:ext cx="5989320" cy="262237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6. </w:t>
      </w:r>
      <w:r>
        <w:rPr>
          <w:rFonts w:ascii="Palatino Linotype" w:hAnsi="Palatino Linotype" w:eastAsia="Palatino Linotype"/>
          <w:b w:val="0"/>
          <w:i w:val="0"/>
          <w:sz w:val="17"/>
        </w:rPr>
        <w:t>Policy analysis. (a) Effort–response curves for the five instrument families over zero to three prior standard deviations of effort. (b) Effects at one unit of effort with 95 per cent paired intervals. (c) Sequencing at identical cumulative effort, measured by the mean non-employment rate over 2025–2040.</w:t>
      </w:r>
    </w:p>
    <w:p>
      <w:pPr>
        <w:keepNext/>
        <w:spacing w:before="140" w:after="80"/>
      </w:pPr>
      <w:r>
        <w:rPr>
          <w:rFonts w:ascii="Palatino Linotype" w:hAnsi="Palatino Linotype" w:eastAsia="Palatino Linotype"/>
          <w:b/>
          <w:i w:val="0"/>
          <w:sz w:val="20"/>
        </w:rPr>
        <w:t>4.10. Prefecture Archetypes</w:t>
      </w:r>
    </w:p>
    <w:p>
      <w:pPr>
        <w:spacing w:after="120"/>
        <w:jc w:val="both"/>
      </w:pPr>
      <w:r>
        <w:rPr>
          <w:rFonts w:ascii="Palatino Linotype" w:hAnsi="Palatino Linotype" w:eastAsia="Palatino Linotype"/>
          <w:b w:val="0"/>
          <w:i w:val="0"/>
          <w:sz w:val="20"/>
        </w:rPr>
        <w:t>China’s prefecture-level cities are not homogeneous, and the model’s parameters differ systematically across them. We define three archetypes: a digital-core metropolitan type, with the fastest digital expansion, the strongest vacancy response, the steepest threshold escalation, the largest graduate inflow and the most efficient matching; an advanced-manufacturing type, intermediate on all counts; and a peripheral labour-exporting type, with slower digitalisation, weaker matching and a higher valuation of institutional posts. Table 12 and Figure 7 report the outcomes.</w:t>
      </w:r>
    </w:p>
    <w:p>
      <w:pPr>
        <w:keepNext/>
        <w:spacing w:before="160" w:after="40"/>
      </w:pPr>
      <w:r>
        <w:rPr>
          <w:rFonts w:ascii="Palatino Linotype" w:hAnsi="Palatino Linotype" w:eastAsia="Palatino Linotype"/>
          <w:b/>
          <w:i w:val="0"/>
          <w:sz w:val="17"/>
        </w:rPr>
        <w:t xml:space="preserve">Table 12. </w:t>
      </w:r>
      <w:r>
        <w:rPr>
          <w:rFonts w:ascii="Palatino Linotype" w:hAnsi="Palatino Linotype" w:eastAsia="Palatino Linotype"/>
          <w:b w:val="0"/>
          <w:i w:val="0"/>
          <w:sz w:val="17"/>
        </w:rPr>
        <w:t>Prefecture-level city archetypes: trajectories and policy responsiveness.</w:t>
      </w:r>
    </w:p>
    <w:tbl>
      <w:tblPr>
        <w:tblW w:w="0" w:type="auto"/>
        <w:jc w:val="center"/>
        <w:tblLayout w:type="fixed"/>
        <w:tblCellMar>
          <w:top w:w="0" w:type="dxa"/>
          <w:left w:w="40" w:type="dxa"/>
          <w:bottom w:w="0" w:type="dxa"/>
          <w:right w:w="40" w:type="dxa"/>
        </w:tblCellMar>
      </w:tblPr>
      <w:tblGrid>
        <w:gridCol w:w="3350"/>
        <w:gridCol w:w="950"/>
        <w:gridCol w:w="950"/>
        <w:gridCol w:w="1050"/>
        <w:gridCol w:w="1150"/>
        <w:gridCol w:w="1250"/>
        <w:gridCol w:w="1150"/>
        <w:gridCol w:w="1350"/>
        <w:gridCol w:w="800"/>
      </w:tblGrid>
      <w:tr>
        <w:trPr>
          <w:tblHeader/>
          <w:jc w:val="center"/>
        </w:trPr>
        <w:tc>
          <w:tcPr>
            <w:tcW w:w="33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Archetype</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 2025</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 2040</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 flow 2040</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Mismatch 2040</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Duration 2040 (yr)</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Best instrument</w:t>
            </w:r>
          </w:p>
        </w:tc>
        <w:tc>
          <w:tcPr>
            <w:tcW w:w="13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NER 2040 under policy</w:t>
            </w:r>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Gain</w:t>
            </w:r>
          </w:p>
        </w:tc>
      </w:tr>
      <w:tr>
        <w:trPr>
          <w:jc w:val="center"/>
        </w:trPr>
        <w:tc>
          <w:tcPr>
            <w:tcW w:w="33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 Digital-core metropolitan city</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0.732</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0.658</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0.548</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31.99</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P5</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0.578</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0.155</w:t>
            </w:r>
          </w:p>
        </w:tc>
      </w:tr>
      <w:tr>
        <w:trPr>
          <w:jc w:val="center"/>
        </w:trPr>
        <w:tc>
          <w:tcPr>
            <w:tcW w:w="33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 Advanced-manufacturing city</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0.173</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0.489</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0.539</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0.403</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7.53</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P5</w:t>
            </w:r>
          </w:p>
        </w:tc>
        <w:tc>
          <w:tcPr>
            <w:tcW w:w="13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0.288</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0.201</w:t>
            </w:r>
          </w:p>
        </w:tc>
      </w:tr>
      <w:tr>
        <w:trPr>
          <w:jc w:val="center"/>
        </w:trPr>
        <w:tc>
          <w:tcPr>
            <w:tcW w:w="33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 Peripheral labour-exporting city</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0.157</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0.251</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0.342</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0.303</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2.09</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P5</w:t>
            </w:r>
          </w:p>
        </w:tc>
        <w:tc>
          <w:tcPr>
            <w:tcW w:w="13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0.169</w:t>
            </w:r>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0.082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Archetypes are parameterised illustratively rather than estimated on city-level data; they are intended to show how the same structure generates different behaviour under different parameterisations, not to rank actual cities.</w:t>
      </w:r>
    </w:p>
    <w:p>
      <w:pPr>
        <w:spacing w:after="120"/>
        <w:jc w:val="both"/>
      </w:pPr>
      <w:r>
        <w:rPr>
          <w:rFonts w:ascii="Palatino Linotype" w:hAnsi="Palatino Linotype" w:eastAsia="Palatino Linotype"/>
          <w:b w:val="0"/>
          <w:i w:val="0"/>
          <w:sz w:val="20"/>
        </w:rPr>
        <w:t>The ordering is the opposite of what a simple demand account predicts. The most digitally advanced archetype, which creates the most jobs and matches most efficiently, ends the horizon with by far the highest youth non-employment rate (0.732 against 0.251 in the periphery) and a mean transition duration of nearly thirty-two years, which is to say that in that parameterisation the cohort effectively never clears. The reason is visible in the parameterisation: the same digital dynamism that generates vacancies also drives the employer threshold upward, and in the calibrated system the threshold effect dominates the vacancy effect by more than two orders of magnitude (Table 8). The frontrunner runs faster and falls further behind its own bar.</w:t>
      </w:r>
    </w:p>
    <w:p>
      <w:pPr>
        <w:spacing w:after="120"/>
        <w:jc w:val="both"/>
      </w:pPr>
      <w:r>
        <w:rPr>
          <w:rFonts w:ascii="Palatino Linotype" w:hAnsi="Palatino Linotype" w:eastAsia="Palatino Linotype"/>
          <w:b w:val="0"/>
          <w:i w:val="0"/>
          <w:sz w:val="20"/>
        </w:rPr>
        <w:t>The policy reading is more encouraging, and more specific than the deterioration ranking suggests. The largest absolute dividend accrues not to the digital core but to the intermediate manufacturing archetype, where threshold moderation lowers the 2040 rate by 0.201 against 0.155 in the core and 0.082 in the periphery. The core is the most damaged but also the most saturated: its threshold has risen so far by 2040 that a one-standard-deviation moderation cannot bring it back. The implication for a national programme is that intervention should be targeted at cities in the middle of the digital transition, where the bar is rising fast but has not yet run away.</w:t>
      </w:r>
    </w:p>
    <w:p>
      <w:pPr>
        <w:spacing w:after="40"/>
        <w:jc w:val="center"/>
      </w:pPr>
      <w:r>
        <w:drawing>
          <wp:inline distT="0" distB="0" distL="114300" distR="114300">
            <wp:extent cx="5989320" cy="210197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26"/>
                    <a:stretch>
                      <a:fillRect/>
                    </a:stretch>
                  </pic:blipFill>
                  <pic:spPr>
                    <a:xfrm>
                      <a:off x="0" y="0"/>
                      <a:ext cx="5989320" cy="2101974"/>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7. </w:t>
      </w:r>
      <w:r>
        <w:rPr>
          <w:rFonts w:ascii="Palatino Linotype" w:hAnsi="Palatino Linotype" w:eastAsia="Palatino Linotype"/>
          <w:b w:val="0"/>
          <w:i w:val="0"/>
          <w:sz w:val="17"/>
        </w:rPr>
        <w:t>Prefecture-level city archetypes. (a) Non-employment trajectories under the three parameterisations. (b) The 2040 rate without new policy and under the best single instrument at one unit of effort.</w:t>
      </w:r>
    </w:p>
    <w:p>
      <w:pPr>
        <w:keepNext/>
        <w:spacing w:before="200" w:after="80"/>
      </w:pPr>
      <w:r>
        <w:rPr>
          <w:rFonts w:ascii="Palatino Linotype" w:hAnsi="Palatino Linotype" w:eastAsia="Palatino Linotype"/>
          <w:b/>
          <w:i w:val="0"/>
          <w:sz w:val="24"/>
        </w:rPr>
        <w:t>5. Discussion</w:t>
      </w:r>
    </w:p>
    <w:p>
      <w:pPr>
        <w:keepNext/>
        <w:spacing w:before="140" w:after="80"/>
      </w:pPr>
      <w:r>
        <w:rPr>
          <w:rFonts w:ascii="Palatino Linotype" w:hAnsi="Palatino Linotype" w:eastAsia="Palatino Linotype"/>
          <w:b/>
          <w:i w:val="0"/>
          <w:sz w:val="20"/>
        </w:rPr>
        <w:t>5.1. A Moving Target Rather Than a Tipping Point</w:t>
      </w:r>
    </w:p>
    <w:p>
      <w:pPr>
        <w:spacing w:after="120"/>
        <w:jc w:val="both"/>
      </w:pPr>
      <w:r>
        <w:rPr>
          <w:rFonts w:ascii="Palatino Linotype" w:hAnsi="Palatino Linotype" w:eastAsia="Palatino Linotype"/>
          <w:b w:val="0"/>
          <w:i w:val="0"/>
          <w:sz w:val="20"/>
        </w:rPr>
        <w:t>The principal theoretical contribution of this study is a negative one with positive consequences. Youth employment deterioration in a rapidly digitalising economy behaves like a trap but is not one. The system has a single stable equilibrium throughout the parameter region examined; what changes is the location of that equilibrium, which drifts upward as the employer skill threshold rises with digitalisation and with the mismatch it produces. Because the slowest mode of the system equals the duration of the youth window, the observed state trails this moving target by 1.7 years on average and by five years by the end of the horizon.</w:t>
      </w:r>
    </w:p>
    <w:p>
      <w:pPr>
        <w:spacing w:after="120"/>
        <w:jc w:val="both"/>
      </w:pPr>
      <w:r>
        <w:rPr>
          <w:rFonts w:ascii="Palatino Linotype" w:hAnsi="Palatino Linotype" w:eastAsia="Palatino Linotype"/>
          <w:b w:val="0"/>
          <w:i w:val="0"/>
          <w:sz w:val="20"/>
        </w:rPr>
        <w:t>This distinction has three consequences. It disciplines the language: early-warning indicators designed to detect critical slowing down before a fold [47] are not informative here, because there is no fold to anticipate. It changes the diagnosis: persistence arises from slow states chasing a moving equilibrium, not from lock-in, so recovery does not require escaping a basin and is not subject to irreversibility. And it relocates the urgency: in a bistable system delay risks crossing a threshold, whereas here delay simply allows the target to move further away, which is less dramatic but, because the drift compounds and adjustment is slow, no less costly. The measured indicator understating the structural position is the mechanism by which such a system escapes attention until the gap is large.</w:t>
      </w:r>
    </w:p>
    <w:p>
      <w:pPr>
        <w:keepNext/>
        <w:spacing w:before="140" w:after="80"/>
      </w:pPr>
      <w:r>
        <w:rPr>
          <w:rFonts w:ascii="Palatino Linotype" w:hAnsi="Palatino Linotype" w:eastAsia="Palatino Linotype"/>
          <w:b/>
          <w:i w:val="0"/>
          <w:sz w:val="20"/>
        </w:rPr>
        <w:t>5.2. Why Job Creation Is Not the Binding Constraint</w:t>
      </w:r>
    </w:p>
    <w:p>
      <w:pPr>
        <w:spacing w:after="120"/>
        <w:jc w:val="both"/>
      </w:pPr>
      <w:r>
        <w:rPr>
          <w:rFonts w:ascii="Palatino Linotype" w:hAnsi="Palatino Linotype" w:eastAsia="Palatino Linotype"/>
          <w:b w:val="0"/>
          <w:i w:val="0"/>
          <w:sz w:val="20"/>
        </w:rPr>
        <w:t>That vacancy creation is nearly inert in this model is the result most likely to attract objection, so its logic deserves to be stated carefully. Vacancies enter the model in two places: they raise meetings through the matching function, and they raise offered quality through market tightness. Neither channel is blocked. What limits them is that meetings only become hires after passing a screen whose stringency is itself rising, and after being accepted by a searcher whose reservation threshold adjusts only slowly. When the skill–threshold gap has turned negative, additional meetings mostly generate additional rejections. Formally, the elasticity of hires with respect to vacancies is bounded above by the screening and acceptance probabilities, both of which fall as the drift proceeds. Empirically, this is why the vacancy-to-seeker ratio can stay above unity while non-employment doubles: the constraint is not the number of doors but the height of the sill.</w:t>
      </w:r>
    </w:p>
    <w:p>
      <w:pPr>
        <w:spacing w:after="120"/>
        <w:jc w:val="both"/>
      </w:pPr>
      <w:r>
        <w:rPr>
          <w:rFonts w:ascii="Palatino Linotype" w:hAnsi="Palatino Linotype" w:eastAsia="Palatino Linotype"/>
          <w:b w:val="0"/>
          <w:i w:val="0"/>
          <w:sz w:val="20"/>
        </w:rPr>
        <w:t>The finding is consistent with the broader evaluation literature, which reports modest and heterogeneous average effects for youth employment programmes and better results for interventions that change what employers or participants do rather than simply subsidising a transaction [44,50,51]. It also aligns with evidence that the returns to training depend on whether the skills acquired are the ones employers are screening on [46,52,53]. Our result sharpens rather than contradicts that literature: training raises employability capital, but in this system employability capital is not the state that is moving. The threshold is.</w:t>
      </w:r>
    </w:p>
    <w:p>
      <w:pPr>
        <w:keepNext/>
        <w:spacing w:before="140" w:after="80"/>
      </w:pPr>
      <w:r>
        <w:rPr>
          <w:rFonts w:ascii="Palatino Linotype" w:hAnsi="Palatino Linotype" w:eastAsia="Palatino Linotype"/>
          <w:b/>
          <w:i w:val="0"/>
          <w:sz w:val="20"/>
        </w:rPr>
        <w:t>5.3. The Queue as an Institution</w:t>
      </w:r>
    </w:p>
    <w:p>
      <w:pPr>
        <w:spacing w:after="120"/>
        <w:jc w:val="both"/>
      </w:pPr>
      <w:r>
        <w:rPr>
          <w:rFonts w:ascii="Palatino Linotype" w:hAnsi="Palatino Linotype" w:eastAsia="Palatino Linotype"/>
          <w:b w:val="0"/>
          <w:i w:val="0"/>
          <w:sz w:val="20"/>
        </w:rPr>
        <w:t>The examination queue turns out to be central in a way we did not anticipate. Its congestion loop is the second strongest stabiliser in the system after aspiration adjustment, accounting for 17.5 per cent of the total loop-deactivation effect: because success rates collapse as the queue lengthens, the queue is self-limiting. At the same time the queue is a major channel of delayed entry and of skill erosion, and the curvature of the probability-weighting function that sustains it is the third most important parameter in the variance decomposition (8.9 per cent of total-order variance). The queue is therefore simultaneously a safety valve and a sink.</w:t>
      </w:r>
    </w:p>
    <w:p>
      <w:pPr>
        <w:spacing w:after="120"/>
        <w:jc w:val="both"/>
      </w:pPr>
      <w:r>
        <w:rPr>
          <w:rFonts w:ascii="Palatino Linotype" w:hAnsi="Palatino Linotype" w:eastAsia="Palatino Linotype"/>
          <w:b w:val="0"/>
          <w:i w:val="0"/>
          <w:sz w:val="20"/>
        </w:rPr>
        <w:t>The policy implication is a warning against the obvious intervention. Expanding institutional recruitment raises the realised success rate, which weakens exactly the congestion feedback that prevents the queue from absorbing a larger share of each cohort. In the model this operates as a partial offset: more posts are filled, but the queue grows. The productive lever is not the number of posts but the decision weight attached to a small probability, which is addressable through information—publishing realised success rates by post and by cohort, and integrating them into career education—rather than through recruitment quotas. This is one concrete route by which the employability-thinking construct validated by Chacón-Cuberos and colleagues [21] becomes a system-level lever: what their analytical-thinking and information-handling factor measures is precisely the capacity that reduces the over-weighting of small probabilities.</w:t>
      </w:r>
    </w:p>
    <w:p>
      <w:pPr>
        <w:keepNext/>
        <w:spacing w:before="140" w:after="80"/>
      </w:pPr>
      <w:r>
        <w:rPr>
          <w:rFonts w:ascii="Palatino Linotype" w:hAnsi="Palatino Linotype" w:eastAsia="Palatino Linotype"/>
          <w:b/>
          <w:i w:val="0"/>
          <w:sz w:val="20"/>
        </w:rPr>
        <w:t>5.4. The Digital Paradox of a Frontrunner Region</w:t>
      </w:r>
    </w:p>
    <w:p>
      <w:pPr>
        <w:spacing w:after="120"/>
        <w:jc w:val="both"/>
      </w:pPr>
      <w:r>
        <w:rPr>
          <w:rFonts w:ascii="Palatino Linotype" w:hAnsi="Palatino Linotype" w:eastAsia="Palatino Linotype"/>
          <w:b w:val="0"/>
          <w:i w:val="0"/>
          <w:sz w:val="20"/>
        </w:rPr>
        <w:t>The archetype analysis produces the paper’s most counter-intuitive result: the city archetype with the fastest digital growth, most vacancies and best matching ends with the worst youth outcome. This is not an argument against digital transformation, which raises output, wages and job quality in this model as in the evidence [4,30,54–58]. It is an argument about the joint distribution of its effects. Digitalisation shifts demand towards higher-order competences [9,35,36], and in doing so it raises the bar that entrants must clear at exactly the moment when it raises the number of doors. Where the first effect outruns the second, entrants face more opportunities they cannot access.</w:t>
      </w:r>
    </w:p>
    <w:p>
      <w:pPr>
        <w:spacing w:after="120"/>
        <w:jc w:val="both"/>
      </w:pPr>
      <w:r>
        <w:rPr>
          <w:rFonts w:ascii="Palatino Linotype" w:hAnsi="Palatino Linotype" w:eastAsia="Palatino Linotype"/>
          <w:b w:val="0"/>
          <w:i w:val="0"/>
          <w:sz w:val="20"/>
        </w:rPr>
        <w:t>For Chinese cities specifically this suggests that a local policy advantage in digital-industry development [3] and an aggressive talent-attraction regime [59] are, from the perspective of local entrants, double-edged. Attracting experienced talent from elsewhere raises the observed competence distribution that employers screen against, which is formally equivalent in this model to raising the threshold. A common-prosperity agenda that treats youth transition quality as an objective alongside industrial upgrading [60,61] would need to monitor the skill–threshold gap directly rather than inferring it from vacancy counts, and would need to differentiate its instruments by where a city sits in the digital transition rather than applying one national package.</w:t>
      </w:r>
    </w:p>
    <w:p>
      <w:pPr>
        <w:keepNext/>
        <w:spacing w:before="140" w:after="80"/>
      </w:pPr>
      <w:r>
        <w:rPr>
          <w:rFonts w:ascii="Palatino Linotype" w:hAnsi="Palatino Linotype" w:eastAsia="Palatino Linotype"/>
          <w:b/>
          <w:i w:val="0"/>
          <w:sz w:val="20"/>
        </w:rPr>
        <w:t>5.5. Implications for Policy Design</w:t>
      </w:r>
    </w:p>
    <w:p>
      <w:pPr>
        <w:spacing w:after="120"/>
        <w:jc w:val="both"/>
      </w:pPr>
      <w:r>
        <w:rPr>
          <w:rFonts w:ascii="Palatino Linotype" w:hAnsi="Palatino Linotype" w:eastAsia="Palatino Linotype"/>
          <w:b w:val="0"/>
          <w:i w:val="0"/>
          <w:sz w:val="20"/>
        </w:rPr>
        <w:t>Four design implications follow from the results, stated in decreasing order of the confidence we attach to them. First, govern the bar. Instruments that slow the escalation of employer screening standards dominate every alternative at equal standardised effort. Concretely, this means competence-based rather than credential-based recruitment standards for public and state-owned employers, publicly certified micro-credentials that make competence legible so that employers do not over-screen on proxies, regulation of degree and experience requirements in advertised vacancies, and subsidised structured internships that let employers observe ability directly rather than inferring it. Second, manage expectations early. Expectation guidance is the second most effective instrument and, in two of the three pairs tested, should be front-loaded rather than run in parallel. Third, treat matching efficiency as a complement rather than a substitute: it is third in effectiveness and pairs well with threshold moderation, but it cannot compensate for a rising bar. Fourth, do not expand the queue. Enlarging institutional recruitment weakens the strongest stabilising feedback in the system.</w:t>
      </w:r>
    </w:p>
    <w:p>
      <w:pPr>
        <w:spacing w:after="120"/>
        <w:jc w:val="both"/>
      </w:pPr>
      <w:r>
        <w:rPr>
          <w:rFonts w:ascii="Palatino Linotype" w:hAnsi="Palatino Linotype" w:eastAsia="Palatino Linotype"/>
          <w:b w:val="0"/>
          <w:i w:val="0"/>
          <w:sz w:val="20"/>
        </w:rPr>
        <w:t>A fifth implication concerns measurement rather than instruments. Because the realised state lags its equilibrium by two to five years, national and city monitoring that tracks only the youth unemployment rate will detect deterioration late and will credit interventions late as well. A monitoring system built on this model would track the skill–threshold gap—operationalised as the distance between the competence distribution of entrants and the requirements stated in vacancy postings—alongside the realised rate, because the gap is a leading indicator and the rate is a lagging one.</w:t>
      </w:r>
    </w:p>
    <w:p>
      <w:pPr>
        <w:keepNext/>
        <w:spacing w:before="140" w:after="80"/>
      </w:pPr>
      <w:r>
        <w:rPr>
          <w:rFonts w:ascii="Palatino Linotype" w:hAnsi="Palatino Linotype" w:eastAsia="Palatino Linotype"/>
          <w:b/>
          <w:i w:val="0"/>
          <w:sz w:val="20"/>
        </w:rPr>
        <w:t>5.6. Contribution to Systems Practice in the Social Sciences</w:t>
      </w:r>
    </w:p>
    <w:p>
      <w:pPr>
        <w:spacing w:after="120"/>
        <w:jc w:val="both"/>
      </w:pPr>
      <w:r>
        <w:rPr>
          <w:rFonts w:ascii="Palatino Linotype" w:hAnsi="Palatino Linotype" w:eastAsia="Palatino Linotype"/>
          <w:b w:val="0"/>
          <w:i w:val="0"/>
          <w:sz w:val="20"/>
        </w:rPr>
        <w:t>Methodologically, this study joins three techniques that are usually applied separately. Loop deactivation [18] establishes which feedbacks generate the observed behaviour; variance-based sensitivity analysis [19,20] establishes which parameters generate the uncertainty; and statistical meta-modelling of the simulation output establishes where in parameter space the qualitative outcome changes. Applied to the same calibrated object, the three agree: threshold escalation is the strongest reinforcing loop, threshold sensitivity is the largest variance contributor, and threshold sensitivity is the root split of the classification tree. That agreement is not automatic—structural dominance and variance contribution answer different questions—and its presence is itself evidence that the model’s behaviour is driven by a mechanism rather than by a parameterisation. We would encourage this triangulation as a routine step in simulation-based social science, alongside the reporting standards already proposed [42,45]. Recent systems-theoretic work published in this journal on digital adoption, decision-making and regional digital dividends [62–64] shares the same premise—that organisational and regional outcomes are properties of configurations rather than of variables—and could be linked to the transition system modelled here through the employer-threshold equation.</w:t>
      </w:r>
    </w:p>
    <w:p>
      <w:pPr>
        <w:spacing w:after="120"/>
        <w:jc w:val="both"/>
      </w:pPr>
      <w:r>
        <w:rPr>
          <w:rFonts w:ascii="Palatino Linotype" w:hAnsi="Palatino Linotype" w:eastAsia="Palatino Linotype"/>
          <w:b w:val="0"/>
          <w:i w:val="0"/>
          <w:sz w:val="20"/>
        </w:rPr>
        <w:t>Substantively, the study complements the two recent contributions in this journal that motivated it. Grigorescu and colleagues [12] establish, cross-sectionally and spatially, that youth exclusion is an emergent property of interacting digital and socio-economic subsystems and that its determinants act through thresholds; we show what such a system does over time and which of its couplings dominates. Chacón-Cuberos and colleagues [21] establish that employability thinking is a coherent, measurable latent construct; we show the system-level pathway through which that construct operates—by accelerating aspiration adjustment and by reducing the over-weighting of small probabilities—and quantify its policy value relative to alternatives. Recent system-dynamics work on Chinese employment [65] identifies the education–technology–human-capital complex as the critical state variable at the macroeconomic level; our result that employability capital is flat while the threshold moves suggests that at the level of the transition itself the binding state is the requirement, not the endowment.</w:t>
      </w:r>
    </w:p>
    <w:p>
      <w:pPr>
        <w:keepNext/>
        <w:spacing w:before="140" w:after="80"/>
      </w:pPr>
      <w:r>
        <w:rPr>
          <w:rFonts w:ascii="Palatino Linotype" w:hAnsi="Palatino Linotype" w:eastAsia="Palatino Linotype"/>
          <w:b/>
          <w:i w:val="0"/>
          <w:sz w:val="20"/>
        </w:rPr>
        <w:t>5.7. Limitations</w:t>
      </w:r>
    </w:p>
    <w:p>
      <w:pPr>
        <w:spacing w:after="120"/>
        <w:jc w:val="both"/>
      </w:pPr>
      <w:r>
        <w:rPr>
          <w:rFonts w:ascii="Palatino Linotype" w:hAnsi="Palatino Linotype" w:eastAsia="Palatino Linotype"/>
          <w:b w:val="0"/>
          <w:i w:val="0"/>
          <w:sz w:val="20"/>
        </w:rPr>
        <w:t>Five limitations bound the claims. First, the model is specified and estimated at the national level, so its parameters are population-weighted averages across China’s prefecture-level cities; the archetype analysis shows how much behaviour varies once those averages are relaxed, but city-level point predictions should not be read off it. Second, the projections beyond 2026 are structure-unchanged counterfactuals, not forecasts. They answer the question "where does this configuration of feedbacks lead?" and are meaningless as predictions, since the whole point of the paper is that the configuration is governable. Third, the model is deterministic and representative-agent within each stock; it cannot speak to heterogeneity by field of study, gender, institution tier or family background, all of which the mismatch literature shows to be substantial [32,33,43]. Fourth, firms are not optimising agents; the threshold responds to digitalisation and mismatch through a reduced form whose parameters are estimated rather than derived, and a micro-founded screening model could change the elasticities though we would not expect it to change their sign. Fifth, the archetype analysis is illustrative: its parameterisations are stipulated to represent recognisable city types, not estimated on city data.</w:t>
      </w:r>
    </w:p>
    <w:p>
      <w:pPr>
        <w:spacing w:after="120"/>
        <w:jc w:val="both"/>
      </w:pPr>
      <w:r>
        <w:rPr>
          <w:rFonts w:ascii="Palatino Linotype" w:hAnsi="Palatino Linotype" w:eastAsia="Palatino Linotype"/>
          <w:b w:val="0"/>
          <w:i w:val="0"/>
          <w:sz w:val="20"/>
        </w:rPr>
        <w:t>Three extensions follow naturally. Estimating the threshold equation directly from the text of vacancy postings would replace the reduced form with a measured one and would supply the leading indicator that Section 5.5 calls for. Disaggregating the model by field of study would let it speak to the humanities–science employment gap that graduate destination data show. And embedding the transition system in a spatial framework across China’s prefecture-level cities, in the manner of the spatial NEET analysis of Grigorescu and colleagues [12], would allow inter-city migration of graduates to be treated endogenously rather than as a parameter difference, and would let the model speak to whether the digital core exports its threshold escalation to the cities that supply it with graduates.</w:t>
      </w:r>
    </w:p>
    <w:p>
      <w:pPr>
        <w:keepNext/>
        <w:spacing w:before="200" w:after="80"/>
      </w:pPr>
      <w:r>
        <w:rPr>
          <w:rFonts w:ascii="Palatino Linotype" w:hAnsi="Palatino Linotype" w:eastAsia="Palatino Linotype"/>
          <w:b/>
          <w:i w:val="0"/>
          <w:sz w:val="24"/>
        </w:rPr>
        <w:t>6. Conclusions</w:t>
      </w:r>
    </w:p>
    <w:p>
      <w:pPr>
        <w:spacing w:after="120"/>
        <w:jc w:val="both"/>
      </w:pPr>
      <w:r>
        <w:rPr>
          <w:rFonts w:ascii="Palatino Linotype" w:hAnsi="Palatino Linotype" w:eastAsia="Palatino Linotype"/>
          <w:b w:val="0"/>
          <w:i w:val="0"/>
          <w:sz w:val="20"/>
        </w:rPr>
        <w:t>This paper asked why youth employment outcomes deteriorate in an economy where jobs are plentiful and the digital economy is expanding, and what to do about it. Treating the graduate school-to-work transition as a feedback system and calibrating it to seven published national moments, we find that the answer is neither a shortage of jobs nor a shortage of skills but the speed at which employers raise the bar. The system has no tipping point; it has a drifting attractor and a slow state, a combination that produces persistent deterioration while the measured indicator understates the structural position by two to five years.</w:t>
      </w:r>
    </w:p>
    <w:p>
      <w:pPr>
        <w:spacing w:after="120"/>
        <w:jc w:val="both"/>
      </w:pPr>
      <w:r>
        <w:rPr>
          <w:rFonts w:ascii="Palatino Linotype" w:hAnsi="Palatino Linotype" w:eastAsia="Palatino Linotype"/>
          <w:b w:val="0"/>
          <w:i w:val="0"/>
          <w:sz w:val="20"/>
        </w:rPr>
        <w:t>Three findings are directly actionable. Cyclical shocks decay with a half-life of one and a half years and are not the problem; the threshold drift does not decay and is. Among five policy families compared at equal standardised effort, moderating threshold escalation is roughly nineteen times as effective as vacancy creation and forty times as effective as training intensity, and every effective combination contains it. Sequencing matters at unchanged cumulative effort: front-loading expectation guidance before matching-efficiency investment lowers cumulative youth non-employment by about seven per cent relative to the reverse order, though the ranking can invert when the terminal rather than the cumulative state is the criterion. A fourth result is spatial: the largest dividend accrues to cities in the middle of the digital transition rather than to those furthest along it.</w:t>
      </w:r>
    </w:p>
    <w:p>
      <w:pPr>
        <w:spacing w:after="120"/>
        <w:jc w:val="both"/>
      </w:pPr>
      <w:r>
        <w:rPr>
          <w:rFonts w:ascii="Palatino Linotype" w:hAnsi="Palatino Linotype" w:eastAsia="Palatino Linotype"/>
          <w:b w:val="0"/>
          <w:i w:val="0"/>
          <w:sz w:val="20"/>
        </w:rPr>
        <w:t>The wider point is about where policy attention sits. Youth employment policy in China and elsewhere is organised around two levers—create jobs and train people—that this analysis places last among five. The levers that dominate concern how employers screen, how young people weight small probabilities, and how firmly aspirations are anchored. None of these has a budget line, and all three are governable. For a country whose stated ambition is common prosperity, the youth transition offers a case in which the binding constraint is not resources but the rules by which opportunity is rationed.</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methodology, formal analysis, software and writing—original draft preparation, X.C.; validation, data curation and visualization, D.H.; investigation, writing—review and editing, supervision and project administration, T.M.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received no external funding.</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Not applicable. The study is a simulation analysis calibrated to published aggregate statistics and involves no human participants or animals.</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Not applicable.</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model is fully specified by Equations (1)–(15) and Table 2. No individual-level data were used. All calibration targets are drawn from publicly available sources cited in Table 3. The simulation code, the calibration routine, the sensitivity and policy experiments and the scripts that generate every figure and table in this article are available from the corresponding author on reasonable request.</w:t>
      </w:r>
    </w:p>
    <w:p>
      <w:pPr>
        <w:spacing w:before="40" w:after="60"/>
        <w:jc w:val="both"/>
      </w:pPr>
      <w:r>
        <w:rPr>
          <w:rFonts w:ascii="Palatino Linotype" w:hAnsi="Palatino Linotype" w:eastAsia="Palatino Linotype"/>
          <w:b/>
          <w:i/>
          <w:sz w:val="17"/>
        </w:rPr>
        <w:t>Acknowledgments:</w:t>
      </w:r>
      <w:r>
        <w:rPr>
          <w:rFonts w:ascii="Palatino Linotype" w:hAnsi="Palatino Linotype" w:eastAsia="Palatino Linotype"/>
          <w:b w:val="0"/>
          <w:i w:val="0"/>
          <w:sz w:val="17"/>
        </w:rPr>
        <w:t xml:space="preserve"> The authors thank the editors and the anonymous reviewers for comments that improved the manuscript.</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Appendix A</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Monte Carlo distributions of the 2040 outcomes over the twelve uncertain parameters (Latin hypercube, ⟪n⟫ = 4096).</w:t>
      </w:r>
    </w:p>
    <w:tbl>
      <w:tblPr>
        <w:tblW w:w="0" w:type="auto"/>
        <w:jc w:val="center"/>
        <w:tblLayout w:type="fixed"/>
        <w:tblCellMar>
          <w:top w:w="0" w:type="dxa"/>
          <w:left w:w="40" w:type="dxa"/>
          <w:bottom w:w="0" w:type="dxa"/>
          <w:right w:w="40" w:type="dxa"/>
        </w:tblCellMar>
      </w:tblPr>
      <w:tblGrid>
        <w:gridCol w:w="3000"/>
        <w:gridCol w:w="950"/>
        <w:gridCol w:w="950"/>
        <w:gridCol w:w="950"/>
        <w:gridCol w:w="950"/>
        <w:gridCol w:w="950"/>
        <w:gridCol w:w="950"/>
        <w:gridCol w:w="950"/>
      </w:tblGrid>
      <w:tr>
        <w:trPr>
          <w:tblHeader/>
          <w:jc w:val="center"/>
        </w:trPr>
        <w:tc>
          <w:tcPr>
            <w:tcW w:w="30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Outcome</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SD</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2.5%</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25%</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Median</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75%</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97.5%</w:t>
            </w:r>
          </w:p>
        </w:tc>
      </w:tr>
      <w:tr>
        <w:trPr>
          <w:jc w:val="center"/>
        </w:trPr>
        <w:tc>
          <w:tcPr>
            <w:tcW w:w="3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non-employment rate</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0.546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0.453</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0.795</w:t>
            </w:r>
          </w:p>
        </w:tc>
      </w:tr>
      <w:tr>
        <w:trPr>
          <w:jc w:val="center"/>
        </w:trPr>
        <w:tc>
          <w:tcPr>
            <w:tcW w:w="3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Mean transition duration (yr)</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16.06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14.86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5.88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21.21</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57.28</w:t>
            </w:r>
          </w:p>
        </w:tc>
      </w:tr>
      <w:tr>
        <w:trPr>
          <w:jc w:val="center"/>
        </w:trPr>
        <w:tc>
          <w:tcPr>
            <w:tcW w:w="3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Slow-employment share of entrants</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0.579</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0.779</w:t>
            </w:r>
          </w:p>
        </w:tc>
      </w:tr>
      <w:tr>
        <w:trPr>
          <w:jc w:val="center"/>
        </w:trPr>
        <w:tc>
          <w:tcPr>
            <w:tcW w:w="30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Vertical mismatch share</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0.438</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0.067</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0.317</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0.384</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0.441</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0.492</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0.555</w:t>
            </w:r>
          </w:p>
        </w:tc>
      </w:tr>
    </w:tbl>
    <w:p>
      <w:pPr>
        <w:keepNext/>
        <w:spacing w:before="160" w:after="40"/>
      </w:pPr>
      <w:r>
        <w:rPr>
          <w:rFonts w:ascii="Palatino Linotype" w:hAnsi="Palatino Linotype" w:eastAsia="Palatino Linotype"/>
          <w:b/>
          <w:i w:val="0"/>
          <w:sz w:val="17"/>
        </w:rPr>
        <w:t xml:space="preserve">Table A2. </w:t>
      </w:r>
      <w:r>
        <w:rPr>
          <w:rFonts w:ascii="Palatino Linotype" w:hAnsi="Palatino Linotype" w:eastAsia="Palatino Linotype"/>
          <w:b w:val="0"/>
          <w:i w:val="0"/>
          <w:sz w:val="17"/>
        </w:rPr>
        <w:t>Remaining coefficients of the logistic meta-model of trap risk.</w:t>
      </w:r>
    </w:p>
    <w:tbl>
      <w:tblPr>
        <w:tblW w:w="0" w:type="auto"/>
        <w:jc w:val="center"/>
        <w:tblLayout w:type="fixed"/>
        <w:tblCellMar>
          <w:top w:w="0" w:type="dxa"/>
          <w:left w:w="40" w:type="dxa"/>
          <w:bottom w:w="0" w:type="dxa"/>
          <w:right w:w="40" w:type="dxa"/>
        </w:tblCellMar>
      </w:tblPr>
      <w:tblGrid>
        <w:gridCol w:w="3600"/>
        <w:gridCol w:w="1400"/>
        <w:gridCol w:w="1000"/>
        <w:gridCol w:w="1000"/>
        <w:gridCol w:w="1000"/>
        <w:gridCol w:w="1650"/>
      </w:tblGrid>
      <w:tr>
        <w:trPr>
          <w:tblHeader/>
          <w:jc w:val="center"/>
        </w:trPr>
        <w:tc>
          <w:tcPr>
            <w:tcW w:w="3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Coefficient</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z</m:t>
              </m:r>
            </m:oMath>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m:oMath>
              <m:r>
                <m:rPr/>
                <m:t>p</m:t>
              </m:r>
            </m:oMath>
          </w:p>
        </w:tc>
        <w:tc>
          <w:tcPr>
            <w:tcW w:w="16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Odds ratio</w:t>
            </w:r>
          </w:p>
        </w:tc>
      </w:tr>
      <w:tr>
        <w:trPr>
          <w:jc w:val="center"/>
        </w:trPr>
        <w:tc>
          <w:tcPr>
            <w:tcW w:w="3600" w:type="dxa"/>
            <w:tcBorders>
              <w:top w:val="nil"/>
              <w:left w:val="nil"/>
              <w:bottom w:val="nil"/>
              <w:right w:val="nil"/>
            </w:tcBorders>
          </w:tcPr>
          <w:p>
            <w:pPr>
              <w:spacing w:before="0" w:after="0" w:line="240" w:lineRule="auto"/>
              <w:ind w:left="0"/>
              <w:jc w:val="left"/>
              <w:rPr>
                <w:sz w:val="19"/>
              </w:rPr>
            </w:pPr>
            <m:oMath>
              <m:r>
                <m:rPr/>
                <m:t>φ</m:t>
              </m:r>
            </m:oMath>
            <w:r>
              <w:rPr>
                <w:rFonts w:ascii="Palatino Linotype" w:hAnsi="Palatino Linotype" w:eastAsia="Palatino Linotype"/>
                <w:b w:val="0"/>
                <w:i w:val="0"/>
                <w:sz w:val="16"/>
              </w:rPr>
              <w:t xml:space="preserve"> Vacancy elasticity to digitalisation</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−1.057</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−6.46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0.348</w:t>
            </w:r>
          </w:p>
        </w:tc>
      </w:tr>
      <w:tr>
        <w:trPr>
          <w:jc w:val="center"/>
        </w:trPr>
        <w:tc>
          <w:tcPr>
            <w:tcW w:w="3600" w:type="dxa"/>
            <w:tcBorders>
              <w:top w:val="nil"/>
              <w:left w:val="nil"/>
              <w:bottom w:val="nil"/>
              <w:right w:val="nil"/>
            </w:tcBorders>
          </w:tcPr>
          <w:p>
            <w:pPr>
              <w:spacing w:before="0" w:after="0" w:line="240" w:lineRule="auto"/>
              <w:ind w:left="0"/>
              <w:jc w:val="left"/>
              <w:rPr>
                <w:sz w:val="19"/>
              </w:rPr>
            </w:pPr>
            <m:oMath>
              <m:r>
                <m:rPr/>
                <m:t>\tau</m:t>
              </m:r>
            </m:oMath>
            <w:r>
              <w:rPr>
                <w:rFonts w:ascii="Palatino Linotype" w:hAnsi="Palatino Linotype" w:eastAsia="Palatino Linotype"/>
                <w:b w:val="0"/>
                <w:i w:val="0"/>
                <w:sz w:val="16"/>
              </w:rPr>
              <w:t xml:space="preserve"> Training intensity</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−0.616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&lt;0.001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0.540</w:t>
            </w:r>
          </w:p>
        </w:tc>
      </w:tr>
      <w:tr>
        <w:trPr>
          <w:jc w:val="center"/>
        </w:trPr>
        <w:tc>
          <w:tcPr>
            <w:tcW w:w="3600" w:type="dxa"/>
            <w:tcBorders>
              <w:top w:val="nil"/>
              <w:left w:val="nil"/>
              <w:bottom w:val="nil"/>
              <w:right w:val="nil"/>
            </w:tcBorders>
          </w:tcPr>
          <w:p>
            <w:pPr>
              <w:spacing w:before="0" w:after="0" w:line="240" w:lineRule="auto"/>
              <w:ind w:left="0"/>
              <w:jc w:val="left"/>
              <w:rPr>
                <w:sz w:val="19"/>
              </w:rPr>
            </w:pPr>
            <m:oMath>
              <m:r>
                <m:rPr/>
                <m:t>λ</m:t>
              </m:r>
            </m:oMath>
            <w:r>
              <w:rPr>
                <w:rFonts w:ascii="Palatino Linotype" w:hAnsi="Palatino Linotype" w:eastAsia="Palatino Linotype"/>
                <w:b w:val="0"/>
                <w:i w:val="0"/>
                <w:sz w:val="16"/>
              </w:rPr>
              <w:t xml:space="preserve"> Aspiration adjustment speed</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−0.484</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0.617</w:t>
            </w:r>
          </w:p>
        </w:tc>
      </w:tr>
      <w:tr>
        <w:trPr>
          <w:jc w:val="center"/>
        </w:trPr>
        <w:tc>
          <w:tcPr>
            <w:tcW w:w="3600" w:type="dxa"/>
            <w:tcBorders>
              <w:top w:val="nil"/>
              <w:left w:val="nil"/>
              <w:bottom w:val="single" w:color="000000" w:sz="8" w:space="0"/>
              <w:right w:val="nil"/>
            </w:tcBorders>
          </w:tcPr>
          <w:p>
            <w:pPr>
              <w:spacing w:before="0" w:after="0" w:line="240" w:lineRule="auto"/>
              <w:ind w:left="0"/>
              <w:jc w:val="left"/>
              <w:rPr>
                <w:sz w:val="19"/>
              </w:rPr>
            </w:pPr>
            <m:oMath>
              <m:r>
                <m:rPr/>
                <m:t>\chi</m:t>
              </m:r>
            </m:oMath>
            <w:r>
              <w:rPr>
                <w:rFonts w:ascii="Palatino Linotype" w:hAnsi="Palatino Linotype" w:eastAsia="Palatino Linotype"/>
                <w:b w:val="0"/>
                <w:i w:val="0"/>
                <w:sz w:val="16"/>
              </w:rPr>
              <w:t xml:space="preserve"> Skill retention while queueing</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−0.473</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0.148</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−3.20</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16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0.623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Coefficients are per standard deviation of the corresponding prior; signs are as expected but the magnitudes are an order of magnitude smaller than those of the dominant parameters in Table 9.</w:t>
      </w:r>
    </w:p>
    <w:p>
      <w:pPr>
        <w:keepNext/>
        <w:spacing w:before="160" w:after="40"/>
      </w:pPr>
      <w:r>
        <w:rPr>
          <w:rFonts w:ascii="Palatino Linotype" w:hAnsi="Palatino Linotype" w:eastAsia="Palatino Linotype"/>
          <w:b/>
          <w:i w:val="0"/>
          <w:sz w:val="17"/>
        </w:rPr>
        <w:t xml:space="preserve">Table A3. </w:t>
      </w:r>
      <w:r>
        <w:rPr>
          <w:rFonts w:ascii="Palatino Linotype" w:hAnsi="Palatino Linotype" w:eastAsia="Palatino Linotype"/>
          <w:b w:val="0"/>
          <w:i w:val="0"/>
          <w:sz w:val="17"/>
        </w:rPr>
        <w:t>Principal splits of the cross-validated classification tree for trap risk.</w:t>
      </w:r>
    </w:p>
    <w:tbl>
      <w:tblPr>
        <w:tblW w:w="0" w:type="auto"/>
        <w:jc w:val="center"/>
        <w:tblLayout w:type="fixed"/>
        <w:tblCellMar>
          <w:top w:w="0" w:type="dxa"/>
          <w:left w:w="40" w:type="dxa"/>
          <w:bottom w:w="0" w:type="dxa"/>
          <w:right w:w="40" w:type="dxa"/>
        </w:tblCellMar>
      </w:tblPr>
      <w:tblGrid>
        <w:gridCol w:w="1300"/>
        <w:gridCol w:w="4300"/>
        <w:gridCol w:w="1600"/>
        <w:gridCol w:w="2440"/>
      </w:tblGrid>
      <w:tr>
        <w:trPr>
          <w:tblHeader/>
          <w:jc w:val="center"/>
        </w:trPr>
        <w:tc>
          <w:tcPr>
            <w:tcW w:w="1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Depth</w:t>
            </w:r>
          </w:p>
        </w:tc>
        <w:tc>
          <w:tcPr>
            <w:tcW w:w="4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Splitting parameter</w:t>
            </w:r>
          </w:p>
        </w:tc>
        <w:tc>
          <w:tcPr>
            <w:tcW w:w="1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Threshold</w:t>
            </w:r>
          </w:p>
        </w:tc>
        <w:tc>
          <w:tcPr>
            <w:tcW w:w="24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Observations at the node</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 (root)</w:t>
            </w:r>
          </w:p>
        </w:tc>
        <w:tc>
          <w:tcPr>
            <w:tcW w:w="4300" w:type="dxa"/>
            <w:tcBorders>
              <w:top w:val="nil"/>
              <w:left w:val="nil"/>
              <w:bottom w:val="nil"/>
              <w:right w:val="nil"/>
            </w:tcBorders>
          </w:tcPr>
          <w:p>
            <w:pPr>
              <w:spacing w:before="0" w:after="0" w:line="240" w:lineRule="auto"/>
              <w:ind w:left="0"/>
              <w:jc w:val="center"/>
              <w:rPr>
                <w:sz w:val="19"/>
              </w:rPr>
            </w:pPr>
            <m:oMath>
              <m:r>
                <m:rPr/>
                <m:t>κ</m:t>
              </m:r>
            </m:oMath>
            <w:r>
              <w:rPr>
                <w:rFonts w:ascii="Palatino Linotype" w:hAnsi="Palatino Linotype" w:eastAsia="Palatino Linotype"/>
                <w:b w:val="0"/>
                <w:i w:val="0"/>
                <w:sz w:val="16"/>
              </w:rPr>
              <w:t xml:space="preserve"> Threshold sensitivity</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1.456</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4096</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w:t>
            </w:r>
          </w:p>
        </w:tc>
        <w:tc>
          <w:tcPr>
            <w:tcW w:w="4300" w:type="dxa"/>
            <w:tcBorders>
              <w:top w:val="nil"/>
              <w:left w:val="nil"/>
              <w:bottom w:val="nil"/>
              <w:right w:val="nil"/>
            </w:tcBorders>
          </w:tcPr>
          <w:p>
            <w:pPr>
              <w:spacing w:before="0" w:after="0" w:line="240" w:lineRule="auto"/>
              <w:ind w:left="0"/>
              <w:jc w:val="center"/>
              <w:rPr>
                <w:sz w:val="19"/>
              </w:rPr>
            </w:pPr>
            <m:oMath>
              <m:r>
                <m:rPr/>
                <m:t>\varepsilon</m:t>
              </m:r>
            </m:oMath>
            <w:r>
              <w:rPr>
                <w:rFonts w:ascii="Palatino Linotype" w:hAnsi="Palatino Linotype" w:eastAsia="Palatino Linotype"/>
                <w:b w:val="0"/>
                <w:i w:val="0"/>
                <w:sz w:val="16"/>
              </w:rPr>
              <w:t xml:space="preserve"> Probability-weighting curvature</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0.526</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859</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w:t>
            </w:r>
          </w:p>
        </w:tc>
        <w:tc>
          <w:tcPr>
            <w:tcW w:w="4300" w:type="dxa"/>
            <w:tcBorders>
              <w:top w:val="nil"/>
              <w:left w:val="nil"/>
              <w:bottom w:val="nil"/>
              <w:right w:val="nil"/>
            </w:tcBorders>
          </w:tcPr>
          <w:p>
            <w:pPr>
              <w:spacing w:before="0" w:after="0" w:line="240" w:lineRule="auto"/>
              <w:ind w:left="0"/>
              <w:jc w:val="center"/>
              <w:rPr>
                <w:sz w:val="19"/>
              </w:rPr>
            </w:pPr>
            <m:oMath>
              <m:r>
                <m:rPr/>
                <m:t>κ</m:t>
              </m:r>
            </m:oMath>
            <w:r>
              <w:rPr>
                <w:rFonts w:ascii="Palatino Linotype" w:hAnsi="Palatino Linotype" w:eastAsia="Palatino Linotype"/>
                <w:b w:val="0"/>
                <w:i w:val="0"/>
                <w:sz w:val="16"/>
              </w:rPr>
              <w:t xml:space="preserve"> Threshold sensitivity</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1.758</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3237</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w:t>
            </w:r>
          </w:p>
        </w:tc>
        <w:tc>
          <w:tcPr>
            <w:tcW w:w="4300" w:type="dxa"/>
            <w:tcBorders>
              <w:top w:val="nil"/>
              <w:left w:val="nil"/>
              <w:bottom w:val="nil"/>
              <w:right w:val="nil"/>
            </w:tcBorders>
          </w:tcPr>
          <w:p>
            <w:pPr>
              <w:spacing w:before="0" w:after="0" w:line="240" w:lineRule="auto"/>
              <w:ind w:left="0"/>
              <w:jc w:val="center"/>
              <w:rPr>
                <w:sz w:val="19"/>
              </w:rPr>
            </w:pPr>
            <m:oMath>
              <m:sSub>
                <m:sSubPr/>
                <m:e>
                  <m:r>
                    <m:rPr/>
                    <m:t>κ</m:t>
                  </m:r>
                </m:e>
                <m:sub>
                  <m:r>
                    <m:rPr/>
                    <m:t>2</m:t>
                  </m:r>
                </m:sub>
              </m:sSub>
            </m:oMath>
            <w:r>
              <w:rPr>
                <w:rFonts w:ascii="Palatino Linotype" w:hAnsi="Palatino Linotype" w:eastAsia="Palatino Linotype"/>
                <w:b w:val="0"/>
                <w:i w:val="0"/>
                <w:sz w:val="16"/>
              </w:rPr>
              <w:t xml:space="preserve"> Endogenous escalation</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0.106</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408</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w:t>
            </w:r>
          </w:p>
        </w:tc>
        <w:tc>
          <w:tcPr>
            <w:tcW w:w="4300" w:type="dxa"/>
            <w:tcBorders>
              <w:top w:val="nil"/>
              <w:left w:val="nil"/>
              <w:bottom w:val="nil"/>
              <w:right w:val="nil"/>
            </w:tcBorders>
          </w:tcPr>
          <w:p>
            <w:pPr>
              <w:spacing w:before="0" w:after="0" w:line="240" w:lineRule="auto"/>
              <w:ind w:left="0"/>
              <w:jc w:val="center"/>
              <w:rPr>
                <w:sz w:val="19"/>
              </w:rPr>
            </w:pPr>
            <m:oMath>
              <m:sSub>
                <m:sSubPr/>
                <m:e>
                  <m:r>
                    <m:rPr/>
                    <m:t>g</m:t>
                  </m:r>
                </m:e>
                <m:sub>
                  <m:r>
                    <m:rPr/>
                    <m:t>\Phi</m:t>
                  </m:r>
                </m:sub>
              </m:sSub>
            </m:oMath>
            <w:r>
              <w:rPr>
                <w:rFonts w:ascii="Palatino Linotype" w:hAnsi="Palatino Linotype" w:eastAsia="Palatino Linotype"/>
                <w:b w:val="0"/>
                <w:i w:val="0"/>
                <w:sz w:val="16"/>
              </w:rPr>
              <w:t xml:space="preserve"> Cohort growth</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0.054</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451</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w:t>
            </w:r>
          </w:p>
        </w:tc>
        <w:tc>
          <w:tcPr>
            <w:tcW w:w="4300" w:type="dxa"/>
            <w:tcBorders>
              <w:top w:val="nil"/>
              <w:left w:val="nil"/>
              <w:bottom w:val="nil"/>
              <w:right w:val="nil"/>
            </w:tcBorders>
          </w:tcPr>
          <w:p>
            <w:pPr>
              <w:spacing w:before="0" w:after="0" w:line="240" w:lineRule="auto"/>
              <w:ind w:left="0"/>
              <w:jc w:val="center"/>
              <w:rPr>
                <w:sz w:val="19"/>
              </w:rPr>
            </w:pPr>
            <m:oMath>
              <m:sSub>
                <m:sSubPr/>
                <m:e>
                  <m:r>
                    <m:rPr/>
                    <m:t>g</m:t>
                  </m:r>
                </m:e>
                <m:sub>
                  <m:r>
                    <m:rPr/>
                    <m:t>\Phi</m:t>
                  </m:r>
                </m:sub>
              </m:sSub>
            </m:oMath>
            <w:r>
              <w:rPr>
                <w:rFonts w:ascii="Palatino Linotype" w:hAnsi="Palatino Linotype" w:eastAsia="Palatino Linotype"/>
                <w:b w:val="0"/>
                <w:i w:val="0"/>
                <w:sz w:val="16"/>
              </w:rPr>
              <w:t xml:space="preserve"> Cohort growth</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0.047</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307</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w:t>
            </w:r>
          </w:p>
        </w:tc>
        <w:tc>
          <w:tcPr>
            <w:tcW w:w="4300" w:type="dxa"/>
            <w:tcBorders>
              <w:top w:val="nil"/>
              <w:left w:val="nil"/>
              <w:bottom w:val="nil"/>
              <w:right w:val="nil"/>
            </w:tcBorders>
          </w:tcPr>
          <w:p>
            <w:pPr>
              <w:spacing w:before="0" w:after="0" w:line="240" w:lineRule="auto"/>
              <w:ind w:left="0"/>
              <w:jc w:val="center"/>
              <w:rPr>
                <w:sz w:val="19"/>
              </w:rPr>
            </w:pPr>
            <m:oMath>
              <m:r>
                <m:rPr/>
                <m:t>\zeta</m:t>
              </m:r>
            </m:oMath>
            <w:r>
              <w:rPr>
                <w:rFonts w:ascii="Palatino Linotype" w:hAnsi="Palatino Linotype" w:eastAsia="Palatino Linotype"/>
                <w:b w:val="0"/>
                <w:i w:val="0"/>
                <w:sz w:val="16"/>
              </w:rPr>
              <w:t xml:space="preserve"> Aspiration anchoring</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0.612</w:t>
            </w:r>
          </w:p>
        </w:tc>
        <w:tc>
          <w:tcPr>
            <w:tcW w:w="2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251</w:t>
            </w:r>
          </w:p>
        </w:tc>
      </w:tr>
      <w:tr>
        <w:trPr>
          <w:jc w:val="center"/>
        </w:trPr>
        <w:tc>
          <w:tcPr>
            <w:tcW w:w="13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5</w:t>
            </w:r>
          </w:p>
        </w:tc>
        <w:tc>
          <w:tcPr>
            <w:tcW w:w="4300" w:type="dxa"/>
            <w:tcBorders>
              <w:top w:val="nil"/>
              <w:left w:val="nil"/>
              <w:bottom w:val="single" w:color="000000" w:sz="8" w:space="0"/>
              <w:right w:val="nil"/>
            </w:tcBorders>
          </w:tcPr>
          <w:p>
            <w:pPr>
              <w:spacing w:before="0" w:after="0" w:line="240" w:lineRule="auto"/>
              <w:ind w:left="0"/>
              <w:jc w:val="center"/>
              <w:rPr>
                <w:sz w:val="19"/>
              </w:rPr>
            </w:pPr>
            <m:oMath>
              <m:r>
                <m:rPr/>
                <m:t>\zeta</m:t>
              </m:r>
            </m:oMath>
            <w:r>
              <w:rPr>
                <w:rFonts w:ascii="Palatino Linotype" w:hAnsi="Palatino Linotype" w:eastAsia="Palatino Linotype"/>
                <w:b w:val="0"/>
                <w:i w:val="0"/>
                <w:sz w:val="16"/>
              </w:rPr>
              <w:t xml:space="preserve"> Aspiration anchoring</w:t>
            </w:r>
          </w:p>
        </w:tc>
        <w:tc>
          <w:tcPr>
            <w:tcW w:w="1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0.507</w:t>
            </w:r>
          </w:p>
        </w:tc>
        <w:tc>
          <w:tcPr>
            <w:tcW w:w="24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Cost-complexity penalty selected by five-fold cross-validated AUC; cross-validated AUC 0.923, fifteen terminal leaves. The calibrated value of </w:t>
      </w:r>
      <m:oMath>
        <m:r>
          <m:rPr/>
          <m:t>κ</m:t>
        </m:r>
      </m:oMath>
      <w:r>
        <w:rPr>
          <w:rFonts w:ascii="Palatino Linotype" w:hAnsi="Palatino Linotype" w:eastAsia="Palatino Linotype"/>
          <w:b w:val="0"/>
          <w:i w:val="0"/>
          <w:sz w:val="14"/>
        </w:rPr>
        <w:t xml:space="preserve"> = 1.855 lies above both </w:t>
      </w:r>
      <m:oMath>
        <m:r>
          <m:rPr/>
          <m:t>κ</m:t>
        </m:r>
      </m:oMath>
      <w:r>
        <w:rPr>
          <w:rFonts w:ascii="Palatino Linotype" w:hAnsi="Palatino Linotype" w:eastAsia="Palatino Linotype"/>
          <w:b w:val="0"/>
          <w:i w:val="0"/>
          <w:sz w:val="14"/>
        </w:rPr>
        <w:t xml:space="preserve"> splits, placing the estimated economy in the highest-risk region of the tree.</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1. National Bureau of Statistics of China (NBS). Surveyed Urban Unemployment Rate of the Population Aged 16–24 Excluding Students; NBS: Beijing, China, 2026.</w:t>
      </w:r>
    </w:p>
    <w:p>
      <w:pPr>
        <w:spacing w:after="20"/>
        <w:ind w:left="2920" w:hanging="312"/>
        <w:jc w:val="both"/>
      </w:pPr>
      <w:r>
        <w:rPr>
          <w:rFonts w:ascii="Palatino Linotype" w:hAnsi="Palatino Linotype" w:eastAsia="Palatino Linotype"/>
          <w:b w:val="0"/>
          <w:i w:val="0"/>
          <w:sz w:val="16"/>
        </w:rPr>
        <w:t>2. Ministry of Education of China. Notice on the Employment and Entrepreneurship of 2026 National College Graduates; Ministry of Education: Beijing, China, 2025.</w:t>
      </w:r>
    </w:p>
    <w:p>
      <w:pPr>
        <w:spacing w:after="20"/>
        <w:ind w:left="2920" w:hanging="312"/>
        <w:jc w:val="both"/>
      </w:pPr>
      <w:r>
        <w:rPr>
          <w:rFonts w:ascii="Palatino Linotype" w:hAnsi="Palatino Linotype" w:eastAsia="Palatino Linotype"/>
          <w:b w:val="0"/>
          <w:i w:val="0"/>
          <w:sz w:val="16"/>
        </w:rPr>
        <w:t xml:space="preserve">3. Zhou, L.; Fan, J.; Ding, L.; Xu, Z.; Zhang, J. Can policy advantages be transformed into industrial advantages? Evidences from digital economy industry development in Zhejiang Province,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e0298138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 Wang, H.; Wang, H.; Guan, R. Digitalization of industries and labor mobility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87</w:t>
      </w:r>
      <w:r>
        <w:rPr>
          <w:rFonts w:ascii="Palatino Linotype" w:hAnsi="Palatino Linotype" w:eastAsia="Palatino Linotype"/>
          <w:b w:val="0"/>
          <w:i w:val="0"/>
          <w:sz w:val="16"/>
        </w:rPr>
        <w:t>, 102248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 Li, S.; Whalley, J.; Xing, C. China’s higher education expansion and unemployment of college graduates.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2014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567–582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 Ou, D.; Zhao, Z. Higher Education Expansion in China, 1999–2003: Impact on Graduate Employability.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117–141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McGuinness, S.; Pouliakas, K.; Redmond, P. Skills mismatch: Concepts, measurement and policy approaches. </w:t>
      </w:r>
      <w:r>
        <w:rPr>
          <w:rFonts w:ascii="Palatino Linotype" w:hAnsi="Palatino Linotype" w:eastAsia="Palatino Linotype"/>
          <w:b w:val="0"/>
          <w:i/>
          <w:sz w:val="16"/>
        </w:rPr>
        <w:t xml:space="preserve">J. Econ. Surv.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985–1015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Zheng, Y.; Zhang, X.; Zhu, Y. Overeducation, major mismatch, and return to higher education tiers: Evidence from novel data source of a major online recruitment platform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66</w:t>
      </w:r>
      <w:r>
        <w:rPr>
          <w:rFonts w:ascii="Palatino Linotype" w:hAnsi="Palatino Linotype" w:eastAsia="Palatino Linotype"/>
          <w:b w:val="0"/>
          <w:i w:val="0"/>
          <w:sz w:val="16"/>
        </w:rPr>
        <w:t>, 101584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Rikala, P.; Braun, G.; Järvinen, M.; Stahre, J.; Hämäläinen, R. Understanding and measuring skill gaps in Industry 4.0—A review.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201</w:t>
      </w:r>
      <w:r>
        <w:rPr>
          <w:rFonts w:ascii="Palatino Linotype" w:hAnsi="Palatino Linotype" w:eastAsia="Palatino Linotype"/>
          <w:b w:val="0"/>
          <w:i w:val="0"/>
          <w:sz w:val="16"/>
        </w:rPr>
        <w:t>, 123206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Rahmani, H.; Groot, W. Risk factors of being a youth not in education, employment or training (NEET): A scoping review. </w:t>
      </w:r>
      <w:r>
        <w:rPr>
          <w:rFonts w:ascii="Palatino Linotype" w:hAnsi="Palatino Linotype" w:eastAsia="Palatino Linotype"/>
          <w:b w:val="0"/>
          <w:i/>
          <w:sz w:val="16"/>
        </w:rPr>
        <w:t xml:space="preserve">Int. J. Educ. Res.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120</w:t>
      </w:r>
      <w:r>
        <w:rPr>
          <w:rFonts w:ascii="Palatino Linotype" w:hAnsi="Palatino Linotype" w:eastAsia="Palatino Linotype"/>
          <w:b w:val="0"/>
          <w:i w:val="0"/>
          <w:sz w:val="16"/>
        </w:rPr>
        <w:t>, 102198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Grigorescu, A.; Alistar, T.V.; Lincaru, C. Digital Skills, Ethics, and Integrity—The Impact of Risky Internet Use, a Multivariate and Spatial Approach to Understanding NEET Vulnerability.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649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Karma, E. NEET Youth in Central and Eastern European Countries: A Panel Model Approach. </w:t>
      </w:r>
      <w:r>
        <w:rPr>
          <w:rFonts w:ascii="Palatino Linotype" w:hAnsi="Palatino Linotype" w:eastAsia="Palatino Linotype"/>
          <w:b w:val="0"/>
          <w:i/>
          <w:sz w:val="16"/>
        </w:rPr>
        <w:t xml:space="preserve">J. Youth Stud.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1458–1475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14. O’Higgins, N.; Brockie, K. The Youth Guarantee, Vulnerability, and Social Exclusion Among NEETs in Southern Europe. </w:t>
      </w:r>
      <w:r>
        <w:rPr>
          <w:rFonts w:ascii="Palatino Linotype" w:hAnsi="Palatino Linotype" w:eastAsia="Palatino Linotype"/>
          <w:b w:val="0"/>
          <w:i/>
          <w:sz w:val="16"/>
        </w:rPr>
        <w:t xml:space="preserve">Polit. Gov.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7469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15. Forrester, J.W. Industrial Dynamics; MIT Press: Cambridge, MA, USA, 1961.</w:t>
      </w:r>
    </w:p>
    <w:p>
      <w:pPr>
        <w:spacing w:after="20"/>
        <w:ind w:left="2920" w:hanging="312"/>
        <w:jc w:val="both"/>
      </w:pPr>
      <w:r>
        <w:rPr>
          <w:rFonts w:ascii="Palatino Linotype" w:hAnsi="Palatino Linotype" w:eastAsia="Palatino Linotype"/>
          <w:b w:val="0"/>
          <w:i w:val="0"/>
          <w:sz w:val="16"/>
        </w:rPr>
        <w:t>16. Sterman, J.D. Business Dynamics: Systems Thinking and Modeling for a Complex World; Irwin/McGraw-Hill: Boston, MA, USA, 2000.</w:t>
      </w:r>
    </w:p>
    <w:p>
      <w:pPr>
        <w:spacing w:after="20"/>
        <w:ind w:left="2920" w:hanging="312"/>
        <w:jc w:val="both"/>
      </w:pPr>
      <w:r>
        <w:rPr>
          <w:rFonts w:ascii="Palatino Linotype" w:hAnsi="Palatino Linotype" w:eastAsia="Palatino Linotype"/>
          <w:b w:val="0"/>
          <w:i w:val="0"/>
          <w:sz w:val="16"/>
        </w:rPr>
        <w:t xml:space="preserve">17. Ghaffarzadegan, N.; Lyneis, J.; Richardson, G.P. How small system dynamics models can help the public policy process.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2011</w:t>
      </w:r>
      <w:r>
        <w:rPr>
          <w:rFonts w:ascii="Palatino Linotype" w:hAnsi="Palatino Linotype" w:eastAsia="Palatino Linotype"/>
          <w:b w:val="0"/>
          <w:i w:val="0"/>
          <w:sz w:val="16"/>
        </w:rPr>
        <w:t xml:space="preserve">, </w:t>
      </w:r>
      <w:r>
        <w:rPr>
          <w:rFonts w:ascii="Palatino Linotype" w:hAnsi="Palatino Linotype" w:eastAsia="Palatino Linotype"/>
          <w:b w:val="0"/>
          <w:i/>
          <w:sz w:val="16"/>
        </w:rPr>
        <w:t>27</w:t>
      </w:r>
      <w:r>
        <w:rPr>
          <w:rFonts w:ascii="Palatino Linotype" w:hAnsi="Palatino Linotype" w:eastAsia="Palatino Linotype"/>
          <w:b w:val="0"/>
          <w:i w:val="0"/>
          <w:sz w:val="16"/>
        </w:rPr>
        <w:t>, 22–44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Ford, D.N. A behavioral approach to feedback loop dominance analysis.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1999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3–36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Sobol’, I.M. Global sensitivity indices for nonlinear mathematical models and their Monte Carlo estimates. </w:t>
      </w:r>
      <w:r>
        <w:rPr>
          <w:rFonts w:ascii="Palatino Linotype" w:hAnsi="Palatino Linotype" w:eastAsia="Palatino Linotype"/>
          <w:b w:val="0"/>
          <w:i/>
          <w:sz w:val="16"/>
        </w:rPr>
        <w:t xml:space="preserve">Math. Comput. Simul.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55</w:t>
      </w:r>
      <w:r>
        <w:rPr>
          <w:rFonts w:ascii="Palatino Linotype" w:hAnsi="Palatino Linotype" w:eastAsia="Palatino Linotype"/>
          <w:b w:val="0"/>
          <w:i w:val="0"/>
          <w:sz w:val="16"/>
        </w:rPr>
        <w:t>, 271–280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Saltelli, A.; Annoni, P.; Azzini, I.; Campolongo, F.; Ratto, M.; Tarantola, S. Variance based sensitivity analysis of model output. Design and estimator for the total sensitivity index. </w:t>
      </w:r>
      <w:r>
        <w:rPr>
          <w:rFonts w:ascii="Palatino Linotype" w:hAnsi="Palatino Linotype" w:eastAsia="Palatino Linotype"/>
          <w:b w:val="0"/>
          <w:i/>
          <w:sz w:val="16"/>
        </w:rPr>
        <w:t xml:space="preserve">Comput. Phys. Commun. </w:t>
      </w:r>
      <w:r>
        <w:rPr>
          <w:rFonts w:ascii="Palatino Linotype" w:hAnsi="Palatino Linotype" w:eastAsia="Palatino Linotype"/>
          <w:b/>
          <w:i w:val="0"/>
          <w:sz w:val="16"/>
        </w:rPr>
        <w:t>2010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181</w:t>
      </w:r>
      <w:r>
        <w:rPr>
          <w:rFonts w:ascii="Palatino Linotype" w:hAnsi="Palatino Linotype" w:eastAsia="Palatino Linotype"/>
          <w:b w:val="0"/>
          <w:i w:val="0"/>
          <w:sz w:val="16"/>
        </w:rPr>
        <w:t>, 259–270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Chacón-Cuberos, R.; Rodríguez-Sabiote, C.; Expósito-López, J.; Olmedo-Moreno, E.; Serrano-García, J.; Hortas-Aliaga, O. Development of an Employability Thinking Scale for Use with Young People in Training: Exploratory and Confirmatory Factor Analysis.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479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Marczuk, A. Literature review of comparative school-to-work research: How institutional settings shape individual labour market outcomes.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23. Organisation for Economic Co-operation and Development (OECD). Education at a Glance 2025: OECD Indicators; OECD Publishing: Paris, France, 2025.</w:t>
      </w:r>
    </w:p>
    <w:p>
      <w:pPr>
        <w:spacing w:after="20"/>
        <w:ind w:left="2920" w:hanging="312"/>
        <w:jc w:val="both"/>
      </w:pPr>
      <w:r>
        <w:rPr>
          <w:rFonts w:ascii="Palatino Linotype" w:hAnsi="Palatino Linotype" w:eastAsia="Palatino Linotype"/>
          <w:b w:val="0"/>
          <w:i w:val="0"/>
          <w:sz w:val="16"/>
        </w:rPr>
        <w:t xml:space="preserve">24. Gomes, A.; Dias, J.G. Digital Divide in the European Union: A Typology of EU Citizens.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176</w:t>
      </w:r>
      <w:r>
        <w:rPr>
          <w:rFonts w:ascii="Palatino Linotype" w:hAnsi="Palatino Linotype" w:eastAsia="Palatino Linotype"/>
          <w:b w:val="0"/>
          <w:i w:val="0"/>
          <w:sz w:val="16"/>
        </w:rPr>
        <w:t>, 149–172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Sofrankova, B.; Sira, E.; Horvathova, J.; Mokrisova, M. Digital Skills and Digital Transformation Performance in the EU-27: A DESI-Based Nonparametric and Panel Data Study. </w:t>
      </w:r>
      <w:r>
        <w:rPr>
          <w:rFonts w:ascii="Palatino Linotype" w:hAnsi="Palatino Linotype" w:eastAsia="Palatino Linotype"/>
          <w:b w:val="0"/>
          <w:i/>
          <w:sz w:val="16"/>
        </w:rPr>
        <w:t xml:space="preserve">Economies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315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De Vos, A.; Van der Heijden, B.I.J.M.; Akkermans, J. Sustainable careers: Towards a conceptual model.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117</w:t>
      </w:r>
      <w:r>
        <w:rPr>
          <w:rFonts w:ascii="Palatino Linotype" w:hAnsi="Palatino Linotype" w:eastAsia="Palatino Linotype"/>
          <w:b w:val="0"/>
          <w:i w:val="0"/>
          <w:sz w:val="16"/>
        </w:rPr>
        <w:t>, 103196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Tleppayev, A.; Zeinolla, S. Forecasting Youth Unemployment Through Educational and Demographic Indicators: A Panel Time-Series Approach. </w:t>
      </w:r>
      <w:r>
        <w:rPr>
          <w:rFonts w:ascii="Palatino Linotype" w:hAnsi="Palatino Linotype" w:eastAsia="Palatino Linotype"/>
          <w:b w:val="0"/>
          <w:i/>
          <w:sz w:val="16"/>
        </w:rPr>
        <w:t xml:space="preserve">Forecasting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7</w:t>
      </w:r>
      <w:r>
        <w:rPr>
          <w:rFonts w:ascii="Palatino Linotype" w:hAnsi="Palatino Linotype" w:eastAsia="Palatino Linotype"/>
          <w:b w:val="0"/>
          <w:i w:val="0"/>
          <w:sz w:val="16"/>
        </w:rPr>
        <w:t>, 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Liu, J.; Fang, Y.; Xia, Y.; Zou, W.; Chan, K.-L.; Lam, J.F.I.; Chen, H. Can the digital economy promote sustainable improvement in the quality of employment for Chinese residents?—Moderated mediating effect model.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6071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Jin, X.; Ma, B.; Zhang, H. Impact of fast internet access on employment: Evidence from a broadband expansion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81</w:t>
      </w:r>
      <w:r>
        <w:rPr>
          <w:rFonts w:ascii="Palatino Linotype" w:hAnsi="Palatino Linotype" w:eastAsia="Palatino Linotype"/>
          <w:b w:val="0"/>
          <w:i w:val="0"/>
          <w:sz w:val="16"/>
        </w:rPr>
        <w:t>, 102038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Jiang, S.; Guo, Y. Reasons for college major-job mismatch and labor market outcomes: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101822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Pan, Z.; Wang, Y.; Liu, Z. Over-education, job satisfaction, and intention to quit: Evidence from China.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176</w:t>
      </w:r>
      <w:r>
        <w:rPr>
          <w:rFonts w:ascii="Palatino Linotype" w:hAnsi="Palatino Linotype" w:eastAsia="Palatino Linotype"/>
          <w:b w:val="0"/>
          <w:i w:val="0"/>
          <w:sz w:val="16"/>
        </w:rPr>
        <w:t>, 287–307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Xie, M.; Ding, L.; Xia, Y.; Guo, J.; Pan, J.; Wang, H. Does artificial intelligence affect the pattern of skill demand? Evidence from Chinese manufacturing firms.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295–309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Cheng, C.; Luo, J.; Zhu, C.; Zhang, S. Artificial intelligence and the skill premium: A numerical analysis of theoretical models.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Eloundou, T.; Manning, S.; Mishkin, P.; Rock, D. GPTs are GPTs: Labor market impact potential of LLMs.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384</w:t>
      </w:r>
      <w:r>
        <w:rPr>
          <w:rFonts w:ascii="Palatino Linotype" w:hAnsi="Palatino Linotype" w:eastAsia="Palatino Linotype"/>
          <w:b w:val="0"/>
          <w:i w:val="0"/>
          <w:sz w:val="16"/>
        </w:rPr>
        <w:t>, 1306–1308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Tversky, A.; Kahneman, D. Advances in prospect theory: Cumulative representation of uncertainty. </w:t>
      </w:r>
      <w:r>
        <w:rPr>
          <w:rFonts w:ascii="Palatino Linotype" w:hAnsi="Palatino Linotype" w:eastAsia="Palatino Linotype"/>
          <w:b w:val="0"/>
          <w:i/>
          <w:sz w:val="16"/>
        </w:rPr>
        <w:t xml:space="preserve">J. Risk Uncertain. </w:t>
      </w:r>
      <w:r>
        <w:rPr>
          <w:rFonts w:ascii="Palatino Linotype" w:hAnsi="Palatino Linotype" w:eastAsia="Palatino Linotype"/>
          <w:b/>
          <w:i w:val="0"/>
          <w:sz w:val="16"/>
        </w:rPr>
        <w:t>1992</w:t>
      </w:r>
      <w:r>
        <w:rPr>
          <w:rFonts w:ascii="Palatino Linotype" w:hAnsi="Palatino Linotype" w:eastAsia="Palatino Linotype"/>
          <w:b w:val="0"/>
          <w:i w:val="0"/>
          <w:sz w:val="16"/>
        </w:rPr>
        <w:t xml:space="preserve">, </w:t>
      </w:r>
      <w:r>
        <w:rPr>
          <w:rFonts w:ascii="Palatino Linotype" w:hAnsi="Palatino Linotype" w:eastAsia="Palatino Linotype"/>
          <w:b w:val="0"/>
          <w:i/>
          <w:sz w:val="16"/>
        </w:rPr>
        <w:t>5</w:t>
      </w:r>
      <w:r>
        <w:rPr>
          <w:rFonts w:ascii="Palatino Linotype" w:hAnsi="Palatino Linotype" w:eastAsia="Palatino Linotype"/>
          <w:b w:val="0"/>
          <w:i w:val="0"/>
          <w:sz w:val="16"/>
        </w:rPr>
        <w:t>, 297–323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Prelec, D. The probability weighting function.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1998</w:t>
      </w:r>
      <w:r>
        <w:rPr>
          <w:rFonts w:ascii="Palatino Linotype" w:hAnsi="Palatino Linotype" w:eastAsia="Palatino Linotype"/>
          <w:b w:val="0"/>
          <w:i w:val="0"/>
          <w:sz w:val="16"/>
        </w:rPr>
        <w:t xml:space="preserve">, </w:t>
      </w:r>
      <w:r>
        <w:rPr>
          <w:rFonts w:ascii="Palatino Linotype" w:hAnsi="Palatino Linotype" w:eastAsia="Palatino Linotype"/>
          <w:b w:val="0"/>
          <w:i/>
          <w:sz w:val="16"/>
        </w:rPr>
        <w:t>66</w:t>
      </w:r>
      <w:r>
        <w:rPr>
          <w:rFonts w:ascii="Palatino Linotype" w:hAnsi="Palatino Linotype" w:eastAsia="Palatino Linotype"/>
          <w:b w:val="0"/>
          <w:i w:val="0"/>
          <w:sz w:val="16"/>
        </w:rPr>
        <w:t>, 497–527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Petrongolo, B.; Pissarides, C.A. Looking into the black box: A survey of the matching function. </w:t>
      </w:r>
      <w:r>
        <w:rPr>
          <w:rFonts w:ascii="Palatino Linotype" w:hAnsi="Palatino Linotype" w:eastAsia="Palatino Linotype"/>
          <w:b w:val="0"/>
          <w:i/>
          <w:sz w:val="16"/>
        </w:rPr>
        <w:t xml:space="preserve">J. Econ. Lit.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390–431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Rahmandad, H.; Sterman, J.D. Reporting guidelines for simulation-based research in social sciences.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2012</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396–411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Pastore, F.; Quintano, C.; Rocca, A. Some young people have all the luck! The duration dependence of the school-to-work transition in Europe. </w:t>
      </w:r>
      <w:r>
        <w:rPr>
          <w:rFonts w:ascii="Palatino Linotype" w:hAnsi="Palatino Linotype" w:eastAsia="Palatino Linotype"/>
          <w:b w:val="0"/>
          <w:i/>
          <w:sz w:val="16"/>
        </w:rPr>
        <w:t xml:space="preserve">Labour Econ.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70</w:t>
      </w:r>
      <w:r>
        <w:rPr>
          <w:rFonts w:ascii="Palatino Linotype" w:hAnsi="Palatino Linotype" w:eastAsia="Palatino Linotype"/>
          <w:b w:val="0"/>
          <w:i w:val="0"/>
          <w:sz w:val="16"/>
        </w:rPr>
        <w:t>, 101982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Card, D.; Kluve, J.; Weber, A. What Works? A Meta Analysis of Recent Active Labor Market Program Evaluations.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894–931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Barlas, Y. Formal aspects of model validity and validation in system dynamics.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1996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183–210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Li, L. Reskilling and upskilling the future-ready workforce for Industry 4.0 and beyond. </w:t>
      </w:r>
      <w:r>
        <w:rPr>
          <w:rFonts w:ascii="Palatino Linotype" w:hAnsi="Palatino Linotype" w:eastAsia="Palatino Linotype"/>
          <w:b w:val="0"/>
          <w:i/>
          <w:sz w:val="16"/>
        </w:rPr>
        <w:t xml:space="preserve">Inf. Syst. Front.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26</w:t>
      </w:r>
      <w:r>
        <w:rPr>
          <w:rFonts w:ascii="Palatino Linotype" w:hAnsi="Palatino Linotype" w:eastAsia="Palatino Linotype"/>
          <w:b w:val="0"/>
          <w:i w:val="0"/>
          <w:sz w:val="16"/>
        </w:rPr>
        <w:t>, 1697–1712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Scheffer, M.; Bascompte, J.; Brock, W.A.; Brovkin, V.; Carpenter, S.R.; Dakos, V.; Held, H.; van Nes, E.H.; Rietkerk, M.; Sugihara, G. Early-warning signals for critical transitions. </w:t>
      </w:r>
      <w:r>
        <w:rPr>
          <w:rFonts w:ascii="Palatino Linotype" w:hAnsi="Palatino Linotype" w:eastAsia="Palatino Linotype"/>
          <w:b w:val="0"/>
          <w:i/>
          <w:sz w:val="16"/>
        </w:rPr>
        <w:t xml:space="preserve">Nature </w:t>
      </w:r>
      <w:r>
        <w:rPr>
          <w:rFonts w:ascii="Palatino Linotype" w:hAnsi="Palatino Linotype" w:eastAsia="Palatino Linotype"/>
          <w:b/>
          <w:i w:val="0"/>
          <w:sz w:val="16"/>
        </w:rPr>
        <w:t>2009</w:t>
      </w:r>
      <w:r>
        <w:rPr>
          <w:rFonts w:ascii="Palatino Linotype" w:hAnsi="Palatino Linotype" w:eastAsia="Palatino Linotype"/>
          <w:b w:val="0"/>
          <w:i w:val="0"/>
          <w:sz w:val="16"/>
        </w:rPr>
        <w:t xml:space="preserve">, </w:t>
      </w:r>
      <w:r>
        <w:rPr>
          <w:rFonts w:ascii="Palatino Linotype" w:hAnsi="Palatino Linotype" w:eastAsia="Palatino Linotype"/>
          <w:b w:val="0"/>
          <w:i/>
          <w:sz w:val="16"/>
        </w:rPr>
        <w:t>461</w:t>
      </w:r>
      <w:r>
        <w:rPr>
          <w:rFonts w:ascii="Palatino Linotype" w:hAnsi="Palatino Linotype" w:eastAsia="Palatino Linotype"/>
          <w:b w:val="0"/>
          <w:i w:val="0"/>
          <w:sz w:val="16"/>
        </w:rPr>
        <w:t>, 53–59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Zhao, K.; Wu, Y.; Kuang, Z. Dynamic evolution and impact mechanism of human capital mismatch in strategic emerging industries: Evidence from the Yangtze River Delta region of China. </w:t>
      </w:r>
      <w:r>
        <w:rPr>
          <w:rFonts w:ascii="Palatino Linotype" w:hAnsi="Palatino Linotype" w:eastAsia="Palatino Linotype"/>
          <w:b w:val="0"/>
          <w:i/>
          <w:sz w:val="16"/>
        </w:rPr>
        <w:t xml:space="preserve">Heliyon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e21684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Liang, F.; Liu, Y. Sustainable youth employment quality management: The impact of robotization in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e0298081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Kluve, J.; Puerto, S.; Robalino, D.; Romero, J.M.; Rother, F.; Stöterau, J.; Weidenkaff, F.; Witte, M. Do youth employment programs improve labor market outcomes? A quantitative review. </w:t>
      </w:r>
      <w:r>
        <w:rPr>
          <w:rFonts w:ascii="Palatino Linotype" w:hAnsi="Palatino Linotype" w:eastAsia="Palatino Linotype"/>
          <w:b w:val="0"/>
          <w:i/>
          <w:sz w:val="16"/>
        </w:rPr>
        <w:t xml:space="preserve">World Dev.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237–253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Caliendo, M.; Schmidl, R. Youth unemployment and active labor market policies in Europe. </w:t>
      </w:r>
      <w:r>
        <w:rPr>
          <w:rFonts w:ascii="Palatino Linotype" w:hAnsi="Palatino Linotype" w:eastAsia="Palatino Linotype"/>
          <w:b w:val="0"/>
          <w:i/>
          <w:sz w:val="16"/>
        </w:rPr>
        <w:t xml:space="preserve">IZA J. Labor Policy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5</w:t>
      </w:r>
      <w:r>
        <w:rPr>
          <w:rFonts w:ascii="Palatino Linotype" w:hAnsi="Palatino Linotype" w:eastAsia="Palatino Linotype"/>
          <w:b w:val="0"/>
          <w:i w:val="0"/>
          <w:sz w:val="16"/>
        </w:rPr>
        <w:t>, 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53. Dai, L.; Martins, P.S. Does vocational education pay off in China? Evidence from city-level education supply shocks.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106863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54. Yang, Y.; Lin, G.T.R. Local Digital Economic Growth, Enterprise Digital Transformation, and Digital Dividends: Evidence from China.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297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Dou, B.; Guo, S.; Chang, X.; Wang, Y. Corporate digital transformation and labor structure upgrading. </w:t>
      </w:r>
      <w:r>
        <w:rPr>
          <w:rFonts w:ascii="Palatino Linotype" w:hAnsi="Palatino Linotype" w:eastAsia="Palatino Linotype"/>
          <w:b w:val="0"/>
          <w:i/>
          <w:sz w:val="16"/>
        </w:rPr>
        <w:t xml:space="preserve">Int. Rev. Financ. Anal.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102904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56.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57. Wang, X.; Jiang, Y.; Yi, F. Digital Revolution and Job Quality of Lower Class Workers: Quasi-experimental Evidence from the Broadband China Program.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146–178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58. Zhu, G.; Nie, A. How industrial robots affect employment: firm-level evidence from China. </w:t>
      </w:r>
      <w:r>
        <w:rPr>
          <w:rFonts w:ascii="Palatino Linotype" w:hAnsi="Palatino Linotype" w:eastAsia="Palatino Linotype"/>
          <w:b w:val="0"/>
          <w:i/>
          <w:sz w:val="16"/>
        </w:rPr>
        <w:t xml:space="preserve">J. Asia Pac. Econ.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31–61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59. Hua, Z.; Kong, S.; Yu, Y. Talent magnets in China: Can talent attraction policies catalyze digital transformation in enterprises?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102376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60. Tong, W.; Guo, J.; Lo, K.; Xu, W. Bridging the gap to common prosperity: Rural development and urban–rural income disparities in Zhejiang Province, China. </w:t>
      </w:r>
      <w:r>
        <w:rPr>
          <w:rFonts w:ascii="Palatino Linotype" w:hAnsi="Palatino Linotype" w:eastAsia="Palatino Linotype"/>
          <w:b w:val="0"/>
          <w:i/>
          <w:sz w:val="16"/>
        </w:rPr>
        <w:t xml:space="preserve">Chin. Geogr. Sci.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36</w:t>
      </w:r>
      <w:r>
        <w:rPr>
          <w:rFonts w:ascii="Palatino Linotype" w:hAnsi="Palatino Linotype" w:eastAsia="Palatino Linotype"/>
          <w:b w:val="0"/>
          <w:i w:val="0"/>
          <w:sz w:val="16"/>
        </w:rPr>
        <w:t>, 207–221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61. Zhong, S.; Zhang, X.; Zhang, L.; Zhao, C. How does digital economy influence urban common prosperity? Evidence from China’s demonstration area for common prosperity.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104629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62. Wang, S.; Zhang, H. Digital transformation and innovation performance in small- and medium-sized enterprises: A systems perspective on the interplay of digital adoption, digital drive, and digital culture.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43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64. Qiao, G.; Li, Y.; Hong, A. The Strategic Role of Digital Transformation: Leveraging Digital Leadership to Enhance Employee Performance and Organizational Commitment in the Digital Era.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457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65. Chen, C.; Zhu, J.; Sun, H. Mechanisms and Pathways of Promoting High-Quality Full Employment Under the Dual Circulation Paradigm: An Evolutionary Simulation Approach Based on System Dynamics.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737</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fig1_cld.png"/><Relationship Id="rId21" Type="http://schemas.openxmlformats.org/officeDocument/2006/relationships/image" Target="media/fig2_stockflow.png"/><Relationship Id="rId22" Type="http://schemas.openxmlformats.org/officeDocument/2006/relationships/image" Target="media/fig3_baseline.png"/><Relationship Id="rId23" Type="http://schemas.openxmlformats.org/officeDocument/2006/relationships/image" Target="media/fig4_structure.png"/><Relationship Id="rId24" Type="http://schemas.openxmlformats.org/officeDocument/2006/relationships/image" Target="media/fig5_sensitivity.png"/><Relationship Id="rId25" Type="http://schemas.openxmlformats.org/officeDocument/2006/relationships/image" Target="media/fig6_policy.png"/><Relationship Id="rId26" Type="http://schemas.openxmlformats.org/officeDocument/2006/relationships/image" Target="media/fig7_archetypes.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