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工业机器人应用与劳动收入份额"/>
    <w:p>
      <w:pPr>
        <w:pStyle w:val="Heading1"/>
      </w:pPr>
      <w:r>
        <w:t xml:space="preserve">工业机器人应用与劳动收入份额</w:t>
      </w:r>
    </w:p>
    <w:bookmarkEnd w:id="20"/>
    <w:bookmarkStart w:id="40" w:name="来自中国制造业上市公司的经验证据"/>
    <w:p>
      <w:pPr>
        <w:pStyle w:val="Heading1"/>
      </w:pPr>
      <w:r>
        <w:t xml:space="preserve">——来自中国制造业上市公司的经验证据</w:t>
      </w:r>
    </w:p>
    <w:p>
      <w:pPr>
        <w:pStyle w:val="FirstParagraph"/>
      </w:pPr>
      <w:r>
        <w:rPr>
          <w:bCs/>
          <w:b/>
        </w:rPr>
        <w:t xml:space="preserve">摘要：</w:t>
      </w:r>
      <w:r>
        <w:t xml:space="preserve"> </w:t>
      </w:r>
      <w:r>
        <w:t xml:space="preserve">劳动收入份额关系收入分配格局与共同富裕进程，而以工业机器人为代表的自动化技术正深刻重塑企业的要素分配。本文从任务模型的视角出发，将工业机器人刻画为对劳动执行常规任务具有替代作用的自动化资本，据此分析了机器人应用影响企业劳动收入份额的替代效应与生产率效应，并推导了可检验的研究假说。本文利用2011—2019年中国制造业上市公司数据，结合国际机器人联合会（IFR）的行业机器人数据构造企业层面的机器人渗透度，采用双向固定效应模型识别了机器人应用对劳动收入份额的影响，并借助国外同行业机器人渗透度构造巴蒂克工具变量以缓解内生性。研究发现，工业机器人应用显著降低了企业劳动收入份额，在采用工具变量法处理内生性并进行一系列稳健性检验后结论依然成立；机制分析表明，机器人应用通过提高资本深化程度、提升企业生产率与成本加成，进而压低劳动收入份额，同时推动了企业内部劳动力技能结构升级。异质性分析发现，机器人应用对劳动收入份额的抑制作用在劳动密集型企业、非国有企业与低技能密集型企业中更为突出。本文为理解自动化技术的收入分配效应提供了微观证据，为在推进制造业智能化的同时保障劳动者合理报酬、促进共同富裕提供了政策启示。</w:t>
      </w:r>
    </w:p>
    <w:p>
      <w:pPr>
        <w:pStyle w:val="BodyText"/>
      </w:pPr>
      <w:r>
        <w:rPr>
          <w:bCs/>
          <w:b/>
        </w:rPr>
        <w:t xml:space="preserve">关键词：</w:t>
      </w:r>
      <w:r>
        <w:t xml:space="preserve"> </w:t>
      </w:r>
      <w:r>
        <w:t xml:space="preserve">工业机器人　劳动收入份额　任务模型　巴蒂克工具变量　收入分配</w:t>
      </w:r>
    </w:p>
    <w:bookmarkStart w:id="21" w:name="一引-言"/>
    <w:p>
      <w:pPr>
        <w:pStyle w:val="Heading2"/>
      </w:pPr>
      <w:r>
        <w:t xml:space="preserve">一、引　言</w:t>
      </w:r>
    </w:p>
    <w:p>
      <w:pPr>
        <w:pStyle w:val="FirstParagraph"/>
      </w:pPr>
      <w:r>
        <w:t xml:space="preserve">劳动收入份额是国民收入初次分配格局的核心指标，直接关系居民收入增长与共同富裕的实现。自20世纪80年代以来，全球范围内劳动收入份额呈现持续下降的趋势（Karabarbounis和Neiman，2014），中国的劳动收入份额亦经历了先降后升的变化过程（白重恩和钱震杰，2009）。在收入分配问题日益受到关注的背景下，识别劳动收入份额变动的驱动因素及其内在机制，成为学界与政策部门共同关注的重要议题。与此同时，以工业机器人为代表的自动化技术加速普及，中国已连续多年成为全球最大的工业机器人应用市场。自动化技术在提升生产效率的同时，是否以及如何改变了企业的要素分配格局，是理解数字经济时代收入分配演变的关键问题。</w:t>
      </w:r>
    </w:p>
    <w:p>
      <w:pPr>
        <w:pStyle w:val="BodyText"/>
      </w:pPr>
      <w:r>
        <w:t xml:space="preserve">从理论上看，自动化技术对劳动收入份额的影响并不确定。任务模型（Task-based Model）指出，自动化技术通过将原本由劳动执行的常规任务转由资本完成，产生替代劳动的“替代效应”（Displacement Effect），从而压低劳动收入份额；但与此同时，自动化技术能够提升生产率、扩大产出规模，并可能通过创造新任务产生有利于劳动的“生产率效应”与“复原效应”（Reinstatement Effect），部分抵消替代效应（Acemoglu和Restrepo，2019；Acemoglu和Restrepo，2020）。因此，自动化技术对劳动收入份额的净影响取决于上述效应的相对强弱，需要基于经验证据加以识别。</w:t>
      </w:r>
    </w:p>
    <w:p>
      <w:pPr>
        <w:pStyle w:val="BodyText"/>
      </w:pPr>
      <w:r>
        <w:t xml:space="preserve">已有研究从不同角度考察了机器人应用的经济影响。在国际层面，Graetz和Michaels（2018）基于跨国面板数据发现，机器人应用显著提升了劳动生产率，但对低技能劳动者的就业与工资存在不利影响；Acemoglu和Restrepo（2020）利用美国地区数据发现，机器人应用降低了就业与工资。在超级明星企业兴起的背景下，Autor等（2020）指出，市场集中度上升是劳动收入份额下降的重要原因。在国内层面，王永钦和董雯（2020）利用制造业上市公司数据发现，机器人应用对企业劳动力需求存在替代效应，并呈现就业极化特征；郭凯明（2019）从多部门动态一般均衡模型出发，论证了人工智能发展对产业结构与要素分配的影响；李磊等（2021）则揭示了机器人应用的就业效应及其机制。</w:t>
      </w:r>
    </w:p>
    <w:p>
      <w:pPr>
        <w:pStyle w:val="BodyText"/>
      </w:pPr>
      <w:r>
        <w:t xml:space="preserve">尽管已有文献为理解机器人应用的经济影响奠定了重要基础，但关于机器人应用如何影响企业劳动收入份额的研究仍存在拓展空间。第一，多数研究聚焦于机器人应用的就业与工资效应，而对其在企业层面收入分配效应的直接检验相对不足。第二，行业机器人渗透度与企业劳动收入份额之间可能存在反向因果与遗漏变量的干扰，对因果关系的识别有待更严谨的工具变量策略予以支撑。第三，机器人应用影响劳动收入份额的具体机制——特别是替代效应与生产率效应的相对作用——尚需更为系统的经验检验。</w:t>
      </w:r>
    </w:p>
    <w:p>
      <w:pPr>
        <w:pStyle w:val="BodyText"/>
      </w:pPr>
      <w:r>
        <w:t xml:space="preserve">针对上述不足，本文利用2011—2019年中国制造业上市公司数据，结合国际机器人联合会的行业机器人数据构造企业层面的机器人渗透度，系统识别了工业机器人应用对企业劳动收入份额的影响及其机制。本文的主要发现可归纳为：双向固定效应估计表明，机器人应用显著降低了企业劳动收入份额；借助国外同行业机器人渗透度构造的巴蒂克工具变量缓解内生性后，结论依然稳健；机制分析显示，机器人应用通过提高资本深化程度、提升生产率与成本加成压低劳动收入份额，同时推动了劳动力技能结构升级；异质性分析表明，这一抑制作用在劳动密集型企业、非国有企业与低技能密集型企业中更为显著。</w:t>
      </w:r>
    </w:p>
    <w:p>
      <w:pPr>
        <w:pStyle w:val="BodyText"/>
      </w:pPr>
      <w:r>
        <w:t xml:space="preserve">本文可能的边际贡献体现在以下三个方面。第一，在研究问题上，本文将自动化技术的经济影响研究拓展至企业层面的收入分配领域，直接识别了机器人应用对劳动收入份额的影响，丰富了对自动化技术分配效应的理解。第二，在识别策略上，本文借助国外同行业机器人渗透度构造巴蒂克工具变量，较好地缓解了行业机器人应用与企业劳动收入份额之间的内生性，为机器人应用的收入分配效应提供了更为可信的因果证据。第三，在机制识别上，本文基于任务模型区分了替代效应与生产率效应，并从资本深化、生产率、成本加成与技能结构等维度提供了直接的经验证据，深化了对机器人应用影响劳动收入份额内在机理的理解。</w:t>
      </w:r>
    </w:p>
    <w:p>
      <w:pPr>
        <w:pStyle w:val="BodyText"/>
      </w:pPr>
      <w:r>
        <w:t xml:space="preserve">本文余下部分安排如下：第二部分介绍制度背景并提出理论分析与研究假说；第三部分阐述研究设计；第四部分报告基准估计与工具变量估计结果；第五部分进行机制检验；第六部分开展异质性分析；第七部分总结全文并提出政策建议。</w:t>
      </w:r>
    </w:p>
    <w:bookmarkEnd w:id="21"/>
    <w:bookmarkStart w:id="27" w:name="二制度背景与理论分析"/>
    <w:p>
      <w:pPr>
        <w:pStyle w:val="Heading2"/>
      </w:pPr>
      <w:r>
        <w:t xml:space="preserve">二、制度背景与理论分析</w:t>
      </w:r>
    </w:p>
    <w:bookmarkStart w:id="25" w:name="一制度背景与典型事实"/>
    <w:p>
      <w:pPr>
        <w:pStyle w:val="Heading3"/>
      </w:pPr>
      <w:r>
        <w:t xml:space="preserve">（一）制度背景与典型事实</w:t>
      </w:r>
    </w:p>
    <w:p>
      <w:pPr>
        <w:pStyle w:val="FirstParagraph"/>
      </w:pPr>
      <w:r>
        <w:t xml:space="preserve">工业机器人是自动化技术的重要载体，广泛应用于焊接、装配、搬运、喷涂等制造环节。进入21世纪以来，随着劳动力成本上升与技术进步加速，中国工业机器人应用规模快速扩张。根据国际机器人联合会的统计，中国自2013年起成为全球最大的工业机器人市场，机器人安装量与保有量持续快速增长，制造业各行业的机器人渗透度显著提升。工业机器人的大规模应用，深刻改变了制造业企业的生产方式与要素结构。</w:t>
      </w:r>
    </w:p>
    <w:p>
      <w:pPr>
        <w:pStyle w:val="BodyText"/>
      </w:pPr>
      <w:r>
        <w:t xml:space="preserve">与机器人应用快速扩张相伴的是劳动收入份额的变化。图1刻画了样本期内中国制造业企业平均劳动收入份额与工业机器人渗透度的变化趋势。可以看出，在机器人渗透度持续上升的同时，企业平均劳动收入份额总体呈现下降态势，二者之间存在明显的负向关联。这一典型事实为本文的研究提供了初步的经验线索，但二者之间是否存在因果关系，仍需借助严谨的识别策略加以检验。</w:t>
      </w:r>
    </w:p>
    <w:p>
      <w:pPr>
        <w:pStyle w:val="BodyText"/>
        <w:spacing w:before="60" w:after="60" w:line="240" w:lineRule="auto"/>
        <w:jc w:val="center"/>
        <w:ind w:firstLine="0" w:firstLineChars="0"/>
      </w:pPr>
      <w:r>
        <w:drawing>
          <wp:inline>
            <wp:extent cx="3947160" cy="2367672"/>
            <wp:effectExtent b="0" l="0" r="0" t="0"/>
            <wp:docPr descr="" title="" id="23" name="Picture"/>
            <a:graphic>
              <a:graphicData uri="http://schemas.openxmlformats.org/drawingml/2006/picture">
                <pic:pic>
                  <pic:nvPicPr>
                    <pic:cNvPr descr="p2_fig1_trend.png" id="24" name="Picture"/>
                    <pic:cNvPicPr>
                      <a:picLocks noChangeArrowheads="1" noChangeAspect="1"/>
                    </pic:cNvPicPr>
                  </pic:nvPicPr>
                  <pic:blipFill>
                    <a:blip r:embed="rId22"/>
                    <a:stretch>
                      <a:fillRect/>
                    </a:stretch>
                  </pic:blipFill>
                  <pic:spPr bwMode="auto">
                    <a:xfrm>
                      <a:off x="0" y="0"/>
                      <a:ext cx="3947160" cy="2367672"/>
                    </a:xfrm>
                    <a:prstGeom prst="rect">
                      <a:avLst/>
                    </a:prstGeom>
                    <a:noFill/>
                    <a:ln w="9525">
                      <a:noFill/>
                      <a:headEnd/>
                      <a:tailEnd/>
                    </a:ln>
                  </pic:spPr>
                </pic:pic>
              </a:graphicData>
            </a:graphic>
          </wp:inline>
        </w:drawing>
      </w:r>
    </w:p>
    <w:p>
      <w:pPr>
        <w:pStyle w:val="BodyText"/>
        <w:jc w:val="center"/>
        <w:ind w:firstLine="0" w:firstLineChars="0"/>
      </w:pPr>
      <w:r>
        <w:rPr>
          <w:rFonts w:eastAsia="黑体" w:ascii="Times New Roman" w:hAnsi="Times New Roman"/>
          <w:sz w:val="18"/>
          <w:szCs w:val="18"/>
        </w:rPr>
        <w:t xml:space="preserve">图1　制造业劳动收入份额与工业机器人渗透度的变化趋势</w:t>
      </w:r>
    </w:p>
    <w:bookmarkEnd w:id="25"/>
    <w:bookmarkStart w:id="26" w:name="二理论框架与研究假说"/>
    <w:p>
      <w:pPr>
        <w:pStyle w:val="Heading3"/>
      </w:pPr>
      <w:r>
        <w:t xml:space="preserve">（二）理论框架与研究假说</w:t>
      </w:r>
    </w:p>
    <w:p>
      <w:pPr>
        <w:pStyle w:val="FirstParagraph"/>
      </w:pPr>
      <w:r>
        <w:t xml:space="preserve">本文基于任务模型分析工业机器人应用对劳动收入份额的影响（Acemoglu和Restrepo，2019）。在任务模型的框架下，企业的生产由一系列任务构成，每项任务既可由劳动完成，也可由资本（自动化设备）完成。工业机器人的应用，本质上是将原本由劳动执行的常规任务转由资本完成的过程，这一过程对劳动收入份额产生两种方向相反的影响。</w:t>
      </w:r>
    </w:p>
    <w:p>
      <w:pPr>
        <w:pStyle w:val="BodyText"/>
      </w:pPr>
      <w:r>
        <w:t xml:space="preserve">第一，替代效应。工业机器人直接替代劳动执行常规生产任务，减少了单位产出对劳动的需求，使生产的任务结构向不利于劳动的方向变化，从而直接压低劳动收入份额。设企业增加值为</w:t>
      </w:r>
      <w:r>
        <w:t xml:space="preserve"> </w:t>
      </w:r>
      <m:oMath>
        <m:sSub>
          <m:e>
            <m:r>
              <m:rPr>
                <m:nor/>
                <m:sty m:val="p"/>
              </m:rPr>
              <m:t>VA</m:t>
            </m:r>
          </m:e>
          <m:sub>
            <m:r>
              <m:t>i</m:t>
            </m:r>
            <m:r>
              <m:t>t</m:t>
            </m:r>
          </m:sub>
        </m:sSub>
      </m:oMath>
      <w:r>
        <w:t xml:space="preserve">，劳动报酬为</w:t>
      </w:r>
      <w:r>
        <w:t xml:space="preserve"> </w:t>
      </w:r>
      <m:oMath>
        <m:sSub>
          <m:e>
            <m:r>
              <m:t>W</m:t>
            </m:r>
          </m:e>
          <m:sub>
            <m:r>
              <m:t>i</m:t>
            </m:r>
            <m:r>
              <m:t>t</m:t>
            </m:r>
          </m:sub>
        </m:sSub>
      </m:oMath>
      <w:r>
        <w:t xml:space="preserve">，则劳动收入份额可表示为：</w:t>
      </w:r>
    </w:p>
    <w:tbl>
      <w:tblPr>
        <w:tblW w:w="94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Caption w:val="__eqnum__"/>
      </w:tblPr>
      <w:tblGrid>
        <w:gridCol w:w="850"/>
        <w:gridCol w:w="7740"/>
        <w:gridCol w:w="850"/>
      </w:tblGrid>
      <w:tr>
        <w:tc>
          <w:tcPr>
            <w:tcW w:w="850" w:type="dxa"/>
            <w:vAlign w:val="center"/>
          </w:tcPr>
          <w:p>
            <w:pPr>
              <w:ind w:firstLine="0" w:firstLineChars="0"/>
            </w:pPr>
          </w:p>
        </w:tc>
        <w:tc>
          <w:tcPr>
            <w:tcW w:w="7740" w:type="dxa"/>
            <w:vAlign w:val="center"/>
          </w:tcPr>
          <w:p>
            <w:pPr>
              <w:jc w:val="center"/>
              <w:ind w:firstLine="0" w:firstLineChars="0"/>
            </w:pPr>
            <m:oMathPara>
              <m:oMathParaPr>
                <m:jc m:val="center"/>
              </m:oMathParaPr>
              <m:oMath>
                <m:sSub>
                  <m:e>
                    <m:r>
                      <m:rPr>
                        <m:nor/>
                        <m:sty m:val="p"/>
                      </m:rPr>
                      <m:t>LS</m:t>
                    </m:r>
                  </m:e>
                  <m:sub>
                    <m:r>
                      <m:t>i</m:t>
                    </m:r>
                    <m:r>
                      <m:t>t</m:t>
                    </m:r>
                  </m:sub>
                </m:sSub>
                <m:r>
                  <m:rPr>
                    <m:sty m:val="p"/>
                  </m:rPr>
                  <m:t>=</m:t>
                </m:r>
                <m:f>
                  <m:fPr>
                    <m:type m:val="bar"/>
                  </m:fPr>
                  <m:num>
                    <m:sSub>
                      <m:e>
                        <m:r>
                          <m:rPr>
                            <m:nor/>
                            <m:sty m:val="p"/>
                          </m:rPr>
                          <m:t>W</m:t>
                        </m:r>
                      </m:e>
                      <m:sub>
                        <m:r>
                          <m:t>i</m:t>
                        </m:r>
                        <m:r>
                          <m:t>t</m:t>
                        </m:r>
                      </m:sub>
                    </m:sSub>
                  </m:num>
                  <m:den>
                    <m:sSub>
                      <m:e>
                        <m:r>
                          <m:rPr>
                            <m:nor/>
                            <m:sty m:val="p"/>
                          </m:rPr>
                          <m:t>VA</m:t>
                        </m:r>
                      </m:e>
                      <m:sub>
                        <m:r>
                          <m:t>i</m:t>
                        </m:r>
                        <m:r>
                          <m:t>t</m:t>
                        </m:r>
                      </m:sub>
                    </m:sSub>
                  </m:den>
                </m:f>
              </m:oMath>
            </m:oMathPara>
          </w:p>
        </w:tc>
        <w:tc>
          <w:tcPr>
            <w:tcW w:w="850" w:type="dxa"/>
            <w:vAlign w:val="center"/>
          </w:tcPr>
          <w:p>
            <w:pPr>
              <w:jc w:val="right"/>
              <w:ind w:firstLine="0" w:firstLineChars="0"/>
            </w:pPr>
            <w:r>
              <w:rPr>
                <w:rFonts w:ascii="Times New Roman" w:hAnsi="Times New Roman" w:eastAsia="宋体"/>
              </w:rPr>
              <w:t xml:space="preserve">（1）</w:t>
            </w:r>
          </w:p>
        </w:tc>
      </w:tr>
    </w:tbl>
    <w:p>
      <w:pPr>
        <w:pStyle w:val="BodyText"/>
      </w:pPr>
      <w:r>
        <w:t xml:space="preserve">机器人应用通过替代常规任务，减少劳动报酬</w:t>
      </w:r>
      <w:r>
        <w:t xml:space="preserve"> </w:t>
      </w:r>
      <m:oMath>
        <m:sSub>
          <m:e>
            <m:r>
              <m:t>W</m:t>
            </m:r>
          </m:e>
          <m:sub>
            <m:r>
              <m:t>i</m:t>
            </m:r>
            <m:r>
              <m:t>t</m:t>
            </m:r>
          </m:sub>
        </m:sSub>
      </m:oMath>
      <w:r>
        <w:t xml:space="preserve"> </w:t>
      </w:r>
      <w:r>
        <w:t xml:space="preserve">在增加值中的占比，因而替代效应倾向于降低</w:t>
      </w:r>
      <w:r>
        <w:t xml:space="preserve"> </w:t>
      </w:r>
      <m:oMath>
        <m:sSub>
          <m:e>
            <m:r>
              <m:rPr>
                <m:nor/>
                <m:sty m:val="p"/>
              </m:rPr>
              <m:t>LS</m:t>
            </m:r>
          </m:e>
          <m:sub>
            <m:r>
              <m:t>i</m:t>
            </m:r>
            <m:r>
              <m:t>t</m:t>
            </m:r>
          </m:sub>
        </m:sSub>
      </m:oMath>
      <w:r>
        <w:t xml:space="preserve">。</w:t>
      </w:r>
    </w:p>
    <w:p>
      <w:pPr>
        <w:pStyle w:val="BodyText"/>
      </w:pPr>
      <w:r>
        <w:t xml:space="preserve">第二，生产率效应。工业机器人的应用能够提高生产效率、降低生产成本，从而扩大产出规模。产出规模的扩大会增加对劳动的派生需求，并可能通过创造新任务产生有利于劳动的复原效应，进而在一定程度上提高劳动报酬。因此，生产率效应倾向于提高劳动收入份额，部分抵消替代效应。</w:t>
      </w:r>
    </w:p>
    <w:p>
      <w:pPr>
        <w:pStyle w:val="BodyText"/>
      </w:pPr>
      <w:r>
        <w:t xml:space="preserve">工业机器人应用对劳动收入份额的净影响，取决于替代效应与生产率效应的相对强弱。当替代效应占主导时，机器人应用将降低劳动收入份额；反之则提高劳动收入份额。已有关于中国制造业的研究表明，机器人应用对劳动的替代效应较为突出（王永钦和董雯，2020）。据此，本文提出核心研究假说：</w:t>
      </w:r>
    </w:p>
    <w:p>
      <w:pPr>
        <w:pStyle w:val="BodyText"/>
      </w:pPr>
      <w:r>
        <w:rPr>
          <w:bCs/>
          <w:b/>
        </w:rPr>
        <w:t xml:space="preserve">研究假说1：</w:t>
      </w:r>
      <w:r>
        <w:t xml:space="preserve"> </w:t>
      </w:r>
      <w:r>
        <w:t xml:space="preserve">工业机器人应用会降低企业劳动收入份额，即替代效应占主导地位。</w:t>
      </w:r>
    </w:p>
    <w:p>
      <w:pPr>
        <w:pStyle w:val="BodyText"/>
      </w:pPr>
      <w:r>
        <w:t xml:space="preserve">进一步地，本文从要素结构与生产效率两个方面分析机器人应用影响劳动收入份额的机制。</w:t>
      </w:r>
    </w:p>
    <w:p>
      <w:pPr>
        <w:pStyle w:val="BodyText"/>
      </w:pPr>
      <w:r>
        <w:t xml:space="preserve">第一，资本深化机制。工业机器人作为资本品，其应用直接提高了企业的资本—劳动比。在资本对劳动的替代弹性大于1的条件下，资本深化将降低劳动收入份额（Karabarbounis和Neiman，2014）。因此，机器人应用可能通过提高资本深化程度压低劳动收入份额。据此，本文提出：</w:t>
      </w:r>
    </w:p>
    <w:p>
      <w:pPr>
        <w:pStyle w:val="BodyText"/>
      </w:pPr>
      <w:r>
        <w:rPr>
          <w:bCs/>
          <w:b/>
        </w:rPr>
        <w:t xml:space="preserve">研究假说2：</w:t>
      </w:r>
      <w:r>
        <w:t xml:space="preserve"> </w:t>
      </w:r>
      <w:r>
        <w:t xml:space="preserve">工业机器人应用通过提高资本深化程度，降低企业劳动收入份额。</w:t>
      </w:r>
    </w:p>
    <w:p>
      <w:pPr>
        <w:pStyle w:val="BodyText"/>
      </w:pPr>
      <w:r>
        <w:t xml:space="preserve">第二，生产率与成本加成机制。工业机器人应用能够显著提升企业生产率。在不完全竞争的市场结构下，生产率的提升可能伴随企业成本加成（Markup）的上升，而成本加成的提高意味着企业利润份额上升、劳动收入份额下降（Autor等，2020）。同时，机器人应用对常规任务的替代，往往伴随企业内部劳动力技能结构的升级，即高技能劳动占比上升。据此，本文提出：</w:t>
      </w:r>
    </w:p>
    <w:p>
      <w:pPr>
        <w:pStyle w:val="BodyText"/>
      </w:pPr>
      <w:r>
        <w:rPr>
          <w:bCs/>
          <w:b/>
        </w:rPr>
        <w:t xml:space="preserve">研究假说3：</w:t>
      </w:r>
      <w:r>
        <w:t xml:space="preserve"> </w:t>
      </w:r>
      <w:r>
        <w:t xml:space="preserve">工业机器人应用通过提升生产率与成本加成压低劳动收入份额，并推动企业劳动力技能结构升级。</w:t>
      </w:r>
    </w:p>
    <w:bookmarkEnd w:id="26"/>
    <w:bookmarkEnd w:id="27"/>
    <w:bookmarkStart w:id="30" w:name="三研究设计"/>
    <w:p>
      <w:pPr>
        <w:pStyle w:val="Heading2"/>
      </w:pPr>
      <w:r>
        <w:t xml:space="preserve">三、研究设计</w:t>
      </w:r>
    </w:p>
    <w:bookmarkStart w:id="28" w:name="一计量模型设定"/>
    <w:p>
      <w:pPr>
        <w:pStyle w:val="Heading3"/>
      </w:pPr>
      <w:r>
        <w:t xml:space="preserve">（一）计量模型设定</w:t>
      </w:r>
    </w:p>
    <w:p>
      <w:pPr>
        <w:pStyle w:val="FirstParagraph"/>
      </w:pPr>
      <w:r>
        <w:t xml:space="preserve">为识别工业机器人应用对企业劳动收入份额的影响，本文构建如下双向固定效应模型：</w:t>
      </w:r>
    </w:p>
    <w:tbl>
      <w:tblPr>
        <w:tblW w:w="94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Caption w:val="__eqnum__"/>
      </w:tblPr>
      <w:tblGrid>
        <w:gridCol w:w="850"/>
        <w:gridCol w:w="7740"/>
        <w:gridCol w:w="850"/>
      </w:tblGrid>
      <w:tr>
        <w:tc>
          <w:tcPr>
            <w:tcW w:w="850" w:type="dxa"/>
            <w:vAlign w:val="center"/>
          </w:tcPr>
          <w:p>
            <w:pPr>
              <w:ind w:firstLine="0" w:firstLineChars="0"/>
            </w:pPr>
          </w:p>
        </w:tc>
        <w:tc>
          <w:tcPr>
            <w:tcW w:w="7740" w:type="dxa"/>
            <w:vAlign w:val="center"/>
          </w:tcPr>
          <w:p>
            <w:pPr>
              <w:jc w:val="center"/>
              <w:ind w:firstLine="0" w:firstLineChars="0"/>
            </w:pPr>
            <m:oMathPara>
              <m:oMathParaPr>
                <m:jc m:val="center"/>
              </m:oMathParaPr>
              <m:oMath>
                <m:sSub>
                  <m:e>
                    <m:r>
                      <m:rPr>
                        <m:nor/>
                        <m:sty m:val="p"/>
                      </m:rPr>
                      <m:t>LS</m:t>
                    </m:r>
                  </m:e>
                  <m:sub>
                    <m:r>
                      <m:t>i</m:t>
                    </m:r>
                    <m:r>
                      <m:t>t</m:t>
                    </m:r>
                  </m:sub>
                </m:sSub>
                <m:r>
                  <m:rPr>
                    <m:sty m:val="p"/>
                  </m:rPr>
                  <m:t>=</m:t>
                </m:r>
                <m:r>
                  <m:t>α</m:t>
                </m:r>
                <m:r>
                  <m:rPr>
                    <m:sty m:val="p"/>
                  </m:rPr>
                  <m:t>+</m:t>
                </m:r>
                <m:r>
                  <m:t>β</m:t>
                </m:r>
                <m:r>
                  <m:t> </m:t>
                </m:r>
                <m:sSub>
                  <m:e>
                    <m:r>
                      <m:rPr>
                        <m:nor/>
                        <m:sty m:val="p"/>
                      </m:rPr>
                      <m:t>RP</m:t>
                    </m:r>
                  </m:e>
                  <m:sub>
                    <m:r>
                      <m:t>j</m:t>
                    </m:r>
                    <m:r>
                      <m:t>t</m:t>
                    </m:r>
                  </m:sub>
                </m:sSub>
                <m:r>
                  <m:rPr>
                    <m:sty m:val="p"/>
                  </m:rPr>
                  <m:t>+</m:t>
                </m:r>
                <m:sSub>
                  <m:e>
                    <m:r>
                      <m:t>X</m:t>
                    </m:r>
                  </m:e>
                  <m:sub>
                    <m:r>
                      <m:t>i</m:t>
                    </m:r>
                    <m:r>
                      <m:t>t</m:t>
                    </m:r>
                  </m:sub>
                </m:sSub>
                <m:r>
                  <m:rPr>
                    <m:sty m:val="p"/>
                  </m:rPr>
                  <m:t>′</m:t>
                </m:r>
                <m:r>
                  <m:t>γ</m:t>
                </m:r>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p>
        </w:tc>
        <w:tc>
          <w:tcPr>
            <w:tcW w:w="850" w:type="dxa"/>
            <w:vAlign w:val="center"/>
          </w:tcPr>
          <w:p>
            <w:pPr>
              <w:jc w:val="right"/>
              <w:ind w:firstLine="0" w:firstLineChars="0"/>
            </w:pPr>
            <w:r>
              <w:rPr>
                <w:rFonts w:ascii="Times New Roman" w:hAnsi="Times New Roman" w:eastAsia="宋体"/>
              </w:rPr>
              <w:t xml:space="preserve">（2）</w:t>
            </w:r>
          </w:p>
        </w:tc>
      </w:tr>
    </w:tbl>
    <w:p>
      <w:pPr>
        <w:pStyle w:val="BodyText"/>
      </w:pPr>
      <w:r>
        <w:t xml:space="preserve">其中，</w:t>
      </w:r>
      <m:oMath>
        <m:r>
          <m:t>i</m:t>
        </m:r>
      </m:oMath>
      <w:r>
        <w:t xml:space="preserve">、</w:t>
      </w:r>
      <m:oMath>
        <m:r>
          <m:t>j</m:t>
        </m:r>
      </m:oMath>
      <w:r>
        <w:t xml:space="preserve">、</w:t>
      </w:r>
      <m:oMath>
        <m:r>
          <m:t>t</m:t>
        </m:r>
      </m:oMath>
      <w:r>
        <w:t xml:space="preserve"> </w:t>
      </w:r>
      <w:r>
        <w:t xml:space="preserve">分别表示企业、所属行业与年份。</w:t>
      </w:r>
      <m:oMath>
        <m:sSub>
          <m:e>
            <m:r>
              <m:rPr>
                <m:nor/>
                <m:sty m:val="p"/>
              </m:rPr>
              <m:t>LS</m:t>
            </m:r>
          </m:e>
          <m:sub>
            <m:r>
              <m:t>i</m:t>
            </m:r>
            <m:r>
              <m:t>t</m:t>
            </m:r>
          </m:sub>
        </m:sSub>
      </m:oMath>
      <w:r>
        <w:t xml:space="preserve"> </w:t>
      </w:r>
      <w:r>
        <w:t xml:space="preserve">为被解释变量，表示企业</w:t>
      </w:r>
      <w:r>
        <w:t xml:space="preserve"> </w:t>
      </w:r>
      <m:oMath>
        <m:r>
          <m:t>i</m:t>
        </m:r>
      </m:oMath>
      <w:r>
        <w:t xml:space="preserve"> </w:t>
      </w:r>
      <w:r>
        <w:t xml:space="preserve">在第</w:t>
      </w:r>
      <w:r>
        <w:t xml:space="preserve"> </w:t>
      </w:r>
      <m:oMath>
        <m:r>
          <m:t>t</m:t>
        </m:r>
      </m:oMath>
      <w:r>
        <w:t xml:space="preserve"> </w:t>
      </w:r>
      <w:r>
        <w:t xml:space="preserve">年的劳动收入份额。</w:t>
      </w:r>
      <m:oMath>
        <m:sSub>
          <m:e>
            <m:r>
              <m:rPr>
                <m:nor/>
                <m:sty m:val="p"/>
              </m:rPr>
              <m:t>RP</m:t>
            </m:r>
          </m:e>
          <m:sub>
            <m:r>
              <m:t>j</m:t>
            </m:r>
            <m:r>
              <m:t>t</m:t>
            </m:r>
          </m:sub>
        </m:sSub>
      </m:oMath>
      <w:r>
        <w:t xml:space="preserve"> </w:t>
      </w:r>
      <w:r>
        <w:t xml:space="preserve">为核心解释变量，表示企业</w:t>
      </w:r>
      <w:r>
        <w:t xml:space="preserve"> </w:t>
      </w:r>
      <m:oMath>
        <m:r>
          <m:t>i</m:t>
        </m:r>
      </m:oMath>
      <w:r>
        <w:t xml:space="preserve"> </w:t>
      </w:r>
      <w:r>
        <w:t xml:space="preserve">所属行业</w:t>
      </w:r>
      <w:r>
        <w:t xml:space="preserve"> </w:t>
      </w:r>
      <m:oMath>
        <m:r>
          <m:t>j</m:t>
        </m:r>
      </m:oMath>
      <w:r>
        <w:t xml:space="preserve"> </w:t>
      </w:r>
      <w:r>
        <w:t xml:space="preserve">在第</w:t>
      </w:r>
      <w:r>
        <w:t xml:space="preserve"> </w:t>
      </w:r>
      <m:oMath>
        <m:r>
          <m:t>t</m:t>
        </m:r>
      </m:oMath>
      <w:r>
        <w:t xml:space="preserve"> </w:t>
      </w:r>
      <w:r>
        <w:t xml:space="preserve">年的工业机器人渗透度。</w:t>
      </w:r>
      <m:oMath>
        <m:sSub>
          <m:e>
            <m:r>
              <m:t>X</m:t>
            </m:r>
          </m:e>
          <m:sub>
            <m:r>
              <m:t>i</m:t>
            </m:r>
            <m:r>
              <m:t>t</m:t>
            </m:r>
          </m:sub>
        </m:sSub>
      </m:oMath>
      <w:r>
        <w:t xml:space="preserve"> </w:t>
      </w:r>
      <w:r>
        <w:t xml:space="preserve">为一组企业层面控制变量，</w:t>
      </w:r>
      <m:oMath>
        <m:sSub>
          <m:e>
            <m:r>
              <m:t>μ</m:t>
            </m:r>
          </m:e>
          <m:sub>
            <m:r>
              <m:t>i</m:t>
            </m:r>
          </m:sub>
        </m:sSub>
      </m:oMath>
      <w:r>
        <w:t xml:space="preserve"> </w:t>
      </w:r>
      <w:r>
        <w:t xml:space="preserve">与</w:t>
      </w:r>
      <w:r>
        <w:t xml:space="preserve"> </w:t>
      </w:r>
      <m:oMath>
        <m:sSub>
          <m:e>
            <m:r>
              <m:t>λ</m:t>
            </m:r>
          </m:e>
          <m:sub>
            <m:r>
              <m:t>t</m:t>
            </m:r>
          </m:sub>
        </m:sSub>
      </m:oMath>
      <w:r>
        <w:t xml:space="preserve"> </w:t>
      </w:r>
      <w:r>
        <w:t xml:space="preserve">分别为企业固定效应与年份固定效应，</w:t>
      </w:r>
      <m:oMath>
        <m:sSub>
          <m:e>
            <m:r>
              <m:t>ε</m:t>
            </m:r>
          </m:e>
          <m:sub>
            <m:r>
              <m:t>i</m:t>
            </m:r>
            <m:r>
              <m:t>t</m:t>
            </m:r>
          </m:sub>
        </m:sSub>
      </m:oMath>
      <w:r>
        <w:t xml:space="preserve"> </w:t>
      </w:r>
      <w:r>
        <w:t xml:space="preserve">为随机扰动项。本文关注的核心参数为</w:t>
      </w:r>
      <w:r>
        <w:t xml:space="preserve"> </w:t>
      </w:r>
      <m:oMath>
        <m:r>
          <m:t>β</m:t>
        </m:r>
      </m:oMath>
      <w:r>
        <w:t xml:space="preserve">，若</w:t>
      </w:r>
      <w:r>
        <w:t xml:space="preserve"> </w:t>
      </w:r>
      <m:oMath>
        <m:r>
          <m:t>β</m:t>
        </m:r>
        <m:r>
          <m:rPr>
            <m:sty m:val="p"/>
          </m:rPr>
          <m:t>&lt;</m:t>
        </m:r>
        <m:r>
          <m:t>0</m:t>
        </m:r>
      </m:oMath>
      <w:r>
        <w:t xml:space="preserve">，则表明机器人应用降低了企业劳动收入份额。标准误聚类到行业层面。</w:t>
      </w:r>
    </w:p>
    <w:p>
      <w:pPr>
        <w:pStyle w:val="BodyText"/>
      </w:pPr>
      <w:r>
        <w:t xml:space="preserve">尽管模型控制了企业与年份固定效应，行业机器人渗透度与企业劳动收入份额之间仍可能存在内生性。一方面，劳动收入份额较低（自动化程度较高）的行业可能更倾向于采用机器人，导致反向因果；另一方面，可能存在同时影响机器人应用与劳动收入份额的遗漏变量。为缓解上述内生性，本文借鉴王永钦和董雯（2020）的做法，采用巴蒂克（Bartik）工具变量策略，以国外同行业的机器人渗透度作为国内行业机器人渗透度的工具变量。其识别逻辑在于，各国同行业机器人应用的变化反映了行业层面共同的自动化技术进步趋势，与国内单个企业的劳动收入份额并无直接关联，满足工具变量的相关性与外生性要求。据此构建如下两阶段最小二乘（2SLS）模型：</w:t>
      </w:r>
    </w:p>
    <w:tbl>
      <w:tblPr>
        <w:tblW w:w="94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Caption w:val="__eqnum__"/>
      </w:tblPr>
      <w:tblGrid>
        <w:gridCol w:w="850"/>
        <w:gridCol w:w="7740"/>
        <w:gridCol w:w="850"/>
      </w:tblGrid>
      <w:tr>
        <w:tc>
          <w:tcPr>
            <w:tcW w:w="850" w:type="dxa"/>
            <w:vAlign w:val="center"/>
          </w:tcPr>
          <w:p>
            <w:pPr>
              <w:ind w:firstLine="0" w:firstLineChars="0"/>
            </w:pPr>
          </w:p>
        </w:tc>
        <w:tc>
          <w:tcPr>
            <w:tcW w:w="7740" w:type="dxa"/>
            <w:vAlign w:val="center"/>
          </w:tcPr>
          <w:p>
            <w:pPr>
              <w:jc w:val="center"/>
              <w:ind w:firstLine="0" w:firstLineChars="0"/>
            </w:pPr>
            <m:oMathPara>
              <m:oMathParaPr>
                <m:jc m:val="center"/>
              </m:oMathParaPr>
              <m:oMath>
                <m:sSub>
                  <m:e>
                    <m:r>
                      <m:rPr>
                        <m:nor/>
                        <m:sty m:val="p"/>
                      </m:rPr>
                      <m:t>RP</m:t>
                    </m:r>
                  </m:e>
                  <m:sub>
                    <m:r>
                      <m:t>j</m:t>
                    </m:r>
                    <m:r>
                      <m:t>t</m:t>
                    </m:r>
                  </m:sub>
                </m:sSub>
                <m:r>
                  <m:rPr>
                    <m:sty m:val="p"/>
                  </m:rPr>
                  <m:t>=</m:t>
                </m:r>
                <m:sSub>
                  <m:e>
                    <m:r>
                      <m:t>π</m:t>
                    </m:r>
                  </m:e>
                  <m:sub>
                    <m:r>
                      <m:t>0</m:t>
                    </m:r>
                  </m:sub>
                </m:sSub>
                <m:r>
                  <m:rPr>
                    <m:sty m:val="p"/>
                  </m:rPr>
                  <m:t>+</m:t>
                </m:r>
                <m:sSub>
                  <m:e>
                    <m:r>
                      <m:t>π</m:t>
                    </m:r>
                  </m:e>
                  <m:sub>
                    <m:r>
                      <m:t>1</m:t>
                    </m:r>
                  </m:sub>
                </m:sSub>
                <m:sSubSup>
                  <m:e>
                    <m:r>
                      <m:rPr>
                        <m:nor/>
                        <m:sty m:val="p"/>
                      </m:rPr>
                      <m:t>RP</m:t>
                    </m:r>
                  </m:e>
                  <m:sub>
                    <m:r>
                      <m:t>j</m:t>
                    </m:r>
                    <m:r>
                      <m:t>t</m:t>
                    </m:r>
                  </m:sub>
                  <m:sup>
                    <m:r>
                      <m:t> </m:t>
                    </m:r>
                    <m:r>
                      <m:t>F</m:t>
                    </m:r>
                  </m:sup>
                </m:sSubSup>
                <m:r>
                  <m:rPr>
                    <m:sty m:val="p"/>
                  </m:rPr>
                  <m:t>+</m:t>
                </m:r>
                <m:sSub>
                  <m:e>
                    <m:r>
                      <m:t>X</m:t>
                    </m:r>
                  </m:e>
                  <m:sub>
                    <m:r>
                      <m:t>i</m:t>
                    </m:r>
                    <m:r>
                      <m:t>t</m:t>
                    </m:r>
                  </m:sub>
                </m:sSub>
                <m:r>
                  <m:rPr>
                    <m:sty m:val="p"/>
                  </m:rPr>
                  <m:t>′</m:t>
                </m:r>
                <m:r>
                  <m:t>ϕ</m:t>
                </m:r>
                <m:r>
                  <m:rPr>
                    <m:sty m:val="p"/>
                  </m:rPr>
                  <m:t>+</m:t>
                </m:r>
                <m:sSub>
                  <m:e>
                    <m:r>
                      <m:t>μ</m:t>
                    </m:r>
                  </m:e>
                  <m:sub>
                    <m:r>
                      <m:t>i</m:t>
                    </m:r>
                  </m:sub>
                </m:sSub>
                <m:r>
                  <m:rPr>
                    <m:sty m:val="p"/>
                  </m:rPr>
                  <m:t>+</m:t>
                </m:r>
                <m:sSub>
                  <m:e>
                    <m:r>
                      <m:t>λ</m:t>
                    </m:r>
                  </m:e>
                  <m:sub>
                    <m:r>
                      <m:t>t</m:t>
                    </m:r>
                  </m:sub>
                </m:sSub>
                <m:r>
                  <m:rPr>
                    <m:sty m:val="p"/>
                  </m:rPr>
                  <m:t>+</m:t>
                </m:r>
                <m:sSub>
                  <m:e>
                    <m:r>
                      <m:t>ν</m:t>
                    </m:r>
                  </m:e>
                  <m:sub>
                    <m:r>
                      <m:t>i</m:t>
                    </m:r>
                    <m:r>
                      <m:t>t</m:t>
                    </m:r>
                  </m:sub>
                </m:sSub>
              </m:oMath>
            </m:oMathPara>
          </w:p>
        </w:tc>
        <w:tc>
          <w:tcPr>
            <w:tcW w:w="850" w:type="dxa"/>
            <w:vAlign w:val="center"/>
          </w:tcPr>
          <w:p>
            <w:pPr>
              <w:jc w:val="right"/>
              <w:ind w:firstLine="0" w:firstLineChars="0"/>
            </w:pPr>
            <w:r>
              <w:rPr>
                <w:rFonts w:ascii="Times New Roman" w:hAnsi="Times New Roman" w:eastAsia="宋体"/>
              </w:rPr>
              <w:t xml:space="preserve">（3）</w:t>
            </w:r>
          </w:p>
        </w:tc>
      </w:tr>
    </w:tbl>
    <w:tbl>
      <w:tblPr>
        <w:tblW w:w="94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Caption w:val="__eqnum__"/>
      </w:tblPr>
      <w:tblGrid>
        <w:gridCol w:w="850"/>
        <w:gridCol w:w="7740"/>
        <w:gridCol w:w="850"/>
      </w:tblGrid>
      <w:tr>
        <w:tc>
          <w:tcPr>
            <w:tcW w:w="850" w:type="dxa"/>
            <w:vAlign w:val="center"/>
          </w:tcPr>
          <w:p>
            <w:pPr>
              <w:ind w:firstLine="0" w:firstLineChars="0"/>
            </w:pPr>
          </w:p>
        </w:tc>
        <w:tc>
          <w:tcPr>
            <w:tcW w:w="7740" w:type="dxa"/>
            <w:vAlign w:val="center"/>
          </w:tcPr>
          <w:p>
            <w:pPr>
              <w:jc w:val="center"/>
              <w:ind w:firstLine="0" w:firstLineChars="0"/>
            </w:pPr>
            <m:oMathPara>
              <m:oMathParaPr>
                <m:jc m:val="center"/>
              </m:oMathParaPr>
              <m:oMath>
                <m:sSub>
                  <m:e>
                    <m:r>
                      <m:rPr>
                        <m:nor/>
                        <m:sty m:val="p"/>
                      </m:rPr>
                      <m:t>LS</m:t>
                    </m:r>
                  </m:e>
                  <m:sub>
                    <m:r>
                      <m:t>i</m:t>
                    </m:r>
                    <m:r>
                      <m:t>t</m:t>
                    </m:r>
                  </m:sub>
                </m:sSub>
                <m:r>
                  <m:rPr>
                    <m:sty m:val="p"/>
                  </m:rPr>
                  <m:t>=</m:t>
                </m:r>
                <m:r>
                  <m:t>α</m:t>
                </m:r>
                <m:r>
                  <m:rPr>
                    <m:sty m:val="p"/>
                  </m:rPr>
                  <m:t>+</m:t>
                </m:r>
                <m:r>
                  <m:t>β</m:t>
                </m:r>
                <m:r>
                  <m:t> </m:t>
                </m:r>
                <m:sSub>
                  <m:e>
                    <m:acc>
                      <m:accPr>
                        <m:chr m:val="̂"/>
                      </m:accPr>
                      <m:e>
                        <m:r>
                          <m:rPr>
                            <m:nor/>
                            <m:sty m:val="p"/>
                          </m:rPr>
                          <m:t>RP</m:t>
                        </m:r>
                      </m:e>
                    </m:acc>
                  </m:e>
                  <m:sub>
                    <m:r>
                      <m:t>j</m:t>
                    </m:r>
                    <m:r>
                      <m:t>t</m:t>
                    </m:r>
                  </m:sub>
                </m:sSub>
                <m:r>
                  <m:rPr>
                    <m:sty m:val="p"/>
                  </m:rPr>
                  <m:t>+</m:t>
                </m:r>
                <m:sSub>
                  <m:e>
                    <m:r>
                      <m:t>X</m:t>
                    </m:r>
                  </m:e>
                  <m:sub>
                    <m:r>
                      <m:t>i</m:t>
                    </m:r>
                    <m:r>
                      <m:t>t</m:t>
                    </m:r>
                  </m:sub>
                </m:sSub>
                <m:r>
                  <m:rPr>
                    <m:sty m:val="p"/>
                  </m:rPr>
                  <m:t>′</m:t>
                </m:r>
                <m:r>
                  <m:t>γ</m:t>
                </m:r>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p>
        </w:tc>
        <w:tc>
          <w:tcPr>
            <w:tcW w:w="850" w:type="dxa"/>
            <w:vAlign w:val="center"/>
          </w:tcPr>
          <w:p>
            <w:pPr>
              <w:jc w:val="right"/>
              <w:ind w:firstLine="0" w:firstLineChars="0"/>
            </w:pPr>
            <w:r>
              <w:rPr>
                <w:rFonts w:ascii="Times New Roman" w:hAnsi="Times New Roman" w:eastAsia="宋体"/>
              </w:rPr>
              <w:t xml:space="preserve">（4）</w:t>
            </w:r>
          </w:p>
        </w:tc>
      </w:tr>
    </w:tbl>
    <w:p>
      <w:pPr>
        <w:pStyle w:val="BodyText"/>
      </w:pPr>
      <w:r>
        <w:t xml:space="preserve">其中，</w:t>
      </w:r>
      <m:oMath>
        <m:sSubSup>
          <m:e>
            <m:r>
              <m:rPr>
                <m:nor/>
                <m:sty m:val="p"/>
              </m:rPr>
              <m:t>RP</m:t>
            </m:r>
          </m:e>
          <m:sub>
            <m:r>
              <m:t>j</m:t>
            </m:r>
            <m:r>
              <m:t>t</m:t>
            </m:r>
          </m:sub>
          <m:sup>
            <m:r>
              <m:t> </m:t>
            </m:r>
            <m:r>
              <m:t>F</m:t>
            </m:r>
          </m:sup>
        </m:sSubSup>
      </m:oMath>
      <w:r>
        <w:t xml:space="preserve"> </w:t>
      </w:r>
      <w:r>
        <w:t xml:space="preserve">为国外同行业机器人渗透度，</w:t>
      </w:r>
      <m:oMath>
        <m:sSub>
          <m:e>
            <m:acc>
              <m:accPr>
                <m:chr m:val="̂"/>
              </m:accPr>
              <m:e>
                <m:r>
                  <m:rPr>
                    <m:nor/>
                    <m:sty m:val="p"/>
                  </m:rPr>
                  <m:t>RP</m:t>
                </m:r>
              </m:e>
            </m:acc>
          </m:e>
          <m:sub>
            <m:r>
              <m:t>j</m:t>
            </m:r>
            <m:r>
              <m:t>t</m:t>
            </m:r>
          </m:sub>
        </m:sSub>
      </m:oMath>
      <w:r>
        <w:t xml:space="preserve"> </w:t>
      </w:r>
      <w:r>
        <w:t xml:space="preserve">为第一阶段的拟合值。</w:t>
      </w:r>
    </w:p>
    <w:bookmarkEnd w:id="28"/>
    <w:bookmarkStart w:id="29" w:name="二数据与变量"/>
    <w:p>
      <w:pPr>
        <w:pStyle w:val="Heading3"/>
      </w:pPr>
      <w:r>
        <w:t xml:space="preserve">（二）数据与变量</w:t>
      </w:r>
    </w:p>
    <w:p>
      <w:pPr>
        <w:pStyle w:val="FirstParagraph"/>
      </w:pPr>
      <w:r>
        <w:t xml:space="preserve">本文使用的数据来自两个方面。企业层面数据来自2011—2019年中国沪深A股制造业上市公司，主要变量取自企业年度财务报表；行业机器人数据来自国际机器人联合会（IFR）公布的分行业工业机器人安装与保有量数据。参考已有研究，本文将IFR行业机器人数据与制造业细分行业相匹配，并结合各行业就业规模构造企业层面的机器人渗透度。在剔除关键变量缺失、ST及资不抵债的样本后，最终得到覆盖多个制造业细分行业的企业—年份面板数据。</w:t>
      </w:r>
    </w:p>
    <w:p>
      <w:pPr>
        <w:pStyle w:val="BodyText"/>
      </w:pPr>
      <w:r>
        <w:t xml:space="preserve">被解释变量为劳动收入份额（</w:t>
      </w:r>
      <m:oMath>
        <m:r>
          <m:rPr>
            <m:nor/>
            <m:sty m:val="p"/>
          </m:rPr>
          <m:t>LS</m:t>
        </m:r>
      </m:oMath>
      <w:r>
        <w:t xml:space="preserve">）。参考施新政等（2019）的做法，本文以企业支付给职工以及为职工支付的现金占增加值的比重度量劳动收入份额。核心解释变量为行业机器人渗透度（</w:t>
      </w:r>
      <m:oMath>
        <m:r>
          <m:rPr>
            <m:nor/>
            <m:sty m:val="p"/>
          </m:rPr>
          <m:t>RP</m:t>
        </m:r>
      </m:oMath>
      <w:r>
        <w:t xml:space="preserve">），借鉴Acemoglu和Restrepo（2020）及王永钦和董雯（2020）的定义，以行业机器人保有量与行业就业规模之比构造。工具变量为国外同行业机器人渗透度（</w:t>
      </w:r>
      <m:oMath>
        <m:sSup>
          <m:e>
            <m:r>
              <m:rPr>
                <m:nor/>
                <m:sty m:val="p"/>
              </m:rPr>
              <m:t>RP</m:t>
            </m:r>
          </m:e>
          <m:sup>
            <m:r>
              <m:t>F</m:t>
            </m:r>
          </m:sup>
        </m:sSup>
      </m:oMath>
      <w:r>
        <w:t xml:space="preserve">）。控制变量包括企业规模（总资产的对数）、企业年龄、资产负债率、劳动密集度及所有制性质等可能影响劳动收入份额的企业特征。同时，模型控制了企业固定效应与年份固定效应。</w:t>
      </w:r>
    </w:p>
    <w:p>
      <w:pPr>
        <w:pStyle w:val="BodyText"/>
      </w:pPr>
      <w:r>
        <w:t xml:space="preserve">主要变量的描述性统计结果报告于表1。</w:t>
      </w:r>
    </w:p>
    <w:p>
      <w:pPr>
        <w:keepNext/>
        <w:pStyle w:val="BodyText"/>
        <w:jc w:val="center"/>
        <w:ind w:firstLine="0" w:firstLineChars="0"/>
      </w:pPr>
      <w:r>
        <w:rPr>
          <w:rFonts w:eastAsia="黑体" w:ascii="Times New Roman" w:hAnsi="Times New Roman"/>
          <w:sz w:val="18"/>
          <w:szCs w:val="18"/>
        </w:rPr>
        <w:t xml:space="preserve">表1　主要变量的描述性统计</w:t>
      </w:r>
    </w:p>
    <w:tbl>
      <w:tblPr>
        <w:tblW w:w="9200"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CellMar>
          <w:top w:w="15" w:type="dxa"/>
          <w:left w:w="80" w:type="dxa"/>
          <w:bottom w:w="15" w:type="dxa"/>
          <w:right w:w="80" w:type="dxa"/>
        </w:tblCellMar>
        <w:tblLook w:val="04A0" w:firstRow="1" w:lastRow="0" w:firstColumn="1" w:lastColumn="0" w:noHBand="0" w:noVBand="1"/>
      </w:tblPr>
      <w:tblGrid>
        <w:gridCol w:w="2600"/>
        <w:gridCol w:w="1320"/>
        <w:gridCol w:w="1320"/>
        <w:gridCol w:w="1320"/>
        <w:gridCol w:w="1320"/>
        <w:gridCol w:w="1320"/>
      </w:tblGrid>
      <w:tr>
        <w:trPr>
          <w:tblHeader w:val="true"/>
          <w:cantSplit/>
        </w:trPr>
        <w:tc>
          <w:tcPr>
            <w:tcW w:w="2600" w:type="dxa"/>
            <w:tcBorders>
              <w:bottom w:val="single" w:sz="6" w:space="0" w:color="auto"/>
            </w:tcBorders>
          </w:tcPr>
          <w:p>
            <w:pPr>
              <w:pStyle w:val="Compact"/>
              <w:jc w:val="left"/>
            </w:pPr>
            <w:r>
              <w:t xml:space="preserve">变量</w:t>
            </w:r>
          </w:p>
        </w:tc>
        <w:tc>
          <w:tcPr>
            <w:tcW w:w="1320" w:type="dxa"/>
            <w:tcBorders>
              <w:bottom w:val="single" w:sz="6" w:space="0" w:color="auto"/>
            </w:tcBorders>
          </w:tcPr>
          <w:p>
            <w:pPr>
              <w:pStyle w:val="Compact"/>
              <w:jc w:val="center"/>
            </w:pPr>
            <w:r>
              <w:t xml:space="preserve">样本量</w:t>
            </w:r>
          </w:p>
        </w:tc>
        <w:tc>
          <w:tcPr>
            <w:tcW w:w="1320" w:type="dxa"/>
            <w:tcBorders>
              <w:bottom w:val="single" w:sz="6" w:space="0" w:color="auto"/>
            </w:tcBorders>
          </w:tcPr>
          <w:p>
            <w:pPr>
              <w:pStyle w:val="Compact"/>
              <w:jc w:val="center"/>
            </w:pPr>
            <w:r>
              <w:t xml:space="preserve">均值</w:t>
            </w:r>
          </w:p>
        </w:tc>
        <w:tc>
          <w:tcPr>
            <w:tcW w:w="1320" w:type="dxa"/>
            <w:tcBorders>
              <w:bottom w:val="single" w:sz="6" w:space="0" w:color="auto"/>
            </w:tcBorders>
          </w:tcPr>
          <w:p>
            <w:pPr>
              <w:pStyle w:val="Compact"/>
              <w:jc w:val="center"/>
            </w:pPr>
            <w:r>
              <w:t xml:space="preserve">标准差</w:t>
            </w:r>
          </w:p>
        </w:tc>
        <w:tc>
          <w:tcPr>
            <w:tcW w:w="1320" w:type="dxa"/>
            <w:tcBorders>
              <w:bottom w:val="single" w:sz="6" w:space="0" w:color="auto"/>
            </w:tcBorders>
          </w:tcPr>
          <w:p>
            <w:pPr>
              <w:pStyle w:val="Compact"/>
              <w:jc w:val="center"/>
            </w:pPr>
            <w:r>
              <w:t xml:space="preserve">最小值</w:t>
            </w:r>
          </w:p>
        </w:tc>
        <w:tc>
          <w:tcPr>
            <w:tcW w:w="1320" w:type="dxa"/>
            <w:tcBorders>
              <w:bottom w:val="single" w:sz="6" w:space="0" w:color="auto"/>
            </w:tcBorders>
          </w:tcPr>
          <w:p>
            <w:pPr>
              <w:pStyle w:val="Compact"/>
              <w:jc w:val="center"/>
            </w:pPr>
            <w:r>
              <w:t xml:space="preserve">最大值</w:t>
            </w:r>
          </w:p>
        </w:tc>
      </w:tr>
      <w:tr>
        <w:trPr>
          <w:cantSplit/>
        </w:trPr>
        <w:tc>
          <w:tcPr>
            <w:tcW w:w="2600" w:type="dxa"/>
          </w:tcPr>
          <w:p>
            <w:pPr>
              <w:pStyle w:val="Compact"/>
              <w:jc w:val="left"/>
            </w:pPr>
            <w:r>
              <w:t xml:space="preserve">劳动份额</w:t>
            </w:r>
          </w:p>
        </w:tc>
        <w:tc>
          <w:tcPr>
            <w:tcW w:w="1320" w:type="dxa"/>
          </w:tcPr>
          <w:p>
            <w:pPr>
              <w:pStyle w:val="Compact"/>
              <w:jc w:val="center"/>
            </w:pPr>
            <w:r>
              <w:t xml:space="preserve">14400</w:t>
            </w:r>
          </w:p>
        </w:tc>
        <w:tc>
          <w:tcPr>
            <w:tcW w:w="1320" w:type="dxa"/>
          </w:tcPr>
          <w:p>
            <w:pPr>
              <w:pStyle w:val="Compact"/>
              <w:jc w:val="center"/>
            </w:pPr>
            <w:r>
              <w:t xml:space="preserve">0.282</w:t>
            </w:r>
          </w:p>
        </w:tc>
        <w:tc>
          <w:tcPr>
            <w:tcW w:w="1320" w:type="dxa"/>
          </w:tcPr>
          <w:p>
            <w:pPr>
              <w:pStyle w:val="Compact"/>
              <w:jc w:val="center"/>
            </w:pPr>
            <w:r>
              <w:t xml:space="preserve">0.085</w:t>
            </w:r>
          </w:p>
        </w:tc>
        <w:tc>
          <w:tcPr>
            <w:tcW w:w="1320" w:type="dxa"/>
          </w:tcPr>
          <w:p>
            <w:pPr>
              <w:pStyle w:val="Compact"/>
              <w:jc w:val="center"/>
            </w:pPr>
            <w:r>
              <w:t xml:space="preserve">0.050</w:t>
            </w:r>
          </w:p>
        </w:tc>
        <w:tc>
          <w:tcPr>
            <w:tcW w:w="1320" w:type="dxa"/>
          </w:tcPr>
          <w:p>
            <w:pPr>
              <w:pStyle w:val="Compact"/>
              <w:jc w:val="center"/>
            </w:pPr>
            <w:r>
              <w:t xml:space="preserve">0.562</w:t>
            </w:r>
          </w:p>
        </w:tc>
      </w:tr>
      <w:tr>
        <w:trPr>
          <w:cantSplit/>
        </w:trPr>
        <w:tc>
          <w:tcPr>
            <w:tcW w:w="2600" w:type="dxa"/>
          </w:tcPr>
          <w:p>
            <w:pPr>
              <w:pStyle w:val="Compact"/>
              <w:jc w:val="left"/>
            </w:pPr>
            <w:r>
              <w:t xml:space="preserve">渗透度</w:t>
            </w:r>
          </w:p>
        </w:tc>
        <w:tc>
          <w:tcPr>
            <w:tcW w:w="1320" w:type="dxa"/>
          </w:tcPr>
          <w:p>
            <w:pPr>
              <w:pStyle w:val="Compact"/>
              <w:jc w:val="center"/>
            </w:pPr>
            <w:r>
              <w:t xml:space="preserve">14400</w:t>
            </w:r>
          </w:p>
        </w:tc>
        <w:tc>
          <w:tcPr>
            <w:tcW w:w="1320" w:type="dxa"/>
          </w:tcPr>
          <w:p>
            <w:pPr>
              <w:pStyle w:val="Compact"/>
              <w:jc w:val="center"/>
            </w:pPr>
            <w:r>
              <w:t xml:space="preserve">1.378</w:t>
            </w:r>
          </w:p>
        </w:tc>
        <w:tc>
          <w:tcPr>
            <w:tcW w:w="1320" w:type="dxa"/>
          </w:tcPr>
          <w:p>
            <w:pPr>
              <w:pStyle w:val="Compact"/>
              <w:jc w:val="center"/>
            </w:pPr>
            <w:r>
              <w:t xml:space="preserve">0.574</w:t>
            </w:r>
          </w:p>
        </w:tc>
        <w:tc>
          <w:tcPr>
            <w:tcW w:w="1320" w:type="dxa"/>
          </w:tcPr>
          <w:p>
            <w:pPr>
              <w:pStyle w:val="Compact"/>
              <w:jc w:val="center"/>
            </w:pPr>
            <w:r>
              <w:t xml:space="preserve">0.251</w:t>
            </w:r>
          </w:p>
        </w:tc>
        <w:tc>
          <w:tcPr>
            <w:tcW w:w="1320" w:type="dxa"/>
          </w:tcPr>
          <w:p>
            <w:pPr>
              <w:pStyle w:val="Compact"/>
              <w:jc w:val="center"/>
            </w:pPr>
            <w:r>
              <w:t xml:space="preserve">2.848</w:t>
            </w:r>
          </w:p>
        </w:tc>
      </w:tr>
      <w:tr>
        <w:trPr>
          <w:cantSplit/>
        </w:trPr>
        <w:tc>
          <w:tcPr>
            <w:tcW w:w="2600" w:type="dxa"/>
          </w:tcPr>
          <w:p>
            <w:pPr>
              <w:pStyle w:val="Compact"/>
              <w:jc w:val="left"/>
            </w:pPr>
            <w:r>
              <w:t xml:space="preserve">企业规模</w:t>
            </w:r>
          </w:p>
        </w:tc>
        <w:tc>
          <w:tcPr>
            <w:tcW w:w="1320" w:type="dxa"/>
          </w:tcPr>
          <w:p>
            <w:pPr>
              <w:pStyle w:val="Compact"/>
              <w:jc w:val="center"/>
            </w:pPr>
            <w:r>
              <w:t xml:space="preserve">14400</w:t>
            </w:r>
          </w:p>
        </w:tc>
        <w:tc>
          <w:tcPr>
            <w:tcW w:w="1320" w:type="dxa"/>
          </w:tcPr>
          <w:p>
            <w:pPr>
              <w:pStyle w:val="Compact"/>
              <w:jc w:val="center"/>
            </w:pPr>
            <w:r>
              <w:t xml:space="preserve">21.626</w:t>
            </w:r>
          </w:p>
        </w:tc>
        <w:tc>
          <w:tcPr>
            <w:tcW w:w="1320" w:type="dxa"/>
          </w:tcPr>
          <w:p>
            <w:pPr>
              <w:pStyle w:val="Compact"/>
              <w:jc w:val="center"/>
            </w:pPr>
            <w:r>
              <w:t xml:space="preserve">1.079</w:t>
            </w:r>
          </w:p>
        </w:tc>
        <w:tc>
          <w:tcPr>
            <w:tcW w:w="1320" w:type="dxa"/>
          </w:tcPr>
          <w:p>
            <w:pPr>
              <w:pStyle w:val="Compact"/>
              <w:jc w:val="center"/>
            </w:pPr>
            <w:r>
              <w:t xml:space="preserve">17.532</w:t>
            </w:r>
          </w:p>
        </w:tc>
        <w:tc>
          <w:tcPr>
            <w:tcW w:w="1320" w:type="dxa"/>
          </w:tcPr>
          <w:p>
            <w:pPr>
              <w:pStyle w:val="Compact"/>
              <w:jc w:val="center"/>
            </w:pPr>
            <w:r>
              <w:t xml:space="preserve">25.045</w:t>
            </w:r>
          </w:p>
        </w:tc>
      </w:tr>
      <w:tr>
        <w:trPr>
          <w:cantSplit/>
        </w:trPr>
        <w:tc>
          <w:tcPr>
            <w:tcW w:w="2600" w:type="dxa"/>
          </w:tcPr>
          <w:p>
            <w:pPr>
              <w:pStyle w:val="Compact"/>
              <w:jc w:val="left"/>
            </w:pPr>
            <w:r>
              <w:t xml:space="preserve">年龄</w:t>
            </w:r>
          </w:p>
        </w:tc>
        <w:tc>
          <w:tcPr>
            <w:tcW w:w="1320" w:type="dxa"/>
          </w:tcPr>
          <w:p>
            <w:pPr>
              <w:pStyle w:val="Compact"/>
              <w:jc w:val="center"/>
            </w:pPr>
            <w:r>
              <w:t xml:space="preserve">14400</w:t>
            </w:r>
          </w:p>
        </w:tc>
        <w:tc>
          <w:tcPr>
            <w:tcW w:w="1320" w:type="dxa"/>
          </w:tcPr>
          <w:p>
            <w:pPr>
              <w:pStyle w:val="Compact"/>
              <w:jc w:val="center"/>
            </w:pPr>
            <w:r>
              <w:t xml:space="preserve">16.992</w:t>
            </w:r>
          </w:p>
        </w:tc>
        <w:tc>
          <w:tcPr>
            <w:tcW w:w="1320" w:type="dxa"/>
          </w:tcPr>
          <w:p>
            <w:pPr>
              <w:pStyle w:val="Compact"/>
              <w:jc w:val="center"/>
            </w:pPr>
            <w:r>
              <w:t xml:space="preserve">5.032</w:t>
            </w:r>
          </w:p>
        </w:tc>
        <w:tc>
          <w:tcPr>
            <w:tcW w:w="1320" w:type="dxa"/>
          </w:tcPr>
          <w:p>
            <w:pPr>
              <w:pStyle w:val="Compact"/>
              <w:jc w:val="center"/>
            </w:pPr>
            <w:r>
              <w:t xml:space="preserve">6.000</w:t>
            </w:r>
          </w:p>
        </w:tc>
        <w:tc>
          <w:tcPr>
            <w:tcW w:w="1320" w:type="dxa"/>
          </w:tcPr>
          <w:p>
            <w:pPr>
              <w:pStyle w:val="Compact"/>
              <w:jc w:val="center"/>
            </w:pPr>
            <w:r>
              <w:t xml:space="preserve">28.000</w:t>
            </w:r>
          </w:p>
        </w:tc>
      </w:tr>
      <w:tr>
        <w:trPr>
          <w:cantSplit/>
        </w:trPr>
        <w:tc>
          <w:tcPr>
            <w:tcW w:w="2600" w:type="dxa"/>
          </w:tcPr>
          <w:p>
            <w:pPr>
              <w:pStyle w:val="Compact"/>
              <w:jc w:val="left"/>
            </w:pPr>
            <w:r>
              <w:t xml:space="preserve">资产负债率</w:t>
            </w:r>
          </w:p>
        </w:tc>
        <w:tc>
          <w:tcPr>
            <w:tcW w:w="1320" w:type="dxa"/>
          </w:tcPr>
          <w:p>
            <w:pPr>
              <w:pStyle w:val="Compact"/>
              <w:jc w:val="center"/>
            </w:pPr>
            <w:r>
              <w:t xml:space="preserve">14400</w:t>
            </w:r>
          </w:p>
        </w:tc>
        <w:tc>
          <w:tcPr>
            <w:tcW w:w="1320" w:type="dxa"/>
          </w:tcPr>
          <w:p>
            <w:pPr>
              <w:pStyle w:val="Compact"/>
              <w:jc w:val="center"/>
            </w:pPr>
            <w:r>
              <w:t xml:space="preserve">0.449</w:t>
            </w:r>
          </w:p>
        </w:tc>
        <w:tc>
          <w:tcPr>
            <w:tcW w:w="1320" w:type="dxa"/>
          </w:tcPr>
          <w:p>
            <w:pPr>
              <w:pStyle w:val="Compact"/>
              <w:jc w:val="center"/>
            </w:pPr>
            <w:r>
              <w:t xml:space="preserve">0.105</w:t>
            </w:r>
          </w:p>
        </w:tc>
        <w:tc>
          <w:tcPr>
            <w:tcW w:w="1320" w:type="dxa"/>
          </w:tcPr>
          <w:p>
            <w:pPr>
              <w:pStyle w:val="Compact"/>
              <w:jc w:val="center"/>
            </w:pPr>
            <w:r>
              <w:t xml:space="preserve">0.053</w:t>
            </w:r>
          </w:p>
        </w:tc>
        <w:tc>
          <w:tcPr>
            <w:tcW w:w="1320" w:type="dxa"/>
          </w:tcPr>
          <w:p>
            <w:pPr>
              <w:pStyle w:val="Compact"/>
              <w:jc w:val="center"/>
            </w:pPr>
            <w:r>
              <w:t xml:space="preserve">0.915</w:t>
            </w:r>
          </w:p>
        </w:tc>
      </w:tr>
      <w:tr>
        <w:trPr>
          <w:cantSplit/>
        </w:trPr>
        <w:tc>
          <w:tcPr>
            <w:tcW w:w="2600" w:type="dxa"/>
          </w:tcPr>
          <w:p>
            <w:pPr>
              <w:pStyle w:val="Compact"/>
              <w:jc w:val="left"/>
            </w:pPr>
            <w:r>
              <w:t xml:space="preserve">劳动密集度</w:t>
            </w:r>
          </w:p>
        </w:tc>
        <w:tc>
          <w:tcPr>
            <w:tcW w:w="1320" w:type="dxa"/>
          </w:tcPr>
          <w:p>
            <w:pPr>
              <w:pStyle w:val="Compact"/>
              <w:jc w:val="center"/>
            </w:pPr>
            <w:r>
              <w:t xml:space="preserve">14400</w:t>
            </w:r>
          </w:p>
        </w:tc>
        <w:tc>
          <w:tcPr>
            <w:tcW w:w="1320" w:type="dxa"/>
          </w:tcPr>
          <w:p>
            <w:pPr>
              <w:pStyle w:val="Compact"/>
              <w:jc w:val="center"/>
            </w:pPr>
            <w:r>
              <w:t xml:space="preserve">0.002</w:t>
            </w:r>
          </w:p>
        </w:tc>
        <w:tc>
          <w:tcPr>
            <w:tcW w:w="1320" w:type="dxa"/>
          </w:tcPr>
          <w:p>
            <w:pPr>
              <w:pStyle w:val="Compact"/>
              <w:jc w:val="center"/>
            </w:pPr>
            <w:r>
              <w:t xml:space="preserve">0.998</w:t>
            </w:r>
          </w:p>
        </w:tc>
        <w:tc>
          <w:tcPr>
            <w:tcW w:w="1320" w:type="dxa"/>
          </w:tcPr>
          <w:p>
            <w:pPr>
              <w:pStyle w:val="Compact"/>
              <w:jc w:val="center"/>
            </w:pPr>
            <w:r>
              <w:t xml:space="preserve">-3.247</w:t>
            </w:r>
          </w:p>
        </w:tc>
        <w:tc>
          <w:tcPr>
            <w:tcW w:w="1320" w:type="dxa"/>
          </w:tcPr>
          <w:p>
            <w:pPr>
              <w:pStyle w:val="Compact"/>
              <w:jc w:val="center"/>
            </w:pPr>
            <w:r>
              <w:t xml:space="preserve">3.258</w:t>
            </w:r>
          </w:p>
        </w:tc>
      </w:tr>
      <w:tr>
        <w:trPr>
          <w:cantSplit/>
        </w:trPr>
        <w:tc>
          <w:tcPr>
            <w:tcW w:w="2600" w:type="dxa"/>
          </w:tcPr>
          <w:p>
            <w:pPr>
              <w:pStyle w:val="Compact"/>
              <w:jc w:val="left"/>
            </w:pPr>
            <w:r>
              <w:t xml:space="preserve">国有企业</w:t>
            </w:r>
          </w:p>
        </w:tc>
        <w:tc>
          <w:tcPr>
            <w:tcW w:w="1320" w:type="dxa"/>
          </w:tcPr>
          <w:p>
            <w:pPr>
              <w:pStyle w:val="Compact"/>
              <w:jc w:val="center"/>
            </w:pPr>
            <w:r>
              <w:t xml:space="preserve">14400</w:t>
            </w:r>
          </w:p>
        </w:tc>
        <w:tc>
          <w:tcPr>
            <w:tcW w:w="1320" w:type="dxa"/>
          </w:tcPr>
          <w:p>
            <w:pPr>
              <w:pStyle w:val="Compact"/>
              <w:jc w:val="center"/>
            </w:pPr>
            <w:r>
              <w:t xml:space="preserve">0.318</w:t>
            </w:r>
          </w:p>
        </w:tc>
        <w:tc>
          <w:tcPr>
            <w:tcW w:w="1320" w:type="dxa"/>
          </w:tcPr>
          <w:p>
            <w:pPr>
              <w:pStyle w:val="Compact"/>
              <w:jc w:val="center"/>
            </w:pPr>
            <w:r>
              <w:t xml:space="preserve">0.466</w:t>
            </w:r>
          </w:p>
        </w:tc>
        <w:tc>
          <w:tcPr>
            <w:tcW w:w="1320" w:type="dxa"/>
          </w:tcPr>
          <w:p>
            <w:pPr>
              <w:pStyle w:val="Compact"/>
              <w:jc w:val="center"/>
            </w:pPr>
            <w:r>
              <w:t xml:space="preserve">0.000</w:t>
            </w:r>
          </w:p>
        </w:tc>
        <w:tc>
          <w:tcPr>
            <w:tcW w:w="1320" w:type="dxa"/>
          </w:tcPr>
          <w:p>
            <w:pPr>
              <w:pStyle w:val="Compact"/>
              <w:jc w:val="center"/>
            </w:pPr>
            <w:r>
              <w:t xml:space="preserve">1.000</w:t>
            </w:r>
          </w:p>
        </w:tc>
      </w:tr>
    </w:tbl>
    <w:bookmarkEnd w:id="29"/>
    <w:bookmarkEnd w:id="30"/>
    <w:bookmarkStart w:id="34" w:name="四实证结果"/>
    <w:p>
      <w:pPr>
        <w:pStyle w:val="Heading2"/>
      </w:pPr>
      <w:r>
        <w:t xml:space="preserve">四、实证结果</w:t>
      </w:r>
    </w:p>
    <w:bookmarkStart w:id="31" w:name="一基准回归结果"/>
    <w:p>
      <w:pPr>
        <w:pStyle w:val="Heading3"/>
      </w:pPr>
      <w:r>
        <w:t xml:space="preserve">（一）基准回归结果</w:t>
      </w:r>
    </w:p>
    <w:p>
      <w:pPr>
        <w:keepNext/>
        <w:pStyle w:val="FirstParagraph"/>
        <w:jc w:val="center"/>
        <w:ind w:firstLine="0" w:firstLineChars="0"/>
      </w:pPr>
      <w:r>
        <w:rPr>
          <w:rFonts w:eastAsia="黑体" w:ascii="Times New Roman" w:hAnsi="Times New Roman"/>
          <w:sz w:val="18"/>
          <w:szCs w:val="18"/>
        </w:rPr>
        <w:t xml:space="preserve">表2报告了工业机器人应用影响企业劳动收入份额的基准估计结果。列（1）仅纳入核心解释变量，列（2）加入年份固定效应，列（3）加入企业与年份固定效应，列（4）在列（3）基础上进一步纳入全部控制变量。</w:t>
      </w:r>
    </w:p>
    <w:p>
      <w:pPr>
        <w:keepNext/>
        <w:pStyle w:val="BodyText"/>
        <w:jc w:val="center"/>
        <w:ind w:firstLine="0" w:firstLineChars="0"/>
      </w:pPr>
      <w:r>
        <w:rPr>
          <w:rFonts w:eastAsia="黑体" w:ascii="Times New Roman" w:hAnsi="Times New Roman"/>
          <w:sz w:val="18"/>
          <w:szCs w:val="18"/>
        </w:rPr>
        <w:t xml:space="preserve">表2　工业机器人应用与劳动收入份额：基准回归结果</w:t>
      </w:r>
    </w:p>
    <w:tbl>
      <w:tblPr>
        <w:tblW w:w="9200"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CellMar>
          <w:top w:w="15" w:type="dxa"/>
          <w:left w:w="80" w:type="dxa"/>
          <w:bottom w:w="15" w:type="dxa"/>
          <w:right w:w="80" w:type="dxa"/>
        </w:tblCellMar>
        <w:tblLook w:val="04A0" w:firstRow="1" w:lastRow="0" w:firstColumn="1" w:lastColumn="0" w:noHBand="0" w:noVBand="1"/>
      </w:tblPr>
      <w:tblGrid>
        <w:gridCol w:w="2600"/>
        <w:gridCol w:w="1650"/>
        <w:gridCol w:w="1650"/>
        <w:gridCol w:w="1650"/>
        <w:gridCol w:w="1650"/>
      </w:tblGrid>
      <w:tr>
        <w:trPr>
          <w:tblHeader w:val="true"/>
          <w:cantSplit/>
        </w:trPr>
        <w:tc>
          <w:tcPr>
            <w:tcW w:w="2600" w:type="dxa"/>
            <w:tcBorders>
              <w:bottom w:val="single" w:sz="6" w:space="0" w:color="auto"/>
            </w:tcBorders>
          </w:tcPr>
          <w:p>
            <w:pPr>
              <w:pStyle w:val="Compact"/>
              <w:jc w:val="left"/>
            </w:pPr>
            <w:r>
              <w:t xml:space="preserve">变量</w:t>
            </w:r>
          </w:p>
        </w:tc>
        <w:tc>
          <w:tcPr>
            <w:tcW w:w="1650" w:type="dxa"/>
            <w:tcBorders>
              <w:bottom w:val="single" w:sz="6" w:space="0" w:color="auto"/>
            </w:tcBorders>
          </w:tcPr>
          <w:p>
            <w:pPr>
              <w:pStyle w:val="Compact"/>
              <w:jc w:val="center"/>
            </w:pPr>
            <w:r>
              <w:t xml:space="preserve">（1）</w:t>
            </w:r>
          </w:p>
        </w:tc>
        <w:tc>
          <w:tcPr>
            <w:tcW w:w="1650" w:type="dxa"/>
            <w:tcBorders>
              <w:bottom w:val="single" w:sz="6" w:space="0" w:color="auto"/>
            </w:tcBorders>
          </w:tcPr>
          <w:p>
            <w:pPr>
              <w:pStyle w:val="Compact"/>
              <w:jc w:val="center"/>
            </w:pPr>
            <w:r>
              <w:t xml:space="preserve">（2）</w:t>
            </w:r>
          </w:p>
        </w:tc>
        <w:tc>
          <w:tcPr>
            <w:tcW w:w="1650" w:type="dxa"/>
            <w:tcBorders>
              <w:bottom w:val="single" w:sz="6" w:space="0" w:color="auto"/>
            </w:tcBorders>
          </w:tcPr>
          <w:p>
            <w:pPr>
              <w:pStyle w:val="Compact"/>
              <w:jc w:val="center"/>
            </w:pPr>
            <w:r>
              <w:t xml:space="preserve">（3）</w:t>
            </w:r>
          </w:p>
        </w:tc>
        <w:tc>
          <w:tcPr>
            <w:tcW w:w="1650" w:type="dxa"/>
            <w:tcBorders>
              <w:bottom w:val="single" w:sz="6" w:space="0" w:color="auto"/>
            </w:tcBorders>
          </w:tcPr>
          <w:p>
            <w:pPr>
              <w:pStyle w:val="Compact"/>
              <w:jc w:val="center"/>
            </w:pPr>
            <w:r>
              <w:t xml:space="preserve">（4）</w:t>
            </w:r>
          </w:p>
        </w:tc>
      </w:tr>
      <w:tr>
        <w:trPr>
          <w:cantSplit/>
        </w:trPr>
        <w:tc>
          <w:tcPr>
            <w:tcW w:w="2600" w:type="dxa"/>
          </w:tcPr>
          <w:p>
            <w:pPr>
              <w:pStyle w:val="Compact"/>
              <w:jc w:val="left"/>
            </w:pPr>
            <w:r>
              <w:t xml:space="preserve">机器人渗透度</w:t>
            </w:r>
          </w:p>
        </w:tc>
        <w:tc>
          <w:tcPr>
            <w:tcW w:w="1650" w:type="dxa"/>
          </w:tcPr>
          <w:p>
            <w:pPr>
              <w:pStyle w:val="Compact"/>
              <w:jc w:val="center"/>
            </w:pPr>
            <w:r>
              <w:t xml:space="preserve">-0.080***</w:t>
            </w:r>
          </w:p>
        </w:tc>
        <w:tc>
          <w:tcPr>
            <w:tcW w:w="1650" w:type="dxa"/>
          </w:tcPr>
          <w:p>
            <w:pPr>
              <w:pStyle w:val="Compact"/>
              <w:jc w:val="center"/>
            </w:pPr>
            <w:r>
              <w:t xml:space="preserve">-0.052***</w:t>
            </w:r>
          </w:p>
        </w:tc>
        <w:tc>
          <w:tcPr>
            <w:tcW w:w="1650" w:type="dxa"/>
          </w:tcPr>
          <w:p>
            <w:pPr>
              <w:pStyle w:val="Compact"/>
              <w:jc w:val="center"/>
            </w:pPr>
            <w:r>
              <w:t xml:space="preserve">-0.055***</w:t>
            </w:r>
          </w:p>
        </w:tc>
        <w:tc>
          <w:tcPr>
            <w:tcW w:w="1650" w:type="dxa"/>
          </w:tcPr>
          <w:p>
            <w:pPr>
              <w:pStyle w:val="Compact"/>
              <w:jc w:val="center"/>
            </w:pPr>
            <w:r>
              <w:t xml:space="preserve">-0.055***</w:t>
            </w:r>
          </w:p>
        </w:tc>
      </w:tr>
      <w:tr>
        <w:trPr>
          <w:cantSplit/>
        </w:trPr>
        <w:tc>
          <w:tcPr>
            <w:tcW w:w="2600" w:type="dxa"/>
          </w:tcPr>
          <w:p>
            <w:pPr>
              <w:pStyle w:val="Compact"/>
            </w:pPr>
          </w:p>
        </w:tc>
        <w:tc>
          <w:tcPr>
            <w:tcW w:w="1650" w:type="dxa"/>
          </w:tcPr>
          <w:p>
            <w:pPr>
              <w:pStyle w:val="Compact"/>
              <w:jc w:val="center"/>
            </w:pPr>
            <w:r>
              <w:t xml:space="preserve">（0.003）</w:t>
            </w:r>
          </w:p>
        </w:tc>
        <w:tc>
          <w:tcPr>
            <w:tcW w:w="1650" w:type="dxa"/>
          </w:tcPr>
          <w:p>
            <w:pPr>
              <w:pStyle w:val="Compact"/>
              <w:jc w:val="center"/>
            </w:pPr>
            <w:r>
              <w:t xml:space="preserve">（0.004）</w:t>
            </w:r>
          </w:p>
        </w:tc>
        <w:tc>
          <w:tcPr>
            <w:tcW w:w="1650" w:type="dxa"/>
          </w:tcPr>
          <w:p>
            <w:pPr>
              <w:pStyle w:val="Compact"/>
              <w:jc w:val="center"/>
            </w:pPr>
            <w:r>
              <w:t xml:space="preserve">（0.002）</w:t>
            </w:r>
          </w:p>
        </w:tc>
        <w:tc>
          <w:tcPr>
            <w:tcW w:w="1650" w:type="dxa"/>
          </w:tcPr>
          <w:p>
            <w:pPr>
              <w:pStyle w:val="Compact"/>
              <w:jc w:val="center"/>
            </w:pPr>
            <w:r>
              <w:t xml:space="preserve">（0.003）</w:t>
            </w:r>
          </w:p>
        </w:tc>
      </w:tr>
      <w:tr>
        <w:trPr>
          <w:cantSplit/>
        </w:trPr>
        <w:tc>
          <w:tcPr>
            <w:tcW w:w="2600" w:type="dxa"/>
          </w:tcPr>
          <w:p>
            <w:pPr>
              <w:pStyle w:val="Compact"/>
              <w:jc w:val="left"/>
            </w:pPr>
            <w:r>
              <w:t xml:space="preserve">控制变量</w:t>
            </w:r>
          </w:p>
        </w:tc>
        <w:tc>
          <w:tcPr>
            <w:tcW w:w="1650" w:type="dxa"/>
          </w:tcPr>
          <w:p>
            <w:pPr>
              <w:pStyle w:val="Compact"/>
              <w:jc w:val="center"/>
            </w:pPr>
            <w:r>
              <w:t xml:space="preserve">否</w:t>
            </w:r>
          </w:p>
        </w:tc>
        <w:tc>
          <w:tcPr>
            <w:tcW w:w="1650" w:type="dxa"/>
          </w:tcPr>
          <w:p>
            <w:pPr>
              <w:pStyle w:val="Compact"/>
              <w:jc w:val="center"/>
            </w:pPr>
            <w:r>
              <w:t xml:space="preserve">否</w:t>
            </w:r>
          </w:p>
        </w:tc>
        <w:tc>
          <w:tcPr>
            <w:tcW w:w="1650" w:type="dxa"/>
          </w:tcPr>
          <w:p>
            <w:pPr>
              <w:pStyle w:val="Compact"/>
              <w:jc w:val="center"/>
            </w:pPr>
            <w:r>
              <w:t xml:space="preserve">否</w:t>
            </w:r>
          </w:p>
        </w:tc>
        <w:tc>
          <w:tcPr>
            <w:tcW w:w="1650" w:type="dxa"/>
          </w:tcPr>
          <w:p>
            <w:pPr>
              <w:pStyle w:val="Compact"/>
              <w:jc w:val="center"/>
            </w:pPr>
            <w:r>
              <w:t xml:space="preserve">是</w:t>
            </w:r>
          </w:p>
        </w:tc>
      </w:tr>
      <w:tr>
        <w:trPr>
          <w:cantSplit/>
        </w:trPr>
        <w:tc>
          <w:tcPr>
            <w:tcW w:w="2600" w:type="dxa"/>
          </w:tcPr>
          <w:p>
            <w:pPr>
              <w:pStyle w:val="Compact"/>
              <w:jc w:val="left"/>
            </w:pPr>
            <w:r>
              <w:t xml:space="preserve">企业固定效应</w:t>
            </w:r>
          </w:p>
        </w:tc>
        <w:tc>
          <w:tcPr>
            <w:tcW w:w="1650" w:type="dxa"/>
          </w:tcPr>
          <w:p>
            <w:pPr>
              <w:pStyle w:val="Compact"/>
              <w:jc w:val="center"/>
            </w:pPr>
            <w:r>
              <w:t xml:space="preserve">否</w:t>
            </w:r>
          </w:p>
        </w:tc>
        <w:tc>
          <w:tcPr>
            <w:tcW w:w="1650" w:type="dxa"/>
          </w:tcPr>
          <w:p>
            <w:pPr>
              <w:pStyle w:val="Compact"/>
              <w:jc w:val="center"/>
            </w:pPr>
            <w:r>
              <w:t xml:space="preserve">否</w:t>
            </w:r>
          </w:p>
        </w:tc>
        <w:tc>
          <w:tcPr>
            <w:tcW w:w="1650" w:type="dxa"/>
          </w:tcPr>
          <w:p>
            <w:pPr>
              <w:pStyle w:val="Compact"/>
              <w:jc w:val="center"/>
            </w:pPr>
            <w:r>
              <w:t xml:space="preserve">是</w:t>
            </w:r>
          </w:p>
        </w:tc>
        <w:tc>
          <w:tcPr>
            <w:tcW w:w="1650" w:type="dxa"/>
          </w:tcPr>
          <w:p>
            <w:pPr>
              <w:pStyle w:val="Compact"/>
              <w:jc w:val="center"/>
            </w:pPr>
            <w:r>
              <w:t xml:space="preserve">是</w:t>
            </w:r>
          </w:p>
        </w:tc>
      </w:tr>
      <w:tr>
        <w:trPr>
          <w:cantSplit/>
        </w:trPr>
        <w:tc>
          <w:tcPr>
            <w:tcW w:w="2600" w:type="dxa"/>
          </w:tcPr>
          <w:p>
            <w:pPr>
              <w:pStyle w:val="Compact"/>
              <w:jc w:val="left"/>
            </w:pPr>
            <w:r>
              <w:t xml:space="preserve">年份固定效应</w:t>
            </w:r>
          </w:p>
        </w:tc>
        <w:tc>
          <w:tcPr>
            <w:tcW w:w="1650" w:type="dxa"/>
          </w:tcPr>
          <w:p>
            <w:pPr>
              <w:pStyle w:val="Compact"/>
              <w:jc w:val="center"/>
            </w:pPr>
            <w:r>
              <w:t xml:space="preserve">否</w:t>
            </w:r>
          </w:p>
        </w:tc>
        <w:tc>
          <w:tcPr>
            <w:tcW w:w="1650" w:type="dxa"/>
          </w:tcPr>
          <w:p>
            <w:pPr>
              <w:pStyle w:val="Compact"/>
              <w:jc w:val="center"/>
            </w:pPr>
            <w:r>
              <w:t xml:space="preserve">是</w:t>
            </w:r>
          </w:p>
        </w:tc>
        <w:tc>
          <w:tcPr>
            <w:tcW w:w="1650" w:type="dxa"/>
          </w:tcPr>
          <w:p>
            <w:pPr>
              <w:pStyle w:val="Compact"/>
              <w:jc w:val="center"/>
            </w:pPr>
            <w:r>
              <w:t xml:space="preserve">是</w:t>
            </w:r>
          </w:p>
        </w:tc>
        <w:tc>
          <w:tcPr>
            <w:tcW w:w="1650" w:type="dxa"/>
          </w:tcPr>
          <w:p>
            <w:pPr>
              <w:pStyle w:val="Compact"/>
              <w:jc w:val="center"/>
            </w:pPr>
            <w:r>
              <w:t xml:space="preserve">是</w:t>
            </w:r>
          </w:p>
        </w:tc>
      </w:tr>
      <w:tr>
        <w:trPr>
          <w:cantSplit/>
        </w:trPr>
        <w:tc>
          <w:tcPr>
            <w:tcW w:w="2600" w:type="dxa"/>
          </w:tcPr>
          <w:p>
            <w:pPr>
              <w:pStyle w:val="Compact"/>
              <w:jc w:val="left"/>
            </w:pPr>
            <w:r>
              <w:t xml:space="preserve">观测值</w:t>
            </w:r>
          </w:p>
        </w:tc>
        <w:tc>
          <w:tcPr>
            <w:tcW w:w="1650" w:type="dxa"/>
          </w:tcPr>
          <w:p>
            <w:pPr>
              <w:pStyle w:val="Compact"/>
              <w:jc w:val="center"/>
            </w:pPr>
            <w:r>
              <w:t xml:space="preserve">14400</w:t>
            </w:r>
          </w:p>
        </w:tc>
        <w:tc>
          <w:tcPr>
            <w:tcW w:w="1650" w:type="dxa"/>
          </w:tcPr>
          <w:p>
            <w:pPr>
              <w:pStyle w:val="Compact"/>
              <w:jc w:val="center"/>
            </w:pPr>
            <w:r>
              <w:t xml:space="preserve">14400</w:t>
            </w:r>
          </w:p>
        </w:tc>
        <w:tc>
          <w:tcPr>
            <w:tcW w:w="1650" w:type="dxa"/>
          </w:tcPr>
          <w:p>
            <w:pPr>
              <w:pStyle w:val="Compact"/>
              <w:jc w:val="center"/>
            </w:pPr>
            <w:r>
              <w:t xml:space="preserve">14400</w:t>
            </w:r>
          </w:p>
        </w:tc>
        <w:tc>
          <w:tcPr>
            <w:tcW w:w="1650" w:type="dxa"/>
          </w:tcPr>
          <w:p>
            <w:pPr>
              <w:pStyle w:val="Compact"/>
              <w:jc w:val="center"/>
            </w:pPr>
            <w:r>
              <w:t xml:space="preserve">14400</w:t>
            </w:r>
          </w:p>
        </w:tc>
      </w:tr>
      <w:tr>
        <w:trPr>
          <w:cantSplit/>
        </w:trPr>
        <w:tc>
          <w:tcPr>
            <w:tcW w:w="2600" w:type="dxa"/>
          </w:tcPr>
          <w:p>
            <w:pPr>
              <w:pStyle w:val="Compact"/>
              <w:jc w:val="left"/>
            </w:pPr>
            <m:oMath>
              <m:sSup>
                <m:e>
                  <m:r>
                    <m:t>R</m:t>
                  </m:r>
                </m:e>
                <m:sup>
                  <m:r>
                    <m:t>2</m:t>
                  </m:r>
                </m:sup>
              </m:sSup>
            </m:oMath>
          </w:p>
        </w:tc>
        <w:tc>
          <w:tcPr>
            <w:tcW w:w="1650" w:type="dxa"/>
          </w:tcPr>
          <w:p>
            <w:pPr>
              <w:pStyle w:val="Compact"/>
              <w:jc w:val="center"/>
            </w:pPr>
            <w:r>
              <w:t xml:space="preserve">0.287</w:t>
            </w:r>
          </w:p>
        </w:tc>
        <w:tc>
          <w:tcPr>
            <w:tcW w:w="1650" w:type="dxa"/>
          </w:tcPr>
          <w:p>
            <w:pPr>
              <w:pStyle w:val="Compact"/>
              <w:jc w:val="center"/>
            </w:pPr>
            <w:r>
              <w:t xml:space="preserve">0.313</w:t>
            </w:r>
          </w:p>
        </w:tc>
        <w:tc>
          <w:tcPr>
            <w:tcW w:w="1650" w:type="dxa"/>
          </w:tcPr>
          <w:p>
            <w:pPr>
              <w:pStyle w:val="Compact"/>
              <w:jc w:val="center"/>
            </w:pPr>
            <w:r>
              <w:t xml:space="preserve">0.744</w:t>
            </w:r>
          </w:p>
        </w:tc>
        <w:tc>
          <w:tcPr>
            <w:tcW w:w="1650" w:type="dxa"/>
          </w:tcPr>
          <w:p>
            <w:pPr>
              <w:pStyle w:val="Compact"/>
              <w:jc w:val="center"/>
            </w:pPr>
            <w:r>
              <w:t xml:space="preserve">0.746</w:t>
            </w:r>
          </w:p>
        </w:tc>
      </w:tr>
    </w:tbl>
    <w:p>
      <w:pPr>
        <w:pStyle w:val="BodyText"/>
        <w:jc w:val="left"/>
        <w:ind w:firstLine="0" w:firstLineChars="0"/>
      </w:pPr>
      <w:r>
        <w:rPr>
          <w:rFonts w:eastAsia="宋体" w:ascii="Times New Roman" w:hAnsi="Times New Roman"/>
          <w:sz w:val="18"/>
          <w:szCs w:val="18"/>
        </w:rPr>
        <w:t xml:space="preserve">注：括号内为聚类到行业层面的稳健标准误；*、**、*** 分别表示在10%、5%、1%的水平上显著。下表同。</w:t>
      </w:r>
    </w:p>
    <w:p>
      <w:pPr>
        <w:pStyle w:val="BodyText"/>
      </w:pPr>
      <w:r>
        <w:t xml:space="preserve">结果显示，在逐步加入固定效应与控制变量后，核心解释变量</w:t>
      </w:r>
      <w:r>
        <w:t xml:space="preserve"> </w:t>
      </w:r>
      <m:oMath>
        <m:r>
          <m:rPr>
            <m:nor/>
            <m:sty m:val="p"/>
          </m:rPr>
          <m:t>RP</m:t>
        </m:r>
      </m:oMath>
      <w:r>
        <w:t xml:space="preserve"> </w:t>
      </w:r>
      <w:r>
        <w:t xml:space="preserve">的估计系数始终显著为负。以控制变量与固定效应最为完整的列（4）为例，</w:t>
      </w:r>
      <m:oMath>
        <m:r>
          <m:rPr>
            <m:nor/>
            <m:sty m:val="p"/>
          </m:rPr>
          <m:t>RP</m:t>
        </m:r>
      </m:oMath>
      <w:r>
        <w:t xml:space="preserve"> </w:t>
      </w:r>
      <w:r>
        <w:t xml:space="preserve">的估计系数为 -0.055***，且在1%的水平上显著，表明在其他条件相同的情况下，行业机器人渗透度每提高1个单位，企业劳动收入份额平均下降约 5.5 个百分点。基准回归结果初步支持了研究假说1，即机器人应用对劳动收入份额的替代效应占主导地位。</w:t>
      </w:r>
    </w:p>
    <w:bookmarkEnd w:id="31"/>
    <w:bookmarkStart w:id="32" w:name="二工具变量估计结果"/>
    <w:p>
      <w:pPr>
        <w:pStyle w:val="Heading3"/>
      </w:pPr>
      <w:r>
        <w:t xml:space="preserve">（二）工具变量估计结果</w:t>
      </w:r>
    </w:p>
    <w:p>
      <w:pPr>
        <w:pStyle w:val="FirstParagraph"/>
      </w:pPr>
      <w:r>
        <w:t xml:space="preserve">为缓解行业机器人渗透度与企业劳动收入份额之间的内生性，本文采用以国外同行业机器人渗透度为工具变量的两阶段最小二乘法进行估计，结果报告于表3。</w:t>
      </w:r>
    </w:p>
    <w:p>
      <w:pPr>
        <w:keepNext/>
        <w:pStyle w:val="BodyText"/>
        <w:jc w:val="center"/>
        <w:ind w:firstLine="0" w:firstLineChars="0"/>
      </w:pPr>
      <w:r>
        <w:rPr>
          <w:rFonts w:eastAsia="黑体" w:ascii="Times New Roman" w:hAnsi="Times New Roman"/>
          <w:sz w:val="18"/>
          <w:szCs w:val="18"/>
        </w:rPr>
        <w:t xml:space="preserve">表3　工具变量估计结果</w:t>
      </w:r>
    </w:p>
    <w:tbl>
      <w:tblPr>
        <w:tblW w:w="9200"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CellMar>
          <w:top w:w="15" w:type="dxa"/>
          <w:left w:w="80" w:type="dxa"/>
          <w:bottom w:w="15" w:type="dxa"/>
          <w:right w:w="80" w:type="dxa"/>
        </w:tblCellMar>
        <w:tblLook w:val="04A0" w:firstRow="1" w:lastRow="0" w:firstColumn="1" w:lastColumn="0" w:noHBand="0" w:noVBand="1"/>
      </w:tblPr>
      <w:tblGrid>
        <w:gridCol w:w="2600"/>
        <w:gridCol w:w="3300"/>
        <w:gridCol w:w="3300"/>
      </w:tblGrid>
      <w:tr>
        <w:trPr>
          <w:tblHeader w:val="true"/>
          <w:cantSplit/>
        </w:trPr>
        <w:tc>
          <w:tcPr>
            <w:tcW w:w="2600" w:type="dxa"/>
            <w:tcBorders>
              <w:bottom w:val="single" w:sz="6" w:space="0" w:color="auto"/>
            </w:tcBorders>
          </w:tcPr>
          <w:p>
            <w:pPr>
              <w:pStyle w:val="Compact"/>
              <w:jc w:val="left"/>
            </w:pPr>
            <w:r>
              <w:t xml:space="preserve">变量</w:t>
            </w:r>
          </w:p>
        </w:tc>
        <w:tc>
          <w:tcPr>
            <w:tcW w:w="3300" w:type="dxa"/>
            <w:tcBorders>
              <w:bottom w:val="single" w:sz="6" w:space="0" w:color="auto"/>
            </w:tcBorders>
          </w:tcPr>
          <w:p>
            <w:pPr>
              <w:pStyle w:val="Compact"/>
              <w:jc w:val="center"/>
            </w:pPr>
            <w:r>
              <w:t xml:space="preserve">（1）第一阶段</w:t>
            </w:r>
            <w:r>
              <w:t xml:space="preserve"> </w:t>
            </w:r>
            <m:oMath>
              <m:r>
                <m:rPr>
                  <m:nor/>
                  <m:sty m:val="p"/>
                </m:rPr>
                <m:t>RP</m:t>
              </m:r>
            </m:oMath>
          </w:p>
        </w:tc>
        <w:tc>
          <w:tcPr>
            <w:tcW w:w="3300" w:type="dxa"/>
            <w:tcBorders>
              <w:bottom w:val="single" w:sz="6" w:space="0" w:color="auto"/>
            </w:tcBorders>
          </w:tcPr>
          <w:p>
            <w:pPr>
              <w:pStyle w:val="Compact"/>
              <w:jc w:val="center"/>
            </w:pPr>
            <w:r>
              <w:t xml:space="preserve">（2）第二阶段</w:t>
            </w:r>
            <w:r>
              <w:t xml:space="preserve"> </w:t>
            </w:r>
            <m:oMath>
              <m:r>
                <m:rPr>
                  <m:nor/>
                  <m:sty m:val="p"/>
                </m:rPr>
                <m:t>LS</m:t>
              </m:r>
            </m:oMath>
          </w:p>
        </w:tc>
      </w:tr>
      <w:tr>
        <w:trPr>
          <w:cantSplit/>
        </w:trPr>
        <w:tc>
          <w:tcPr>
            <w:tcW w:w="2600" w:type="dxa"/>
          </w:tcPr>
          <w:p>
            <w:pPr>
              <w:pStyle w:val="Compact"/>
              <w:jc w:val="left"/>
            </w:pPr>
            <w:r>
              <w:t xml:space="preserve">国外渗透度</w:t>
            </w:r>
            <w:r>
              <w:t xml:space="preserve"> </w:t>
            </w:r>
            <m:oMath>
              <m:sSup>
                <m:e>
                  <m:r>
                    <m:rPr>
                      <m:nor/>
                      <m:sty m:val="p"/>
                    </m:rPr>
                    <m:t>RP</m:t>
                  </m:r>
                </m:e>
                <m:sup>
                  <m:r>
                    <m:t>F</m:t>
                  </m:r>
                </m:sup>
              </m:sSup>
            </m:oMath>
          </w:p>
        </w:tc>
        <w:tc>
          <w:tcPr>
            <w:tcW w:w="3300" w:type="dxa"/>
          </w:tcPr>
          <w:p>
            <w:pPr>
              <w:pStyle w:val="Compact"/>
              <w:jc w:val="center"/>
            </w:pPr>
            <w:r>
              <w:t xml:space="preserve">0.782***</w:t>
            </w:r>
          </w:p>
        </w:tc>
        <w:tc>
          <w:tcPr>
            <w:tcW w:w="3300" w:type="dxa"/>
          </w:tcPr>
          <w:p>
            <w:pPr>
              <w:pStyle w:val="Compact"/>
            </w:pPr>
          </w:p>
        </w:tc>
      </w:tr>
      <w:tr>
        <w:trPr>
          <w:cantSplit/>
        </w:trPr>
        <w:tc>
          <w:tcPr>
            <w:tcW w:w="2600" w:type="dxa"/>
          </w:tcPr>
          <w:p>
            <w:pPr>
              <w:pStyle w:val="Compact"/>
            </w:pPr>
          </w:p>
        </w:tc>
        <w:tc>
          <w:tcPr>
            <w:tcW w:w="3300" w:type="dxa"/>
          </w:tcPr>
          <w:p>
            <w:pPr>
              <w:pStyle w:val="Compact"/>
              <w:jc w:val="center"/>
            </w:pPr>
            <w:r>
              <w:t xml:space="preserve">（0.036）</w:t>
            </w:r>
          </w:p>
        </w:tc>
        <w:tc>
          <w:tcPr>
            <w:tcW w:w="3300" w:type="dxa"/>
          </w:tcPr>
          <w:p>
            <w:pPr>
              <w:pStyle w:val="Compact"/>
            </w:pPr>
          </w:p>
        </w:tc>
      </w:tr>
      <w:tr>
        <w:trPr>
          <w:cantSplit/>
        </w:trPr>
        <w:tc>
          <w:tcPr>
            <w:tcW w:w="2600" w:type="dxa"/>
          </w:tcPr>
          <w:p>
            <w:pPr>
              <w:pStyle w:val="Compact"/>
              <w:jc w:val="left"/>
            </w:pPr>
            <w:r>
              <w:t xml:space="preserve">渗透度（拟合值）</w:t>
            </w:r>
          </w:p>
        </w:tc>
        <w:tc>
          <w:tcPr>
            <w:tcW w:w="3300" w:type="dxa"/>
          </w:tcPr>
          <w:p>
            <w:pPr>
              <w:pStyle w:val="Compact"/>
            </w:pPr>
          </w:p>
        </w:tc>
        <w:tc>
          <w:tcPr>
            <w:tcW w:w="3300" w:type="dxa"/>
          </w:tcPr>
          <w:p>
            <w:pPr>
              <w:pStyle w:val="Compact"/>
              <w:jc w:val="center"/>
            </w:pPr>
            <w:r>
              <w:t xml:space="preserve">-0.057***</w:t>
            </w:r>
          </w:p>
        </w:tc>
      </w:tr>
      <w:tr>
        <w:trPr>
          <w:cantSplit/>
        </w:trPr>
        <w:tc>
          <w:tcPr>
            <w:tcW w:w="2600" w:type="dxa"/>
          </w:tcPr>
          <w:p>
            <w:pPr>
              <w:pStyle w:val="Compact"/>
            </w:pPr>
          </w:p>
        </w:tc>
        <w:tc>
          <w:tcPr>
            <w:tcW w:w="3300" w:type="dxa"/>
          </w:tcPr>
          <w:p>
            <w:pPr>
              <w:pStyle w:val="Compact"/>
            </w:pPr>
          </w:p>
        </w:tc>
        <w:tc>
          <w:tcPr>
            <w:tcW w:w="3300" w:type="dxa"/>
          </w:tcPr>
          <w:p>
            <w:pPr>
              <w:pStyle w:val="Compact"/>
              <w:jc w:val="center"/>
            </w:pPr>
            <w:r>
              <w:t xml:space="preserve">（0.002）</w:t>
            </w:r>
          </w:p>
        </w:tc>
      </w:tr>
      <w:tr>
        <w:trPr>
          <w:cantSplit/>
        </w:trPr>
        <w:tc>
          <w:tcPr>
            <w:tcW w:w="2600" w:type="dxa"/>
          </w:tcPr>
          <w:p>
            <w:pPr>
              <w:pStyle w:val="Compact"/>
              <w:jc w:val="left"/>
            </w:pPr>
            <w:r>
              <w:t xml:space="preserve">控制变量</w:t>
            </w:r>
          </w:p>
        </w:tc>
        <w:tc>
          <w:tcPr>
            <w:tcW w:w="3300" w:type="dxa"/>
          </w:tcPr>
          <w:p>
            <w:pPr>
              <w:pStyle w:val="Compact"/>
              <w:jc w:val="center"/>
            </w:pPr>
            <w:r>
              <w:t xml:space="preserve">是</w:t>
            </w:r>
          </w:p>
        </w:tc>
        <w:tc>
          <w:tcPr>
            <w:tcW w:w="3300" w:type="dxa"/>
          </w:tcPr>
          <w:p>
            <w:pPr>
              <w:pStyle w:val="Compact"/>
              <w:jc w:val="center"/>
            </w:pPr>
            <w:r>
              <w:t xml:space="preserve">是</w:t>
            </w:r>
          </w:p>
        </w:tc>
      </w:tr>
      <w:tr>
        <w:trPr>
          <w:cantSplit/>
        </w:trPr>
        <w:tc>
          <w:tcPr>
            <w:tcW w:w="2600" w:type="dxa"/>
          </w:tcPr>
          <w:p>
            <w:pPr>
              <w:pStyle w:val="Compact"/>
              <w:jc w:val="left"/>
            </w:pPr>
            <w:r>
              <w:t xml:space="preserve">企业、年份固定效应</w:t>
            </w:r>
          </w:p>
        </w:tc>
        <w:tc>
          <w:tcPr>
            <w:tcW w:w="3300" w:type="dxa"/>
          </w:tcPr>
          <w:p>
            <w:pPr>
              <w:pStyle w:val="Compact"/>
              <w:jc w:val="center"/>
            </w:pPr>
            <w:r>
              <w:t xml:space="preserve">是</w:t>
            </w:r>
          </w:p>
        </w:tc>
        <w:tc>
          <w:tcPr>
            <w:tcW w:w="3300" w:type="dxa"/>
          </w:tcPr>
          <w:p>
            <w:pPr>
              <w:pStyle w:val="Compact"/>
              <w:jc w:val="center"/>
            </w:pPr>
            <w:r>
              <w:t xml:space="preserve">是</w:t>
            </w:r>
          </w:p>
        </w:tc>
      </w:tr>
      <w:tr>
        <w:trPr>
          <w:cantSplit/>
        </w:trPr>
        <w:tc>
          <w:tcPr>
            <w:tcW w:w="2600" w:type="dxa"/>
          </w:tcPr>
          <w:p>
            <w:pPr>
              <w:pStyle w:val="Compact"/>
              <w:jc w:val="left"/>
            </w:pPr>
            <w:r>
              <w:t xml:space="preserve">KP-F 统计量</w:t>
            </w:r>
          </w:p>
        </w:tc>
        <w:tc>
          <w:tcPr>
            <w:tcW w:w="3300" w:type="dxa"/>
          </w:tcPr>
          <w:p>
            <w:pPr>
              <w:pStyle w:val="Compact"/>
              <w:jc w:val="center"/>
            </w:pPr>
            <w:r>
              <w:t xml:space="preserve">462.9</w:t>
            </w:r>
          </w:p>
        </w:tc>
        <w:tc>
          <w:tcPr>
            <w:tcW w:w="3300" w:type="dxa"/>
          </w:tcPr>
          <w:p>
            <w:pPr>
              <w:pStyle w:val="Compact"/>
            </w:pPr>
          </w:p>
        </w:tc>
      </w:tr>
    </w:tbl>
    <w:p>
      <w:pPr>
        <w:pStyle w:val="BodyText"/>
        <w:jc w:val="left"/>
        <w:ind w:firstLine="0" w:firstLineChars="0"/>
      </w:pPr>
      <w:r>
        <w:rPr>
          <w:rFonts w:eastAsia="宋体" w:ascii="Times New Roman" w:hAnsi="Times New Roman"/>
          <w:sz w:val="18"/>
          <w:szCs w:val="18"/>
        </w:rPr>
        <w:t xml:space="preserve">注：第一阶段被解释变量为行业机器人渗透度，第二阶段被解释变量为劳动收入份额。</w:t>
      </w:r>
    </w:p>
    <w:p>
      <w:pPr>
        <w:keepNext/>
        <w:pStyle w:val="BodyText"/>
        <w:jc w:val="center"/>
        <w:ind w:firstLine="0" w:firstLineChars="0"/>
      </w:pPr>
      <w:r>
        <w:rPr>
          <w:rFonts w:eastAsia="黑体" w:ascii="Times New Roman" w:hAnsi="Times New Roman"/>
          <w:sz w:val="18"/>
          <w:szCs w:val="18"/>
        </w:rPr>
        <w:t xml:space="preserve">表3列（1）报告了第一阶段回归结果。国外同行业机器人渗透度（</w:t>
      </w:r>
      <m:oMath>
        <m:sSup>
          <m:e>
            <m:r>
              <m:rPr>
                <m:nor/>
                <m:sty m:val="p"/>
              </m:rPr>
              <m:t>RP</m:t>
            </m:r>
          </m:e>
          <m:sup>
            <m:r>
              <m:t>F</m:t>
            </m:r>
          </m:sup>
        </m:sSup>
      </m:oMath>
      <w:r>
        <w:rPr>
          <w:rFonts w:eastAsia="黑体" w:ascii="Times New Roman" w:hAnsi="Times New Roman"/>
          <w:sz w:val="18"/>
          <w:szCs w:val="18"/>
        </w:rPr>
        <w:t xml:space="preserve">）的估计系数为 0.782***，且在1%的水平上显著，表明国外与国内同行业机器人渗透度之间存在显著的正相关关系。第一阶段的 Kleibergen-Paap F 统计量为 462.9，远大于经验临界值10，表明不存在弱工具变量问题。表3列（2）报告了第二阶段回归结果，</w:t>
      </w:r>
      <m:oMath>
        <m:r>
          <m:rPr>
            <m:nor/>
            <m:sty m:val="p"/>
          </m:rPr>
          <m:t>RP</m:t>
        </m:r>
      </m:oMath>
      <w:r>
        <w:rPr>
          <w:rFonts w:eastAsia="黑体" w:ascii="Times New Roman" w:hAnsi="Times New Roman"/>
          <w:sz w:val="18"/>
          <w:szCs w:val="18"/>
        </w:rPr>
        <w:t xml:space="preserve"> </w:t>
      </w:r>
      <w:r>
        <w:rPr>
          <w:rFonts w:eastAsia="黑体" w:ascii="Times New Roman" w:hAnsi="Times New Roman"/>
          <w:sz w:val="18"/>
          <w:szCs w:val="18"/>
        </w:rPr>
        <w:t xml:space="preserve">的估计系数为 -0.057***，且在1%的水平上显著为负，与基准回归结论一致。工具变量估计的系数绝对值略大于基准估计，这与内生性导致基准估计存在一定衰减偏误的预期相符，进一步支持了机器人应用降低劳动收入份额的因果解释。</w:t>
      </w:r>
    </w:p>
    <w:bookmarkEnd w:id="32"/>
    <w:bookmarkStart w:id="33" w:name="三稳健性检验"/>
    <w:p>
      <w:pPr>
        <w:pStyle w:val="Heading3"/>
      </w:pPr>
      <w:r>
        <w:t xml:space="preserve">（三）稳健性检验</w:t>
      </w:r>
    </w:p>
    <w:p>
      <w:pPr>
        <w:pStyle w:val="FirstParagraph"/>
      </w:pPr>
      <w:r>
        <w:t xml:space="preserve">为确保基准结论的可靠性，本文进行了一系列稳健性检验。</w:t>
      </w:r>
    </w:p>
    <w:p>
      <w:pPr>
        <w:pStyle w:val="BodyText"/>
      </w:pPr>
      <w:r>
        <w:rPr>
          <w:bCs/>
          <w:b/>
        </w:rPr>
        <w:t xml:space="preserve">1. 安慰剂检验。</w:t>
      </w:r>
      <w:r>
        <w:t xml:space="preserve"> </w:t>
      </w:r>
      <w:r>
        <w:t xml:space="preserve">为排除不可观测的随机因素驱动估计结果的可能性，本文进行安慰剂检验。具体地，随机打乱企业与行业机器人渗透度的匹配关系，构造“虚假”机器人渗透度并重新估计基准模型，重复该过程500次。结果显示，500次随机化估计得到的系数均值为-0.000，紧密分布于零附近，且几乎没有任何一次随机估计的系数绝对值超过基准估计值（-0.055）。 这表明基准估计得到的负向效应并非由随机因素所致。</w:t>
      </w:r>
    </w:p>
    <w:p>
      <w:pPr>
        <w:pStyle w:val="BodyText"/>
      </w:pPr>
      <w:r>
        <w:rPr>
          <w:bCs/>
          <w:b/>
        </w:rPr>
        <w:t xml:space="preserve">2. 更换被解释变量测度。</w:t>
      </w:r>
      <w:r>
        <w:t xml:space="preserve"> </w:t>
      </w:r>
      <w:r>
        <w:t xml:space="preserve">本文进一步以企业支付给职工的现金占营业收入的比重、以及劳动报酬占营业成本的比重等替代指标重新度量劳动收入份额，重新估计基准模型，核心结论保持稳健（限于篇幅，结果留存备索）。</w:t>
      </w:r>
    </w:p>
    <w:p>
      <w:pPr>
        <w:pStyle w:val="BodyText"/>
      </w:pPr>
      <w:r>
        <w:rPr>
          <w:bCs/>
          <w:b/>
        </w:rPr>
        <w:t xml:space="preserve">3. 控制其他因素。</w:t>
      </w:r>
      <w:r>
        <w:t xml:space="preserve"> </w:t>
      </w:r>
      <w:r>
        <w:t xml:space="preserve">考虑到最低工资标准、企业出口行为、数字化转型等因素可能同时影响机器人应用与劳动收入份额，本文进一步在模型中加入相关控制变量，核心结论未发生实质性改变。</w:t>
      </w:r>
    </w:p>
    <w:bookmarkEnd w:id="33"/>
    <w:bookmarkEnd w:id="34"/>
    <w:bookmarkStart w:id="35" w:name="五机制检验"/>
    <w:p>
      <w:pPr>
        <w:pStyle w:val="Heading2"/>
      </w:pPr>
      <w:r>
        <w:t xml:space="preserve">五、机制检验</w:t>
      </w:r>
    </w:p>
    <w:p>
      <w:pPr>
        <w:pStyle w:val="FirstParagraph"/>
      </w:pPr>
      <w:r>
        <w:t xml:space="preserve">基准回归与工具变量估计表明，工业机器人应用显著降低了企业劳动收入份额。本部分进一步检验这一效应的作用机制，以回应研究假说2与研究假说3。根据前文理论分析，机器人应用主要通过资本深化、生产率提升、成本加成上升以及技能结构升级等渠道影响劳动收入份额。本文将基准模型中的被解释变量分别替换为上述机制变量进行估计，结果报告于表4。</w:t>
      </w:r>
    </w:p>
    <w:p>
      <w:pPr>
        <w:keepNext/>
        <w:pStyle w:val="BodyText"/>
        <w:jc w:val="center"/>
        <w:ind w:firstLine="0" w:firstLineChars="0"/>
      </w:pPr>
      <w:r>
        <w:rPr>
          <w:rFonts w:eastAsia="黑体" w:ascii="Times New Roman" w:hAnsi="Times New Roman"/>
          <w:sz w:val="18"/>
          <w:szCs w:val="18"/>
        </w:rPr>
        <w:t xml:space="preserve">表4　机制检验：资本深化、生产率、技能结构与成本加成</w:t>
      </w:r>
    </w:p>
    <w:tbl>
      <w:tblPr>
        <w:tblW w:w="9200"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CellMar>
          <w:top w:w="15" w:type="dxa"/>
          <w:left w:w="80" w:type="dxa"/>
          <w:bottom w:w="15" w:type="dxa"/>
          <w:right w:w="80" w:type="dxa"/>
        </w:tblCellMar>
        <w:tblLook w:val="04A0" w:firstRow="1" w:lastRow="0" w:firstColumn="1" w:lastColumn="0" w:noHBand="0" w:noVBand="1"/>
      </w:tblPr>
      <w:tblGrid>
        <w:gridCol w:w="2600"/>
        <w:gridCol w:w="1650"/>
        <w:gridCol w:w="1650"/>
        <w:gridCol w:w="1650"/>
        <w:gridCol w:w="1650"/>
      </w:tblGrid>
      <w:tr>
        <w:trPr>
          <w:tblHeader w:val="true"/>
          <w:cantSplit/>
        </w:trPr>
        <w:tc>
          <w:tcPr>
            <w:tcW w:w="2600" w:type="dxa"/>
            <w:tcBorders>
              <w:bottom w:val="single" w:sz="6" w:space="0" w:color="auto"/>
            </w:tcBorders>
          </w:tcPr>
          <w:p>
            <w:pPr>
              <w:pStyle w:val="Compact"/>
              <w:jc w:val="left"/>
            </w:pPr>
            <w:r>
              <w:t xml:space="preserve">变量</w:t>
            </w:r>
          </w:p>
        </w:tc>
        <w:tc>
          <w:tcPr>
            <w:tcW w:w="1650" w:type="dxa"/>
            <w:tcBorders>
              <w:bottom w:val="single" w:sz="6" w:space="0" w:color="auto"/>
            </w:tcBorders>
          </w:tcPr>
          <w:p>
            <w:pPr>
              <w:pStyle w:val="Compact"/>
              <w:jc w:val="center"/>
            </w:pPr>
            <w:r>
              <w:t xml:space="preserve">（1）资本深化</w:t>
            </w:r>
          </w:p>
        </w:tc>
        <w:tc>
          <w:tcPr>
            <w:tcW w:w="1650" w:type="dxa"/>
            <w:tcBorders>
              <w:bottom w:val="single" w:sz="6" w:space="0" w:color="auto"/>
            </w:tcBorders>
          </w:tcPr>
          <w:p>
            <w:pPr>
              <w:pStyle w:val="Compact"/>
              <w:jc w:val="center"/>
            </w:pPr>
            <w:r>
              <w:t xml:space="preserve">（2）全要素生产率</w:t>
            </w:r>
          </w:p>
        </w:tc>
        <w:tc>
          <w:tcPr>
            <w:tcW w:w="1650" w:type="dxa"/>
            <w:tcBorders>
              <w:bottom w:val="single" w:sz="6" w:space="0" w:color="auto"/>
            </w:tcBorders>
          </w:tcPr>
          <w:p>
            <w:pPr>
              <w:pStyle w:val="Compact"/>
              <w:jc w:val="center"/>
            </w:pPr>
            <w:r>
              <w:t xml:space="preserve">（3）高技能占比</w:t>
            </w:r>
          </w:p>
        </w:tc>
        <w:tc>
          <w:tcPr>
            <w:tcW w:w="1650" w:type="dxa"/>
            <w:tcBorders>
              <w:bottom w:val="single" w:sz="6" w:space="0" w:color="auto"/>
            </w:tcBorders>
          </w:tcPr>
          <w:p>
            <w:pPr>
              <w:pStyle w:val="Compact"/>
              <w:jc w:val="center"/>
            </w:pPr>
            <w:r>
              <w:t xml:space="preserve">（4）成本加成</w:t>
            </w:r>
          </w:p>
        </w:tc>
      </w:tr>
      <w:tr>
        <w:trPr>
          <w:cantSplit/>
        </w:trPr>
        <w:tc>
          <w:tcPr>
            <w:tcW w:w="2600" w:type="dxa"/>
          </w:tcPr>
          <w:p>
            <w:pPr>
              <w:pStyle w:val="Compact"/>
              <w:jc w:val="left"/>
            </w:pPr>
            <w:r>
              <w:t xml:space="preserve">机器人渗透度</w:t>
            </w:r>
          </w:p>
        </w:tc>
        <w:tc>
          <w:tcPr>
            <w:tcW w:w="1650" w:type="dxa"/>
          </w:tcPr>
          <w:p>
            <w:pPr>
              <w:pStyle w:val="Compact"/>
              <w:jc w:val="center"/>
            </w:pPr>
            <w:r>
              <w:t xml:space="preserve">0.045***</w:t>
            </w:r>
          </w:p>
        </w:tc>
        <w:tc>
          <w:tcPr>
            <w:tcW w:w="1650" w:type="dxa"/>
          </w:tcPr>
          <w:p>
            <w:pPr>
              <w:pStyle w:val="Compact"/>
              <w:jc w:val="center"/>
            </w:pPr>
            <w:r>
              <w:t xml:space="preserve">0.081***</w:t>
            </w:r>
          </w:p>
        </w:tc>
        <w:tc>
          <w:tcPr>
            <w:tcW w:w="1650" w:type="dxa"/>
          </w:tcPr>
          <w:p>
            <w:pPr>
              <w:pStyle w:val="Compact"/>
              <w:jc w:val="center"/>
            </w:pPr>
            <w:r>
              <w:t xml:space="preserve">0.032***</w:t>
            </w:r>
          </w:p>
        </w:tc>
        <w:tc>
          <w:tcPr>
            <w:tcW w:w="1650" w:type="dxa"/>
          </w:tcPr>
          <w:p>
            <w:pPr>
              <w:pStyle w:val="Compact"/>
              <w:jc w:val="center"/>
            </w:pPr>
            <w:r>
              <w:t xml:space="preserve">0.039***</w:t>
            </w:r>
          </w:p>
        </w:tc>
      </w:tr>
      <w:tr>
        <w:trPr>
          <w:cantSplit/>
        </w:trPr>
        <w:tc>
          <w:tcPr>
            <w:tcW w:w="2600" w:type="dxa"/>
          </w:tcPr>
          <w:p>
            <w:pPr>
              <w:pStyle w:val="Compact"/>
            </w:pPr>
          </w:p>
        </w:tc>
        <w:tc>
          <w:tcPr>
            <w:tcW w:w="1650" w:type="dxa"/>
          </w:tcPr>
          <w:p>
            <w:pPr>
              <w:pStyle w:val="Compact"/>
              <w:jc w:val="center"/>
            </w:pPr>
            <w:r>
              <w:t xml:space="preserve">（0.003）</w:t>
            </w:r>
          </w:p>
        </w:tc>
        <w:tc>
          <w:tcPr>
            <w:tcW w:w="1650" w:type="dxa"/>
          </w:tcPr>
          <w:p>
            <w:pPr>
              <w:pStyle w:val="Compact"/>
              <w:jc w:val="center"/>
            </w:pPr>
            <w:r>
              <w:t xml:space="preserve">（0.004）</w:t>
            </w:r>
          </w:p>
        </w:tc>
        <w:tc>
          <w:tcPr>
            <w:tcW w:w="1650" w:type="dxa"/>
          </w:tcPr>
          <w:p>
            <w:pPr>
              <w:pStyle w:val="Compact"/>
              <w:jc w:val="center"/>
            </w:pPr>
            <w:r>
              <w:t xml:space="preserve">（0.001）</w:t>
            </w:r>
          </w:p>
        </w:tc>
        <w:tc>
          <w:tcPr>
            <w:tcW w:w="1650" w:type="dxa"/>
          </w:tcPr>
          <w:p>
            <w:pPr>
              <w:pStyle w:val="Compact"/>
              <w:jc w:val="center"/>
            </w:pPr>
            <w:r>
              <w:t xml:space="preserve">（0.003）</w:t>
            </w:r>
          </w:p>
        </w:tc>
      </w:tr>
      <w:tr>
        <w:trPr>
          <w:cantSplit/>
        </w:trPr>
        <w:tc>
          <w:tcPr>
            <w:tcW w:w="2600" w:type="dxa"/>
          </w:tcPr>
          <w:p>
            <w:pPr>
              <w:pStyle w:val="Compact"/>
              <w:jc w:val="left"/>
            </w:pPr>
            <w:r>
              <w:t xml:space="preserve">控制变量</w:t>
            </w:r>
          </w:p>
        </w:tc>
        <w:tc>
          <w:tcPr>
            <w:tcW w:w="1650" w:type="dxa"/>
          </w:tcPr>
          <w:p>
            <w:pPr>
              <w:pStyle w:val="Compact"/>
              <w:jc w:val="center"/>
            </w:pPr>
            <w:r>
              <w:t xml:space="preserve">是</w:t>
            </w:r>
          </w:p>
        </w:tc>
        <w:tc>
          <w:tcPr>
            <w:tcW w:w="1650" w:type="dxa"/>
          </w:tcPr>
          <w:p>
            <w:pPr>
              <w:pStyle w:val="Compact"/>
              <w:jc w:val="center"/>
            </w:pPr>
            <w:r>
              <w:t xml:space="preserve">是</w:t>
            </w:r>
          </w:p>
        </w:tc>
        <w:tc>
          <w:tcPr>
            <w:tcW w:w="1650" w:type="dxa"/>
          </w:tcPr>
          <w:p>
            <w:pPr>
              <w:pStyle w:val="Compact"/>
              <w:jc w:val="center"/>
            </w:pPr>
            <w:r>
              <w:t xml:space="preserve">是</w:t>
            </w:r>
          </w:p>
        </w:tc>
        <w:tc>
          <w:tcPr>
            <w:tcW w:w="1650" w:type="dxa"/>
          </w:tcPr>
          <w:p>
            <w:pPr>
              <w:pStyle w:val="Compact"/>
              <w:jc w:val="center"/>
            </w:pPr>
            <w:r>
              <w:t xml:space="preserve">是</w:t>
            </w:r>
          </w:p>
        </w:tc>
      </w:tr>
      <w:tr>
        <w:trPr>
          <w:cantSplit/>
        </w:trPr>
        <w:tc>
          <w:tcPr>
            <w:tcW w:w="2600" w:type="dxa"/>
          </w:tcPr>
          <w:p>
            <w:pPr>
              <w:pStyle w:val="Compact"/>
              <w:jc w:val="left"/>
            </w:pPr>
            <w:r>
              <w:t xml:space="preserve">企业、年份固定效应</w:t>
            </w:r>
          </w:p>
        </w:tc>
        <w:tc>
          <w:tcPr>
            <w:tcW w:w="1650" w:type="dxa"/>
          </w:tcPr>
          <w:p>
            <w:pPr>
              <w:pStyle w:val="Compact"/>
              <w:jc w:val="center"/>
            </w:pPr>
            <w:r>
              <w:t xml:space="preserve">是</w:t>
            </w:r>
          </w:p>
        </w:tc>
        <w:tc>
          <w:tcPr>
            <w:tcW w:w="1650" w:type="dxa"/>
          </w:tcPr>
          <w:p>
            <w:pPr>
              <w:pStyle w:val="Compact"/>
              <w:jc w:val="center"/>
            </w:pPr>
            <w:r>
              <w:t xml:space="preserve">是</w:t>
            </w:r>
          </w:p>
        </w:tc>
        <w:tc>
          <w:tcPr>
            <w:tcW w:w="1650" w:type="dxa"/>
          </w:tcPr>
          <w:p>
            <w:pPr>
              <w:pStyle w:val="Compact"/>
              <w:jc w:val="center"/>
            </w:pPr>
            <w:r>
              <w:t xml:space="preserve">是</w:t>
            </w:r>
          </w:p>
        </w:tc>
        <w:tc>
          <w:tcPr>
            <w:tcW w:w="1650" w:type="dxa"/>
          </w:tcPr>
          <w:p>
            <w:pPr>
              <w:pStyle w:val="Compact"/>
              <w:jc w:val="center"/>
            </w:pPr>
            <w:r>
              <w:t xml:space="preserve">是</w:t>
            </w:r>
          </w:p>
        </w:tc>
      </w:tr>
      <w:tr>
        <w:trPr>
          <w:cantSplit/>
        </w:trPr>
        <w:tc>
          <w:tcPr>
            <w:tcW w:w="2600" w:type="dxa"/>
          </w:tcPr>
          <w:p>
            <w:pPr>
              <w:pStyle w:val="Compact"/>
              <w:jc w:val="left"/>
            </w:pPr>
            <w:r>
              <w:t xml:space="preserve">观测值</w:t>
            </w:r>
          </w:p>
        </w:tc>
        <w:tc>
          <w:tcPr>
            <w:tcW w:w="1650" w:type="dxa"/>
          </w:tcPr>
          <w:p>
            <w:pPr>
              <w:pStyle w:val="Compact"/>
              <w:jc w:val="center"/>
            </w:pPr>
            <w:r>
              <w:t xml:space="preserve">14400</w:t>
            </w:r>
          </w:p>
        </w:tc>
        <w:tc>
          <w:tcPr>
            <w:tcW w:w="1650" w:type="dxa"/>
          </w:tcPr>
          <w:p>
            <w:pPr>
              <w:pStyle w:val="Compact"/>
              <w:jc w:val="center"/>
            </w:pPr>
            <w:r>
              <w:t xml:space="preserve">14400</w:t>
            </w:r>
          </w:p>
        </w:tc>
        <w:tc>
          <w:tcPr>
            <w:tcW w:w="1650" w:type="dxa"/>
          </w:tcPr>
          <w:p>
            <w:pPr>
              <w:pStyle w:val="Compact"/>
              <w:jc w:val="center"/>
            </w:pPr>
            <w:r>
              <w:t xml:space="preserve">14400</w:t>
            </w:r>
          </w:p>
        </w:tc>
        <w:tc>
          <w:tcPr>
            <w:tcW w:w="1650" w:type="dxa"/>
          </w:tcPr>
          <w:p>
            <w:pPr>
              <w:pStyle w:val="Compact"/>
              <w:jc w:val="center"/>
            </w:pPr>
            <w:r>
              <w:t xml:space="preserve">14400</w:t>
            </w:r>
          </w:p>
        </w:tc>
      </w:tr>
      <w:tr>
        <w:trPr>
          <w:cantSplit/>
        </w:trPr>
        <w:tc>
          <w:tcPr>
            <w:tcW w:w="2600" w:type="dxa"/>
          </w:tcPr>
          <w:p>
            <w:pPr>
              <w:pStyle w:val="Compact"/>
              <w:jc w:val="left"/>
            </w:pPr>
            <m:oMath>
              <m:sSup>
                <m:e>
                  <m:r>
                    <m:t>R</m:t>
                  </m:r>
                </m:e>
                <m:sup>
                  <m:r>
                    <m:t>2</m:t>
                  </m:r>
                </m:sup>
              </m:sSup>
            </m:oMath>
          </w:p>
        </w:tc>
        <w:tc>
          <w:tcPr>
            <w:tcW w:w="1650" w:type="dxa"/>
          </w:tcPr>
          <w:p>
            <w:pPr>
              <w:pStyle w:val="Compact"/>
              <w:jc w:val="center"/>
            </w:pPr>
            <w:r>
              <w:t xml:space="preserve">0.796</w:t>
            </w:r>
          </w:p>
        </w:tc>
        <w:tc>
          <w:tcPr>
            <w:tcW w:w="1650" w:type="dxa"/>
          </w:tcPr>
          <w:p>
            <w:pPr>
              <w:pStyle w:val="Compact"/>
              <w:jc w:val="center"/>
            </w:pPr>
            <w:r>
              <w:t xml:space="preserve">0.624</w:t>
            </w:r>
          </w:p>
        </w:tc>
        <w:tc>
          <w:tcPr>
            <w:tcW w:w="1650" w:type="dxa"/>
          </w:tcPr>
          <w:p>
            <w:pPr>
              <w:pStyle w:val="Compact"/>
              <w:jc w:val="center"/>
            </w:pPr>
            <w:r>
              <w:t xml:space="preserve">0.984</w:t>
            </w:r>
          </w:p>
        </w:tc>
        <w:tc>
          <w:tcPr>
            <w:tcW w:w="1650" w:type="dxa"/>
          </w:tcPr>
          <w:p>
            <w:pPr>
              <w:pStyle w:val="Compact"/>
              <w:jc w:val="center"/>
            </w:pPr>
            <w:r>
              <w:t xml:space="preserve">0.226</w:t>
            </w:r>
          </w:p>
        </w:tc>
      </w:tr>
    </w:tbl>
    <w:p>
      <w:pPr>
        <w:pStyle w:val="BodyText"/>
      </w:pPr>
      <w:r>
        <w:t xml:space="preserve">第一，资本深化机制。表4列（1）以企业资本深化程度（资本—劳动比）作为被解释变量。结果显示，</w:t>
      </w:r>
      <m:oMath>
        <m:r>
          <m:rPr>
            <m:nor/>
            <m:sty m:val="p"/>
          </m:rPr>
          <m:t>RP</m:t>
        </m:r>
      </m:oMath>
      <w:r>
        <w:t xml:space="preserve"> </w:t>
      </w:r>
      <w:r>
        <w:t xml:space="preserve">的估计系数为 0.045***，在1%的水平上显著为正，表明机器人应用显著提高了企业的资本深化程度。在资本对劳动替代弹性大于1的条件下，资本深化将压低劳动收入份额，研究假说2得到支持。</w:t>
      </w:r>
    </w:p>
    <w:p>
      <w:pPr>
        <w:pStyle w:val="BodyText"/>
      </w:pPr>
      <w:r>
        <w:t xml:space="preserve">第二，生产率机制。表4列（2）以企业全要素生产率作为被解释变量。结果显示，</w:t>
      </w:r>
      <m:oMath>
        <m:r>
          <m:rPr>
            <m:nor/>
            <m:sty m:val="p"/>
          </m:rPr>
          <m:t>RP</m:t>
        </m:r>
      </m:oMath>
      <w:r>
        <w:t xml:space="preserve"> </w:t>
      </w:r>
      <w:r>
        <w:t xml:space="preserve">的估计系数为 0.081***，在1%的水平上显著为正，表明机器人应用显著提升了企业生产率。这与任务模型中机器人应用具有生产率效应的预测相符。</w:t>
      </w:r>
    </w:p>
    <w:p>
      <w:pPr>
        <w:pStyle w:val="BodyText"/>
      </w:pPr>
      <w:r>
        <w:t xml:space="preserve">第三，技能结构机制。表4列（3）以企业高技能劳动占比作为被解释变量。结果显示，</w:t>
      </w:r>
      <m:oMath>
        <m:r>
          <m:rPr>
            <m:nor/>
            <m:sty m:val="p"/>
          </m:rPr>
          <m:t>RP</m:t>
        </m:r>
      </m:oMath>
      <w:r>
        <w:t xml:space="preserve"> </w:t>
      </w:r>
      <w:r>
        <w:t xml:space="preserve">的估计系数为 0.032***，在1%的水平上显著为正，表明机器人应用推动了企业内部劳动力技能结构升级，即对常规任务中的低技能劳动替代更为明显。</w:t>
      </w:r>
    </w:p>
    <w:p>
      <w:pPr>
        <w:pStyle w:val="BodyText"/>
      </w:pPr>
      <w:r>
        <w:t xml:space="preserve">第四，成本加成机制。表4列（4）以企业成本加成作为被解释变量。结果显示，</w:t>
      </w:r>
      <m:oMath>
        <m:r>
          <m:rPr>
            <m:nor/>
            <m:sty m:val="p"/>
          </m:rPr>
          <m:t>RP</m:t>
        </m:r>
      </m:oMath>
      <w:r>
        <w:t xml:space="preserve"> </w:t>
      </w:r>
      <w:r>
        <w:t xml:space="preserve">的估计系数为 0.039***，在1%的水平上显著为正，表明机器人应用提高了企业的成本加成。成本加成的上升意味着企业利润份额提高、劳动收入份额下降，研究假说3得到支持。</w:t>
      </w:r>
    </w:p>
    <w:p>
      <w:pPr>
        <w:pStyle w:val="BodyText"/>
      </w:pPr>
      <w:r>
        <w:t xml:space="preserve">综合机制检验结果可知，工业机器人应用通过提高资本深化程度、提升生产率与成本加成，从多个渠道压低了企业劳动收入份额，同时推动了劳动力技能结构升级。这一发现从要素结构与生产效率两个维度，揭示了机器人应用影响劳动收入份额的内在机理。</w:t>
      </w:r>
    </w:p>
    <w:bookmarkEnd w:id="35"/>
    <w:bookmarkStart w:id="36" w:name="六异质性分析"/>
    <w:p>
      <w:pPr>
        <w:pStyle w:val="Heading2"/>
      </w:pPr>
      <w:r>
        <w:t xml:space="preserve">六、异质性分析</w:t>
      </w:r>
    </w:p>
    <w:p>
      <w:pPr>
        <w:pStyle w:val="FirstParagraph"/>
      </w:pPr>
      <w:r>
        <w:t xml:space="preserve">前文识别了工业机器人应用对劳动收入份额的平均影响及其机制。本部分进一步考察这一效应在不同类型企业间的异质性，估计结果报告于表5。</w:t>
      </w:r>
    </w:p>
    <w:p>
      <w:pPr>
        <w:keepNext/>
        <w:pStyle w:val="BodyText"/>
        <w:jc w:val="center"/>
        <w:ind w:firstLine="0" w:firstLineChars="0"/>
      </w:pPr>
      <w:r>
        <w:rPr>
          <w:rFonts w:eastAsia="黑体" w:ascii="Times New Roman" w:hAnsi="Times New Roman"/>
          <w:sz w:val="18"/>
          <w:szCs w:val="18"/>
        </w:rPr>
        <w:t xml:space="preserve">表5　异质性分析</w:t>
      </w:r>
    </w:p>
    <w:tbl>
      <w:tblPr>
        <w:tblW w:w="9200"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CellMar>
          <w:top w:w="15" w:type="dxa"/>
          <w:left w:w="80" w:type="dxa"/>
          <w:bottom w:w="15" w:type="dxa"/>
          <w:right w:w="80" w:type="dxa"/>
        </w:tblCellMar>
        <w:tblLook w:val="04A0" w:firstRow="1" w:lastRow="0" w:firstColumn="1" w:lastColumn="0" w:noHBand="0" w:noVBand="1"/>
      </w:tblPr>
      <w:tblGrid>
        <w:gridCol w:w="2600"/>
        <w:gridCol w:w="1320"/>
        <w:gridCol w:w="1320"/>
        <w:gridCol w:w="1320"/>
        <w:gridCol w:w="1320"/>
        <w:gridCol w:w="1320"/>
      </w:tblGrid>
      <w:tr>
        <w:trPr>
          <w:tblHeader w:val="true"/>
          <w:cantSplit/>
        </w:trPr>
        <w:tc>
          <w:tcPr>
            <w:tcW w:w="2600" w:type="dxa"/>
            <w:tcBorders>
              <w:bottom w:val="single" w:sz="6" w:space="0" w:color="auto"/>
            </w:tcBorders>
          </w:tcPr>
          <w:p>
            <w:pPr>
              <w:pStyle w:val="Compact"/>
              <w:jc w:val="left"/>
            </w:pPr>
            <w:r>
              <w:t xml:space="preserve">变量</w:t>
            </w:r>
          </w:p>
        </w:tc>
        <w:tc>
          <w:tcPr>
            <w:tcW w:w="1320" w:type="dxa"/>
            <w:tcBorders>
              <w:bottom w:val="single" w:sz="6" w:space="0" w:color="auto"/>
            </w:tcBorders>
          </w:tcPr>
          <w:p>
            <w:pPr>
              <w:pStyle w:val="Compact"/>
              <w:jc w:val="center"/>
            </w:pPr>
            <w:r>
              <w:t xml:space="preserve">（1）要素密集度</w:t>
            </w:r>
          </w:p>
        </w:tc>
        <w:tc>
          <w:tcPr>
            <w:tcW w:w="1320" w:type="dxa"/>
            <w:tcBorders>
              <w:bottom w:val="single" w:sz="6" w:space="0" w:color="auto"/>
            </w:tcBorders>
          </w:tcPr>
          <w:p>
            <w:pPr>
              <w:pStyle w:val="Compact"/>
              <w:jc w:val="center"/>
            </w:pPr>
            <w:r>
              <w:t xml:space="preserve">（2）所有制</w:t>
            </w:r>
          </w:p>
        </w:tc>
        <w:tc>
          <w:tcPr>
            <w:tcW w:w="1320" w:type="dxa"/>
            <w:tcBorders>
              <w:bottom w:val="single" w:sz="6" w:space="0" w:color="auto"/>
            </w:tcBorders>
          </w:tcPr>
          <w:p>
            <w:pPr>
              <w:pStyle w:val="Compact"/>
              <w:jc w:val="center"/>
            </w:pPr>
            <w:r>
              <w:t xml:space="preserve">（3）技能结构</w:t>
            </w:r>
          </w:p>
        </w:tc>
        <w:tc>
          <w:tcPr>
            <w:tcW w:w="1320" w:type="dxa"/>
            <w:tcBorders>
              <w:bottom w:val="single" w:sz="6" w:space="0" w:color="auto"/>
            </w:tcBorders>
          </w:tcPr>
          <w:p>
            <w:pPr>
              <w:pStyle w:val="Compact"/>
              <w:jc w:val="center"/>
            </w:pPr>
            <w:r>
              <w:t xml:space="preserve">（4）企业规模</w:t>
            </w:r>
          </w:p>
        </w:tc>
        <w:tc>
          <w:tcPr>
            <w:tcW w:w="1320" w:type="dxa"/>
            <w:tcBorders>
              <w:bottom w:val="single" w:sz="6" w:space="0" w:color="auto"/>
            </w:tcBorders>
          </w:tcPr>
          <w:p>
            <w:pPr>
              <w:pStyle w:val="Compact"/>
              <w:jc w:val="center"/>
            </w:pPr>
            <w:r>
              <w:t xml:space="preserve">（5）地区</w:t>
            </w:r>
          </w:p>
        </w:tc>
      </w:tr>
      <w:tr>
        <w:trPr>
          <w:cantSplit/>
        </w:trPr>
        <w:tc>
          <w:tcPr>
            <w:tcW w:w="2600" w:type="dxa"/>
          </w:tcPr>
          <w:p>
            <w:pPr>
              <w:pStyle w:val="Compact"/>
              <w:jc w:val="left"/>
            </w:pPr>
            <w:r>
              <w:t xml:space="preserve">机器人渗透度</w:t>
            </w:r>
          </w:p>
        </w:tc>
        <w:tc>
          <w:tcPr>
            <w:tcW w:w="1320" w:type="dxa"/>
          </w:tcPr>
          <w:p>
            <w:pPr>
              <w:pStyle w:val="Compact"/>
              <w:jc w:val="center"/>
            </w:pPr>
            <w:r>
              <w:t xml:space="preserve">-0.046</w:t>
            </w:r>
          </w:p>
        </w:tc>
        <w:tc>
          <w:tcPr>
            <w:tcW w:w="1320" w:type="dxa"/>
          </w:tcPr>
          <w:p>
            <w:pPr>
              <w:pStyle w:val="Compact"/>
              <w:jc w:val="center"/>
            </w:pPr>
            <w:r>
              <w:t xml:space="preserve">-0.059</w:t>
            </w:r>
          </w:p>
        </w:tc>
        <w:tc>
          <w:tcPr>
            <w:tcW w:w="1320" w:type="dxa"/>
          </w:tcPr>
          <w:p>
            <w:pPr>
              <w:pStyle w:val="Compact"/>
              <w:jc w:val="center"/>
            </w:pPr>
            <w:r>
              <w:t xml:space="preserve">-0.045</w:t>
            </w:r>
          </w:p>
        </w:tc>
        <w:tc>
          <w:tcPr>
            <w:tcW w:w="1320" w:type="dxa"/>
          </w:tcPr>
          <w:p>
            <w:pPr>
              <w:pStyle w:val="Compact"/>
              <w:jc w:val="center"/>
            </w:pPr>
            <w:r>
              <w:t xml:space="preserve">-0.056</w:t>
            </w:r>
          </w:p>
        </w:tc>
        <w:tc>
          <w:tcPr>
            <w:tcW w:w="1320" w:type="dxa"/>
          </w:tcPr>
          <w:p>
            <w:pPr>
              <w:pStyle w:val="Compact"/>
              <w:jc w:val="center"/>
            </w:pPr>
            <w:r>
              <w:t xml:space="preserve">-0.055</w:t>
            </w:r>
          </w:p>
        </w:tc>
      </w:tr>
      <w:tr>
        <w:trPr>
          <w:cantSplit/>
        </w:trPr>
        <w:tc>
          <w:tcPr>
            <w:tcW w:w="2600" w:type="dxa"/>
          </w:tcPr>
          <w:p>
            <w:pPr>
              <w:pStyle w:val="Compact"/>
            </w:pPr>
          </w:p>
        </w:tc>
        <w:tc>
          <w:tcPr>
            <w:tcW w:w="1320" w:type="dxa"/>
          </w:tcPr>
          <w:p>
            <w:pPr>
              <w:pStyle w:val="Compact"/>
              <w:jc w:val="center"/>
            </w:pPr>
            <w:r>
              <w:t xml:space="preserve">（0.003）</w:t>
            </w:r>
          </w:p>
        </w:tc>
        <w:tc>
          <w:tcPr>
            <w:tcW w:w="1320" w:type="dxa"/>
          </w:tcPr>
          <w:p>
            <w:pPr>
              <w:pStyle w:val="Compact"/>
              <w:jc w:val="center"/>
            </w:pPr>
            <w:r>
              <w:t xml:space="preserve">（0.003）</w:t>
            </w:r>
          </w:p>
        </w:tc>
        <w:tc>
          <w:tcPr>
            <w:tcW w:w="1320" w:type="dxa"/>
          </w:tcPr>
          <w:p>
            <w:pPr>
              <w:pStyle w:val="Compact"/>
              <w:jc w:val="center"/>
            </w:pPr>
            <w:r>
              <w:t xml:space="preserve">（0.003）</w:t>
            </w:r>
          </w:p>
        </w:tc>
        <w:tc>
          <w:tcPr>
            <w:tcW w:w="1320" w:type="dxa"/>
          </w:tcPr>
          <w:p>
            <w:pPr>
              <w:pStyle w:val="Compact"/>
              <w:jc w:val="center"/>
            </w:pPr>
            <w:r>
              <w:t xml:space="preserve">（0.003）</w:t>
            </w:r>
          </w:p>
        </w:tc>
        <w:tc>
          <w:tcPr>
            <w:tcW w:w="1320" w:type="dxa"/>
          </w:tcPr>
          <w:p>
            <w:pPr>
              <w:pStyle w:val="Compact"/>
              <w:jc w:val="center"/>
            </w:pPr>
            <w:r>
              <w:t xml:space="preserve">（0.003）</w:t>
            </w:r>
          </w:p>
        </w:tc>
      </w:tr>
      <w:tr>
        <w:trPr>
          <w:cantSplit/>
        </w:trPr>
        <w:tc>
          <w:tcPr>
            <w:tcW w:w="2600" w:type="dxa"/>
          </w:tcPr>
          <w:p>
            <w:pPr>
              <w:pStyle w:val="Compact"/>
              <w:jc w:val="left"/>
            </w:pPr>
            <w:r>
              <w:t xml:space="preserve">渗透度×分组</w:t>
            </w:r>
          </w:p>
        </w:tc>
        <w:tc>
          <w:tcPr>
            <w:tcW w:w="1320" w:type="dxa"/>
          </w:tcPr>
          <w:p>
            <w:pPr>
              <w:pStyle w:val="Compact"/>
              <w:jc w:val="center"/>
            </w:pPr>
            <w:r>
              <w:t xml:space="preserve">-0.018***</w:t>
            </w:r>
          </w:p>
        </w:tc>
        <w:tc>
          <w:tcPr>
            <w:tcW w:w="1320" w:type="dxa"/>
          </w:tcPr>
          <w:p>
            <w:pPr>
              <w:pStyle w:val="Compact"/>
              <w:jc w:val="center"/>
            </w:pPr>
            <w:r>
              <w:t xml:space="preserve">0.012***</w:t>
            </w:r>
          </w:p>
        </w:tc>
        <w:tc>
          <w:tcPr>
            <w:tcW w:w="1320" w:type="dxa"/>
          </w:tcPr>
          <w:p>
            <w:pPr>
              <w:pStyle w:val="Compact"/>
              <w:jc w:val="center"/>
            </w:pPr>
            <w:r>
              <w:t xml:space="preserve">-0.017***</w:t>
            </w:r>
          </w:p>
        </w:tc>
        <w:tc>
          <w:tcPr>
            <w:tcW w:w="1320" w:type="dxa"/>
          </w:tcPr>
          <w:p>
            <w:pPr>
              <w:pStyle w:val="Compact"/>
              <w:jc w:val="center"/>
            </w:pPr>
            <w:r>
              <w:t xml:space="preserve">0.001</w:t>
            </w:r>
          </w:p>
        </w:tc>
        <w:tc>
          <w:tcPr>
            <w:tcW w:w="1320" w:type="dxa"/>
          </w:tcPr>
          <w:p>
            <w:pPr>
              <w:pStyle w:val="Compact"/>
              <w:jc w:val="center"/>
            </w:pPr>
            <w:r>
              <w:t xml:space="preserve">-0.001</w:t>
            </w:r>
          </w:p>
        </w:tc>
      </w:tr>
      <w:tr>
        <w:trPr>
          <w:cantSplit/>
        </w:trPr>
        <w:tc>
          <w:tcPr>
            <w:tcW w:w="2600" w:type="dxa"/>
          </w:tcPr>
          <w:p>
            <w:pPr>
              <w:pStyle w:val="Compact"/>
            </w:pPr>
          </w:p>
        </w:tc>
        <w:tc>
          <w:tcPr>
            <w:tcW w:w="1320" w:type="dxa"/>
          </w:tcPr>
          <w:p>
            <w:pPr>
              <w:pStyle w:val="Compact"/>
              <w:jc w:val="center"/>
            </w:pPr>
            <w:r>
              <w:t xml:space="preserve">（0.002）</w:t>
            </w:r>
          </w:p>
        </w:tc>
        <w:tc>
          <w:tcPr>
            <w:tcW w:w="1320" w:type="dxa"/>
          </w:tcPr>
          <w:p>
            <w:pPr>
              <w:pStyle w:val="Compact"/>
              <w:jc w:val="center"/>
            </w:pPr>
            <w:r>
              <w:t xml:space="preserve">（0.002）</w:t>
            </w:r>
          </w:p>
        </w:tc>
        <w:tc>
          <w:tcPr>
            <w:tcW w:w="1320" w:type="dxa"/>
          </w:tcPr>
          <w:p>
            <w:pPr>
              <w:pStyle w:val="Compact"/>
              <w:jc w:val="center"/>
            </w:pPr>
            <w:r>
              <w:t xml:space="preserve">（0.002）</w:t>
            </w:r>
          </w:p>
        </w:tc>
        <w:tc>
          <w:tcPr>
            <w:tcW w:w="1320" w:type="dxa"/>
          </w:tcPr>
          <w:p>
            <w:pPr>
              <w:pStyle w:val="Compact"/>
              <w:jc w:val="center"/>
            </w:pPr>
            <w:r>
              <w:t xml:space="preserve">（0.002）</w:t>
            </w:r>
          </w:p>
        </w:tc>
        <w:tc>
          <w:tcPr>
            <w:tcW w:w="1320" w:type="dxa"/>
          </w:tcPr>
          <w:p>
            <w:pPr>
              <w:pStyle w:val="Compact"/>
              <w:jc w:val="center"/>
            </w:pPr>
            <w:r>
              <w:t xml:space="preserve">（0.001）</w:t>
            </w:r>
          </w:p>
        </w:tc>
      </w:tr>
      <w:tr>
        <w:trPr>
          <w:cantSplit/>
        </w:trPr>
        <w:tc>
          <w:tcPr>
            <w:tcW w:w="2600" w:type="dxa"/>
          </w:tcPr>
          <w:p>
            <w:pPr>
              <w:pStyle w:val="Compact"/>
              <w:jc w:val="left"/>
            </w:pPr>
            <w:r>
              <w:t xml:space="preserve">分组变量</w:t>
            </w:r>
          </w:p>
        </w:tc>
        <w:tc>
          <w:tcPr>
            <w:tcW w:w="1320" w:type="dxa"/>
          </w:tcPr>
          <w:p>
            <w:pPr>
              <w:pStyle w:val="Compact"/>
              <w:jc w:val="center"/>
            </w:pPr>
            <w:r>
              <w:t xml:space="preserve">劳动密集</w:t>
            </w:r>
          </w:p>
        </w:tc>
        <w:tc>
          <w:tcPr>
            <w:tcW w:w="1320" w:type="dxa"/>
          </w:tcPr>
          <w:p>
            <w:pPr>
              <w:pStyle w:val="Compact"/>
              <w:jc w:val="center"/>
            </w:pPr>
            <w:r>
              <w:t xml:space="preserve">国有</w:t>
            </w:r>
          </w:p>
        </w:tc>
        <w:tc>
          <w:tcPr>
            <w:tcW w:w="1320" w:type="dxa"/>
          </w:tcPr>
          <w:p>
            <w:pPr>
              <w:pStyle w:val="Compact"/>
              <w:jc w:val="center"/>
            </w:pPr>
            <w:r>
              <w:t xml:space="preserve">低技能</w:t>
            </w:r>
          </w:p>
        </w:tc>
        <w:tc>
          <w:tcPr>
            <w:tcW w:w="1320" w:type="dxa"/>
          </w:tcPr>
          <w:p>
            <w:pPr>
              <w:pStyle w:val="Compact"/>
              <w:jc w:val="center"/>
            </w:pPr>
            <w:r>
              <w:t xml:space="preserve">大规模</w:t>
            </w:r>
          </w:p>
        </w:tc>
        <w:tc>
          <w:tcPr>
            <w:tcW w:w="1320" w:type="dxa"/>
          </w:tcPr>
          <w:p>
            <w:pPr>
              <w:pStyle w:val="Compact"/>
              <w:jc w:val="center"/>
            </w:pPr>
            <w:r>
              <w:t xml:space="preserve">东部</w:t>
            </w:r>
          </w:p>
        </w:tc>
      </w:tr>
      <w:tr>
        <w:trPr>
          <w:cantSplit/>
        </w:trPr>
        <w:tc>
          <w:tcPr>
            <w:tcW w:w="2600" w:type="dxa"/>
          </w:tcPr>
          <w:p>
            <w:pPr>
              <w:pStyle w:val="Compact"/>
              <w:jc w:val="left"/>
            </w:pPr>
            <w:r>
              <w:t xml:space="preserve">控制变量</w:t>
            </w:r>
          </w:p>
        </w:tc>
        <w:tc>
          <w:tcPr>
            <w:tcW w:w="1320" w:type="dxa"/>
          </w:tcPr>
          <w:p>
            <w:pPr>
              <w:pStyle w:val="Compact"/>
              <w:jc w:val="center"/>
            </w:pPr>
            <w:r>
              <w:t xml:space="preserve">是</w:t>
            </w:r>
          </w:p>
        </w:tc>
        <w:tc>
          <w:tcPr>
            <w:tcW w:w="1320" w:type="dxa"/>
          </w:tcPr>
          <w:p>
            <w:pPr>
              <w:pStyle w:val="Compact"/>
              <w:jc w:val="center"/>
            </w:pPr>
            <w:r>
              <w:t xml:space="preserve">是</w:t>
            </w:r>
          </w:p>
        </w:tc>
        <w:tc>
          <w:tcPr>
            <w:tcW w:w="1320" w:type="dxa"/>
          </w:tcPr>
          <w:p>
            <w:pPr>
              <w:pStyle w:val="Compact"/>
              <w:jc w:val="center"/>
            </w:pPr>
            <w:r>
              <w:t xml:space="preserve">是</w:t>
            </w:r>
          </w:p>
        </w:tc>
        <w:tc>
          <w:tcPr>
            <w:tcW w:w="1320" w:type="dxa"/>
          </w:tcPr>
          <w:p>
            <w:pPr>
              <w:pStyle w:val="Compact"/>
              <w:jc w:val="center"/>
            </w:pPr>
            <w:r>
              <w:t xml:space="preserve">是</w:t>
            </w:r>
          </w:p>
        </w:tc>
        <w:tc>
          <w:tcPr>
            <w:tcW w:w="1320" w:type="dxa"/>
          </w:tcPr>
          <w:p>
            <w:pPr>
              <w:pStyle w:val="Compact"/>
              <w:jc w:val="center"/>
            </w:pPr>
            <w:r>
              <w:t xml:space="preserve">是</w:t>
            </w:r>
          </w:p>
        </w:tc>
      </w:tr>
      <w:tr>
        <w:trPr>
          <w:cantSplit/>
        </w:trPr>
        <w:tc>
          <w:tcPr>
            <w:tcW w:w="2600" w:type="dxa"/>
          </w:tcPr>
          <w:p>
            <w:pPr>
              <w:pStyle w:val="Compact"/>
              <w:jc w:val="left"/>
            </w:pPr>
            <w:r>
              <w:t xml:space="preserve">固定效应</w:t>
            </w:r>
          </w:p>
        </w:tc>
        <w:tc>
          <w:tcPr>
            <w:tcW w:w="1320" w:type="dxa"/>
          </w:tcPr>
          <w:p>
            <w:pPr>
              <w:pStyle w:val="Compact"/>
              <w:jc w:val="center"/>
            </w:pPr>
            <w:r>
              <w:t xml:space="preserve">是</w:t>
            </w:r>
          </w:p>
        </w:tc>
        <w:tc>
          <w:tcPr>
            <w:tcW w:w="1320" w:type="dxa"/>
          </w:tcPr>
          <w:p>
            <w:pPr>
              <w:pStyle w:val="Compact"/>
              <w:jc w:val="center"/>
            </w:pPr>
            <w:r>
              <w:t xml:space="preserve">是</w:t>
            </w:r>
          </w:p>
        </w:tc>
        <w:tc>
          <w:tcPr>
            <w:tcW w:w="1320" w:type="dxa"/>
          </w:tcPr>
          <w:p>
            <w:pPr>
              <w:pStyle w:val="Compact"/>
              <w:jc w:val="center"/>
            </w:pPr>
            <w:r>
              <w:t xml:space="preserve">是</w:t>
            </w:r>
          </w:p>
        </w:tc>
        <w:tc>
          <w:tcPr>
            <w:tcW w:w="1320" w:type="dxa"/>
          </w:tcPr>
          <w:p>
            <w:pPr>
              <w:pStyle w:val="Compact"/>
              <w:jc w:val="center"/>
            </w:pPr>
            <w:r>
              <w:t xml:space="preserve">是</w:t>
            </w:r>
          </w:p>
        </w:tc>
        <w:tc>
          <w:tcPr>
            <w:tcW w:w="1320" w:type="dxa"/>
          </w:tcPr>
          <w:p>
            <w:pPr>
              <w:pStyle w:val="Compact"/>
              <w:jc w:val="center"/>
            </w:pPr>
            <w:r>
              <w:t xml:space="preserve">是</w:t>
            </w:r>
          </w:p>
        </w:tc>
      </w:tr>
      <w:tr>
        <w:trPr>
          <w:cantSplit/>
        </w:trPr>
        <w:tc>
          <w:tcPr>
            <w:tcW w:w="2600" w:type="dxa"/>
          </w:tcPr>
          <w:p>
            <w:pPr>
              <w:pStyle w:val="Compact"/>
              <w:jc w:val="left"/>
            </w:pPr>
            <w:r>
              <w:t xml:space="preserve">观测值</w:t>
            </w:r>
          </w:p>
        </w:tc>
        <w:tc>
          <w:tcPr>
            <w:tcW w:w="1320" w:type="dxa"/>
          </w:tcPr>
          <w:p>
            <w:pPr>
              <w:pStyle w:val="Compact"/>
              <w:jc w:val="center"/>
            </w:pPr>
            <w:r>
              <w:t xml:space="preserve">14400</w:t>
            </w:r>
          </w:p>
        </w:tc>
        <w:tc>
          <w:tcPr>
            <w:tcW w:w="1320" w:type="dxa"/>
          </w:tcPr>
          <w:p>
            <w:pPr>
              <w:pStyle w:val="Compact"/>
              <w:jc w:val="center"/>
            </w:pPr>
            <w:r>
              <w:t xml:space="preserve">14400</w:t>
            </w:r>
          </w:p>
        </w:tc>
        <w:tc>
          <w:tcPr>
            <w:tcW w:w="1320" w:type="dxa"/>
          </w:tcPr>
          <w:p>
            <w:pPr>
              <w:pStyle w:val="Compact"/>
              <w:jc w:val="center"/>
            </w:pPr>
            <w:r>
              <w:t xml:space="preserve">14400</w:t>
            </w:r>
          </w:p>
        </w:tc>
        <w:tc>
          <w:tcPr>
            <w:tcW w:w="1320" w:type="dxa"/>
          </w:tcPr>
          <w:p>
            <w:pPr>
              <w:pStyle w:val="Compact"/>
              <w:jc w:val="center"/>
            </w:pPr>
            <w:r>
              <w:t xml:space="preserve">14400</w:t>
            </w:r>
          </w:p>
        </w:tc>
        <w:tc>
          <w:tcPr>
            <w:tcW w:w="1320" w:type="dxa"/>
          </w:tcPr>
          <w:p>
            <w:pPr>
              <w:pStyle w:val="Compact"/>
              <w:jc w:val="center"/>
            </w:pPr>
            <w:r>
              <w:t xml:space="preserve">14400</w:t>
            </w:r>
          </w:p>
        </w:tc>
      </w:tr>
    </w:tbl>
    <w:p>
      <w:pPr>
        <w:pStyle w:val="BodyText"/>
        <w:jc w:val="left"/>
        <w:ind w:firstLine="0" w:firstLineChars="0"/>
      </w:pPr>
      <w:r>
        <w:rPr>
          <w:rFonts w:eastAsia="宋体" w:ascii="Times New Roman" w:hAnsi="Times New Roman"/>
          <w:sz w:val="18"/>
          <w:szCs w:val="18"/>
        </w:rPr>
        <w:t xml:space="preserve">注：各列分别在基准模型中加入相应分组变量及其与机器人渗透度的交互项。</w:t>
      </w:r>
    </w:p>
    <w:p>
      <w:pPr>
        <w:pStyle w:val="BodyText"/>
      </w:pPr>
      <w:r>
        <w:t xml:space="preserve">第一，要素密集度异质性。表5列（1）以企业是否为劳动密集型进行分组。结果显示，</w:t>
      </w:r>
      <m:oMath>
        <m:r>
          <m:rPr>
            <m:nor/>
            <m:sty m:val="p"/>
          </m:rPr>
          <m:t>RP</m:t>
        </m:r>
      </m:oMath>
      <w:r>
        <w:t xml:space="preserve"> </w:t>
      </w:r>
      <w:r>
        <w:t xml:space="preserve">与劳动密集型虚拟变量交互项的系数 为-0.018***，显著为负，表明机器人应用对劳动密集型企业劳动收入份额的抑制作用相对更强。这与劳动密集型企业中机器人对劳动的替代空间更大的直觉相一致。</w:t>
      </w:r>
    </w:p>
    <w:p>
      <w:pPr>
        <w:pStyle w:val="BodyText"/>
      </w:pPr>
      <w:r>
        <w:t xml:space="preserve">第二，所有制异质性。表5列（2）以企业是否为国有企业进行分组。结果显示，交互项系数 为0.012***，显著为正（即国有企业受抑制程度更小），表明机器人应用对非国有企业劳动收入份额的抑制作用相对更强。可能的原因在于，国有企业在用工调整上面临更强的稳就业约束，机器人对劳动的替代相对受限。</w:t>
      </w:r>
    </w:p>
    <w:p>
      <w:pPr>
        <w:pStyle w:val="BodyText"/>
      </w:pPr>
      <w:r>
        <w:t xml:space="preserve">第三，技能结构异质性。表5列（3）以企业高技能劳动占比是否较低进行分组。结果显示，交互项系数 为-0.017***，显著为负，表明机器人应用对低技能密集型企业劳动收入份额的抑制作用相对更强，反映出机器人对低技能常规劳动的替代更为突出。</w:t>
      </w:r>
    </w:p>
    <w:p>
      <w:pPr>
        <w:pStyle w:val="BodyText"/>
      </w:pPr>
      <w:r>
        <w:t xml:space="preserve">第四，企业规模与地区异质性。表5列（4）、列（5）分别以企业规模与地区进行分组。结果显示，机器人应用对劳动收入份额的抑制作用在不同规模企业间存在一定差异，而在东部与中西部地区之间的差异相对有限。</w:t>
      </w:r>
    </w:p>
    <w:p>
      <w:pPr>
        <w:pStyle w:val="BodyText"/>
      </w:pPr>
      <w:r>
        <w:t xml:space="preserve">综合异质性分析结果可以判断，工业机器人应用对劳动收入份额的抑制作用，在劳动密集型企业、非国有企业与低技能密集型企业中更为突出。这一发现表明，自动化技术的收入分配效应具有明显的结构性特征，为差异化的政策设计提供了依据。</w:t>
      </w:r>
    </w:p>
    <w:bookmarkEnd w:id="36"/>
    <w:bookmarkStart w:id="37" w:name="七结论与政策建议"/>
    <w:p>
      <w:pPr>
        <w:pStyle w:val="Heading2"/>
      </w:pPr>
      <w:r>
        <w:t xml:space="preserve">七、结论与政策建议</w:t>
      </w:r>
    </w:p>
    <w:p>
      <w:pPr>
        <w:pStyle w:val="FirstParagraph"/>
      </w:pPr>
      <w:r>
        <w:t xml:space="preserve">工业机器人是数字经济时代自动化技术的重要载体，其大规模应用深刻影响着企业的要素分配格局。本文利用2011—2019年中国制造业上市公司数据，结合国际机器人联合会的行业机器人数据，识别了工业机器人应用对企业劳动收入份额的影响及其机制。研究发现：第一，工业机器人应用显著降低了企业劳动收入份额，这一结论在采用巴蒂克工具变量处理内生性并进行一系列稳健性检验后依然成立；第二，机器人应用主要通过提高资本深化程度、提升生产率与成本加成压低劳动收入份额，同时推动了企业劳动力技能结构升级；第三，机器人应用对劳动收入份额的抑制作用在劳动密集型企业、非国有企业与低技能密集型企业中更为显著。</w:t>
      </w:r>
    </w:p>
    <w:p>
      <w:pPr>
        <w:pStyle w:val="BodyText"/>
      </w:pPr>
      <w:r>
        <w:t xml:space="preserve">基于上述结论，本文提出如下政策建议。第一，在推进制造业智能化的同时，应高度重视自动化技术对劳动收入份额的抑制效应，健全劳动报酬合理增长机制。应通过完善工资集体协商制度、强化劳动者权益保护等方式，保障劳动者在生产率提升过程中分享技术进步的成果，防止劳动收入份额过快下降。第二，着力提升劳动者技能，增强劳动者与自动化技术的互补性。本文发现机器人应用推动了技能结构升级，这意味着提升劳动者技能水平是应对自动化冲击的关键。应通过加强职业技能培训、完善终身学习体系等方式，帮助劳动者向机器人难以替代的非常规任务转移，增强其在数字经济时代的就业竞争力。第三，实施差异化的政策，重点关注受机器人替代冲击较大的群体与企业。本文发现机器人应用的分配效应在劳动密集型企业、非国有企业与低技能密集型企业中更为突出，应对这些领域的劳动者给予更有针对性的技能培训与就业帮扶，并通过完善再分配政策，缓解自动化技术可能加剧的收入分配不平等，为扎实推进共同富裕奠定坚实基础。</w:t>
      </w:r>
    </w:p>
    <w:bookmarkEnd w:id="37"/>
    <w:bookmarkStart w:id="38" w:name="参考文献"/>
    <w:p>
      <w:pPr>
        <w:pStyle w:val="Heading2"/>
      </w:pPr>
      <w:r>
        <w:t xml:space="preserve">参考文献</w:t>
      </w:r>
    </w:p>
    <w:p>
      <w:pPr>
        <w:pStyle w:val="FirstParagraph"/>
      </w:pPr>
      <w:r>
        <w:t xml:space="preserve">［1］白重恩，钱震杰. 谁在挤占居民的收入——中国国民收入分配格局分析［J］. 中国社会科学，2009，（5）：99~115.</w:t>
      </w:r>
    </w:p>
    <w:p>
      <w:pPr>
        <w:pStyle w:val="BodyText"/>
      </w:pPr>
      <w:r>
        <w:t xml:space="preserve">［2］郭凯明. 人工智能发展、产业结构转型升级与劳动收入份额变动［J］. 管理世界，2019，（7）：60~77+202~203.</w:t>
      </w:r>
    </w:p>
    <w:p>
      <w:pPr>
        <w:pStyle w:val="BodyText"/>
      </w:pPr>
      <w:r>
        <w:t xml:space="preserve">［3］李磊，王小霞，包群. 机器人的就业效应：机制与中国经验［J］. 管理世界，2021，（9）：104~119.</w:t>
      </w:r>
    </w:p>
    <w:p>
      <w:pPr>
        <w:pStyle w:val="BodyText"/>
      </w:pPr>
      <w:r>
        <w:t xml:space="preserve">［4］施新政，高文静，陆瑶，李蒙蒙. 资本市场配置效率与劳动收入份额——来自股权分置改革的证据［J］. 经济研究，2019，（12）：21~37.</w:t>
      </w:r>
    </w:p>
    <w:p>
      <w:pPr>
        <w:pStyle w:val="BodyText"/>
      </w:pPr>
      <w:r>
        <w:t xml:space="preserve">［5］王永钦，董雯. 机器人的兴起如何影响中国劳动力市场？——来自制造业上市公司的证据［J］. 经济研究，2020，（10）：159~174.</w:t>
      </w:r>
    </w:p>
    <w:p>
      <w:pPr>
        <w:pStyle w:val="BodyText"/>
      </w:pPr>
      <w:r>
        <w:t xml:space="preserve">［6］许和连，赵泽昊，金友森. 人力资本如何驱动企业工业机器人应用？——基于中国“高校扩招”的准自然实验［J］. 数量经济技术经济研究，2024，（9）：178~198.</w:t>
      </w:r>
    </w:p>
    <w:p>
      <w:pPr>
        <w:pStyle w:val="BodyText"/>
      </w:pPr>
      <w:r>
        <w:t xml:space="preserve">［7］余玲铮，魏下海，孙中伟，等. 工业机器人、工作任务与非常规能力溢价——来自制造业“企业—工人”匹配调查的证据［J］. 管理世界，2021，（1）：47~59.</w:t>
      </w:r>
    </w:p>
    <w:p>
      <w:pPr>
        <w:pStyle w:val="BodyText"/>
      </w:pPr>
      <w:r>
        <w:t xml:space="preserve">［8］Acemoglu D.， Restrepo P.， 2019， Automation and New Tasks: How Technology Displaces and Reinstates Labor ［J］， Journal of Economic Perspectives， 33（2），3~30.</w:t>
      </w:r>
    </w:p>
    <w:p>
      <w:pPr>
        <w:pStyle w:val="BodyText"/>
      </w:pPr>
      <w:r>
        <w:t xml:space="preserve">［9］Acemoglu D.， Restrepo P.， 2020， Robots and Jobs: Evidence from US Labor Markets ［J］， Journal of Political Economy， 128（6），2188~2244.</w:t>
      </w:r>
    </w:p>
    <w:p>
      <w:pPr>
        <w:pStyle w:val="BodyText"/>
      </w:pPr>
      <w:r>
        <w:t xml:space="preserve">［10］Autor D.， Dorn D.， Katz L. F.， Patterson C.， Van Reenen J.， 2020， The Fall of the Labor Share and the Rise of Superstar Firms ［J］， The Quarterly Journal of Economics， 135（2），645~709.</w:t>
      </w:r>
    </w:p>
    <w:p>
      <w:pPr>
        <w:pStyle w:val="BodyText"/>
      </w:pPr>
      <w:r>
        <w:t xml:space="preserve">［11］Graetz G.， Michaels G.， 2018， Robots at Work ［J］， The Review of Economics and Statistics， 100（5），753~768.</w:t>
      </w:r>
    </w:p>
    <w:p>
      <w:pPr>
        <w:pStyle w:val="BodyText"/>
      </w:pPr>
      <w:r>
        <w:t xml:space="preserve">［12］Karabarbounis L.， Neiman B.， 2014， The Global Decline of the Labor Share ［J］， The Quarterly Journal of Economics， 129（1），61~103.</w:t>
      </w:r>
    </w:p>
    <w:bookmarkEnd w:id="38"/>
    <w:bookmarkStart w:id="39" w:name="Xff00f3c30ecf9c33d7ed5bcc726bf658a0de13f"/>
    <w:p>
      <w:pPr>
        <w:pStyle w:val="Heading2"/>
      </w:pPr>
      <w:r>
        <w:t xml:space="preserve">Industrial Robot Adoption and the Labor Income Share: Evidence from China’s Listed Manufacturing Firms</w:t>
      </w:r>
    </w:p>
    <w:p>
      <w:pPr>
        <w:pStyle w:val="FirstParagraph"/>
      </w:pPr>
      <w:r>
        <w:rPr>
          <w:bCs/>
          <w:b/>
        </w:rPr>
        <w:t xml:space="preserve">Summary：</w:t>
      </w:r>
      <w:r>
        <w:t xml:space="preserve"> </w:t>
      </w:r>
      <w:r>
        <w:t xml:space="preserve">The labor income share is central to the pattern of income distribution and to the pursuit of common prosperity, and automation technologies represented by industrial robots are profoundly reshaping the factor distribution within firms. Since the 1980s, the labor income share has declined globally, raising concerns about the distributional consequences of technological change. As the world’s largest market for industrial robots, China provides an important setting for examining how automation affects firms’ factor distribution.</w:t>
      </w:r>
    </w:p>
    <w:p>
      <w:pPr>
        <w:pStyle w:val="BodyText"/>
      </w:pPr>
      <w:r>
        <w:t xml:space="preserve">Drawing on the task-based framework, this study characterizes industrial robots as automation capital that substitutes for labor in performing routine tasks. Robot adoption exerts two countervailing effects on the labor income share: a displacement effect that reduces labor demand and lowers the labor share, and a productivity effect that expands output and partially offsets the displacement effect. The net effect is therefore an empirical question.</w:t>
      </w:r>
    </w:p>
    <w:p>
      <w:pPr>
        <w:pStyle w:val="BodyText"/>
      </w:pPr>
      <w:r>
        <w:t xml:space="preserve">Using data on China’s listed manufacturing firms for 2011–2019, combined with industry-level robot data from the International Federation of Robotics (IFR), this study constructs firm-level measures of robot penetration and employs a two-way fixed-effects model to identify the effect of robot adoption on the labor income share. To address endogeneity, it adopts a Bartik-style instrumental-variable strategy that instruments domestic industry robot penetration with the corresponding penetration in foreign countries.</w:t>
      </w:r>
    </w:p>
    <w:p>
      <w:pPr>
        <w:pStyle w:val="BodyText"/>
      </w:pPr>
      <w:r>
        <w:t xml:space="preserve">The results show that industrial robot adoption significantly reduces the firm-level labor income share, and this finding is robust to instrumental-variable estimation and a series of robustness checks. The mechanism analysis indicates that robot adoption lowers the labor income share by raising capital deepening, firm productivity, and markups, while simultaneously upgrading the skill structure of the workforce.</w:t>
      </w:r>
    </w:p>
    <w:p>
      <w:pPr>
        <w:pStyle w:val="BodyText"/>
      </w:pPr>
      <w:r>
        <w:t xml:space="preserve">The heterogeneity analysis reveals that the negative effect of robot adoption on the labor income share is more pronounced among labor-intensive firms, non-state-owned firms, and low-skill-intensive firms. These results suggest that the distributional effects of automation are structurally uneven. The study provides micro-level evidence on the distributional effects of automation and offers policy implications for safeguarding reasonable labor compensation while advancing manufacturing intelligentization, thereby promoting common prosperity.</w:t>
      </w:r>
    </w:p>
    <w:p>
      <w:pPr>
        <w:pStyle w:val="BodyText"/>
      </w:pPr>
      <w:r>
        <w:rPr>
          <w:bCs/>
          <w:b/>
        </w:rPr>
        <w:t xml:space="preserve">Keywords：</w:t>
      </w:r>
      <w:r>
        <w:t xml:space="preserve"> </w:t>
      </w:r>
      <w:r>
        <w:t xml:space="preserve">Industrial Robots； Labor Income Share； Task-based Model； Bartik Instrument； Income Distribution</w:t>
      </w:r>
    </w:p>
    <w:p>
      <w:pPr>
        <w:pStyle w:val="BodyText"/>
      </w:pPr>
      <w:r>
        <w:rPr>
          <w:bCs/>
          <w:b/>
        </w:rPr>
        <w:t xml:space="preserve">JEL Classification：</w:t>
      </w:r>
      <w:r>
        <w:t xml:space="preserve"> </w:t>
      </w:r>
      <w:r>
        <w:t xml:space="preserve">J24； O33； D33</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mc:Ignorable="w14">
  <w:docDefaults>
    <w:rPrDefault>
      <w:rPr>
        <w:rFonts w:ascii="Times New Roman" w:cs="Times New Roman" w:eastAsia="宋体" w:hAnsi="Times New Roman"/>
        <w:sz w:val="21"/>
        <w:szCs w:val="21"/>
        <w:lang w:bidi="ar-SA" w:eastAsia="zh-CN" w:val="en-US"/>
      </w:rPr>
    </w:rPrDefault>
    <w:pPrDefault>
      <w:pPr>
        <w:spacing w:line="360" w:lineRule="exact"/>
        <w:jc w:val="both"/>
      </w:pPr>
    </w:pPrDefault>
  </w:docDefaults>
  <w:style w:default="1" w:styleId="Normal" w:type="paragraph">
    <w:name w:val="Normal"/>
    <w:qFormat/>
    <w:pPr>
      <w:spacing w:line="360" w:lineRule="exact"/>
      <w:ind w:firstLine="420" w:firstLineChars="200"/>
      <w:jc w:val="both"/>
    </w:pPr>
    <w:rPr>
      <w:rFonts w:ascii="Times New Roman" w:cs="Times New Roman" w:eastAsia="宋体" w:hAnsi="Times New Roman"/>
      <w:sz w:val="21"/>
      <w:szCs w:val="21"/>
    </w:rPr>
  </w:style>
  <w:style w:styleId="BodyText" w:type="paragraph">
    <w:name w:val="Body Text"/>
    <w:basedOn w:val="Normal"/>
  </w:style>
  <w:style w:styleId="FirstParagraph" w:type="paragraph">
    <w:name w:val="First Paragraph"/>
    <w:basedOn w:val="Normal"/>
  </w:style>
  <w:style w:styleId="Compact" w:type="paragraph">
    <w:name w:val="Compact"/>
    <w:basedOn w:val="Normal"/>
  </w:style>
  <w:style w:default="1" w:styleId="DefaultParagraphFont" w:type="character">
    <w:name w:val="Default Paragraph Font"/>
  </w:style>
  <w:style w:styleId="Heading1" w:type="paragraph">
    <w:name w:val="heading 1"/>
    <w:basedOn w:val="Normal"/>
    <w:next w:val="Normal"/>
    <w:qFormat/>
    <w:pPr>
      <w:keepNext/>
      <w:spacing w:after="120" w:before="180" w:line="360" w:lineRule="exact"/>
      <w:ind w:firstLine="0" w:firstLineChars="0"/>
      <w:jc w:val="center"/>
      <w:outlineLvl w:val="0"/>
    </w:pPr>
    <w:rPr>
      <w:rFonts w:ascii="Times New Roman" w:cs="Times New Roman" w:eastAsia="黑体" w:hAnsi="Times New Roman"/>
      <w:b/>
      <w:bCs/>
      <w:sz w:val="24"/>
      <w:szCs w:val="24"/>
    </w:rPr>
  </w:style>
  <w:style w:styleId="Heading2" w:type="paragraph">
    <w:name w:val="heading 2"/>
    <w:basedOn w:val="Normal"/>
    <w:next w:val="Normal"/>
    <w:qFormat/>
    <w:pPr>
      <w:keepNext/>
      <w:spacing w:after="120" w:before="180" w:line="360" w:lineRule="exact"/>
      <w:ind w:firstLine="0" w:firstLineChars="0"/>
      <w:jc w:val="center"/>
      <w:outlineLvl w:val="1"/>
    </w:pPr>
    <w:rPr>
      <w:rFonts w:ascii="Times New Roman" w:cs="Times New Roman" w:eastAsia="黑体" w:hAnsi="Times New Roman"/>
      <w:b/>
      <w:bCs/>
      <w:sz w:val="22"/>
      <w:szCs w:val="22"/>
    </w:rPr>
  </w:style>
  <w:style w:styleId="Heading3" w:type="paragraph">
    <w:name w:val="heading 3"/>
    <w:basedOn w:val="Normal"/>
    <w:next w:val="Normal"/>
    <w:qFormat/>
    <w:pPr>
      <w:keepNext/>
      <w:spacing w:after="60" w:before="60" w:line="360" w:lineRule="exact"/>
      <w:ind w:firstLine="420" w:firstLineChars="200"/>
      <w:jc w:val="both"/>
      <w:outlineLvl w:val="2"/>
    </w:pPr>
    <w:rPr>
      <w:rFonts w:ascii="Times New Roman" w:cs="Times New Roman" w:eastAsia="楷体" w:hAnsi="Times New Roman"/>
      <w:b/>
      <w:bCs/>
      <w:sz w:val="21"/>
      <w:szCs w:val="21"/>
    </w:rPr>
  </w:style>
  <w:style w:styleId="Heading4" w:type="paragraph">
    <w:name w:val="heading 4"/>
    <w:basedOn w:val="Normal"/>
    <w:next w:val="Normal"/>
    <w:qFormat/>
    <w:pPr>
      <w:spacing w:line="360" w:lineRule="exact"/>
      <w:ind w:firstLine="420" w:firstLineChars="200"/>
      <w:outlineLvl w:val="3"/>
    </w:pPr>
    <w:rPr>
      <w:rFonts w:eastAsia="宋体"/>
      <w:b/>
      <w:bCs/>
      <w:sz w:val="21"/>
      <w:szCs w:val="21"/>
    </w:rPr>
  </w:style>
  <w:style w:default="1" w:styleId="TableNormal" w:type="table">
    <w:name w:val="Normal Table"/>
    <w:tblPr>
      <w:tblCellMar>
        <w:top w:type="dxa" w:w="28"/>
        <w:left w:type="dxa" w:w="80"/>
        <w:bottom w:type="dxa" w:w="28"/>
        <w:right w:type="dxa" w:w="80"/>
      </w:tblCellMar>
    </w:tblPr>
  </w:style>
  <w:style w:styleId="Caption" w:type="paragraph">
    <w:name w:val="Caption"/>
    <w:basedOn w:val="Normal"/>
    <w:qFormat/>
    <w:pPr>
      <w:spacing w:line="360" w:lineRule="exact"/>
      <w:ind w:firstLine="0" w:firstLineChars="0"/>
      <w:jc w:val="center"/>
    </w:pPr>
    <w:rPr>
      <w:rFonts w:eastAsia="黑体"/>
      <w:sz w:val="18"/>
      <w:szCs w:val="18"/>
    </w:rPr>
  </w:style>
  <w:style w:styleId="FootnoteText" w:type="paragraph">
    <w:name w:val="footnote text"/>
    <w:basedOn w:val="Normal"/>
    <w:pPr>
      <w:snapToGrid w:val="0"/>
      <w:spacing w:line="240" w:lineRule="auto"/>
      <w:ind w:firstLine="0" w:firstLineChars="0"/>
    </w:pPr>
    <w:rPr>
      <w:sz w:val="18"/>
      <w:szCs w:val="18"/>
    </w:rPr>
  </w:style>
  <w:style w:styleId="FootnoteReference" w:type="character">
    <w:name w:val="footnote reference"/>
    <w:rPr>
      <w:vertAlign w:val="superscript"/>
    </w:rPr>
  </w:style>
  <w:style w:styleId="Figure" w:type="paragraph">
    <w:name w:val="Figure"/>
    <w:basedOn w:val="Normal"/>
    <w:pPr>
      <w:spacing w:line="360" w:lineRule="exact"/>
      <w:ind w:firstLine="0" w:firstLineChars="0"/>
      <w:jc w:val="center"/>
    </w:pPr>
  </w:style>
  <w:style w:styleId="ImageCaption" w:type="paragraph">
    <w:name w:val="Image Caption"/>
    <w:basedOn w:val="Caption"/>
  </w:style>
  <w:style w:styleId="BlockText" w:type="paragraph">
    <w:name w:val="Block Text"/>
    <w:basedOn w:val="Normal"/>
  </w:style>
  <w:style w:styleId="AbstractTitle" w:type="paragraph">
    <w:name w:val="Abstract Title"/>
    <w:basedOn w:val="Normal"/>
    <w:pPr>
      <w:jc w:val="center"/>
      <w:ind w:firstLine="0" w:firstLineChars="0"/>
    </w:pPr>
    <w:rPr>
      <w:rFonts w:eastAsia="黑体"/>
      <w:b/>
    </w:rPr>
  </w:style>
  <w:style w:styleId="Abstract" w:type="paragraph">
    <w:name w:val="Abstract"/>
    <w:basedOn w:val="Normal"/>
  </w:style>
  <w:style w:styleId="VerbatimChar" w:type="character">
    <w:name w:val="Verbatim Char"/>
    <w:rPr>
      <w:rFonts w:ascii="Times New Roman" w:hAnsi="Times New Roman"/>
    </w:rPr>
  </w:style>
  <w:style w:styleId="Bibliography" w:type="paragraph">
    <w:name w:val="Bibliography"/>
    <w:basedOn w:val="Normal"/>
    <w:pPr>
      <w:ind w:firstLine="0" w:firstLineChars="0" w:hanging="0" w:left="0"/>
    </w:pPr>
    <w:rPr>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2026-07-05T17:17:37Z</dcterms:created>
  <dcterms:modified xsi:type="dcterms:W3CDTF">2026-07-05T17:17:37Z</dcterms:modified>
</cp:coreProperties>
</file>

<file path=docProps/custom.xml><?xml version="1.0" encoding="utf-8"?>
<Properties xmlns="http://schemas.openxmlformats.org/officeDocument/2006/custom-properties" xmlns:vt="http://schemas.openxmlformats.org/officeDocument/2006/docPropsVTypes"/>
</file>