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The Sum Is Not the Parts: Generative Artificial Intelligence, Production Networks, and the System-Level Displacement of Youth Employment</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Ali Ahsan</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Every firm-level study of generative artificial intelligence and youth employment estimates the same object: what happens inside the firm that adopts. This study argues that the object is the wrong one, because firms are not independent units but nodes in a system. Using 26,115 firm-year observations for 2,800 Chinese A-share listed firms over 2016–2025, together with their disclosed supplier and customer links and the local labour markets they share, we estimate a network model of the youth employment share. Three transmissions operate at once and do not have the same sign. Own adoption lowers the youth share by 0.434 percentage points per standard deviation; adoption by the firm's customers lowers it by a further 0.396, and by suppliers by 0.246; but adoption by other firms in the same city raises it by 0.334, because young workers released by a competitor are cheaper to hire. Estimating the network autoregressive model by generalised spatial two-stage least squares, with second-order network lags as excluded instruments, the direct impact is −0.420, the indirect impact −0.893 and the total impact −1.313: a network multiplier of 3.12, with 68% of the system-level effect occurring outside the adopting firm. The same coefficient estimated on city aggregates is −0.222, only 51% of the firm-level estimate, so roughly half of what looks like destruction inside the firm is reallocation within the local labour market. The firm-level coefficient is therefore neither an upper nor a lower bound: it overstates the local damage by a factor of two and understates the system-level damage by a factor of 3.0. Propagation runs along relationship-specific links rather than geographic proximity, is 4.1 times larger for young workers than for experienced ones, and vanishes when the network is randomly rewired.</w:t>
      </w:r>
    </w:p>
    <w:p>
      <w:pPr>
        <w:pStyle w:val="MDPI18keywords"/>
      </w:pPr>
      <w:r>
        <w:rPr>
          <w:b/>
        </w:rPr>
        <w:t xml:space="preserve">Keywords: </w:t>
      </w:r>
      <w:r>
        <w:t>generative artificial intelligence; youth employment; production networks; spillovers; spatial autoregressive model; network multiplier; labour reallocation; local labour markets</w:t>
      </w:r>
    </w:p>
    <w:p>
      <w:pPr>
        <w:pStyle w:val="MDPI19line"/>
      </w:pPr>
    </w:p>
    <w:p>
      <w:pPr>
        <w:pStyle w:val="MDPI21heading1"/>
      </w:pPr>
      <w:r>
        <w:t>1. Introduction</w:t>
      </w:r>
    </w:p>
    <w:p>
      <w:pPr>
        <w:pStyle w:val="MDPI32textnoindent"/>
      </w:pPr>
      <w:r>
        <w:rPr>
          <w:b w:val="0"/>
          <w:i w:val="0"/>
        </w:rPr>
        <w:t xml:space="preserve">The empirical literature on generative artificial intelligence (GenAI) and young workers has converged on a research design. Measure how much a firm uses the technology, measure how many young people it employs, put firm and year effects on both, and read off the coefficient. The design has produced findings on both sides: United States payroll microdata show a relative employment decline of 13–16% for workers aged 22–25 in the most exposed occupations after late 2022 </w:t>
      </w:r>
      <w:r>
        <w:t>[</w:t>
      </w:r>
      <w:r>
        <w:fldChar w:fldCharType="begin"/>
      </w:r>
      <w:r>
        <w:instrText xml:space="preserve"> REF _Ref_1 \h </w:instrText>
      </w:r>
      <w:r>
        <w:fldChar w:fldCharType="separate"/>
      </w:r>
      <w:r>
        <w:t>1</w:t>
      </w:r>
      <w:r>
        <w:fldChar w:fldCharType="end"/>
      </w:r>
      <w:r>
        <w:t>]</w:t>
      </w:r>
      <w:r>
        <w:rPr>
          <w:b w:val="0"/>
          <w:i w:val="0"/>
        </w:rPr>
        <w:t xml:space="preserve">, online labour markets show sharp falls in postings for automation-prone work </w:t>
      </w:r>
      <w:r>
        <w:t>[</w:t>
      </w:r>
      <w:r>
        <w:fldChar w:fldCharType="begin"/>
      </w:r>
      <w:r>
        <w:instrText xml:space="preserve"> REF _Ref_2 \h </w:instrText>
      </w:r>
      <w:r>
        <w:fldChar w:fldCharType="separate"/>
      </w:r>
      <w:r>
        <w:t>2</w:t>
      </w:r>
      <w:r>
        <w:fldChar w:fldCharType="end"/>
      </w:r>
      <w:r>
        <w:t>]</w:t>
      </w:r>
      <w:r>
        <w:rPr>
          <w:b w:val="0"/>
          <w:i w:val="0"/>
        </w:rPr>
        <w:t xml:space="preserve">, and across 285 million vacancies demand for the most substitutable occupations fell by about 12% relative to the least substitutable </w:t>
      </w:r>
      <w:r>
        <w:t>[</w:t>
      </w:r>
      <w:r>
        <w:fldChar w:fldCharType="begin"/>
      </w:r>
      <w:r>
        <w:instrText xml:space="preserve"> REF _Ref_3 \h </w:instrText>
      </w:r>
      <w:r>
        <w:fldChar w:fldCharType="separate"/>
      </w:r>
      <w:r>
        <w:t>3</w:t>
      </w:r>
      <w:r>
        <w:fldChar w:fldCharType="end"/>
      </w:r>
      <w:r>
        <w:t>]</w:t>
      </w:r>
      <w:r>
        <w:rPr>
          <w:b w:val="0"/>
          <w:i w:val="0"/>
        </w:rPr>
        <w:t xml:space="preserve">; other designs over the same window find almost nothing </w:t>
      </w:r>
      <w:r>
        <w:t>[</w:t>
      </w:r>
      <w:r>
        <w:fldChar w:fldCharType="begin"/>
      </w:r>
      <w:r>
        <w:instrText xml:space="preserve"> REF _Ref_4 \h </w:instrText>
      </w:r>
      <w:r>
        <w:fldChar w:fldCharType="separate"/>
      </w:r>
      <w:r>
        <w:t>4</w:t>
      </w:r>
      <w:r>
        <w:fldChar w:fldCharType="end"/>
      </w:r>
      <w:r>
        <w:t>]</w:t>
      </w:r>
      <w:r>
        <w:rPr>
          <w:b w:val="0"/>
          <w:i w:val="0"/>
        </w:rPr>
        <w:t xml:space="preserve">, and meta-analytic evidence on human–AI combinations finds that the sign depends on the task </w:t>
      </w:r>
      <w:r>
        <w:t>[</w:t>
      </w:r>
      <w:r>
        <w:fldChar w:fldCharType="begin"/>
      </w:r>
      <w:r>
        <w:instrText xml:space="preserve"> REF _Ref_5 \h </w:instrText>
      </w:r>
      <w:r>
        <w:fldChar w:fldCharType="separate"/>
      </w:r>
      <w:r>
        <w:t>5</w:t>
      </w:r>
      <w:r>
        <w:fldChar w:fldCharType="end"/>
      </w:r>
      <w:r>
        <w:t>]</w:t>
      </w:r>
      <w:r>
        <w:rPr>
          <w:b w:val="0"/>
          <w:i w:val="0"/>
        </w:rPr>
        <w:t>. The debate about which of these is right has been conducted entirely within the design.</w:t>
      </w:r>
    </w:p>
    <w:p>
      <w:pPr>
        <w:pStyle w:val="MDPI31text"/>
      </w:pPr>
      <w:r>
        <w:rPr>
          <w:b w:val="0"/>
          <w:i w:val="0"/>
        </w:rPr>
        <w:t xml:space="preserve">The puzzle that motivates the debate is that the experimental evidence points the other way. Generative AI compresses the returns to experience: customer-support agents resolved 14% more issues per hour, with novices gaining roughly 30% and the most experienced almost nothing </w:t>
      </w:r>
      <w:r>
        <w:t>[</w:t>
      </w:r>
      <w:r>
        <w:fldChar w:fldCharType="begin"/>
      </w:r>
      <w:r>
        <w:instrText xml:space="preserve"> REF _Ref_6 \h </w:instrText>
      </w:r>
      <w:r>
        <w:fldChar w:fldCharType="separate"/>
      </w:r>
      <w:r>
        <w:t>6</w:t>
      </w:r>
      <w:r>
        <w:fldChar w:fldCharType="end"/>
      </w:r>
      <w:r>
        <w:t>]</w:t>
      </w:r>
      <w:r>
        <w:rPr>
          <w:b w:val="0"/>
          <w:i w:val="0"/>
        </w:rPr>
        <w:t xml:space="preserve">; professional writers finished tasks about 40% faster and the initially weakest improved most </w:t>
      </w:r>
      <w:r>
        <w:t>[</w:t>
      </w:r>
      <w:r>
        <w:fldChar w:fldCharType="begin"/>
      </w:r>
      <w:r>
        <w:instrText xml:space="preserve"> REF _Ref_7 \h </w:instrText>
      </w:r>
      <w:r>
        <w:fldChar w:fldCharType="separate"/>
      </w:r>
      <w:r>
        <w:t>7</w:t>
      </w:r>
      <w:r>
        <w:fldChar w:fldCharType="end"/>
      </w:r>
      <w:r>
        <w:t>]</w:t>
      </w:r>
      <w:r>
        <w:rPr>
          <w:b w:val="0"/>
          <w:i w:val="0"/>
        </w:rPr>
        <w:t xml:space="preserve">; the lowest-performing entrepreneurs benefited while the highest-performing did not </w:t>
      </w:r>
      <w:r>
        <w:t>[</w:t>
      </w:r>
      <w:r>
        <w:fldChar w:fldCharType="begin"/>
      </w:r>
      <w:r>
        <w:instrText xml:space="preserve"> REF _Ref_8 \h </w:instrText>
      </w:r>
      <w:r>
        <w:fldChar w:fldCharType="separate"/>
      </w:r>
      <w:r>
        <w:t>8</w:t>
      </w:r>
      <w:r>
        <w:fldChar w:fldCharType="end"/>
      </w:r>
      <w:r>
        <w:t>]</w:t>
      </w:r>
      <w:r>
        <w:rPr>
          <w:b w:val="0"/>
          <w:i w:val="0"/>
        </w:rPr>
        <w:t xml:space="preserve">; less experienced developers adopted the tool more readily and gained more from it </w:t>
      </w:r>
      <w:r>
        <w:t>[</w:t>
      </w:r>
      <w:r>
        <w:fldChar w:fldCharType="begin"/>
      </w:r>
      <w:r>
        <w:instrText xml:space="preserve"> REF _Ref_9 \h </w:instrText>
      </w:r>
      <w:r>
        <w:fldChar w:fldCharType="separate"/>
      </w:r>
      <w:r>
        <w:t>9</w:t>
      </w:r>
      <w:r>
        <w:fldChar w:fldCharType="end"/>
      </w:r>
      <w:r>
        <w:t>,</w:t>
      </w:r>
      <w:r>
        <w:fldChar w:fldCharType="begin"/>
      </w:r>
      <w:r>
        <w:instrText xml:space="preserve"> REF _Ref_10 \h </w:instrText>
      </w:r>
      <w:r>
        <w:fldChar w:fldCharType="separate"/>
      </w:r>
      <w:r>
        <w:t>10</w:t>
      </w:r>
      <w:r>
        <w:fldChar w:fldCharType="end"/>
      </w:r>
      <w:r>
        <w:t>]</w:t>
      </w:r>
      <w:r>
        <w:rPr>
          <w:b w:val="0"/>
          <w:i w:val="0"/>
        </w:rPr>
        <w:t xml:space="preserve">; and in a large consulting field experiment the gain was largest for the initially weakest consultants </w:t>
      </w:r>
      <w:r>
        <w:t>[</w:t>
      </w:r>
      <w:r>
        <w:fldChar w:fldCharType="begin"/>
      </w:r>
      <w:r>
        <w:instrText xml:space="preserve"> REF _Ref_11 \h </w:instrText>
      </w:r>
      <w:r>
        <w:fldChar w:fldCharType="separate"/>
      </w:r>
      <w:r>
        <w:t>11</w:t>
      </w:r>
      <w:r>
        <w:fldChar w:fldCharType="end"/>
      </w:r>
      <w:r>
        <w:t>]</w:t>
      </w:r>
      <w:r>
        <w:rPr>
          <w:b w:val="0"/>
          <w:i w:val="0"/>
        </w:rPr>
        <w:t xml:space="preserve">. A technology with that property should make young workers more attractive, not less. Adoption has also been extraordinarily fast by historical standards </w:t>
      </w:r>
      <w:r>
        <w:t>[</w:t>
      </w:r>
      <w:r>
        <w:fldChar w:fldCharType="begin"/>
      </w:r>
      <w:r>
        <w:instrText xml:space="preserve"> REF _Ref_12 \h </w:instrText>
      </w:r>
      <w:r>
        <w:fldChar w:fldCharType="separate"/>
      </w:r>
      <w:r>
        <w:t>12</w:t>
      </w:r>
      <w:r>
        <w:fldChar w:fldCharType="end"/>
      </w:r>
      <w:r>
        <w:t>]</w:t>
      </w:r>
      <w:r>
        <w:rPr>
          <w:b w:val="0"/>
          <w:i w:val="0"/>
        </w:rPr>
        <w:t xml:space="preserve">, so firms have had little time to adjust job structures gradually, and the stakes are high: youth unemployment and the share of young people not in employment, education or training remain the most stubborn features of the global labour market </w:t>
      </w:r>
      <w:r>
        <w:t>[</w:t>
      </w:r>
      <w:r>
        <w:fldChar w:fldCharType="begin"/>
      </w:r>
      <w:r>
        <w:instrText xml:space="preserve"> REF _Ref_13 \h </w:instrText>
      </w:r>
      <w:r>
        <w:fldChar w:fldCharType="separate"/>
      </w:r>
      <w:r>
        <w:t>13</w:t>
      </w:r>
      <w:r>
        <w:fldChar w:fldCharType="end"/>
      </w:r>
      <w:r>
        <w:t>]</w:t>
      </w:r>
      <w:r>
        <w:rPr>
          <w:b w:val="0"/>
          <w:i w:val="0"/>
        </w:rPr>
        <w:t xml:space="preserve">, while employers expect the technology to displace and create work at unprecedented speed </w:t>
      </w:r>
      <w:r>
        <w:t>[</w:t>
      </w:r>
      <w:r>
        <w:fldChar w:fldCharType="begin"/>
      </w:r>
      <w:r>
        <w:instrText xml:space="preserve"> REF _Ref_14 \h </w:instrText>
      </w:r>
      <w:r>
        <w:fldChar w:fldCharType="separate"/>
      </w:r>
      <w:r>
        <w:t>14</w:t>
      </w:r>
      <w:r>
        <w:fldChar w:fldCharType="end"/>
      </w:r>
      <w:r>
        <w:t>]</w:t>
      </w:r>
      <w:r>
        <w:rPr>
          <w:b w:val="0"/>
          <w:i w:val="0"/>
        </w:rPr>
        <w:t>.</w:t>
      </w:r>
    </w:p>
    <w:p>
      <w:pPr>
        <w:pStyle w:val="MDPI31text"/>
      </w:pPr>
      <w:r>
        <w:rPr>
          <w:b w:val="0"/>
          <w:i w:val="0"/>
        </w:rPr>
        <w:t>This paper argues that the design itself is the problem. A firm is not an isolated unit; it is a node in a system of firms that buy from each other, sell to each other and hire from the same local pools of young workers. When one of them adopts a technology that changes what junior labour is for, the consequences do not stop at its boundary. They travel downstream, because the customer that now drafts its own documents needs less of the junior-labour-intensive service it used to buy. They travel upstream, because the supplier's cost and specification change. And they travel sideways, because the young workers one firm does not hire are available to the firm next door. A coefficient estimated on the adopting firm alone measures the first of these and none of the rest. Whether it is too large or too small depends on which of the omitted transmissions dominates, and the answer, we show, is that it is both: too large for the local labour market and much too small for the system.</w:t>
      </w:r>
    </w:p>
    <w:p>
      <w:pPr>
        <w:pStyle w:val="MDPI31text"/>
      </w:pPr>
      <w:r>
        <w:rPr>
          <w:b w:val="0"/>
          <w:i w:val="0"/>
        </w:rPr>
        <w:t xml:space="preserve">The point is not a technicality. Production networks are the standard framework for asking how a shock to one firm becomes an aggregate phenomenon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rPr>
          <w:b w:val="0"/>
          <w:i w:val="0"/>
        </w:rPr>
        <w:t xml:space="preserve">, and the empirical work has shown that firm-level shocks propagate strongly along supplier and customer links — after the Tōhoku earthquake </w:t>
      </w:r>
      <w:r>
        <w:t>[</w:t>
      </w:r>
      <w:r>
        <w:fldChar w:fldCharType="begin"/>
      </w:r>
      <w:r>
        <w:instrText xml:space="preserve"> REF _Ref_17 \h </w:instrText>
      </w:r>
      <w:r>
        <w:fldChar w:fldCharType="separate"/>
      </w:r>
      <w:r>
        <w:t>17</w:t>
      </w:r>
      <w:r>
        <w:fldChar w:fldCharType="end"/>
      </w:r>
      <w:r>
        <w:t>,</w:t>
      </w:r>
      <w:r>
        <w:fldChar w:fldCharType="begin"/>
      </w:r>
      <w:r>
        <w:instrText xml:space="preserve"> REF _Ref_18 \h </w:instrText>
      </w:r>
      <w:r>
        <w:fldChar w:fldCharType="separate"/>
      </w:r>
      <w:r>
        <w:t>18</w:t>
      </w:r>
      <w:r>
        <w:fldChar w:fldCharType="end"/>
      </w:r>
      <w:r>
        <w:t>]</w:t>
      </w:r>
      <w:r>
        <w:rPr>
          <w:b w:val="0"/>
          <w:i w:val="0"/>
        </w:rPr>
        <w:t xml:space="preserve">, through relationship-specific inputs </w:t>
      </w:r>
      <w:r>
        <w:t>[</w:t>
      </w:r>
      <w:r>
        <w:fldChar w:fldCharType="begin"/>
      </w:r>
      <w:r>
        <w:instrText xml:space="preserve"> REF _Ref_19 \h </w:instrText>
      </w:r>
      <w:r>
        <w:fldChar w:fldCharType="separate"/>
      </w:r>
      <w:r>
        <w:t>19</w:t>
      </w:r>
      <w:r>
        <w:fldChar w:fldCharType="end"/>
      </w:r>
      <w:r>
        <w:t>]</w:t>
      </w:r>
      <w:r>
        <w:rPr>
          <w:b w:val="0"/>
          <w:i w:val="0"/>
        </w:rPr>
        <w:t xml:space="preserve">, and through the domestic network more generally </w:t>
      </w:r>
      <w:r>
        <w:t>[</w:t>
      </w:r>
      <w:r>
        <w:fldChar w:fldCharType="begin"/>
      </w:r>
      <w:r>
        <w:instrText xml:space="preserve"> REF _Ref_20 \h </w:instrText>
      </w:r>
      <w:r>
        <w:fldChar w:fldCharType="separate"/>
      </w:r>
      <w:r>
        <w:t>20</w:t>
      </w:r>
      <w:r>
        <w:fldChar w:fldCharType="end"/>
      </w:r>
      <w:r>
        <w:t>,</w:t>
      </w:r>
      <w:r>
        <w:fldChar w:fldCharType="begin"/>
      </w:r>
      <w:r>
        <w:instrText xml:space="preserve"> REF _Ref_21 \h </w:instrText>
      </w:r>
      <w:r>
        <w:fldChar w:fldCharType="separate"/>
      </w:r>
      <w:r>
        <w:t>21</w:t>
      </w:r>
      <w:r>
        <w:fldChar w:fldCharType="end"/>
      </w:r>
      <w:r>
        <w:t>]</w:t>
      </w:r>
      <w:r>
        <w:rPr>
          <w:b w:val="0"/>
          <w:i w:val="0"/>
        </w:rPr>
        <w:t xml:space="preserve">. Nothing in that literature is specific to natural disasters. A technology that changes the labour content of a task bundle is exactly the kind of shock it studies, and youth employment is exactly the margin on which firms adjust when a shock arrives, because entry hiring is the fastest and cheapest thing to stop </w:t>
      </w:r>
      <w:r>
        <w:t>[</w:t>
      </w:r>
      <w:r>
        <w:fldChar w:fldCharType="begin"/>
      </w:r>
      <w:r>
        <w:instrText xml:space="preserve"> REF _Ref_22 \h </w:instrText>
      </w:r>
      <w:r>
        <w:fldChar w:fldCharType="separate"/>
      </w:r>
      <w:r>
        <w:t>22</w:t>
      </w:r>
      <w:r>
        <w:fldChar w:fldCharType="end"/>
      </w:r>
      <w:r>
        <w:t>]</w:t>
      </w:r>
      <w:r>
        <w:rPr>
          <w:b w:val="0"/>
          <w:i w:val="0"/>
        </w:rPr>
        <w:t>. Yet the AI and employment literature and the production network literature have not met.</w:t>
      </w:r>
    </w:p>
    <w:p>
      <w:pPr>
        <w:pStyle w:val="MDPI31text"/>
      </w:pPr>
      <w:r>
        <w:rPr>
          <w:b w:val="0"/>
          <w:i w:val="0"/>
        </w:rPr>
        <w:t xml:space="preserve">We bring them together on 26,115 firm-year observations for 2,800 Chinese A-share listed firms over 2016–2025. Chinese listed firms disclose their five largest suppliers and five largest customers together with the share of purchases and sales each accounts for, which yields a weighted, directed firm-to-firm network; the firms are located in 60 cities, which yields the local labour markets in which they compete for graduates. The network is fixed at its pre-shock configuration, so that link formation cannot respond to the technology. On this system we estimate a network autoregressive model with exogenous network lags, the workhorse specification of spatial econometrics </w:t>
      </w:r>
      <w:r>
        <w:t>[</w:t>
      </w:r>
      <w:r>
        <w:fldChar w:fldCharType="begin"/>
      </w:r>
      <w:r>
        <w:instrText xml:space="preserve"> REF _Ref_23 \h </w:instrText>
      </w:r>
      <w:r>
        <w:fldChar w:fldCharType="separate"/>
      </w:r>
      <w:r>
        <w:t>23</w:t>
      </w:r>
      <w:r>
        <w:fldChar w:fldCharType="end"/>
      </w:r>
      <w:r>
        <w:t>,</w:t>
      </w:r>
      <w:r>
        <w:fldChar w:fldCharType="begin"/>
      </w:r>
      <w:r>
        <w:instrText xml:space="preserve"> REF _Ref_24 \h </w:instrText>
      </w:r>
      <w:r>
        <w:fldChar w:fldCharType="separate"/>
      </w:r>
      <w:r>
        <w:t>24</w:t>
      </w:r>
      <w:r>
        <w:fldChar w:fldCharType="end"/>
      </w:r>
      <w:r>
        <w:t>]</w:t>
      </w:r>
      <w:r>
        <w:rPr>
          <w:b w:val="0"/>
          <w:i w:val="0"/>
        </w:rPr>
        <w:t xml:space="preserve">, by generalised spatial two-stage least squares </w:t>
      </w:r>
      <w:r>
        <w:t>[</w:t>
      </w:r>
      <w:r>
        <w:fldChar w:fldCharType="begin"/>
      </w:r>
      <w:r>
        <w:instrText xml:space="preserve"> REF _Ref_25 \h </w:instrText>
      </w:r>
      <w:r>
        <w:fldChar w:fldCharType="separate"/>
      </w:r>
      <w:r>
        <w:t>25</w:t>
      </w:r>
      <w:r>
        <w:fldChar w:fldCharType="end"/>
      </w:r>
      <w:r>
        <w:t>,</w:t>
      </w:r>
      <w:r>
        <w:fldChar w:fldCharType="begin"/>
      </w:r>
      <w:r>
        <w:instrText xml:space="preserve"> REF _Ref_26 \h </w:instrText>
      </w:r>
      <w:r>
        <w:fldChar w:fldCharType="separate"/>
      </w:r>
      <w:r>
        <w:t>26</w:t>
      </w:r>
      <w:r>
        <w:fldChar w:fldCharType="end"/>
      </w:r>
      <w:r>
        <w:t>]</w:t>
      </w:r>
      <w:r>
        <w:rPr>
          <w:b w:val="0"/>
          <w:i w:val="0"/>
        </w:rPr>
        <w:t xml:space="preserve">, using second-order network lags as excluded instruments — the identification strategy that intransitive triads make available </w:t>
      </w:r>
      <w:r>
        <w:t>[</w:t>
      </w:r>
      <w:r>
        <w:fldChar w:fldCharType="begin"/>
      </w:r>
      <w:r>
        <w:instrText xml:space="preserve"> REF _Ref_27 \h </w:instrText>
      </w:r>
      <w:r>
        <w:fldChar w:fldCharType="separate"/>
      </w:r>
      <w:r>
        <w:t>27</w:t>
      </w:r>
      <w:r>
        <w:fldChar w:fldCharType="end"/>
      </w:r>
      <w:r>
        <w:t>]</w:t>
      </w:r>
      <w:r>
        <w:rPr>
          <w:b w:val="0"/>
          <w:i w:val="0"/>
        </w:rPr>
        <w:t xml:space="preserve"> and that the reflection problem otherwise forecloses </w:t>
      </w:r>
      <w:r>
        <w:t>[</w:t>
      </w:r>
      <w:r>
        <w:fldChar w:fldCharType="begin"/>
      </w:r>
      <w:r>
        <w:instrText xml:space="preserve"> REF _Ref_28 \h </w:instrText>
      </w:r>
      <w:r>
        <w:fldChar w:fldCharType="separate"/>
      </w:r>
      <w:r>
        <w:t>28</w:t>
      </w:r>
      <w:r>
        <w:fldChar w:fldCharType="end"/>
      </w:r>
      <w:r>
        <w:t>,</w:t>
      </w:r>
      <w:r>
        <w:fldChar w:fldCharType="begin"/>
      </w:r>
      <w:r>
        <w:instrText xml:space="preserve"> REF _Ref_29 \h </w:instrText>
      </w:r>
      <w:r>
        <w:fldChar w:fldCharType="separate"/>
      </w:r>
      <w:r>
        <w:t>29</w:t>
      </w:r>
      <w:r>
        <w:fldChar w:fldCharType="end"/>
      </w:r>
      <w:r>
        <w:t>]</w:t>
      </w:r>
      <w:r>
        <w:rPr>
          <w:b w:val="0"/>
          <w:i w:val="0"/>
        </w:rPr>
        <w:t>.</w:t>
      </w:r>
    </w:p>
    <w:p>
      <w:pPr>
        <w:pStyle w:val="MDPI31text"/>
      </w:pPr>
      <w:r>
        <w:rPr>
          <w:b w:val="0"/>
          <w:i w:val="0"/>
        </w:rPr>
        <w:t>Four results follow. First, the three transmissions have different signs and comparable magnitudes. Own adoption lowers the youth employment share by 0.434 percentage points per standard deviation; customers' adoption lowers it by a further 0.396, suppliers' by 0.246, and local peers' adoption raises it by 0.334. The customer channel alone is 0.94 times the size of the own-firm channel, so a study that omits it is omitting more than half of the mechanism.</w:t>
      </w:r>
    </w:p>
    <w:p>
      <w:pPr>
        <w:pStyle w:val="MDPI31text"/>
      </w:pPr>
      <w:r>
        <w:rPr>
          <w:b w:val="0"/>
          <w:i w:val="0"/>
        </w:rPr>
        <w:t>Second, the system amplifies. In the network autoregressive model the direct impact is −0.420, the indirect impact −0.893 and the total impact −1.313 [−1.70, −0.93], a network multiplier of 3.12: 68% of the system-level effect of adoption on youth employment happens somewhere other than the adopting firm.</w:t>
      </w:r>
    </w:p>
    <w:p>
      <w:pPr>
        <w:pStyle w:val="MDPI31text"/>
      </w:pPr>
      <w:r>
        <w:rPr>
          <w:b w:val="0"/>
          <w:i w:val="0"/>
        </w:rPr>
        <w:t>Third, the system also absorbs. Estimated on city aggregates rather than on firms, the same coefficient is −0.222 — only 51% of the firm-level estimate — because the young workers one firm stops hiring are partly hired by another in the same city. Roughly 49% of what the firm-level regression records as destruction is reallocation. The two results together are the paper's title: the firm-level coefficient overstates the local damage by about a factor of two and understates the system-level damage by about a factor of 3.0.</w:t>
      </w:r>
    </w:p>
    <w:p>
      <w:pPr>
        <w:pStyle w:val="MDPI31text"/>
      </w:pPr>
      <w:r>
        <w:rPr>
          <w:b w:val="0"/>
          <w:i w:val="0"/>
        </w:rPr>
        <w:t xml:space="preserve">Fourth, the propagation has the signature of a network phenomenon rather than of a common shock. It is concentrated in relationship-specific links (−0.530 against −0.260 for generic inputs, a difference of −0.270), exactly as the propagation literature finds for other shocks </w:t>
      </w:r>
      <w:r>
        <w:t>[</w:t>
      </w:r>
      <w:r>
        <w:fldChar w:fldCharType="begin"/>
      </w:r>
      <w:r>
        <w:instrText xml:space="preserve"> REF _Ref_19 \h </w:instrText>
      </w:r>
      <w:r>
        <w:fldChar w:fldCharType="separate"/>
      </w:r>
      <w:r>
        <w:t>19</w:t>
      </w:r>
      <w:r>
        <w:fldChar w:fldCharType="end"/>
      </w:r>
      <w:r>
        <w:t>]</w:t>
      </w:r>
      <w:r>
        <w:rPr>
          <w:b w:val="0"/>
          <w:i w:val="0"/>
        </w:rPr>
        <w:t>; it does not depend on whether the customer is in the same city as the firm (−0.317 against −0.400, difference 0.083, p = 0.584), so it is the supply chain and not geography that carries it; it is 4.1 times larger for young workers than for experienced ones; and it disappears entirely when the network is randomly rewired while every firm keeps its own characteristics (p = 0.003).</w:t>
      </w:r>
    </w:p>
    <w:p>
      <w:pPr>
        <w:pStyle w:val="MDPI31text"/>
      </w:pPr>
      <w:r>
        <w:rPr>
          <w:b w:val="0"/>
          <w:i w:val="0"/>
        </w:rPr>
        <w:t xml:space="preserve">The paper contributes to three literatures. To the economics of automation, which has organised itself around the displacement and reinstatement of tasks within the adopting firm </w:t>
      </w:r>
      <w:r>
        <w:t>[</w:t>
      </w:r>
      <w:r>
        <w:fldChar w:fldCharType="begin"/>
      </w:r>
      <w:r>
        <w:instrText xml:space="preserve"> REF _Ref_30 \h </w:instrText>
      </w:r>
      <w:r>
        <w:fldChar w:fldCharType="separate"/>
      </w:r>
      <w:r>
        <w:t>30</w:t>
      </w:r>
      <w:r>
        <w:fldChar w:fldCharType="end"/>
      </w:r>
      <w:r>
        <w:t>–</w:t>
      </w:r>
      <w:r>
        <w:fldChar w:fldCharType="begin"/>
      </w:r>
      <w:r>
        <w:instrText xml:space="preserve"> REF _Ref_33 \h </w:instrText>
      </w:r>
      <w:r>
        <w:fldChar w:fldCharType="separate"/>
      </w:r>
      <w:r>
        <w:t>33</w:t>
      </w:r>
      <w:r>
        <w:fldChar w:fldCharType="end"/>
      </w:r>
      <w:r>
        <w:t>]</w:t>
      </w:r>
      <w:r>
        <w:rPr>
          <w:b w:val="0"/>
          <w:i w:val="0"/>
        </w:rPr>
        <w:t xml:space="preserve">, it shows that the unit of analysis is too small: most of the effect on young workers is realised in firms that have adopted nothing. To the production network literature, which has established that idiosyncratic shocks propagate and aggregate </w:t>
      </w:r>
      <w:r>
        <w:t>[</w:t>
      </w:r>
      <w:r>
        <w:fldChar w:fldCharType="begin"/>
      </w:r>
      <w:r>
        <w:instrText xml:space="preserve"> REF _Ref_15 \h </w:instrText>
      </w:r>
      <w:r>
        <w:fldChar w:fldCharType="separate"/>
      </w:r>
      <w:r>
        <w:t>15</w:t>
      </w:r>
      <w:r>
        <w:fldChar w:fldCharType="end"/>
      </w:r>
      <w:r>
        <w:t>,</w:t>
      </w:r>
      <w:r>
        <w:fldChar w:fldCharType="begin"/>
      </w:r>
      <w:r>
        <w:instrText xml:space="preserve"> REF _Ref_17 \h </w:instrText>
      </w:r>
      <w:r>
        <w:fldChar w:fldCharType="separate"/>
      </w:r>
      <w:r>
        <w:t>17</w:t>
      </w:r>
      <w:r>
        <w:fldChar w:fldCharType="end"/>
      </w:r>
      <w:r>
        <w:t>,</w:t>
      </w:r>
      <w:r>
        <w:fldChar w:fldCharType="begin"/>
      </w:r>
      <w:r>
        <w:instrText xml:space="preserve"> REF _Ref_19 \h </w:instrText>
      </w:r>
      <w:r>
        <w:fldChar w:fldCharType="separate"/>
      </w:r>
      <w:r>
        <w:t>19</w:t>
      </w:r>
      <w:r>
        <w:fldChar w:fldCharType="end"/>
      </w:r>
      <w:r>
        <w:t>]</w:t>
      </w:r>
      <w:r>
        <w:rPr>
          <w:b w:val="0"/>
          <w:i w:val="0"/>
        </w:rPr>
        <w:t xml:space="preserve">, it adds a shock that is neither idiosyncratic nor exogenous in the usual sense — a general-purpose technology arriving at different speeds in different sectors — and an outcome, the age composition of employment, that the literature has not examined. To research on youth labour markets, which has documented that entry conditions leave scars that last a decade </w:t>
      </w:r>
      <w:r>
        <w:t>[</w:t>
      </w:r>
      <w:r>
        <w:fldChar w:fldCharType="begin"/>
      </w:r>
      <w:r>
        <w:instrText xml:space="preserve"> REF _Ref_34 \h </w:instrText>
      </w:r>
      <w:r>
        <w:fldChar w:fldCharType="separate"/>
      </w:r>
      <w:r>
        <w:t>34</w:t>
      </w:r>
      <w:r>
        <w:fldChar w:fldCharType="end"/>
      </w:r>
      <w:r>
        <w:t>–</w:t>
      </w:r>
      <w:r>
        <w:fldChar w:fldCharType="begin"/>
      </w:r>
      <w:r>
        <w:instrText xml:space="preserve"> REF _Ref_36 \h </w:instrText>
      </w:r>
      <w:r>
        <w:fldChar w:fldCharType="separate"/>
      </w:r>
      <w:r>
        <w:t>36</w:t>
      </w:r>
      <w:r>
        <w:fldChar w:fldCharType="end"/>
      </w:r>
      <w:r>
        <w:t>]</w:t>
      </w:r>
      <w:r>
        <w:rPr>
          <w:b w:val="0"/>
          <w:i w:val="0"/>
        </w:rPr>
        <w:t>, it identifies a channel through which a technology none of a young person's potential employers has adopted can still close the door. For the systems questions that motivate this Special Issue the implication is direct: the effect of generative AI on youth employment is a property of the system of firms, not of any firm in it, and it cannot be estimated, or governed, one firm at a time.</w:t>
      </w:r>
    </w:p>
    <w:p>
      <w:pPr>
        <w:pStyle w:val="MDPI31text"/>
      </w:pPr>
      <w:r>
        <w:rPr>
          <w:b w:val="0"/>
          <w:i w:val="0"/>
        </w:rPr>
        <w:t>The remainder of the paper is organised as follows. Section 2 sets out the network argument and the hypotheses. Section 3 describes the sample, the network, the measures and the specifications. Section 4 reports the results. Section 5 reports robustness, heterogeneity and the aggregation arithmetic. Section 6 discusses the findings and Section 7 concludes.</w:t>
      </w:r>
    </w:p>
    <w:p>
      <w:pPr>
        <w:pStyle w:val="MDPI21heading1"/>
      </w:pPr>
      <w:r>
        <w:t>2. Theory and Hypotheses</w:t>
      </w:r>
    </w:p>
    <w:p>
      <w:pPr>
        <w:pStyle w:val="MDPI22heading2"/>
      </w:pPr>
      <w:r>
        <w:t>2.1. Related Literature</w:t>
      </w:r>
    </w:p>
    <w:p>
      <w:pPr>
        <w:pStyle w:val="MDPI32textnoindent"/>
      </w:pPr>
      <w:r>
        <w:rPr>
          <w:b w:val="0"/>
          <w:i w:val="0"/>
        </w:rPr>
        <w:t xml:space="preserve">Three strands meet here. The first is the task-based analysis of automation, in which a technology displaces labour from the tasks it can perform and reinstates it in new ones </w:t>
      </w:r>
      <w:r>
        <w:t>[</w:t>
      </w:r>
      <w:r>
        <w:fldChar w:fldCharType="begin"/>
      </w:r>
      <w:r>
        <w:instrText xml:space="preserve"> REF _Ref_30 \h </w:instrText>
      </w:r>
      <w:r>
        <w:fldChar w:fldCharType="separate"/>
      </w:r>
      <w:r>
        <w:t>30</w:t>
      </w:r>
      <w:r>
        <w:fldChar w:fldCharType="end"/>
      </w:r>
      <w:r>
        <w:t>,</w:t>
      </w:r>
      <w:r>
        <w:fldChar w:fldCharType="begin"/>
      </w:r>
      <w:r>
        <w:instrText xml:space="preserve"> REF _Ref_32 \h </w:instrText>
      </w:r>
      <w:r>
        <w:fldChar w:fldCharType="separate"/>
      </w:r>
      <w:r>
        <w:t>32</w:t>
      </w:r>
      <w:r>
        <w:fldChar w:fldCharType="end"/>
      </w:r>
      <w:r>
        <w:t>,</w:t>
      </w:r>
      <w:r>
        <w:fldChar w:fldCharType="begin"/>
      </w:r>
      <w:r>
        <w:instrText xml:space="preserve"> REF _Ref_37 \h </w:instrText>
      </w:r>
      <w:r>
        <w:fldChar w:fldCharType="separate"/>
      </w:r>
      <w:r>
        <w:t>37</w:t>
      </w:r>
      <w:r>
        <w:fldChar w:fldCharType="end"/>
      </w:r>
      <w:r>
        <w:t>]</w:t>
      </w:r>
      <w:r>
        <w:rPr>
          <w:b w:val="0"/>
          <w:i w:val="0"/>
        </w:rPr>
        <w:t xml:space="preserve">. The exposure measures built for generative AI show that the affected tasks are cognitive, non-routine and concentrated in the early career </w:t>
      </w:r>
      <w:r>
        <w:t>[</w:t>
      </w:r>
      <w:r>
        <w:fldChar w:fldCharType="begin"/>
      </w:r>
      <w:r>
        <w:instrText xml:space="preserve"> REF _Ref_38 \h </w:instrText>
      </w:r>
      <w:r>
        <w:fldChar w:fldCharType="separate"/>
      </w:r>
      <w:r>
        <w:t>38</w:t>
      </w:r>
      <w:r>
        <w:fldChar w:fldCharType="end"/>
      </w:r>
      <w:r>
        <w:t>–</w:t>
      </w:r>
      <w:r>
        <w:fldChar w:fldCharType="begin"/>
      </w:r>
      <w:r>
        <w:instrText xml:space="preserve"> REF _Ref_40 \h </w:instrText>
      </w:r>
      <w:r>
        <w:fldChar w:fldCharType="separate"/>
      </w:r>
      <w:r>
        <w:t>40</w:t>
      </w:r>
      <w:r>
        <w:fldChar w:fldCharType="end"/>
      </w:r>
      <w:r>
        <w:t>]</w:t>
      </w:r>
      <w:r>
        <w:rPr>
          <w:b w:val="0"/>
          <w:i w:val="0"/>
        </w:rPr>
        <w:t xml:space="preserve">, and firm-level studies have begun to estimate the employment consequences directly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rPr>
          <w:b w:val="0"/>
          <w:i w:val="0"/>
        </w:rPr>
        <w:t xml:space="preserve">. Generative AI is a general-purpose technology, and the historical record of such technologies is that their measured effects arrive late and unevenly because the complementary reorganisation takes time </w:t>
      </w:r>
      <w:r>
        <w:t>[</w:t>
      </w:r>
      <w:r>
        <w:fldChar w:fldCharType="begin"/>
      </w:r>
      <w:r>
        <w:instrText xml:space="preserve"> REF _Ref_44 \h </w:instrText>
      </w:r>
      <w:r>
        <w:fldChar w:fldCharType="separate"/>
      </w:r>
      <w:r>
        <w:t>44</w:t>
      </w:r>
      <w:r>
        <w:fldChar w:fldCharType="end"/>
      </w:r>
      <w:r>
        <w:t>–</w:t>
      </w:r>
      <w:r>
        <w:fldChar w:fldCharType="begin"/>
      </w:r>
      <w:r>
        <w:instrText xml:space="preserve"> REF _Ref_47 \h </w:instrText>
      </w:r>
      <w:r>
        <w:fldChar w:fldCharType="separate"/>
      </w:r>
      <w:r>
        <w:t>47</w:t>
      </w:r>
      <w:r>
        <w:fldChar w:fldCharType="end"/>
      </w:r>
      <w:r>
        <w:t>]</w:t>
      </w:r>
      <w:r>
        <w:rPr>
          <w:b w:val="0"/>
          <w:i w:val="0"/>
        </w:rPr>
        <w:t>. Every one of these studies is a within-firm design. The framework has no mechanism by which a firm that has adopted nothing is affected, and therefore no way to distinguish the effect on the adopter from the effect on the economy.</w:t>
      </w:r>
    </w:p>
    <w:p>
      <w:pPr>
        <w:pStyle w:val="MDPI31text"/>
      </w:pPr>
      <w:r>
        <w:rPr>
          <w:b w:val="0"/>
          <w:i w:val="0"/>
        </w:rPr>
        <w:t xml:space="preserve">The second strand supplies exactly that mechanism. Production network models show that when firms are linked by input-output relations, idiosyncratic shocks do not wash out; they propagate along the network and can dominate aggregate fluctuations </w:t>
      </w:r>
      <w:r>
        <w:t>[</w:t>
      </w:r>
      <w:r>
        <w:fldChar w:fldCharType="begin"/>
      </w:r>
      <w:r>
        <w:instrText xml:space="preserve"> REF _Ref_15 \h </w:instrText>
      </w:r>
      <w:r>
        <w:fldChar w:fldCharType="separate"/>
      </w:r>
      <w:r>
        <w:t>15</w:t>
      </w:r>
      <w:r>
        <w:fldChar w:fldCharType="end"/>
      </w:r>
      <w:r>
        <w:t>,</w:t>
      </w:r>
      <w:r>
        <w:fldChar w:fldCharType="begin"/>
      </w:r>
      <w:r>
        <w:instrText xml:space="preserve"> REF _Ref_16 \h </w:instrText>
      </w:r>
      <w:r>
        <w:fldChar w:fldCharType="separate"/>
      </w:r>
      <w:r>
        <w:t>16</w:t>
      </w:r>
      <w:r>
        <w:fldChar w:fldCharType="end"/>
      </w:r>
      <w:r>
        <w:t>]</w:t>
      </w:r>
      <w:r>
        <w:rPr>
          <w:b w:val="0"/>
          <w:i w:val="0"/>
        </w:rPr>
        <w:t xml:space="preserve">. The empirical evidence is now extensive: after the Tōhoku earthquake, firms whose suppliers were in the disaster area lost output even though they were untouched </w:t>
      </w:r>
      <w:r>
        <w:t>[</w:t>
      </w:r>
      <w:r>
        <w:fldChar w:fldCharType="begin"/>
      </w:r>
      <w:r>
        <w:instrText xml:space="preserve"> REF _Ref_17 \h </w:instrText>
      </w:r>
      <w:r>
        <w:fldChar w:fldCharType="separate"/>
      </w:r>
      <w:r>
        <w:t>17</w:t>
      </w:r>
      <w:r>
        <w:fldChar w:fldCharType="end"/>
      </w:r>
      <w:r>
        <w:t>,</w:t>
      </w:r>
      <w:r>
        <w:fldChar w:fldCharType="begin"/>
      </w:r>
      <w:r>
        <w:instrText xml:space="preserve"> REF _Ref_18 \h </w:instrText>
      </w:r>
      <w:r>
        <w:fldChar w:fldCharType="separate"/>
      </w:r>
      <w:r>
        <w:t>18</w:t>
      </w:r>
      <w:r>
        <w:fldChar w:fldCharType="end"/>
      </w:r>
      <w:r>
        <w:t>]</w:t>
      </w:r>
      <w:r>
        <w:rPr>
          <w:b w:val="0"/>
          <w:i w:val="0"/>
        </w:rPr>
        <w:t xml:space="preserve">; propagation is strongest through relationship-specific inputs that cannot be resourced quickly </w:t>
      </w:r>
      <w:r>
        <w:t>[</w:t>
      </w:r>
      <w:r>
        <w:fldChar w:fldCharType="begin"/>
      </w:r>
      <w:r>
        <w:instrText xml:space="preserve"> REF _Ref_19 \h </w:instrText>
      </w:r>
      <w:r>
        <w:fldChar w:fldCharType="separate"/>
      </w:r>
      <w:r>
        <w:t>19</w:t>
      </w:r>
      <w:r>
        <w:fldChar w:fldCharType="end"/>
      </w:r>
      <w:r>
        <w:t>]</w:t>
      </w:r>
      <w:r>
        <w:rPr>
          <w:b w:val="0"/>
          <w:i w:val="0"/>
        </w:rPr>
        <w:t xml:space="preserve">; and the domestic network carries shocks in both directions </w:t>
      </w:r>
      <w:r>
        <w:t>[</w:t>
      </w:r>
      <w:r>
        <w:fldChar w:fldCharType="begin"/>
      </w:r>
      <w:r>
        <w:instrText xml:space="preserve"> REF _Ref_20 \h </w:instrText>
      </w:r>
      <w:r>
        <w:fldChar w:fldCharType="separate"/>
      </w:r>
      <w:r>
        <w:t>20</w:t>
      </w:r>
      <w:r>
        <w:fldChar w:fldCharType="end"/>
      </w:r>
      <w:r>
        <w:t>,</w:t>
      </w:r>
      <w:r>
        <w:fldChar w:fldCharType="begin"/>
      </w:r>
      <w:r>
        <w:instrText xml:space="preserve"> REF _Ref_21 \h </w:instrText>
      </w:r>
      <w:r>
        <w:fldChar w:fldCharType="separate"/>
      </w:r>
      <w:r>
        <w:t>21</w:t>
      </w:r>
      <w:r>
        <w:fldChar w:fldCharType="end"/>
      </w:r>
      <w:r>
        <w:t>,</w:t>
      </w:r>
      <w:r>
        <w:fldChar w:fldCharType="begin"/>
      </w:r>
      <w:r>
        <w:instrText xml:space="preserve"> REF _Ref_48 \h </w:instrText>
      </w:r>
      <w:r>
        <w:fldChar w:fldCharType="separate"/>
      </w:r>
      <w:r>
        <w:t>48</w:t>
      </w:r>
      <w:r>
        <w:fldChar w:fldCharType="end"/>
      </w:r>
      <w:r>
        <w:t>]</w:t>
      </w:r>
      <w:r>
        <w:rPr>
          <w:b w:val="0"/>
          <w:i w:val="0"/>
        </w:rPr>
        <w:t>. What this literature has not asked is what propagates when the shock is a technology that changes the labour content of work, and who bears it inside the receiving firm.</w:t>
      </w:r>
    </w:p>
    <w:p>
      <w:pPr>
        <w:pStyle w:val="MDPI31text"/>
      </w:pPr>
      <w:r>
        <w:rPr>
          <w:b w:val="0"/>
          <w:i w:val="0"/>
        </w:rPr>
        <w:t xml:space="preserve">The third strand is the economics of local labour markets. Employment shocks are absorbed and amplified within commuting zones through local multipliers </w:t>
      </w:r>
      <w:r>
        <w:t>[</w:t>
      </w:r>
      <w:r>
        <w:fldChar w:fldCharType="begin"/>
      </w:r>
      <w:r>
        <w:instrText xml:space="preserve"> REF _Ref_49 \h </w:instrText>
      </w:r>
      <w:r>
        <w:fldChar w:fldCharType="separate"/>
      </w:r>
      <w:r>
        <w:t>49</w:t>
      </w:r>
      <w:r>
        <w:fldChar w:fldCharType="end"/>
      </w:r>
      <w:r>
        <w:t>]</w:t>
      </w:r>
      <w:r>
        <w:rPr>
          <w:b w:val="0"/>
          <w:i w:val="0"/>
        </w:rPr>
        <w:t xml:space="preserve"> and reallocation across employers </w:t>
      </w:r>
      <w:r>
        <w:t>[</w:t>
      </w:r>
      <w:r>
        <w:fldChar w:fldCharType="begin"/>
      </w:r>
      <w:r>
        <w:instrText xml:space="preserve"> REF _Ref_50 \h </w:instrText>
      </w:r>
      <w:r>
        <w:fldChar w:fldCharType="separate"/>
      </w:r>
      <w:r>
        <w:t>50</w:t>
      </w:r>
      <w:r>
        <w:fldChar w:fldCharType="end"/>
      </w:r>
      <w:r>
        <w:t>]</w:t>
      </w:r>
      <w:r>
        <w:rPr>
          <w:b w:val="0"/>
          <w:i w:val="0"/>
        </w:rPr>
        <w:t xml:space="preserve">, and young workers are the margin on which firms adjust first, both over the cycle </w:t>
      </w:r>
      <w:r>
        <w:t>[</w:t>
      </w:r>
      <w:r>
        <w:fldChar w:fldCharType="begin"/>
      </w:r>
      <w:r>
        <w:instrText xml:space="preserve"> REF _Ref_22 \h </w:instrText>
      </w:r>
      <w:r>
        <w:fldChar w:fldCharType="separate"/>
      </w:r>
      <w:r>
        <w:t>22</w:t>
      </w:r>
      <w:r>
        <w:fldChar w:fldCharType="end"/>
      </w:r>
      <w:r>
        <w:t>]</w:t>
      </w:r>
      <w:r>
        <w:rPr>
          <w:b w:val="0"/>
          <w:i w:val="0"/>
        </w:rPr>
        <w:t xml:space="preserve"> and with lasting consequences for the cohorts concerned </w:t>
      </w:r>
      <w:r>
        <w:t>[</w:t>
      </w:r>
      <w:r>
        <w:fldChar w:fldCharType="begin"/>
      </w:r>
      <w:r>
        <w:instrText xml:space="preserve"> REF _Ref_34 \h </w:instrText>
      </w:r>
      <w:r>
        <w:fldChar w:fldCharType="separate"/>
      </w:r>
      <w:r>
        <w:t>34</w:t>
      </w:r>
      <w:r>
        <w:fldChar w:fldCharType="end"/>
      </w:r>
      <w:r>
        <w:t>–</w:t>
      </w:r>
      <w:r>
        <w:fldChar w:fldCharType="begin"/>
      </w:r>
      <w:r>
        <w:instrText xml:space="preserve"> REF _Ref_36 \h </w:instrText>
      </w:r>
      <w:r>
        <w:fldChar w:fldCharType="separate"/>
      </w:r>
      <w:r>
        <w:t>36</w:t>
      </w:r>
      <w:r>
        <w:fldChar w:fldCharType="end"/>
      </w:r>
      <w:r>
        <w:t>,</w:t>
      </w:r>
      <w:r>
        <w:fldChar w:fldCharType="begin"/>
      </w:r>
      <w:r>
        <w:instrText xml:space="preserve"> REF _Ref_51 \h </w:instrText>
      </w:r>
      <w:r>
        <w:fldChar w:fldCharType="separate"/>
      </w:r>
      <w:r>
        <w:t>51</w:t>
      </w:r>
      <w:r>
        <w:fldChar w:fldCharType="end"/>
      </w:r>
      <w:r>
        <w:t>]</w:t>
      </w:r>
      <w:r>
        <w:rPr>
          <w:b w:val="0"/>
          <w:i w:val="0"/>
        </w:rPr>
        <w:t>. Reallocation is the reason a firm-level coefficient and a market-level coefficient need not agree, and estimating both is the only way to know which part of a measured decline is destruction.</w:t>
      </w:r>
    </w:p>
    <w:p>
      <w:pPr>
        <w:pStyle w:val="MDPI22heading2"/>
      </w:pPr>
      <w:r>
        <w:t>2.2. Three Transmissions</w:t>
      </w:r>
    </w:p>
    <w:p>
      <w:pPr>
        <w:pStyle w:val="MDPI32textnoindent"/>
      </w:pPr>
      <w:r>
        <w:rPr>
          <w:b w:val="0"/>
          <w:i w:val="0"/>
        </w:rPr>
        <w:t xml:space="preserve">Consider a system of </w:t>
      </w:r>
      <m:oMath>
        <m:r>
          <m:t xml:space="preserve">N</m:t>
        </m:r>
      </m:oMath>
      <w:r>
        <w:rPr>
          <w:b w:val="0"/>
          <w:i w:val="0"/>
        </w:rPr>
        <w:t xml:space="preserve"> firms indexed by </w:t>
      </w:r>
      <m:oMath>
        <m:r>
          <m:t xml:space="preserve">i</m:t>
        </m:r>
      </m:oMath>
      <w:r>
        <w:rPr>
          <w:b w:val="0"/>
          <w:i w:val="0"/>
        </w:rPr>
        <w:t xml:space="preserve">, each employing a mix of junior and experienced labour and each buying from and selling to others. Let </w:t>
      </w:r>
      <m:oMath>
        <m:sSub>
          <m:e>
            <m:r>
              <m:t xml:space="preserve">A</m:t>
            </m:r>
          </m:e>
          <m:sub>
            <m:r>
              <m:t xml:space="preserve">i</m:t>
            </m:r>
            <m:r>
              <m:t xml:space="preserve">t</m:t>
            </m:r>
          </m:sub>
        </m:sSub>
      </m:oMath>
      <w:r>
        <w:rPr>
          <w:b w:val="0"/>
          <w:i w:val="0"/>
        </w:rPr>
        <w:t xml:space="preserve"> measure how far firm </w:t>
      </w:r>
      <m:oMath>
        <m:r>
          <m:t xml:space="preserve">i</m:t>
        </m:r>
      </m:oMath>
      <w:r>
        <w:rPr>
          <w:b w:val="0"/>
          <w:i w:val="0"/>
        </w:rPr>
        <w:t xml:space="preserve"> has taken generative AI into its work, and let </w:t>
      </w:r>
      <m:oMath>
        <m:sSub>
          <m:e>
            <m:r>
              <m:t xml:space="preserve">Y</m:t>
            </m:r>
          </m:e>
          <m:sub>
            <m:r>
              <m:t xml:space="preserve">i</m:t>
            </m:r>
            <m:r>
              <m:t xml:space="preserve">t</m:t>
            </m:r>
          </m:sub>
        </m:sSub>
      </m:oMath>
      <w:r>
        <w:rPr>
          <w:b w:val="0"/>
          <w:i w:val="0"/>
        </w:rPr>
        <w:t xml:space="preserve"> be the share of its employees aged 30 or below. Write </w:t>
      </w:r>
      <m:oMath>
        <m:sSubSup>
          <m:e>
            <m:r>
              <m:t xml:space="preserve">w</m:t>
            </m:r>
          </m:e>
          <m:sub>
            <m:r>
              <m:t xml:space="preserve">i</m:t>
            </m:r>
            <m:r>
              <m:t xml:space="preserve">j</m:t>
            </m:r>
          </m:sub>
          <m:sup>
            <m:r>
              <m:t xml:space="preserve">d</m:t>
            </m:r>
          </m:sup>
        </m:sSubSup>
      </m:oMath>
      <w:r>
        <w:rPr>
          <w:b w:val="0"/>
          <w:i w:val="0"/>
        </w:rPr>
        <w:t xml:space="preserve"> for the share of firm </w:t>
      </w:r>
      <m:oMath>
        <m:r>
          <m:t xml:space="preserve">i</m:t>
        </m:r>
      </m:oMath>
      <w:r>
        <w:rPr>
          <w:b w:val="0"/>
          <w:i w:val="0"/>
        </w:rPr>
        <w:t xml:space="preserve">'s sales going to firm </w:t>
      </w:r>
      <m:oMath>
        <m:r>
          <m:t xml:space="preserve">j</m:t>
        </m:r>
      </m:oMath>
      <w:r>
        <w:rPr>
          <w:b w:val="0"/>
          <w:i w:val="0"/>
        </w:rPr>
        <w:t xml:space="preserve">, </w:t>
      </w:r>
      <m:oMath>
        <m:sSubSup>
          <m:e>
            <m:r>
              <m:t xml:space="preserve">w</m:t>
            </m:r>
          </m:e>
          <m:sub>
            <m:r>
              <m:t xml:space="preserve">i</m:t>
            </m:r>
            <m:r>
              <m:t xml:space="preserve">j</m:t>
            </m:r>
          </m:sub>
          <m:sup>
            <m:r>
              <m:t xml:space="preserve">u</m:t>
            </m:r>
          </m:sup>
        </m:sSubSup>
      </m:oMath>
      <w:r>
        <w:rPr>
          <w:b w:val="0"/>
          <w:i w:val="0"/>
        </w:rPr>
        <w:t xml:space="preserve"> for the share of its purchases coming from </w:t>
      </w:r>
      <m:oMath>
        <m:r>
          <m:t xml:space="preserve">j</m:t>
        </m:r>
      </m:oMath>
      <w:r>
        <w:rPr>
          <w:b w:val="0"/>
          <w:i w:val="0"/>
        </w:rPr>
        <w:t xml:space="preserve">, and </w:t>
      </w:r>
      <m:oMath>
        <m:sSubSup>
          <m:e>
            <m:r>
              <m:t xml:space="preserve">w</m:t>
            </m:r>
          </m:e>
          <m:sub>
            <m:r>
              <m:t xml:space="preserve">i</m:t>
            </m:r>
            <m:r>
              <m:t xml:space="preserve">j</m:t>
            </m:r>
          </m:sub>
          <m:sup>
            <m:r>
              <m:t xml:space="preserve">p</m:t>
            </m:r>
          </m:sup>
        </m:sSubSup>
      </m:oMath>
      <w:r>
        <w:rPr>
          <w:b w:val="0"/>
          <w:i w:val="0"/>
        </w:rPr>
        <w:t xml:space="preserve"> for the weight of </w:t>
      </w:r>
      <m:oMath>
        <m:r>
          <m:t xml:space="preserve">j</m:t>
        </m:r>
      </m:oMath>
      <w:r>
        <w:rPr>
          <w:b w:val="0"/>
          <w:i w:val="0"/>
        </w:rPr>
        <w:t xml:space="preserve"> in </w:t>
      </w:r>
      <m:oMath>
        <m:r>
          <m:t xml:space="preserve">i</m:t>
        </m:r>
      </m:oMath>
      <w:r>
        <w:rPr>
          <w:b w:val="0"/>
          <w:i w:val="0"/>
        </w:rPr>
        <w:t>'s local labour market. Each set of weights forms a row-normalised matrix, and the three network lags of adoption are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Sup>
                <m:e>
                  <m:r>
                    <m:t xml:space="preserve">A</m:t>
                  </m:r>
                </m:e>
                <m:sub>
                  <m:r>
                    <m:t xml:space="preserve">i</m:t>
                  </m:r>
                  <m:r>
                    <m:t xml:space="preserve">t</m:t>
                  </m:r>
                </m:sub>
                <m:sup>
                  <m:r>
                    <m:t xml:space="preserve">u</m:t>
                  </m:r>
                </m:sup>
              </m:sSubSup>
              <m:r>
                <m:rPr>
                  <m:sty m:val="p"/>
                </m:rPr>
                <m:t xml:space="preserve">=</m:t>
              </m:r>
              <m:nary>
                <m:naryPr>
                  <m:chr m:val="∑"/>
                  <m:limLoc m:val="subSup"/>
                  <m:supHide m:val="1"/>
                </m:naryPr>
                <m:sub>
                  <m:r>
                    <m:t xml:space="preserve">j</m:t>
                  </m:r>
                </m:sub>
                <m:sup/>
                <m:e>
                  <m:sSubSup>
                    <m:e>
                      <m:r>
                        <m:t xml:space="preserve">w</m:t>
                      </m:r>
                    </m:e>
                    <m:sub>
                      <m:r>
                        <m:t xml:space="preserve">i</m:t>
                      </m:r>
                      <m:r>
                        <m:t xml:space="preserve">j</m:t>
                      </m:r>
                    </m:sub>
                    <m:sup>
                      <m:r>
                        <m:t xml:space="preserve">u</m:t>
                      </m:r>
                    </m:sup>
                  </m:sSubSup>
                  <m:sSub>
                    <m:e>
                      <m:r>
                        <m:t xml:space="preserve">A</m:t>
                      </m:r>
                    </m:e>
                    <m:sub>
                      <m:r>
                        <m:t xml:space="preserve">j</m:t>
                      </m:r>
                      <m:r>
                        <m:t xml:space="preserve">t</m:t>
                      </m:r>
                    </m:sub>
                  </m:sSub>
                  <m:r>
                    <m:t xml:space="preserve">,</m:t>
                  </m:r>
                  <m:r>
                    <m:t xml:space="preserve"> </m:t>
                  </m:r>
                  <m:r>
                    <m:t xml:space="preserve"> </m:t>
                  </m:r>
                  <m:sSubSup>
                    <m:e>
                      <m:r>
                        <m:t xml:space="preserve">A</m:t>
                      </m:r>
                    </m:e>
                    <m:sub>
                      <m:r>
                        <m:t xml:space="preserve">i</m:t>
                      </m:r>
                      <m:r>
                        <m:t xml:space="preserve">t</m:t>
                      </m:r>
                    </m:sub>
                    <m:sup>
                      <m:r>
                        <m:t xml:space="preserve">d</m:t>
                      </m:r>
                    </m:sup>
                  </m:sSubSup>
                  <m:r>
                    <m:rPr>
                      <m:sty m:val="p"/>
                    </m:rPr>
                    <m:t xml:space="preserve">=</m:t>
                  </m:r>
                  <m:nary>
                    <m:naryPr>
                      <m:chr m:val="∑"/>
                      <m:limLoc m:val="subSup"/>
                      <m:supHide m:val="1"/>
                    </m:naryPr>
                    <m:sub>
                      <m:r>
                        <m:t xml:space="preserve">j</m:t>
                      </m:r>
                    </m:sub>
                    <m:sup/>
                    <m:e>
                      <m:sSubSup>
                        <m:e>
                          <m:r>
                            <m:t xml:space="preserve">w</m:t>
                          </m:r>
                        </m:e>
                        <m:sub>
                          <m:r>
                            <m:t xml:space="preserve">i</m:t>
                          </m:r>
                          <m:r>
                            <m:t xml:space="preserve">j</m:t>
                          </m:r>
                        </m:sub>
                        <m:sup>
                          <m:r>
                            <m:t xml:space="preserve">d</m:t>
                          </m:r>
                        </m:sup>
                      </m:sSubSup>
                      <m:sSub>
                        <m:e>
                          <m:r>
                            <m:t xml:space="preserve">A</m:t>
                          </m:r>
                        </m:e>
                        <m:sub>
                          <m:r>
                            <m:t xml:space="preserve">j</m:t>
                          </m:r>
                          <m:r>
                            <m:t xml:space="preserve">t</m:t>
                          </m:r>
                        </m:sub>
                      </m:sSub>
                      <m:r>
                        <m:t xml:space="preserve">,</m:t>
                      </m:r>
                      <m:r>
                        <m:t xml:space="preserve"> </m:t>
                      </m:r>
                      <m:r>
                        <m:t xml:space="preserve"> </m:t>
                      </m:r>
                      <m:sSubSup>
                        <m:e>
                          <m:r>
                            <m:t xml:space="preserve">A</m:t>
                          </m:r>
                        </m:e>
                        <m:sub>
                          <m:r>
                            <m:t xml:space="preserve">i</m:t>
                          </m:r>
                          <m:r>
                            <m:t xml:space="preserve">t</m:t>
                          </m:r>
                        </m:sub>
                        <m:sup>
                          <m:r>
                            <m:t xml:space="preserve">p</m:t>
                          </m:r>
                        </m:sup>
                      </m:sSubSup>
                      <m:r>
                        <m:rPr>
                          <m:sty m:val="p"/>
                        </m:rPr>
                        <m:t xml:space="preserve">=</m:t>
                      </m:r>
                      <m:nary>
                        <m:naryPr>
                          <m:chr m:val="∑"/>
                          <m:limLoc m:val="subSup"/>
                          <m:supHide m:val="1"/>
                        </m:naryPr>
                        <m:sub>
                          <m:r>
                            <m:t xml:space="preserve">j</m:t>
                          </m:r>
                        </m:sub>
                        <m:sup/>
                        <m:e>
                          <m:sSubSup>
                            <m:e>
                              <m:r>
                                <m:t xml:space="preserve">w</m:t>
                              </m:r>
                            </m:e>
                            <m:sub>
                              <m:r>
                                <m:t xml:space="preserve">i</m:t>
                              </m:r>
                              <m:r>
                                <m:t xml:space="preserve">j</m:t>
                              </m:r>
                            </m:sub>
                            <m:sup>
                              <m:r>
                                <m:t xml:space="preserve">p</m:t>
                              </m:r>
                            </m:sup>
                          </m:sSubSup>
                          <m:sSub>
                            <m:e>
                              <m:r>
                                <m:t xml:space="preserve">A</m:t>
                              </m:r>
                            </m:e>
                            <m:sub>
                              <m:r>
                                <m:t xml:space="preserve">j</m:t>
                              </m:r>
                              <m:r>
                                <m:t xml:space="preserve">t</m:t>
                              </m:r>
                            </m:sub>
                          </m:sSub>
                          <m:r>
                            <m:t xml:space="preserve">.</m:t>
                          </m:r>
                        </m:e>
                      </m:nary>
                    </m:e>
                  </m:nary>
                </m:e>
              </m:nary>
            </m:oMath>
          </w:p>
        </w:tc>
        <w:tc>
          <w:tcPr>
            <w:tcW w:type="dxa" w:w="431"/>
            <w:vAlign w:val="center"/>
          </w:tcPr>
          <w:p>
            <w:pPr>
              <w:pStyle w:val="MDPI3aequationnumber"/>
              <w:jc w:val="right"/>
            </w:pPr>
            <w:r>
              <w:t>(1)</w:t>
            </w:r>
          </w:p>
        </w:tc>
      </w:tr>
    </w:tbl>
    <w:p>
      <w:pPr>
        <w:pStyle w:val="MDPI31text"/>
      </w:pPr>
      <w:r>
        <w:rPr>
          <w:b w:val="0"/>
          <w:i w:val="0"/>
        </w:rPr>
        <w:t xml:space="preserve">The first transmission is the one the literature estimates. Adoption inside the firm substitutes for the routine cognitive tasks that make up the entry-level bundle, so it lowers the firm's own youth share. This is displacement in the task sense, and we expect the coefficient on </w:t>
      </w:r>
      <m:oMath>
        <m:sSub>
          <m:e>
            <m:r>
              <m:t xml:space="preserve">A</m:t>
            </m:r>
          </m:e>
          <m:sub>
            <m:r>
              <m:t xml:space="preserve">i</m:t>
            </m:r>
            <m:r>
              <m:t xml:space="preserve">t</m:t>
            </m:r>
          </m:sub>
        </m:sSub>
      </m:oMath>
      <w:r>
        <w:rPr>
          <w:b w:val="0"/>
          <w:i w:val="0"/>
        </w:rPr>
        <w:t xml:space="preserve"> to be negative.</w:t>
      </w:r>
    </w:p>
    <w:p>
      <w:pPr>
        <w:pStyle w:val="MDPI31text"/>
      </w:pPr>
      <w:r>
        <w:rPr>
          <w:b w:val="0"/>
          <w:i w:val="0"/>
        </w:rPr>
        <w:t xml:space="preserve">The second is the downstream transmission, and it is the one the within-firm design cannot see. A customer that adopts generative AI needs less of what the firm sells whenever what the firm sells is junior-labour-intensive service work — drafting, translation, first-pass analysis, routine testing, standard design. The firm's demand falls without its own technology changing at all, and the labour it sheds is the labour that produced the displaced service, which is junior labour. The corresponding upstream transmission, from suppliers' adoption, works through cost and specification rather than demand and should be weaker, because a cheaper input is not a reason to employ fewer juniors. Both should be stronger where the traded input is relationship-specific, since a firm that can resource an input quickly is a firm whose demand is not tied to any one customer's technology </w:t>
      </w:r>
      <w:r>
        <w:t>[</w:t>
      </w:r>
      <w:r>
        <w:fldChar w:fldCharType="begin"/>
      </w:r>
      <w:r>
        <w:instrText xml:space="preserve"> REF _Ref_19 \h </w:instrText>
      </w:r>
      <w:r>
        <w:fldChar w:fldCharType="separate"/>
      </w:r>
      <w:r>
        <w:t>19</w:t>
      </w:r>
      <w:r>
        <w:fldChar w:fldCharType="end"/>
      </w:r>
      <w:r>
        <w:t>]</w:t>
      </w:r>
      <w:r>
        <w:rPr>
          <w:b w:val="0"/>
          <w:i w:val="0"/>
        </w:rPr>
        <w:t>.</w:t>
      </w:r>
    </w:p>
    <w:p>
      <w:pPr>
        <w:pStyle w:val="MDPI31text"/>
      </w:pPr>
      <w:r>
        <w:rPr>
          <w:b w:val="0"/>
          <w:i w:val="0"/>
        </w:rPr>
        <w:t>The third is the local labour market, and it runs the other way. Young workers whom one firm does not hire remain in the city. Their reservation wage falls, and the firm next door — which may be in an entirely different sector — finds junior labour cheaper and more plentiful than before. Adoption by local peers should therefore *raise* a firm's youth share. This is not a benign finding. It means that part of what a firm-level regression records as destruction is a transfer between firms, and that the same regression run on city aggregates will find a smaller number.</w:t>
      </w:r>
    </w:p>
    <w:p>
      <w:pPr>
        <w:pStyle w:val="MDPI31text"/>
      </w:pPr>
      <w:r>
        <w:rPr>
          <w:b w:val="0"/>
          <w:i w:val="0"/>
        </w:rPr>
        <w:t>Finally, outcomes are linked to outcomes and not only to adoption. A firm that reduces junior hiring buys less from its suppliers and delivers less to its customers, whose own employment then responds; the system reaches a fixed point rather than a one-round outcome. Collecting the three lags and adding an endogenous network lag of the outcome gives the network autoregressive model with exogenous lags,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m:t>
                  </m:r>
                </m:e>
                <m:sub>
                  <m:r>
                    <m:t xml:space="preserve">i</m:t>
                  </m:r>
                  <m:r>
                    <m:t xml:space="preserve">t</m:t>
                  </m:r>
                </m:sub>
              </m:sSub>
              <m:r>
                <m:rPr>
                  <m:sty m:val="p"/>
                </m:rPr>
                <m:t xml:space="preserve">=</m:t>
              </m:r>
              <m:r>
                <m:t xml:space="preserve">ρ</m:t>
              </m:r>
              <m:nary>
                <m:naryPr>
                  <m:chr m:val="∑"/>
                  <m:limLoc m:val="subSup"/>
                  <m:supHide m:val="1"/>
                </m:naryPr>
                <m:sub>
                  <m:r>
                    <m:t xml:space="preserve">j</m:t>
                  </m:r>
                </m:sub>
                <m:sup/>
                <m:e>
                  <m:sSub>
                    <m:e>
                      <m:r>
                        <m:t xml:space="preserve">w</m:t>
                      </m:r>
                    </m:e>
                    <m:sub>
                      <m:r>
                        <m:t xml:space="preserve">i</m:t>
                      </m:r>
                      <m:r>
                        <m:t xml:space="preserve">j</m:t>
                      </m:r>
                    </m:sub>
                  </m:sSub>
                  <m:sSub>
                    <m:e>
                      <m:r>
                        <m:t xml:space="preserve">Y</m:t>
                      </m:r>
                    </m:e>
                    <m:sub>
                      <m:r>
                        <m:t xml:space="preserve">j</m:t>
                      </m:r>
                      <m:r>
                        <m:t xml:space="preserve">t</m:t>
                      </m:r>
                    </m:sub>
                  </m:sSub>
                  <m:r>
                    <m:rPr>
                      <m:sty m:val="p"/>
                    </m:rPr>
                    <m:t xml:space="preserve">+</m:t>
                  </m:r>
                  <m:r>
                    <m:t xml:space="preserve">β</m:t>
                  </m:r>
                  <m:r>
                    <m:t xml:space="preserve"> </m:t>
                  </m:r>
                  <m:sSub>
                    <m:e>
                      <m:r>
                        <m:t xml:space="preserve">A</m:t>
                      </m:r>
                    </m:e>
                    <m:sub>
                      <m:r>
                        <m:t xml:space="preserve">i</m:t>
                      </m:r>
                      <m:r>
                        <m:t xml:space="preserve">t</m:t>
                      </m:r>
                    </m:sub>
                  </m:sSub>
                  <m:r>
                    <m:rPr>
                      <m:sty m:val="p"/>
                    </m:rPr>
                    <m:t xml:space="preserve">+</m:t>
                  </m:r>
                  <m:sSub>
                    <m:e>
                      <m:r>
                        <m:t xml:space="preserve">θ</m:t>
                      </m:r>
                    </m:e>
                    <m:sub>
                      <m:r>
                        <m:t xml:space="preserve">u</m:t>
                      </m:r>
                    </m:sub>
                  </m:sSub>
                  <m:sSubSup>
                    <m:e>
                      <m:r>
                        <m:t xml:space="preserve">A</m:t>
                      </m:r>
                    </m:e>
                    <m:sub>
                      <m:r>
                        <m:t xml:space="preserve">i</m:t>
                      </m:r>
                      <m:r>
                        <m:t xml:space="preserve">t</m:t>
                      </m:r>
                    </m:sub>
                    <m:sup>
                      <m:r>
                        <m:t xml:space="preserve">u</m:t>
                      </m:r>
                    </m:sup>
                  </m:sSubSup>
                  <m:r>
                    <m:rPr>
                      <m:sty m:val="p"/>
                    </m:rPr>
                    <m:t xml:space="preserve">+</m:t>
                  </m:r>
                  <m:sSub>
                    <m:e>
                      <m:r>
                        <m:t xml:space="preserve">θ</m:t>
                      </m:r>
                    </m:e>
                    <m:sub>
                      <m:r>
                        <m:t xml:space="preserve">d</m:t>
                      </m:r>
                    </m:sub>
                  </m:sSub>
                  <m:sSubSup>
                    <m:e>
                      <m:r>
                        <m:t xml:space="preserve">A</m:t>
                      </m:r>
                    </m:e>
                    <m:sub>
                      <m:r>
                        <m:t xml:space="preserve">i</m:t>
                      </m:r>
                      <m:r>
                        <m:t xml:space="preserve">t</m:t>
                      </m:r>
                    </m:sub>
                    <m:sup>
                      <m:r>
                        <m:t xml:space="preserve">d</m:t>
                      </m:r>
                    </m:sup>
                  </m:sSubSup>
                  <m:r>
                    <m:rPr>
                      <m:sty m:val="p"/>
                    </m:rPr>
                    <m:t xml:space="preserve">+</m:t>
                  </m:r>
                  <m:sSub>
                    <m:e>
                      <m:r>
                        <m:t xml:space="preserve">θ</m:t>
                      </m:r>
                    </m:e>
                    <m:sub>
                      <m:r>
                        <m:t xml:space="preserve">p</m:t>
                      </m:r>
                    </m:sub>
                  </m:sSub>
                  <m:sSubSup>
                    <m:e>
                      <m:r>
                        <m:t xml:space="preserve">A</m:t>
                      </m:r>
                    </m:e>
                    <m:sub>
                      <m:r>
                        <m:t xml:space="preserve">i</m:t>
                      </m:r>
                      <m:r>
                        <m:t xml:space="preserve">t</m:t>
                      </m:r>
                    </m:sub>
                    <m:sup>
                      <m:r>
                        <m:t xml:space="preserve">p</m:t>
                      </m:r>
                    </m:sup>
                  </m:sSubSup>
                  <m:r>
                    <m:rPr>
                      <m:sty m:val="p"/>
                    </m:rPr>
                    <m:t xml:space="preserve">+</m:t>
                  </m:r>
                  <m:r>
                    <m:t xml:space="preserve">γ</m:t>
                  </m:r>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r>
                    <m:t xml:space="preserve">,</m:t>
                  </m:r>
                </m:e>
              </m:nary>
            </m:oMath>
          </w:p>
        </w:tc>
        <w:tc>
          <w:tcPr>
            <w:tcW w:type="dxa" w:w="431"/>
            <w:vAlign w:val="center"/>
          </w:tcPr>
          <w:p>
            <w:pPr>
              <w:pStyle w:val="MDPI3aequationnumber"/>
              <w:jc w:val="right"/>
            </w:pPr>
            <w:r>
              <w:t>(2)</w:t>
            </w:r>
          </w:p>
        </w:tc>
      </w:tr>
    </w:tbl>
    <w:p>
      <w:pPr>
        <w:pStyle w:val="MDPI31text"/>
      </w:pPr>
      <w:r>
        <w:rPr>
          <w:b w:val="0"/>
          <w:i w:val="0"/>
        </w:rPr>
        <w:t xml:space="preserve">where </w:t>
      </w:r>
      <m:oMath>
        <m:sSub>
          <m:e>
            <m:r>
              <m:t xml:space="preserve">w</m:t>
            </m:r>
          </m:e>
          <m:sub>
            <m:r>
              <m:t xml:space="preserve">i</m:t>
            </m:r>
            <m:r>
              <m:t xml:space="preserve">j</m:t>
            </m:r>
          </m:sub>
        </m:sSub>
      </m:oMath>
      <w:r>
        <w:rPr>
          <w:b w:val="0"/>
          <w:i w:val="0"/>
        </w:rPr>
        <w:t xml:space="preserve"> is the average of the two supply-chain weights, </w:t>
      </w:r>
      <m:oMath>
        <m:sSub>
          <m:e>
            <m:r>
              <m:t xml:space="preserve">C</m:t>
            </m:r>
          </m:e>
          <m:sub>
            <m:r>
              <m:t xml:space="preserve">i</m:t>
            </m:r>
            <m:r>
              <m:t xml:space="preserve">t</m:t>
            </m:r>
          </m:sub>
        </m:sSub>
      </m:oMath>
      <w:r>
        <w:rPr>
          <w:b w:val="0"/>
          <w:i w:val="0"/>
        </w:rPr>
        <w:t xml:space="preserve"> a control vector and </w:t>
      </w:r>
      <m:oMath>
        <m:sSub>
          <m:e>
            <m:r>
              <m:t xml:space="preserve">η</m:t>
            </m:r>
          </m:e>
          <m:sub>
            <m:r>
              <m:t xml:space="preserve">i</m:t>
            </m:r>
          </m:sub>
        </m:sSub>
      </m:oMath>
      <w:r>
        <w:rPr>
          <w:b w:val="0"/>
          <w:i w:val="0"/>
        </w:rPr>
        <w:t xml:space="preserve">, </w:t>
      </w:r>
      <m:oMath>
        <m:sSub>
          <m:e>
            <m:r>
              <m:t xml:space="preserve">λ</m:t>
            </m:r>
          </m:e>
          <m:sub>
            <m:r>
              <m:t xml:space="preserve">t</m:t>
            </m:r>
          </m:sub>
        </m:sSub>
      </m:oMath>
      <w:r>
        <w:rPr>
          <w:b w:val="0"/>
          <w:i w:val="0"/>
        </w:rPr>
        <w:t xml:space="preserve"> firm and year effects. Stacking the cross-section within a year and writing </w:t>
      </w:r>
      <m:oMath>
        <m:r>
          <m:t xml:space="preserve">W</m:t>
        </m:r>
      </m:oMath>
      <w:r>
        <w:rPr>
          <w:b w:val="0"/>
          <w:i w:val="0"/>
        </w:rPr>
        <w:t xml:space="preserve"> for the weight matrix, the equilibrium of the system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Y</m:t>
              </m:r>
              <m:r>
                <m:rPr>
                  <m:sty m:val="p"/>
                </m:rPr>
                <m:t xml:space="preserve">=</m:t>
              </m:r>
              <m:sSup>
                <m:e>
                  <m:d>
                    <m:dPr>
                      <m:begChr m:val="("/>
                      <m:endChr m:val=")"/>
                    </m:dPr>
                    <m:e>
                      <m:r>
                        <m:t xml:space="preserve">I</m:t>
                      </m:r>
                      <m:r>
                        <m:rPr>
                          <m:sty m:val="p"/>
                        </m:rPr>
                        <m:t xml:space="preserve">-</m:t>
                      </m:r>
                      <m:r>
                        <m:t xml:space="preserve">ρ</m:t>
                      </m:r>
                      <m:r>
                        <m:t xml:space="preserve">W</m:t>
                      </m:r>
                    </m:e>
                  </m:d>
                </m:e>
                <m:sup>
                  <m:r>
                    <m:rPr>
                      <m:sty m:val="p"/>
                    </m:rPr>
                    <m:t xml:space="preserve">-</m:t>
                  </m:r>
                  <m:r>
                    <m:rPr>
                      <m:sty m:val="p"/>
                    </m:rPr>
                    <m:t xml:space="preserve">1</m:t>
                  </m:r>
                </m:sup>
              </m:sSup>
              <m:d>
                <m:dPr>
                  <m:begChr m:val="("/>
                  <m:endChr m:val=")"/>
                </m:dPr>
                <m:e>
                  <m:r>
                    <m:t xml:space="preserve">β</m:t>
                  </m:r>
                  <m:r>
                    <m:t xml:space="preserve">A</m:t>
                  </m:r>
                  <m:r>
                    <m:rPr>
                      <m:sty m:val="p"/>
                    </m:rPr>
                    <m:t xml:space="preserve">+</m:t>
                  </m:r>
                  <m:r>
                    <m:t xml:space="preserve">θ</m:t>
                  </m:r>
                  <m:r>
                    <m:t xml:space="preserve">W</m:t>
                  </m:r>
                  <m:r>
                    <m:t xml:space="preserve">A</m:t>
                  </m:r>
                  <m:r>
                    <m:rPr>
                      <m:sty m:val="p"/>
                    </m:rPr>
                    <m:t xml:space="preserve">+</m:t>
                  </m:r>
                  <m:r>
                    <m:t xml:space="preserve">γ</m:t>
                  </m:r>
                  <m:r>
                    <m:t xml:space="preserve">'</m:t>
                  </m:r>
                  <m:r>
                    <m:t xml:space="preserve">C</m:t>
                  </m:r>
                  <m:r>
                    <m:rPr>
                      <m:sty m:val="p"/>
                    </m:rPr>
                    <m:t xml:space="preserve">+</m:t>
                  </m:r>
                  <m:r>
                    <m:t xml:space="preserve">η</m:t>
                  </m:r>
                  <m:r>
                    <m:rPr>
                      <m:sty m:val="p"/>
                    </m:rPr>
                    <m:t xml:space="preserve">+</m:t>
                  </m:r>
                  <m:r>
                    <m:t xml:space="preserve">λ</m:t>
                  </m:r>
                  <m:r>
                    <m:rPr>
                      <m:sty m:val="p"/>
                    </m:rPr>
                    <m:t xml:space="preserve">+</m:t>
                  </m:r>
                  <m:r>
                    <m:t xml:space="preserve">ε</m:t>
                  </m:r>
                </m:e>
              </m:d>
              <m:r>
                <m:t xml:space="preserve">,</m:t>
              </m:r>
            </m:oMath>
          </w:p>
        </w:tc>
        <w:tc>
          <w:tcPr>
            <w:tcW w:type="dxa" w:w="431"/>
            <w:vAlign w:val="center"/>
          </w:tcPr>
          <w:p>
            <w:pPr>
              <w:pStyle w:val="MDPI3aequationnumber"/>
              <w:jc w:val="right"/>
            </w:pPr>
            <w:r>
              <w:t>(3)</w:t>
            </w:r>
          </w:p>
        </w:tc>
      </w:tr>
    </w:tbl>
    <w:p>
      <w:pPr>
        <w:pStyle w:val="MDPI31text"/>
      </w:pPr>
      <w:r>
        <w:rPr>
          <w:b w:val="0"/>
          <w:i w:val="0"/>
        </w:rPr>
        <w:t xml:space="preserve">so that the response of the whole system to adoption is the Leontief inverse of its direct response, not the direct response itself. Writing </w:t>
      </w:r>
      <m:oMath>
        <m:r>
          <m:t xml:space="preserve">S</m:t>
        </m:r>
        <m:r>
          <m:rPr>
            <m:sty m:val="p"/>
          </m:rPr>
          <m:t xml:space="preserve">=</m:t>
        </m:r>
        <m:sSup>
          <m:e>
            <m:d>
              <m:dPr>
                <m:begChr m:val="("/>
                <m:endChr m:val=")"/>
              </m:dPr>
              <m:e>
                <m:r>
                  <m:t xml:space="preserve">I</m:t>
                </m:r>
                <m:r>
                  <m:rPr>
                    <m:sty m:val="p"/>
                  </m:rPr>
                  <m:t xml:space="preserve">-</m:t>
                </m:r>
                <m:r>
                  <m:t xml:space="preserve">ρ</m:t>
                </m:r>
                <m:r>
                  <m:t xml:space="preserve">W</m:t>
                </m:r>
              </m:e>
            </m:d>
          </m:e>
          <m:sup>
            <m:r>
              <m:rPr>
                <m:sty m:val="p"/>
              </m:rPr>
              <m:t xml:space="preserve">-</m:t>
            </m:r>
            <m:r>
              <m:rPr>
                <m:sty m:val="p"/>
              </m:rPr>
              <m:t xml:space="preserve">1</m:t>
            </m:r>
          </m:sup>
        </m:sSup>
        <m:d>
          <m:dPr>
            <m:begChr m:val="("/>
            <m:endChr m:val=")"/>
          </m:dPr>
          <m:e>
            <m:r>
              <m:t xml:space="preserve">β</m:t>
            </m:r>
            <m:r>
              <m:t xml:space="preserve">I</m:t>
            </m:r>
            <m:r>
              <m:rPr>
                <m:sty m:val="p"/>
              </m:rPr>
              <m:t xml:space="preserve">+</m:t>
            </m:r>
            <m:r>
              <m:t xml:space="preserve">θ</m:t>
            </m:r>
            <m:r>
              <m:t xml:space="preserve">W</m:t>
            </m:r>
          </m:e>
        </m:d>
      </m:oMath>
      <w:r>
        <w:rPr>
          <w:b w:val="0"/>
          <w:i w:val="0"/>
        </w:rPr>
        <w:t xml:space="preserve"> for the matrix of impacts, the three quantities that summarise it </w:t>
      </w:r>
      <w:r>
        <w:t>[</w:t>
      </w:r>
      <w:r>
        <w:fldChar w:fldCharType="begin"/>
      </w:r>
      <w:r>
        <w:instrText xml:space="preserve"> REF _Ref_24 \h </w:instrText>
      </w:r>
      <w:r>
        <w:fldChar w:fldCharType="separate"/>
      </w:r>
      <w:r>
        <w:t>24</w:t>
      </w:r>
      <w:r>
        <w:fldChar w:fldCharType="end"/>
      </w:r>
      <w:r>
        <w:t>]</w:t>
      </w:r>
      <w:r>
        <w:rPr>
          <w:b w:val="0"/>
          <w:i w:val="0"/>
        </w:rPr>
        <w:t xml:space="preserve"> are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bar>
                <m:barPr>
                  <m:pos m:val="top"/>
                </m:barPr>
                <m:e>
                  <m:r>
                    <m:t xml:space="preserve">D</m:t>
                  </m:r>
                </m:e>
              </m:bar>
              <m:r>
                <m:rPr>
                  <m:sty m:val="p"/>
                </m:rPr>
                <m:t xml:space="preserve">=</m:t>
              </m:r>
              <m:f>
                <m:num>
                  <m:r>
                    <m:rPr>
                      <m:sty m:val="p"/>
                    </m:rPr>
                    <m:t xml:space="preserve">1</m:t>
                  </m:r>
                </m:num>
                <m:den>
                  <m:r>
                    <m:t xml:space="preserve">N</m:t>
                  </m:r>
                </m:den>
              </m:f>
              <m:r>
                <m:rPr>
                  <m:sty m:val="p"/>
                </m:rPr>
                <m:t xml:space="preserve">tr</m:t>
              </m:r>
              <m:d>
                <m:dPr>
                  <m:begChr m:val="("/>
                  <m:endChr m:val=")"/>
                </m:dPr>
                <m:e>
                  <m:r>
                    <m:t xml:space="preserve">S</m:t>
                  </m:r>
                </m:e>
              </m:d>
              <m:r>
                <m:t xml:space="preserve">,</m:t>
              </m:r>
              <m:r>
                <m:t xml:space="preserve"> </m:t>
              </m:r>
              <m:bar>
                <m:barPr>
                  <m:pos m:val="top"/>
                </m:barPr>
                <m:e>
                  <m:r>
                    <m:t xml:space="preserve">T</m:t>
                  </m:r>
                </m:e>
              </m:bar>
              <m:r>
                <m:rPr>
                  <m:sty m:val="p"/>
                </m:rPr>
                <m:t xml:space="preserve">=</m:t>
              </m:r>
              <m:f>
                <m:num>
                  <m:r>
                    <m:rPr>
                      <m:sty m:val="p"/>
                    </m:rPr>
                    <m:t xml:space="preserve">1</m:t>
                  </m:r>
                </m:num>
                <m:den>
                  <m:r>
                    <m:t xml:space="preserve">N</m:t>
                  </m:r>
                </m:den>
              </m:f>
              <m:nary>
                <m:naryPr>
                  <m:chr m:val="∑"/>
                  <m:limLoc m:val="subSup"/>
                  <m:supHide m:val="1"/>
                </m:naryPr>
                <m:sub>
                  <m:r>
                    <m:t xml:space="preserve">i</m:t>
                  </m:r>
                </m:sub>
                <m:sup/>
                <m:e>
                  <m:nary>
                    <m:naryPr>
                      <m:chr m:val="∑"/>
                      <m:limLoc m:val="subSup"/>
                      <m:supHide m:val="1"/>
                    </m:naryPr>
                    <m:sub>
                      <m:r>
                        <m:t xml:space="preserve">j</m:t>
                      </m:r>
                    </m:sub>
                    <m:sup/>
                    <m:e>
                      <m:sSub>
                        <m:e>
                          <m:r>
                            <m:t xml:space="preserve">s</m:t>
                          </m:r>
                        </m:e>
                        <m:sub>
                          <m:r>
                            <m:t xml:space="preserve">i</m:t>
                          </m:r>
                          <m:r>
                            <m:t xml:space="preserve">j</m:t>
                          </m:r>
                        </m:sub>
                      </m:sSub>
                      <m:r>
                        <m:rPr>
                          <m:sty m:val="p"/>
                        </m:rPr>
                        <m:t xml:space="preserve">=</m:t>
                      </m:r>
                      <m:f>
                        <m:num>
                          <m:r>
                            <m:t xml:space="preserve">β</m:t>
                          </m:r>
                          <m:r>
                            <m:rPr>
                              <m:sty m:val="p"/>
                            </m:rPr>
                            <m:t xml:space="preserve">+</m:t>
                          </m:r>
                          <m:r>
                            <m:t xml:space="preserve">θ</m:t>
                          </m:r>
                        </m:num>
                        <m:den>
                          <m:r>
                            <m:rPr>
                              <m:sty m:val="p"/>
                            </m:rPr>
                            <m:t xml:space="preserve">1</m:t>
                          </m:r>
                          <m:r>
                            <m:rPr>
                              <m:sty m:val="p"/>
                            </m:rPr>
                            <m:t xml:space="preserve">-</m:t>
                          </m:r>
                          <m:r>
                            <m:t xml:space="preserve">ρ</m:t>
                          </m:r>
                        </m:den>
                      </m:f>
                      <m:r>
                        <m:t xml:space="preserve">,</m:t>
                      </m:r>
                      <m:r>
                        <m:t xml:space="preserve"> </m:t>
                      </m:r>
                      <m:bar>
                        <m:barPr>
                          <m:pos m:val="top"/>
                        </m:barPr>
                        <m:e>
                          <m:r>
                            <m:t xml:space="preserve">I</m:t>
                          </m:r>
                        </m:e>
                      </m:bar>
                      <m:r>
                        <m:rPr>
                          <m:sty m:val="p"/>
                        </m:rPr>
                        <m:t xml:space="preserve">=</m:t>
                      </m:r>
                      <m:bar>
                        <m:barPr>
                          <m:pos m:val="top"/>
                        </m:barPr>
                        <m:e>
                          <m:r>
                            <m:t xml:space="preserve">T</m:t>
                          </m:r>
                        </m:e>
                      </m:bar>
                      <m:r>
                        <m:rPr>
                          <m:sty m:val="p"/>
                        </m:rPr>
                        <m:t xml:space="preserve">-</m:t>
                      </m:r>
                      <m:bar>
                        <m:barPr>
                          <m:pos m:val="top"/>
                        </m:barPr>
                        <m:e>
                          <m:r>
                            <m:t xml:space="preserve">D</m:t>
                          </m:r>
                        </m:e>
                      </m:bar>
                      <m:r>
                        <m:t xml:space="preserve">,</m:t>
                      </m:r>
                    </m:e>
                  </m:nary>
                </m:e>
              </m:nary>
            </m:oMath>
          </w:p>
        </w:tc>
        <w:tc>
          <w:tcPr>
            <w:tcW w:type="dxa" w:w="431"/>
            <w:vAlign w:val="center"/>
          </w:tcPr>
          <w:p>
            <w:pPr>
              <w:pStyle w:val="MDPI3aequationnumber"/>
              <w:jc w:val="right"/>
            </w:pPr>
            <w:r>
              <w:t>(4)</w:t>
            </w:r>
          </w:p>
        </w:tc>
      </w:tr>
    </w:tbl>
    <w:p>
      <w:pPr>
        <w:pStyle w:val="MDPI31text"/>
      </w:pPr>
      <w:r>
        <w:rPr>
          <w:b w:val="0"/>
          <w:i w:val="0"/>
        </w:rPr>
        <w:t xml:space="preserve">the average direct, total and indirect impacts. Their ratio </w:t>
      </w:r>
      <m:oMath>
        <m:bar>
          <m:barPr>
            <m:pos m:val="top"/>
          </m:barPr>
          <m:e>
            <m:r>
              <m:t xml:space="preserve">T</m:t>
            </m:r>
          </m:e>
        </m:bar>
        <m:r>
          <m:rPr>
            <m:sty m:val="p"/>
          </m:rPr>
          <m:t xml:space="preserve">/</m:t>
        </m:r>
        <m:bar>
          <m:barPr>
            <m:pos m:val="top"/>
          </m:barPr>
          <m:e>
            <m:r>
              <m:t xml:space="preserve">D</m:t>
            </m:r>
          </m:e>
        </m:bar>
      </m:oMath>
      <w:r>
        <w:rPr>
          <w:b w:val="0"/>
          <w:i w:val="0"/>
        </w:rPr>
        <w:t xml:space="preserve"> is the network multiplier: how much larger the response of the system is than the response of the node. It exceeds one whenever </w:t>
      </w:r>
      <m:oMath>
        <m:r>
          <m:t xml:space="preserve">ρ</m:t>
        </m:r>
      </m:oMath>
      <w:r>
        <w:rPr>
          <w:b w:val="0"/>
          <w:i w:val="0"/>
        </w:rPr>
        <w:t xml:space="preserve"> or </w:t>
      </w:r>
      <m:oMath>
        <m:r>
          <m:t xml:space="preserve">θ</m:t>
        </m:r>
      </m:oMath>
      <w:r>
        <w:rPr>
          <w:b w:val="0"/>
          <w:i w:val="0"/>
        </w:rPr>
        <w:t xml:space="preserve"> is different from zero, and the within-firm design estimates only </w:t>
      </w:r>
      <m:oMath>
        <m:bar>
          <m:barPr>
            <m:pos m:val="top"/>
          </m:barPr>
          <m:e>
            <m:r>
              <m:t xml:space="preserve">D</m:t>
            </m:r>
          </m:e>
        </m:bar>
      </m:oMath>
      <w:r>
        <w:rPr>
          <w:b w:val="0"/>
          <w:i w:val="0"/>
        </w:rPr>
        <w:t>.</w:t>
      </w:r>
    </w:p>
    <w:p>
      <w:pPr>
        <w:pStyle w:val="MDPI22heading2"/>
      </w:pPr>
      <w:r>
        <w:t>2.3. Hypotheses</w:t>
      </w:r>
    </w:p>
    <w:p>
      <w:pPr>
        <w:pStyle w:val="MDPI32textnoindent"/>
      </w:pPr>
      <w:r>
        <w:rPr>
          <w:b w:val="0"/>
          <w:i w:val="0"/>
        </w:rPr>
        <w:t>The argument yields five statements that can be separated in the data.</w:t>
      </w:r>
    </w:p>
    <w:p>
      <w:pPr>
        <w:pStyle w:val="MDPI32textnoindent"/>
        <w:spacing w:before="100" w:after="100"/>
        <w:ind w:left="2948" w:firstLine="0"/>
      </w:pPr>
      <w:r>
        <w:rPr>
          <w:b/>
        </w:rPr>
        <w:t xml:space="preserve">Hypothesis 1 (own displacement). </w:t>
      </w:r>
      <w:r>
        <w:rPr>
          <w:b w:val="0"/>
          <w:i/>
        </w:rPr>
        <w:t>A firm's own generative-AI adoption lowers its youth employment share.</w:t>
      </w:r>
    </w:p>
    <w:p>
      <w:pPr>
        <w:pStyle w:val="MDPI32textnoindent"/>
        <w:spacing w:before="100" w:after="100"/>
        <w:ind w:left="2948" w:firstLine="0"/>
      </w:pPr>
      <w:r>
        <w:rPr>
          <w:b/>
        </w:rPr>
        <w:t xml:space="preserve">Hypothesis 2 (downstream propagation). </w:t>
      </w:r>
      <w:r>
        <w:rPr>
          <w:b w:val="0"/>
          <w:i/>
        </w:rPr>
        <w:t>Adoption by a firm's customers lowers its youth employment share, and does so by more than adoption by its suppliers.</w:t>
      </w:r>
    </w:p>
    <w:p>
      <w:pPr>
        <w:pStyle w:val="MDPI32textnoindent"/>
        <w:spacing w:before="100" w:after="100"/>
        <w:ind w:left="2948" w:firstLine="0"/>
      </w:pPr>
      <w:r>
        <w:rPr>
          <w:b/>
        </w:rPr>
        <w:t xml:space="preserve">Hypothesis 3 (local reallocation). </w:t>
      </w:r>
      <w:r>
        <w:rPr>
          <w:b w:val="0"/>
          <w:i/>
        </w:rPr>
        <w:t>Adoption by other firms in the same local labour market raises a firm's youth employment share, so that the coefficient estimated on city aggregates is smaller in absolute value than the coefficient estimated on firms.</w:t>
      </w:r>
    </w:p>
    <w:p>
      <w:pPr>
        <w:pStyle w:val="MDPI32textnoindent"/>
        <w:spacing w:before="100" w:after="100"/>
        <w:ind w:left="2948" w:firstLine="0"/>
      </w:pPr>
      <w:r>
        <w:rPr>
          <w:b/>
        </w:rPr>
        <w:t xml:space="preserve">Hypothesis 4 (the network multiplier). </w:t>
      </w:r>
      <w:r>
        <w:rPr>
          <w:b w:val="0"/>
          <w:i/>
        </w:rPr>
        <w:t>The total impact of adoption on the youth employment share exceeds the direct impact, so that most of the system-level effect is realised outside the adopting firm.</w:t>
      </w:r>
    </w:p>
    <w:p>
      <w:pPr>
        <w:pStyle w:val="MDPI32textnoindent"/>
        <w:spacing w:before="100" w:after="100"/>
        <w:ind w:left="2948" w:firstLine="0"/>
      </w:pPr>
      <w:r>
        <w:rPr>
          <w:b/>
        </w:rPr>
        <w:t xml:space="preserve">Hypothesis 5 (network signature). </w:t>
      </w:r>
      <w:r>
        <w:rPr>
          <w:b w:val="0"/>
          <w:i/>
        </w:rPr>
        <w:t>Propagation is stronger along relationship-specific links, is not explained by geographic proximity, is larger for young than for experienced workers, and disappears when the network is randomly rewired.</w:t>
      </w:r>
    </w:p>
    <w:p>
      <w:pPr>
        <w:pStyle w:val="MDPI31text"/>
      </w:pPr>
      <w:r>
        <w:rPr>
          <w:b w:val="0"/>
          <w:i w:val="0"/>
        </w:rPr>
        <w:t>Hypotheses 2 and 5 are what separate a network account from its two main competitors. If the estimated spillovers were really a common sectoral or local shock, they would not be concentrated in specific inputs, they would be stronger for nearby partners than for distant ones, and they would survive a random rewiring of the network that leaves every firm's own characteristics untouched. Hypothesis 3 is what separates displacement from reallocation, and it is the reason the firm-level and the market-level coefficients must both be reported.</w:t>
      </w:r>
    </w:p>
    <w:p>
      <w:pPr>
        <w:pStyle w:val="MDPI21heading1"/>
      </w:pPr>
      <w:r>
        <w:t>3. Research Design</w:t>
      </w:r>
    </w:p>
    <w:p>
      <w:pPr>
        <w:pStyle w:val="MDPI22heading2"/>
      </w:pPr>
      <w:r>
        <w:t>3.1. Sample, Network and Data</w:t>
      </w:r>
    </w:p>
    <w:p>
      <w:pPr>
        <w:pStyle w:val="MDPI32textnoindent"/>
      </w:pPr>
      <w:r>
        <w:rPr>
          <w:b w:val="0"/>
          <w:i w:val="0"/>
        </w:rPr>
        <w:t>The sample consists of Chinese A-share firms listed on the Shanghai and Shenzhen exchanges over 2016–2025. The window opens well before the public release of large language models at the end of 2022 and closes with the most recent complete reporting year. Financial firms, firms under special-treatment status, firms with negative equity and firm-years with missing values on the variables used are excluded. Accounting, governance and employment-composition data come from the China Stock Market and Accounting Research (CSMAR) database; annual-report text is taken from the disclosure archives of the two exchanges; city-level macroeconomic series come from the China City Statistical Yearbook. The final panel is unbalanced and contains 26,115 firm-year observations for 2,800 firms in 60 cities and 20 industries. All continuous variables are winsorised at the 1st and 99th percentiles.</w:t>
      </w:r>
    </w:p>
    <w:p>
      <w:pPr>
        <w:pStyle w:val="MDPI31text"/>
      </w:pPr>
      <w:r>
        <w:rPr>
          <w:b w:val="0"/>
          <w:i w:val="0"/>
        </w:rPr>
        <w:t xml:space="preserve">The network comes from a disclosure requirement. Chinese listed firms must report their five largest customers and five largest suppliers together with the share of sales or purchases each accounts for, which gives a weighted, directed firm-to-firm network with up to 10 links per firm and weights that are the disclosed shares. Matching the reported names to the listed universe leaves the links that connect two firms in the sample; the resulting matrices </w:t>
      </w:r>
      <m:oMath>
        <m:sSup>
          <m:e>
            <m:r>
              <m:t xml:space="preserve">W</m:t>
            </m:r>
          </m:e>
          <m:sup>
            <m:r>
              <m:t xml:space="preserve">u</m:t>
            </m:r>
          </m:sup>
        </m:sSup>
      </m:oMath>
      <w:r>
        <w:rPr>
          <w:b w:val="0"/>
          <w:i w:val="0"/>
        </w:rPr>
        <w:t xml:space="preserve"> and </w:t>
      </w:r>
      <m:oMath>
        <m:sSup>
          <m:e>
            <m:r>
              <m:t xml:space="preserve">W</m:t>
            </m:r>
          </m:e>
          <m:sup>
            <m:r>
              <m:t xml:space="preserve">d</m:t>
            </m:r>
          </m:sup>
        </m:sSup>
      </m:oMath>
      <w:r>
        <w:rPr>
          <w:b w:val="0"/>
          <w:i w:val="0"/>
        </w:rPr>
        <w:t xml:space="preserve"> are row-normalised, so each row is a weighted average of a firm's partners. The local labour market matrix </w:t>
      </w:r>
      <m:oMath>
        <m:sSup>
          <m:e>
            <m:r>
              <m:t xml:space="preserve">W</m:t>
            </m:r>
          </m:e>
          <m:sup>
            <m:r>
              <m:t xml:space="preserve">p</m:t>
            </m:r>
          </m:sup>
        </m:sSup>
      </m:oMath>
      <w:r>
        <w:rPr>
          <w:b w:val="0"/>
          <w:i w:val="0"/>
        </w:rPr>
        <w:t xml:space="preserve"> links every pair of firms headquartered in the same city, again row-normalised and with the diagonal set to zero. All three are fixed at their pre-shock (2016–2018) configuration and held constant thereafter, so that a firm cannot respond to the technology by changing whom it trades with — an endogeneity that would otherwise contaminate the network lags.</w:t>
      </w:r>
    </w:p>
    <w:p>
      <w:pPr>
        <w:pStyle w:val="MDPI32textnoindent"/>
        <w:spacing w:before="100" w:after="100"/>
        <w:ind w:left="2948" w:firstLine="0"/>
      </w:pPr>
      <w:r>
        <w:rPr>
          <w:b/>
          <w:sz w:val="18"/>
        </w:rPr>
        <w:t xml:space="preserve">Note on the data used in this version. </w:t>
      </w:r>
      <w:r>
        <w:rPr>
          <w:b w:val="0"/>
          <w:i w:val="0"/>
          <w:sz w:val="18"/>
        </w:rPr>
        <w:t>The estimates reported below are produced by the estimation pipeline released with the paper, run on a synthetic panel and a synthetic network whose marginal moments are matched to the published descriptive statistics of Chinese A-share listed firms and to the degree distribution of disclosed supplier and customer links, and whose structure reproduces the identification problem the design has to solve. The pipeline regenerates every table unchanged in structure once the real extraction is substituted. This paragraph must be removed, and the tables regenerated on the real extraction, before the manuscript is submitted.</w:t>
      </w:r>
    </w:p>
    <w:p>
      <w:pPr>
        <w:pStyle w:val="MDPI22heading2"/>
      </w:pPr>
      <w:r>
        <w:t>3.2. Variables</w:t>
      </w:r>
    </w:p>
    <w:p>
      <w:pPr>
        <w:pStyle w:val="MDPI23heading3"/>
      </w:pPr>
      <w:r>
        <w:t>3.2.1. Youth Employment</w:t>
      </w:r>
    </w:p>
    <w:p>
      <w:pPr>
        <w:pStyle w:val="MDPI32textnoindent"/>
      </w:pPr>
      <w:r>
        <w:rPr>
          <w:b w:val="0"/>
          <w:i w:val="0"/>
        </w:rPr>
        <w:t xml:space="preserve">The dependent variable, </w:t>
      </w:r>
      <m:oMath>
        <m:sSub>
          <m:e>
            <m:r>
              <m:t xml:space="preserve">Y</m:t>
            </m:r>
          </m:e>
          <m:sub>
            <m:r>
              <m:t xml:space="preserve">i</m:t>
            </m:r>
            <m:r>
              <m:t xml:space="preserve">t</m:t>
            </m:r>
          </m:sub>
        </m:sSub>
      </m:oMath>
      <w:r>
        <w:rPr>
          <w:b w:val="0"/>
          <w:i w:val="0"/>
        </w:rPr>
        <w:t xml:space="preserve">, is the share of employees aged 30 or below in firm </w:t>
      </w:r>
      <m:oMath>
        <m:r>
          <m:t xml:space="preserve">i</m:t>
        </m:r>
      </m:oMath>
      <w:r>
        <w:rPr>
          <w:b w:val="0"/>
          <w:i w:val="0"/>
        </w:rPr>
        <w:t xml:space="preserve">'s total workforce in year </w:t>
      </w:r>
      <m:oMath>
        <m:r>
          <m:t xml:space="preserve">t</m:t>
        </m:r>
      </m:oMath>
      <w:r>
        <w:rPr>
          <w:b w:val="0"/>
          <w:i w:val="0"/>
        </w:rPr>
        <w:t xml:space="preserve">, in percentage points, taken from the employee-composition table of the annual report. The threshold follows the definition of youth employment used in Chinese labour-market statistics and in the international evidence on entry conditions </w:t>
      </w:r>
      <w:r>
        <w:t>[</w:t>
      </w:r>
      <w:r>
        <w:fldChar w:fldCharType="begin"/>
      </w:r>
      <w:r>
        <w:instrText xml:space="preserve"> REF _Ref_34 \h </w:instrText>
      </w:r>
      <w:r>
        <w:fldChar w:fldCharType="separate"/>
      </w:r>
      <w:r>
        <w:t>34</w:t>
      </w:r>
      <w:r>
        <w:fldChar w:fldCharType="end"/>
      </w:r>
      <w:r>
        <w:t>,</w:t>
      </w:r>
      <w:r>
        <w:fldChar w:fldCharType="begin"/>
      </w:r>
      <w:r>
        <w:instrText xml:space="preserve"> REF _Ref_36 \h </w:instrText>
      </w:r>
      <w:r>
        <w:fldChar w:fldCharType="separate"/>
      </w:r>
      <w:r>
        <w:t>36</w:t>
      </w:r>
      <w:r>
        <w:fldChar w:fldCharType="end"/>
      </w:r>
      <w:r>
        <w:t>]</w:t>
      </w:r>
      <w:r>
        <w:rPr>
          <w:b w:val="0"/>
          <w:i w:val="0"/>
        </w:rPr>
        <w:t xml:space="preserve">. The comparison outcome throughout is </w:t>
      </w:r>
      <m:oMath>
        <m:sSub>
          <m:e>
            <m:r>
              <m:t xml:space="preserve">X</m:t>
            </m:r>
          </m:e>
          <m:sub>
            <m:r>
              <m:t xml:space="preserve">i</m:t>
            </m:r>
            <m:r>
              <m:t xml:space="preserve">t</m:t>
            </m:r>
          </m:sub>
        </m:sSub>
      </m:oMath>
      <w:r>
        <w:rPr>
          <w:b w:val="0"/>
          <w:i w:val="0"/>
        </w:rPr>
        <w:t>, the share of employees with more than ten years of tenure, which is the experienced margin and is subject to the same demand shocks.</w:t>
      </w:r>
    </w:p>
    <w:p>
      <w:pPr>
        <w:pStyle w:val="MDPI23heading3"/>
      </w:pPr>
      <w:r>
        <w:t>3.2.2. Generative-AI Adoption and its Network Lags</w:t>
      </w:r>
    </w:p>
    <w:p>
      <w:pPr>
        <w:pStyle w:val="MDPI32textnoindent"/>
      </w:pPr>
      <w:r>
        <w:rPr>
          <w:b w:val="0"/>
          <w:i w:val="0"/>
        </w:rPr>
        <w:t xml:space="preserve">Adoption, </w:t>
      </w:r>
      <m:oMath>
        <m:sSub>
          <m:e>
            <m:r>
              <m:t xml:space="preserve">A</m:t>
            </m:r>
          </m:e>
          <m:sub>
            <m:r>
              <m:t xml:space="preserve">i</m:t>
            </m:r>
            <m:r>
              <m:t xml:space="preserve">t</m:t>
            </m:r>
          </m:sub>
        </m:sSub>
      </m:oMath>
      <w:r>
        <w:rPr>
          <w:b w:val="0"/>
          <w:i w:val="0"/>
        </w:rPr>
        <w:t xml:space="preserve">, is measured from the management discussion and analysis section of the annual report as the standardised logarithm of one plus the frequency of generative-AI terms — large language model, generative artificial intelligence, pre-trained model, intelligent assistant, prompt engineering and their Chinese equivalents. Text-based measures of this kind are standard in the firm-level literature on digital technology </w:t>
      </w:r>
      <w:r>
        <w:t>[</w:t>
      </w:r>
      <w:r>
        <w:fldChar w:fldCharType="begin"/>
      </w:r>
      <w:r>
        <w:instrText xml:space="preserve"> REF _Ref_41 \h </w:instrText>
      </w:r>
      <w:r>
        <w:fldChar w:fldCharType="separate"/>
      </w:r>
      <w:r>
        <w:t>41</w:t>
      </w:r>
      <w:r>
        <w:fldChar w:fldCharType="end"/>
      </w:r>
      <w:r>
        <w:t>]</w:t>
      </w:r>
      <w:r>
        <w:rPr>
          <w:b w:val="0"/>
          <w:i w:val="0"/>
        </w:rPr>
        <w:t xml:space="preserve">. The measure is identically zero before 2023, because the vocabulary does not appear in annual reports before the public release of large language models. Its three network lags are constructed as in Equation (1): </w:t>
      </w:r>
      <m:oMath>
        <m:sSubSup>
          <m:e>
            <m:r>
              <m:t xml:space="preserve">A</m:t>
            </m:r>
          </m:e>
          <m:sub>
            <m:r>
              <m:t xml:space="preserve">i</m:t>
            </m:r>
            <m:r>
              <m:t xml:space="preserve">t</m:t>
            </m:r>
          </m:sub>
          <m:sup>
            <m:r>
              <m:t xml:space="preserve">u</m:t>
            </m:r>
          </m:sup>
        </m:sSubSup>
      </m:oMath>
      <w:r>
        <w:rPr>
          <w:b w:val="0"/>
          <w:i w:val="0"/>
        </w:rPr>
        <w:t xml:space="preserve"> is the purchase-weighted average adoption of the firm's suppliers, </w:t>
      </w:r>
      <m:oMath>
        <m:sSubSup>
          <m:e>
            <m:r>
              <m:t xml:space="preserve">A</m:t>
            </m:r>
          </m:e>
          <m:sub>
            <m:r>
              <m:t xml:space="preserve">i</m:t>
            </m:r>
            <m:r>
              <m:t xml:space="preserve">t</m:t>
            </m:r>
          </m:sub>
          <m:sup>
            <m:r>
              <m:t xml:space="preserve">d</m:t>
            </m:r>
          </m:sup>
        </m:sSubSup>
      </m:oMath>
      <w:r>
        <w:rPr>
          <w:b w:val="0"/>
          <w:i w:val="0"/>
        </w:rPr>
        <w:t xml:space="preserve"> the sales-weighted average adoption of its customers, and </w:t>
      </w:r>
      <m:oMath>
        <m:sSubSup>
          <m:e>
            <m:r>
              <m:t xml:space="preserve">A</m:t>
            </m:r>
          </m:e>
          <m:sub>
            <m:r>
              <m:t xml:space="preserve">i</m:t>
            </m:r>
            <m:r>
              <m:t xml:space="preserve">t</m:t>
            </m:r>
          </m:sub>
          <m:sup>
            <m:r>
              <m:t xml:space="preserve">p</m:t>
            </m:r>
          </m:sup>
        </m:sSubSup>
      </m:oMath>
      <w:r>
        <w:rPr>
          <w:b w:val="0"/>
          <w:i w:val="0"/>
        </w:rPr>
        <w:t xml:space="preserve"> the average adoption of other listed firms in the same city. The supply-chain lag </w:t>
      </w:r>
      <m:oMath>
        <m:sSubSup>
          <m:e>
            <m:r>
              <m:t xml:space="preserve">A</m:t>
            </m:r>
          </m:e>
          <m:sub>
            <m:r>
              <m:t xml:space="preserve">i</m:t>
            </m:r>
            <m:r>
              <m:t xml:space="preserve">t</m:t>
            </m:r>
          </m:sub>
          <m:sup>
            <m:r>
              <m:t xml:space="preserve">c</m:t>
            </m:r>
          </m:sup>
        </m:sSubSup>
      </m:oMath>
      <w:r>
        <w:rPr>
          <w:b w:val="0"/>
          <w:i w:val="0"/>
        </w:rPr>
        <w:t xml:space="preserve"> used in the autoregressive model is the average of the first two.</w:t>
      </w:r>
    </w:p>
    <w:p>
      <w:pPr>
        <w:pStyle w:val="MDPI23heading3"/>
      </w:pPr>
      <w:r>
        <w:t>3.2.3. Link Characteristics and Controls</w:t>
      </w:r>
    </w:p>
    <w:p>
      <w:pPr>
        <w:pStyle w:val="MDPI32textnoindent"/>
      </w:pPr>
      <w:r>
        <w:rPr>
          <w:b w:val="0"/>
          <w:i w:val="0"/>
        </w:rPr>
        <w:t xml:space="preserve">Two partitions of the customer weights are used to test the network signature. The first splits links by input specificity, following the propagation literature </w:t>
      </w:r>
      <w:r>
        <w:t>[</w:t>
      </w:r>
      <w:r>
        <w:fldChar w:fldCharType="begin"/>
      </w:r>
      <w:r>
        <w:instrText xml:space="preserve"> REF _Ref_19 \h </w:instrText>
      </w:r>
      <w:r>
        <w:fldChar w:fldCharType="separate"/>
      </w:r>
      <w:r>
        <w:t>19</w:t>
      </w:r>
      <w:r>
        <w:fldChar w:fldCharType="end"/>
      </w:r>
      <w:r>
        <w:t>]</w:t>
      </w:r>
      <w:r>
        <w:rPr>
          <w:b w:val="0"/>
          <w:i w:val="0"/>
        </w:rPr>
        <w:t xml:space="preserve">: a customer relationship is specific when the customer's sector buys differentiated rather than reference-priced inputs. The second splits them by whether the customer is in the same city. Each partition adds back to the full customer lag exactly, so the two components can be entered together and their difference tested. The control vector is the standard one for firm-level employment regressions, augmented with local conditions: firm size, leverage, return on assets, sales growth, cash holdings, firm age, Tobin's </w:t>
      </w:r>
      <m:oMath>
        <m:r>
          <m:t xml:space="preserve">Q</m:t>
        </m:r>
      </m:oMath>
      <w:r>
        <w:rPr>
          <w:b w:val="0"/>
          <w:i w:val="0"/>
        </w:rPr>
        <w:t>, capital intensity, the average wage, analyst coverage, institutional ownership, city output growth and the city youth unemployment rate. Definitions are collected in Table 1.</w:t>
      </w:r>
    </w:p>
    <w:p>
      <w:pPr>
        <w:pStyle w:val="MDPI41tablecaption"/>
        <w:keepNext/>
        <w:spacing w:after="60"/>
      </w:pPr>
      <w:r>
        <w:rPr>
          <w:b/>
          <w:sz w:val="18"/>
        </w:rPr>
        <w:t xml:space="preserve">Table 1. </w:t>
      </w:r>
      <w:r>
        <w:rPr>
          <w:b w:val="0"/>
          <w:i w:val="0"/>
          <w:sz w:val="18"/>
        </w:rPr>
        <w:t>Definitions of variables.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728"/>
        <w:gridCol w:w="6129"/>
      </w:tblGrid>
      <w:tr>
        <w:trPr>
          <w:cantSplit/>
          <w:tblHeader/>
        </w:trPr>
        <w:tc>
          <w:tcPr>
            <w:tcW w:type="dxa" w:w="1728"/>
            <w:tcBorders>
              <w:bottom w:val="single" w:sz="8" w:space="0" w:color="auto"/>
            </w:tcBorders>
          </w:tcPr>
          <w:p>
            <w:pPr>
              <w:pStyle w:val="MDPI42tablebody"/>
              <w:keepNext/>
              <w:spacing w:line="240" w:lineRule="auto" w:before="30" w:after="30"/>
              <w:jc w:val="center"/>
            </w:pPr>
            <w:r>
              <w:rPr>
                <w:b/>
                <w:i w:val="0"/>
                <w:sz w:val="18"/>
              </w:rPr>
              <w:t>Variable</w:t>
            </w:r>
          </w:p>
        </w:tc>
        <w:tc>
          <w:tcPr>
            <w:tcW w:type="dxa" w:w="6129"/>
            <w:tcBorders>
              <w:bottom w:val="single" w:sz="8" w:space="0" w:color="auto"/>
            </w:tcBorders>
          </w:tcPr>
          <w:p>
            <w:pPr>
              <w:pStyle w:val="MDPI42tablebody"/>
              <w:keepNext/>
              <w:spacing w:line="240" w:lineRule="auto" w:before="30" w:after="30"/>
              <w:jc w:val="center"/>
            </w:pPr>
            <w:r>
              <w:rPr>
                <w:b/>
                <w:i w:val="0"/>
                <w:sz w:val="18"/>
              </w:rPr>
              <w:t>Definition</w:t>
            </w:r>
          </w:p>
        </w:tc>
      </w:tr>
      <w:tr>
        <w:trPr>
          <w:cantSplit/>
        </w:trPr>
        <w:tc>
          <w:tcPr>
            <w:tcW w:type="dxa" w:w="7858"/>
            <w:gridSpan w:val="2"/>
          </w:tcPr>
          <w:p>
            <w:pPr>
              <w:pStyle w:val="MDPI42tablebody"/>
              <w:keepNext/>
              <w:spacing w:line="240" w:lineRule="auto" w:before="60" w:after="30"/>
              <w:jc w:val="left"/>
            </w:pPr>
            <w:r>
              <w:rPr>
                <w:b/>
                <w:i/>
                <w:sz w:val="18"/>
              </w:rPr>
              <w:t>Dependent variables</w:t>
            </w:r>
          </w:p>
        </w:tc>
      </w:tr>
      <w:tr>
        <w:trPr>
          <w:cantSplit/>
        </w:trPr>
        <w:tc>
          <w:tcPr>
            <w:tcW w:type="dxa" w:w="1728"/>
          </w:tcPr>
          <w:p>
            <w:pPr>
              <w:pStyle w:val="MDPI42tablebody"/>
              <w:keepNext/>
              <w:spacing w:line="240" w:lineRule="auto" w:before="30" w:after="30"/>
              <w:jc w:val="left"/>
            </w:pPr>
            <w:r>
              <w:rPr>
                <w:b w:val="0"/>
                <w:i/>
                <w:sz w:val="18"/>
              </w:rPr>
              <w:t>Y</w:t>
            </w:r>
          </w:p>
        </w:tc>
        <w:tc>
          <w:tcPr>
            <w:tcW w:type="dxa" w:w="6129"/>
          </w:tcPr>
          <w:p>
            <w:pPr>
              <w:pStyle w:val="MDPI42tablebody"/>
              <w:keepNext/>
              <w:spacing w:line="240" w:lineRule="auto" w:before="30" w:after="30"/>
              <w:jc w:val="left"/>
            </w:pPr>
            <w:r>
              <w:rPr>
                <w:b w:val="0"/>
                <w:i w:val="0"/>
                <w:sz w:val="18"/>
              </w:rPr>
              <w:t>Share of employees aged 30 or below in total employees (%)</w:t>
            </w:r>
          </w:p>
        </w:tc>
      </w:tr>
      <w:tr>
        <w:trPr>
          <w:cantSplit/>
        </w:trPr>
        <w:tc>
          <w:tcPr>
            <w:tcW w:type="dxa" w:w="1728"/>
          </w:tcPr>
          <w:p>
            <w:pPr>
              <w:pStyle w:val="MDPI42tablebody"/>
              <w:keepNext/>
              <w:spacing w:line="240" w:lineRule="auto" w:before="30" w:after="30"/>
              <w:jc w:val="left"/>
            </w:pPr>
            <w:r>
              <w:rPr>
                <w:b w:val="0"/>
                <w:i/>
                <w:sz w:val="18"/>
              </w:rPr>
              <w:t>X</w:t>
            </w:r>
          </w:p>
        </w:tc>
        <w:tc>
          <w:tcPr>
            <w:tcW w:type="dxa" w:w="6129"/>
          </w:tcPr>
          <w:p>
            <w:pPr>
              <w:pStyle w:val="MDPI42tablebody"/>
              <w:keepNext/>
              <w:spacing w:line="240" w:lineRule="auto" w:before="30" w:after="30"/>
              <w:jc w:val="left"/>
            </w:pPr>
            <w:r>
              <w:rPr>
                <w:b w:val="0"/>
                <w:i w:val="0"/>
                <w:sz w:val="18"/>
              </w:rPr>
              <w:t>Share of employees with more than ten years of tenure (%)</w:t>
            </w:r>
          </w:p>
        </w:tc>
      </w:tr>
      <w:tr>
        <w:trPr>
          <w:cantSplit/>
        </w:trPr>
        <w:tc>
          <w:tcPr>
            <w:tcW w:type="dxa" w:w="7858"/>
            <w:gridSpan w:val="2"/>
          </w:tcPr>
          <w:p>
            <w:pPr>
              <w:pStyle w:val="MDPI42tablebody"/>
              <w:keepNext/>
              <w:spacing w:line="240" w:lineRule="auto" w:before="60" w:after="30"/>
              <w:jc w:val="left"/>
            </w:pPr>
            <w:r>
              <w:rPr>
                <w:b/>
                <w:i/>
                <w:sz w:val="18"/>
              </w:rPr>
              <w:t>Adoption and its network lags</w:t>
            </w:r>
          </w:p>
        </w:tc>
      </w:tr>
      <w:tr>
        <w:trPr>
          <w:cantSplit/>
        </w:trPr>
        <w:tc>
          <w:tcPr>
            <w:tcW w:type="dxa" w:w="1728"/>
          </w:tcPr>
          <w:p>
            <w:pPr>
              <w:pStyle w:val="MDPI42tablebody"/>
              <w:keepNext/>
              <w:spacing w:line="240" w:lineRule="auto" w:before="30" w:after="30"/>
              <w:jc w:val="left"/>
            </w:pPr>
            <w:r>
              <w:rPr>
                <w:b w:val="0"/>
                <w:i/>
                <w:sz w:val="18"/>
              </w:rPr>
              <w:t>A</w:t>
            </w:r>
          </w:p>
        </w:tc>
        <w:tc>
          <w:tcPr>
            <w:tcW w:type="dxa" w:w="6129"/>
          </w:tcPr>
          <w:p>
            <w:pPr>
              <w:pStyle w:val="MDPI42tablebody"/>
              <w:keepNext/>
              <w:spacing w:line="240" w:lineRule="auto" w:before="30" w:after="30"/>
              <w:jc w:val="left"/>
            </w:pPr>
            <w:r>
              <w:rPr>
                <w:b w:val="0"/>
                <w:i w:val="0"/>
                <w:sz w:val="18"/>
              </w:rPr>
              <w:t>Generative-AI adoption: standardised logarithm of one plus the frequency of generative-AI terms in the management discussion and analysis section of the annual report</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u</w:t>
            </w:r>
          </w:p>
        </w:tc>
        <w:tc>
          <w:tcPr>
            <w:tcW w:type="dxa" w:w="6129"/>
          </w:tcPr>
          <w:p>
            <w:pPr>
              <w:pStyle w:val="MDPI42tablebody"/>
              <w:keepNext/>
              <w:spacing w:line="240" w:lineRule="auto" w:before="30" w:after="30"/>
              <w:jc w:val="left"/>
            </w:pPr>
            <w:r>
              <w:rPr>
                <w:b w:val="0"/>
                <w:i w:val="0"/>
                <w:sz w:val="18"/>
              </w:rPr>
              <w:t>Purchase-weighted average adoption of the firm's disclosed suppliers</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d</w:t>
            </w:r>
          </w:p>
        </w:tc>
        <w:tc>
          <w:tcPr>
            <w:tcW w:type="dxa" w:w="6129"/>
          </w:tcPr>
          <w:p>
            <w:pPr>
              <w:pStyle w:val="MDPI42tablebody"/>
              <w:keepNext/>
              <w:spacing w:line="240" w:lineRule="auto" w:before="30" w:after="30"/>
              <w:jc w:val="left"/>
            </w:pPr>
            <w:r>
              <w:rPr>
                <w:b w:val="0"/>
                <w:i w:val="0"/>
                <w:sz w:val="18"/>
              </w:rPr>
              <w:t>Sales-weighted average adoption of the firm's disclosed customers</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p</w:t>
            </w:r>
          </w:p>
        </w:tc>
        <w:tc>
          <w:tcPr>
            <w:tcW w:type="dxa" w:w="6129"/>
          </w:tcPr>
          <w:p>
            <w:pPr>
              <w:pStyle w:val="MDPI42tablebody"/>
              <w:keepNext/>
              <w:spacing w:line="240" w:lineRule="auto" w:before="30" w:after="30"/>
              <w:jc w:val="left"/>
            </w:pPr>
            <w:r>
              <w:rPr>
                <w:b w:val="0"/>
                <w:i w:val="0"/>
                <w:sz w:val="18"/>
              </w:rPr>
              <w:t>Average adoption of the other listed firms headquartered in the same city</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c</w:t>
            </w:r>
          </w:p>
        </w:tc>
        <w:tc>
          <w:tcPr>
            <w:tcW w:type="dxa" w:w="6129"/>
          </w:tcPr>
          <w:p>
            <w:pPr>
              <w:pStyle w:val="MDPI42tablebody"/>
              <w:keepNext/>
              <w:spacing w:line="240" w:lineRule="auto" w:before="30" w:after="30"/>
              <w:jc w:val="left"/>
            </w:pPr>
            <w:r>
              <w:rPr>
                <w:b w:val="0"/>
                <w:i w:val="0"/>
                <w:sz w:val="18"/>
              </w:rPr>
              <w:t>Supply-chain lag: the average of the supplier and customer lags, used in the network autoregressive model</w:t>
            </w:r>
          </w:p>
        </w:tc>
      </w:tr>
      <w:tr>
        <w:trPr>
          <w:cantSplit/>
        </w:trPr>
        <w:tc>
          <w:tcPr>
            <w:tcW w:type="dxa" w:w="1728"/>
          </w:tcPr>
          <w:p>
            <w:pPr>
              <w:pStyle w:val="MDPI42tablebody"/>
              <w:keepNext/>
              <w:spacing w:line="240" w:lineRule="auto" w:before="30" w:after="30"/>
              <w:jc w:val="left"/>
            </w:pPr>
            <w:r>
              <w:rPr>
                <w:b w:val="0"/>
                <w:i/>
                <w:sz w:val="18"/>
              </w:rPr>
              <w:t>WY</w:t>
            </w:r>
          </w:p>
        </w:tc>
        <w:tc>
          <w:tcPr>
            <w:tcW w:type="dxa" w:w="6129"/>
          </w:tcPr>
          <w:p>
            <w:pPr>
              <w:pStyle w:val="MDPI42tablebody"/>
              <w:keepNext/>
              <w:spacing w:line="240" w:lineRule="auto" w:before="30" w:after="30"/>
              <w:jc w:val="left"/>
            </w:pPr>
            <w:r>
              <w:rPr>
                <w:b w:val="0"/>
                <w:i w:val="0"/>
                <w:sz w:val="18"/>
              </w:rPr>
              <w:t>Network lag of the dependent variable: the same weighted average of the youth employment shares of the firm's supply-chain partners</w:t>
            </w:r>
          </w:p>
        </w:tc>
      </w:tr>
      <w:tr>
        <w:trPr>
          <w:cantSplit/>
        </w:trPr>
        <w:tc>
          <w:tcPr>
            <w:tcW w:type="dxa" w:w="7858"/>
            <w:gridSpan w:val="2"/>
          </w:tcPr>
          <w:p>
            <w:pPr>
              <w:pStyle w:val="MDPI42tablebody"/>
              <w:keepNext/>
              <w:spacing w:line="240" w:lineRule="auto" w:before="60" w:after="30"/>
              <w:jc w:val="left"/>
            </w:pPr>
            <w:r>
              <w:rPr>
                <w:b/>
                <w:i/>
                <w:sz w:val="18"/>
              </w:rPr>
              <w:t>Partitions of the customer lag</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d</w:t>
            </w:r>
            <w:r>
              <w:rPr>
                <w:b w:val="0"/>
                <w:i/>
                <w:sz w:val="18"/>
              </w:rPr>
              <w:t>(specific)</w:t>
            </w:r>
          </w:p>
        </w:tc>
        <w:tc>
          <w:tcPr>
            <w:tcW w:type="dxa" w:w="6129"/>
          </w:tcPr>
          <w:p>
            <w:pPr>
              <w:pStyle w:val="MDPI42tablebody"/>
              <w:keepNext/>
              <w:spacing w:line="240" w:lineRule="auto" w:before="30" w:after="30"/>
              <w:jc w:val="left"/>
            </w:pPr>
            <w:r>
              <w:rPr>
                <w:b w:val="0"/>
                <w:i w:val="0"/>
                <w:sz w:val="18"/>
              </w:rPr>
              <w:t>Customer lag restricted to customers whose sector buys differentiated rather than reference-priced inputs</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d</w:t>
            </w:r>
            <w:r>
              <w:rPr>
                <w:b w:val="0"/>
                <w:i/>
                <w:sz w:val="18"/>
              </w:rPr>
              <w:t>(generic)</w:t>
            </w:r>
          </w:p>
        </w:tc>
        <w:tc>
          <w:tcPr>
            <w:tcW w:type="dxa" w:w="6129"/>
          </w:tcPr>
          <w:p>
            <w:pPr>
              <w:pStyle w:val="MDPI42tablebody"/>
              <w:keepNext/>
              <w:spacing w:line="240" w:lineRule="auto" w:before="30" w:after="30"/>
              <w:jc w:val="left"/>
            </w:pPr>
            <w:r>
              <w:rPr>
                <w:b w:val="0"/>
                <w:i w:val="0"/>
                <w:sz w:val="18"/>
              </w:rPr>
              <w:t>Customer lag restricted to the remaining customers</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d</w:t>
            </w:r>
            <w:r>
              <w:rPr>
                <w:b w:val="0"/>
                <w:i/>
                <w:sz w:val="18"/>
              </w:rPr>
              <w:t>(same city)</w:t>
            </w:r>
          </w:p>
        </w:tc>
        <w:tc>
          <w:tcPr>
            <w:tcW w:type="dxa" w:w="6129"/>
          </w:tcPr>
          <w:p>
            <w:pPr>
              <w:pStyle w:val="MDPI42tablebody"/>
              <w:keepNext/>
              <w:spacing w:line="240" w:lineRule="auto" w:before="30" w:after="30"/>
              <w:jc w:val="left"/>
            </w:pPr>
            <w:r>
              <w:rPr>
                <w:b w:val="0"/>
                <w:i w:val="0"/>
                <w:sz w:val="18"/>
              </w:rPr>
              <w:t>Customer lag restricted to customers headquartered in the firm's own city</w:t>
            </w:r>
          </w:p>
        </w:tc>
      </w:tr>
      <w:tr>
        <w:trPr>
          <w:cantSplit/>
        </w:trPr>
        <w:tc>
          <w:tcPr>
            <w:tcW w:type="dxa" w:w="1728"/>
          </w:tcPr>
          <w:p>
            <w:pPr>
              <w:pStyle w:val="MDPI42tablebody"/>
              <w:keepNext/>
              <w:spacing w:line="240" w:lineRule="auto" w:before="30" w:after="30"/>
              <w:jc w:val="left"/>
            </w:pPr>
            <w:r>
              <w:rPr>
                <w:b w:val="0"/>
                <w:i/>
                <w:sz w:val="18"/>
              </w:rPr>
              <w:t>A</w:t>
            </w:r>
            <w:r>
              <w:rPr>
                <w:b w:val="0"/>
                <w:i/>
                <w:sz w:val="18"/>
                <w:vertAlign w:val="superscript"/>
              </w:rPr>
              <w:t>d</w:t>
            </w:r>
            <w:r>
              <w:rPr>
                <w:b w:val="0"/>
                <w:i/>
                <w:sz w:val="18"/>
              </w:rPr>
              <w:t>(other city)</w:t>
            </w:r>
          </w:p>
        </w:tc>
        <w:tc>
          <w:tcPr>
            <w:tcW w:type="dxa" w:w="6129"/>
          </w:tcPr>
          <w:p>
            <w:pPr>
              <w:pStyle w:val="MDPI42tablebody"/>
              <w:keepNext/>
              <w:spacing w:line="240" w:lineRule="auto" w:before="30" w:after="30"/>
              <w:jc w:val="left"/>
            </w:pPr>
            <w:r>
              <w:rPr>
                <w:b w:val="0"/>
                <w:i w:val="0"/>
                <w:sz w:val="18"/>
              </w:rPr>
              <w:t>Customer lag restricted to the remaining customers</w:t>
            </w:r>
          </w:p>
        </w:tc>
      </w:tr>
      <w:tr>
        <w:trPr>
          <w:cantSplit/>
        </w:trPr>
        <w:tc>
          <w:tcPr>
            <w:tcW w:type="dxa" w:w="7858"/>
            <w:gridSpan w:val="2"/>
          </w:tcPr>
          <w:p>
            <w:pPr>
              <w:pStyle w:val="MDPI42tablebody"/>
              <w:keepNext/>
              <w:spacing w:line="240" w:lineRule="auto" w:before="60" w:after="30"/>
              <w:jc w:val="left"/>
            </w:pPr>
            <w:r>
              <w:rPr>
                <w:b/>
                <w:i/>
                <w:sz w:val="18"/>
              </w:rPr>
              <w:t>Control variables</w:t>
            </w:r>
          </w:p>
        </w:tc>
      </w:tr>
      <w:tr>
        <w:trPr>
          <w:cantSplit/>
        </w:trPr>
        <w:tc>
          <w:tcPr>
            <w:tcW w:type="dxa" w:w="1728"/>
          </w:tcPr>
          <w:p>
            <w:pPr>
              <w:pStyle w:val="MDPI42tablebody"/>
              <w:keepNext/>
              <w:spacing w:line="240" w:lineRule="auto" w:before="30" w:after="30"/>
              <w:jc w:val="left"/>
            </w:pPr>
            <w:r>
              <w:rPr>
                <w:b w:val="0"/>
                <w:i/>
                <w:sz w:val="18"/>
              </w:rPr>
              <w:t>Size</w:t>
            </w:r>
          </w:p>
        </w:tc>
        <w:tc>
          <w:tcPr>
            <w:tcW w:type="dxa" w:w="6129"/>
          </w:tcPr>
          <w:p>
            <w:pPr>
              <w:pStyle w:val="MDPI42tablebody"/>
              <w:keepNext/>
              <w:spacing w:line="240" w:lineRule="auto" w:before="30" w:after="30"/>
              <w:jc w:val="left"/>
            </w:pPr>
            <w:r>
              <w:rPr>
                <w:b w:val="0"/>
                <w:i w:val="0"/>
                <w:sz w:val="18"/>
              </w:rPr>
              <w:t>Natural logarithm of total assets</w:t>
            </w:r>
          </w:p>
        </w:tc>
      </w:tr>
      <w:tr>
        <w:trPr>
          <w:cantSplit/>
        </w:trPr>
        <w:tc>
          <w:tcPr>
            <w:tcW w:type="dxa" w:w="1728"/>
          </w:tcPr>
          <w:p>
            <w:pPr>
              <w:pStyle w:val="MDPI42tablebody"/>
              <w:keepNext/>
              <w:spacing w:line="240" w:lineRule="auto" w:before="30" w:after="30"/>
              <w:jc w:val="left"/>
            </w:pPr>
            <w:r>
              <w:rPr>
                <w:b w:val="0"/>
                <w:i/>
                <w:sz w:val="18"/>
              </w:rPr>
              <w:t>Lev</w:t>
            </w:r>
          </w:p>
        </w:tc>
        <w:tc>
          <w:tcPr>
            <w:tcW w:type="dxa" w:w="6129"/>
          </w:tcPr>
          <w:p>
            <w:pPr>
              <w:pStyle w:val="MDPI42tablebody"/>
              <w:keepNext/>
              <w:spacing w:line="240" w:lineRule="auto" w:before="30" w:after="30"/>
              <w:jc w:val="left"/>
            </w:pPr>
            <w:r>
              <w:rPr>
                <w:b w:val="0"/>
                <w:i w:val="0"/>
                <w:sz w:val="18"/>
              </w:rPr>
              <w:t>Total liabilities divided by total assets</w:t>
            </w:r>
          </w:p>
        </w:tc>
      </w:tr>
      <w:tr>
        <w:trPr>
          <w:cantSplit/>
        </w:trPr>
        <w:tc>
          <w:tcPr>
            <w:tcW w:type="dxa" w:w="1728"/>
          </w:tcPr>
          <w:p>
            <w:pPr>
              <w:pStyle w:val="MDPI42tablebody"/>
              <w:keepNext/>
              <w:spacing w:line="240" w:lineRule="auto" w:before="30" w:after="30"/>
              <w:jc w:val="left"/>
            </w:pPr>
            <w:r>
              <w:rPr>
                <w:b w:val="0"/>
                <w:i/>
                <w:sz w:val="18"/>
              </w:rPr>
              <w:t>ROA</w:t>
            </w:r>
          </w:p>
        </w:tc>
        <w:tc>
          <w:tcPr>
            <w:tcW w:type="dxa" w:w="6129"/>
          </w:tcPr>
          <w:p>
            <w:pPr>
              <w:pStyle w:val="MDPI42tablebody"/>
              <w:keepNext/>
              <w:spacing w:line="240" w:lineRule="auto" w:before="30" w:after="30"/>
              <w:jc w:val="left"/>
            </w:pPr>
            <w:r>
              <w:rPr>
                <w:b w:val="0"/>
                <w:i w:val="0"/>
                <w:sz w:val="18"/>
              </w:rPr>
              <w:t>Net profit divided by total assets</w:t>
            </w:r>
          </w:p>
        </w:tc>
      </w:tr>
      <w:tr>
        <w:trPr>
          <w:cantSplit/>
        </w:trPr>
        <w:tc>
          <w:tcPr>
            <w:tcW w:type="dxa" w:w="1728"/>
          </w:tcPr>
          <w:p>
            <w:pPr>
              <w:pStyle w:val="MDPI42tablebody"/>
              <w:keepNext/>
              <w:spacing w:line="240" w:lineRule="auto" w:before="30" w:after="30"/>
              <w:jc w:val="left"/>
            </w:pPr>
            <w:r>
              <w:rPr>
                <w:b w:val="0"/>
                <w:i/>
                <w:sz w:val="18"/>
              </w:rPr>
              <w:t>Growth</w:t>
            </w:r>
          </w:p>
        </w:tc>
        <w:tc>
          <w:tcPr>
            <w:tcW w:type="dxa" w:w="6129"/>
          </w:tcPr>
          <w:p>
            <w:pPr>
              <w:pStyle w:val="MDPI42tablebody"/>
              <w:keepNext/>
              <w:spacing w:line="240" w:lineRule="auto" w:before="30" w:after="30"/>
              <w:jc w:val="left"/>
            </w:pPr>
            <w:r>
              <w:rPr>
                <w:b w:val="0"/>
                <w:i w:val="0"/>
                <w:sz w:val="18"/>
              </w:rPr>
              <w:t>Year-on-year growth rate of operating revenue</w:t>
            </w:r>
          </w:p>
        </w:tc>
      </w:tr>
      <w:tr>
        <w:trPr>
          <w:cantSplit/>
        </w:trPr>
        <w:tc>
          <w:tcPr>
            <w:tcW w:type="dxa" w:w="1728"/>
          </w:tcPr>
          <w:p>
            <w:pPr>
              <w:pStyle w:val="MDPI42tablebody"/>
              <w:keepNext/>
              <w:spacing w:line="240" w:lineRule="auto" w:before="30" w:after="30"/>
              <w:jc w:val="left"/>
            </w:pPr>
            <w:r>
              <w:rPr>
                <w:b w:val="0"/>
                <w:i/>
                <w:sz w:val="18"/>
              </w:rPr>
              <w:t>Cash</w:t>
            </w:r>
          </w:p>
        </w:tc>
        <w:tc>
          <w:tcPr>
            <w:tcW w:type="dxa" w:w="6129"/>
          </w:tcPr>
          <w:p>
            <w:pPr>
              <w:pStyle w:val="MDPI42tablebody"/>
              <w:keepNext/>
              <w:spacing w:line="240" w:lineRule="auto" w:before="30" w:after="30"/>
              <w:jc w:val="left"/>
            </w:pPr>
            <w:r>
              <w:rPr>
                <w:b w:val="0"/>
                <w:i w:val="0"/>
                <w:sz w:val="18"/>
              </w:rPr>
              <w:t>Cash and cash equivalents divided by total assets</w:t>
            </w:r>
          </w:p>
        </w:tc>
      </w:tr>
      <w:tr>
        <w:trPr>
          <w:cantSplit/>
        </w:trPr>
        <w:tc>
          <w:tcPr>
            <w:tcW w:type="dxa" w:w="1728"/>
          </w:tcPr>
          <w:p>
            <w:pPr>
              <w:pStyle w:val="MDPI42tablebody"/>
              <w:keepNext/>
              <w:spacing w:line="240" w:lineRule="auto" w:before="30" w:after="30"/>
              <w:jc w:val="left"/>
            </w:pPr>
            <w:r>
              <w:rPr>
                <w:b w:val="0"/>
                <w:i/>
                <w:sz w:val="18"/>
              </w:rPr>
              <w:t>Age</w:t>
            </w:r>
          </w:p>
        </w:tc>
        <w:tc>
          <w:tcPr>
            <w:tcW w:type="dxa" w:w="6129"/>
          </w:tcPr>
          <w:p>
            <w:pPr>
              <w:pStyle w:val="MDPI42tablebody"/>
              <w:keepNext/>
              <w:spacing w:line="240" w:lineRule="auto" w:before="30" w:after="30"/>
              <w:jc w:val="left"/>
            </w:pPr>
            <w:r>
              <w:rPr>
                <w:b w:val="0"/>
                <w:i w:val="0"/>
                <w:sz w:val="18"/>
              </w:rPr>
              <w:t>Natural logarithm of one plus the number of years since the firm was founded</w:t>
            </w:r>
          </w:p>
        </w:tc>
      </w:tr>
      <w:tr>
        <w:trPr>
          <w:cantSplit/>
        </w:trPr>
        <w:tc>
          <w:tcPr>
            <w:tcW w:type="dxa" w:w="1728"/>
          </w:tcPr>
          <w:p>
            <w:pPr>
              <w:pStyle w:val="MDPI42tablebody"/>
              <w:keepNext/>
              <w:spacing w:line="240" w:lineRule="auto" w:before="30" w:after="30"/>
              <w:jc w:val="left"/>
            </w:pPr>
            <w:r>
              <w:rPr>
                <w:b w:val="0"/>
                <w:i/>
                <w:sz w:val="18"/>
              </w:rPr>
              <w:t>TobinQ</w:t>
            </w:r>
          </w:p>
        </w:tc>
        <w:tc>
          <w:tcPr>
            <w:tcW w:type="dxa" w:w="6129"/>
          </w:tcPr>
          <w:p>
            <w:pPr>
              <w:pStyle w:val="MDPI42tablebody"/>
              <w:keepNext/>
              <w:spacing w:line="240" w:lineRule="auto" w:before="30" w:after="30"/>
              <w:jc w:val="left"/>
            </w:pPr>
            <w:r>
              <w:rPr>
                <w:b w:val="0"/>
                <w:i w:val="0"/>
                <w:sz w:val="18"/>
              </w:rPr>
              <w:t>Market value divided by the replacement cost of assets</w:t>
            </w:r>
          </w:p>
        </w:tc>
      </w:tr>
      <w:tr>
        <w:trPr>
          <w:cantSplit/>
        </w:trPr>
        <w:tc>
          <w:tcPr>
            <w:tcW w:type="dxa" w:w="1728"/>
          </w:tcPr>
          <w:p>
            <w:pPr>
              <w:pStyle w:val="MDPI42tablebody"/>
              <w:keepNext/>
              <w:spacing w:line="240" w:lineRule="auto" w:before="30" w:after="30"/>
              <w:jc w:val="left"/>
            </w:pPr>
            <w:r>
              <w:rPr>
                <w:b w:val="0"/>
                <w:i/>
                <w:sz w:val="18"/>
              </w:rPr>
              <w:t>CapInt</w:t>
            </w:r>
          </w:p>
        </w:tc>
        <w:tc>
          <w:tcPr>
            <w:tcW w:type="dxa" w:w="6129"/>
          </w:tcPr>
          <w:p>
            <w:pPr>
              <w:pStyle w:val="MDPI42tablebody"/>
              <w:keepNext/>
              <w:spacing w:line="240" w:lineRule="auto" w:before="30" w:after="30"/>
              <w:jc w:val="left"/>
            </w:pPr>
            <w:r>
              <w:rPr>
                <w:b w:val="0"/>
                <w:i w:val="0"/>
                <w:sz w:val="18"/>
              </w:rPr>
              <w:t>Natural logarithm of net fixed assets per employee</w:t>
            </w:r>
          </w:p>
        </w:tc>
      </w:tr>
      <w:tr>
        <w:trPr>
          <w:cantSplit/>
        </w:trPr>
        <w:tc>
          <w:tcPr>
            <w:tcW w:type="dxa" w:w="1728"/>
          </w:tcPr>
          <w:p>
            <w:pPr>
              <w:pStyle w:val="MDPI42tablebody"/>
              <w:keepNext/>
              <w:spacing w:line="240" w:lineRule="auto" w:before="30" w:after="30"/>
              <w:jc w:val="left"/>
            </w:pPr>
            <w:r>
              <w:rPr>
                <w:b w:val="0"/>
                <w:i/>
                <w:sz w:val="18"/>
              </w:rPr>
              <w:t>Wage</w:t>
            </w:r>
          </w:p>
        </w:tc>
        <w:tc>
          <w:tcPr>
            <w:tcW w:type="dxa" w:w="6129"/>
          </w:tcPr>
          <w:p>
            <w:pPr>
              <w:pStyle w:val="MDPI42tablebody"/>
              <w:keepNext/>
              <w:spacing w:line="240" w:lineRule="auto" w:before="30" w:after="30"/>
              <w:jc w:val="left"/>
            </w:pPr>
            <w:r>
              <w:rPr>
                <w:b w:val="0"/>
                <w:i w:val="0"/>
                <w:sz w:val="18"/>
              </w:rPr>
              <w:t>Natural logarithm of cash paid to and on behalf of employees divided by the number of employees</w:t>
            </w:r>
          </w:p>
        </w:tc>
      </w:tr>
      <w:tr>
        <w:trPr>
          <w:cantSplit/>
        </w:trPr>
        <w:tc>
          <w:tcPr>
            <w:tcW w:type="dxa" w:w="1728"/>
          </w:tcPr>
          <w:p>
            <w:pPr>
              <w:pStyle w:val="MDPI42tablebody"/>
              <w:keepNext/>
              <w:spacing w:line="240" w:lineRule="auto" w:before="30" w:after="30"/>
              <w:jc w:val="left"/>
            </w:pPr>
            <w:r>
              <w:rPr>
                <w:b w:val="0"/>
                <w:i/>
                <w:sz w:val="18"/>
              </w:rPr>
              <w:t>Analyst</w:t>
            </w:r>
          </w:p>
        </w:tc>
        <w:tc>
          <w:tcPr>
            <w:tcW w:type="dxa" w:w="6129"/>
          </w:tcPr>
          <w:p>
            <w:pPr>
              <w:pStyle w:val="MDPI42tablebody"/>
              <w:keepNext/>
              <w:spacing w:line="240" w:lineRule="auto" w:before="30" w:after="30"/>
              <w:jc w:val="left"/>
            </w:pPr>
            <w:r>
              <w:rPr>
                <w:b w:val="0"/>
                <w:i w:val="0"/>
                <w:sz w:val="18"/>
              </w:rPr>
              <w:t>Natural logarithm of one plus the number of analysts issuing an earnings forecast for the firm in the year</w:t>
            </w:r>
          </w:p>
        </w:tc>
      </w:tr>
      <w:tr>
        <w:trPr>
          <w:cantSplit/>
        </w:trPr>
        <w:tc>
          <w:tcPr>
            <w:tcW w:type="dxa" w:w="1728"/>
          </w:tcPr>
          <w:p>
            <w:pPr>
              <w:pStyle w:val="MDPI42tablebody"/>
              <w:keepNext/>
              <w:spacing w:line="240" w:lineRule="auto" w:before="30" w:after="30"/>
              <w:jc w:val="left"/>
            </w:pPr>
            <w:r>
              <w:rPr>
                <w:b w:val="0"/>
                <w:i/>
                <w:sz w:val="18"/>
              </w:rPr>
              <w:t>InstOwn</w:t>
            </w:r>
          </w:p>
        </w:tc>
        <w:tc>
          <w:tcPr>
            <w:tcW w:type="dxa" w:w="6129"/>
          </w:tcPr>
          <w:p>
            <w:pPr>
              <w:pStyle w:val="MDPI42tablebody"/>
              <w:keepNext/>
              <w:spacing w:line="240" w:lineRule="auto" w:before="30" w:after="30"/>
              <w:jc w:val="left"/>
            </w:pPr>
            <w:r>
              <w:rPr>
                <w:b w:val="0"/>
                <w:i w:val="0"/>
                <w:sz w:val="18"/>
              </w:rPr>
              <w:t>Share of shares held by institutional investors</w:t>
            </w:r>
          </w:p>
        </w:tc>
      </w:tr>
      <w:tr>
        <w:trPr>
          <w:cantSplit/>
        </w:trPr>
        <w:tc>
          <w:tcPr>
            <w:tcW w:type="dxa" w:w="1728"/>
          </w:tcPr>
          <w:p>
            <w:pPr>
              <w:pStyle w:val="MDPI42tablebody"/>
              <w:keepNext/>
              <w:spacing w:line="240" w:lineRule="auto" w:before="30" w:after="30"/>
              <w:jc w:val="left"/>
            </w:pPr>
            <w:r>
              <w:rPr>
                <w:b w:val="0"/>
                <w:i/>
                <w:sz w:val="18"/>
              </w:rPr>
              <w:t>GDPg</w:t>
            </w:r>
          </w:p>
        </w:tc>
        <w:tc>
          <w:tcPr>
            <w:tcW w:type="dxa" w:w="6129"/>
          </w:tcPr>
          <w:p>
            <w:pPr>
              <w:pStyle w:val="MDPI42tablebody"/>
              <w:keepNext/>
              <w:spacing w:line="240" w:lineRule="auto" w:before="30" w:after="30"/>
              <w:jc w:val="left"/>
            </w:pPr>
            <w:r>
              <w:rPr>
                <w:b w:val="0"/>
                <w:i w:val="0"/>
                <w:sz w:val="18"/>
              </w:rPr>
              <w:t>Real growth rate of city gross domestic product (%)</w:t>
            </w:r>
          </w:p>
        </w:tc>
      </w:tr>
      <w:tr>
        <w:trPr>
          <w:cantSplit/>
        </w:trPr>
        <w:tc>
          <w:tcPr>
            <w:tcW w:type="dxa" w:w="1728"/>
          </w:tcPr>
          <w:p>
            <w:pPr>
              <w:pStyle w:val="MDPI42tablebody"/>
              <w:keepNext/>
              <w:spacing w:line="240" w:lineRule="auto" w:before="30" w:after="30"/>
              <w:jc w:val="left"/>
            </w:pPr>
            <w:r>
              <w:rPr>
                <w:b w:val="0"/>
                <w:i/>
                <w:sz w:val="18"/>
              </w:rPr>
              <w:t>YouthU</w:t>
            </w:r>
          </w:p>
        </w:tc>
        <w:tc>
          <w:tcPr>
            <w:tcW w:type="dxa" w:w="6129"/>
          </w:tcPr>
          <w:p>
            <w:pPr>
              <w:pStyle w:val="MDPI42tablebody"/>
              <w:keepNext/>
              <w:spacing w:line="240" w:lineRule="auto" w:before="30" w:after="30"/>
              <w:jc w:val="left"/>
            </w:pPr>
            <w:r>
              <w:rPr>
                <w:b w:val="0"/>
                <w:i w:val="0"/>
                <w:sz w:val="18"/>
              </w:rPr>
              <w:t>City surveyed unemployment rate of the population aged 16 to 24 (%)</w:t>
            </w:r>
          </w:p>
        </w:tc>
      </w:tr>
      <w:tr>
        <w:trPr>
          <w:cantSplit/>
        </w:trPr>
        <w:tc>
          <w:tcPr>
            <w:tcW w:type="dxa" w:w="7858"/>
            <w:gridSpan w:val="2"/>
          </w:tcPr>
          <w:p>
            <w:pPr>
              <w:pStyle w:val="MDPI42tablebody"/>
              <w:keepNext/>
              <w:spacing w:line="240" w:lineRule="auto" w:before="60" w:after="30"/>
              <w:jc w:val="left"/>
            </w:pPr>
            <w:r>
              <w:rPr>
                <w:b/>
                <w:i/>
                <w:sz w:val="18"/>
              </w:rPr>
              <w:t>Instruments</w:t>
            </w:r>
          </w:p>
        </w:tc>
      </w:tr>
      <w:tr>
        <w:trPr>
          <w:cantSplit/>
        </w:trPr>
        <w:tc>
          <w:tcPr>
            <w:tcW w:type="dxa" w:w="1728"/>
          </w:tcPr>
          <w:p>
            <w:pPr>
              <w:pStyle w:val="MDPI42tablebody"/>
              <w:keepNext/>
              <w:spacing w:line="240" w:lineRule="auto" w:before="30" w:after="30"/>
              <w:jc w:val="left"/>
            </w:pPr>
            <w:r>
              <w:rPr>
                <w:b w:val="0"/>
                <w:i/>
                <w:sz w:val="18"/>
              </w:rPr>
              <w:t>W</w:t>
            </w:r>
            <w:r>
              <w:rPr>
                <w:b w:val="0"/>
                <w:i/>
                <w:sz w:val="18"/>
                <w:vertAlign w:val="superscript"/>
              </w:rPr>
              <w:t>2</w:t>
            </w:r>
            <w:r>
              <w:rPr>
                <w:b w:val="0"/>
                <w:i/>
                <w:sz w:val="18"/>
              </w:rPr>
              <w:t>A, W</w:t>
            </w:r>
            <w:r>
              <w:rPr>
                <w:b w:val="0"/>
                <w:i/>
                <w:sz w:val="18"/>
                <w:vertAlign w:val="superscript"/>
              </w:rPr>
              <w:t>3</w:t>
            </w:r>
            <w:r>
              <w:rPr>
                <w:b w:val="0"/>
                <w:i/>
                <w:sz w:val="18"/>
              </w:rPr>
              <w:t>A</w:t>
            </w:r>
          </w:p>
        </w:tc>
        <w:tc>
          <w:tcPr>
            <w:tcW w:type="dxa" w:w="6129"/>
          </w:tcPr>
          <w:p>
            <w:pPr>
              <w:pStyle w:val="MDPI42tablebody"/>
              <w:keepNext/>
              <w:spacing w:line="240" w:lineRule="auto" w:before="30" w:after="30"/>
              <w:jc w:val="left"/>
            </w:pPr>
            <w:r>
              <w:rPr>
                <w:b w:val="0"/>
                <w:i w:val="0"/>
                <w:sz w:val="18"/>
              </w:rPr>
              <w:t>Second- and third-order network lags of adoption, excluded from the own equation because the network contains intransitive triads</w:t>
            </w:r>
          </w:p>
        </w:tc>
      </w:tr>
      <w:tr>
        <w:trPr>
          <w:cantSplit/>
        </w:trPr>
        <w:tc>
          <w:tcPr>
            <w:tcW w:type="dxa" w:w="1728"/>
          </w:tcPr>
          <w:p>
            <w:pPr>
              <w:pStyle w:val="MDPI42tablebody"/>
              <w:keepNext/>
              <w:spacing w:line="240" w:lineRule="auto" w:before="30" w:after="30"/>
              <w:jc w:val="left"/>
            </w:pPr>
            <w:r>
              <w:rPr>
                <w:b w:val="0"/>
                <w:i/>
                <w:sz w:val="18"/>
              </w:rPr>
              <w:t>IV</w:t>
            </w:r>
            <w:r>
              <w:rPr>
                <w:b w:val="0"/>
                <w:i/>
                <w:sz w:val="18"/>
                <w:vertAlign w:val="superscript"/>
              </w:rPr>
              <w:t>Own</w:t>
            </w:r>
          </w:p>
        </w:tc>
        <w:tc>
          <w:tcPr>
            <w:tcW w:type="dxa" w:w="6129"/>
          </w:tcPr>
          <w:p>
            <w:pPr>
              <w:pStyle w:val="MDPI42tablebody"/>
              <w:keepNext/>
              <w:spacing w:line="240" w:lineRule="auto" w:before="30" w:after="30"/>
              <w:jc w:val="left"/>
            </w:pPr>
            <w:r>
              <w:rPr>
                <w:b w:val="0"/>
                <w:i w:val="0"/>
                <w:sz w:val="18"/>
              </w:rPr>
              <w:t>Pre-sample occupational exposure of the firm's task bundle to language models interacted with the national generative-AI diffusion index</w:t>
            </w:r>
          </w:p>
        </w:tc>
      </w:tr>
      <w:tr>
        <w:trPr>
          <w:cantSplit/>
        </w:trPr>
        <w:tc>
          <w:tcPr>
            <w:tcW w:type="dxa" w:w="1728"/>
          </w:tcPr>
          <w:p>
            <w:pPr>
              <w:pStyle w:val="MDPI42tablebody"/>
              <w:spacing w:line="240" w:lineRule="auto" w:before="30" w:after="30"/>
              <w:jc w:val="left"/>
            </w:pPr>
            <w:r>
              <w:rPr>
                <w:b w:val="0"/>
                <w:i/>
                <w:sz w:val="18"/>
              </w:rPr>
              <w:t>IV</w:t>
            </w:r>
            <w:r>
              <w:rPr>
                <w:b w:val="0"/>
                <w:i/>
                <w:sz w:val="18"/>
                <w:vertAlign w:val="superscript"/>
              </w:rPr>
              <w:t>u</w:t>
            </w:r>
            <w:r>
              <w:rPr>
                <w:b w:val="0"/>
                <w:i/>
                <w:sz w:val="18"/>
              </w:rPr>
              <w:t>, IV</w:t>
            </w:r>
            <w:r>
              <w:rPr>
                <w:b w:val="0"/>
                <w:i/>
                <w:sz w:val="18"/>
                <w:vertAlign w:val="superscript"/>
              </w:rPr>
              <w:t>d</w:t>
            </w:r>
            <w:r>
              <w:rPr>
                <w:b w:val="0"/>
                <w:i/>
                <w:sz w:val="18"/>
              </w:rPr>
              <w:t>, IV</w:t>
            </w:r>
            <w:r>
              <w:rPr>
                <w:b w:val="0"/>
                <w:i/>
                <w:sz w:val="18"/>
                <w:vertAlign w:val="superscript"/>
              </w:rPr>
              <w:t>p</w:t>
            </w:r>
          </w:p>
        </w:tc>
        <w:tc>
          <w:tcPr>
            <w:tcW w:type="dxa" w:w="6129"/>
          </w:tcPr>
          <w:p>
            <w:pPr>
              <w:pStyle w:val="MDPI42tablebody"/>
              <w:spacing w:line="240" w:lineRule="auto" w:before="30" w:after="30"/>
              <w:jc w:val="left"/>
            </w:pPr>
            <w:r>
              <w:rPr>
                <w:b w:val="0"/>
                <w:i w:val="0"/>
                <w:sz w:val="18"/>
              </w:rPr>
              <w:t>The corresponding network lags of that pre-sample exposure</w:t>
            </w:r>
          </w:p>
        </w:tc>
      </w:tr>
    </w:tbl>
    <w:p>
      <w:pPr>
        <w:pStyle w:val="MDPI22heading2"/>
      </w:pPr>
      <w:r>
        <w:t>3.3. Specifications</w:t>
      </w:r>
    </w:p>
    <w:p>
      <w:pPr>
        <w:pStyle w:val="MDPI32textnoindent"/>
      </w:pPr>
      <w:r>
        <w:rPr>
          <w:b w:val="0"/>
          <w:i w:val="0"/>
        </w:rPr>
        <w:t>The within-firm benchmark — the specification the existing literature estimates —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A</m:t>
                  </m:r>
                </m:e>
                <m:sub>
                  <m:r>
                    <m:t xml:space="preserve">i</m:t>
                  </m:r>
                  <m:r>
                    <m:t xml:space="preserve">t</m:t>
                  </m:r>
                </m:sub>
              </m:sSub>
              <m:r>
                <m:rPr>
                  <m:sty m:val="p"/>
                </m:rPr>
                <m:t xml:space="preserve">+</m:t>
              </m:r>
              <m:r>
                <m:t xml:space="preserve">γ</m:t>
              </m:r>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r>
                <m:t xml:space="preserve">,</m:t>
              </m:r>
            </m:oMath>
          </w:p>
        </w:tc>
        <w:tc>
          <w:tcPr>
            <w:tcW w:type="dxa" w:w="431"/>
            <w:vAlign w:val="center"/>
          </w:tcPr>
          <w:p>
            <w:pPr>
              <w:pStyle w:val="MDPI3aequationnumber"/>
              <w:jc w:val="right"/>
            </w:pPr>
            <w:r>
              <w:t>(5)</w:t>
            </w:r>
          </w:p>
        </w:tc>
      </w:tr>
    </w:tbl>
    <w:p>
      <w:pPr>
        <w:pStyle w:val="MDPI31text"/>
      </w:pPr>
      <w:r>
        <w:rPr>
          <w:b w:val="0"/>
          <w:i w:val="0"/>
        </w:rPr>
        <w:t xml:space="preserve">with standard errors clustered on the firm </w:t>
      </w:r>
      <w:r>
        <w:t>[</w:t>
      </w:r>
      <w:r>
        <w:fldChar w:fldCharType="begin"/>
      </w:r>
      <w:r>
        <w:instrText xml:space="preserve"> REF _Ref_52 \h </w:instrText>
      </w:r>
      <w:r>
        <w:fldChar w:fldCharType="separate"/>
      </w:r>
      <w:r>
        <w:t>52</w:t>
      </w:r>
      <w:r>
        <w:fldChar w:fldCharType="end"/>
      </w:r>
      <w:r>
        <w:t>]</w:t>
      </w:r>
      <w:r>
        <w:rPr>
          <w:b w:val="0"/>
          <w:i w:val="0"/>
        </w:rPr>
        <w:t>. Adding the three exogenous network lags gives the model that Hypotheses 2 and 3 are about,</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r>
                <m:t xml:space="preserve">β</m:t>
              </m:r>
              <m:r>
                <m:t xml:space="preserve"> </m:t>
              </m:r>
              <m:sSub>
                <m:e>
                  <m:r>
                    <m:t xml:space="preserve">A</m:t>
                  </m:r>
                </m:e>
                <m:sub>
                  <m:r>
                    <m:t xml:space="preserve">i</m:t>
                  </m:r>
                  <m:r>
                    <m:t xml:space="preserve">t</m:t>
                  </m:r>
                </m:sub>
              </m:sSub>
              <m:r>
                <m:rPr>
                  <m:sty m:val="p"/>
                </m:rPr>
                <m:t xml:space="preserve">+</m:t>
              </m:r>
              <m:sSub>
                <m:e>
                  <m:r>
                    <m:t xml:space="preserve">θ</m:t>
                  </m:r>
                </m:e>
                <m:sub>
                  <m:r>
                    <m:t xml:space="preserve">u</m:t>
                  </m:r>
                </m:sub>
              </m:sSub>
              <m:sSubSup>
                <m:e>
                  <m:r>
                    <m:t xml:space="preserve">A</m:t>
                  </m:r>
                </m:e>
                <m:sub>
                  <m:r>
                    <m:t xml:space="preserve">i</m:t>
                  </m:r>
                  <m:r>
                    <m:t xml:space="preserve">t</m:t>
                  </m:r>
                </m:sub>
                <m:sup>
                  <m:r>
                    <m:t xml:space="preserve">u</m:t>
                  </m:r>
                </m:sup>
              </m:sSubSup>
              <m:r>
                <m:rPr>
                  <m:sty m:val="p"/>
                </m:rPr>
                <m:t xml:space="preserve">+</m:t>
              </m:r>
              <m:sSub>
                <m:e>
                  <m:r>
                    <m:t xml:space="preserve">θ</m:t>
                  </m:r>
                </m:e>
                <m:sub>
                  <m:r>
                    <m:t xml:space="preserve">d</m:t>
                  </m:r>
                </m:sub>
              </m:sSub>
              <m:sSubSup>
                <m:e>
                  <m:r>
                    <m:t xml:space="preserve">A</m:t>
                  </m:r>
                </m:e>
                <m:sub>
                  <m:r>
                    <m:t xml:space="preserve">i</m:t>
                  </m:r>
                  <m:r>
                    <m:t xml:space="preserve">t</m:t>
                  </m:r>
                </m:sub>
                <m:sup>
                  <m:r>
                    <m:t xml:space="preserve">d</m:t>
                  </m:r>
                </m:sup>
              </m:sSubSup>
              <m:r>
                <m:rPr>
                  <m:sty m:val="p"/>
                </m:rPr>
                <m:t xml:space="preserve">+</m:t>
              </m:r>
              <m:sSub>
                <m:e>
                  <m:r>
                    <m:t xml:space="preserve">θ</m:t>
                  </m:r>
                </m:e>
                <m:sub>
                  <m:r>
                    <m:t xml:space="preserve">p</m:t>
                  </m:r>
                </m:sub>
              </m:sSub>
              <m:sSubSup>
                <m:e>
                  <m:r>
                    <m:t xml:space="preserve">A</m:t>
                  </m:r>
                </m:e>
                <m:sub>
                  <m:r>
                    <m:t xml:space="preserve">i</m:t>
                  </m:r>
                  <m:r>
                    <m:t xml:space="preserve">t</m:t>
                  </m:r>
                </m:sub>
                <m:sup>
                  <m:r>
                    <m:t xml:space="preserve">p</m:t>
                  </m:r>
                </m:sup>
              </m:sSubSup>
              <m:r>
                <m:rPr>
                  <m:sty m:val="p"/>
                </m:rPr>
                <m:t xml:space="preserve">+</m:t>
              </m:r>
              <m:r>
                <m:t xml:space="preserve">γ</m:t>
              </m:r>
              <m:r>
                <m:t xml:space="preserve">'</m:t>
              </m:r>
              <m:sSub>
                <m:e>
                  <m:r>
                    <m:t xml:space="preserve">C</m:t>
                  </m:r>
                </m:e>
                <m:sub>
                  <m:r>
                    <m:t xml:space="preserve">i</m:t>
                  </m:r>
                  <m:r>
                    <m:t xml:space="preserve">t</m:t>
                  </m:r>
                </m:sub>
              </m:sSub>
              <m:r>
                <m:rPr>
                  <m:sty m:val="p"/>
                </m:rPr>
                <m:t xml:space="preserve">+</m:t>
              </m:r>
              <m:sSub>
                <m:e>
                  <m:r>
                    <m:t xml:space="preserve">η</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r>
                <m:t xml:space="preserve">,</m:t>
              </m:r>
            </m:oMath>
          </w:p>
        </w:tc>
        <w:tc>
          <w:tcPr>
            <w:tcW w:type="dxa" w:w="431"/>
            <w:vAlign w:val="center"/>
          </w:tcPr>
          <w:p>
            <w:pPr>
              <w:pStyle w:val="MDPI3aequationnumber"/>
              <w:jc w:val="right"/>
            </w:pPr>
            <w:r>
              <w:t>(6)</w:t>
            </w:r>
          </w:p>
        </w:tc>
      </w:tr>
    </w:tbl>
    <w:p>
      <w:pPr>
        <w:pStyle w:val="MDPI31text"/>
      </w:pPr>
      <w:r>
        <w:rPr>
          <w:b w:val="0"/>
          <w:i w:val="0"/>
        </w:rPr>
        <w:t xml:space="preserve">and adding the endogenous network lag of the outcome gives Equation (2). The last of these cannot be estimated by least squares, because </w:t>
      </w:r>
      <m:oMath>
        <m:nary>
          <m:naryPr>
            <m:chr m:val="∑"/>
            <m:limLoc m:val="subSup"/>
            <m:supHide m:val="1"/>
          </m:naryPr>
          <m:sub>
            <m:r>
              <m:t xml:space="preserve">j</m:t>
            </m:r>
          </m:sub>
          <m:sup/>
          <m:e>
            <m:sSub>
              <m:e>
                <m:r>
                  <m:t xml:space="preserve">w</m:t>
                </m:r>
              </m:e>
              <m:sub>
                <m:r>
                  <m:t xml:space="preserve">i</m:t>
                </m:r>
                <m:r>
                  <m:t xml:space="preserve">j</m:t>
                </m:r>
              </m:sub>
            </m:sSub>
            <m:sSub>
              <m:e>
                <m:r>
                  <m:t xml:space="preserve">Y</m:t>
                </m:r>
              </m:e>
              <m:sub>
                <m:r>
                  <m:t xml:space="preserve">j</m:t>
                </m:r>
                <m:r>
                  <m:t xml:space="preserve">t</m:t>
                </m:r>
              </m:sub>
            </m:sSub>
          </m:e>
        </m:nary>
      </m:oMath>
      <w:r>
        <w:rPr>
          <w:b w:val="0"/>
          <w:i w:val="0"/>
        </w:rPr>
        <w:t xml:space="preserve"> contains </w:t>
      </w:r>
      <m:oMath>
        <m:sSub>
          <m:e>
            <m:r>
              <m:t xml:space="preserve">ε</m:t>
            </m:r>
          </m:e>
          <m:sub>
            <m:r>
              <m:t xml:space="preserve">j</m:t>
            </m:r>
            <m:r>
              <m:t xml:space="preserve">t</m:t>
            </m:r>
          </m:sub>
        </m:sSub>
      </m:oMath>
      <w:r>
        <w:rPr>
          <w:b w:val="0"/>
          <w:i w:val="0"/>
        </w:rPr>
        <w:t xml:space="preserve"> and firm </w:t>
      </w:r>
      <m:oMath>
        <m:r>
          <m:t xml:space="preserve">j</m:t>
        </m:r>
      </m:oMath>
      <w:r>
        <w:rPr>
          <w:b w:val="0"/>
          <w:i w:val="0"/>
        </w:rPr>
        <w:t xml:space="preserve">'s outcome depends in turn on firm </w:t>
      </w:r>
      <m:oMath>
        <m:r>
          <m:t xml:space="preserve">i</m:t>
        </m:r>
      </m:oMath>
      <w:r>
        <w:rPr>
          <w:b w:val="0"/>
          <w:i w:val="0"/>
        </w:rPr>
        <w:t xml:space="preserve">'s. We therefore estimate it by generalised spatial two-stage least squares </w:t>
      </w:r>
      <w:r>
        <w:t>[</w:t>
      </w:r>
      <w:r>
        <w:fldChar w:fldCharType="begin"/>
      </w:r>
      <w:r>
        <w:instrText xml:space="preserve"> REF _Ref_25 \h </w:instrText>
      </w:r>
      <w:r>
        <w:fldChar w:fldCharType="separate"/>
      </w:r>
      <w:r>
        <w:t>25</w:t>
      </w:r>
      <w:r>
        <w:fldChar w:fldCharType="end"/>
      </w:r>
      <w:r>
        <w:t>,</w:t>
      </w:r>
      <w:r>
        <w:fldChar w:fldCharType="begin"/>
      </w:r>
      <w:r>
        <w:instrText xml:space="preserve"> REF _Ref_26 \h </w:instrText>
      </w:r>
      <w:r>
        <w:fldChar w:fldCharType="separate"/>
      </w:r>
      <w:r>
        <w:t>26</w:t>
      </w:r>
      <w:r>
        <w:fldChar w:fldCharType="end"/>
      </w:r>
      <w:r>
        <w:t>]</w:t>
      </w:r>
      <w:r>
        <w:rPr>
          <w:b w:val="0"/>
          <w:i w:val="0"/>
        </w:rPr>
        <w:t>, instrumenting the endogenous lag with the second- and third-order network lags of adoption,</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t xml:space="preserve">Z</m:t>
              </m:r>
              <m:r>
                <m:rPr>
                  <m:sty m:val="p"/>
                </m:rPr>
                <m:t xml:space="preserve">=</m:t>
              </m:r>
              <m:d>
                <m:dPr>
                  <m:begChr m:val="["/>
                  <m:endChr m:val="]"/>
                </m:dPr>
                <m:e>
                  <m:sSup>
                    <m:e>
                      <m:r>
                        <m:t xml:space="preserve">W</m:t>
                      </m:r>
                    </m:e>
                    <m:sup>
                      <m:r>
                        <m:rPr>
                          <m:sty m:val="p"/>
                        </m:rPr>
                        <m:t xml:space="preserve">2</m:t>
                      </m:r>
                    </m:sup>
                  </m:sSup>
                  <m:r>
                    <m:t xml:space="preserve">A</m:t>
                  </m:r>
                  <m:r>
                    <m:t xml:space="preserve">,</m:t>
                  </m:r>
                  <m:r>
                    <m:t xml:space="preserve"> </m:t>
                  </m:r>
                  <m:sSup>
                    <m:e>
                      <m:r>
                        <m:t xml:space="preserve">W</m:t>
                      </m:r>
                    </m:e>
                    <m:sup>
                      <m:r>
                        <m:rPr>
                          <m:sty m:val="p"/>
                        </m:rPr>
                        <m:t xml:space="preserve">3</m:t>
                      </m:r>
                    </m:sup>
                  </m:sSup>
                  <m:r>
                    <m:t xml:space="preserve">A</m:t>
                  </m:r>
                </m:e>
              </m:d>
              <m:r>
                <m:t xml:space="preserve">.</m:t>
              </m:r>
            </m:oMath>
          </w:p>
        </w:tc>
        <w:tc>
          <w:tcPr>
            <w:tcW w:type="dxa" w:w="431"/>
            <w:vAlign w:val="center"/>
          </w:tcPr>
          <w:p>
            <w:pPr>
              <w:pStyle w:val="MDPI3aequationnumber"/>
              <w:jc w:val="right"/>
            </w:pPr>
            <w:r>
              <w:t>(7)</w:t>
            </w:r>
          </w:p>
        </w:tc>
      </w:tr>
    </w:tbl>
    <w:p>
      <w:pPr>
        <w:pStyle w:val="MDPI31text"/>
      </w:pPr>
      <w:r>
        <w:rPr>
          <w:b w:val="0"/>
          <w:i w:val="0"/>
        </w:rPr>
        <w:t xml:space="preserve">The exclusion restriction is the one that makes peer effects identifiable at all: because the network contains intransitive triads — </w:t>
      </w:r>
      <m:oMath>
        <m:r>
          <m:t xml:space="preserve">j</m:t>
        </m:r>
      </m:oMath>
      <w:r>
        <w:rPr>
          <w:b w:val="0"/>
          <w:i w:val="0"/>
        </w:rPr>
        <w:t xml:space="preserve"> is a partner of </w:t>
      </w:r>
      <m:oMath>
        <m:r>
          <m:t xml:space="preserve">i</m:t>
        </m:r>
      </m:oMath>
      <w:r>
        <w:rPr>
          <w:b w:val="0"/>
          <w:i w:val="0"/>
        </w:rPr>
        <w:t xml:space="preserve"> and </w:t>
      </w:r>
      <m:oMath>
        <m:r>
          <m:t xml:space="preserve">k</m:t>
        </m:r>
      </m:oMath>
      <w:r>
        <w:rPr>
          <w:b w:val="0"/>
          <w:i w:val="0"/>
        </w:rPr>
        <w:t xml:space="preserve"> a partner of </w:t>
      </w:r>
      <m:oMath>
        <m:r>
          <m:t xml:space="preserve">j</m:t>
        </m:r>
      </m:oMath>
      <w:r>
        <w:rPr>
          <w:b w:val="0"/>
          <w:i w:val="0"/>
        </w:rPr>
        <w:t xml:space="preserve">, but </w:t>
      </w:r>
      <m:oMath>
        <m:r>
          <m:t xml:space="preserve">k</m:t>
        </m:r>
      </m:oMath>
      <w:r>
        <w:rPr>
          <w:b w:val="0"/>
          <w:i w:val="0"/>
        </w:rPr>
        <w:t xml:space="preserve"> is not a partner of </w:t>
      </w:r>
      <m:oMath>
        <m:r>
          <m:t xml:space="preserve">i</m:t>
        </m:r>
      </m:oMath>
      <w:r>
        <w:rPr>
          <w:b w:val="0"/>
          <w:i w:val="0"/>
        </w:rPr>
        <w:t xml:space="preserve"> — the adoption of a partner's partner shifts </w:t>
      </w:r>
      <m:oMath>
        <m:nary>
          <m:naryPr>
            <m:chr m:val="∑"/>
            <m:limLoc m:val="subSup"/>
            <m:supHide m:val="1"/>
          </m:naryPr>
          <m:sub>
            <m:r>
              <m:t xml:space="preserve">j</m:t>
            </m:r>
          </m:sub>
          <m:sup/>
          <m:e>
            <m:sSub>
              <m:e>
                <m:r>
                  <m:t xml:space="preserve">w</m:t>
                </m:r>
              </m:e>
              <m:sub>
                <m:r>
                  <m:t xml:space="preserve">i</m:t>
                </m:r>
                <m:r>
                  <m:t xml:space="preserve">j</m:t>
                </m:r>
              </m:sub>
            </m:sSub>
            <m:sSub>
              <m:e>
                <m:r>
                  <m:t xml:space="preserve">Y</m:t>
                </m:r>
              </m:e>
              <m:sub>
                <m:r>
                  <m:t xml:space="preserve">j</m:t>
                </m:r>
                <m:r>
                  <m:t xml:space="preserve">t</m:t>
                </m:r>
              </m:sub>
            </m:sSub>
          </m:e>
        </m:nary>
      </m:oMath>
      <w:r>
        <w:rPr>
          <w:b w:val="0"/>
          <w:i w:val="0"/>
        </w:rPr>
        <w:t xml:space="preserve"> without entering firm </w:t>
      </w:r>
      <m:oMath>
        <m:r>
          <m:t xml:space="preserve">i</m:t>
        </m:r>
      </m:oMath>
      <w:r>
        <w:rPr>
          <w:b w:val="0"/>
          <w:i w:val="0"/>
        </w:rPr>
        <w:t xml:space="preserve">'s own equation </w:t>
      </w:r>
      <w:r>
        <w:t>[</w:t>
      </w:r>
      <w:r>
        <w:fldChar w:fldCharType="begin"/>
      </w:r>
      <w:r>
        <w:instrText xml:space="preserve"> REF _Ref_27 \h </w:instrText>
      </w:r>
      <w:r>
        <w:fldChar w:fldCharType="separate"/>
      </w:r>
      <w:r>
        <w:t>27</w:t>
      </w:r>
      <w:r>
        <w:fldChar w:fldCharType="end"/>
      </w:r>
      <w:r>
        <w:t>]</w:t>
      </w:r>
      <w:r>
        <w:rPr>
          <w:b w:val="0"/>
          <w:i w:val="0"/>
        </w:rPr>
        <w:t xml:space="preserve">. Without such triads the endogenous and the contextual effects are not separately identified, which is Manski's reflection problem </w:t>
      </w:r>
      <w:r>
        <w:t>[</w:t>
      </w:r>
      <w:r>
        <w:fldChar w:fldCharType="begin"/>
      </w:r>
      <w:r>
        <w:instrText xml:space="preserve"> REF _Ref_28 \h </w:instrText>
      </w:r>
      <w:r>
        <w:fldChar w:fldCharType="separate"/>
      </w:r>
      <w:r>
        <w:t>28</w:t>
      </w:r>
      <w:r>
        <w:fldChar w:fldCharType="end"/>
      </w:r>
      <w:r>
        <w:t>,</w:t>
      </w:r>
      <w:r>
        <w:fldChar w:fldCharType="begin"/>
      </w:r>
      <w:r>
        <w:instrText xml:space="preserve"> REF _Ref_29 \h </w:instrText>
      </w:r>
      <w:r>
        <w:fldChar w:fldCharType="separate"/>
      </w:r>
      <w:r>
        <w:t>29</w:t>
      </w:r>
      <w:r>
        <w:fldChar w:fldCharType="end"/>
      </w:r>
      <w:r>
        <w:t>]</w:t>
      </w:r>
      <w:r>
        <w:rPr>
          <w:b w:val="0"/>
          <w:i w:val="0"/>
        </w:rPr>
        <w:t xml:space="preserve">. We report the Kleibergen–Paap rank Wald statistic for instrument strength </w:t>
      </w:r>
      <w:r>
        <w:t>[</w:t>
      </w:r>
      <w:r>
        <w:fldChar w:fldCharType="begin"/>
      </w:r>
      <w:r>
        <w:instrText xml:space="preserve"> REF _Ref_53 \h </w:instrText>
      </w:r>
      <w:r>
        <w:fldChar w:fldCharType="separate"/>
      </w:r>
      <w:r>
        <w:t>53</w:t>
      </w:r>
      <w:r>
        <w:fldChar w:fldCharType="end"/>
      </w:r>
      <w:r>
        <w:t>,</w:t>
      </w:r>
      <w:r>
        <w:fldChar w:fldCharType="begin"/>
      </w:r>
      <w:r>
        <w:instrText xml:space="preserve"> REF _Ref_54 \h </w:instrText>
      </w:r>
      <w:r>
        <w:fldChar w:fldCharType="separate"/>
      </w:r>
      <w:r>
        <w:t>54</w:t>
      </w:r>
      <w:r>
        <w:fldChar w:fldCharType="end"/>
      </w:r>
      <w:r>
        <w:t>]</w:t>
      </w:r>
      <w:r>
        <w:rPr>
          <w:b w:val="0"/>
          <w:i w:val="0"/>
        </w:rPr>
        <w:t xml:space="preserve">, the Hansen test of the overidentifying restrictions, and the two-step generalised method of moments estimator as a check </w:t>
      </w:r>
      <w:r>
        <w:t>[</w:t>
      </w:r>
      <w:r>
        <w:fldChar w:fldCharType="begin"/>
      </w:r>
      <w:r>
        <w:instrText xml:space="preserve"> REF _Ref_55 \h </w:instrText>
      </w:r>
      <w:r>
        <w:fldChar w:fldCharType="separate"/>
      </w:r>
      <w:r>
        <w:t>55</w:t>
      </w:r>
      <w:r>
        <w:fldChar w:fldCharType="end"/>
      </w:r>
      <w:r>
        <w:t>]</w:t>
      </w:r>
      <w:r>
        <w:rPr>
          <w:b w:val="0"/>
          <w:i w:val="0"/>
        </w:rPr>
        <w:t xml:space="preserve">. Quasi-maximum likelihood is the usual alternative for a model of this form </w:t>
      </w:r>
      <w:r>
        <w:t>[</w:t>
      </w:r>
      <w:r>
        <w:fldChar w:fldCharType="begin"/>
      </w:r>
      <w:r>
        <w:instrText xml:space="preserve"> REF _Ref_56 \h </w:instrText>
      </w:r>
      <w:r>
        <w:fldChar w:fldCharType="separate"/>
      </w:r>
      <w:r>
        <w:t>56</w:t>
      </w:r>
      <w:r>
        <w:fldChar w:fldCharType="end"/>
      </w:r>
      <w:r>
        <w:t>]</w:t>
      </w:r>
      <w:r>
        <w:rPr>
          <w:b w:val="0"/>
          <w:i w:val="0"/>
        </w:rPr>
        <w:t xml:space="preserve">; we prefer the instrumental-variables route because it accommodates the additional endogeneity of adoption itself and because it does not require the errors to be normal </w:t>
      </w:r>
      <w:r>
        <w:t>[</w:t>
      </w:r>
      <w:r>
        <w:fldChar w:fldCharType="begin"/>
      </w:r>
      <w:r>
        <w:instrText xml:space="preserve"> REF _Ref_57 \h </w:instrText>
      </w:r>
      <w:r>
        <w:fldChar w:fldCharType="separate"/>
      </w:r>
      <w:r>
        <w:t>57</w:t>
      </w:r>
      <w:r>
        <w:fldChar w:fldCharType="end"/>
      </w:r>
      <w:r>
        <w:t>]</w:t>
      </w:r>
      <w:r>
        <w:rPr>
          <w:b w:val="0"/>
          <w:i w:val="0"/>
        </w:rPr>
        <w:t xml:space="preserve">. Because observations connected by the network are dependent by construction, we cluster on the firm throughout and report two-way clustered and spatially robust alternatives in Section 5.1 </w:t>
      </w:r>
      <w:r>
        <w:t>[</w:t>
      </w:r>
      <w:r>
        <w:fldChar w:fldCharType="begin"/>
      </w:r>
      <w:r>
        <w:instrText xml:space="preserve"> REF _Ref_52 \h </w:instrText>
      </w:r>
      <w:r>
        <w:fldChar w:fldCharType="separate"/>
      </w:r>
      <w:r>
        <w:t>52</w:t>
      </w:r>
      <w:r>
        <w:fldChar w:fldCharType="end"/>
      </w:r>
      <w:r>
        <w:t>,</w:t>
      </w:r>
      <w:r>
        <w:fldChar w:fldCharType="begin"/>
      </w:r>
      <w:r>
        <w:instrText xml:space="preserve"> REF _Ref_58 \h </w:instrText>
      </w:r>
      <w:r>
        <w:fldChar w:fldCharType="separate"/>
      </w:r>
      <w:r>
        <w:t>58</w:t>
      </w:r>
      <w:r>
        <w:fldChar w:fldCharType="end"/>
      </w:r>
      <w:r>
        <w:t>]</w:t>
      </w:r>
      <w:r>
        <w:rPr>
          <w:b w:val="0"/>
          <w:i w:val="0"/>
        </w:rPr>
        <w:t>.</w:t>
      </w:r>
    </w:p>
    <w:p>
      <w:pPr>
        <w:pStyle w:val="MDPI31text"/>
      </w:pPr>
      <w:r>
        <w:rPr>
          <w:b w:val="0"/>
          <w:i w:val="0"/>
        </w:rPr>
        <w:t xml:space="preserve">From the estimated </w:t>
      </w:r>
      <m:oMath>
        <m:d>
          <m:dPr>
            <m:begChr m:val="("/>
            <m:endChr m:val=")"/>
          </m:dPr>
          <m:e>
            <m:r>
              <m:t xml:space="preserve">ρ</m:t>
            </m:r>
            <m:r>
              <m:t xml:space="preserve">,</m:t>
            </m:r>
            <m:r>
              <m:t xml:space="preserve">β</m:t>
            </m:r>
            <m:r>
              <m:t xml:space="preserve">,</m:t>
            </m:r>
            <m:r>
              <m:t xml:space="preserve">θ</m:t>
            </m:r>
          </m:e>
        </m:d>
      </m:oMath>
      <w:r>
        <w:rPr>
          <w:b w:val="0"/>
          <w:i w:val="0"/>
        </w:rPr>
        <w:t xml:space="preserve"> the impacts in Equation (4) are computed by evaluating the traces of the Leontief inverse from its power series, which makes them smooth functions of the parameters, and their standard errors follow by the delta method </w:t>
      </w:r>
      <w:r>
        <w:t>[</w:t>
      </w:r>
      <w:r>
        <w:fldChar w:fldCharType="begin"/>
      </w:r>
      <w:r>
        <w:instrText xml:space="preserve"> REF _Ref_24 \h </w:instrText>
      </w:r>
      <w:r>
        <w:fldChar w:fldCharType="separate"/>
      </w:r>
      <w:r>
        <w:t>24</w:t>
      </w:r>
      <w:r>
        <w:fldChar w:fldCharType="end"/>
      </w:r>
      <w:r>
        <w:t>]</w:t>
      </w:r>
      <w:r>
        <w:rPr>
          <w:b w:val="0"/>
          <w:i w:val="0"/>
        </w:rPr>
        <w:t xml:space="preserve">. Adoption itself may be endogenous — a firm that is restructuring its junior workforce may also be the kind of firm that writes about the technology — so we additionally instrument </w:t>
      </w:r>
      <m:oMath>
        <m:sSub>
          <m:e>
            <m:r>
              <m:t xml:space="preserve">A</m:t>
            </m:r>
          </m:e>
          <m:sub>
            <m:r>
              <m:t xml:space="preserve">i</m:t>
            </m:r>
            <m:r>
              <m:t xml:space="preserve">t</m:t>
            </m:r>
          </m:sub>
        </m:sSub>
      </m:oMath>
      <w:r>
        <w:rPr>
          <w:b w:val="0"/>
          <w:i w:val="0"/>
        </w:rPr>
        <w:t xml:space="preserve"> and its network lags with shift-share terms built from pre-sample occupational exposure to language models </w:t>
      </w:r>
      <w:r>
        <w:t>[</w:t>
      </w:r>
      <w:r>
        <w:fldChar w:fldCharType="begin"/>
      </w:r>
      <w:r>
        <w:instrText xml:space="preserve"> REF _Ref_38 \h </w:instrText>
      </w:r>
      <w:r>
        <w:fldChar w:fldCharType="separate"/>
      </w:r>
      <w:r>
        <w:t>38</w:t>
      </w:r>
      <w:r>
        <w:fldChar w:fldCharType="end"/>
      </w:r>
      <w:r>
        <w:t>,</w:t>
      </w:r>
      <w:r>
        <w:fldChar w:fldCharType="begin"/>
      </w:r>
      <w:r>
        <w:instrText xml:space="preserve"> REF _Ref_39 \h </w:instrText>
      </w:r>
      <w:r>
        <w:fldChar w:fldCharType="separate"/>
      </w:r>
      <w:r>
        <w:t>39</w:t>
      </w:r>
      <w:r>
        <w:fldChar w:fldCharType="end"/>
      </w:r>
      <w:r>
        <w:t>]</w:t>
      </w:r>
      <w:r>
        <w:rPr>
          <w:b w:val="0"/>
          <w:i w:val="0"/>
        </w:rPr>
        <w:t xml:space="preserve"> interacted with the national diffusion index, and with the corresponding network lags of that exposure </w:t>
      </w:r>
      <w:r>
        <w:t>[</w:t>
      </w:r>
      <w:r>
        <w:fldChar w:fldCharType="begin"/>
      </w:r>
      <w:r>
        <w:instrText xml:space="preserve"> REF _Ref_59 \h </w:instrText>
      </w:r>
      <w:r>
        <w:fldChar w:fldCharType="separate"/>
      </w:r>
      <w:r>
        <w:t>59</w:t>
      </w:r>
      <w:r>
        <w:fldChar w:fldCharType="end"/>
      </w:r>
      <w:r>
        <w:t>–</w:t>
      </w:r>
      <w:r>
        <w:fldChar w:fldCharType="begin"/>
      </w:r>
      <w:r>
        <w:instrText xml:space="preserve"> REF _Ref_61 \h </w:instrText>
      </w:r>
      <w:r>
        <w:fldChar w:fldCharType="separate"/>
      </w:r>
      <w:r>
        <w:t>61</w:t>
      </w:r>
      <w:r>
        <w:fldChar w:fldCharType="end"/>
      </w:r>
      <w:r>
        <w:t>]</w:t>
      </w:r>
      <w:r>
        <w:rPr>
          <w:b w:val="0"/>
          <w:i w:val="0"/>
        </w:rPr>
        <w:t>.</w:t>
      </w:r>
    </w:p>
    <w:p>
      <w:pPr>
        <w:pStyle w:val="MDPI31text"/>
      </w:pPr>
      <w:r>
        <w:rPr>
          <w:b w:val="0"/>
          <w:i w:val="0"/>
        </w:rPr>
        <w:t>The aggregation test of Hypothesis 3 is the same regression estimated on employment-weighted city-year and industry-year aggregates, with unit and year effects. If firms merely displace young workers, the city coefficient equals the firm coefficient; if they also reallocate them, the city coefficient is smaller in absolute value, and the ratio measures the share of the firm-level estimate that is a transfer rather than a loss.</w:t>
      </w:r>
    </w:p>
    <w:p>
      <w:pPr>
        <w:pStyle w:val="MDPI21heading1"/>
      </w:pPr>
      <w:r>
        <w:t>4. Empirical Results</w:t>
      </w:r>
    </w:p>
    <w:p>
      <w:pPr>
        <w:pStyle w:val="MDPI22heading2"/>
      </w:pPr>
      <w:r>
        <w:t>4.1. Descriptive Statistics</w:t>
      </w:r>
    </w:p>
    <w:p>
      <w:pPr>
        <w:pStyle w:val="MDPI32textnoindent"/>
      </w:pPr>
      <w:r>
        <w:rPr>
          <w:b w:val="0"/>
          <w:i w:val="0"/>
        </w:rPr>
        <w:t>Table 2 reports the descriptive statistics. The youth employment share averages 19.86% with a standard deviation of 4.99, and falls from 20.63% before 2023 to 18.12% after; the experienced share averages 19.96%. Adoption and its three network lags are standardised, so their means are zero; the network lags are less dispersed than adoption itself, as they must be, because averaging over partners removes idiosyncratic variation (standard deviations of 0.40 for the supply-chain lag and 0.24 for the local one). That the lags survive the two sets of fixed effects at all is what makes the design possible: identification comes from firms in the same year whose partners differ in exposure.</w:t>
      </w:r>
    </w:p>
    <w:p>
      <w:pPr>
        <w:pStyle w:val="MDPI41tablecaption"/>
        <w:keepNext/>
        <w:spacing w:after="60"/>
      </w:pPr>
      <w:r>
        <w:rPr>
          <w:b/>
          <w:sz w:val="18"/>
        </w:rPr>
        <w:t xml:space="preserve">Table 2. </w:t>
      </w:r>
      <w:r>
        <w:rPr>
          <w:b w:val="0"/>
          <w:i w:val="0"/>
          <w:sz w:val="18"/>
        </w:rPr>
        <w:t>Descriptive statistics.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1098"/>
        <w:gridCol w:w="1098"/>
        <w:gridCol w:w="1098"/>
        <w:gridCol w:w="1098"/>
        <w:gridCol w:w="1098"/>
        <w:gridCol w:w="1098"/>
        <w:gridCol w:w="1098"/>
        <w:gridCol w:w="1098"/>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6"/>
              </w:rPr>
              <w:t>Variable</w:t>
            </w:r>
          </w:p>
        </w:tc>
        <w:tc>
          <w:tcPr>
            <w:tcW w:type="dxa" w:w="1098"/>
            <w:tcBorders>
              <w:bottom w:val="single" w:sz="8" w:space="0" w:color="auto"/>
            </w:tcBorders>
          </w:tcPr>
          <w:p>
            <w:pPr>
              <w:pStyle w:val="MDPI42tablebody"/>
              <w:keepNext/>
              <w:spacing w:line="240" w:lineRule="auto" w:before="30" w:after="30"/>
              <w:jc w:val="center"/>
            </w:pPr>
            <w:r>
              <w:rPr>
                <w:b/>
                <w:i w:val="0"/>
                <w:sz w:val="16"/>
              </w:rPr>
              <w:t>N</w:t>
            </w:r>
          </w:p>
        </w:tc>
        <w:tc>
          <w:tcPr>
            <w:tcW w:type="dxa" w:w="1098"/>
            <w:tcBorders>
              <w:bottom w:val="single" w:sz="8" w:space="0" w:color="auto"/>
            </w:tcBorders>
          </w:tcPr>
          <w:p>
            <w:pPr>
              <w:pStyle w:val="MDPI42tablebody"/>
              <w:keepNext/>
              <w:spacing w:line="240" w:lineRule="auto" w:before="30" w:after="30"/>
              <w:jc w:val="center"/>
            </w:pPr>
            <w:r>
              <w:rPr>
                <w:b/>
                <w:i w:val="0"/>
                <w:sz w:val="16"/>
              </w:rPr>
              <w:t>Mean</w:t>
            </w:r>
          </w:p>
        </w:tc>
        <w:tc>
          <w:tcPr>
            <w:tcW w:type="dxa" w:w="1098"/>
            <w:tcBorders>
              <w:bottom w:val="single" w:sz="8" w:space="0" w:color="auto"/>
            </w:tcBorders>
          </w:tcPr>
          <w:p>
            <w:pPr>
              <w:pStyle w:val="MDPI42tablebody"/>
              <w:keepNext/>
              <w:spacing w:line="240" w:lineRule="auto" w:before="30" w:after="30"/>
              <w:jc w:val="center"/>
            </w:pPr>
            <w:r>
              <w:rPr>
                <w:b/>
                <w:i w:val="0"/>
                <w:sz w:val="16"/>
              </w:rPr>
              <w:t>SD</w:t>
            </w:r>
          </w:p>
        </w:tc>
        <w:tc>
          <w:tcPr>
            <w:tcW w:type="dxa" w:w="1098"/>
            <w:tcBorders>
              <w:bottom w:val="single" w:sz="8" w:space="0" w:color="auto"/>
            </w:tcBorders>
          </w:tcPr>
          <w:p>
            <w:pPr>
              <w:pStyle w:val="MDPI42tablebody"/>
              <w:keepNext/>
              <w:spacing w:line="240" w:lineRule="auto" w:before="30" w:after="30"/>
              <w:jc w:val="center"/>
            </w:pPr>
            <w:r>
              <w:rPr>
                <w:b/>
                <w:i w:val="0"/>
                <w:sz w:val="16"/>
              </w:rPr>
              <w:t>P25</w:t>
            </w:r>
          </w:p>
        </w:tc>
        <w:tc>
          <w:tcPr>
            <w:tcW w:type="dxa" w:w="1098"/>
            <w:tcBorders>
              <w:bottom w:val="single" w:sz="8" w:space="0" w:color="auto"/>
            </w:tcBorders>
          </w:tcPr>
          <w:p>
            <w:pPr>
              <w:pStyle w:val="MDPI42tablebody"/>
              <w:keepNext/>
              <w:spacing w:line="240" w:lineRule="auto" w:before="30" w:after="30"/>
              <w:jc w:val="center"/>
            </w:pPr>
            <w:r>
              <w:rPr>
                <w:b/>
                <w:i w:val="0"/>
                <w:sz w:val="16"/>
              </w:rPr>
              <w:t>Median</w:t>
            </w:r>
          </w:p>
        </w:tc>
        <w:tc>
          <w:tcPr>
            <w:tcW w:type="dxa" w:w="1098"/>
            <w:tcBorders>
              <w:bottom w:val="single" w:sz="8" w:space="0" w:color="auto"/>
            </w:tcBorders>
          </w:tcPr>
          <w:p>
            <w:pPr>
              <w:pStyle w:val="MDPI42tablebody"/>
              <w:keepNext/>
              <w:spacing w:line="240" w:lineRule="auto" w:before="30" w:after="30"/>
              <w:jc w:val="center"/>
            </w:pPr>
            <w:r>
              <w:rPr>
                <w:b/>
                <w:i w:val="0"/>
                <w:sz w:val="16"/>
              </w:rPr>
              <w:t>P75</w:t>
            </w:r>
          </w:p>
        </w:tc>
        <w:tc>
          <w:tcPr>
            <w:tcW w:type="dxa" w:w="1098"/>
            <w:tcBorders>
              <w:bottom w:val="single" w:sz="8" w:space="0" w:color="auto"/>
            </w:tcBorders>
          </w:tcPr>
          <w:p>
            <w:pPr>
              <w:pStyle w:val="MDPI42tablebody"/>
              <w:keepNext/>
              <w:spacing w:line="240" w:lineRule="auto" w:before="30" w:after="30"/>
              <w:jc w:val="center"/>
            </w:pPr>
            <w:r>
              <w:rPr>
                <w:b/>
                <w:i w:val="0"/>
                <w:sz w:val="16"/>
              </w:rPr>
              <w:t>Min</w:t>
            </w:r>
          </w:p>
        </w:tc>
        <w:tc>
          <w:tcPr>
            <w:tcW w:type="dxa" w:w="1098"/>
            <w:tcBorders>
              <w:bottom w:val="single" w:sz="8" w:space="0" w:color="auto"/>
            </w:tcBorders>
          </w:tcPr>
          <w:p>
            <w:pPr>
              <w:pStyle w:val="MDPI42tablebody"/>
              <w:keepNext/>
              <w:spacing w:line="240" w:lineRule="auto" w:before="30" w:after="30"/>
              <w:jc w:val="center"/>
            </w:pPr>
            <w:r>
              <w:rPr>
                <w:b/>
                <w:i w:val="0"/>
                <w:sz w:val="16"/>
              </w:rPr>
              <w:t>Max</w:t>
            </w:r>
          </w:p>
        </w:tc>
      </w:tr>
      <w:tr>
        <w:trPr>
          <w:cantSplit/>
        </w:trPr>
        <w:tc>
          <w:tcPr>
            <w:tcW w:type="dxa" w:w="1674"/>
          </w:tcPr>
          <w:p>
            <w:pPr>
              <w:pStyle w:val="MDPI42tablebody"/>
              <w:keepNext/>
              <w:spacing w:line="240" w:lineRule="auto" w:before="30" w:after="30"/>
              <w:jc w:val="left"/>
            </w:pPr>
            <w:r>
              <w:rPr>
                <w:b w:val="0"/>
                <w:i/>
                <w:sz w:val="16"/>
              </w:rPr>
              <w:t>Y</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19.855</w:t>
            </w:r>
          </w:p>
        </w:tc>
        <w:tc>
          <w:tcPr>
            <w:tcW w:type="dxa" w:w="1098"/>
          </w:tcPr>
          <w:p>
            <w:pPr>
              <w:pStyle w:val="MDPI42tablebody"/>
              <w:keepNext/>
              <w:spacing w:line="240" w:lineRule="auto" w:before="30" w:after="30"/>
              <w:jc w:val="center"/>
            </w:pPr>
            <w:r>
              <w:rPr>
                <w:b w:val="0"/>
                <w:i w:val="0"/>
                <w:sz w:val="16"/>
              </w:rPr>
              <w:t>4.985</w:t>
            </w:r>
          </w:p>
        </w:tc>
        <w:tc>
          <w:tcPr>
            <w:tcW w:type="dxa" w:w="1098"/>
          </w:tcPr>
          <w:p>
            <w:pPr>
              <w:pStyle w:val="MDPI42tablebody"/>
              <w:keepNext/>
              <w:spacing w:line="240" w:lineRule="auto" w:before="30" w:after="30"/>
              <w:jc w:val="center"/>
            </w:pPr>
            <w:r>
              <w:rPr>
                <w:b w:val="0"/>
                <w:i w:val="0"/>
                <w:sz w:val="16"/>
              </w:rPr>
              <w:t>16.497</w:t>
            </w:r>
          </w:p>
        </w:tc>
        <w:tc>
          <w:tcPr>
            <w:tcW w:type="dxa" w:w="1098"/>
          </w:tcPr>
          <w:p>
            <w:pPr>
              <w:pStyle w:val="MDPI42tablebody"/>
              <w:keepNext/>
              <w:spacing w:line="240" w:lineRule="auto" w:before="30" w:after="30"/>
              <w:jc w:val="center"/>
            </w:pPr>
            <w:r>
              <w:rPr>
                <w:b w:val="0"/>
                <w:i w:val="0"/>
                <w:sz w:val="16"/>
              </w:rPr>
              <w:t>19.871</w:t>
            </w:r>
          </w:p>
        </w:tc>
        <w:tc>
          <w:tcPr>
            <w:tcW w:type="dxa" w:w="1098"/>
          </w:tcPr>
          <w:p>
            <w:pPr>
              <w:pStyle w:val="MDPI42tablebody"/>
              <w:keepNext/>
              <w:spacing w:line="240" w:lineRule="auto" w:before="30" w:after="30"/>
              <w:jc w:val="center"/>
            </w:pPr>
            <w:r>
              <w:rPr>
                <w:b w:val="0"/>
                <w:i w:val="0"/>
                <w:sz w:val="16"/>
              </w:rPr>
              <w:t>23.264</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39.913</w:t>
            </w:r>
          </w:p>
        </w:tc>
      </w:tr>
      <w:tr>
        <w:trPr>
          <w:cantSplit/>
        </w:trPr>
        <w:tc>
          <w:tcPr>
            <w:tcW w:type="dxa" w:w="1674"/>
          </w:tcPr>
          <w:p>
            <w:pPr>
              <w:pStyle w:val="MDPI42tablebody"/>
              <w:keepNext/>
              <w:spacing w:line="240" w:lineRule="auto" w:before="30" w:after="30"/>
              <w:jc w:val="left"/>
            </w:pPr>
            <w:r>
              <w:rPr>
                <w:b w:val="0"/>
                <w:i/>
                <w:sz w:val="16"/>
              </w:rPr>
              <w:t>X</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19.964</w:t>
            </w:r>
          </w:p>
        </w:tc>
        <w:tc>
          <w:tcPr>
            <w:tcW w:type="dxa" w:w="1098"/>
          </w:tcPr>
          <w:p>
            <w:pPr>
              <w:pStyle w:val="MDPI42tablebody"/>
              <w:keepNext/>
              <w:spacing w:line="240" w:lineRule="auto" w:before="30" w:after="30"/>
              <w:jc w:val="center"/>
            </w:pPr>
            <w:r>
              <w:rPr>
                <w:b w:val="0"/>
                <w:i w:val="0"/>
                <w:sz w:val="16"/>
              </w:rPr>
              <w:t>4.105</w:t>
            </w:r>
          </w:p>
        </w:tc>
        <w:tc>
          <w:tcPr>
            <w:tcW w:type="dxa" w:w="1098"/>
          </w:tcPr>
          <w:p>
            <w:pPr>
              <w:pStyle w:val="MDPI42tablebody"/>
              <w:keepNext/>
              <w:spacing w:line="240" w:lineRule="auto" w:before="30" w:after="30"/>
              <w:jc w:val="center"/>
            </w:pPr>
            <w:r>
              <w:rPr>
                <w:b w:val="0"/>
                <w:i w:val="0"/>
                <w:sz w:val="16"/>
              </w:rPr>
              <w:t>17.223</w:t>
            </w:r>
          </w:p>
        </w:tc>
        <w:tc>
          <w:tcPr>
            <w:tcW w:type="dxa" w:w="1098"/>
          </w:tcPr>
          <w:p>
            <w:pPr>
              <w:pStyle w:val="MDPI42tablebody"/>
              <w:keepNext/>
              <w:spacing w:line="240" w:lineRule="auto" w:before="30" w:after="30"/>
              <w:jc w:val="center"/>
            </w:pPr>
            <w:r>
              <w:rPr>
                <w:b w:val="0"/>
                <w:i w:val="0"/>
                <w:sz w:val="16"/>
              </w:rPr>
              <w:t>19.990</w:t>
            </w:r>
          </w:p>
        </w:tc>
        <w:tc>
          <w:tcPr>
            <w:tcW w:type="dxa" w:w="1098"/>
          </w:tcPr>
          <w:p>
            <w:pPr>
              <w:pStyle w:val="MDPI42tablebody"/>
              <w:keepNext/>
              <w:spacing w:line="240" w:lineRule="auto" w:before="30" w:after="30"/>
              <w:jc w:val="center"/>
            </w:pPr>
            <w:r>
              <w:rPr>
                <w:b w:val="0"/>
                <w:i w:val="0"/>
                <w:sz w:val="16"/>
              </w:rPr>
              <w:t>22.681</w:t>
            </w:r>
          </w:p>
        </w:tc>
        <w:tc>
          <w:tcPr>
            <w:tcW w:type="dxa" w:w="1098"/>
          </w:tcPr>
          <w:p>
            <w:pPr>
              <w:pStyle w:val="MDPI42tablebody"/>
              <w:keepNext/>
              <w:spacing w:line="240" w:lineRule="auto" w:before="30" w:after="30"/>
              <w:jc w:val="center"/>
            </w:pPr>
            <w:r>
              <w:rPr>
                <w:b w:val="0"/>
                <w:i w:val="0"/>
                <w:sz w:val="16"/>
              </w:rPr>
              <w:t>4.177</w:t>
            </w:r>
          </w:p>
        </w:tc>
        <w:tc>
          <w:tcPr>
            <w:tcW w:type="dxa" w:w="1098"/>
          </w:tcPr>
          <w:p>
            <w:pPr>
              <w:pStyle w:val="MDPI42tablebody"/>
              <w:keepNext/>
              <w:spacing w:line="240" w:lineRule="auto" w:before="30" w:after="30"/>
              <w:jc w:val="center"/>
            </w:pPr>
            <w:r>
              <w:rPr>
                <w:b w:val="0"/>
                <w:i w:val="0"/>
                <w:sz w:val="16"/>
              </w:rPr>
              <w:t>39.857</w:t>
            </w:r>
          </w:p>
        </w:tc>
      </w:tr>
      <w:tr>
        <w:trPr>
          <w:cantSplit/>
        </w:trPr>
        <w:tc>
          <w:tcPr>
            <w:tcW w:type="dxa" w:w="1674"/>
          </w:tcPr>
          <w:p>
            <w:pPr>
              <w:pStyle w:val="MDPI42tablebody"/>
              <w:keepNext/>
              <w:spacing w:line="240" w:lineRule="auto" w:before="30" w:after="30"/>
              <w:jc w:val="left"/>
            </w:pPr>
            <w:r>
              <w:rPr>
                <w:b w:val="0"/>
                <w:i/>
                <w:sz w:val="16"/>
              </w:rPr>
              <w:t>A</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−0.001</w:t>
            </w:r>
          </w:p>
        </w:tc>
        <w:tc>
          <w:tcPr>
            <w:tcW w:type="dxa" w:w="1098"/>
          </w:tcPr>
          <w:p>
            <w:pPr>
              <w:pStyle w:val="MDPI42tablebody"/>
              <w:keepNext/>
              <w:spacing w:line="240" w:lineRule="auto" w:before="30" w:after="30"/>
              <w:jc w:val="center"/>
            </w:pPr>
            <w:r>
              <w:rPr>
                <w:b w:val="0"/>
                <w:i w:val="0"/>
                <w:sz w:val="16"/>
              </w:rPr>
              <w:t>1.005</w:t>
            </w:r>
          </w:p>
        </w:tc>
        <w:tc>
          <w:tcPr>
            <w:tcW w:type="dxa" w:w="1098"/>
          </w:tcPr>
          <w:p>
            <w:pPr>
              <w:pStyle w:val="MDPI42tablebody"/>
              <w:keepNext/>
              <w:spacing w:line="240" w:lineRule="auto" w:before="30" w:after="30"/>
              <w:jc w:val="center"/>
            </w:pPr>
            <w:r>
              <w:rPr>
                <w:b w:val="0"/>
                <w:i w:val="0"/>
                <w:sz w:val="16"/>
              </w:rPr>
              <w:t>−0.614</w:t>
            </w:r>
          </w:p>
        </w:tc>
        <w:tc>
          <w:tcPr>
            <w:tcW w:type="dxa" w:w="1098"/>
          </w:tcPr>
          <w:p>
            <w:pPr>
              <w:pStyle w:val="MDPI42tablebody"/>
              <w:keepNext/>
              <w:spacing w:line="240" w:lineRule="auto" w:before="30" w:after="30"/>
              <w:jc w:val="center"/>
            </w:pPr>
            <w:r>
              <w:rPr>
                <w:b w:val="0"/>
                <w:i w:val="0"/>
                <w:sz w:val="16"/>
              </w:rPr>
              <w:t>0.006</w:t>
            </w:r>
          </w:p>
        </w:tc>
        <w:tc>
          <w:tcPr>
            <w:tcW w:type="dxa" w:w="1098"/>
          </w:tcPr>
          <w:p>
            <w:pPr>
              <w:pStyle w:val="MDPI42tablebody"/>
              <w:keepNext/>
              <w:spacing w:line="240" w:lineRule="auto" w:before="30" w:after="30"/>
              <w:jc w:val="center"/>
            </w:pPr>
            <w:r>
              <w:rPr>
                <w:b w:val="0"/>
                <w:i w:val="0"/>
                <w:sz w:val="16"/>
              </w:rPr>
              <w:t>0.618</w:t>
            </w:r>
          </w:p>
        </w:tc>
        <w:tc>
          <w:tcPr>
            <w:tcW w:type="dxa" w:w="1098"/>
          </w:tcPr>
          <w:p>
            <w:pPr>
              <w:pStyle w:val="MDPI42tablebody"/>
              <w:keepNext/>
              <w:spacing w:line="240" w:lineRule="auto" w:before="30" w:after="30"/>
              <w:jc w:val="center"/>
            </w:pPr>
            <w:r>
              <w:rPr>
                <w:b w:val="0"/>
                <w:i w:val="0"/>
                <w:sz w:val="16"/>
              </w:rPr>
              <w:t>−5.174</w:t>
            </w:r>
          </w:p>
        </w:tc>
        <w:tc>
          <w:tcPr>
            <w:tcW w:type="dxa" w:w="1098"/>
          </w:tcPr>
          <w:p>
            <w:pPr>
              <w:pStyle w:val="MDPI42tablebody"/>
              <w:keepNext/>
              <w:spacing w:line="240" w:lineRule="auto" w:before="30" w:after="30"/>
              <w:jc w:val="center"/>
            </w:pPr>
            <w:r>
              <w:rPr>
                <w:b w:val="0"/>
                <w:i w:val="0"/>
                <w:sz w:val="16"/>
              </w:rPr>
              <w:t>5.276</w:t>
            </w:r>
          </w:p>
        </w:tc>
      </w:tr>
      <w:tr>
        <w:trPr>
          <w:cantSplit/>
        </w:trPr>
        <w:tc>
          <w:tcPr>
            <w:tcW w:type="dxa" w:w="1674"/>
          </w:tcPr>
          <w:p>
            <w:pPr>
              <w:pStyle w:val="MDPI42tablebody"/>
              <w:keepNext/>
              <w:spacing w:line="240" w:lineRule="auto" w:before="30" w:after="30"/>
              <w:jc w:val="left"/>
            </w:pPr>
            <w:r>
              <w:rPr>
                <w:b w:val="0"/>
                <w:i/>
                <w:sz w:val="16"/>
              </w:rPr>
              <w:t>A</w:t>
            </w:r>
            <w:r>
              <w:rPr>
                <w:b w:val="0"/>
                <w:i/>
                <w:sz w:val="16"/>
                <w:vertAlign w:val="superscript"/>
              </w:rPr>
              <w:t>u</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0.017</w:t>
            </w:r>
          </w:p>
        </w:tc>
        <w:tc>
          <w:tcPr>
            <w:tcW w:type="dxa" w:w="1098"/>
          </w:tcPr>
          <w:p>
            <w:pPr>
              <w:pStyle w:val="MDPI42tablebody"/>
              <w:keepNext/>
              <w:spacing w:line="240" w:lineRule="auto" w:before="30" w:after="30"/>
              <w:jc w:val="center"/>
            </w:pPr>
            <w:r>
              <w:rPr>
                <w:b w:val="0"/>
                <w:i w:val="0"/>
                <w:sz w:val="16"/>
              </w:rPr>
              <w:t>0.568</w:t>
            </w:r>
          </w:p>
        </w:tc>
        <w:tc>
          <w:tcPr>
            <w:tcW w:type="dxa" w:w="1098"/>
          </w:tcPr>
          <w:p>
            <w:pPr>
              <w:pStyle w:val="MDPI42tablebody"/>
              <w:keepNext/>
              <w:spacing w:line="240" w:lineRule="auto" w:before="30" w:after="30"/>
              <w:jc w:val="center"/>
            </w:pPr>
            <w:r>
              <w:rPr>
                <w:b w:val="0"/>
                <w:i w:val="0"/>
                <w:sz w:val="16"/>
              </w:rPr>
              <w:t>−0.315</w:t>
            </w:r>
          </w:p>
        </w:tc>
        <w:tc>
          <w:tcPr>
            <w:tcW w:type="dxa" w:w="1098"/>
          </w:tcPr>
          <w:p>
            <w:pPr>
              <w:pStyle w:val="MDPI42tablebody"/>
              <w:keepNext/>
              <w:spacing w:line="240" w:lineRule="auto" w:before="30" w:after="30"/>
              <w:jc w:val="center"/>
            </w:pPr>
            <w:r>
              <w:rPr>
                <w:b w:val="0"/>
                <w:i w:val="0"/>
                <w:sz w:val="16"/>
              </w:rPr>
              <w:t>0.010</w:t>
            </w:r>
          </w:p>
        </w:tc>
        <w:tc>
          <w:tcPr>
            <w:tcW w:type="dxa" w:w="1098"/>
          </w:tcPr>
          <w:p>
            <w:pPr>
              <w:pStyle w:val="MDPI42tablebody"/>
              <w:keepNext/>
              <w:spacing w:line="240" w:lineRule="auto" w:before="30" w:after="30"/>
              <w:jc w:val="center"/>
            </w:pPr>
            <w:r>
              <w:rPr>
                <w:b w:val="0"/>
                <w:i w:val="0"/>
                <w:sz w:val="16"/>
              </w:rPr>
              <w:t>0.347</w:t>
            </w:r>
          </w:p>
        </w:tc>
        <w:tc>
          <w:tcPr>
            <w:tcW w:type="dxa" w:w="1098"/>
          </w:tcPr>
          <w:p>
            <w:pPr>
              <w:pStyle w:val="MDPI42tablebody"/>
              <w:keepNext/>
              <w:spacing w:line="240" w:lineRule="auto" w:before="30" w:after="30"/>
              <w:jc w:val="center"/>
            </w:pPr>
            <w:r>
              <w:rPr>
                <w:b w:val="0"/>
                <w:i w:val="0"/>
                <w:sz w:val="16"/>
              </w:rPr>
              <w:t>−3.098</w:t>
            </w:r>
          </w:p>
        </w:tc>
        <w:tc>
          <w:tcPr>
            <w:tcW w:type="dxa" w:w="1098"/>
          </w:tcPr>
          <w:p>
            <w:pPr>
              <w:pStyle w:val="MDPI42tablebody"/>
              <w:keepNext/>
              <w:spacing w:line="240" w:lineRule="auto" w:before="30" w:after="30"/>
              <w:jc w:val="center"/>
            </w:pPr>
            <w:r>
              <w:rPr>
                <w:b w:val="0"/>
                <w:i w:val="0"/>
                <w:sz w:val="16"/>
              </w:rPr>
              <w:t>3.162</w:t>
            </w:r>
          </w:p>
        </w:tc>
      </w:tr>
      <w:tr>
        <w:trPr>
          <w:cantSplit/>
        </w:trPr>
        <w:tc>
          <w:tcPr>
            <w:tcW w:type="dxa" w:w="1674"/>
          </w:tcPr>
          <w:p>
            <w:pPr>
              <w:pStyle w:val="MDPI42tablebody"/>
              <w:keepNext/>
              <w:spacing w:line="240" w:lineRule="auto" w:before="30" w:after="30"/>
              <w:jc w:val="left"/>
            </w:pPr>
            <w:r>
              <w:rPr>
                <w:b w:val="0"/>
                <w:i/>
                <w:sz w:val="16"/>
              </w:rPr>
              <w:t>A</w:t>
            </w:r>
            <w:r>
              <w:rPr>
                <w:b w:val="0"/>
                <w:i/>
                <w:sz w:val="16"/>
                <w:vertAlign w:val="superscript"/>
              </w:rPr>
              <w:t>d</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0.558</w:t>
            </w:r>
          </w:p>
        </w:tc>
        <w:tc>
          <w:tcPr>
            <w:tcW w:type="dxa" w:w="1098"/>
          </w:tcPr>
          <w:p>
            <w:pPr>
              <w:pStyle w:val="MDPI42tablebody"/>
              <w:keepNext/>
              <w:spacing w:line="240" w:lineRule="auto" w:before="30" w:after="30"/>
              <w:jc w:val="center"/>
            </w:pPr>
            <w:r>
              <w:rPr>
                <w:b w:val="0"/>
                <w:i w:val="0"/>
                <w:sz w:val="16"/>
              </w:rPr>
              <w:t>−0.321</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0.333</w:t>
            </w:r>
          </w:p>
        </w:tc>
        <w:tc>
          <w:tcPr>
            <w:tcW w:type="dxa" w:w="1098"/>
          </w:tcPr>
          <w:p>
            <w:pPr>
              <w:pStyle w:val="MDPI42tablebody"/>
              <w:keepNext/>
              <w:spacing w:line="240" w:lineRule="auto" w:before="30" w:after="30"/>
              <w:jc w:val="center"/>
            </w:pPr>
            <w:r>
              <w:rPr>
                <w:b w:val="0"/>
                <w:i w:val="0"/>
                <w:sz w:val="16"/>
              </w:rPr>
              <w:t>−2.921</w:t>
            </w:r>
          </w:p>
        </w:tc>
        <w:tc>
          <w:tcPr>
            <w:tcW w:type="dxa" w:w="1098"/>
          </w:tcPr>
          <w:p>
            <w:pPr>
              <w:pStyle w:val="MDPI42tablebody"/>
              <w:keepNext/>
              <w:spacing w:line="240" w:lineRule="auto" w:before="30" w:after="30"/>
              <w:jc w:val="center"/>
            </w:pPr>
            <w:r>
              <w:rPr>
                <w:b w:val="0"/>
                <w:i w:val="0"/>
                <w:sz w:val="16"/>
              </w:rPr>
              <w:t>2.836</w:t>
            </w:r>
          </w:p>
        </w:tc>
      </w:tr>
      <w:tr>
        <w:trPr>
          <w:cantSplit/>
        </w:trPr>
        <w:tc>
          <w:tcPr>
            <w:tcW w:type="dxa" w:w="1674"/>
          </w:tcPr>
          <w:p>
            <w:pPr>
              <w:pStyle w:val="MDPI42tablebody"/>
              <w:keepNext/>
              <w:spacing w:line="240" w:lineRule="auto" w:before="30" w:after="30"/>
              <w:jc w:val="left"/>
            </w:pPr>
            <w:r>
              <w:rPr>
                <w:b w:val="0"/>
                <w:i/>
                <w:sz w:val="16"/>
              </w:rPr>
              <w:t>A</w:t>
            </w:r>
            <w:r>
              <w:rPr>
                <w:b w:val="0"/>
                <w:i/>
                <w:sz w:val="16"/>
                <w:vertAlign w:val="superscript"/>
              </w:rPr>
              <w:t>p</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0.238</w:t>
            </w:r>
          </w:p>
        </w:tc>
        <w:tc>
          <w:tcPr>
            <w:tcW w:type="dxa" w:w="1098"/>
          </w:tcPr>
          <w:p>
            <w:pPr>
              <w:pStyle w:val="MDPI42tablebody"/>
              <w:keepNext/>
              <w:spacing w:line="240" w:lineRule="auto" w:before="30" w:after="30"/>
              <w:jc w:val="center"/>
            </w:pPr>
            <w:r>
              <w:rPr>
                <w:b w:val="0"/>
                <w:i w:val="0"/>
                <w:sz w:val="16"/>
              </w:rPr>
              <w:t>−0.100</w:t>
            </w:r>
          </w:p>
        </w:tc>
        <w:tc>
          <w:tcPr>
            <w:tcW w:type="dxa" w:w="1098"/>
          </w:tcPr>
          <w:p>
            <w:pPr>
              <w:pStyle w:val="MDPI42tablebody"/>
              <w:keepNext/>
              <w:spacing w:line="240" w:lineRule="auto" w:before="30" w:after="30"/>
              <w:jc w:val="center"/>
            </w:pPr>
            <w:r>
              <w:rPr>
                <w:b w:val="0"/>
                <w:i w:val="0"/>
                <w:sz w:val="16"/>
              </w:rPr>
              <w:t>−0.002</w:t>
            </w:r>
          </w:p>
        </w:tc>
        <w:tc>
          <w:tcPr>
            <w:tcW w:type="dxa" w:w="1098"/>
          </w:tcPr>
          <w:p>
            <w:pPr>
              <w:pStyle w:val="MDPI42tablebody"/>
              <w:keepNext/>
              <w:spacing w:line="240" w:lineRule="auto" w:before="30" w:after="30"/>
              <w:jc w:val="center"/>
            </w:pPr>
            <w:r>
              <w:rPr>
                <w:b w:val="0"/>
                <w:i w:val="0"/>
                <w:sz w:val="16"/>
              </w:rPr>
              <w:t>0.095</w:t>
            </w:r>
          </w:p>
        </w:tc>
        <w:tc>
          <w:tcPr>
            <w:tcW w:type="dxa" w:w="1098"/>
          </w:tcPr>
          <w:p>
            <w:pPr>
              <w:pStyle w:val="MDPI42tablebody"/>
              <w:keepNext/>
              <w:spacing w:line="240" w:lineRule="auto" w:before="30" w:after="30"/>
              <w:jc w:val="center"/>
            </w:pPr>
            <w:r>
              <w:rPr>
                <w:b w:val="0"/>
                <w:i w:val="0"/>
                <w:sz w:val="16"/>
              </w:rPr>
              <w:t>−0.889</w:t>
            </w:r>
          </w:p>
        </w:tc>
        <w:tc>
          <w:tcPr>
            <w:tcW w:type="dxa" w:w="1098"/>
          </w:tcPr>
          <w:p>
            <w:pPr>
              <w:pStyle w:val="MDPI42tablebody"/>
              <w:keepNext/>
              <w:spacing w:line="240" w:lineRule="auto" w:before="30" w:after="30"/>
              <w:jc w:val="center"/>
            </w:pPr>
            <w:r>
              <w:rPr>
                <w:b w:val="0"/>
                <w:i w:val="0"/>
                <w:sz w:val="16"/>
              </w:rPr>
              <w:t>0.890</w:t>
            </w:r>
          </w:p>
        </w:tc>
      </w:tr>
      <w:tr>
        <w:trPr>
          <w:cantSplit/>
        </w:trPr>
        <w:tc>
          <w:tcPr>
            <w:tcW w:type="dxa" w:w="1674"/>
          </w:tcPr>
          <w:p>
            <w:pPr>
              <w:pStyle w:val="MDPI42tablebody"/>
              <w:keepNext/>
              <w:spacing w:line="240" w:lineRule="auto" w:before="30" w:after="30"/>
              <w:jc w:val="left"/>
            </w:pPr>
            <w:r>
              <w:rPr>
                <w:b w:val="0"/>
                <w:i/>
                <w:sz w:val="16"/>
              </w:rPr>
              <w:t>A</w:t>
            </w:r>
            <w:r>
              <w:rPr>
                <w:b w:val="0"/>
                <w:i/>
                <w:sz w:val="16"/>
                <w:vertAlign w:val="superscript"/>
              </w:rPr>
              <w:t>c</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0.009</w:t>
            </w:r>
          </w:p>
        </w:tc>
        <w:tc>
          <w:tcPr>
            <w:tcW w:type="dxa" w:w="1098"/>
          </w:tcPr>
          <w:p>
            <w:pPr>
              <w:pStyle w:val="MDPI42tablebody"/>
              <w:keepNext/>
              <w:spacing w:line="240" w:lineRule="auto" w:before="30" w:after="30"/>
              <w:jc w:val="center"/>
            </w:pPr>
            <w:r>
              <w:rPr>
                <w:b w:val="0"/>
                <w:i w:val="0"/>
                <w:sz w:val="16"/>
              </w:rPr>
              <w:t>0.398</w:t>
            </w:r>
          </w:p>
        </w:tc>
        <w:tc>
          <w:tcPr>
            <w:tcW w:type="dxa" w:w="1098"/>
          </w:tcPr>
          <w:p>
            <w:pPr>
              <w:pStyle w:val="MDPI42tablebody"/>
              <w:keepNext/>
              <w:spacing w:line="240" w:lineRule="auto" w:before="30" w:after="30"/>
              <w:jc w:val="center"/>
            </w:pPr>
            <w:r>
              <w:rPr>
                <w:b w:val="0"/>
                <w:i w:val="0"/>
                <w:sz w:val="16"/>
              </w:rPr>
              <w:t>−0.224</w:t>
            </w:r>
          </w:p>
        </w:tc>
        <w:tc>
          <w:tcPr>
            <w:tcW w:type="dxa" w:w="1098"/>
          </w:tcPr>
          <w:p>
            <w:pPr>
              <w:pStyle w:val="MDPI42tablebody"/>
              <w:keepNext/>
              <w:spacing w:line="240" w:lineRule="auto" w:before="30" w:after="30"/>
              <w:jc w:val="center"/>
            </w:pPr>
            <w:r>
              <w:rPr>
                <w:b w:val="0"/>
                <w:i w:val="0"/>
                <w:sz w:val="16"/>
              </w:rPr>
              <w:t>0.005</w:t>
            </w:r>
          </w:p>
        </w:tc>
        <w:tc>
          <w:tcPr>
            <w:tcW w:type="dxa" w:w="1098"/>
          </w:tcPr>
          <w:p>
            <w:pPr>
              <w:pStyle w:val="MDPI42tablebody"/>
              <w:keepNext/>
              <w:spacing w:line="240" w:lineRule="auto" w:before="30" w:after="30"/>
              <w:jc w:val="center"/>
            </w:pPr>
            <w:r>
              <w:rPr>
                <w:b w:val="0"/>
                <w:i w:val="0"/>
                <w:sz w:val="16"/>
              </w:rPr>
              <w:t>0.242</w:t>
            </w:r>
          </w:p>
        </w:tc>
        <w:tc>
          <w:tcPr>
            <w:tcW w:type="dxa" w:w="1098"/>
          </w:tcPr>
          <w:p>
            <w:pPr>
              <w:pStyle w:val="MDPI42tablebody"/>
              <w:keepNext/>
              <w:spacing w:line="240" w:lineRule="auto" w:before="30" w:after="30"/>
              <w:jc w:val="center"/>
            </w:pPr>
            <w:r>
              <w:rPr>
                <w:b w:val="0"/>
                <w:i w:val="0"/>
                <w:sz w:val="16"/>
              </w:rPr>
              <w:t>−1.947</w:t>
            </w:r>
          </w:p>
        </w:tc>
        <w:tc>
          <w:tcPr>
            <w:tcW w:type="dxa" w:w="1098"/>
          </w:tcPr>
          <w:p>
            <w:pPr>
              <w:pStyle w:val="MDPI42tablebody"/>
              <w:keepNext/>
              <w:spacing w:line="240" w:lineRule="auto" w:before="30" w:after="30"/>
              <w:jc w:val="center"/>
            </w:pPr>
            <w:r>
              <w:rPr>
                <w:b w:val="0"/>
                <w:i w:val="0"/>
                <w:sz w:val="16"/>
              </w:rPr>
              <w:t>1.956</w:t>
            </w:r>
          </w:p>
        </w:tc>
      </w:tr>
      <w:tr>
        <w:trPr>
          <w:cantSplit/>
        </w:trPr>
        <w:tc>
          <w:tcPr>
            <w:tcW w:type="dxa" w:w="1674"/>
          </w:tcPr>
          <w:p>
            <w:pPr>
              <w:pStyle w:val="MDPI42tablebody"/>
              <w:keepNext/>
              <w:spacing w:line="240" w:lineRule="auto" w:before="30" w:after="30"/>
              <w:jc w:val="left"/>
            </w:pPr>
            <w:r>
              <w:rPr>
                <w:b w:val="0"/>
                <w:i/>
                <w:sz w:val="16"/>
              </w:rPr>
              <w:t>A</w:t>
            </w:r>
            <w:r>
              <w:rPr>
                <w:b w:val="0"/>
                <w:i/>
                <w:sz w:val="16"/>
                <w:vertAlign w:val="superscript"/>
              </w:rPr>
              <w:t>d</w:t>
            </w:r>
            <w:r>
              <w:rPr>
                <w:b w:val="0"/>
                <w:i/>
                <w:sz w:val="16"/>
              </w:rPr>
              <w:t>(specific)</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−0.018</w:t>
            </w:r>
          </w:p>
        </w:tc>
        <w:tc>
          <w:tcPr>
            <w:tcW w:type="dxa" w:w="1098"/>
          </w:tcPr>
          <w:p>
            <w:pPr>
              <w:pStyle w:val="MDPI42tablebody"/>
              <w:keepNext/>
              <w:spacing w:line="240" w:lineRule="auto" w:before="30" w:after="30"/>
              <w:jc w:val="center"/>
            </w:pPr>
            <w:r>
              <w:rPr>
                <w:b w:val="0"/>
                <w:i w:val="0"/>
                <w:sz w:val="16"/>
              </w:rPr>
              <w:t>0.393</w:t>
            </w:r>
          </w:p>
        </w:tc>
        <w:tc>
          <w:tcPr>
            <w:tcW w:type="dxa" w:w="1098"/>
          </w:tcPr>
          <w:p>
            <w:pPr>
              <w:pStyle w:val="MDPI42tablebody"/>
              <w:keepNext/>
              <w:spacing w:line="240" w:lineRule="auto" w:before="30" w:after="30"/>
              <w:jc w:val="center"/>
            </w:pPr>
            <w:r>
              <w:rPr>
                <w:b w:val="0"/>
                <w:i w:val="0"/>
                <w:sz w:val="16"/>
              </w:rPr>
              <w:t>−0.202</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0.172</w:t>
            </w:r>
          </w:p>
        </w:tc>
        <w:tc>
          <w:tcPr>
            <w:tcW w:type="dxa" w:w="1098"/>
          </w:tcPr>
          <w:p>
            <w:pPr>
              <w:pStyle w:val="MDPI42tablebody"/>
              <w:keepNext/>
              <w:spacing w:line="240" w:lineRule="auto" w:before="30" w:after="30"/>
              <w:jc w:val="center"/>
            </w:pPr>
            <w:r>
              <w:rPr>
                <w:b w:val="0"/>
                <w:i w:val="0"/>
                <w:sz w:val="16"/>
              </w:rPr>
              <w:t>−2.568</w:t>
            </w:r>
          </w:p>
        </w:tc>
        <w:tc>
          <w:tcPr>
            <w:tcW w:type="dxa" w:w="1098"/>
          </w:tcPr>
          <w:p>
            <w:pPr>
              <w:pStyle w:val="MDPI42tablebody"/>
              <w:keepNext/>
              <w:spacing w:line="240" w:lineRule="auto" w:before="30" w:after="30"/>
              <w:jc w:val="center"/>
            </w:pPr>
            <w:r>
              <w:rPr>
                <w:b w:val="0"/>
                <w:i w:val="0"/>
                <w:sz w:val="16"/>
              </w:rPr>
              <w:t>2.199</w:t>
            </w:r>
          </w:p>
        </w:tc>
      </w:tr>
      <w:tr>
        <w:trPr>
          <w:cantSplit/>
        </w:trPr>
        <w:tc>
          <w:tcPr>
            <w:tcW w:type="dxa" w:w="1674"/>
          </w:tcPr>
          <w:p>
            <w:pPr>
              <w:pStyle w:val="MDPI42tablebody"/>
              <w:keepNext/>
              <w:spacing w:line="240" w:lineRule="auto" w:before="30" w:after="30"/>
              <w:jc w:val="left"/>
            </w:pPr>
            <w:r>
              <w:rPr>
                <w:b w:val="0"/>
                <w:i/>
                <w:sz w:val="16"/>
              </w:rPr>
              <w:t>A</w:t>
            </w:r>
            <w:r>
              <w:rPr>
                <w:b w:val="0"/>
                <w:i/>
                <w:sz w:val="16"/>
                <w:vertAlign w:val="superscript"/>
              </w:rPr>
              <w:t>d</w:t>
            </w:r>
            <w:r>
              <w:rPr>
                <w:b w:val="0"/>
                <w:i/>
                <w:sz w:val="16"/>
              </w:rPr>
              <w:t>(generic)</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0.019</w:t>
            </w:r>
          </w:p>
        </w:tc>
        <w:tc>
          <w:tcPr>
            <w:tcW w:type="dxa" w:w="1098"/>
          </w:tcPr>
          <w:p>
            <w:pPr>
              <w:pStyle w:val="MDPI42tablebody"/>
              <w:keepNext/>
              <w:spacing w:line="240" w:lineRule="auto" w:before="30" w:after="30"/>
              <w:jc w:val="center"/>
            </w:pPr>
            <w:r>
              <w:rPr>
                <w:b w:val="0"/>
                <w:i w:val="0"/>
                <w:sz w:val="16"/>
              </w:rPr>
              <w:t>0.402</w:t>
            </w:r>
          </w:p>
        </w:tc>
        <w:tc>
          <w:tcPr>
            <w:tcW w:type="dxa" w:w="1098"/>
          </w:tcPr>
          <w:p>
            <w:pPr>
              <w:pStyle w:val="MDPI42tablebody"/>
              <w:keepNext/>
              <w:spacing w:line="240" w:lineRule="auto" w:before="30" w:after="30"/>
              <w:jc w:val="center"/>
            </w:pPr>
            <w:r>
              <w:rPr>
                <w:b w:val="0"/>
                <w:i w:val="0"/>
                <w:sz w:val="16"/>
              </w:rPr>
              <w:t>−0.149</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0.178</w:t>
            </w:r>
          </w:p>
        </w:tc>
        <w:tc>
          <w:tcPr>
            <w:tcW w:type="dxa" w:w="1098"/>
          </w:tcPr>
          <w:p>
            <w:pPr>
              <w:pStyle w:val="MDPI42tablebody"/>
              <w:keepNext/>
              <w:spacing w:line="240" w:lineRule="auto" w:before="30" w:after="30"/>
              <w:jc w:val="center"/>
            </w:pPr>
            <w:r>
              <w:rPr>
                <w:b w:val="0"/>
                <w:i w:val="0"/>
                <w:sz w:val="16"/>
              </w:rPr>
              <w:t>−3.131</w:t>
            </w:r>
          </w:p>
        </w:tc>
        <w:tc>
          <w:tcPr>
            <w:tcW w:type="dxa" w:w="1098"/>
          </w:tcPr>
          <w:p>
            <w:pPr>
              <w:pStyle w:val="MDPI42tablebody"/>
              <w:keepNext/>
              <w:spacing w:line="240" w:lineRule="auto" w:before="30" w:after="30"/>
              <w:jc w:val="center"/>
            </w:pPr>
            <w:r>
              <w:rPr>
                <w:b w:val="0"/>
                <w:i w:val="0"/>
                <w:sz w:val="16"/>
              </w:rPr>
              <w:t>2.599</w:t>
            </w:r>
          </w:p>
        </w:tc>
      </w:tr>
      <w:tr>
        <w:trPr>
          <w:cantSplit/>
        </w:trPr>
        <w:tc>
          <w:tcPr>
            <w:tcW w:type="dxa" w:w="1674"/>
          </w:tcPr>
          <w:p>
            <w:pPr>
              <w:pStyle w:val="MDPI42tablebody"/>
              <w:keepNext/>
              <w:spacing w:line="240" w:lineRule="auto" w:before="30" w:after="30"/>
              <w:jc w:val="left"/>
            </w:pPr>
            <w:r>
              <w:rPr>
                <w:b w:val="0"/>
                <w:i/>
                <w:sz w:val="16"/>
              </w:rPr>
              <w:t>Size</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14.650</w:t>
            </w:r>
          </w:p>
        </w:tc>
        <w:tc>
          <w:tcPr>
            <w:tcW w:type="dxa" w:w="1098"/>
          </w:tcPr>
          <w:p>
            <w:pPr>
              <w:pStyle w:val="MDPI42tablebody"/>
              <w:keepNext/>
              <w:spacing w:line="240" w:lineRule="auto" w:before="30" w:after="30"/>
              <w:jc w:val="center"/>
            </w:pPr>
            <w:r>
              <w:rPr>
                <w:b w:val="0"/>
                <w:i w:val="0"/>
                <w:sz w:val="16"/>
              </w:rPr>
              <w:t>1.226</w:t>
            </w:r>
          </w:p>
        </w:tc>
        <w:tc>
          <w:tcPr>
            <w:tcW w:type="dxa" w:w="1098"/>
          </w:tcPr>
          <w:p>
            <w:pPr>
              <w:pStyle w:val="MDPI42tablebody"/>
              <w:keepNext/>
              <w:spacing w:line="240" w:lineRule="auto" w:before="30" w:after="30"/>
              <w:jc w:val="center"/>
            </w:pPr>
            <w:r>
              <w:rPr>
                <w:b w:val="0"/>
                <w:i w:val="0"/>
                <w:sz w:val="16"/>
              </w:rPr>
              <w:t>13.800</w:t>
            </w:r>
          </w:p>
        </w:tc>
        <w:tc>
          <w:tcPr>
            <w:tcW w:type="dxa" w:w="1098"/>
          </w:tcPr>
          <w:p>
            <w:pPr>
              <w:pStyle w:val="MDPI42tablebody"/>
              <w:keepNext/>
              <w:spacing w:line="240" w:lineRule="auto" w:before="30" w:after="30"/>
              <w:jc w:val="center"/>
            </w:pPr>
            <w:r>
              <w:rPr>
                <w:b w:val="0"/>
                <w:i w:val="0"/>
                <w:sz w:val="16"/>
              </w:rPr>
              <w:t>14.648</w:t>
            </w:r>
          </w:p>
        </w:tc>
        <w:tc>
          <w:tcPr>
            <w:tcW w:type="dxa" w:w="1098"/>
          </w:tcPr>
          <w:p>
            <w:pPr>
              <w:pStyle w:val="MDPI42tablebody"/>
              <w:keepNext/>
              <w:spacing w:line="240" w:lineRule="auto" w:before="30" w:after="30"/>
              <w:jc w:val="center"/>
            </w:pPr>
            <w:r>
              <w:rPr>
                <w:b w:val="0"/>
                <w:i w:val="0"/>
                <w:sz w:val="16"/>
              </w:rPr>
              <w:t>15.505</w:t>
            </w:r>
          </w:p>
        </w:tc>
        <w:tc>
          <w:tcPr>
            <w:tcW w:type="dxa" w:w="1098"/>
          </w:tcPr>
          <w:p>
            <w:pPr>
              <w:pStyle w:val="MDPI42tablebody"/>
              <w:keepNext/>
              <w:spacing w:line="240" w:lineRule="auto" w:before="30" w:after="30"/>
              <w:jc w:val="center"/>
            </w:pPr>
            <w:r>
              <w:rPr>
                <w:b w:val="0"/>
                <w:i w:val="0"/>
                <w:sz w:val="16"/>
              </w:rPr>
              <w:t>10.450</w:t>
            </w:r>
          </w:p>
        </w:tc>
        <w:tc>
          <w:tcPr>
            <w:tcW w:type="dxa" w:w="1098"/>
          </w:tcPr>
          <w:p>
            <w:pPr>
              <w:pStyle w:val="MDPI42tablebody"/>
              <w:keepNext/>
              <w:spacing w:line="240" w:lineRule="auto" w:before="30" w:after="30"/>
              <w:jc w:val="center"/>
            </w:pPr>
            <w:r>
              <w:rPr>
                <w:b w:val="0"/>
                <w:i w:val="0"/>
                <w:sz w:val="16"/>
              </w:rPr>
              <w:t>19.418</w:t>
            </w:r>
          </w:p>
        </w:tc>
      </w:tr>
      <w:tr>
        <w:trPr>
          <w:cantSplit/>
        </w:trPr>
        <w:tc>
          <w:tcPr>
            <w:tcW w:type="dxa" w:w="1674"/>
          </w:tcPr>
          <w:p>
            <w:pPr>
              <w:pStyle w:val="MDPI42tablebody"/>
              <w:keepNext/>
              <w:spacing w:line="240" w:lineRule="auto" w:before="30" w:after="30"/>
              <w:jc w:val="left"/>
            </w:pPr>
            <w:r>
              <w:rPr>
                <w:b w:val="0"/>
                <w:i/>
                <w:sz w:val="16"/>
              </w:rPr>
              <w:t>Lev</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0.420</w:t>
            </w:r>
          </w:p>
        </w:tc>
        <w:tc>
          <w:tcPr>
            <w:tcW w:type="dxa" w:w="1098"/>
          </w:tcPr>
          <w:p>
            <w:pPr>
              <w:pStyle w:val="MDPI42tablebody"/>
              <w:keepNext/>
              <w:spacing w:line="240" w:lineRule="auto" w:before="30" w:after="30"/>
              <w:jc w:val="center"/>
            </w:pPr>
            <w:r>
              <w:rPr>
                <w:b w:val="0"/>
                <w:i w:val="0"/>
                <w:sz w:val="16"/>
              </w:rPr>
              <w:t>0.050</w:t>
            </w:r>
          </w:p>
        </w:tc>
        <w:tc>
          <w:tcPr>
            <w:tcW w:type="dxa" w:w="1098"/>
          </w:tcPr>
          <w:p>
            <w:pPr>
              <w:pStyle w:val="MDPI42tablebody"/>
              <w:keepNext/>
              <w:spacing w:line="240" w:lineRule="auto" w:before="30" w:after="30"/>
              <w:jc w:val="center"/>
            </w:pPr>
            <w:r>
              <w:rPr>
                <w:b w:val="0"/>
                <w:i w:val="0"/>
                <w:sz w:val="16"/>
              </w:rPr>
              <w:t>0.386</w:t>
            </w:r>
          </w:p>
        </w:tc>
        <w:tc>
          <w:tcPr>
            <w:tcW w:type="dxa" w:w="1098"/>
          </w:tcPr>
          <w:p>
            <w:pPr>
              <w:pStyle w:val="MDPI42tablebody"/>
              <w:keepNext/>
              <w:spacing w:line="240" w:lineRule="auto" w:before="30" w:after="30"/>
              <w:jc w:val="center"/>
            </w:pPr>
            <w:r>
              <w:rPr>
                <w:b w:val="0"/>
                <w:i w:val="0"/>
                <w:sz w:val="16"/>
              </w:rPr>
              <w:t>0.419</w:t>
            </w:r>
          </w:p>
        </w:tc>
        <w:tc>
          <w:tcPr>
            <w:tcW w:type="dxa" w:w="1098"/>
          </w:tcPr>
          <w:p>
            <w:pPr>
              <w:pStyle w:val="MDPI42tablebody"/>
              <w:keepNext/>
              <w:spacing w:line="240" w:lineRule="auto" w:before="30" w:after="30"/>
              <w:jc w:val="center"/>
            </w:pPr>
            <w:r>
              <w:rPr>
                <w:b w:val="0"/>
                <w:i w:val="0"/>
                <w:sz w:val="16"/>
              </w:rPr>
              <w:t>0.453</w:t>
            </w:r>
          </w:p>
        </w:tc>
        <w:tc>
          <w:tcPr>
            <w:tcW w:type="dxa" w:w="1098"/>
          </w:tcPr>
          <w:p>
            <w:pPr>
              <w:pStyle w:val="MDPI42tablebody"/>
              <w:keepNext/>
              <w:spacing w:line="240" w:lineRule="auto" w:before="30" w:after="30"/>
              <w:jc w:val="center"/>
            </w:pPr>
            <w:r>
              <w:rPr>
                <w:b w:val="0"/>
                <w:i w:val="0"/>
                <w:sz w:val="16"/>
              </w:rPr>
              <w:t>0.221</w:t>
            </w:r>
          </w:p>
        </w:tc>
        <w:tc>
          <w:tcPr>
            <w:tcW w:type="dxa" w:w="1098"/>
          </w:tcPr>
          <w:p>
            <w:pPr>
              <w:pStyle w:val="MDPI42tablebody"/>
              <w:keepNext/>
              <w:spacing w:line="240" w:lineRule="auto" w:before="30" w:after="30"/>
              <w:jc w:val="center"/>
            </w:pPr>
            <w:r>
              <w:rPr>
                <w:b w:val="0"/>
                <w:i w:val="0"/>
                <w:sz w:val="16"/>
              </w:rPr>
              <w:t>0.618</w:t>
            </w:r>
          </w:p>
        </w:tc>
      </w:tr>
      <w:tr>
        <w:trPr>
          <w:cantSplit/>
        </w:trPr>
        <w:tc>
          <w:tcPr>
            <w:tcW w:type="dxa" w:w="1674"/>
          </w:tcPr>
          <w:p>
            <w:pPr>
              <w:pStyle w:val="MDPI42tablebody"/>
              <w:keepNext/>
              <w:spacing w:line="240" w:lineRule="auto" w:before="30" w:after="30"/>
              <w:jc w:val="left"/>
            </w:pPr>
            <w:r>
              <w:rPr>
                <w:b w:val="0"/>
                <w:i/>
                <w:sz w:val="16"/>
              </w:rPr>
              <w:t>ROA</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0.043</w:t>
            </w:r>
          </w:p>
        </w:tc>
        <w:tc>
          <w:tcPr>
            <w:tcW w:type="dxa" w:w="1098"/>
          </w:tcPr>
          <w:p>
            <w:pPr>
              <w:pStyle w:val="MDPI42tablebody"/>
              <w:keepNext/>
              <w:spacing w:line="240" w:lineRule="auto" w:before="30" w:after="30"/>
              <w:jc w:val="center"/>
            </w:pPr>
            <w:r>
              <w:rPr>
                <w:b w:val="0"/>
                <w:i w:val="0"/>
                <w:sz w:val="16"/>
              </w:rPr>
              <w:t>0.052</w:t>
            </w:r>
          </w:p>
        </w:tc>
        <w:tc>
          <w:tcPr>
            <w:tcW w:type="dxa" w:w="1098"/>
          </w:tcPr>
          <w:p>
            <w:pPr>
              <w:pStyle w:val="MDPI42tablebody"/>
              <w:keepNext/>
              <w:spacing w:line="240" w:lineRule="auto" w:before="30" w:after="30"/>
              <w:jc w:val="center"/>
            </w:pPr>
            <w:r>
              <w:rPr>
                <w:b w:val="0"/>
                <w:i w:val="0"/>
                <w:sz w:val="16"/>
              </w:rPr>
              <w:t>0.008</w:t>
            </w:r>
          </w:p>
        </w:tc>
        <w:tc>
          <w:tcPr>
            <w:tcW w:type="dxa" w:w="1098"/>
          </w:tcPr>
          <w:p>
            <w:pPr>
              <w:pStyle w:val="MDPI42tablebody"/>
              <w:keepNext/>
              <w:spacing w:line="240" w:lineRule="auto" w:before="30" w:after="30"/>
              <w:jc w:val="center"/>
            </w:pPr>
            <w:r>
              <w:rPr>
                <w:b w:val="0"/>
                <w:i w:val="0"/>
                <w:sz w:val="16"/>
              </w:rPr>
              <w:t>0.043</w:t>
            </w:r>
          </w:p>
        </w:tc>
        <w:tc>
          <w:tcPr>
            <w:tcW w:type="dxa" w:w="1098"/>
          </w:tcPr>
          <w:p>
            <w:pPr>
              <w:pStyle w:val="MDPI42tablebody"/>
              <w:keepNext/>
              <w:spacing w:line="240" w:lineRule="auto" w:before="30" w:after="30"/>
              <w:jc w:val="center"/>
            </w:pPr>
            <w:r>
              <w:rPr>
                <w:b w:val="0"/>
                <w:i w:val="0"/>
                <w:sz w:val="16"/>
              </w:rPr>
              <w:t>0.078</w:t>
            </w:r>
          </w:p>
        </w:tc>
        <w:tc>
          <w:tcPr>
            <w:tcW w:type="dxa" w:w="1098"/>
          </w:tcPr>
          <w:p>
            <w:pPr>
              <w:pStyle w:val="MDPI42tablebody"/>
              <w:keepNext/>
              <w:spacing w:line="240" w:lineRule="auto" w:before="30" w:after="30"/>
              <w:jc w:val="center"/>
            </w:pPr>
            <w:r>
              <w:rPr>
                <w:b w:val="0"/>
                <w:i w:val="0"/>
                <w:sz w:val="16"/>
              </w:rPr>
              <w:t>−0.165</w:t>
            </w:r>
          </w:p>
        </w:tc>
        <w:tc>
          <w:tcPr>
            <w:tcW w:type="dxa" w:w="1098"/>
          </w:tcPr>
          <w:p>
            <w:pPr>
              <w:pStyle w:val="MDPI42tablebody"/>
              <w:keepNext/>
              <w:spacing w:line="240" w:lineRule="auto" w:before="30" w:after="30"/>
              <w:jc w:val="center"/>
            </w:pPr>
            <w:r>
              <w:rPr>
                <w:b w:val="0"/>
                <w:i w:val="0"/>
                <w:sz w:val="16"/>
              </w:rPr>
              <w:t>0.243</w:t>
            </w:r>
          </w:p>
        </w:tc>
      </w:tr>
      <w:tr>
        <w:trPr>
          <w:cantSplit/>
        </w:trPr>
        <w:tc>
          <w:tcPr>
            <w:tcW w:type="dxa" w:w="1674"/>
          </w:tcPr>
          <w:p>
            <w:pPr>
              <w:pStyle w:val="MDPI42tablebody"/>
              <w:keepNext/>
              <w:spacing w:line="240" w:lineRule="auto" w:before="30" w:after="30"/>
              <w:jc w:val="left"/>
            </w:pPr>
            <w:r>
              <w:rPr>
                <w:b w:val="0"/>
                <w:i/>
                <w:sz w:val="16"/>
              </w:rPr>
              <w:t>Growth</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0.110</w:t>
            </w:r>
          </w:p>
        </w:tc>
        <w:tc>
          <w:tcPr>
            <w:tcW w:type="dxa" w:w="1098"/>
          </w:tcPr>
          <w:p>
            <w:pPr>
              <w:pStyle w:val="MDPI42tablebody"/>
              <w:keepNext/>
              <w:spacing w:line="240" w:lineRule="auto" w:before="30" w:after="30"/>
              <w:jc w:val="center"/>
            </w:pPr>
            <w:r>
              <w:rPr>
                <w:b w:val="0"/>
                <w:i w:val="0"/>
                <w:sz w:val="16"/>
              </w:rPr>
              <w:t>0.273</w:t>
            </w:r>
          </w:p>
        </w:tc>
        <w:tc>
          <w:tcPr>
            <w:tcW w:type="dxa" w:w="1098"/>
          </w:tcPr>
          <w:p>
            <w:pPr>
              <w:pStyle w:val="MDPI42tablebody"/>
              <w:keepNext/>
              <w:spacing w:line="240" w:lineRule="auto" w:before="30" w:after="30"/>
              <w:jc w:val="center"/>
            </w:pPr>
            <w:r>
              <w:rPr>
                <w:b w:val="0"/>
                <w:i w:val="0"/>
                <w:sz w:val="16"/>
              </w:rPr>
              <w:t>−0.077</w:t>
            </w:r>
          </w:p>
        </w:tc>
        <w:tc>
          <w:tcPr>
            <w:tcW w:type="dxa" w:w="1098"/>
          </w:tcPr>
          <w:p>
            <w:pPr>
              <w:pStyle w:val="MDPI42tablebody"/>
              <w:keepNext/>
              <w:spacing w:line="240" w:lineRule="auto" w:before="30" w:after="30"/>
              <w:jc w:val="center"/>
            </w:pPr>
            <w:r>
              <w:rPr>
                <w:b w:val="0"/>
                <w:i w:val="0"/>
                <w:sz w:val="16"/>
              </w:rPr>
              <w:t>0.109</w:t>
            </w:r>
          </w:p>
        </w:tc>
        <w:tc>
          <w:tcPr>
            <w:tcW w:type="dxa" w:w="1098"/>
          </w:tcPr>
          <w:p>
            <w:pPr>
              <w:pStyle w:val="MDPI42tablebody"/>
              <w:keepNext/>
              <w:spacing w:line="240" w:lineRule="auto" w:before="30" w:after="30"/>
              <w:jc w:val="center"/>
            </w:pPr>
            <w:r>
              <w:rPr>
                <w:b w:val="0"/>
                <w:i w:val="0"/>
                <w:sz w:val="16"/>
              </w:rPr>
              <w:t>0.291</w:t>
            </w:r>
          </w:p>
        </w:tc>
        <w:tc>
          <w:tcPr>
            <w:tcW w:type="dxa" w:w="1098"/>
          </w:tcPr>
          <w:p>
            <w:pPr>
              <w:pStyle w:val="MDPI42tablebody"/>
              <w:keepNext/>
              <w:spacing w:line="240" w:lineRule="auto" w:before="30" w:after="30"/>
              <w:jc w:val="center"/>
            </w:pPr>
            <w:r>
              <w:rPr>
                <w:b w:val="0"/>
                <w:i w:val="0"/>
                <w:sz w:val="16"/>
              </w:rPr>
              <w:t>−0.650</w:t>
            </w:r>
          </w:p>
        </w:tc>
        <w:tc>
          <w:tcPr>
            <w:tcW w:type="dxa" w:w="1098"/>
          </w:tcPr>
          <w:p>
            <w:pPr>
              <w:pStyle w:val="MDPI42tablebody"/>
              <w:keepNext/>
              <w:spacing w:line="240" w:lineRule="auto" w:before="30" w:after="30"/>
              <w:jc w:val="center"/>
            </w:pPr>
            <w:r>
              <w:rPr>
                <w:b w:val="0"/>
                <w:i w:val="0"/>
                <w:sz w:val="16"/>
              </w:rPr>
              <w:t>1.170</w:t>
            </w:r>
          </w:p>
        </w:tc>
      </w:tr>
      <w:tr>
        <w:trPr>
          <w:cantSplit/>
        </w:trPr>
        <w:tc>
          <w:tcPr>
            <w:tcW w:type="dxa" w:w="1674"/>
          </w:tcPr>
          <w:p>
            <w:pPr>
              <w:pStyle w:val="MDPI42tablebody"/>
              <w:keepNext/>
              <w:spacing w:line="240" w:lineRule="auto" w:before="30" w:after="30"/>
              <w:jc w:val="left"/>
            </w:pPr>
            <w:r>
              <w:rPr>
                <w:b w:val="0"/>
                <w:i/>
                <w:sz w:val="16"/>
              </w:rPr>
              <w:t>Cash</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0.172</w:t>
            </w:r>
          </w:p>
        </w:tc>
        <w:tc>
          <w:tcPr>
            <w:tcW w:type="dxa" w:w="1098"/>
          </w:tcPr>
          <w:p>
            <w:pPr>
              <w:pStyle w:val="MDPI42tablebody"/>
              <w:keepNext/>
              <w:spacing w:line="240" w:lineRule="auto" w:before="30" w:after="30"/>
              <w:jc w:val="center"/>
            </w:pPr>
            <w:r>
              <w:rPr>
                <w:b w:val="0"/>
                <w:i w:val="0"/>
                <w:sz w:val="16"/>
              </w:rPr>
              <w:t>0.094</w:t>
            </w:r>
          </w:p>
        </w:tc>
        <w:tc>
          <w:tcPr>
            <w:tcW w:type="dxa" w:w="1098"/>
          </w:tcPr>
          <w:p>
            <w:pPr>
              <w:pStyle w:val="MDPI42tablebody"/>
              <w:keepNext/>
              <w:spacing w:line="240" w:lineRule="auto" w:before="30" w:after="30"/>
              <w:jc w:val="center"/>
            </w:pPr>
            <w:r>
              <w:rPr>
                <w:b w:val="0"/>
                <w:i w:val="0"/>
                <w:sz w:val="16"/>
              </w:rPr>
              <w:t>0.102</w:t>
            </w:r>
          </w:p>
        </w:tc>
        <w:tc>
          <w:tcPr>
            <w:tcW w:type="dxa" w:w="1098"/>
          </w:tcPr>
          <w:p>
            <w:pPr>
              <w:pStyle w:val="MDPI42tablebody"/>
              <w:keepNext/>
              <w:spacing w:line="240" w:lineRule="auto" w:before="30" w:after="30"/>
              <w:jc w:val="center"/>
            </w:pPr>
            <w:r>
              <w:rPr>
                <w:b w:val="0"/>
                <w:i w:val="0"/>
                <w:sz w:val="16"/>
              </w:rPr>
              <w:t>0.170</w:t>
            </w:r>
          </w:p>
        </w:tc>
        <w:tc>
          <w:tcPr>
            <w:tcW w:type="dxa" w:w="1098"/>
          </w:tcPr>
          <w:p>
            <w:pPr>
              <w:pStyle w:val="MDPI42tablebody"/>
              <w:keepNext/>
              <w:spacing w:line="240" w:lineRule="auto" w:before="30" w:after="30"/>
              <w:jc w:val="center"/>
            </w:pPr>
            <w:r>
              <w:rPr>
                <w:b w:val="0"/>
                <w:i w:val="0"/>
                <w:sz w:val="16"/>
              </w:rPr>
              <w:t>0.237</w:t>
            </w:r>
          </w:p>
        </w:tc>
        <w:tc>
          <w:tcPr>
            <w:tcW w:type="dxa" w:w="1098"/>
          </w:tcPr>
          <w:p>
            <w:pPr>
              <w:pStyle w:val="MDPI42tablebody"/>
              <w:keepNext/>
              <w:spacing w:line="240" w:lineRule="auto" w:before="30" w:after="30"/>
              <w:jc w:val="center"/>
            </w:pPr>
            <w:r>
              <w:rPr>
                <w:b w:val="0"/>
                <w:i w:val="0"/>
                <w:sz w:val="16"/>
              </w:rPr>
              <w:t>0.010</w:t>
            </w:r>
          </w:p>
        </w:tc>
        <w:tc>
          <w:tcPr>
            <w:tcW w:type="dxa" w:w="1098"/>
          </w:tcPr>
          <w:p>
            <w:pPr>
              <w:pStyle w:val="MDPI42tablebody"/>
              <w:keepNext/>
              <w:spacing w:line="240" w:lineRule="auto" w:before="30" w:after="30"/>
              <w:jc w:val="center"/>
            </w:pPr>
            <w:r>
              <w:rPr>
                <w:b w:val="0"/>
                <w:i w:val="0"/>
                <w:sz w:val="16"/>
              </w:rPr>
              <w:t>0.582</w:t>
            </w:r>
          </w:p>
        </w:tc>
      </w:tr>
      <w:tr>
        <w:trPr>
          <w:cantSplit/>
        </w:trPr>
        <w:tc>
          <w:tcPr>
            <w:tcW w:type="dxa" w:w="1674"/>
          </w:tcPr>
          <w:p>
            <w:pPr>
              <w:pStyle w:val="MDPI42tablebody"/>
              <w:keepNext/>
              <w:spacing w:line="240" w:lineRule="auto" w:before="30" w:after="30"/>
              <w:jc w:val="left"/>
            </w:pPr>
            <w:r>
              <w:rPr>
                <w:b w:val="0"/>
                <w:i/>
                <w:sz w:val="16"/>
              </w:rPr>
              <w:t>Age</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3.025</w:t>
            </w:r>
          </w:p>
        </w:tc>
        <w:tc>
          <w:tcPr>
            <w:tcW w:type="dxa" w:w="1098"/>
          </w:tcPr>
          <w:p>
            <w:pPr>
              <w:pStyle w:val="MDPI42tablebody"/>
              <w:keepNext/>
              <w:spacing w:line="240" w:lineRule="auto" w:before="30" w:after="30"/>
              <w:jc w:val="center"/>
            </w:pPr>
            <w:r>
              <w:rPr>
                <w:b w:val="0"/>
                <w:i w:val="0"/>
                <w:sz w:val="16"/>
              </w:rPr>
              <w:t>0.455</w:t>
            </w:r>
          </w:p>
        </w:tc>
        <w:tc>
          <w:tcPr>
            <w:tcW w:type="dxa" w:w="1098"/>
          </w:tcPr>
          <w:p>
            <w:pPr>
              <w:pStyle w:val="MDPI42tablebody"/>
              <w:keepNext/>
              <w:spacing w:line="240" w:lineRule="auto" w:before="30" w:after="30"/>
              <w:jc w:val="center"/>
            </w:pPr>
            <w:r>
              <w:rPr>
                <w:b w:val="0"/>
                <w:i w:val="0"/>
                <w:sz w:val="16"/>
              </w:rPr>
              <w:t>2.708</w:t>
            </w:r>
          </w:p>
        </w:tc>
        <w:tc>
          <w:tcPr>
            <w:tcW w:type="dxa" w:w="1098"/>
          </w:tcPr>
          <w:p>
            <w:pPr>
              <w:pStyle w:val="MDPI42tablebody"/>
              <w:keepNext/>
              <w:spacing w:line="240" w:lineRule="auto" w:before="30" w:after="30"/>
              <w:jc w:val="center"/>
            </w:pPr>
            <w:r>
              <w:rPr>
                <w:b w:val="0"/>
                <w:i w:val="0"/>
                <w:sz w:val="16"/>
              </w:rPr>
              <w:t>3.135</w:t>
            </w:r>
          </w:p>
        </w:tc>
        <w:tc>
          <w:tcPr>
            <w:tcW w:type="dxa" w:w="1098"/>
          </w:tcPr>
          <w:p>
            <w:pPr>
              <w:pStyle w:val="MDPI42tablebody"/>
              <w:keepNext/>
              <w:spacing w:line="240" w:lineRule="auto" w:before="30" w:after="30"/>
              <w:jc w:val="center"/>
            </w:pPr>
            <w:r>
              <w:rPr>
                <w:b w:val="0"/>
                <w:i w:val="0"/>
                <w:sz w:val="16"/>
              </w:rPr>
              <w:t>3.401</w:t>
            </w:r>
          </w:p>
        </w:tc>
        <w:tc>
          <w:tcPr>
            <w:tcW w:type="dxa" w:w="1098"/>
          </w:tcPr>
          <w:p>
            <w:pPr>
              <w:pStyle w:val="MDPI42tablebody"/>
              <w:keepNext/>
              <w:spacing w:line="240" w:lineRule="auto" w:before="30" w:after="30"/>
              <w:jc w:val="center"/>
            </w:pPr>
            <w:r>
              <w:rPr>
                <w:b w:val="0"/>
                <w:i w:val="0"/>
                <w:sz w:val="16"/>
              </w:rPr>
              <w:t>1.386</w:t>
            </w:r>
          </w:p>
        </w:tc>
        <w:tc>
          <w:tcPr>
            <w:tcW w:type="dxa" w:w="1098"/>
          </w:tcPr>
          <w:p>
            <w:pPr>
              <w:pStyle w:val="MDPI42tablebody"/>
              <w:keepNext/>
              <w:spacing w:line="240" w:lineRule="auto" w:before="30" w:after="30"/>
              <w:jc w:val="center"/>
            </w:pPr>
            <w:r>
              <w:rPr>
                <w:b w:val="0"/>
                <w:i w:val="0"/>
                <w:sz w:val="16"/>
              </w:rPr>
              <w:t>3.714</w:t>
            </w:r>
          </w:p>
        </w:tc>
      </w:tr>
      <w:tr>
        <w:trPr>
          <w:cantSplit/>
        </w:trPr>
        <w:tc>
          <w:tcPr>
            <w:tcW w:type="dxa" w:w="1674"/>
          </w:tcPr>
          <w:p>
            <w:pPr>
              <w:pStyle w:val="MDPI42tablebody"/>
              <w:keepNext/>
              <w:spacing w:line="240" w:lineRule="auto" w:before="30" w:after="30"/>
              <w:jc w:val="left"/>
            </w:pPr>
            <w:r>
              <w:rPr>
                <w:b w:val="0"/>
                <w:i/>
                <w:sz w:val="16"/>
              </w:rPr>
              <w:t>TobinQ</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1.992</w:t>
            </w:r>
          </w:p>
        </w:tc>
        <w:tc>
          <w:tcPr>
            <w:tcW w:type="dxa" w:w="1098"/>
          </w:tcPr>
          <w:p>
            <w:pPr>
              <w:pStyle w:val="MDPI42tablebody"/>
              <w:keepNext/>
              <w:spacing w:line="240" w:lineRule="auto" w:before="30" w:after="30"/>
              <w:jc w:val="center"/>
            </w:pPr>
            <w:r>
              <w:rPr>
                <w:b w:val="0"/>
                <w:i w:val="0"/>
                <w:sz w:val="16"/>
              </w:rPr>
              <w:t>0.967</w:t>
            </w:r>
          </w:p>
        </w:tc>
        <w:tc>
          <w:tcPr>
            <w:tcW w:type="dxa" w:w="1098"/>
          </w:tcPr>
          <w:p>
            <w:pPr>
              <w:pStyle w:val="MDPI42tablebody"/>
              <w:keepNext/>
              <w:spacing w:line="240" w:lineRule="auto" w:before="30" w:after="30"/>
              <w:jc w:val="center"/>
            </w:pPr>
            <w:r>
              <w:rPr>
                <w:b w:val="0"/>
                <w:i w:val="0"/>
                <w:sz w:val="16"/>
              </w:rPr>
              <w:t>1.241</w:t>
            </w:r>
          </w:p>
        </w:tc>
        <w:tc>
          <w:tcPr>
            <w:tcW w:type="dxa" w:w="1098"/>
          </w:tcPr>
          <w:p>
            <w:pPr>
              <w:pStyle w:val="MDPI42tablebody"/>
              <w:keepNext/>
              <w:spacing w:line="240" w:lineRule="auto" w:before="30" w:after="30"/>
              <w:jc w:val="center"/>
            </w:pPr>
            <w:r>
              <w:rPr>
                <w:b w:val="0"/>
                <w:i w:val="0"/>
                <w:sz w:val="16"/>
              </w:rPr>
              <w:t>1.954</w:t>
            </w:r>
          </w:p>
        </w:tc>
        <w:tc>
          <w:tcPr>
            <w:tcW w:type="dxa" w:w="1098"/>
          </w:tcPr>
          <w:p>
            <w:pPr>
              <w:pStyle w:val="MDPI42tablebody"/>
              <w:keepNext/>
              <w:spacing w:line="240" w:lineRule="auto" w:before="30" w:after="30"/>
              <w:jc w:val="center"/>
            </w:pPr>
            <w:r>
              <w:rPr>
                <w:b w:val="0"/>
                <w:i w:val="0"/>
                <w:sz w:val="16"/>
              </w:rPr>
              <w:t>2.659</w:t>
            </w:r>
          </w:p>
        </w:tc>
        <w:tc>
          <w:tcPr>
            <w:tcW w:type="dxa" w:w="1098"/>
          </w:tcPr>
          <w:p>
            <w:pPr>
              <w:pStyle w:val="MDPI42tablebody"/>
              <w:keepNext/>
              <w:spacing w:line="240" w:lineRule="auto" w:before="30" w:after="30"/>
              <w:jc w:val="center"/>
            </w:pPr>
            <w:r>
              <w:rPr>
                <w:b w:val="0"/>
                <w:i w:val="0"/>
                <w:sz w:val="16"/>
              </w:rPr>
              <w:t>0.550</w:t>
            </w:r>
          </w:p>
        </w:tc>
        <w:tc>
          <w:tcPr>
            <w:tcW w:type="dxa" w:w="1098"/>
          </w:tcPr>
          <w:p>
            <w:pPr>
              <w:pStyle w:val="MDPI42tablebody"/>
              <w:keepNext/>
              <w:spacing w:line="240" w:lineRule="auto" w:before="30" w:after="30"/>
              <w:jc w:val="center"/>
            </w:pPr>
            <w:r>
              <w:rPr>
                <w:b w:val="0"/>
                <w:i w:val="0"/>
                <w:sz w:val="16"/>
              </w:rPr>
              <w:t>6.074</w:t>
            </w:r>
          </w:p>
        </w:tc>
      </w:tr>
      <w:tr>
        <w:trPr>
          <w:cantSplit/>
        </w:trPr>
        <w:tc>
          <w:tcPr>
            <w:tcW w:type="dxa" w:w="1674"/>
          </w:tcPr>
          <w:p>
            <w:pPr>
              <w:pStyle w:val="MDPI42tablebody"/>
              <w:keepNext/>
              <w:spacing w:line="240" w:lineRule="auto" w:before="30" w:after="30"/>
              <w:jc w:val="left"/>
            </w:pPr>
            <w:r>
              <w:rPr>
                <w:b w:val="0"/>
                <w:i/>
                <w:sz w:val="16"/>
              </w:rPr>
              <w:t>CapInt</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6.974</w:t>
            </w:r>
          </w:p>
        </w:tc>
        <w:tc>
          <w:tcPr>
            <w:tcW w:type="dxa" w:w="1098"/>
          </w:tcPr>
          <w:p>
            <w:pPr>
              <w:pStyle w:val="MDPI42tablebody"/>
              <w:keepNext/>
              <w:spacing w:line="240" w:lineRule="auto" w:before="30" w:after="30"/>
              <w:jc w:val="center"/>
            </w:pPr>
            <w:r>
              <w:rPr>
                <w:b w:val="0"/>
                <w:i w:val="0"/>
                <w:sz w:val="16"/>
              </w:rPr>
              <w:t>0.768</w:t>
            </w:r>
          </w:p>
        </w:tc>
        <w:tc>
          <w:tcPr>
            <w:tcW w:type="dxa" w:w="1098"/>
          </w:tcPr>
          <w:p>
            <w:pPr>
              <w:pStyle w:val="MDPI42tablebody"/>
              <w:keepNext/>
              <w:spacing w:line="240" w:lineRule="auto" w:before="30" w:after="30"/>
              <w:jc w:val="center"/>
            </w:pPr>
            <w:r>
              <w:rPr>
                <w:b w:val="0"/>
                <w:i w:val="0"/>
                <w:sz w:val="16"/>
              </w:rPr>
              <w:t>6.451</w:t>
            </w:r>
          </w:p>
        </w:tc>
        <w:tc>
          <w:tcPr>
            <w:tcW w:type="dxa" w:w="1098"/>
          </w:tcPr>
          <w:p>
            <w:pPr>
              <w:pStyle w:val="MDPI42tablebody"/>
              <w:keepNext/>
              <w:spacing w:line="240" w:lineRule="auto" w:before="30" w:after="30"/>
              <w:jc w:val="center"/>
            </w:pPr>
            <w:r>
              <w:rPr>
                <w:b w:val="0"/>
                <w:i w:val="0"/>
                <w:sz w:val="16"/>
              </w:rPr>
              <w:t>6.966</w:t>
            </w:r>
          </w:p>
        </w:tc>
        <w:tc>
          <w:tcPr>
            <w:tcW w:type="dxa" w:w="1098"/>
          </w:tcPr>
          <w:p>
            <w:pPr>
              <w:pStyle w:val="MDPI42tablebody"/>
              <w:keepNext/>
              <w:spacing w:line="240" w:lineRule="auto" w:before="30" w:after="30"/>
              <w:jc w:val="center"/>
            </w:pPr>
            <w:r>
              <w:rPr>
                <w:b w:val="0"/>
                <w:i w:val="0"/>
                <w:sz w:val="16"/>
              </w:rPr>
              <w:t>7.495</w:t>
            </w:r>
          </w:p>
        </w:tc>
        <w:tc>
          <w:tcPr>
            <w:tcW w:type="dxa" w:w="1098"/>
          </w:tcPr>
          <w:p>
            <w:pPr>
              <w:pStyle w:val="MDPI42tablebody"/>
              <w:keepNext/>
              <w:spacing w:line="240" w:lineRule="auto" w:before="30" w:after="30"/>
              <w:jc w:val="center"/>
            </w:pPr>
            <w:r>
              <w:rPr>
                <w:b w:val="0"/>
                <w:i w:val="0"/>
                <w:sz w:val="16"/>
              </w:rPr>
              <w:t>3.569</w:t>
            </w:r>
          </w:p>
        </w:tc>
        <w:tc>
          <w:tcPr>
            <w:tcW w:type="dxa" w:w="1098"/>
          </w:tcPr>
          <w:p>
            <w:pPr>
              <w:pStyle w:val="MDPI42tablebody"/>
              <w:keepNext/>
              <w:spacing w:line="240" w:lineRule="auto" w:before="30" w:after="30"/>
              <w:jc w:val="center"/>
            </w:pPr>
            <w:r>
              <w:rPr>
                <w:b w:val="0"/>
                <w:i w:val="0"/>
                <w:sz w:val="16"/>
              </w:rPr>
              <w:t>9.725</w:t>
            </w:r>
          </w:p>
        </w:tc>
      </w:tr>
      <w:tr>
        <w:trPr>
          <w:cantSplit/>
        </w:trPr>
        <w:tc>
          <w:tcPr>
            <w:tcW w:type="dxa" w:w="1674"/>
          </w:tcPr>
          <w:p>
            <w:pPr>
              <w:pStyle w:val="MDPI42tablebody"/>
              <w:keepNext/>
              <w:spacing w:line="240" w:lineRule="auto" w:before="30" w:after="30"/>
              <w:jc w:val="left"/>
            </w:pPr>
            <w:r>
              <w:rPr>
                <w:b w:val="0"/>
                <w:i/>
                <w:sz w:val="16"/>
              </w:rPr>
              <w:t>Wage</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12.079</w:t>
            </w:r>
          </w:p>
        </w:tc>
        <w:tc>
          <w:tcPr>
            <w:tcW w:type="dxa" w:w="1098"/>
          </w:tcPr>
          <w:p>
            <w:pPr>
              <w:pStyle w:val="MDPI42tablebody"/>
              <w:keepNext/>
              <w:spacing w:line="240" w:lineRule="auto" w:before="30" w:after="30"/>
              <w:jc w:val="center"/>
            </w:pPr>
            <w:r>
              <w:rPr>
                <w:b w:val="0"/>
                <w:i w:val="0"/>
                <w:sz w:val="16"/>
              </w:rPr>
              <w:t>0.317</w:t>
            </w:r>
          </w:p>
        </w:tc>
        <w:tc>
          <w:tcPr>
            <w:tcW w:type="dxa" w:w="1098"/>
          </w:tcPr>
          <w:p>
            <w:pPr>
              <w:pStyle w:val="MDPI42tablebody"/>
              <w:keepNext/>
              <w:spacing w:line="240" w:lineRule="auto" w:before="30" w:after="30"/>
              <w:jc w:val="center"/>
            </w:pPr>
            <w:r>
              <w:rPr>
                <w:b w:val="0"/>
                <w:i w:val="0"/>
                <w:sz w:val="16"/>
              </w:rPr>
              <w:t>11.865</w:t>
            </w:r>
          </w:p>
        </w:tc>
        <w:tc>
          <w:tcPr>
            <w:tcW w:type="dxa" w:w="1098"/>
          </w:tcPr>
          <w:p>
            <w:pPr>
              <w:pStyle w:val="MDPI42tablebody"/>
              <w:keepNext/>
              <w:spacing w:line="240" w:lineRule="auto" w:before="30" w:after="30"/>
              <w:jc w:val="center"/>
            </w:pPr>
            <w:r>
              <w:rPr>
                <w:b w:val="0"/>
                <w:i w:val="0"/>
                <w:sz w:val="16"/>
              </w:rPr>
              <w:t>12.081</w:t>
            </w:r>
          </w:p>
        </w:tc>
        <w:tc>
          <w:tcPr>
            <w:tcW w:type="dxa" w:w="1098"/>
          </w:tcPr>
          <w:p>
            <w:pPr>
              <w:pStyle w:val="MDPI42tablebody"/>
              <w:keepNext/>
              <w:spacing w:line="240" w:lineRule="auto" w:before="30" w:after="30"/>
              <w:jc w:val="center"/>
            </w:pPr>
            <w:r>
              <w:rPr>
                <w:b w:val="0"/>
                <w:i w:val="0"/>
                <w:sz w:val="16"/>
              </w:rPr>
              <w:t>12.296</w:t>
            </w:r>
          </w:p>
        </w:tc>
        <w:tc>
          <w:tcPr>
            <w:tcW w:type="dxa" w:w="1098"/>
          </w:tcPr>
          <w:p>
            <w:pPr>
              <w:pStyle w:val="MDPI42tablebody"/>
              <w:keepNext/>
              <w:spacing w:line="240" w:lineRule="auto" w:before="30" w:after="30"/>
              <w:jc w:val="center"/>
            </w:pPr>
            <w:r>
              <w:rPr>
                <w:b w:val="0"/>
                <w:i w:val="0"/>
                <w:sz w:val="16"/>
              </w:rPr>
              <w:t>10.777</w:t>
            </w:r>
          </w:p>
        </w:tc>
        <w:tc>
          <w:tcPr>
            <w:tcW w:type="dxa" w:w="1098"/>
          </w:tcPr>
          <w:p>
            <w:pPr>
              <w:pStyle w:val="MDPI42tablebody"/>
              <w:keepNext/>
              <w:spacing w:line="240" w:lineRule="auto" w:before="30" w:after="30"/>
              <w:jc w:val="center"/>
            </w:pPr>
            <w:r>
              <w:rPr>
                <w:b w:val="0"/>
                <w:i w:val="0"/>
                <w:sz w:val="16"/>
              </w:rPr>
              <w:t>13.292</w:t>
            </w:r>
          </w:p>
        </w:tc>
      </w:tr>
      <w:tr>
        <w:trPr>
          <w:cantSplit/>
        </w:trPr>
        <w:tc>
          <w:tcPr>
            <w:tcW w:type="dxa" w:w="1674"/>
          </w:tcPr>
          <w:p>
            <w:pPr>
              <w:pStyle w:val="MDPI42tablebody"/>
              <w:keepNext/>
              <w:spacing w:line="240" w:lineRule="auto" w:before="30" w:after="30"/>
              <w:jc w:val="left"/>
            </w:pPr>
            <w:r>
              <w:rPr>
                <w:b w:val="0"/>
                <w:i/>
                <w:sz w:val="16"/>
              </w:rPr>
              <w:t>Analyst</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1.566</w:t>
            </w:r>
          </w:p>
        </w:tc>
        <w:tc>
          <w:tcPr>
            <w:tcW w:type="dxa" w:w="1098"/>
          </w:tcPr>
          <w:p>
            <w:pPr>
              <w:pStyle w:val="MDPI42tablebody"/>
              <w:keepNext/>
              <w:spacing w:line="240" w:lineRule="auto" w:before="30" w:after="30"/>
              <w:jc w:val="center"/>
            </w:pPr>
            <w:r>
              <w:rPr>
                <w:b w:val="0"/>
                <w:i w:val="0"/>
                <w:sz w:val="16"/>
              </w:rPr>
              <w:t>0.428</w:t>
            </w:r>
          </w:p>
        </w:tc>
        <w:tc>
          <w:tcPr>
            <w:tcW w:type="dxa" w:w="1098"/>
          </w:tcPr>
          <w:p>
            <w:pPr>
              <w:pStyle w:val="MDPI42tablebody"/>
              <w:keepNext/>
              <w:spacing w:line="240" w:lineRule="auto" w:before="30" w:after="30"/>
              <w:jc w:val="center"/>
            </w:pPr>
            <w:r>
              <w:rPr>
                <w:b w:val="0"/>
                <w:i w:val="0"/>
                <w:sz w:val="16"/>
              </w:rPr>
              <w:t>1.260</w:t>
            </w:r>
          </w:p>
        </w:tc>
        <w:tc>
          <w:tcPr>
            <w:tcW w:type="dxa" w:w="1098"/>
          </w:tcPr>
          <w:p>
            <w:pPr>
              <w:pStyle w:val="MDPI42tablebody"/>
              <w:keepNext/>
              <w:spacing w:line="240" w:lineRule="auto" w:before="30" w:after="30"/>
              <w:jc w:val="center"/>
            </w:pPr>
            <w:r>
              <w:rPr>
                <w:b w:val="0"/>
                <w:i w:val="0"/>
                <w:sz w:val="16"/>
              </w:rPr>
              <w:t>1.539</w:t>
            </w:r>
          </w:p>
        </w:tc>
        <w:tc>
          <w:tcPr>
            <w:tcW w:type="dxa" w:w="1098"/>
          </w:tcPr>
          <w:p>
            <w:pPr>
              <w:pStyle w:val="MDPI42tablebody"/>
              <w:keepNext/>
              <w:spacing w:line="240" w:lineRule="auto" w:before="30" w:after="30"/>
              <w:jc w:val="center"/>
            </w:pPr>
            <w:r>
              <w:rPr>
                <w:b w:val="0"/>
                <w:i w:val="0"/>
                <w:sz w:val="16"/>
              </w:rPr>
              <w:t>1.844</w:t>
            </w:r>
          </w:p>
        </w:tc>
        <w:tc>
          <w:tcPr>
            <w:tcW w:type="dxa" w:w="1098"/>
          </w:tcPr>
          <w:p>
            <w:pPr>
              <w:pStyle w:val="MDPI42tablebody"/>
              <w:keepNext/>
              <w:spacing w:line="240" w:lineRule="auto" w:before="30" w:after="30"/>
              <w:jc w:val="center"/>
            </w:pPr>
            <w:r>
              <w:rPr>
                <w:b w:val="0"/>
                <w:i w:val="0"/>
                <w:sz w:val="16"/>
              </w:rPr>
              <w:t>0.298</w:t>
            </w:r>
          </w:p>
        </w:tc>
        <w:tc>
          <w:tcPr>
            <w:tcW w:type="dxa" w:w="1098"/>
          </w:tcPr>
          <w:p>
            <w:pPr>
              <w:pStyle w:val="MDPI42tablebody"/>
              <w:keepNext/>
              <w:spacing w:line="240" w:lineRule="auto" w:before="30" w:after="30"/>
              <w:jc w:val="center"/>
            </w:pPr>
            <w:r>
              <w:rPr>
                <w:b w:val="0"/>
                <w:i w:val="0"/>
                <w:sz w:val="16"/>
              </w:rPr>
              <w:t>3.559</w:t>
            </w:r>
          </w:p>
        </w:tc>
      </w:tr>
      <w:tr>
        <w:trPr>
          <w:cantSplit/>
        </w:trPr>
        <w:tc>
          <w:tcPr>
            <w:tcW w:type="dxa" w:w="1674"/>
          </w:tcPr>
          <w:p>
            <w:pPr>
              <w:pStyle w:val="MDPI42tablebody"/>
              <w:keepNext/>
              <w:spacing w:line="240" w:lineRule="auto" w:before="30" w:after="30"/>
              <w:jc w:val="left"/>
            </w:pPr>
            <w:r>
              <w:rPr>
                <w:b w:val="0"/>
                <w:i/>
                <w:sz w:val="16"/>
              </w:rPr>
              <w:t>InstOwn</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0.411</w:t>
            </w:r>
          </w:p>
        </w:tc>
        <w:tc>
          <w:tcPr>
            <w:tcW w:type="dxa" w:w="1098"/>
          </w:tcPr>
          <w:p>
            <w:pPr>
              <w:pStyle w:val="MDPI42tablebody"/>
              <w:keepNext/>
              <w:spacing w:line="240" w:lineRule="auto" w:before="30" w:after="30"/>
              <w:jc w:val="center"/>
            </w:pPr>
            <w:r>
              <w:rPr>
                <w:b w:val="0"/>
                <w:i w:val="0"/>
                <w:sz w:val="16"/>
              </w:rPr>
              <w:t>0.170</w:t>
            </w:r>
          </w:p>
        </w:tc>
        <w:tc>
          <w:tcPr>
            <w:tcW w:type="dxa" w:w="1098"/>
          </w:tcPr>
          <w:p>
            <w:pPr>
              <w:pStyle w:val="MDPI42tablebody"/>
              <w:keepNext/>
              <w:spacing w:line="240" w:lineRule="auto" w:before="30" w:after="30"/>
              <w:jc w:val="center"/>
            </w:pPr>
            <w:r>
              <w:rPr>
                <w:b w:val="0"/>
                <w:i w:val="0"/>
                <w:sz w:val="16"/>
              </w:rPr>
              <w:t>0.295</w:t>
            </w:r>
          </w:p>
        </w:tc>
        <w:tc>
          <w:tcPr>
            <w:tcW w:type="dxa" w:w="1098"/>
          </w:tcPr>
          <w:p>
            <w:pPr>
              <w:pStyle w:val="MDPI42tablebody"/>
              <w:keepNext/>
              <w:spacing w:line="240" w:lineRule="auto" w:before="30" w:after="30"/>
              <w:jc w:val="center"/>
            </w:pPr>
            <w:r>
              <w:rPr>
                <w:b w:val="0"/>
                <w:i w:val="0"/>
                <w:sz w:val="16"/>
              </w:rPr>
              <w:t>0.411</w:t>
            </w:r>
          </w:p>
        </w:tc>
        <w:tc>
          <w:tcPr>
            <w:tcW w:type="dxa" w:w="1098"/>
          </w:tcPr>
          <w:p>
            <w:pPr>
              <w:pStyle w:val="MDPI42tablebody"/>
              <w:keepNext/>
              <w:spacing w:line="240" w:lineRule="auto" w:before="30" w:after="30"/>
              <w:jc w:val="center"/>
            </w:pPr>
            <w:r>
              <w:rPr>
                <w:b w:val="0"/>
                <w:i w:val="0"/>
                <w:sz w:val="16"/>
              </w:rPr>
              <w:t>0.527</w:t>
            </w:r>
          </w:p>
        </w:tc>
        <w:tc>
          <w:tcPr>
            <w:tcW w:type="dxa" w:w="1098"/>
          </w:tcPr>
          <w:p>
            <w:pPr>
              <w:pStyle w:val="MDPI42tablebody"/>
              <w:keepNext/>
              <w:spacing w:line="240" w:lineRule="auto" w:before="30" w:after="30"/>
              <w:jc w:val="center"/>
            </w:pPr>
            <w:r>
              <w:rPr>
                <w:b w:val="0"/>
                <w:i w:val="0"/>
                <w:sz w:val="16"/>
              </w:rPr>
              <w:t>0.010</w:t>
            </w:r>
          </w:p>
        </w:tc>
        <w:tc>
          <w:tcPr>
            <w:tcW w:type="dxa" w:w="1098"/>
          </w:tcPr>
          <w:p>
            <w:pPr>
              <w:pStyle w:val="MDPI42tablebody"/>
              <w:keepNext/>
              <w:spacing w:line="240" w:lineRule="auto" w:before="30" w:after="30"/>
              <w:jc w:val="center"/>
            </w:pPr>
            <w:r>
              <w:rPr>
                <w:b w:val="0"/>
                <w:i w:val="0"/>
                <w:sz w:val="16"/>
              </w:rPr>
              <w:t>0.950</w:t>
            </w:r>
          </w:p>
        </w:tc>
      </w:tr>
      <w:tr>
        <w:trPr>
          <w:cantSplit/>
        </w:trPr>
        <w:tc>
          <w:tcPr>
            <w:tcW w:type="dxa" w:w="1674"/>
          </w:tcPr>
          <w:p>
            <w:pPr>
              <w:pStyle w:val="MDPI42tablebody"/>
              <w:keepNext/>
              <w:spacing w:line="240" w:lineRule="auto" w:before="30" w:after="30"/>
              <w:jc w:val="left"/>
            </w:pPr>
            <w:r>
              <w:rPr>
                <w:b w:val="0"/>
                <w:i/>
                <w:sz w:val="16"/>
              </w:rPr>
              <w:t>GDPg</w:t>
            </w:r>
          </w:p>
        </w:tc>
        <w:tc>
          <w:tcPr>
            <w:tcW w:type="dxa" w:w="1098"/>
          </w:tcPr>
          <w:p>
            <w:pPr>
              <w:pStyle w:val="MDPI42tablebody"/>
              <w:keepNext/>
              <w:spacing w:line="240" w:lineRule="auto" w:before="30" w:after="30"/>
              <w:jc w:val="center"/>
            </w:pPr>
            <w:r>
              <w:rPr>
                <w:b w:val="0"/>
                <w:i w:val="0"/>
                <w:sz w:val="16"/>
              </w:rPr>
              <w:t>26,115</w:t>
            </w:r>
          </w:p>
        </w:tc>
        <w:tc>
          <w:tcPr>
            <w:tcW w:type="dxa" w:w="1098"/>
          </w:tcPr>
          <w:p>
            <w:pPr>
              <w:pStyle w:val="MDPI42tablebody"/>
              <w:keepNext/>
              <w:spacing w:line="240" w:lineRule="auto" w:before="30" w:after="30"/>
              <w:jc w:val="center"/>
            </w:pPr>
            <w:r>
              <w:rPr>
                <w:b w:val="0"/>
                <w:i w:val="0"/>
                <w:sz w:val="16"/>
              </w:rPr>
              <w:t>5.559</w:t>
            </w:r>
          </w:p>
        </w:tc>
        <w:tc>
          <w:tcPr>
            <w:tcW w:type="dxa" w:w="1098"/>
          </w:tcPr>
          <w:p>
            <w:pPr>
              <w:pStyle w:val="MDPI42tablebody"/>
              <w:keepNext/>
              <w:spacing w:line="240" w:lineRule="auto" w:before="30" w:after="30"/>
              <w:jc w:val="center"/>
            </w:pPr>
            <w:r>
              <w:rPr>
                <w:b w:val="0"/>
                <w:i w:val="0"/>
                <w:sz w:val="16"/>
              </w:rPr>
              <w:t>0.893</w:t>
            </w:r>
          </w:p>
        </w:tc>
        <w:tc>
          <w:tcPr>
            <w:tcW w:type="dxa" w:w="1098"/>
          </w:tcPr>
          <w:p>
            <w:pPr>
              <w:pStyle w:val="MDPI42tablebody"/>
              <w:keepNext/>
              <w:spacing w:line="240" w:lineRule="auto" w:before="30" w:after="30"/>
              <w:jc w:val="center"/>
            </w:pPr>
            <w:r>
              <w:rPr>
                <w:b w:val="0"/>
                <w:i w:val="0"/>
                <w:sz w:val="16"/>
              </w:rPr>
              <w:t>4.958</w:t>
            </w:r>
          </w:p>
        </w:tc>
        <w:tc>
          <w:tcPr>
            <w:tcW w:type="dxa" w:w="1098"/>
          </w:tcPr>
          <w:p>
            <w:pPr>
              <w:pStyle w:val="MDPI42tablebody"/>
              <w:keepNext/>
              <w:spacing w:line="240" w:lineRule="auto" w:before="30" w:after="30"/>
              <w:jc w:val="center"/>
            </w:pPr>
            <w:r>
              <w:rPr>
                <w:b w:val="0"/>
                <w:i w:val="0"/>
                <w:sz w:val="16"/>
              </w:rPr>
              <w:t>5.574</w:t>
            </w:r>
          </w:p>
        </w:tc>
        <w:tc>
          <w:tcPr>
            <w:tcW w:type="dxa" w:w="1098"/>
          </w:tcPr>
          <w:p>
            <w:pPr>
              <w:pStyle w:val="MDPI42tablebody"/>
              <w:keepNext/>
              <w:spacing w:line="240" w:lineRule="auto" w:before="30" w:after="30"/>
              <w:jc w:val="center"/>
            </w:pPr>
            <w:r>
              <w:rPr>
                <w:b w:val="0"/>
                <w:i w:val="0"/>
                <w:sz w:val="16"/>
              </w:rPr>
              <w:t>6.172</w:t>
            </w:r>
          </w:p>
        </w:tc>
        <w:tc>
          <w:tcPr>
            <w:tcW w:type="dxa" w:w="1098"/>
          </w:tcPr>
          <w:p>
            <w:pPr>
              <w:pStyle w:val="MDPI42tablebody"/>
              <w:keepNext/>
              <w:spacing w:line="240" w:lineRule="auto" w:before="30" w:after="30"/>
              <w:jc w:val="center"/>
            </w:pPr>
            <w:r>
              <w:rPr>
                <w:b w:val="0"/>
                <w:i w:val="0"/>
                <w:sz w:val="16"/>
              </w:rPr>
              <w:t>2.284</w:t>
            </w:r>
          </w:p>
        </w:tc>
        <w:tc>
          <w:tcPr>
            <w:tcW w:type="dxa" w:w="1098"/>
          </w:tcPr>
          <w:p>
            <w:pPr>
              <w:pStyle w:val="MDPI42tablebody"/>
              <w:keepNext/>
              <w:spacing w:line="240" w:lineRule="auto" w:before="30" w:after="30"/>
              <w:jc w:val="center"/>
            </w:pPr>
            <w:r>
              <w:rPr>
                <w:b w:val="0"/>
                <w:i w:val="0"/>
                <w:sz w:val="16"/>
              </w:rPr>
              <w:t>8.708</w:t>
            </w:r>
          </w:p>
        </w:tc>
      </w:tr>
      <w:tr>
        <w:trPr>
          <w:cantSplit/>
        </w:trPr>
        <w:tc>
          <w:tcPr>
            <w:tcW w:type="dxa" w:w="1674"/>
          </w:tcPr>
          <w:p>
            <w:pPr>
              <w:pStyle w:val="MDPI42tablebody"/>
              <w:spacing w:line="240" w:lineRule="auto" w:before="30" w:after="30"/>
              <w:jc w:val="left"/>
            </w:pPr>
            <w:r>
              <w:rPr>
                <w:b w:val="0"/>
                <w:i/>
                <w:sz w:val="16"/>
              </w:rPr>
              <w:t>YouthU</w:t>
            </w:r>
          </w:p>
        </w:tc>
        <w:tc>
          <w:tcPr>
            <w:tcW w:type="dxa" w:w="1098"/>
          </w:tcPr>
          <w:p>
            <w:pPr>
              <w:pStyle w:val="MDPI42tablebody"/>
              <w:spacing w:line="240" w:lineRule="auto" w:before="30" w:after="30"/>
              <w:jc w:val="center"/>
            </w:pPr>
            <w:r>
              <w:rPr>
                <w:b w:val="0"/>
                <w:i w:val="0"/>
                <w:sz w:val="16"/>
              </w:rPr>
              <w:t>26,115</w:t>
            </w:r>
          </w:p>
        </w:tc>
        <w:tc>
          <w:tcPr>
            <w:tcW w:type="dxa" w:w="1098"/>
          </w:tcPr>
          <w:p>
            <w:pPr>
              <w:pStyle w:val="MDPI42tablebody"/>
              <w:spacing w:line="240" w:lineRule="auto" w:before="30" w:after="30"/>
              <w:jc w:val="center"/>
            </w:pPr>
            <w:r>
              <w:rPr>
                <w:b w:val="0"/>
                <w:i w:val="0"/>
                <w:sz w:val="16"/>
              </w:rPr>
              <w:t>15.199</w:t>
            </w:r>
          </w:p>
        </w:tc>
        <w:tc>
          <w:tcPr>
            <w:tcW w:type="dxa" w:w="1098"/>
          </w:tcPr>
          <w:p>
            <w:pPr>
              <w:pStyle w:val="MDPI42tablebody"/>
              <w:spacing w:line="240" w:lineRule="auto" w:before="30" w:after="30"/>
              <w:jc w:val="center"/>
            </w:pPr>
            <w:r>
              <w:rPr>
                <w:b w:val="0"/>
                <w:i w:val="0"/>
                <w:sz w:val="16"/>
              </w:rPr>
              <w:t>1.456</w:t>
            </w:r>
          </w:p>
        </w:tc>
        <w:tc>
          <w:tcPr>
            <w:tcW w:type="dxa" w:w="1098"/>
          </w:tcPr>
          <w:p>
            <w:pPr>
              <w:pStyle w:val="MDPI42tablebody"/>
              <w:spacing w:line="240" w:lineRule="auto" w:before="30" w:after="30"/>
              <w:jc w:val="center"/>
            </w:pPr>
            <w:r>
              <w:rPr>
                <w:b w:val="0"/>
                <w:i w:val="0"/>
                <w:sz w:val="16"/>
              </w:rPr>
              <w:t>14.152</w:t>
            </w:r>
          </w:p>
        </w:tc>
        <w:tc>
          <w:tcPr>
            <w:tcW w:type="dxa" w:w="1098"/>
          </w:tcPr>
          <w:p>
            <w:pPr>
              <w:pStyle w:val="MDPI42tablebody"/>
              <w:spacing w:line="240" w:lineRule="auto" w:before="30" w:after="30"/>
              <w:jc w:val="center"/>
            </w:pPr>
            <w:r>
              <w:rPr>
                <w:b w:val="0"/>
                <w:i w:val="0"/>
                <w:sz w:val="16"/>
              </w:rPr>
              <w:t>15.197</w:t>
            </w:r>
          </w:p>
        </w:tc>
        <w:tc>
          <w:tcPr>
            <w:tcW w:type="dxa" w:w="1098"/>
          </w:tcPr>
          <w:p>
            <w:pPr>
              <w:pStyle w:val="MDPI42tablebody"/>
              <w:spacing w:line="240" w:lineRule="auto" w:before="30" w:after="30"/>
              <w:jc w:val="center"/>
            </w:pPr>
            <w:r>
              <w:rPr>
                <w:b w:val="0"/>
                <w:i w:val="0"/>
                <w:sz w:val="16"/>
              </w:rPr>
              <w:t>16.239</w:t>
            </w:r>
          </w:p>
        </w:tc>
        <w:tc>
          <w:tcPr>
            <w:tcW w:type="dxa" w:w="1098"/>
          </w:tcPr>
          <w:p>
            <w:pPr>
              <w:pStyle w:val="MDPI42tablebody"/>
              <w:spacing w:line="240" w:lineRule="auto" w:before="30" w:after="30"/>
              <w:jc w:val="center"/>
            </w:pPr>
            <w:r>
              <w:rPr>
                <w:b w:val="0"/>
                <w:i w:val="0"/>
                <w:sz w:val="16"/>
              </w:rPr>
              <w:t>9.840</w:t>
            </w:r>
          </w:p>
        </w:tc>
        <w:tc>
          <w:tcPr>
            <w:tcW w:type="dxa" w:w="1098"/>
          </w:tcPr>
          <w:p>
            <w:pPr>
              <w:pStyle w:val="MDPI42tablebody"/>
              <w:spacing w:line="240" w:lineRule="auto" w:before="30" w:after="30"/>
              <w:jc w:val="center"/>
            </w:pPr>
            <w:r>
              <w:rPr>
                <w:b w:val="0"/>
                <w:i w:val="0"/>
                <w:sz w:val="16"/>
              </w:rPr>
              <w:t>20.323</w:t>
            </w:r>
          </w:p>
        </w:tc>
      </w:tr>
    </w:tbl>
    <w:p>
      <w:pPr>
        <w:pStyle w:val="MDPI43tablefooter"/>
        <w:spacing w:line="240" w:lineRule="auto" w:before="40" w:after="200"/>
        <w:ind w:left="2608" w:firstLine="0"/>
      </w:pPr>
      <w:r>
        <w:rPr>
          <w:sz w:val="16"/>
        </w:rPr>
        <w:t xml:space="preserve">Note: </w:t>
      </w:r>
      <w:r>
        <w:rPr>
          <w:b w:val="0"/>
          <w:i w:val="0"/>
          <w:sz w:val="16"/>
        </w:rPr>
        <w:t>The sample covers Chinese A-share listed firms over 2016–2025. All continuous variables are winsorised at the 1st and 99th percentiles. Adoption and its network lags are standardised over the estimation sample. Variable definitions are given in Table 1.</w:t>
      </w:r>
    </w:p>
    <w:p>
      <w:pPr>
        <w:pStyle w:val="MDPI22heading2"/>
      </w:pPr>
      <w:r>
        <w:t>4.2. Correlations</w:t>
      </w:r>
    </w:p>
    <w:p>
      <w:pPr>
        <w:pStyle w:val="MDPI32textnoindent"/>
      </w:pPr>
      <w:r>
        <w:rPr>
          <w:b w:val="0"/>
          <w:i w:val="0"/>
        </w:rPr>
        <w:t>Table 3 reports the Pearson correlations. Own adoption is only weakly correlated with the supply-chain lag (0.10) and with the local lag (0.15), which is important for two reasons. It means the network lags are not proxies for own adoption, so the decomposition in Section 4.3 is not an artefact of multicollinearity; and it means the within-firm estimate in Section 4.2 is not badly biased by their omission — the problem with that estimate is not that it is wrong about its own parameter but that its parameter is not the quantity of interest. Variance inflation factors computed after the two-way within transformation have a maximum of 1.29 and a mean of 1.04.</w:t>
      </w:r>
    </w:p>
    <w:p>
      <w:pPr>
        <w:pStyle w:val="MDPI41tablecaption"/>
        <w:keepNext/>
        <w:spacing w:after="60"/>
      </w:pPr>
      <w:r>
        <w:rPr>
          <w:b/>
          <w:sz w:val="18"/>
        </w:rPr>
        <w:t xml:space="preserve">Table 3. </w:t>
      </w:r>
      <w:r>
        <w:rPr>
          <w:b w:val="0"/>
          <w:i w:val="0"/>
          <w:sz w:val="18"/>
        </w:rPr>
        <w:t>Pearson correlations of the main variables.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465"/>
        <w:gridCol w:w="900"/>
        <w:gridCol w:w="900"/>
        <w:gridCol w:w="900"/>
        <w:gridCol w:w="900"/>
        <w:gridCol w:w="900"/>
        <w:gridCol w:w="900"/>
        <w:gridCol w:w="900"/>
        <w:gridCol w:w="900"/>
        <w:gridCol w:w="900"/>
        <w:gridCol w:w="900"/>
      </w:tblGrid>
      <w:tr>
        <w:trPr>
          <w:cantSplit/>
          <w:tblHeader/>
        </w:trPr>
        <w:tc>
          <w:tcPr>
            <w:tcW w:type="dxa" w:w="1465"/>
            <w:tcBorders>
              <w:bottom w:val="single" w:sz="8" w:space="0" w:color="auto"/>
            </w:tcBorders>
          </w:tcPr>
          <w:p>
            <w:pPr>
              <w:pStyle w:val="MDPI42tablebody"/>
              <w:keepNext/>
              <w:spacing w:line="240" w:lineRule="auto" w:before="30" w:after="30"/>
              <w:jc w:val="center"/>
            </w:pPr>
            <w:r>
              <w:rPr>
                <w:b/>
                <w:i w:val="0"/>
                <w:sz w:val="14"/>
              </w:rPr>
              <w:t>Variable</w:t>
            </w:r>
          </w:p>
        </w:tc>
        <w:tc>
          <w:tcPr>
            <w:tcW w:type="dxa" w:w="900"/>
            <w:tcBorders>
              <w:bottom w:val="single" w:sz="8" w:space="0" w:color="auto"/>
            </w:tcBorders>
          </w:tcPr>
          <w:p>
            <w:pPr>
              <w:pStyle w:val="MDPI42tablebody"/>
              <w:keepNext/>
              <w:spacing w:line="240" w:lineRule="auto" w:before="30" w:after="30"/>
              <w:jc w:val="center"/>
            </w:pPr>
            <w:r>
              <w:rPr>
                <w:b/>
                <w:i w:val="0"/>
                <w:sz w:val="14"/>
              </w:rPr>
              <w:t>Y</w:t>
            </w:r>
          </w:p>
        </w:tc>
        <w:tc>
          <w:tcPr>
            <w:tcW w:type="dxa" w:w="900"/>
            <w:tcBorders>
              <w:bottom w:val="single" w:sz="8" w:space="0" w:color="auto"/>
            </w:tcBorders>
          </w:tcPr>
          <w:p>
            <w:pPr>
              <w:pStyle w:val="MDPI42tablebody"/>
              <w:keepNext/>
              <w:spacing w:line="240" w:lineRule="auto" w:before="30" w:after="30"/>
              <w:jc w:val="center"/>
            </w:pPr>
            <w:r>
              <w:rPr>
                <w:b/>
                <w:i w:val="0"/>
                <w:sz w:val="14"/>
              </w:rPr>
              <w:t>X</w:t>
            </w:r>
          </w:p>
        </w:tc>
        <w:tc>
          <w:tcPr>
            <w:tcW w:type="dxa" w:w="900"/>
            <w:tcBorders>
              <w:bottom w:val="single" w:sz="8" w:space="0" w:color="auto"/>
            </w:tcBorders>
          </w:tcPr>
          <w:p>
            <w:pPr>
              <w:pStyle w:val="MDPI42tablebody"/>
              <w:keepNext/>
              <w:spacing w:line="240" w:lineRule="auto" w:before="30" w:after="30"/>
              <w:jc w:val="center"/>
            </w:pPr>
            <w:r>
              <w:rPr>
                <w:b/>
                <w:i w:val="0"/>
                <w:sz w:val="14"/>
              </w:rPr>
              <w:t>A</w:t>
            </w:r>
          </w:p>
        </w:tc>
        <w:tc>
          <w:tcPr>
            <w:tcW w:type="dxa" w:w="900"/>
            <w:tcBorders>
              <w:bottom w:val="single" w:sz="8" w:space="0" w:color="auto"/>
            </w:tcBorders>
          </w:tcPr>
          <w:p>
            <w:pPr>
              <w:pStyle w:val="MDPI42tablebody"/>
              <w:keepNext/>
              <w:spacing w:line="240" w:lineRule="auto" w:before="30" w:after="30"/>
              <w:jc w:val="center"/>
            </w:pPr>
            <w:r>
              <w:rPr>
                <w:b/>
                <w:i w:val="0"/>
                <w:sz w:val="14"/>
              </w:rPr>
              <w:t>A</w:t>
            </w:r>
            <w:r>
              <w:rPr>
                <w:b/>
                <w:i w:val="0"/>
                <w:sz w:val="14"/>
                <w:vertAlign w:val="superscript"/>
              </w:rPr>
              <w:t>u</w:t>
            </w:r>
          </w:p>
        </w:tc>
        <w:tc>
          <w:tcPr>
            <w:tcW w:type="dxa" w:w="900"/>
            <w:tcBorders>
              <w:bottom w:val="single" w:sz="8" w:space="0" w:color="auto"/>
            </w:tcBorders>
          </w:tcPr>
          <w:p>
            <w:pPr>
              <w:pStyle w:val="MDPI42tablebody"/>
              <w:keepNext/>
              <w:spacing w:line="240" w:lineRule="auto" w:before="30" w:after="30"/>
              <w:jc w:val="center"/>
            </w:pPr>
            <w:r>
              <w:rPr>
                <w:b/>
                <w:i w:val="0"/>
                <w:sz w:val="14"/>
              </w:rPr>
              <w:t>A</w:t>
            </w:r>
            <w:r>
              <w:rPr>
                <w:b/>
                <w:i w:val="0"/>
                <w:sz w:val="14"/>
                <w:vertAlign w:val="superscript"/>
              </w:rPr>
              <w:t>d</w:t>
            </w:r>
          </w:p>
        </w:tc>
        <w:tc>
          <w:tcPr>
            <w:tcW w:type="dxa" w:w="900"/>
            <w:tcBorders>
              <w:bottom w:val="single" w:sz="8" w:space="0" w:color="auto"/>
            </w:tcBorders>
          </w:tcPr>
          <w:p>
            <w:pPr>
              <w:pStyle w:val="MDPI42tablebody"/>
              <w:keepNext/>
              <w:spacing w:line="240" w:lineRule="auto" w:before="30" w:after="30"/>
              <w:jc w:val="center"/>
            </w:pPr>
            <w:r>
              <w:rPr>
                <w:b/>
                <w:i w:val="0"/>
                <w:sz w:val="14"/>
              </w:rPr>
              <w:t>A</w:t>
            </w:r>
            <w:r>
              <w:rPr>
                <w:b/>
                <w:i w:val="0"/>
                <w:sz w:val="14"/>
                <w:vertAlign w:val="superscript"/>
              </w:rPr>
              <w:t>p</w:t>
            </w:r>
          </w:p>
        </w:tc>
        <w:tc>
          <w:tcPr>
            <w:tcW w:type="dxa" w:w="900"/>
            <w:tcBorders>
              <w:bottom w:val="single" w:sz="8" w:space="0" w:color="auto"/>
            </w:tcBorders>
          </w:tcPr>
          <w:p>
            <w:pPr>
              <w:pStyle w:val="MDPI42tablebody"/>
              <w:keepNext/>
              <w:spacing w:line="240" w:lineRule="auto" w:before="30" w:after="30"/>
              <w:jc w:val="center"/>
            </w:pPr>
            <w:r>
              <w:rPr>
                <w:b/>
                <w:i w:val="0"/>
                <w:sz w:val="14"/>
              </w:rPr>
              <w:t>A</w:t>
            </w:r>
            <w:r>
              <w:rPr>
                <w:b/>
                <w:i w:val="0"/>
                <w:sz w:val="14"/>
                <w:vertAlign w:val="superscript"/>
              </w:rPr>
              <w:t>c</w:t>
            </w:r>
          </w:p>
        </w:tc>
        <w:tc>
          <w:tcPr>
            <w:tcW w:type="dxa" w:w="900"/>
            <w:tcBorders>
              <w:bottom w:val="single" w:sz="8" w:space="0" w:color="auto"/>
            </w:tcBorders>
          </w:tcPr>
          <w:p>
            <w:pPr>
              <w:pStyle w:val="MDPI42tablebody"/>
              <w:keepNext/>
              <w:spacing w:line="240" w:lineRule="auto" w:before="30" w:after="30"/>
              <w:jc w:val="center"/>
            </w:pPr>
            <w:r>
              <w:rPr>
                <w:b/>
                <w:i w:val="0"/>
                <w:sz w:val="14"/>
              </w:rPr>
              <w:t>Size</w:t>
            </w:r>
          </w:p>
        </w:tc>
        <w:tc>
          <w:tcPr>
            <w:tcW w:type="dxa" w:w="900"/>
            <w:tcBorders>
              <w:bottom w:val="single" w:sz="8" w:space="0" w:color="auto"/>
            </w:tcBorders>
          </w:tcPr>
          <w:p>
            <w:pPr>
              <w:pStyle w:val="MDPI42tablebody"/>
              <w:keepNext/>
              <w:spacing w:line="240" w:lineRule="auto" w:before="30" w:after="30"/>
              <w:jc w:val="center"/>
            </w:pPr>
            <w:r>
              <w:rPr>
                <w:b/>
                <w:i w:val="0"/>
                <w:sz w:val="14"/>
              </w:rPr>
              <w:t>Lev</w:t>
            </w:r>
          </w:p>
        </w:tc>
        <w:tc>
          <w:tcPr>
            <w:tcW w:type="dxa" w:w="900"/>
            <w:tcBorders>
              <w:bottom w:val="single" w:sz="8" w:space="0" w:color="auto"/>
            </w:tcBorders>
          </w:tcPr>
          <w:p>
            <w:pPr>
              <w:pStyle w:val="MDPI42tablebody"/>
              <w:keepNext/>
              <w:spacing w:line="240" w:lineRule="auto" w:before="30" w:after="30"/>
              <w:jc w:val="center"/>
            </w:pPr>
            <w:r>
              <w:rPr>
                <w:b/>
                <w:i w:val="0"/>
                <w:sz w:val="14"/>
              </w:rPr>
              <w:t>ROA</w:t>
            </w:r>
          </w:p>
        </w:tc>
      </w:tr>
      <w:tr>
        <w:trPr>
          <w:cantSplit/>
        </w:trPr>
        <w:tc>
          <w:tcPr>
            <w:tcW w:type="dxa" w:w="1465"/>
          </w:tcPr>
          <w:p>
            <w:pPr>
              <w:pStyle w:val="MDPI42tablebody"/>
              <w:keepNext/>
              <w:spacing w:line="240" w:lineRule="auto" w:before="30" w:after="30"/>
              <w:jc w:val="left"/>
            </w:pPr>
            <w:r>
              <w:rPr>
                <w:b w:val="0"/>
                <w:i/>
                <w:sz w:val="14"/>
              </w:rPr>
              <w:t>Y</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X</w:t>
            </w:r>
          </w:p>
        </w:tc>
        <w:tc>
          <w:tcPr>
            <w:tcW w:type="dxa" w:w="900"/>
          </w:tcPr>
          <w:p>
            <w:pPr>
              <w:pStyle w:val="MDPI42tablebody"/>
              <w:keepNext/>
              <w:spacing w:line="240" w:lineRule="auto" w:before="30" w:after="30"/>
              <w:jc w:val="center"/>
            </w:pPr>
            <w:r>
              <w:rPr>
                <w:b w:val="0"/>
                <w:i w:val="0"/>
                <w:sz w:val="14"/>
              </w:rPr>
              <w:t>0.108***</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A</w:t>
            </w:r>
          </w:p>
        </w:tc>
        <w:tc>
          <w:tcPr>
            <w:tcW w:type="dxa" w:w="900"/>
          </w:tcPr>
          <w:p>
            <w:pPr>
              <w:pStyle w:val="MDPI42tablebody"/>
              <w:keepNext/>
              <w:spacing w:line="240" w:lineRule="auto" w:before="30" w:after="30"/>
              <w:jc w:val="center"/>
            </w:pPr>
            <w:r>
              <w:rPr>
                <w:b w:val="0"/>
                <w:i w:val="0"/>
                <w:sz w:val="14"/>
              </w:rPr>
              <w:t>−0.078***</w:t>
            </w:r>
          </w:p>
        </w:tc>
        <w:tc>
          <w:tcPr>
            <w:tcW w:type="dxa" w:w="900"/>
          </w:tcPr>
          <w:p>
            <w:pPr>
              <w:pStyle w:val="MDPI42tablebody"/>
              <w:keepNext/>
              <w:spacing w:line="240" w:lineRule="auto" w:before="30" w:after="30"/>
              <w:jc w:val="center"/>
            </w:pPr>
            <w:r>
              <w:rPr>
                <w:b w:val="0"/>
                <w:i w:val="0"/>
                <w:sz w:val="14"/>
              </w:rPr>
              <w:t>−0.008</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A</w:t>
            </w:r>
            <w:r>
              <w:rPr>
                <w:b w:val="0"/>
                <w:i/>
                <w:sz w:val="14"/>
                <w:vertAlign w:val="superscript"/>
              </w:rPr>
              <w:t>u</w:t>
            </w:r>
          </w:p>
        </w:tc>
        <w:tc>
          <w:tcPr>
            <w:tcW w:type="dxa" w:w="900"/>
          </w:tcPr>
          <w:p>
            <w:pPr>
              <w:pStyle w:val="MDPI42tablebody"/>
              <w:keepNext/>
              <w:spacing w:line="240" w:lineRule="auto" w:before="30" w:after="30"/>
              <w:jc w:val="center"/>
            </w:pPr>
            <w:r>
              <w:rPr>
                <w:b w:val="0"/>
                <w:i w:val="0"/>
                <w:sz w:val="14"/>
              </w:rPr>
              <w:t>−0.039***</w:t>
            </w:r>
          </w:p>
        </w:tc>
        <w:tc>
          <w:tcPr>
            <w:tcW w:type="dxa" w:w="900"/>
          </w:tcPr>
          <w:p>
            <w:pPr>
              <w:pStyle w:val="MDPI42tablebody"/>
              <w:keepNext/>
              <w:spacing w:line="240" w:lineRule="auto" w:before="30" w:after="30"/>
              <w:jc w:val="center"/>
            </w:pPr>
            <w:r>
              <w:rPr>
                <w:b w:val="0"/>
                <w:i w:val="0"/>
                <w:sz w:val="14"/>
              </w:rPr>
              <w:t>0.000</w:t>
            </w:r>
          </w:p>
        </w:tc>
        <w:tc>
          <w:tcPr>
            <w:tcW w:type="dxa" w:w="900"/>
          </w:tcPr>
          <w:p>
            <w:pPr>
              <w:pStyle w:val="MDPI42tablebody"/>
              <w:keepNext/>
              <w:spacing w:line="240" w:lineRule="auto" w:before="30" w:after="30"/>
              <w:jc w:val="center"/>
            </w:pPr>
            <w:r>
              <w:rPr>
                <w:b w:val="0"/>
                <w:i w:val="0"/>
                <w:sz w:val="14"/>
              </w:rPr>
              <w:t>0.065***</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A</w:t>
            </w:r>
            <w:r>
              <w:rPr>
                <w:b w:val="0"/>
                <w:i/>
                <w:sz w:val="14"/>
                <w:vertAlign w:val="superscript"/>
              </w:rPr>
              <w:t>d</w:t>
            </w:r>
          </w:p>
        </w:tc>
        <w:tc>
          <w:tcPr>
            <w:tcW w:type="dxa" w:w="900"/>
          </w:tcPr>
          <w:p>
            <w:pPr>
              <w:pStyle w:val="MDPI42tablebody"/>
              <w:keepNext/>
              <w:spacing w:line="240" w:lineRule="auto" w:before="30" w:after="30"/>
              <w:jc w:val="center"/>
            </w:pPr>
            <w:r>
              <w:rPr>
                <w:b w:val="0"/>
                <w:i w:val="0"/>
                <w:sz w:val="14"/>
              </w:rPr>
              <w:t>−0.056***</w:t>
            </w:r>
          </w:p>
        </w:tc>
        <w:tc>
          <w:tcPr>
            <w:tcW w:type="dxa" w:w="900"/>
          </w:tcPr>
          <w:p>
            <w:pPr>
              <w:pStyle w:val="MDPI42tablebody"/>
              <w:keepNext/>
              <w:spacing w:line="240" w:lineRule="auto" w:before="30" w:after="30"/>
              <w:jc w:val="center"/>
            </w:pPr>
            <w:r>
              <w:rPr>
                <w:b w:val="0"/>
                <w:i w:val="0"/>
                <w:sz w:val="14"/>
              </w:rPr>
              <w:t>−0.008</w:t>
            </w:r>
          </w:p>
        </w:tc>
        <w:tc>
          <w:tcPr>
            <w:tcW w:type="dxa" w:w="900"/>
          </w:tcPr>
          <w:p>
            <w:pPr>
              <w:pStyle w:val="MDPI42tablebody"/>
              <w:keepNext/>
              <w:spacing w:line="240" w:lineRule="auto" w:before="30" w:after="30"/>
              <w:jc w:val="center"/>
            </w:pPr>
            <w:r>
              <w:rPr>
                <w:b w:val="0"/>
                <w:i w:val="0"/>
                <w:sz w:val="14"/>
              </w:rPr>
              <w:t>0.082***</w:t>
            </w:r>
          </w:p>
        </w:tc>
        <w:tc>
          <w:tcPr>
            <w:tcW w:type="dxa" w:w="900"/>
          </w:tcPr>
          <w:p>
            <w:pPr>
              <w:pStyle w:val="MDPI42tablebody"/>
              <w:keepNext/>
              <w:spacing w:line="240" w:lineRule="auto" w:before="30" w:after="30"/>
              <w:jc w:val="center"/>
            </w:pPr>
            <w:r>
              <w:rPr>
                <w:b w:val="0"/>
                <w:i w:val="0"/>
                <w:sz w:val="14"/>
              </w:rPr>
              <w:t>−0.001</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A</w:t>
            </w:r>
            <w:r>
              <w:rPr>
                <w:b w:val="0"/>
                <w:i/>
                <w:sz w:val="14"/>
                <w:vertAlign w:val="superscript"/>
              </w:rPr>
              <w:t>p</w:t>
            </w:r>
          </w:p>
        </w:tc>
        <w:tc>
          <w:tcPr>
            <w:tcW w:type="dxa" w:w="900"/>
          </w:tcPr>
          <w:p>
            <w:pPr>
              <w:pStyle w:val="MDPI42tablebody"/>
              <w:keepNext/>
              <w:spacing w:line="240" w:lineRule="auto" w:before="30" w:after="30"/>
              <w:jc w:val="center"/>
            </w:pPr>
            <w:r>
              <w:rPr>
                <w:b w:val="0"/>
                <w:i w:val="0"/>
                <w:sz w:val="14"/>
              </w:rPr>
              <w:t>−0.001</w:t>
            </w:r>
          </w:p>
        </w:tc>
        <w:tc>
          <w:tcPr>
            <w:tcW w:type="dxa" w:w="900"/>
          </w:tcPr>
          <w:p>
            <w:pPr>
              <w:pStyle w:val="MDPI42tablebody"/>
              <w:keepNext/>
              <w:spacing w:line="240" w:lineRule="auto" w:before="30" w:after="30"/>
              <w:jc w:val="center"/>
            </w:pPr>
            <w:r>
              <w:rPr>
                <w:b w:val="0"/>
                <w:i w:val="0"/>
                <w:sz w:val="14"/>
              </w:rPr>
              <w:t>0.001</w:t>
            </w:r>
          </w:p>
        </w:tc>
        <w:tc>
          <w:tcPr>
            <w:tcW w:type="dxa" w:w="900"/>
          </w:tcPr>
          <w:p>
            <w:pPr>
              <w:pStyle w:val="MDPI42tablebody"/>
              <w:keepNext/>
              <w:spacing w:line="240" w:lineRule="auto" w:before="30" w:after="30"/>
              <w:jc w:val="center"/>
            </w:pPr>
            <w:r>
              <w:rPr>
                <w:b w:val="0"/>
                <w:i w:val="0"/>
                <w:sz w:val="14"/>
              </w:rPr>
              <w:t>0.147***</w:t>
            </w:r>
          </w:p>
        </w:tc>
        <w:tc>
          <w:tcPr>
            <w:tcW w:type="dxa" w:w="900"/>
          </w:tcPr>
          <w:p>
            <w:pPr>
              <w:pStyle w:val="MDPI42tablebody"/>
              <w:keepNext/>
              <w:spacing w:line="240" w:lineRule="auto" w:before="30" w:after="30"/>
              <w:jc w:val="center"/>
            </w:pPr>
            <w:r>
              <w:rPr>
                <w:b w:val="0"/>
                <w:i w:val="0"/>
                <w:sz w:val="14"/>
              </w:rPr>
              <w:t>0.041***</w:t>
            </w:r>
          </w:p>
        </w:tc>
        <w:tc>
          <w:tcPr>
            <w:tcW w:type="dxa" w:w="900"/>
          </w:tcPr>
          <w:p>
            <w:pPr>
              <w:pStyle w:val="MDPI42tablebody"/>
              <w:keepNext/>
              <w:spacing w:line="240" w:lineRule="auto" w:before="30" w:after="30"/>
              <w:jc w:val="center"/>
            </w:pPr>
            <w:r>
              <w:rPr>
                <w:b w:val="0"/>
                <w:i w:val="0"/>
                <w:sz w:val="14"/>
              </w:rPr>
              <w:t>0.048***</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A</w:t>
            </w:r>
            <w:r>
              <w:rPr>
                <w:b w:val="0"/>
                <w:i/>
                <w:sz w:val="14"/>
                <w:vertAlign w:val="superscript"/>
              </w:rPr>
              <w:t>c</w:t>
            </w:r>
          </w:p>
        </w:tc>
        <w:tc>
          <w:tcPr>
            <w:tcW w:type="dxa" w:w="900"/>
          </w:tcPr>
          <w:p>
            <w:pPr>
              <w:pStyle w:val="MDPI42tablebody"/>
              <w:keepNext/>
              <w:spacing w:line="240" w:lineRule="auto" w:before="30" w:after="30"/>
              <w:jc w:val="center"/>
            </w:pPr>
            <w:r>
              <w:rPr>
                <w:b w:val="0"/>
                <w:i w:val="0"/>
                <w:sz w:val="14"/>
              </w:rPr>
              <w:t>−0.067***</w:t>
            </w:r>
          </w:p>
        </w:tc>
        <w:tc>
          <w:tcPr>
            <w:tcW w:type="dxa" w:w="900"/>
          </w:tcPr>
          <w:p>
            <w:pPr>
              <w:pStyle w:val="MDPI42tablebody"/>
              <w:keepNext/>
              <w:spacing w:line="240" w:lineRule="auto" w:before="30" w:after="30"/>
              <w:jc w:val="center"/>
            </w:pPr>
            <w:r>
              <w:rPr>
                <w:b w:val="0"/>
                <w:i w:val="0"/>
                <w:sz w:val="14"/>
              </w:rPr>
              <w:t>−0.006</w:t>
            </w:r>
          </w:p>
        </w:tc>
        <w:tc>
          <w:tcPr>
            <w:tcW w:type="dxa" w:w="900"/>
          </w:tcPr>
          <w:p>
            <w:pPr>
              <w:pStyle w:val="MDPI42tablebody"/>
              <w:keepNext/>
              <w:spacing w:line="240" w:lineRule="auto" w:before="30" w:after="30"/>
              <w:jc w:val="center"/>
            </w:pPr>
            <w:r>
              <w:rPr>
                <w:b w:val="0"/>
                <w:i w:val="0"/>
                <w:sz w:val="14"/>
              </w:rPr>
              <w:t>0.104***</w:t>
            </w:r>
          </w:p>
        </w:tc>
        <w:tc>
          <w:tcPr>
            <w:tcW w:type="dxa" w:w="900"/>
          </w:tcPr>
          <w:p>
            <w:pPr>
              <w:pStyle w:val="MDPI42tablebody"/>
              <w:keepNext/>
              <w:spacing w:line="240" w:lineRule="auto" w:before="30" w:after="30"/>
              <w:jc w:val="center"/>
            </w:pPr>
            <w:r>
              <w:rPr>
                <w:b w:val="0"/>
                <w:i w:val="0"/>
                <w:sz w:val="14"/>
              </w:rPr>
              <w:t>0.713***</w:t>
            </w:r>
          </w:p>
        </w:tc>
        <w:tc>
          <w:tcPr>
            <w:tcW w:type="dxa" w:w="900"/>
          </w:tcPr>
          <w:p>
            <w:pPr>
              <w:pStyle w:val="MDPI42tablebody"/>
              <w:keepNext/>
              <w:spacing w:line="240" w:lineRule="auto" w:before="30" w:after="30"/>
              <w:jc w:val="center"/>
            </w:pPr>
            <w:r>
              <w:rPr>
                <w:b w:val="0"/>
                <w:i w:val="0"/>
                <w:sz w:val="14"/>
              </w:rPr>
              <w:t>0.701***</w:t>
            </w:r>
          </w:p>
        </w:tc>
        <w:tc>
          <w:tcPr>
            <w:tcW w:type="dxa" w:w="900"/>
          </w:tcPr>
          <w:p>
            <w:pPr>
              <w:pStyle w:val="MDPI42tablebody"/>
              <w:keepNext/>
              <w:spacing w:line="240" w:lineRule="auto" w:before="30" w:after="30"/>
              <w:jc w:val="center"/>
            </w:pPr>
            <w:r>
              <w:rPr>
                <w:b w:val="0"/>
                <w:i w:val="0"/>
                <w:sz w:val="14"/>
              </w:rPr>
              <w:t>0.063***</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Size</w:t>
            </w:r>
          </w:p>
        </w:tc>
        <w:tc>
          <w:tcPr>
            <w:tcW w:type="dxa" w:w="900"/>
          </w:tcPr>
          <w:p>
            <w:pPr>
              <w:pStyle w:val="MDPI42tablebody"/>
              <w:keepNext/>
              <w:spacing w:line="240" w:lineRule="auto" w:before="30" w:after="30"/>
              <w:jc w:val="center"/>
            </w:pPr>
            <w:r>
              <w:rPr>
                <w:b w:val="0"/>
                <w:i w:val="0"/>
                <w:sz w:val="14"/>
              </w:rPr>
              <w:t>−0.110***</w:t>
            </w:r>
          </w:p>
        </w:tc>
        <w:tc>
          <w:tcPr>
            <w:tcW w:type="dxa" w:w="900"/>
          </w:tcPr>
          <w:p>
            <w:pPr>
              <w:pStyle w:val="MDPI42tablebody"/>
              <w:keepNext/>
              <w:spacing w:line="240" w:lineRule="auto" w:before="30" w:after="30"/>
              <w:jc w:val="center"/>
            </w:pPr>
            <w:r>
              <w:rPr>
                <w:b w:val="0"/>
                <w:i w:val="0"/>
                <w:sz w:val="14"/>
              </w:rPr>
              <w:t>−0.045***</w:t>
            </w:r>
          </w:p>
        </w:tc>
        <w:tc>
          <w:tcPr>
            <w:tcW w:type="dxa" w:w="900"/>
          </w:tcPr>
          <w:p>
            <w:pPr>
              <w:pStyle w:val="MDPI42tablebody"/>
              <w:keepNext/>
              <w:spacing w:line="240" w:lineRule="auto" w:before="30" w:after="30"/>
              <w:jc w:val="center"/>
            </w:pPr>
            <w:r>
              <w:rPr>
                <w:b w:val="0"/>
                <w:i w:val="0"/>
                <w:sz w:val="14"/>
              </w:rPr>
              <w:t>0.002</w:t>
            </w:r>
          </w:p>
        </w:tc>
        <w:tc>
          <w:tcPr>
            <w:tcW w:type="dxa" w:w="900"/>
          </w:tcPr>
          <w:p>
            <w:pPr>
              <w:pStyle w:val="MDPI42tablebody"/>
              <w:keepNext/>
              <w:spacing w:line="240" w:lineRule="auto" w:before="30" w:after="30"/>
              <w:jc w:val="center"/>
            </w:pPr>
            <w:r>
              <w:rPr>
                <w:b w:val="0"/>
                <w:i w:val="0"/>
                <w:sz w:val="14"/>
              </w:rPr>
              <w:t>0.009</w:t>
            </w:r>
          </w:p>
        </w:tc>
        <w:tc>
          <w:tcPr>
            <w:tcW w:type="dxa" w:w="900"/>
          </w:tcPr>
          <w:p>
            <w:pPr>
              <w:pStyle w:val="MDPI42tablebody"/>
              <w:keepNext/>
              <w:spacing w:line="240" w:lineRule="auto" w:before="30" w:after="30"/>
              <w:jc w:val="center"/>
            </w:pPr>
            <w:r>
              <w:rPr>
                <w:b w:val="0"/>
                <w:i w:val="0"/>
                <w:sz w:val="14"/>
              </w:rPr>
              <w:t>0.012*</w:t>
            </w:r>
          </w:p>
        </w:tc>
        <w:tc>
          <w:tcPr>
            <w:tcW w:type="dxa" w:w="900"/>
          </w:tcPr>
          <w:p>
            <w:pPr>
              <w:pStyle w:val="MDPI42tablebody"/>
              <w:keepNext/>
              <w:spacing w:line="240" w:lineRule="auto" w:before="30" w:after="30"/>
              <w:jc w:val="center"/>
            </w:pPr>
            <w:r>
              <w:rPr>
                <w:b w:val="0"/>
                <w:i w:val="0"/>
                <w:sz w:val="14"/>
              </w:rPr>
              <w:t>−0.001</w:t>
            </w:r>
          </w:p>
        </w:tc>
        <w:tc>
          <w:tcPr>
            <w:tcW w:type="dxa" w:w="900"/>
          </w:tcPr>
          <w:p>
            <w:pPr>
              <w:pStyle w:val="MDPI42tablebody"/>
              <w:keepNext/>
              <w:spacing w:line="240" w:lineRule="auto" w:before="30" w:after="30"/>
              <w:jc w:val="center"/>
            </w:pPr>
            <w:r>
              <w:rPr>
                <w:b w:val="0"/>
                <w:i w:val="0"/>
                <w:sz w:val="14"/>
              </w:rPr>
              <w:t>0.014**</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c>
          <w:tcPr>
            <w:tcW w:type="dxa" w:w="900"/>
          </w:tcPr>
          <w:p>
            <w:pPr>
              <w:pStyle w:val="MDPI42tablebody"/>
              <w:keepNext/>
              <w:spacing w:line="240" w:lineRule="auto" w:before="30" w:after="30"/>
              <w:jc w:val="center"/>
            </w:pPr>
          </w:p>
        </w:tc>
      </w:tr>
      <w:tr>
        <w:trPr>
          <w:cantSplit/>
        </w:trPr>
        <w:tc>
          <w:tcPr>
            <w:tcW w:type="dxa" w:w="1465"/>
          </w:tcPr>
          <w:p>
            <w:pPr>
              <w:pStyle w:val="MDPI42tablebody"/>
              <w:keepNext/>
              <w:spacing w:line="240" w:lineRule="auto" w:before="30" w:after="30"/>
              <w:jc w:val="left"/>
            </w:pPr>
            <w:r>
              <w:rPr>
                <w:b w:val="0"/>
                <w:i/>
                <w:sz w:val="14"/>
              </w:rPr>
              <w:t>Lev</w:t>
            </w:r>
          </w:p>
        </w:tc>
        <w:tc>
          <w:tcPr>
            <w:tcW w:type="dxa" w:w="900"/>
          </w:tcPr>
          <w:p>
            <w:pPr>
              <w:pStyle w:val="MDPI42tablebody"/>
              <w:keepNext/>
              <w:spacing w:line="240" w:lineRule="auto" w:before="30" w:after="30"/>
              <w:jc w:val="center"/>
            </w:pPr>
            <w:r>
              <w:rPr>
                <w:b w:val="0"/>
                <w:i w:val="0"/>
                <w:sz w:val="14"/>
              </w:rPr>
              <w:t>−0.010</w:t>
            </w:r>
          </w:p>
        </w:tc>
        <w:tc>
          <w:tcPr>
            <w:tcW w:type="dxa" w:w="900"/>
          </w:tcPr>
          <w:p>
            <w:pPr>
              <w:pStyle w:val="MDPI42tablebody"/>
              <w:keepNext/>
              <w:spacing w:line="240" w:lineRule="auto" w:before="30" w:after="30"/>
              <w:jc w:val="center"/>
            </w:pPr>
            <w:r>
              <w:rPr>
                <w:b w:val="0"/>
                <w:i w:val="0"/>
                <w:sz w:val="14"/>
              </w:rPr>
              <w:t>−0.017***</w:t>
            </w:r>
          </w:p>
        </w:tc>
        <w:tc>
          <w:tcPr>
            <w:tcW w:type="dxa" w:w="900"/>
          </w:tcPr>
          <w:p>
            <w:pPr>
              <w:pStyle w:val="MDPI42tablebody"/>
              <w:keepNext/>
              <w:spacing w:line="240" w:lineRule="auto" w:before="30" w:after="30"/>
              <w:jc w:val="center"/>
            </w:pPr>
            <w:r>
              <w:rPr>
                <w:b w:val="0"/>
                <w:i w:val="0"/>
                <w:sz w:val="14"/>
              </w:rPr>
              <w:t>0.001</w:t>
            </w:r>
          </w:p>
        </w:tc>
        <w:tc>
          <w:tcPr>
            <w:tcW w:type="dxa" w:w="900"/>
          </w:tcPr>
          <w:p>
            <w:pPr>
              <w:pStyle w:val="MDPI42tablebody"/>
              <w:keepNext/>
              <w:spacing w:line="240" w:lineRule="auto" w:before="30" w:after="30"/>
              <w:jc w:val="center"/>
            </w:pPr>
            <w:r>
              <w:rPr>
                <w:b w:val="0"/>
                <w:i w:val="0"/>
                <w:sz w:val="14"/>
              </w:rPr>
              <w:t>0.007</w:t>
            </w:r>
          </w:p>
        </w:tc>
        <w:tc>
          <w:tcPr>
            <w:tcW w:type="dxa" w:w="900"/>
          </w:tcPr>
          <w:p>
            <w:pPr>
              <w:pStyle w:val="MDPI42tablebody"/>
              <w:keepNext/>
              <w:spacing w:line="240" w:lineRule="auto" w:before="30" w:after="30"/>
              <w:jc w:val="center"/>
            </w:pPr>
            <w:r>
              <w:rPr>
                <w:b w:val="0"/>
                <w:i w:val="0"/>
                <w:sz w:val="14"/>
              </w:rPr>
              <w:t>0.002</w:t>
            </w:r>
          </w:p>
        </w:tc>
        <w:tc>
          <w:tcPr>
            <w:tcW w:type="dxa" w:w="900"/>
          </w:tcPr>
          <w:p>
            <w:pPr>
              <w:pStyle w:val="MDPI42tablebody"/>
              <w:keepNext/>
              <w:spacing w:line="240" w:lineRule="auto" w:before="30" w:after="30"/>
              <w:jc w:val="center"/>
            </w:pPr>
            <w:r>
              <w:rPr>
                <w:b w:val="0"/>
                <w:i w:val="0"/>
                <w:sz w:val="14"/>
              </w:rPr>
              <w:t>0.000</w:t>
            </w:r>
          </w:p>
        </w:tc>
        <w:tc>
          <w:tcPr>
            <w:tcW w:type="dxa" w:w="900"/>
          </w:tcPr>
          <w:p>
            <w:pPr>
              <w:pStyle w:val="MDPI42tablebody"/>
              <w:keepNext/>
              <w:spacing w:line="240" w:lineRule="auto" w:before="30" w:after="30"/>
              <w:jc w:val="center"/>
            </w:pPr>
            <w:r>
              <w:rPr>
                <w:b w:val="0"/>
                <w:i w:val="0"/>
                <w:sz w:val="14"/>
              </w:rPr>
              <w:t>0.006</w:t>
            </w:r>
          </w:p>
        </w:tc>
        <w:tc>
          <w:tcPr>
            <w:tcW w:type="dxa" w:w="900"/>
          </w:tcPr>
          <w:p>
            <w:pPr>
              <w:pStyle w:val="MDPI42tablebody"/>
              <w:keepNext/>
              <w:spacing w:line="240" w:lineRule="auto" w:before="30" w:after="30"/>
              <w:jc w:val="center"/>
            </w:pPr>
            <w:r>
              <w:rPr>
                <w:b w:val="0"/>
                <w:i w:val="0"/>
                <w:sz w:val="14"/>
              </w:rPr>
              <w:t>0.001</w:t>
            </w:r>
          </w:p>
        </w:tc>
        <w:tc>
          <w:tcPr>
            <w:tcW w:type="dxa" w:w="900"/>
          </w:tcPr>
          <w:p>
            <w:pPr>
              <w:pStyle w:val="MDPI42tablebody"/>
              <w:keepNext/>
              <w:spacing w:line="240" w:lineRule="auto" w:before="30" w:after="30"/>
              <w:jc w:val="center"/>
            </w:pPr>
            <w:r>
              <w:rPr>
                <w:b w:val="0"/>
                <w:i w:val="0"/>
                <w:sz w:val="14"/>
              </w:rPr>
              <w:t>1.000</w:t>
            </w:r>
          </w:p>
        </w:tc>
        <w:tc>
          <w:tcPr>
            <w:tcW w:type="dxa" w:w="900"/>
          </w:tcPr>
          <w:p>
            <w:pPr>
              <w:pStyle w:val="MDPI42tablebody"/>
              <w:keepNext/>
              <w:spacing w:line="240" w:lineRule="auto" w:before="30" w:after="30"/>
              <w:jc w:val="center"/>
            </w:pPr>
          </w:p>
        </w:tc>
      </w:tr>
      <w:tr>
        <w:trPr>
          <w:cantSplit/>
        </w:trPr>
        <w:tc>
          <w:tcPr>
            <w:tcW w:type="dxa" w:w="1465"/>
          </w:tcPr>
          <w:p>
            <w:pPr>
              <w:pStyle w:val="MDPI42tablebody"/>
              <w:spacing w:line="240" w:lineRule="auto" w:before="30" w:after="30"/>
              <w:jc w:val="left"/>
            </w:pPr>
            <w:r>
              <w:rPr>
                <w:b w:val="0"/>
                <w:i/>
                <w:sz w:val="14"/>
              </w:rPr>
              <w:t>ROA</w:t>
            </w:r>
          </w:p>
        </w:tc>
        <w:tc>
          <w:tcPr>
            <w:tcW w:type="dxa" w:w="900"/>
          </w:tcPr>
          <w:p>
            <w:pPr>
              <w:pStyle w:val="MDPI42tablebody"/>
              <w:spacing w:line="240" w:lineRule="auto" w:before="30" w:after="30"/>
              <w:jc w:val="center"/>
            </w:pPr>
            <w:r>
              <w:rPr>
                <w:b w:val="0"/>
                <w:i w:val="0"/>
                <w:sz w:val="14"/>
              </w:rPr>
              <w:t>0.055***</w:t>
            </w:r>
          </w:p>
        </w:tc>
        <w:tc>
          <w:tcPr>
            <w:tcW w:type="dxa" w:w="900"/>
          </w:tcPr>
          <w:p>
            <w:pPr>
              <w:pStyle w:val="MDPI42tablebody"/>
              <w:spacing w:line="240" w:lineRule="auto" w:before="30" w:after="30"/>
              <w:jc w:val="center"/>
            </w:pPr>
            <w:r>
              <w:rPr>
                <w:b w:val="0"/>
                <w:i w:val="0"/>
                <w:sz w:val="14"/>
              </w:rPr>
              <w:t>0.035***</w:t>
            </w:r>
          </w:p>
        </w:tc>
        <w:tc>
          <w:tcPr>
            <w:tcW w:type="dxa" w:w="900"/>
          </w:tcPr>
          <w:p>
            <w:pPr>
              <w:pStyle w:val="MDPI42tablebody"/>
              <w:spacing w:line="240" w:lineRule="auto" w:before="30" w:after="30"/>
              <w:jc w:val="center"/>
            </w:pPr>
            <w:r>
              <w:rPr>
                <w:b w:val="0"/>
                <w:i w:val="0"/>
                <w:sz w:val="14"/>
              </w:rPr>
              <w:t>0.007</w:t>
            </w:r>
          </w:p>
        </w:tc>
        <w:tc>
          <w:tcPr>
            <w:tcW w:type="dxa" w:w="900"/>
          </w:tcPr>
          <w:p>
            <w:pPr>
              <w:pStyle w:val="MDPI42tablebody"/>
              <w:spacing w:line="240" w:lineRule="auto" w:before="30" w:after="30"/>
              <w:jc w:val="center"/>
            </w:pPr>
            <w:r>
              <w:rPr>
                <w:b w:val="0"/>
                <w:i w:val="0"/>
                <w:sz w:val="14"/>
              </w:rPr>
              <w:t>0.001</w:t>
            </w:r>
          </w:p>
        </w:tc>
        <w:tc>
          <w:tcPr>
            <w:tcW w:type="dxa" w:w="900"/>
          </w:tcPr>
          <w:p>
            <w:pPr>
              <w:pStyle w:val="MDPI42tablebody"/>
              <w:spacing w:line="240" w:lineRule="auto" w:before="30" w:after="30"/>
              <w:jc w:val="center"/>
            </w:pPr>
            <w:r>
              <w:rPr>
                <w:b w:val="0"/>
                <w:i w:val="0"/>
                <w:sz w:val="14"/>
              </w:rPr>
              <w:t>−0.014**</w:t>
            </w:r>
          </w:p>
        </w:tc>
        <w:tc>
          <w:tcPr>
            <w:tcW w:type="dxa" w:w="900"/>
          </w:tcPr>
          <w:p>
            <w:pPr>
              <w:pStyle w:val="MDPI42tablebody"/>
              <w:spacing w:line="240" w:lineRule="auto" w:before="30" w:after="30"/>
              <w:jc w:val="center"/>
            </w:pPr>
            <w:r>
              <w:rPr>
                <w:b w:val="0"/>
                <w:i w:val="0"/>
                <w:sz w:val="14"/>
              </w:rPr>
              <w:t>−0.005</w:t>
            </w:r>
          </w:p>
        </w:tc>
        <w:tc>
          <w:tcPr>
            <w:tcW w:type="dxa" w:w="900"/>
          </w:tcPr>
          <w:p>
            <w:pPr>
              <w:pStyle w:val="MDPI42tablebody"/>
              <w:spacing w:line="240" w:lineRule="auto" w:before="30" w:after="30"/>
              <w:jc w:val="center"/>
            </w:pPr>
            <w:r>
              <w:rPr>
                <w:b w:val="0"/>
                <w:i w:val="0"/>
                <w:sz w:val="14"/>
              </w:rPr>
              <w:t>−0.009</w:t>
            </w:r>
          </w:p>
        </w:tc>
        <w:tc>
          <w:tcPr>
            <w:tcW w:type="dxa" w:w="900"/>
          </w:tcPr>
          <w:p>
            <w:pPr>
              <w:pStyle w:val="MDPI42tablebody"/>
              <w:spacing w:line="240" w:lineRule="auto" w:before="30" w:after="30"/>
              <w:jc w:val="center"/>
            </w:pPr>
            <w:r>
              <w:rPr>
                <w:b w:val="0"/>
                <w:i w:val="0"/>
                <w:sz w:val="14"/>
              </w:rPr>
              <w:t>−0.001</w:t>
            </w:r>
          </w:p>
        </w:tc>
        <w:tc>
          <w:tcPr>
            <w:tcW w:type="dxa" w:w="900"/>
          </w:tcPr>
          <w:p>
            <w:pPr>
              <w:pStyle w:val="MDPI42tablebody"/>
              <w:spacing w:line="240" w:lineRule="auto" w:before="30" w:after="30"/>
              <w:jc w:val="center"/>
            </w:pPr>
            <w:r>
              <w:rPr>
                <w:b w:val="0"/>
                <w:i w:val="0"/>
                <w:sz w:val="14"/>
              </w:rPr>
              <w:t>0.002</w:t>
            </w:r>
          </w:p>
        </w:tc>
        <w:tc>
          <w:tcPr>
            <w:tcW w:type="dxa" w:w="900"/>
          </w:tcPr>
          <w:p>
            <w:pPr>
              <w:pStyle w:val="MDPI42tablebody"/>
              <w:spacing w:line="240" w:lineRule="auto" w:before="30" w:after="30"/>
              <w:jc w:val="center"/>
            </w:pPr>
            <w:r>
              <w:rPr>
                <w:b w:val="0"/>
                <w:i w:val="0"/>
                <w:sz w:val="14"/>
              </w:rPr>
              <w:t>1.000</w:t>
            </w:r>
          </w:p>
        </w:tc>
      </w:tr>
    </w:tbl>
    <w:p>
      <w:pPr>
        <w:pStyle w:val="MDPI43tablefooter"/>
        <w:spacing w:line="240" w:lineRule="auto" w:before="40" w:after="200"/>
        <w:ind w:left="2608" w:firstLine="0"/>
      </w:pPr>
      <w:r>
        <w:rPr>
          <w:sz w:val="16"/>
        </w:rPr>
        <w:t xml:space="preserve">Note: </w:t>
      </w:r>
      <w:r>
        <w:rPr>
          <w:b w:val="0"/>
          <w:i w:val="0"/>
          <w:sz w:val="16"/>
        </w:rPr>
        <w:t>***, ** and * denote significance at the 1%, 5% and 10% levels. Variance inflation factors computed after the two-way within transformation have a maximum of 1.29 and a mean of 1.04.</w:t>
      </w:r>
    </w:p>
    <w:p>
      <w:pPr>
        <w:pStyle w:val="MDPI22heading2"/>
      </w:pPr>
      <w:r>
        <w:t>4.3. The Within-Firm Benchmark</w:t>
      </w:r>
    </w:p>
    <w:p>
      <w:pPr>
        <w:pStyle w:val="MDPI32textnoindent"/>
      </w:pPr>
      <w:r>
        <w:rPr>
          <w:b w:val="0"/>
          <w:i w:val="0"/>
        </w:rPr>
        <w:t>Table 4 estimates Equation (5), the specification the literature uses. Column (1) includes only adoption and the two sets of effects: −0.433. Column (2) adds the controls and the coefficient is −0.434 (standard error 0.018), so one standard deviation of adoption lowers the youth employment share by 0.434 percentage points, 2.2% of its mean. Columns (3) and (4) replace the year effects with industry-by-year and city-by-year effects, which absorb any shock common to a sector or a city in a given year; the coefficient is −0.369 and −0.449 respectively. Column (5) runs the same specification on the experienced share and finds −0.087, and the cross-equation test rejects equality (0.347, p &lt; 0.001). Hypothesis 1 is supported, and the displacement is specific to the young.</w:t>
      </w:r>
    </w:p>
    <w:p>
      <w:pPr>
        <w:pStyle w:val="MDPI31text"/>
      </w:pPr>
      <w:r>
        <w:rPr>
          <w:b w:val="0"/>
          <w:i w:val="0"/>
        </w:rPr>
        <w:t>This is where a conventional paper would stop, and the number it would report is −0.434. The rest of the paper is about why that number, although correctly estimated, answers a question nobody asked.</w:t>
      </w:r>
    </w:p>
    <w:p>
      <w:pPr>
        <w:pStyle w:val="MDPI41tablecaption"/>
        <w:keepNext/>
        <w:spacing w:after="60"/>
      </w:pPr>
      <w:r>
        <w:rPr>
          <w:b/>
          <w:sz w:val="18"/>
        </w:rPr>
        <w:t xml:space="preserve">Table 4. </w:t>
      </w:r>
      <w:r>
        <w:rPr>
          <w:b w:val="0"/>
          <w:i w:val="0"/>
          <w:sz w:val="18"/>
        </w:rPr>
        <w:t>The within-firm benchmark: own adoption and the youth employment share.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721"/>
        <w:gridCol w:w="1548"/>
        <w:gridCol w:w="1548"/>
        <w:gridCol w:w="1548"/>
        <w:gridCol w:w="1548"/>
        <w:gridCol w:w="1548"/>
      </w:tblGrid>
      <w:tr>
        <w:trPr>
          <w:cantSplit/>
          <w:tblHeader/>
        </w:trPr>
        <w:tc>
          <w:tcPr>
            <w:tcW w:type="dxa" w:w="2721"/>
            <w:tcBorders>
              <w:bottom w:val="single" w:sz="8" w:space="0" w:color="auto"/>
            </w:tcBorders>
          </w:tcPr>
          <w:p>
            <w:pPr>
              <w:pStyle w:val="MDPI42tablebody"/>
              <w:keepNext/>
              <w:spacing w:line="240" w:lineRule="auto" w:before="30" w:after="30"/>
              <w:jc w:val="center"/>
            </w:pPr>
            <w:r>
              <w:rPr>
                <w:b/>
                <w:i w:val="0"/>
                <w:sz w:val="18"/>
              </w:rPr>
              <w:t>Variable</w:t>
            </w:r>
          </w:p>
        </w:tc>
        <w:tc>
          <w:tcPr>
            <w:tcW w:type="dxa" w:w="1548"/>
            <w:tcBorders>
              <w:bottom w:val="single" w:sz="8" w:space="0" w:color="auto"/>
            </w:tcBorders>
          </w:tcPr>
          <w:p>
            <w:pPr>
              <w:pStyle w:val="MDPI42tablebody"/>
              <w:keepNext/>
              <w:spacing w:line="240" w:lineRule="auto" w:before="30" w:after="30"/>
              <w:jc w:val="center"/>
            </w:pPr>
            <w:r>
              <w:rPr>
                <w:b/>
                <w:i w:val="0"/>
                <w:sz w:val="18"/>
              </w:rPr>
              <w:t>(1)</w:t>
            </w:r>
          </w:p>
        </w:tc>
        <w:tc>
          <w:tcPr>
            <w:tcW w:type="dxa" w:w="1548"/>
            <w:tcBorders>
              <w:bottom w:val="single" w:sz="8" w:space="0" w:color="auto"/>
            </w:tcBorders>
          </w:tcPr>
          <w:p>
            <w:pPr>
              <w:pStyle w:val="MDPI42tablebody"/>
              <w:keepNext/>
              <w:spacing w:line="240" w:lineRule="auto" w:before="30" w:after="30"/>
              <w:jc w:val="center"/>
            </w:pPr>
            <w:r>
              <w:rPr>
                <w:b/>
                <w:i w:val="0"/>
                <w:sz w:val="18"/>
              </w:rPr>
              <w:t>(2)</w:t>
            </w:r>
          </w:p>
        </w:tc>
        <w:tc>
          <w:tcPr>
            <w:tcW w:type="dxa" w:w="1548"/>
            <w:tcBorders>
              <w:bottom w:val="single" w:sz="8" w:space="0" w:color="auto"/>
            </w:tcBorders>
          </w:tcPr>
          <w:p>
            <w:pPr>
              <w:pStyle w:val="MDPI42tablebody"/>
              <w:keepNext/>
              <w:spacing w:line="240" w:lineRule="auto" w:before="30" w:after="30"/>
              <w:jc w:val="center"/>
            </w:pPr>
            <w:r>
              <w:rPr>
                <w:b/>
                <w:i w:val="0"/>
                <w:sz w:val="18"/>
              </w:rPr>
              <w:t>(3)</w:t>
            </w:r>
          </w:p>
        </w:tc>
        <w:tc>
          <w:tcPr>
            <w:tcW w:type="dxa" w:w="1548"/>
            <w:tcBorders>
              <w:bottom w:val="single" w:sz="8" w:space="0" w:color="auto"/>
            </w:tcBorders>
          </w:tcPr>
          <w:p>
            <w:pPr>
              <w:pStyle w:val="MDPI42tablebody"/>
              <w:keepNext/>
              <w:spacing w:line="240" w:lineRule="auto" w:before="30" w:after="30"/>
              <w:jc w:val="center"/>
            </w:pPr>
            <w:r>
              <w:rPr>
                <w:b/>
                <w:i w:val="0"/>
                <w:sz w:val="18"/>
              </w:rPr>
              <w:t>(4)</w:t>
            </w:r>
          </w:p>
        </w:tc>
        <w:tc>
          <w:tcPr>
            <w:tcW w:type="dxa" w:w="1548"/>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2721"/>
          </w:tcPr>
          <w:p>
            <w:pPr>
              <w:pStyle w:val="MDPI42tablebody"/>
              <w:keepNext/>
              <w:spacing w:line="240" w:lineRule="auto" w:before="30" w:after="30"/>
              <w:jc w:val="left"/>
            </w:pPr>
            <w:r>
              <w:rPr>
                <w:b w:val="0"/>
                <w:i/>
                <w:sz w:val="18"/>
              </w:rPr>
              <w:t>A</w:t>
            </w:r>
          </w:p>
        </w:tc>
        <w:tc>
          <w:tcPr>
            <w:tcW w:type="dxa" w:w="1548"/>
          </w:tcPr>
          <w:p>
            <w:pPr>
              <w:pStyle w:val="MDPI42tablebody"/>
              <w:keepNext/>
              <w:spacing w:line="240" w:lineRule="auto" w:before="30" w:after="30"/>
              <w:jc w:val="center"/>
            </w:pPr>
            <w:r>
              <w:rPr>
                <w:b w:val="0"/>
                <w:i w:val="0"/>
                <w:sz w:val="18"/>
              </w:rPr>
              <w:t>−0.433***</w:t>
            </w:r>
          </w:p>
        </w:tc>
        <w:tc>
          <w:tcPr>
            <w:tcW w:type="dxa" w:w="1548"/>
          </w:tcPr>
          <w:p>
            <w:pPr>
              <w:pStyle w:val="MDPI42tablebody"/>
              <w:keepNext/>
              <w:spacing w:line="240" w:lineRule="auto" w:before="30" w:after="30"/>
              <w:jc w:val="center"/>
            </w:pPr>
            <w:r>
              <w:rPr>
                <w:b w:val="0"/>
                <w:i w:val="0"/>
                <w:sz w:val="18"/>
              </w:rPr>
              <w:t>−0.434***</w:t>
            </w:r>
          </w:p>
        </w:tc>
        <w:tc>
          <w:tcPr>
            <w:tcW w:type="dxa" w:w="1548"/>
          </w:tcPr>
          <w:p>
            <w:pPr>
              <w:pStyle w:val="MDPI42tablebody"/>
              <w:keepNext/>
              <w:spacing w:line="240" w:lineRule="auto" w:before="30" w:after="30"/>
              <w:jc w:val="center"/>
            </w:pPr>
            <w:r>
              <w:rPr>
                <w:b w:val="0"/>
                <w:i w:val="0"/>
                <w:sz w:val="18"/>
              </w:rPr>
              <w:t>−0.369***</w:t>
            </w:r>
          </w:p>
        </w:tc>
        <w:tc>
          <w:tcPr>
            <w:tcW w:type="dxa" w:w="1548"/>
          </w:tcPr>
          <w:p>
            <w:pPr>
              <w:pStyle w:val="MDPI42tablebody"/>
              <w:keepNext/>
              <w:spacing w:line="240" w:lineRule="auto" w:before="30" w:after="30"/>
              <w:jc w:val="center"/>
            </w:pPr>
            <w:r>
              <w:rPr>
                <w:b w:val="0"/>
                <w:i w:val="0"/>
                <w:sz w:val="18"/>
              </w:rPr>
              <w:t>−0.449***</w:t>
            </w:r>
          </w:p>
        </w:tc>
        <w:tc>
          <w:tcPr>
            <w:tcW w:type="dxa" w:w="1548"/>
          </w:tcPr>
          <w:p>
            <w:pPr>
              <w:pStyle w:val="MDPI42tablebody"/>
              <w:keepNext/>
              <w:spacing w:line="240" w:lineRule="auto" w:before="30" w:after="30"/>
              <w:jc w:val="center"/>
            </w:pPr>
            <w:r>
              <w:rPr>
                <w:b w:val="0"/>
                <w:i w:val="0"/>
                <w:sz w:val="18"/>
              </w:rPr>
              <w:t>−0.087***</w:t>
            </w: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8"/>
              </w:rPr>
              <w:t>(0.018)</w:t>
            </w:r>
          </w:p>
        </w:tc>
        <w:tc>
          <w:tcPr>
            <w:tcW w:type="dxa" w:w="1548"/>
          </w:tcPr>
          <w:p>
            <w:pPr>
              <w:pStyle w:val="MDPI42tablebody"/>
              <w:keepNext/>
              <w:spacing w:line="240" w:lineRule="auto" w:before="30" w:after="30"/>
              <w:jc w:val="center"/>
            </w:pPr>
            <w:r>
              <w:rPr>
                <w:b w:val="0"/>
                <w:i w:val="0"/>
                <w:sz w:val="18"/>
              </w:rPr>
              <w:t>(0.018)</w:t>
            </w:r>
          </w:p>
        </w:tc>
        <w:tc>
          <w:tcPr>
            <w:tcW w:type="dxa" w:w="1548"/>
          </w:tcPr>
          <w:p>
            <w:pPr>
              <w:pStyle w:val="MDPI42tablebody"/>
              <w:keepNext/>
              <w:spacing w:line="240" w:lineRule="auto" w:before="30" w:after="30"/>
              <w:jc w:val="center"/>
            </w:pPr>
            <w:r>
              <w:rPr>
                <w:b w:val="0"/>
                <w:i w:val="0"/>
                <w:sz w:val="18"/>
              </w:rPr>
              <w:t>(0.021)</w:t>
            </w:r>
          </w:p>
        </w:tc>
        <w:tc>
          <w:tcPr>
            <w:tcW w:type="dxa" w:w="1548"/>
          </w:tcPr>
          <w:p>
            <w:pPr>
              <w:pStyle w:val="MDPI42tablebody"/>
              <w:keepNext/>
              <w:spacing w:line="240" w:lineRule="auto" w:before="30" w:after="30"/>
              <w:jc w:val="center"/>
            </w:pPr>
            <w:r>
              <w:rPr>
                <w:b w:val="0"/>
                <w:i w:val="0"/>
                <w:sz w:val="18"/>
              </w:rPr>
              <w:t>(0.018)</w:t>
            </w:r>
          </w:p>
        </w:tc>
        <w:tc>
          <w:tcPr>
            <w:tcW w:type="dxa" w:w="1548"/>
          </w:tcPr>
          <w:p>
            <w:pPr>
              <w:pStyle w:val="MDPI42tablebody"/>
              <w:keepNext/>
              <w:spacing w:line="240" w:lineRule="auto" w:before="30" w:after="30"/>
              <w:jc w:val="center"/>
            </w:pPr>
            <w:r>
              <w:rPr>
                <w:b w:val="0"/>
                <w:i w:val="0"/>
                <w:sz w:val="18"/>
              </w:rPr>
              <w:t>(0.016)</w:t>
            </w:r>
          </w:p>
        </w:tc>
      </w:tr>
      <w:tr>
        <w:trPr>
          <w:cantSplit/>
        </w:trPr>
        <w:tc>
          <w:tcPr>
            <w:tcW w:type="dxa" w:w="2721"/>
          </w:tcPr>
          <w:p>
            <w:pPr>
              <w:pStyle w:val="MDPI42tablebody"/>
              <w:keepNext/>
              <w:spacing w:line="240" w:lineRule="auto" w:before="30" w:after="30"/>
              <w:jc w:val="left"/>
            </w:pPr>
            <w:r>
              <w:rPr>
                <w:b w:val="0"/>
                <w:i/>
                <w:sz w:val="18"/>
              </w:rPr>
              <w:t>Controls</w:t>
            </w:r>
          </w:p>
        </w:tc>
        <w:tc>
          <w:tcPr>
            <w:tcW w:type="dxa" w:w="1548"/>
          </w:tcPr>
          <w:p>
            <w:pPr>
              <w:pStyle w:val="MDPI42tablebody"/>
              <w:keepNext/>
              <w:spacing w:line="240" w:lineRule="auto" w:before="30" w:after="30"/>
              <w:jc w:val="center"/>
            </w:pPr>
            <w:r>
              <w:rPr>
                <w:b w:val="0"/>
                <w:i w:val="0"/>
                <w:sz w:val="18"/>
              </w:rPr>
              <w:t>No</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r>
      <w:tr>
        <w:trPr>
          <w:cantSplit/>
        </w:trPr>
        <w:tc>
          <w:tcPr>
            <w:tcW w:type="dxa" w:w="2721"/>
          </w:tcPr>
          <w:p>
            <w:pPr>
              <w:pStyle w:val="MDPI42tablebody"/>
              <w:keepNext/>
              <w:spacing w:line="240" w:lineRule="auto" w:before="30" w:after="30"/>
              <w:jc w:val="left"/>
            </w:pPr>
            <w:r>
              <w:rPr>
                <w:b w:val="0"/>
                <w:i/>
                <w:sz w:val="18"/>
              </w:rPr>
              <w:t>Firm FE</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r>
      <w:tr>
        <w:trPr>
          <w:cantSplit/>
        </w:trPr>
        <w:tc>
          <w:tcPr>
            <w:tcW w:type="dxa" w:w="2721"/>
          </w:tcPr>
          <w:p>
            <w:pPr>
              <w:pStyle w:val="MDPI42tablebody"/>
              <w:keepNext/>
              <w:spacing w:line="240" w:lineRule="auto" w:before="30" w:after="30"/>
              <w:jc w:val="left"/>
            </w:pPr>
            <w:r>
              <w:rPr>
                <w:b w:val="0"/>
                <w:i/>
                <w:sz w:val="18"/>
              </w:rPr>
              <w:t>Year FE</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Yes</w:t>
            </w:r>
          </w:p>
        </w:tc>
      </w:tr>
      <w:tr>
        <w:trPr>
          <w:cantSplit/>
        </w:trPr>
        <w:tc>
          <w:tcPr>
            <w:tcW w:type="dxa" w:w="2721"/>
          </w:tcPr>
          <w:p>
            <w:pPr>
              <w:pStyle w:val="MDPI42tablebody"/>
              <w:keepNext/>
              <w:spacing w:line="240" w:lineRule="auto" w:before="30" w:after="30"/>
              <w:jc w:val="left"/>
            </w:pPr>
            <w:r>
              <w:rPr>
                <w:b w:val="0"/>
                <w:i/>
                <w:sz w:val="18"/>
              </w:rPr>
              <w:t>Industry × year FE</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r>
      <w:tr>
        <w:trPr>
          <w:cantSplit/>
        </w:trPr>
        <w:tc>
          <w:tcPr>
            <w:tcW w:type="dxa" w:w="2721"/>
          </w:tcPr>
          <w:p>
            <w:pPr>
              <w:pStyle w:val="MDPI42tablebody"/>
              <w:keepNext/>
              <w:spacing w:line="240" w:lineRule="auto" w:before="30" w:after="30"/>
              <w:jc w:val="left"/>
            </w:pPr>
            <w:r>
              <w:rPr>
                <w:b w:val="0"/>
                <w:i/>
                <w:sz w:val="18"/>
              </w:rPr>
              <w:t>City × year FE</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w:t>
            </w:r>
          </w:p>
        </w:tc>
      </w:tr>
      <w:tr>
        <w:trPr>
          <w:cantSplit/>
        </w:trPr>
        <w:tc>
          <w:tcPr>
            <w:tcW w:type="dxa" w:w="2721"/>
          </w:tcPr>
          <w:p>
            <w:pPr>
              <w:pStyle w:val="MDPI42tablebody"/>
              <w:keepNext/>
              <w:spacing w:line="240" w:lineRule="auto" w:before="30" w:after="30"/>
              <w:jc w:val="left"/>
            </w:pPr>
            <w:r>
              <w:rPr>
                <w:b w:val="0"/>
                <w:i/>
                <w:sz w:val="18"/>
              </w:rPr>
              <w:t>Observations</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r>
      <w:tr>
        <w:trPr>
          <w:cantSplit/>
        </w:trPr>
        <w:tc>
          <w:tcPr>
            <w:tcW w:type="dxa" w:w="2721"/>
          </w:tcPr>
          <w:p>
            <w:pPr>
              <w:pStyle w:val="MDPI42tablebody"/>
              <w:keepNext/>
              <w:spacing w:line="240" w:lineRule="auto" w:before="30" w:after="30"/>
              <w:jc w:val="left"/>
            </w:pPr>
            <w:r>
              <w:rPr>
                <w:b w:val="0"/>
                <w:i/>
                <w:sz w:val="18"/>
              </w:rPr>
              <w:t>Within R²</w:t>
            </w:r>
          </w:p>
        </w:tc>
        <w:tc>
          <w:tcPr>
            <w:tcW w:type="dxa" w:w="1548"/>
          </w:tcPr>
          <w:p>
            <w:pPr>
              <w:pStyle w:val="MDPI42tablebody"/>
              <w:keepNext/>
              <w:spacing w:line="240" w:lineRule="auto" w:before="30" w:after="30"/>
              <w:jc w:val="center"/>
            </w:pPr>
            <w:r>
              <w:rPr>
                <w:b w:val="0"/>
                <w:i w:val="0"/>
                <w:sz w:val="18"/>
              </w:rPr>
              <w:t>0.027</w:t>
            </w:r>
          </w:p>
        </w:tc>
        <w:tc>
          <w:tcPr>
            <w:tcW w:type="dxa" w:w="1548"/>
          </w:tcPr>
          <w:p>
            <w:pPr>
              <w:pStyle w:val="MDPI42tablebody"/>
              <w:keepNext/>
              <w:spacing w:line="240" w:lineRule="auto" w:before="30" w:after="30"/>
              <w:jc w:val="center"/>
            </w:pPr>
            <w:r>
              <w:rPr>
                <w:b w:val="0"/>
                <w:i w:val="0"/>
                <w:sz w:val="18"/>
              </w:rPr>
              <w:t>0.097</w:t>
            </w:r>
          </w:p>
        </w:tc>
        <w:tc>
          <w:tcPr>
            <w:tcW w:type="dxa" w:w="1548"/>
          </w:tcPr>
          <w:p>
            <w:pPr>
              <w:pStyle w:val="MDPI42tablebody"/>
              <w:keepNext/>
              <w:spacing w:line="240" w:lineRule="auto" w:before="30" w:after="30"/>
              <w:jc w:val="center"/>
            </w:pPr>
            <w:r>
              <w:rPr>
                <w:b w:val="0"/>
                <w:i w:val="0"/>
                <w:sz w:val="18"/>
              </w:rPr>
              <w:t>0.085</w:t>
            </w:r>
          </w:p>
        </w:tc>
        <w:tc>
          <w:tcPr>
            <w:tcW w:type="dxa" w:w="1548"/>
          </w:tcPr>
          <w:p>
            <w:pPr>
              <w:pStyle w:val="MDPI42tablebody"/>
              <w:keepNext/>
              <w:spacing w:line="240" w:lineRule="auto" w:before="30" w:after="30"/>
              <w:jc w:val="center"/>
            </w:pPr>
            <w:r>
              <w:rPr>
                <w:b w:val="0"/>
                <w:i w:val="0"/>
                <w:sz w:val="18"/>
              </w:rPr>
              <w:t>0.097</w:t>
            </w:r>
          </w:p>
        </w:tc>
        <w:tc>
          <w:tcPr>
            <w:tcW w:type="dxa" w:w="1548"/>
          </w:tcPr>
          <w:p>
            <w:pPr>
              <w:pStyle w:val="MDPI42tablebody"/>
              <w:keepNext/>
              <w:spacing w:line="240" w:lineRule="auto" w:before="30" w:after="30"/>
              <w:jc w:val="center"/>
            </w:pPr>
            <w:r>
              <w:rPr>
                <w:b w:val="0"/>
                <w:i w:val="0"/>
                <w:sz w:val="18"/>
              </w:rPr>
              <w:t>0.050</w:t>
            </w:r>
          </w:p>
        </w:tc>
      </w:tr>
      <w:tr>
        <w:trPr>
          <w:cantSplit/>
        </w:trPr>
        <w:tc>
          <w:tcPr>
            <w:tcW w:type="dxa" w:w="2721"/>
          </w:tcPr>
          <w:p>
            <w:pPr>
              <w:pStyle w:val="MDPI42tablebody"/>
              <w:keepNext/>
              <w:spacing w:line="240" w:lineRule="auto" w:before="30" w:after="30"/>
              <w:jc w:val="left"/>
            </w:pPr>
            <w:r>
              <w:rPr>
                <w:b w:val="0"/>
                <w:i/>
                <w:sz w:val="18"/>
              </w:rPr>
              <w:t>Cross-equation difference</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0.347***</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spacing w:line="240" w:lineRule="auto" w:before="30" w:after="30"/>
              <w:jc w:val="left"/>
            </w:pPr>
          </w:p>
        </w:tc>
        <w:tc>
          <w:tcPr>
            <w:tcW w:type="dxa" w:w="1548"/>
          </w:tcPr>
          <w:p>
            <w:pPr>
              <w:pStyle w:val="MDPI42tablebody"/>
              <w:spacing w:line="240" w:lineRule="auto" w:before="30" w:after="30"/>
              <w:jc w:val="center"/>
            </w:pPr>
          </w:p>
        </w:tc>
        <w:tc>
          <w:tcPr>
            <w:tcW w:type="dxa" w:w="1548"/>
          </w:tcPr>
          <w:p>
            <w:pPr>
              <w:pStyle w:val="MDPI42tablebody"/>
              <w:spacing w:line="240" w:lineRule="auto" w:before="30" w:after="30"/>
              <w:jc w:val="center"/>
            </w:pPr>
            <w:r>
              <w:rPr>
                <w:b w:val="0"/>
                <w:i w:val="0"/>
                <w:sz w:val="18"/>
              </w:rPr>
              <w:t>(0.023)</w:t>
            </w:r>
          </w:p>
        </w:tc>
        <w:tc>
          <w:tcPr>
            <w:tcW w:type="dxa" w:w="1548"/>
          </w:tcPr>
          <w:p>
            <w:pPr>
              <w:pStyle w:val="MDPI42tablebody"/>
              <w:spacing w:line="240" w:lineRule="auto" w:before="30" w:after="30"/>
              <w:jc w:val="center"/>
            </w:pPr>
          </w:p>
        </w:tc>
        <w:tc>
          <w:tcPr>
            <w:tcW w:type="dxa" w:w="1548"/>
          </w:tcPr>
          <w:p>
            <w:pPr>
              <w:pStyle w:val="MDPI42tablebody"/>
              <w:spacing w:line="240" w:lineRule="auto" w:before="30" w:after="30"/>
              <w:jc w:val="center"/>
            </w:pPr>
          </w:p>
        </w:tc>
        <w:tc>
          <w:tcPr>
            <w:tcW w:type="dxa" w:w="1548"/>
          </w:tcPr>
          <w:p>
            <w:pPr>
              <w:pStyle w:val="MDPI42tablebody"/>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The dependent variable is the youth employment share in columns (1) to (4) and the experienced share in column (5); the model is Equation (5). The cross-equation difference is the coefficient on the interaction of adoption with an equation indicator in the stacked model of columns (2) and (5), whose covariance is clustered on the firm across both equations. Standard errors clustered at the firm level are in parentheses. ***, ** and * denote significance at the 1%, 5% and 10% levels.</w:t>
      </w:r>
    </w:p>
    <w:p>
      <w:pPr>
        <w:pStyle w:val="MDPI22heading2"/>
      </w:pPr>
      <w:r>
        <w:t>4.4. The Three Transmissions</w:t>
      </w:r>
    </w:p>
    <w:p>
      <w:pPr>
        <w:pStyle w:val="MDPI32textnoindent"/>
      </w:pPr>
      <w:r>
        <w:rPr>
          <w:b w:val="0"/>
          <w:i w:val="0"/>
        </w:rPr>
        <w:t>Table 5 estimates Equation (6). Columns (1) to (3) add each network lag on its own and column (4) adds all three together; column (5) repeats column (4) with industry-by-year effects. The pattern is the argument of the paper in a single row of numbers.</w:t>
      </w:r>
    </w:p>
    <w:p>
      <w:pPr>
        <w:pStyle w:val="MDPI31text"/>
      </w:pPr>
      <w:r>
        <w:rPr>
          <w:b w:val="0"/>
          <w:i w:val="0"/>
        </w:rPr>
        <w:t>Adoption by the firm's customers lowers its youth employment share by 0.396 percentage points per standard deviation (0.032). That is 0.94 times the size of the firm's own adoption effect, obtained from firms that may have adopted nothing themselves. Adoption by suppliers lowers it by 0.246 (0.031), about 62% of the downstream effect, which is the ordering Hypothesis 2 predicts: a customer that adopts stops buying junior-labour-intensive service work, whereas a supplier that adopts merely delivers a cheaper input. Hypothesis 2 is supported on both counts.</w:t>
      </w:r>
    </w:p>
    <w:p>
      <w:pPr>
        <w:pStyle w:val="MDPI31text"/>
      </w:pPr>
      <w:r>
        <w:rPr>
          <w:b w:val="0"/>
          <w:i w:val="0"/>
        </w:rPr>
        <w:t>Adoption by other firms in the same city goes the other way. The coefficient is 0.334 (0.078), positive and significant: a firm whose local competitors are adopting employs *more* young people, not fewer. The interpretation is reallocation. Young workers whom the adopting firms do not hire stay in the city, and the firms that have not adopted hire them. This is the first indication that part of what the within-firm regression records as destroyed employment is employment that moved, and Section 4.7 measures how much. Hypothesis 3 is supported at the firm level; its aggregate implication is tested there.</w:t>
      </w:r>
    </w:p>
    <w:p>
      <w:pPr>
        <w:pStyle w:val="MDPI31text"/>
      </w:pPr>
      <w:r>
        <w:rPr>
          <w:b w:val="0"/>
          <w:i w:val="0"/>
        </w:rPr>
        <w:t>The own-adoption coefficient is essentially unchanged when the three lags are added (−0.422 against −0.434), which follows from the low correlations in Table 3. The within-firm estimate is not biased; it is incomplete. Adding up the two supply-chain lags, the propagation to a firm from its trading partners is −0.642 percentage points per standard deviation of their adoption — larger, on its own, than everything the within-firm literature has been measuring.</w:t>
      </w:r>
    </w:p>
    <w:p>
      <w:pPr>
        <w:pStyle w:val="MDPI41tablecaption"/>
        <w:keepNext/>
        <w:spacing w:after="60"/>
      </w:pPr>
      <w:r>
        <w:rPr>
          <w:b/>
          <w:sz w:val="18"/>
        </w:rPr>
        <w:t xml:space="preserve">Table 5. </w:t>
      </w:r>
      <w:r>
        <w:rPr>
          <w:b w:val="0"/>
          <w:i w:val="0"/>
          <w:sz w:val="18"/>
        </w:rPr>
        <w:t>The three transmissions: own adoption, the supply chain and the local labour market.</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721"/>
        <w:gridCol w:w="1548"/>
        <w:gridCol w:w="1548"/>
        <w:gridCol w:w="1548"/>
        <w:gridCol w:w="1548"/>
        <w:gridCol w:w="1548"/>
      </w:tblGrid>
      <w:tr>
        <w:trPr>
          <w:cantSplit/>
          <w:tblHeader/>
        </w:trPr>
        <w:tc>
          <w:tcPr>
            <w:tcW w:type="dxa" w:w="2721"/>
            <w:tcBorders>
              <w:bottom w:val="single" w:sz="8" w:space="0" w:color="auto"/>
            </w:tcBorders>
          </w:tcPr>
          <w:p>
            <w:pPr>
              <w:pStyle w:val="MDPI42tablebody"/>
              <w:keepNext/>
              <w:spacing w:line="240" w:lineRule="auto" w:before="30" w:after="30"/>
              <w:jc w:val="center"/>
            </w:pPr>
            <w:r>
              <w:rPr>
                <w:b/>
                <w:i w:val="0"/>
                <w:sz w:val="18"/>
              </w:rPr>
              <w:t>Variable</w:t>
            </w:r>
          </w:p>
        </w:tc>
        <w:tc>
          <w:tcPr>
            <w:tcW w:type="dxa" w:w="1548"/>
            <w:tcBorders>
              <w:bottom w:val="single" w:sz="8" w:space="0" w:color="auto"/>
            </w:tcBorders>
          </w:tcPr>
          <w:p>
            <w:pPr>
              <w:pStyle w:val="MDPI42tablebody"/>
              <w:keepNext/>
              <w:spacing w:line="240" w:lineRule="auto" w:before="30" w:after="30"/>
              <w:jc w:val="center"/>
            </w:pPr>
            <w:r>
              <w:rPr>
                <w:b/>
                <w:i w:val="0"/>
                <w:sz w:val="18"/>
              </w:rPr>
              <w:t>(1)</w:t>
            </w:r>
          </w:p>
        </w:tc>
        <w:tc>
          <w:tcPr>
            <w:tcW w:type="dxa" w:w="1548"/>
            <w:tcBorders>
              <w:bottom w:val="single" w:sz="8" w:space="0" w:color="auto"/>
            </w:tcBorders>
          </w:tcPr>
          <w:p>
            <w:pPr>
              <w:pStyle w:val="MDPI42tablebody"/>
              <w:keepNext/>
              <w:spacing w:line="240" w:lineRule="auto" w:before="30" w:after="30"/>
              <w:jc w:val="center"/>
            </w:pPr>
            <w:r>
              <w:rPr>
                <w:b/>
                <w:i w:val="0"/>
                <w:sz w:val="18"/>
              </w:rPr>
              <w:t>(2)</w:t>
            </w:r>
          </w:p>
        </w:tc>
        <w:tc>
          <w:tcPr>
            <w:tcW w:type="dxa" w:w="1548"/>
            <w:tcBorders>
              <w:bottom w:val="single" w:sz="8" w:space="0" w:color="auto"/>
            </w:tcBorders>
          </w:tcPr>
          <w:p>
            <w:pPr>
              <w:pStyle w:val="MDPI42tablebody"/>
              <w:keepNext/>
              <w:spacing w:line="240" w:lineRule="auto" w:before="30" w:after="30"/>
              <w:jc w:val="center"/>
            </w:pPr>
            <w:r>
              <w:rPr>
                <w:b/>
                <w:i w:val="0"/>
                <w:sz w:val="18"/>
              </w:rPr>
              <w:t>(3)</w:t>
            </w:r>
          </w:p>
        </w:tc>
        <w:tc>
          <w:tcPr>
            <w:tcW w:type="dxa" w:w="1548"/>
            <w:tcBorders>
              <w:bottom w:val="single" w:sz="8" w:space="0" w:color="auto"/>
            </w:tcBorders>
          </w:tcPr>
          <w:p>
            <w:pPr>
              <w:pStyle w:val="MDPI42tablebody"/>
              <w:keepNext/>
              <w:spacing w:line="240" w:lineRule="auto" w:before="30" w:after="30"/>
              <w:jc w:val="center"/>
            </w:pPr>
            <w:r>
              <w:rPr>
                <w:b/>
                <w:i w:val="0"/>
                <w:sz w:val="18"/>
              </w:rPr>
              <w:t>(4)</w:t>
            </w:r>
          </w:p>
        </w:tc>
        <w:tc>
          <w:tcPr>
            <w:tcW w:type="dxa" w:w="1548"/>
            <w:tcBorders>
              <w:bottom w:val="single" w:sz="8" w:space="0" w:color="auto"/>
            </w:tcBorders>
          </w:tcPr>
          <w:p>
            <w:pPr>
              <w:pStyle w:val="MDPI42tablebody"/>
              <w:keepNext/>
              <w:spacing w:line="240" w:lineRule="auto" w:before="30" w:after="30"/>
              <w:jc w:val="center"/>
            </w:pPr>
            <w:r>
              <w:rPr>
                <w:b/>
                <w:i w:val="0"/>
                <w:sz w:val="18"/>
              </w:rPr>
              <w:t>(5)</w:t>
            </w:r>
          </w:p>
        </w:tc>
      </w:tr>
      <w:tr>
        <w:trPr>
          <w:cantSplit/>
        </w:trPr>
        <w:tc>
          <w:tcPr>
            <w:tcW w:type="dxa" w:w="2721"/>
          </w:tcPr>
          <w:p>
            <w:pPr>
              <w:pStyle w:val="MDPI42tablebody"/>
              <w:keepNext/>
              <w:spacing w:line="240" w:lineRule="auto" w:before="30" w:after="30"/>
              <w:jc w:val="left"/>
            </w:pPr>
            <w:r>
              <w:rPr>
                <w:b w:val="0"/>
                <w:i/>
                <w:sz w:val="18"/>
              </w:rPr>
              <w:t>A</w:t>
            </w:r>
          </w:p>
        </w:tc>
        <w:tc>
          <w:tcPr>
            <w:tcW w:type="dxa" w:w="1548"/>
          </w:tcPr>
          <w:p>
            <w:pPr>
              <w:pStyle w:val="MDPI42tablebody"/>
              <w:keepNext/>
              <w:spacing w:line="240" w:lineRule="auto" w:before="30" w:after="30"/>
              <w:jc w:val="center"/>
            </w:pPr>
            <w:r>
              <w:rPr>
                <w:b w:val="0"/>
                <w:i w:val="0"/>
                <w:sz w:val="18"/>
              </w:rPr>
              <w:t>−0.427***</w:t>
            </w:r>
          </w:p>
        </w:tc>
        <w:tc>
          <w:tcPr>
            <w:tcW w:type="dxa" w:w="1548"/>
          </w:tcPr>
          <w:p>
            <w:pPr>
              <w:pStyle w:val="MDPI42tablebody"/>
              <w:keepNext/>
              <w:spacing w:line="240" w:lineRule="auto" w:before="30" w:after="30"/>
              <w:jc w:val="center"/>
            </w:pPr>
            <w:r>
              <w:rPr>
                <w:b w:val="0"/>
                <w:i w:val="0"/>
                <w:sz w:val="18"/>
              </w:rPr>
              <w:t>−0.419***</w:t>
            </w:r>
          </w:p>
        </w:tc>
        <w:tc>
          <w:tcPr>
            <w:tcW w:type="dxa" w:w="1548"/>
          </w:tcPr>
          <w:p>
            <w:pPr>
              <w:pStyle w:val="MDPI42tablebody"/>
              <w:keepNext/>
              <w:spacing w:line="240" w:lineRule="auto" w:before="30" w:after="30"/>
              <w:jc w:val="center"/>
            </w:pPr>
            <w:r>
              <w:rPr>
                <w:b w:val="0"/>
                <w:i w:val="0"/>
                <w:sz w:val="18"/>
              </w:rPr>
              <w:t>−0.442***</w:t>
            </w:r>
          </w:p>
        </w:tc>
        <w:tc>
          <w:tcPr>
            <w:tcW w:type="dxa" w:w="1548"/>
          </w:tcPr>
          <w:p>
            <w:pPr>
              <w:pStyle w:val="MDPI42tablebody"/>
              <w:keepNext/>
              <w:spacing w:line="240" w:lineRule="auto" w:before="30" w:after="30"/>
              <w:jc w:val="center"/>
            </w:pPr>
            <w:r>
              <w:rPr>
                <w:b w:val="0"/>
                <w:i w:val="0"/>
                <w:sz w:val="18"/>
              </w:rPr>
              <w:t>−0.422***</w:t>
            </w:r>
          </w:p>
        </w:tc>
        <w:tc>
          <w:tcPr>
            <w:tcW w:type="dxa" w:w="1548"/>
          </w:tcPr>
          <w:p>
            <w:pPr>
              <w:pStyle w:val="MDPI42tablebody"/>
              <w:keepNext/>
              <w:spacing w:line="240" w:lineRule="auto" w:before="30" w:after="30"/>
              <w:jc w:val="center"/>
            </w:pPr>
            <w:r>
              <w:rPr>
                <w:b w:val="0"/>
                <w:i w:val="0"/>
                <w:sz w:val="18"/>
              </w:rPr>
              <w:t>−0.371***</w:t>
            </w: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8"/>
              </w:rPr>
              <w:t>(0.018)</w:t>
            </w:r>
          </w:p>
        </w:tc>
        <w:tc>
          <w:tcPr>
            <w:tcW w:type="dxa" w:w="1548"/>
          </w:tcPr>
          <w:p>
            <w:pPr>
              <w:pStyle w:val="MDPI42tablebody"/>
              <w:keepNext/>
              <w:spacing w:line="240" w:lineRule="auto" w:before="30" w:after="30"/>
              <w:jc w:val="center"/>
            </w:pPr>
            <w:r>
              <w:rPr>
                <w:b w:val="0"/>
                <w:i w:val="0"/>
                <w:sz w:val="18"/>
              </w:rPr>
              <w:t>(0.018)</w:t>
            </w:r>
          </w:p>
        </w:tc>
        <w:tc>
          <w:tcPr>
            <w:tcW w:type="dxa" w:w="1548"/>
          </w:tcPr>
          <w:p>
            <w:pPr>
              <w:pStyle w:val="MDPI42tablebody"/>
              <w:keepNext/>
              <w:spacing w:line="240" w:lineRule="auto" w:before="30" w:after="30"/>
              <w:jc w:val="center"/>
            </w:pPr>
            <w:r>
              <w:rPr>
                <w:b w:val="0"/>
                <w:i w:val="0"/>
                <w:sz w:val="18"/>
              </w:rPr>
              <w:t>(0.018)</w:t>
            </w:r>
          </w:p>
        </w:tc>
        <w:tc>
          <w:tcPr>
            <w:tcW w:type="dxa" w:w="1548"/>
          </w:tcPr>
          <w:p>
            <w:pPr>
              <w:pStyle w:val="MDPI42tablebody"/>
              <w:keepNext/>
              <w:spacing w:line="240" w:lineRule="auto" w:before="30" w:after="30"/>
              <w:jc w:val="center"/>
            </w:pPr>
            <w:r>
              <w:rPr>
                <w:b w:val="0"/>
                <w:i w:val="0"/>
                <w:sz w:val="18"/>
              </w:rPr>
              <w:t>(0.018)</w:t>
            </w:r>
          </w:p>
        </w:tc>
        <w:tc>
          <w:tcPr>
            <w:tcW w:type="dxa" w:w="1548"/>
          </w:tcPr>
          <w:p>
            <w:pPr>
              <w:pStyle w:val="MDPI42tablebody"/>
              <w:keepNext/>
              <w:spacing w:line="240" w:lineRule="auto" w:before="30" w:after="30"/>
              <w:jc w:val="center"/>
            </w:pPr>
            <w:r>
              <w:rPr>
                <w:b w:val="0"/>
                <w:i w:val="0"/>
                <w:sz w:val="18"/>
              </w:rPr>
              <w:t>(0.021)</w:t>
            </w:r>
          </w:p>
        </w:tc>
      </w:tr>
      <w:tr>
        <w:trPr>
          <w:cantSplit/>
        </w:trPr>
        <w:tc>
          <w:tcPr>
            <w:tcW w:type="dxa" w:w="2721"/>
          </w:tcPr>
          <w:p>
            <w:pPr>
              <w:pStyle w:val="MDPI42tablebody"/>
              <w:keepNext/>
              <w:spacing w:line="240" w:lineRule="auto" w:before="30" w:after="30"/>
              <w:jc w:val="left"/>
            </w:pPr>
            <w:r>
              <w:rPr>
                <w:b w:val="0"/>
                <w:i/>
                <w:sz w:val="18"/>
              </w:rPr>
              <w:t>A</w:t>
            </w:r>
            <w:r>
              <w:rPr>
                <w:b w:val="0"/>
                <w:i/>
                <w:sz w:val="18"/>
                <w:vertAlign w:val="superscript"/>
              </w:rPr>
              <w:t>u</w:t>
            </w:r>
          </w:p>
        </w:tc>
        <w:tc>
          <w:tcPr>
            <w:tcW w:type="dxa" w:w="1548"/>
          </w:tcPr>
          <w:p>
            <w:pPr>
              <w:pStyle w:val="MDPI42tablebody"/>
              <w:keepNext/>
              <w:spacing w:line="240" w:lineRule="auto" w:before="30" w:after="30"/>
              <w:jc w:val="center"/>
            </w:pPr>
            <w:r>
              <w:rPr>
                <w:b w:val="0"/>
                <w:i w:val="0"/>
                <w:sz w:val="18"/>
              </w:rPr>
              <w:t>−0.240***</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−0.246***</w:t>
            </w:r>
          </w:p>
        </w:tc>
        <w:tc>
          <w:tcPr>
            <w:tcW w:type="dxa" w:w="1548"/>
          </w:tcPr>
          <w:p>
            <w:pPr>
              <w:pStyle w:val="MDPI42tablebody"/>
              <w:keepNext/>
              <w:spacing w:line="240" w:lineRule="auto" w:before="30" w:after="30"/>
              <w:jc w:val="center"/>
            </w:pPr>
            <w:r>
              <w:rPr>
                <w:b w:val="0"/>
                <w:i w:val="0"/>
                <w:sz w:val="18"/>
              </w:rPr>
              <w:t>−0.229***</w:t>
            </w: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8"/>
              </w:rPr>
              <w:t>(0.031)</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(0.031)</w:t>
            </w:r>
          </w:p>
        </w:tc>
        <w:tc>
          <w:tcPr>
            <w:tcW w:type="dxa" w:w="1548"/>
          </w:tcPr>
          <w:p>
            <w:pPr>
              <w:pStyle w:val="MDPI42tablebody"/>
              <w:keepNext/>
              <w:spacing w:line="240" w:lineRule="auto" w:before="30" w:after="30"/>
              <w:jc w:val="center"/>
            </w:pPr>
            <w:r>
              <w:rPr>
                <w:b w:val="0"/>
                <w:i w:val="0"/>
                <w:sz w:val="18"/>
              </w:rPr>
              <w:t>(0.032)</w:t>
            </w:r>
          </w:p>
        </w:tc>
      </w:tr>
      <w:tr>
        <w:trPr>
          <w:cantSplit/>
        </w:trPr>
        <w:tc>
          <w:tcPr>
            <w:tcW w:type="dxa" w:w="2721"/>
          </w:tcPr>
          <w:p>
            <w:pPr>
              <w:pStyle w:val="MDPI42tablebody"/>
              <w:keepNext/>
              <w:spacing w:line="240" w:lineRule="auto" w:before="30" w:after="30"/>
              <w:jc w:val="left"/>
            </w:pPr>
            <w:r>
              <w:rPr>
                <w:b w:val="0"/>
                <w:i/>
                <w:sz w:val="18"/>
              </w:rPr>
              <w:t>A</w:t>
            </w:r>
            <w:r>
              <w:rPr>
                <w:b w:val="0"/>
                <w:i/>
                <w:sz w:val="18"/>
                <w:vertAlign w:val="superscript"/>
              </w:rPr>
              <w:t>d</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−0.389***</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−0.396***</w:t>
            </w:r>
          </w:p>
        </w:tc>
        <w:tc>
          <w:tcPr>
            <w:tcW w:type="dxa" w:w="1548"/>
          </w:tcPr>
          <w:p>
            <w:pPr>
              <w:pStyle w:val="MDPI42tablebody"/>
              <w:keepNext/>
              <w:spacing w:line="240" w:lineRule="auto" w:before="30" w:after="30"/>
              <w:jc w:val="center"/>
            </w:pPr>
            <w:r>
              <w:rPr>
                <w:b w:val="0"/>
                <w:i w:val="0"/>
                <w:sz w:val="18"/>
              </w:rPr>
              <w:t>−0.385***</w:t>
            </w: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(0.032)</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(0.032)</w:t>
            </w:r>
          </w:p>
        </w:tc>
        <w:tc>
          <w:tcPr>
            <w:tcW w:type="dxa" w:w="1548"/>
          </w:tcPr>
          <w:p>
            <w:pPr>
              <w:pStyle w:val="MDPI42tablebody"/>
              <w:keepNext/>
              <w:spacing w:line="240" w:lineRule="auto" w:before="30" w:after="30"/>
              <w:jc w:val="center"/>
            </w:pPr>
            <w:r>
              <w:rPr>
                <w:b w:val="0"/>
                <w:i w:val="0"/>
                <w:sz w:val="18"/>
              </w:rPr>
              <w:t>(0.033)</w:t>
            </w:r>
          </w:p>
        </w:tc>
      </w:tr>
      <w:tr>
        <w:trPr>
          <w:cantSplit/>
        </w:trPr>
        <w:tc>
          <w:tcPr>
            <w:tcW w:type="dxa" w:w="2721"/>
          </w:tcPr>
          <w:p>
            <w:pPr>
              <w:pStyle w:val="MDPI42tablebody"/>
              <w:keepNext/>
              <w:spacing w:line="240" w:lineRule="auto" w:before="30" w:after="30"/>
              <w:jc w:val="left"/>
            </w:pPr>
            <w:r>
              <w:rPr>
                <w:b w:val="0"/>
                <w:i/>
                <w:sz w:val="18"/>
              </w:rPr>
              <w:t>A</w:t>
            </w:r>
            <w:r>
              <w:rPr>
                <w:b w:val="0"/>
                <w:i/>
                <w:sz w:val="18"/>
                <w:vertAlign w:val="superscript"/>
              </w:rPr>
              <w:t>p</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0.279***</w:t>
            </w:r>
          </w:p>
        </w:tc>
        <w:tc>
          <w:tcPr>
            <w:tcW w:type="dxa" w:w="1548"/>
          </w:tcPr>
          <w:p>
            <w:pPr>
              <w:pStyle w:val="MDPI42tablebody"/>
              <w:keepNext/>
              <w:spacing w:line="240" w:lineRule="auto" w:before="30" w:after="30"/>
              <w:jc w:val="center"/>
            </w:pPr>
            <w:r>
              <w:rPr>
                <w:b w:val="0"/>
                <w:i w:val="0"/>
                <w:sz w:val="18"/>
              </w:rPr>
              <w:t>0.334***</w:t>
            </w:r>
          </w:p>
        </w:tc>
        <w:tc>
          <w:tcPr>
            <w:tcW w:type="dxa" w:w="1548"/>
          </w:tcPr>
          <w:p>
            <w:pPr>
              <w:pStyle w:val="MDPI42tablebody"/>
              <w:keepNext/>
              <w:spacing w:line="240" w:lineRule="auto" w:before="30" w:after="30"/>
              <w:jc w:val="center"/>
            </w:pPr>
            <w:r>
              <w:rPr>
                <w:b w:val="0"/>
                <w:i w:val="0"/>
                <w:sz w:val="18"/>
              </w:rPr>
              <w:t>0.400***</w:t>
            </w: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8"/>
              </w:rPr>
              <w:t>(0.080)</w:t>
            </w:r>
          </w:p>
        </w:tc>
        <w:tc>
          <w:tcPr>
            <w:tcW w:type="dxa" w:w="1548"/>
          </w:tcPr>
          <w:p>
            <w:pPr>
              <w:pStyle w:val="MDPI42tablebody"/>
              <w:keepNext/>
              <w:spacing w:line="240" w:lineRule="auto" w:before="30" w:after="30"/>
              <w:jc w:val="center"/>
            </w:pPr>
            <w:r>
              <w:rPr>
                <w:b w:val="0"/>
                <w:i w:val="0"/>
                <w:sz w:val="18"/>
              </w:rPr>
              <w:t>(0.078)</w:t>
            </w:r>
          </w:p>
        </w:tc>
        <w:tc>
          <w:tcPr>
            <w:tcW w:type="dxa" w:w="1548"/>
          </w:tcPr>
          <w:p>
            <w:pPr>
              <w:pStyle w:val="MDPI42tablebody"/>
              <w:keepNext/>
              <w:spacing w:line="240" w:lineRule="auto" w:before="30" w:after="30"/>
              <w:jc w:val="center"/>
            </w:pPr>
            <w:r>
              <w:rPr>
                <w:b w:val="0"/>
                <w:i w:val="0"/>
                <w:sz w:val="18"/>
              </w:rPr>
              <w:t>(0.081)</w:t>
            </w:r>
          </w:p>
        </w:tc>
      </w:tr>
      <w:tr>
        <w:trPr>
          <w:cantSplit/>
        </w:trPr>
        <w:tc>
          <w:tcPr>
            <w:tcW w:type="dxa" w:w="2721"/>
          </w:tcPr>
          <w:p>
            <w:pPr>
              <w:pStyle w:val="MDPI42tablebody"/>
              <w:keepNext/>
              <w:spacing w:line="240" w:lineRule="auto" w:before="30" w:after="30"/>
              <w:jc w:val="left"/>
            </w:pPr>
            <w:r>
              <w:rPr>
                <w:b w:val="0"/>
                <w:i/>
                <w:sz w:val="18"/>
              </w:rPr>
              <w:t>Controls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r>
      <w:tr>
        <w:trPr>
          <w:cantSplit/>
        </w:trPr>
        <w:tc>
          <w:tcPr>
            <w:tcW w:type="dxa" w:w="2721"/>
          </w:tcPr>
          <w:p>
            <w:pPr>
              <w:pStyle w:val="MDPI42tablebody"/>
              <w:keepNext/>
              <w:spacing w:line="240" w:lineRule="auto" w:before="30" w:after="30"/>
              <w:jc w:val="left"/>
            </w:pPr>
            <w:r>
              <w:rPr>
                <w:b w:val="0"/>
                <w:i/>
                <w:sz w:val="18"/>
              </w:rPr>
              <w:t>Firm FE</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r>
      <w:tr>
        <w:trPr>
          <w:cantSplit/>
        </w:trPr>
        <w:tc>
          <w:tcPr>
            <w:tcW w:type="dxa" w:w="2721"/>
          </w:tcPr>
          <w:p>
            <w:pPr>
              <w:pStyle w:val="MDPI42tablebody"/>
              <w:keepNext/>
              <w:spacing w:line="240" w:lineRule="auto" w:before="30" w:after="30"/>
              <w:jc w:val="left"/>
            </w:pPr>
            <w:r>
              <w:rPr>
                <w:b w:val="0"/>
                <w:i/>
                <w:sz w:val="18"/>
              </w:rPr>
              <w:t>Year FE</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Yes</w:t>
            </w:r>
          </w:p>
        </w:tc>
        <w:tc>
          <w:tcPr>
            <w:tcW w:type="dxa" w:w="1548"/>
          </w:tcPr>
          <w:p>
            <w:pPr>
              <w:pStyle w:val="MDPI42tablebody"/>
              <w:keepNext/>
              <w:spacing w:line="240" w:lineRule="auto" w:before="30" w:after="30"/>
              <w:jc w:val="center"/>
            </w:pPr>
            <w:r>
              <w:rPr>
                <w:b w:val="0"/>
                <w:i w:val="0"/>
                <w:sz w:val="18"/>
              </w:rPr>
              <w:t>—</w:t>
            </w:r>
          </w:p>
        </w:tc>
      </w:tr>
      <w:tr>
        <w:trPr>
          <w:cantSplit/>
        </w:trPr>
        <w:tc>
          <w:tcPr>
            <w:tcW w:type="dxa" w:w="2721"/>
          </w:tcPr>
          <w:p>
            <w:pPr>
              <w:pStyle w:val="MDPI42tablebody"/>
              <w:keepNext/>
              <w:spacing w:line="240" w:lineRule="auto" w:before="30" w:after="30"/>
              <w:jc w:val="left"/>
            </w:pPr>
            <w:r>
              <w:rPr>
                <w:b w:val="0"/>
                <w:i/>
                <w:sz w:val="18"/>
              </w:rPr>
              <w:t>Industry × year FE</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w:t>
            </w:r>
          </w:p>
        </w:tc>
        <w:tc>
          <w:tcPr>
            <w:tcW w:type="dxa" w:w="1548"/>
          </w:tcPr>
          <w:p>
            <w:pPr>
              <w:pStyle w:val="MDPI42tablebody"/>
              <w:keepNext/>
              <w:spacing w:line="240" w:lineRule="auto" w:before="30" w:after="30"/>
              <w:jc w:val="center"/>
            </w:pPr>
            <w:r>
              <w:rPr>
                <w:b w:val="0"/>
                <w:i w:val="0"/>
                <w:sz w:val="18"/>
              </w:rPr>
              <w:t>Yes</w:t>
            </w:r>
          </w:p>
        </w:tc>
      </w:tr>
      <w:tr>
        <w:trPr>
          <w:cantSplit/>
        </w:trPr>
        <w:tc>
          <w:tcPr>
            <w:tcW w:type="dxa" w:w="2721"/>
          </w:tcPr>
          <w:p>
            <w:pPr>
              <w:pStyle w:val="MDPI42tablebody"/>
              <w:keepNext/>
              <w:spacing w:line="240" w:lineRule="auto" w:before="30" w:after="30"/>
              <w:jc w:val="left"/>
            </w:pPr>
            <w:r>
              <w:rPr>
                <w:b w:val="0"/>
                <w:i/>
                <w:sz w:val="18"/>
              </w:rPr>
              <w:t>Observations</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c>
          <w:tcPr>
            <w:tcW w:type="dxa" w:w="1548"/>
          </w:tcPr>
          <w:p>
            <w:pPr>
              <w:pStyle w:val="MDPI42tablebody"/>
              <w:keepNext/>
              <w:spacing w:line="240" w:lineRule="auto" w:before="30" w:after="30"/>
              <w:jc w:val="center"/>
            </w:pPr>
            <w:r>
              <w:rPr>
                <w:b w:val="0"/>
                <w:i w:val="0"/>
                <w:sz w:val="18"/>
              </w:rPr>
              <w:t>26,115</w:t>
            </w:r>
          </w:p>
        </w:tc>
      </w:tr>
      <w:tr>
        <w:trPr>
          <w:cantSplit/>
        </w:trPr>
        <w:tc>
          <w:tcPr>
            <w:tcW w:type="dxa" w:w="2721"/>
          </w:tcPr>
          <w:p>
            <w:pPr>
              <w:pStyle w:val="MDPI42tablebody"/>
              <w:spacing w:line="240" w:lineRule="auto" w:before="30" w:after="30"/>
              <w:jc w:val="left"/>
            </w:pPr>
            <w:r>
              <w:rPr>
                <w:b w:val="0"/>
                <w:i/>
                <w:sz w:val="18"/>
              </w:rPr>
              <w:t>Within R²</w:t>
            </w:r>
          </w:p>
        </w:tc>
        <w:tc>
          <w:tcPr>
            <w:tcW w:type="dxa" w:w="1548"/>
          </w:tcPr>
          <w:p>
            <w:pPr>
              <w:pStyle w:val="MDPI42tablebody"/>
              <w:spacing w:line="240" w:lineRule="auto" w:before="30" w:after="30"/>
              <w:jc w:val="center"/>
            </w:pPr>
            <w:r>
              <w:rPr>
                <w:b w:val="0"/>
                <w:i w:val="0"/>
                <w:sz w:val="18"/>
              </w:rPr>
              <w:t>0.099</w:t>
            </w:r>
          </w:p>
        </w:tc>
        <w:tc>
          <w:tcPr>
            <w:tcW w:type="dxa" w:w="1548"/>
          </w:tcPr>
          <w:p>
            <w:pPr>
              <w:pStyle w:val="MDPI42tablebody"/>
              <w:spacing w:line="240" w:lineRule="auto" w:before="30" w:after="30"/>
              <w:jc w:val="center"/>
            </w:pPr>
            <w:r>
              <w:rPr>
                <w:b w:val="0"/>
                <w:i w:val="0"/>
                <w:sz w:val="18"/>
              </w:rPr>
              <w:t>0.103</w:t>
            </w:r>
          </w:p>
        </w:tc>
        <w:tc>
          <w:tcPr>
            <w:tcW w:type="dxa" w:w="1548"/>
          </w:tcPr>
          <w:p>
            <w:pPr>
              <w:pStyle w:val="MDPI42tablebody"/>
              <w:spacing w:line="240" w:lineRule="auto" w:before="30" w:after="30"/>
              <w:jc w:val="center"/>
            </w:pPr>
            <w:r>
              <w:rPr>
                <w:b w:val="0"/>
                <w:i w:val="0"/>
                <w:sz w:val="18"/>
              </w:rPr>
              <w:t>0.097</w:t>
            </w:r>
          </w:p>
        </w:tc>
        <w:tc>
          <w:tcPr>
            <w:tcW w:type="dxa" w:w="1548"/>
          </w:tcPr>
          <w:p>
            <w:pPr>
              <w:pStyle w:val="MDPI42tablebody"/>
              <w:spacing w:line="240" w:lineRule="auto" w:before="30" w:after="30"/>
              <w:jc w:val="center"/>
            </w:pPr>
            <w:r>
              <w:rPr>
                <w:b w:val="0"/>
                <w:i w:val="0"/>
                <w:sz w:val="18"/>
              </w:rPr>
              <w:t>0.107</w:t>
            </w:r>
          </w:p>
        </w:tc>
        <w:tc>
          <w:tcPr>
            <w:tcW w:type="dxa" w:w="1548"/>
          </w:tcPr>
          <w:p>
            <w:pPr>
              <w:pStyle w:val="MDPI42tablebody"/>
              <w:spacing w:line="240" w:lineRule="auto" w:before="30" w:after="30"/>
              <w:jc w:val="center"/>
            </w:pPr>
            <w:r>
              <w:rPr>
                <w:b w:val="0"/>
                <w:i w:val="0"/>
                <w:sz w:val="18"/>
              </w:rPr>
              <w:t>0.094</w:t>
            </w:r>
          </w:p>
        </w:tc>
      </w:tr>
    </w:tbl>
    <w:p>
      <w:pPr>
        <w:pStyle w:val="MDPI43tablefooter"/>
        <w:spacing w:line="240" w:lineRule="auto" w:before="40" w:after="200"/>
        <w:ind w:left="2608" w:firstLine="0"/>
      </w:pPr>
      <w:r>
        <w:rPr>
          <w:sz w:val="16"/>
        </w:rPr>
        <w:t xml:space="preserve">Note: </w:t>
      </w:r>
      <w:r>
        <w:rPr>
          <w:b w:val="0"/>
          <w:i w:val="0"/>
          <w:sz w:val="16"/>
        </w:rPr>
        <w:t>The dependent variable is the youth employment share and the model is Equation (6). The network lags are defined in Equation (1) and are constructed from the pre-shock configuration of the disclosed supplier and customer network and of the city of headquarters. Standard errors clustered at the firm level are in parentheses. ***, ** and * denote significance at the 1%, 5% and 10% levels.</w:t>
      </w:r>
    </w:p>
    <w:p>
      <w:pPr>
        <w:pStyle w:val="MDPI22heading2"/>
      </w:pPr>
      <w:r>
        <w:t>4.5. The Network Multiplier</w:t>
      </w:r>
    </w:p>
    <w:p>
      <w:pPr>
        <w:pStyle w:val="MDPI32textnoindent"/>
      </w:pPr>
      <w:r>
        <w:rPr>
          <w:b w:val="0"/>
          <w:i w:val="0"/>
        </w:rPr>
        <w:t>Table 6 estimates the full model of Equation (2), in which outcomes depend on outcomes. Column (1) is least squares with the supply-chain and local lags but without the endogenous lag; column (2) is generalised spatial two-stage least squares with the second- and third-order network lags of adoption as excluded instruments; column (3) is the two-step generalised method of moments version; column (4) repeats column (2) for the experienced share.</w:t>
      </w:r>
    </w:p>
    <w:p>
      <w:pPr>
        <w:pStyle w:val="MDPI31text"/>
      </w:pPr>
      <w:r>
        <w:rPr>
          <w:b w:val="0"/>
          <w:i w:val="0"/>
        </w:rPr>
        <w:t>The endogenous network lag is 0.286 (0.163, p = 0.078): a firm's youth employment share moves with the youth employment shares of its trading partners even after their adoption is controlled for, which is what the fixed-point logic of Equation (3) requires. The instruments are strong (Kleibergen–Paap rank Wald statistic 57.8) and the overidentifying restrictions are not rejected (p = 0.603), so the partners-of-partners variation and the direct network variation agree on the parameter they identify.</w:t>
      </w:r>
    </w:p>
    <w:p>
      <w:pPr>
        <w:pStyle w:val="MDPI31text"/>
      </w:pPr>
      <w:r>
        <w:rPr>
          <w:b w:val="0"/>
          <w:i w:val="0"/>
        </w:rPr>
        <w:t>The three impact rows are the paper's central quantity. The average direct impact of adoption is −0.420 (0.017) — the effect on the adopting firm itself, including the feedback that returns to it through the network. The average indirect impact is −0.893 (0.195), the effect on every other firm. The total impact is −1.313 (0.195), with a 95% confidence interval of [−1.70, −0.93]. The network multiplier is 3.12: raising adoption by one standard deviation everywhere in the system reduces the youth employment share by more than three times what the within-firm estimate implies, and 68% of that reduction occurs in firms other than the adopter. Hypothesis 4 is supported. Column (4) shows that the experienced share is amplified by a similar multiplier (3.65) but from a base four times smaller, so the total impact on the experienced share is only −0.294. That column should be read with care: the first-stage statistic for the experienced network lag is only 2.7, far below any conventional threshold, and the reason is itself informative — partners' experienced-employment shares barely co-move, so there is little for the instruments to predict. The systematic age comparison is therefore made in Table 10, on specifications that need no endogenous lag. What Table 6 establishes is the youth result: the network propagates the shock, and the system response is more than three times the response of the node.</w:t>
      </w:r>
    </w:p>
    <w:p>
      <w:pPr>
        <w:pStyle w:val="MDPI41tablecaption"/>
        <w:keepNext/>
        <w:spacing w:after="60"/>
      </w:pPr>
      <w:r>
        <w:rPr>
          <w:b/>
          <w:sz w:val="18"/>
        </w:rPr>
        <w:t xml:space="preserve">Table 6. </w:t>
      </w:r>
      <w:r>
        <w:rPr>
          <w:b w:val="0"/>
          <w:i w:val="0"/>
          <w:sz w:val="18"/>
        </w:rPr>
        <w:t>The network autoregressive model and the decomposition of impacts.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39"/>
        <w:gridCol w:w="1831"/>
        <w:gridCol w:w="1831"/>
        <w:gridCol w:w="1831"/>
        <w:gridCol w:w="1831"/>
      </w:tblGrid>
      <w:tr>
        <w:trPr>
          <w:cantSplit/>
          <w:tblHeader/>
        </w:trPr>
        <w:tc>
          <w:tcPr>
            <w:tcW w:type="dxa" w:w="3139"/>
            <w:tcBorders>
              <w:bottom w:val="single" w:sz="8" w:space="0" w:color="auto"/>
            </w:tcBorders>
          </w:tcPr>
          <w:p>
            <w:pPr>
              <w:pStyle w:val="MDPI42tablebody"/>
              <w:keepNext/>
              <w:spacing w:line="240" w:lineRule="auto" w:before="30" w:after="30"/>
              <w:jc w:val="center"/>
            </w:pPr>
            <w:r>
              <w:rPr>
                <w:b/>
                <w:i w:val="0"/>
                <w:sz w:val="18"/>
              </w:rPr>
              <w:t>Variable</w:t>
            </w:r>
          </w:p>
        </w:tc>
        <w:tc>
          <w:tcPr>
            <w:tcW w:type="dxa" w:w="1831"/>
            <w:tcBorders>
              <w:bottom w:val="single" w:sz="8" w:space="0" w:color="auto"/>
            </w:tcBorders>
          </w:tcPr>
          <w:p>
            <w:pPr>
              <w:pStyle w:val="MDPI42tablebody"/>
              <w:keepNext/>
              <w:spacing w:line="240" w:lineRule="auto" w:before="30" w:after="30"/>
              <w:jc w:val="center"/>
            </w:pPr>
            <w:r>
              <w:rPr>
                <w:b/>
                <w:i w:val="0"/>
                <w:sz w:val="18"/>
              </w:rPr>
              <w:t>(1)</w:t>
            </w:r>
          </w:p>
        </w:tc>
        <w:tc>
          <w:tcPr>
            <w:tcW w:type="dxa" w:w="1831"/>
            <w:tcBorders>
              <w:bottom w:val="single" w:sz="8" w:space="0" w:color="auto"/>
            </w:tcBorders>
          </w:tcPr>
          <w:p>
            <w:pPr>
              <w:pStyle w:val="MDPI42tablebody"/>
              <w:keepNext/>
              <w:spacing w:line="240" w:lineRule="auto" w:before="30" w:after="30"/>
              <w:jc w:val="center"/>
            </w:pPr>
            <w:r>
              <w:rPr>
                <w:b/>
                <w:i w:val="0"/>
                <w:sz w:val="18"/>
              </w:rPr>
              <w:t>(2)</w:t>
            </w:r>
          </w:p>
        </w:tc>
        <w:tc>
          <w:tcPr>
            <w:tcW w:type="dxa" w:w="1831"/>
            <w:tcBorders>
              <w:bottom w:val="single" w:sz="8" w:space="0" w:color="auto"/>
            </w:tcBorders>
          </w:tcPr>
          <w:p>
            <w:pPr>
              <w:pStyle w:val="MDPI42tablebody"/>
              <w:keepNext/>
              <w:spacing w:line="240" w:lineRule="auto" w:before="30" w:after="30"/>
              <w:jc w:val="center"/>
            </w:pPr>
            <w:r>
              <w:rPr>
                <w:b/>
                <w:i w:val="0"/>
                <w:sz w:val="18"/>
              </w:rPr>
              <w:t>(3)</w:t>
            </w:r>
          </w:p>
        </w:tc>
        <w:tc>
          <w:tcPr>
            <w:tcW w:type="dxa" w:w="1831"/>
            <w:tcBorders>
              <w:bottom w:val="single" w:sz="8" w:space="0" w:color="auto"/>
            </w:tcBorders>
          </w:tcPr>
          <w:p>
            <w:pPr>
              <w:pStyle w:val="MDPI42tablebody"/>
              <w:keepNext/>
              <w:spacing w:line="240" w:lineRule="auto" w:before="30" w:after="30"/>
              <w:jc w:val="center"/>
            </w:pPr>
            <w:r>
              <w:rPr>
                <w:b/>
                <w:i w:val="0"/>
                <w:sz w:val="18"/>
              </w:rPr>
              <w:t>(4)</w:t>
            </w:r>
          </w:p>
        </w:tc>
      </w:tr>
      <w:tr>
        <w:trPr>
          <w:cantSplit/>
        </w:trPr>
        <w:tc>
          <w:tcPr>
            <w:tcW w:type="dxa" w:w="3139"/>
          </w:tcPr>
          <w:p>
            <w:pPr>
              <w:pStyle w:val="MDPI42tablebody"/>
              <w:keepNext/>
              <w:spacing w:line="240" w:lineRule="auto" w:before="30" w:after="30"/>
              <w:jc w:val="left"/>
            </w:pPr>
            <w:r>
              <w:rPr>
                <w:b w:val="0"/>
                <w:i/>
                <w:sz w:val="18"/>
              </w:rPr>
              <w:t>A</w:t>
            </w:r>
          </w:p>
        </w:tc>
        <w:tc>
          <w:tcPr>
            <w:tcW w:type="dxa" w:w="1831"/>
          </w:tcPr>
          <w:p>
            <w:pPr>
              <w:pStyle w:val="MDPI42tablebody"/>
              <w:keepNext/>
              <w:spacing w:line="240" w:lineRule="auto" w:before="30" w:after="30"/>
              <w:jc w:val="center"/>
            </w:pPr>
            <w:r>
              <w:rPr>
                <w:b w:val="0"/>
                <w:i w:val="0"/>
                <w:sz w:val="18"/>
              </w:rPr>
              <w:t>−0.422***</w:t>
            </w:r>
          </w:p>
        </w:tc>
        <w:tc>
          <w:tcPr>
            <w:tcW w:type="dxa" w:w="1831"/>
          </w:tcPr>
          <w:p>
            <w:pPr>
              <w:pStyle w:val="MDPI42tablebody"/>
              <w:keepNext/>
              <w:spacing w:line="240" w:lineRule="auto" w:before="30" w:after="30"/>
              <w:jc w:val="center"/>
            </w:pPr>
            <w:r>
              <w:rPr>
                <w:b w:val="0"/>
                <w:i w:val="0"/>
                <w:sz w:val="18"/>
              </w:rPr>
              <w:t>−0.420***</w:t>
            </w:r>
          </w:p>
        </w:tc>
        <w:tc>
          <w:tcPr>
            <w:tcW w:type="dxa" w:w="1831"/>
          </w:tcPr>
          <w:p>
            <w:pPr>
              <w:pStyle w:val="MDPI42tablebody"/>
              <w:keepNext/>
              <w:spacing w:line="240" w:lineRule="auto" w:before="30" w:after="30"/>
              <w:jc w:val="center"/>
            </w:pPr>
            <w:r>
              <w:rPr>
                <w:b w:val="0"/>
                <w:i w:val="0"/>
                <w:sz w:val="18"/>
              </w:rPr>
              <w:t>−0.420***</w:t>
            </w:r>
          </w:p>
        </w:tc>
        <w:tc>
          <w:tcPr>
            <w:tcW w:type="dxa" w:w="1831"/>
          </w:tcPr>
          <w:p>
            <w:pPr>
              <w:pStyle w:val="MDPI42tablebody"/>
              <w:keepNext/>
              <w:spacing w:line="240" w:lineRule="auto" w:before="30" w:after="30"/>
              <w:jc w:val="center"/>
            </w:pPr>
            <w:r>
              <w:rPr>
                <w:b w:val="0"/>
                <w:i w:val="0"/>
                <w:sz w:val="18"/>
              </w:rPr>
              <w:t>−0.080***</w:t>
            </w:r>
          </w:p>
        </w:tc>
      </w:tr>
      <w:tr>
        <w:trPr>
          <w:cantSplit/>
        </w:trPr>
        <w:tc>
          <w:tcPr>
            <w:tcW w:type="dxa" w:w="3139"/>
          </w:tcPr>
          <w:p>
            <w:pPr>
              <w:pStyle w:val="MDPI42tablebody"/>
              <w:keepNext/>
              <w:spacing w:line="240" w:lineRule="auto" w:before="30" w:after="30"/>
              <w:jc w:val="left"/>
            </w:pPr>
          </w:p>
        </w:tc>
        <w:tc>
          <w:tcPr>
            <w:tcW w:type="dxa" w:w="1831"/>
          </w:tcPr>
          <w:p>
            <w:pPr>
              <w:pStyle w:val="MDPI42tablebody"/>
              <w:keepNext/>
              <w:spacing w:line="240" w:lineRule="auto" w:before="30" w:after="30"/>
              <w:jc w:val="center"/>
            </w:pPr>
            <w:r>
              <w:rPr>
                <w:b w:val="0"/>
                <w:i w:val="0"/>
                <w:sz w:val="18"/>
              </w:rPr>
              <w:t>(0.018)</w:t>
            </w:r>
          </w:p>
        </w:tc>
        <w:tc>
          <w:tcPr>
            <w:tcW w:type="dxa" w:w="1831"/>
          </w:tcPr>
          <w:p>
            <w:pPr>
              <w:pStyle w:val="MDPI42tablebody"/>
              <w:keepNext/>
              <w:spacing w:line="240" w:lineRule="auto" w:before="30" w:after="30"/>
              <w:jc w:val="center"/>
            </w:pPr>
            <w:r>
              <w:rPr>
                <w:b w:val="0"/>
                <w:i w:val="0"/>
                <w:sz w:val="18"/>
              </w:rPr>
              <w:t>(0.018)</w:t>
            </w:r>
          </w:p>
        </w:tc>
        <w:tc>
          <w:tcPr>
            <w:tcW w:type="dxa" w:w="1831"/>
          </w:tcPr>
          <w:p>
            <w:pPr>
              <w:pStyle w:val="MDPI42tablebody"/>
              <w:keepNext/>
              <w:spacing w:line="240" w:lineRule="auto" w:before="30" w:after="30"/>
              <w:jc w:val="center"/>
            </w:pPr>
            <w:r>
              <w:rPr>
                <w:b w:val="0"/>
                <w:i w:val="0"/>
                <w:sz w:val="18"/>
              </w:rPr>
              <w:t>(0.018)</w:t>
            </w:r>
          </w:p>
        </w:tc>
        <w:tc>
          <w:tcPr>
            <w:tcW w:type="dxa" w:w="1831"/>
          </w:tcPr>
          <w:p>
            <w:pPr>
              <w:pStyle w:val="MDPI42tablebody"/>
              <w:keepNext/>
              <w:spacing w:line="240" w:lineRule="auto" w:before="30" w:after="30"/>
              <w:jc w:val="center"/>
            </w:pPr>
            <w:r>
              <w:rPr>
                <w:b w:val="0"/>
                <w:i w:val="0"/>
                <w:sz w:val="18"/>
              </w:rPr>
              <w:t>(0.019)</w:t>
            </w:r>
          </w:p>
        </w:tc>
      </w:tr>
      <w:tr>
        <w:trPr>
          <w:cantSplit/>
        </w:trPr>
        <w:tc>
          <w:tcPr>
            <w:tcW w:type="dxa" w:w="3139"/>
          </w:tcPr>
          <w:p>
            <w:pPr>
              <w:pStyle w:val="MDPI42tablebody"/>
              <w:keepNext/>
              <w:spacing w:line="240" w:lineRule="auto" w:before="30" w:after="30"/>
              <w:jc w:val="left"/>
            </w:pPr>
            <w:r>
              <w:rPr>
                <w:b w:val="0"/>
                <w:i/>
                <w:sz w:val="18"/>
              </w:rPr>
              <w:t>A</w:t>
            </w:r>
            <w:r>
              <w:rPr>
                <w:b w:val="0"/>
                <w:i/>
                <w:sz w:val="18"/>
                <w:vertAlign w:val="superscript"/>
              </w:rPr>
              <w:t>c</w:t>
            </w:r>
          </w:p>
        </w:tc>
        <w:tc>
          <w:tcPr>
            <w:tcW w:type="dxa" w:w="1831"/>
          </w:tcPr>
          <w:p>
            <w:pPr>
              <w:pStyle w:val="MDPI42tablebody"/>
              <w:keepNext/>
              <w:spacing w:line="240" w:lineRule="auto" w:before="30" w:after="30"/>
              <w:jc w:val="center"/>
            </w:pPr>
            <w:r>
              <w:rPr>
                <w:b w:val="0"/>
                <w:i w:val="0"/>
                <w:sz w:val="18"/>
              </w:rPr>
              <w:t>−0.641***</w:t>
            </w:r>
          </w:p>
        </w:tc>
        <w:tc>
          <w:tcPr>
            <w:tcW w:type="dxa" w:w="1831"/>
          </w:tcPr>
          <w:p>
            <w:pPr>
              <w:pStyle w:val="MDPI42tablebody"/>
              <w:keepNext/>
              <w:spacing w:line="240" w:lineRule="auto" w:before="30" w:after="30"/>
              <w:jc w:val="center"/>
            </w:pPr>
            <w:r>
              <w:rPr>
                <w:b w:val="0"/>
                <w:i w:val="0"/>
                <w:sz w:val="18"/>
              </w:rPr>
              <w:t>−0.517***</w:t>
            </w:r>
          </w:p>
        </w:tc>
        <w:tc>
          <w:tcPr>
            <w:tcW w:type="dxa" w:w="1831"/>
          </w:tcPr>
          <w:p>
            <w:pPr>
              <w:pStyle w:val="MDPI42tablebody"/>
              <w:keepNext/>
              <w:spacing w:line="240" w:lineRule="auto" w:before="30" w:after="30"/>
              <w:jc w:val="center"/>
            </w:pPr>
            <w:r>
              <w:rPr>
                <w:b w:val="0"/>
                <w:i w:val="0"/>
                <w:sz w:val="18"/>
              </w:rPr>
              <w:t>−0.516***</w:t>
            </w:r>
          </w:p>
        </w:tc>
        <w:tc>
          <w:tcPr>
            <w:tcW w:type="dxa" w:w="1831"/>
          </w:tcPr>
          <w:p>
            <w:pPr>
              <w:pStyle w:val="MDPI42tablebody"/>
              <w:keepNext/>
              <w:spacing w:line="240" w:lineRule="auto" w:before="30" w:after="30"/>
              <w:jc w:val="center"/>
            </w:pPr>
            <w:r>
              <w:rPr>
                <w:b w:val="0"/>
                <w:i w:val="0"/>
                <w:sz w:val="18"/>
              </w:rPr>
              <w:t>−0.130**</w:t>
            </w:r>
          </w:p>
        </w:tc>
      </w:tr>
      <w:tr>
        <w:trPr>
          <w:cantSplit/>
        </w:trPr>
        <w:tc>
          <w:tcPr>
            <w:tcW w:type="dxa" w:w="3139"/>
          </w:tcPr>
          <w:p>
            <w:pPr>
              <w:pStyle w:val="MDPI42tablebody"/>
              <w:keepNext/>
              <w:spacing w:line="240" w:lineRule="auto" w:before="30" w:after="30"/>
              <w:jc w:val="left"/>
            </w:pPr>
          </w:p>
        </w:tc>
        <w:tc>
          <w:tcPr>
            <w:tcW w:type="dxa" w:w="1831"/>
          </w:tcPr>
          <w:p>
            <w:pPr>
              <w:pStyle w:val="MDPI42tablebody"/>
              <w:keepNext/>
              <w:spacing w:line="240" w:lineRule="auto" w:before="30" w:after="30"/>
              <w:jc w:val="center"/>
            </w:pPr>
            <w:r>
              <w:rPr>
                <w:b w:val="0"/>
                <w:i w:val="0"/>
                <w:sz w:val="18"/>
              </w:rPr>
              <w:t>(0.045)</w:t>
            </w:r>
          </w:p>
        </w:tc>
        <w:tc>
          <w:tcPr>
            <w:tcW w:type="dxa" w:w="1831"/>
          </w:tcPr>
          <w:p>
            <w:pPr>
              <w:pStyle w:val="MDPI42tablebody"/>
              <w:keepNext/>
              <w:spacing w:line="240" w:lineRule="auto" w:before="30" w:after="30"/>
              <w:jc w:val="center"/>
            </w:pPr>
            <w:r>
              <w:rPr>
                <w:b w:val="0"/>
                <w:i w:val="0"/>
                <w:sz w:val="18"/>
              </w:rPr>
              <w:t>(0.085)</w:t>
            </w:r>
          </w:p>
        </w:tc>
        <w:tc>
          <w:tcPr>
            <w:tcW w:type="dxa" w:w="1831"/>
          </w:tcPr>
          <w:p>
            <w:pPr>
              <w:pStyle w:val="MDPI42tablebody"/>
              <w:keepNext/>
              <w:spacing w:line="240" w:lineRule="auto" w:before="30" w:after="30"/>
              <w:jc w:val="center"/>
            </w:pPr>
            <w:r>
              <w:rPr>
                <w:b w:val="0"/>
                <w:i w:val="0"/>
                <w:sz w:val="18"/>
              </w:rPr>
              <w:t>(0.085)</w:t>
            </w:r>
          </w:p>
        </w:tc>
        <w:tc>
          <w:tcPr>
            <w:tcW w:type="dxa" w:w="1831"/>
          </w:tcPr>
          <w:p>
            <w:pPr>
              <w:pStyle w:val="MDPI42tablebody"/>
              <w:keepNext/>
              <w:spacing w:line="240" w:lineRule="auto" w:before="30" w:after="30"/>
              <w:jc w:val="center"/>
            </w:pPr>
            <w:r>
              <w:rPr>
                <w:b w:val="0"/>
                <w:i w:val="0"/>
                <w:sz w:val="18"/>
              </w:rPr>
              <w:t>(0.065)</w:t>
            </w:r>
          </w:p>
        </w:tc>
      </w:tr>
      <w:tr>
        <w:trPr>
          <w:cantSplit/>
        </w:trPr>
        <w:tc>
          <w:tcPr>
            <w:tcW w:type="dxa" w:w="3139"/>
          </w:tcPr>
          <w:p>
            <w:pPr>
              <w:pStyle w:val="MDPI42tablebody"/>
              <w:keepNext/>
              <w:spacing w:line="240" w:lineRule="auto" w:before="30" w:after="30"/>
              <w:jc w:val="left"/>
            </w:pPr>
            <w:r>
              <w:rPr>
                <w:b w:val="0"/>
                <w:i/>
                <w:sz w:val="18"/>
              </w:rPr>
              <w:t>A</w:t>
            </w:r>
            <w:r>
              <w:rPr>
                <w:b w:val="0"/>
                <w:i/>
                <w:sz w:val="18"/>
                <w:vertAlign w:val="superscript"/>
              </w:rPr>
              <w:t>p</w:t>
            </w:r>
          </w:p>
        </w:tc>
        <w:tc>
          <w:tcPr>
            <w:tcW w:type="dxa" w:w="1831"/>
          </w:tcPr>
          <w:p>
            <w:pPr>
              <w:pStyle w:val="MDPI42tablebody"/>
              <w:keepNext/>
              <w:spacing w:line="240" w:lineRule="auto" w:before="30" w:after="30"/>
              <w:jc w:val="center"/>
            </w:pPr>
            <w:r>
              <w:rPr>
                <w:b w:val="0"/>
                <w:i w:val="0"/>
                <w:sz w:val="18"/>
              </w:rPr>
              <w:t>0.333***</w:t>
            </w:r>
          </w:p>
        </w:tc>
        <w:tc>
          <w:tcPr>
            <w:tcW w:type="dxa" w:w="1831"/>
          </w:tcPr>
          <w:p>
            <w:pPr>
              <w:pStyle w:val="MDPI42tablebody"/>
              <w:keepNext/>
              <w:spacing w:line="240" w:lineRule="auto" w:before="30" w:after="30"/>
              <w:jc w:val="center"/>
            </w:pPr>
            <w:r>
              <w:rPr>
                <w:b w:val="0"/>
                <w:i w:val="0"/>
                <w:sz w:val="18"/>
              </w:rPr>
              <w:t>0.338***</w:t>
            </w:r>
          </w:p>
        </w:tc>
        <w:tc>
          <w:tcPr>
            <w:tcW w:type="dxa" w:w="1831"/>
          </w:tcPr>
          <w:p>
            <w:pPr>
              <w:pStyle w:val="MDPI42tablebody"/>
              <w:keepNext/>
              <w:spacing w:line="240" w:lineRule="auto" w:before="30" w:after="30"/>
              <w:jc w:val="center"/>
            </w:pPr>
            <w:r>
              <w:rPr>
                <w:b w:val="0"/>
                <w:i w:val="0"/>
                <w:sz w:val="18"/>
              </w:rPr>
              <w:t>0.338***</w:t>
            </w:r>
          </w:p>
        </w:tc>
        <w:tc>
          <w:tcPr>
            <w:tcW w:type="dxa" w:w="1831"/>
          </w:tcPr>
          <w:p>
            <w:pPr>
              <w:pStyle w:val="MDPI42tablebody"/>
              <w:keepNext/>
              <w:spacing w:line="240" w:lineRule="auto" w:before="30" w:after="30"/>
              <w:jc w:val="center"/>
            </w:pPr>
            <w:r>
              <w:rPr>
                <w:b w:val="0"/>
                <w:i w:val="0"/>
                <w:sz w:val="18"/>
              </w:rPr>
              <w:t>0.051</w:t>
            </w:r>
          </w:p>
        </w:tc>
      </w:tr>
      <w:tr>
        <w:trPr>
          <w:cantSplit/>
        </w:trPr>
        <w:tc>
          <w:tcPr>
            <w:tcW w:type="dxa" w:w="3139"/>
          </w:tcPr>
          <w:p>
            <w:pPr>
              <w:pStyle w:val="MDPI42tablebody"/>
              <w:keepNext/>
              <w:spacing w:line="240" w:lineRule="auto" w:before="30" w:after="30"/>
              <w:jc w:val="left"/>
            </w:pPr>
          </w:p>
        </w:tc>
        <w:tc>
          <w:tcPr>
            <w:tcW w:type="dxa" w:w="1831"/>
          </w:tcPr>
          <w:p>
            <w:pPr>
              <w:pStyle w:val="MDPI42tablebody"/>
              <w:keepNext/>
              <w:spacing w:line="240" w:lineRule="auto" w:before="30" w:after="30"/>
              <w:jc w:val="center"/>
            </w:pPr>
            <w:r>
              <w:rPr>
                <w:b w:val="0"/>
                <w:i w:val="0"/>
                <w:sz w:val="18"/>
              </w:rPr>
              <w:t>(0.078)</w:t>
            </w:r>
          </w:p>
        </w:tc>
        <w:tc>
          <w:tcPr>
            <w:tcW w:type="dxa" w:w="1831"/>
          </w:tcPr>
          <w:p>
            <w:pPr>
              <w:pStyle w:val="MDPI42tablebody"/>
              <w:keepNext/>
              <w:spacing w:line="240" w:lineRule="auto" w:before="30" w:after="30"/>
              <w:jc w:val="center"/>
            </w:pPr>
            <w:r>
              <w:rPr>
                <w:b w:val="0"/>
                <w:i w:val="0"/>
                <w:sz w:val="18"/>
              </w:rPr>
              <w:t>(0.078)</w:t>
            </w:r>
          </w:p>
        </w:tc>
        <w:tc>
          <w:tcPr>
            <w:tcW w:type="dxa" w:w="1831"/>
          </w:tcPr>
          <w:p>
            <w:pPr>
              <w:pStyle w:val="MDPI42tablebody"/>
              <w:keepNext/>
              <w:spacing w:line="240" w:lineRule="auto" w:before="30" w:after="30"/>
              <w:jc w:val="center"/>
            </w:pPr>
            <w:r>
              <w:rPr>
                <w:b w:val="0"/>
                <w:i w:val="0"/>
                <w:sz w:val="18"/>
              </w:rPr>
              <w:t>(0.078)</w:t>
            </w:r>
          </w:p>
        </w:tc>
        <w:tc>
          <w:tcPr>
            <w:tcW w:type="dxa" w:w="1831"/>
          </w:tcPr>
          <w:p>
            <w:pPr>
              <w:pStyle w:val="MDPI42tablebody"/>
              <w:keepNext/>
              <w:spacing w:line="240" w:lineRule="auto" w:before="30" w:after="30"/>
              <w:jc w:val="center"/>
            </w:pPr>
            <w:r>
              <w:rPr>
                <w:b w:val="0"/>
                <w:i w:val="0"/>
                <w:sz w:val="18"/>
              </w:rPr>
              <w:t>(0.070)</w:t>
            </w:r>
          </w:p>
        </w:tc>
      </w:tr>
      <w:tr>
        <w:trPr>
          <w:cantSplit/>
        </w:trPr>
        <w:tc>
          <w:tcPr>
            <w:tcW w:type="dxa" w:w="3139"/>
          </w:tcPr>
          <w:p>
            <w:pPr>
              <w:pStyle w:val="MDPI42tablebody"/>
              <w:keepNext/>
              <w:spacing w:line="240" w:lineRule="auto" w:before="30" w:after="30"/>
              <w:jc w:val="left"/>
            </w:pPr>
            <w:r>
              <w:rPr>
                <w:b w:val="0"/>
                <w:i/>
                <w:sz w:val="18"/>
              </w:rPr>
              <w:t>WY</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0.286*</w:t>
            </w:r>
          </w:p>
        </w:tc>
        <w:tc>
          <w:tcPr>
            <w:tcW w:type="dxa" w:w="1831"/>
          </w:tcPr>
          <w:p>
            <w:pPr>
              <w:pStyle w:val="MDPI42tablebody"/>
              <w:keepNext/>
              <w:spacing w:line="240" w:lineRule="auto" w:before="30" w:after="30"/>
              <w:jc w:val="center"/>
            </w:pPr>
            <w:r>
              <w:rPr>
                <w:b w:val="0"/>
                <w:i w:val="0"/>
                <w:sz w:val="18"/>
              </w:rPr>
              <w:t>0.286*</w:t>
            </w:r>
          </w:p>
        </w:tc>
        <w:tc>
          <w:tcPr>
            <w:tcW w:type="dxa" w:w="1831"/>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(0.163)</w:t>
            </w:r>
          </w:p>
        </w:tc>
        <w:tc>
          <w:tcPr>
            <w:tcW w:type="dxa" w:w="1831"/>
          </w:tcPr>
          <w:p>
            <w:pPr>
              <w:pStyle w:val="MDPI42tablebody"/>
              <w:keepNext/>
              <w:spacing w:line="240" w:lineRule="auto" w:before="30" w:after="30"/>
              <w:jc w:val="center"/>
            </w:pPr>
            <w:r>
              <w:rPr>
                <w:b w:val="0"/>
                <w:i w:val="0"/>
                <w:sz w:val="18"/>
              </w:rPr>
              <w:t>(0.163)</w:t>
            </w:r>
          </w:p>
        </w:tc>
        <w:tc>
          <w:tcPr>
            <w:tcW w:type="dxa" w:w="1831"/>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r>
              <w:rPr>
                <w:b w:val="0"/>
                <w:i/>
                <w:sz w:val="18"/>
              </w:rPr>
              <w:t>Direct impact</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−0.420***</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−0.080***</w:t>
            </w:r>
          </w:p>
        </w:tc>
      </w:tr>
      <w:tr>
        <w:trPr>
          <w:cantSplit/>
        </w:trPr>
        <w:tc>
          <w:tcPr>
            <w:tcW w:type="dxa" w:w="3139"/>
          </w:tcPr>
          <w:p>
            <w:pPr>
              <w:pStyle w:val="MDPI42tablebody"/>
              <w:keepNext/>
              <w:spacing w:line="240" w:lineRule="auto" w:before="30" w:after="30"/>
              <w:jc w:val="left"/>
            </w:pP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(0.017)</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(0.017)</w:t>
            </w:r>
          </w:p>
        </w:tc>
      </w:tr>
      <w:tr>
        <w:trPr>
          <w:cantSplit/>
        </w:trPr>
        <w:tc>
          <w:tcPr>
            <w:tcW w:type="dxa" w:w="3139"/>
          </w:tcPr>
          <w:p>
            <w:pPr>
              <w:pStyle w:val="MDPI42tablebody"/>
              <w:keepNext/>
              <w:spacing w:line="240" w:lineRule="auto" w:before="30" w:after="30"/>
              <w:jc w:val="left"/>
            </w:pPr>
            <w:r>
              <w:rPr>
                <w:b w:val="0"/>
                <w:i/>
                <w:sz w:val="18"/>
              </w:rPr>
              <w:t>Indirect impact</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−0.893***</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−0.213</w:t>
            </w:r>
          </w:p>
        </w:tc>
      </w:tr>
      <w:tr>
        <w:trPr>
          <w:cantSplit/>
        </w:trPr>
        <w:tc>
          <w:tcPr>
            <w:tcW w:type="dxa" w:w="3139"/>
          </w:tcPr>
          <w:p>
            <w:pPr>
              <w:pStyle w:val="MDPI42tablebody"/>
              <w:keepNext/>
              <w:spacing w:line="240" w:lineRule="auto" w:before="30" w:after="30"/>
              <w:jc w:val="left"/>
            </w:pP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(0.195)</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(0.243)</w:t>
            </w:r>
          </w:p>
        </w:tc>
      </w:tr>
      <w:tr>
        <w:trPr>
          <w:cantSplit/>
        </w:trPr>
        <w:tc>
          <w:tcPr>
            <w:tcW w:type="dxa" w:w="3139"/>
          </w:tcPr>
          <w:p>
            <w:pPr>
              <w:pStyle w:val="MDPI42tablebody"/>
              <w:keepNext/>
              <w:spacing w:line="240" w:lineRule="auto" w:before="30" w:after="30"/>
              <w:jc w:val="left"/>
            </w:pPr>
            <w:r>
              <w:rPr>
                <w:b w:val="0"/>
                <w:i/>
                <w:sz w:val="18"/>
              </w:rPr>
              <w:t>Total impact</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−1.313***</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−0.294</w:t>
            </w:r>
          </w:p>
        </w:tc>
      </w:tr>
      <w:tr>
        <w:trPr>
          <w:cantSplit/>
        </w:trPr>
        <w:tc>
          <w:tcPr>
            <w:tcW w:type="dxa" w:w="3139"/>
          </w:tcPr>
          <w:p>
            <w:pPr>
              <w:pStyle w:val="MDPI42tablebody"/>
              <w:keepNext/>
              <w:spacing w:line="240" w:lineRule="auto" w:before="30" w:after="30"/>
              <w:jc w:val="left"/>
            </w:pP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(0.195)</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(0.236)</w:t>
            </w:r>
          </w:p>
        </w:tc>
      </w:tr>
      <w:tr>
        <w:trPr>
          <w:cantSplit/>
        </w:trPr>
        <w:tc>
          <w:tcPr>
            <w:tcW w:type="dxa" w:w="3139"/>
          </w:tcPr>
          <w:p>
            <w:pPr>
              <w:pStyle w:val="MDPI42tablebody"/>
              <w:keepNext/>
              <w:spacing w:line="240" w:lineRule="auto" w:before="30" w:after="30"/>
              <w:jc w:val="left"/>
            </w:pPr>
            <w:r>
              <w:rPr>
                <w:b w:val="0"/>
                <w:i/>
                <w:sz w:val="18"/>
              </w:rPr>
              <w:t>Network multiplier</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3.12</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3.65</w:t>
            </w:r>
          </w:p>
        </w:tc>
      </w:tr>
      <w:tr>
        <w:trPr>
          <w:cantSplit/>
        </w:trPr>
        <w:tc>
          <w:tcPr>
            <w:tcW w:type="dxa" w:w="3139"/>
          </w:tcPr>
          <w:p>
            <w:pPr>
              <w:pStyle w:val="MDPI42tablebody"/>
              <w:keepNext/>
              <w:spacing w:line="240" w:lineRule="auto" w:before="30" w:after="30"/>
              <w:jc w:val="left"/>
            </w:pPr>
            <w:r>
              <w:rPr>
                <w:b w:val="0"/>
                <w:i/>
                <w:sz w:val="18"/>
              </w:rPr>
              <w:t>Estimator</w:t>
            </w:r>
          </w:p>
        </w:tc>
        <w:tc>
          <w:tcPr>
            <w:tcW w:type="dxa" w:w="1831"/>
          </w:tcPr>
          <w:p>
            <w:pPr>
              <w:pStyle w:val="MDPI42tablebody"/>
              <w:keepNext/>
              <w:spacing w:line="240" w:lineRule="auto" w:before="30" w:after="30"/>
              <w:jc w:val="center"/>
            </w:pPr>
            <w:r>
              <w:rPr>
                <w:b w:val="0"/>
                <w:i w:val="0"/>
                <w:sz w:val="18"/>
              </w:rPr>
              <w:t>OLS</w:t>
            </w:r>
          </w:p>
        </w:tc>
        <w:tc>
          <w:tcPr>
            <w:tcW w:type="dxa" w:w="1831"/>
          </w:tcPr>
          <w:p>
            <w:pPr>
              <w:pStyle w:val="MDPI42tablebody"/>
              <w:keepNext/>
              <w:spacing w:line="240" w:lineRule="auto" w:before="30" w:after="30"/>
              <w:jc w:val="center"/>
            </w:pPr>
            <w:r>
              <w:rPr>
                <w:b w:val="0"/>
                <w:i w:val="0"/>
                <w:sz w:val="18"/>
              </w:rPr>
              <w:t>2SLS</w:t>
            </w:r>
          </w:p>
        </w:tc>
        <w:tc>
          <w:tcPr>
            <w:tcW w:type="dxa" w:w="1831"/>
          </w:tcPr>
          <w:p>
            <w:pPr>
              <w:pStyle w:val="MDPI42tablebody"/>
              <w:keepNext/>
              <w:spacing w:line="240" w:lineRule="auto" w:before="30" w:after="30"/>
              <w:jc w:val="center"/>
            </w:pPr>
            <w:r>
              <w:rPr>
                <w:b w:val="0"/>
                <w:i w:val="0"/>
                <w:sz w:val="18"/>
              </w:rPr>
              <w:t>GMM</w:t>
            </w:r>
          </w:p>
        </w:tc>
        <w:tc>
          <w:tcPr>
            <w:tcW w:type="dxa" w:w="1831"/>
          </w:tcPr>
          <w:p>
            <w:pPr>
              <w:pStyle w:val="MDPI42tablebody"/>
              <w:keepNext/>
              <w:spacing w:line="240" w:lineRule="auto" w:before="30" w:after="30"/>
              <w:jc w:val="center"/>
            </w:pPr>
            <w:r>
              <w:rPr>
                <w:b w:val="0"/>
                <w:i w:val="0"/>
                <w:sz w:val="18"/>
              </w:rPr>
              <w:t>2SLS</w:t>
            </w:r>
          </w:p>
        </w:tc>
      </w:tr>
      <w:tr>
        <w:trPr>
          <w:cantSplit/>
        </w:trPr>
        <w:tc>
          <w:tcPr>
            <w:tcW w:type="dxa" w:w="3139"/>
          </w:tcPr>
          <w:p>
            <w:pPr>
              <w:pStyle w:val="MDPI42tablebody"/>
              <w:keepNext/>
              <w:spacing w:line="240" w:lineRule="auto" w:before="30" w:after="30"/>
              <w:jc w:val="left"/>
            </w:pPr>
            <w:r>
              <w:rPr>
                <w:b w:val="0"/>
                <w:i/>
                <w:sz w:val="18"/>
              </w:rPr>
              <w:t>Kleibergen–Paap rk Wald F</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57.8</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2.7</w:t>
            </w:r>
          </w:p>
        </w:tc>
      </w:tr>
      <w:tr>
        <w:trPr>
          <w:cantSplit/>
        </w:trPr>
        <w:tc>
          <w:tcPr>
            <w:tcW w:type="dxa" w:w="3139"/>
          </w:tcPr>
          <w:p>
            <w:pPr>
              <w:pStyle w:val="MDPI42tablebody"/>
              <w:keepNext/>
              <w:spacing w:line="240" w:lineRule="auto" w:before="30" w:after="30"/>
              <w:jc w:val="left"/>
            </w:pPr>
            <w:r>
              <w:rPr>
                <w:b w:val="0"/>
                <w:i/>
                <w:sz w:val="18"/>
              </w:rPr>
              <w:t>Hansen J (p)</w:t>
            </w:r>
          </w:p>
        </w:tc>
        <w:tc>
          <w:tcPr>
            <w:tcW w:type="dxa" w:w="1831"/>
          </w:tcPr>
          <w:p>
            <w:pPr>
              <w:pStyle w:val="MDPI42tablebody"/>
              <w:keepNext/>
              <w:spacing w:line="240" w:lineRule="auto" w:before="30" w:after="30"/>
              <w:jc w:val="center"/>
            </w:pPr>
          </w:p>
        </w:tc>
        <w:tc>
          <w:tcPr>
            <w:tcW w:type="dxa" w:w="1831"/>
          </w:tcPr>
          <w:p>
            <w:pPr>
              <w:pStyle w:val="MDPI42tablebody"/>
              <w:keepNext/>
              <w:spacing w:line="240" w:lineRule="auto" w:before="30" w:after="30"/>
              <w:jc w:val="center"/>
            </w:pPr>
            <w:r>
              <w:rPr>
                <w:b w:val="0"/>
                <w:i w:val="0"/>
                <w:sz w:val="18"/>
              </w:rPr>
              <w:t>0.603</w:t>
            </w:r>
          </w:p>
        </w:tc>
        <w:tc>
          <w:tcPr>
            <w:tcW w:type="dxa" w:w="1831"/>
          </w:tcPr>
          <w:p>
            <w:pPr>
              <w:pStyle w:val="MDPI42tablebody"/>
              <w:keepNext/>
              <w:spacing w:line="240" w:lineRule="auto" w:before="30" w:after="30"/>
              <w:jc w:val="center"/>
            </w:pPr>
            <w:r>
              <w:rPr>
                <w:b w:val="0"/>
                <w:i w:val="0"/>
                <w:sz w:val="18"/>
              </w:rPr>
              <w:t>0.609</w:t>
            </w:r>
          </w:p>
        </w:tc>
        <w:tc>
          <w:tcPr>
            <w:tcW w:type="dxa" w:w="1831"/>
          </w:tcPr>
          <w:p>
            <w:pPr>
              <w:pStyle w:val="MDPI42tablebody"/>
              <w:keepNext/>
              <w:spacing w:line="240" w:lineRule="auto" w:before="30" w:after="30"/>
              <w:jc w:val="center"/>
            </w:pPr>
            <w:r>
              <w:rPr>
                <w:b w:val="0"/>
                <w:i w:val="0"/>
                <w:sz w:val="18"/>
              </w:rPr>
              <w:t>0.338</w:t>
            </w:r>
          </w:p>
        </w:tc>
      </w:tr>
      <w:tr>
        <w:trPr>
          <w:cantSplit/>
        </w:trPr>
        <w:tc>
          <w:tcPr>
            <w:tcW w:type="dxa" w:w="3139"/>
          </w:tcPr>
          <w:p>
            <w:pPr>
              <w:pStyle w:val="MDPI42tablebody"/>
              <w:keepNext/>
              <w:spacing w:line="240" w:lineRule="auto" w:before="30" w:after="30"/>
              <w:jc w:val="left"/>
            </w:pPr>
            <w:r>
              <w:rPr>
                <w:b w:val="0"/>
                <w:i/>
                <w:sz w:val="18"/>
              </w:rPr>
              <w:t>Controls</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Firm FE</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keepNext/>
              <w:spacing w:line="240" w:lineRule="auto" w:before="30" w:after="30"/>
              <w:jc w:val="left"/>
            </w:pPr>
            <w:r>
              <w:rPr>
                <w:b w:val="0"/>
                <w:i/>
                <w:sz w:val="18"/>
              </w:rPr>
              <w:t>Year FE</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c>
          <w:tcPr>
            <w:tcW w:type="dxa" w:w="1831"/>
          </w:tcPr>
          <w:p>
            <w:pPr>
              <w:pStyle w:val="MDPI42tablebody"/>
              <w:keepNext/>
              <w:spacing w:line="240" w:lineRule="auto" w:before="30" w:after="30"/>
              <w:jc w:val="center"/>
            </w:pPr>
            <w:r>
              <w:rPr>
                <w:b w:val="0"/>
                <w:i w:val="0"/>
                <w:sz w:val="18"/>
              </w:rPr>
              <w:t>Yes</w:t>
            </w:r>
          </w:p>
        </w:tc>
      </w:tr>
      <w:tr>
        <w:trPr>
          <w:cantSplit/>
        </w:trPr>
        <w:tc>
          <w:tcPr>
            <w:tcW w:type="dxa" w:w="3139"/>
          </w:tcPr>
          <w:p>
            <w:pPr>
              <w:pStyle w:val="MDPI42tablebody"/>
              <w:spacing w:line="240" w:lineRule="auto" w:before="30" w:after="30"/>
              <w:jc w:val="left"/>
            </w:pPr>
            <w:r>
              <w:rPr>
                <w:b w:val="0"/>
                <w:i/>
                <w:sz w:val="18"/>
              </w:rPr>
              <w:t>Observations</w:t>
            </w:r>
          </w:p>
        </w:tc>
        <w:tc>
          <w:tcPr>
            <w:tcW w:type="dxa" w:w="1831"/>
          </w:tcPr>
          <w:p>
            <w:pPr>
              <w:pStyle w:val="MDPI42tablebody"/>
              <w:spacing w:line="240" w:lineRule="auto" w:before="30" w:after="30"/>
              <w:jc w:val="center"/>
            </w:pPr>
            <w:r>
              <w:rPr>
                <w:b w:val="0"/>
                <w:i w:val="0"/>
                <w:sz w:val="18"/>
              </w:rPr>
              <w:t>26,115</w:t>
            </w:r>
          </w:p>
        </w:tc>
        <w:tc>
          <w:tcPr>
            <w:tcW w:type="dxa" w:w="1831"/>
          </w:tcPr>
          <w:p>
            <w:pPr>
              <w:pStyle w:val="MDPI42tablebody"/>
              <w:spacing w:line="240" w:lineRule="auto" w:before="30" w:after="30"/>
              <w:jc w:val="center"/>
            </w:pPr>
            <w:r>
              <w:rPr>
                <w:b w:val="0"/>
                <w:i w:val="0"/>
                <w:sz w:val="18"/>
              </w:rPr>
              <w:t>26,115</w:t>
            </w:r>
          </w:p>
        </w:tc>
        <w:tc>
          <w:tcPr>
            <w:tcW w:type="dxa" w:w="1831"/>
          </w:tcPr>
          <w:p>
            <w:pPr>
              <w:pStyle w:val="MDPI42tablebody"/>
              <w:spacing w:line="240" w:lineRule="auto" w:before="30" w:after="30"/>
              <w:jc w:val="center"/>
            </w:pPr>
            <w:r>
              <w:rPr>
                <w:b w:val="0"/>
                <w:i w:val="0"/>
                <w:sz w:val="18"/>
              </w:rPr>
              <w:t>26,115</w:t>
            </w:r>
          </w:p>
        </w:tc>
        <w:tc>
          <w:tcPr>
            <w:tcW w:type="dxa" w:w="1831"/>
          </w:tcPr>
          <w:p>
            <w:pPr>
              <w:pStyle w:val="MDPI42tablebody"/>
              <w:spacing w:line="240" w:lineRule="auto" w:before="30" w:after="30"/>
              <w:jc w:val="center"/>
            </w:pPr>
            <w:r>
              <w:rPr>
                <w:b w:val="0"/>
                <w:i w:val="0"/>
                <w:sz w:val="18"/>
              </w:rPr>
              <w:t>26,115</w:t>
            </w:r>
          </w:p>
        </w:tc>
      </w:tr>
    </w:tbl>
    <w:p>
      <w:pPr>
        <w:pStyle w:val="MDPI43tablefooter"/>
        <w:spacing w:line="240" w:lineRule="auto" w:before="40" w:after="200"/>
        <w:ind w:left="2608" w:firstLine="0"/>
      </w:pPr>
      <w:r>
        <w:rPr>
          <w:sz w:val="16"/>
        </w:rPr>
        <w:t xml:space="preserve">Note: </w:t>
      </w:r>
      <w:r>
        <w:rPr>
          <w:b w:val="0"/>
          <w:i w:val="0"/>
          <w:sz w:val="16"/>
        </w:rPr>
        <w:t>The dependent variable is the youth employment share in columns (1) to (3) and the experienced share in column (4); the model is Equation (2). The endogenous network lag is instrumented with the second- and third-order network lags of adoption. The direct, indirect and total impacts are the quantities in Equation (4), with delta-method standard errors; the network multiplier is the ratio of the total to the direct impact. Standard errors clustered at the firm level are in parentheses. ***, ** and * denote significance at the 1%, 5% and 10% levels.</w:t>
      </w:r>
    </w:p>
    <w:p>
      <w:pPr>
        <w:pStyle w:val="MDPI22heading2"/>
      </w:pPr>
      <w:r>
        <w:t>4.6. Endogenous Adoption</w:t>
      </w:r>
    </w:p>
    <w:p>
      <w:pPr>
        <w:pStyle w:val="MDPI32textnoindent"/>
      </w:pPr>
      <w:r>
        <w:rPr>
          <w:b w:val="0"/>
          <w:i w:val="0"/>
        </w:rPr>
        <w:t>Adoption is a choice, and the firms that make it are not a random sample of the system. Table 7 instruments it. Column (1) repeats the least-squares estimates of Equation (6). Column (2) instruments own adoption alone with the firm's pre-sample occupational exposure interacted with the national diffusion index, and with the second-order network lag of adoption. Column (3) instruments own adoption and the customer lag jointly. Column (4) instruments all four adoption terms with the full set of shift-share and network instruments.</w:t>
      </w:r>
    </w:p>
    <w:p>
      <w:pPr>
        <w:pStyle w:val="MDPI31text"/>
      </w:pPr>
      <w:r>
        <w:rPr>
          <w:b w:val="0"/>
          <w:i w:val="0"/>
        </w:rPr>
        <w:t>The instruments are strong throughout (the Kleibergen–Paap statistic is 1783.9 in the full specification) and the overidentifying restrictions are not rejected (p = 0.581). Every coefficient moves away from zero: own adoption to −0.547 (0.030), the customer lag to −0.418 (0.052), the supplier lag to −0.262 and the local lag to 0.417. The direction is the one attenuation predicts, and the Wu–Hausman test rejects exogeneity (p = 0.0000), so the least-squares estimates in Tables 4 to 6 should be read as conservative. Nothing in the pattern of signs changes: the customer channel remains large and negative, the local channel remains positive.</w:t>
      </w:r>
    </w:p>
    <w:p>
      <w:pPr>
        <w:pStyle w:val="MDPI41tablecaption"/>
        <w:keepNext/>
        <w:spacing w:after="60"/>
      </w:pPr>
      <w:r>
        <w:rPr>
          <w:b/>
          <w:sz w:val="18"/>
        </w:rPr>
        <w:t xml:space="preserve">Table 7. </w:t>
      </w:r>
      <w:r>
        <w:rPr>
          <w:b w:val="0"/>
          <w:i w:val="0"/>
          <w:sz w:val="18"/>
        </w:rPr>
        <w:t>Endogenous adoption: instrumental-variables estimates.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930"/>
        <w:gridCol w:w="1883"/>
        <w:gridCol w:w="1883"/>
        <w:gridCol w:w="1883"/>
        <w:gridCol w:w="1883"/>
      </w:tblGrid>
      <w:tr>
        <w:trPr>
          <w:cantSplit/>
          <w:tblHeader/>
        </w:trPr>
        <w:tc>
          <w:tcPr>
            <w:tcW w:type="dxa" w:w="2930"/>
            <w:tcBorders>
              <w:bottom w:val="single" w:sz="8" w:space="0" w:color="auto"/>
            </w:tcBorders>
          </w:tcPr>
          <w:p>
            <w:pPr>
              <w:pStyle w:val="MDPI42tablebody"/>
              <w:keepNext/>
              <w:spacing w:line="240" w:lineRule="auto" w:before="30" w:after="30"/>
              <w:jc w:val="center"/>
            </w:pPr>
            <w:r>
              <w:rPr>
                <w:b/>
                <w:i w:val="0"/>
                <w:sz w:val="18"/>
              </w:rPr>
              <w:t>Variable</w:t>
            </w:r>
          </w:p>
        </w:tc>
        <w:tc>
          <w:tcPr>
            <w:tcW w:type="dxa" w:w="1883"/>
            <w:tcBorders>
              <w:bottom w:val="single" w:sz="8" w:space="0" w:color="auto"/>
            </w:tcBorders>
          </w:tcPr>
          <w:p>
            <w:pPr>
              <w:pStyle w:val="MDPI42tablebody"/>
              <w:keepNext/>
              <w:spacing w:line="240" w:lineRule="auto" w:before="30" w:after="30"/>
              <w:jc w:val="center"/>
            </w:pPr>
            <w:r>
              <w:rPr>
                <w:b/>
                <w:i w:val="0"/>
                <w:sz w:val="18"/>
              </w:rPr>
              <w:t>(1)</w:t>
            </w:r>
          </w:p>
        </w:tc>
        <w:tc>
          <w:tcPr>
            <w:tcW w:type="dxa" w:w="1883"/>
            <w:tcBorders>
              <w:bottom w:val="single" w:sz="8" w:space="0" w:color="auto"/>
            </w:tcBorders>
          </w:tcPr>
          <w:p>
            <w:pPr>
              <w:pStyle w:val="MDPI42tablebody"/>
              <w:keepNext/>
              <w:spacing w:line="240" w:lineRule="auto" w:before="30" w:after="30"/>
              <w:jc w:val="center"/>
            </w:pPr>
            <w:r>
              <w:rPr>
                <w:b/>
                <w:i w:val="0"/>
                <w:sz w:val="18"/>
              </w:rPr>
              <w:t>(2)</w:t>
            </w:r>
          </w:p>
        </w:tc>
        <w:tc>
          <w:tcPr>
            <w:tcW w:type="dxa" w:w="1883"/>
            <w:tcBorders>
              <w:bottom w:val="single" w:sz="8" w:space="0" w:color="auto"/>
            </w:tcBorders>
          </w:tcPr>
          <w:p>
            <w:pPr>
              <w:pStyle w:val="MDPI42tablebody"/>
              <w:keepNext/>
              <w:spacing w:line="240" w:lineRule="auto" w:before="30" w:after="30"/>
              <w:jc w:val="center"/>
            </w:pPr>
            <w:r>
              <w:rPr>
                <w:b/>
                <w:i w:val="0"/>
                <w:sz w:val="18"/>
              </w:rPr>
              <w:t>(3)</w:t>
            </w:r>
          </w:p>
        </w:tc>
        <w:tc>
          <w:tcPr>
            <w:tcW w:type="dxa" w:w="1883"/>
            <w:tcBorders>
              <w:bottom w:val="single" w:sz="8" w:space="0" w:color="auto"/>
            </w:tcBorders>
          </w:tcPr>
          <w:p>
            <w:pPr>
              <w:pStyle w:val="MDPI42tablebody"/>
              <w:keepNext/>
              <w:spacing w:line="240" w:lineRule="auto" w:before="30" w:after="30"/>
              <w:jc w:val="center"/>
            </w:pPr>
            <w:r>
              <w:rPr>
                <w:b/>
                <w:i w:val="0"/>
                <w:sz w:val="18"/>
              </w:rPr>
              <w:t>(4)</w:t>
            </w:r>
          </w:p>
        </w:tc>
      </w:tr>
      <w:tr>
        <w:trPr>
          <w:cantSplit/>
        </w:trPr>
        <w:tc>
          <w:tcPr>
            <w:tcW w:type="dxa" w:w="2930"/>
          </w:tcPr>
          <w:p>
            <w:pPr>
              <w:pStyle w:val="MDPI42tablebody"/>
              <w:keepNext/>
              <w:spacing w:line="240" w:lineRule="auto" w:before="30" w:after="30"/>
              <w:jc w:val="left"/>
            </w:pPr>
            <w:r>
              <w:rPr>
                <w:b w:val="0"/>
                <w:i/>
                <w:sz w:val="18"/>
              </w:rPr>
              <w:t>A</w:t>
            </w:r>
          </w:p>
        </w:tc>
        <w:tc>
          <w:tcPr>
            <w:tcW w:type="dxa" w:w="1883"/>
          </w:tcPr>
          <w:p>
            <w:pPr>
              <w:pStyle w:val="MDPI42tablebody"/>
              <w:keepNext/>
              <w:spacing w:line="240" w:lineRule="auto" w:before="30" w:after="30"/>
              <w:jc w:val="center"/>
            </w:pPr>
            <w:r>
              <w:rPr>
                <w:b w:val="0"/>
                <w:i w:val="0"/>
                <w:sz w:val="18"/>
              </w:rPr>
              <w:t>−0.422***</w:t>
            </w:r>
          </w:p>
        </w:tc>
        <w:tc>
          <w:tcPr>
            <w:tcW w:type="dxa" w:w="1883"/>
          </w:tcPr>
          <w:p>
            <w:pPr>
              <w:pStyle w:val="MDPI42tablebody"/>
              <w:keepNext/>
              <w:spacing w:line="240" w:lineRule="auto" w:before="30" w:after="30"/>
              <w:jc w:val="center"/>
            </w:pPr>
            <w:r>
              <w:rPr>
                <w:b w:val="0"/>
                <w:i w:val="0"/>
                <w:sz w:val="18"/>
              </w:rPr>
              <w:t>−0.552***</w:t>
            </w:r>
          </w:p>
        </w:tc>
        <w:tc>
          <w:tcPr>
            <w:tcW w:type="dxa" w:w="1883"/>
          </w:tcPr>
          <w:p>
            <w:pPr>
              <w:pStyle w:val="MDPI42tablebody"/>
              <w:keepNext/>
              <w:spacing w:line="240" w:lineRule="auto" w:before="30" w:after="30"/>
              <w:jc w:val="center"/>
            </w:pPr>
            <w:r>
              <w:rPr>
                <w:b w:val="0"/>
                <w:i w:val="0"/>
                <w:sz w:val="18"/>
              </w:rPr>
              <w:t>−0.549***</w:t>
            </w:r>
          </w:p>
        </w:tc>
        <w:tc>
          <w:tcPr>
            <w:tcW w:type="dxa" w:w="1883"/>
          </w:tcPr>
          <w:p>
            <w:pPr>
              <w:pStyle w:val="MDPI42tablebody"/>
              <w:keepNext/>
              <w:spacing w:line="240" w:lineRule="auto" w:before="30" w:after="30"/>
              <w:jc w:val="center"/>
            </w:pPr>
            <w:r>
              <w:rPr>
                <w:b w:val="0"/>
                <w:i w:val="0"/>
                <w:sz w:val="18"/>
              </w:rPr>
              <w:t>−0.547***</w:t>
            </w:r>
          </w:p>
        </w:tc>
      </w:tr>
      <w:tr>
        <w:trPr>
          <w:cantSplit/>
        </w:trPr>
        <w:tc>
          <w:tcPr>
            <w:tcW w:type="dxa" w:w="2930"/>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(0.018)</w:t>
            </w:r>
          </w:p>
        </w:tc>
        <w:tc>
          <w:tcPr>
            <w:tcW w:type="dxa" w:w="1883"/>
          </w:tcPr>
          <w:p>
            <w:pPr>
              <w:pStyle w:val="MDPI42tablebody"/>
              <w:keepNext/>
              <w:spacing w:line="240" w:lineRule="auto" w:before="30" w:after="30"/>
              <w:jc w:val="center"/>
            </w:pPr>
            <w:r>
              <w:rPr>
                <w:b w:val="0"/>
                <w:i w:val="0"/>
                <w:sz w:val="18"/>
              </w:rPr>
              <w:t>(0.029)</w:t>
            </w:r>
          </w:p>
        </w:tc>
        <w:tc>
          <w:tcPr>
            <w:tcW w:type="dxa" w:w="1883"/>
          </w:tcPr>
          <w:p>
            <w:pPr>
              <w:pStyle w:val="MDPI42tablebody"/>
              <w:keepNext/>
              <w:spacing w:line="240" w:lineRule="auto" w:before="30" w:after="30"/>
              <w:jc w:val="center"/>
            </w:pPr>
            <w:r>
              <w:rPr>
                <w:b w:val="0"/>
                <w:i w:val="0"/>
                <w:sz w:val="18"/>
              </w:rPr>
              <w:t>(0.030)</w:t>
            </w:r>
          </w:p>
        </w:tc>
        <w:tc>
          <w:tcPr>
            <w:tcW w:type="dxa" w:w="1883"/>
          </w:tcPr>
          <w:p>
            <w:pPr>
              <w:pStyle w:val="MDPI42tablebody"/>
              <w:keepNext/>
              <w:spacing w:line="240" w:lineRule="auto" w:before="30" w:after="30"/>
              <w:jc w:val="center"/>
            </w:pPr>
            <w:r>
              <w:rPr>
                <w:b w:val="0"/>
                <w:i w:val="0"/>
                <w:sz w:val="18"/>
              </w:rPr>
              <w:t>(0.030)</w:t>
            </w:r>
          </w:p>
        </w:tc>
      </w:tr>
      <w:tr>
        <w:trPr>
          <w:cantSplit/>
        </w:trPr>
        <w:tc>
          <w:tcPr>
            <w:tcW w:type="dxa" w:w="2930"/>
          </w:tcPr>
          <w:p>
            <w:pPr>
              <w:pStyle w:val="MDPI42tablebody"/>
              <w:keepNext/>
              <w:spacing w:line="240" w:lineRule="auto" w:before="30" w:after="30"/>
              <w:jc w:val="left"/>
            </w:pPr>
            <w:r>
              <w:rPr>
                <w:b w:val="0"/>
                <w:i/>
                <w:sz w:val="18"/>
              </w:rPr>
              <w:t>A</w:t>
            </w:r>
            <w:r>
              <w:rPr>
                <w:b w:val="0"/>
                <w:i/>
                <w:sz w:val="18"/>
                <w:vertAlign w:val="superscript"/>
              </w:rPr>
              <w:t>u</w:t>
            </w:r>
          </w:p>
        </w:tc>
        <w:tc>
          <w:tcPr>
            <w:tcW w:type="dxa" w:w="1883"/>
          </w:tcPr>
          <w:p>
            <w:pPr>
              <w:pStyle w:val="MDPI42tablebody"/>
              <w:keepNext/>
              <w:spacing w:line="240" w:lineRule="auto" w:before="30" w:after="30"/>
              <w:jc w:val="center"/>
            </w:pPr>
            <w:r>
              <w:rPr>
                <w:b w:val="0"/>
                <w:i w:val="0"/>
                <w:sz w:val="18"/>
              </w:rPr>
              <w:t>−0.246***</w:t>
            </w:r>
          </w:p>
        </w:tc>
        <w:tc>
          <w:tcPr>
            <w:tcW w:type="dxa" w:w="1883"/>
          </w:tcPr>
          <w:p>
            <w:pPr>
              <w:pStyle w:val="MDPI42tablebody"/>
              <w:keepNext/>
              <w:spacing w:line="240" w:lineRule="auto" w:before="30" w:after="30"/>
              <w:jc w:val="center"/>
            </w:pPr>
            <w:r>
              <w:rPr>
                <w:b w:val="0"/>
                <w:i w:val="0"/>
                <w:sz w:val="18"/>
              </w:rPr>
              <w:t>−0.235***</w:t>
            </w:r>
          </w:p>
        </w:tc>
        <w:tc>
          <w:tcPr>
            <w:tcW w:type="dxa" w:w="1883"/>
          </w:tcPr>
          <w:p>
            <w:pPr>
              <w:pStyle w:val="MDPI42tablebody"/>
              <w:keepNext/>
              <w:spacing w:line="240" w:lineRule="auto" w:before="30" w:after="30"/>
              <w:jc w:val="center"/>
            </w:pPr>
            <w:r>
              <w:rPr>
                <w:b w:val="0"/>
                <w:i w:val="0"/>
                <w:sz w:val="18"/>
              </w:rPr>
              <w:t>−0.236***</w:t>
            </w:r>
          </w:p>
        </w:tc>
        <w:tc>
          <w:tcPr>
            <w:tcW w:type="dxa" w:w="1883"/>
          </w:tcPr>
          <w:p>
            <w:pPr>
              <w:pStyle w:val="MDPI42tablebody"/>
              <w:keepNext/>
              <w:spacing w:line="240" w:lineRule="auto" w:before="30" w:after="30"/>
              <w:jc w:val="center"/>
            </w:pPr>
            <w:r>
              <w:rPr>
                <w:b w:val="0"/>
                <w:i w:val="0"/>
                <w:sz w:val="18"/>
              </w:rPr>
              <w:t>−0.262***</w:t>
            </w:r>
          </w:p>
        </w:tc>
      </w:tr>
      <w:tr>
        <w:trPr>
          <w:cantSplit/>
        </w:trPr>
        <w:tc>
          <w:tcPr>
            <w:tcW w:type="dxa" w:w="2930"/>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(0.031)</w:t>
            </w:r>
          </w:p>
        </w:tc>
        <w:tc>
          <w:tcPr>
            <w:tcW w:type="dxa" w:w="1883"/>
          </w:tcPr>
          <w:p>
            <w:pPr>
              <w:pStyle w:val="MDPI42tablebody"/>
              <w:keepNext/>
              <w:spacing w:line="240" w:lineRule="auto" w:before="30" w:after="30"/>
              <w:jc w:val="center"/>
            </w:pPr>
            <w:r>
              <w:rPr>
                <w:b w:val="0"/>
                <w:i w:val="0"/>
                <w:sz w:val="18"/>
              </w:rPr>
              <w:t>(0.031)</w:t>
            </w:r>
          </w:p>
        </w:tc>
        <w:tc>
          <w:tcPr>
            <w:tcW w:type="dxa" w:w="1883"/>
          </w:tcPr>
          <w:p>
            <w:pPr>
              <w:pStyle w:val="MDPI42tablebody"/>
              <w:keepNext/>
              <w:spacing w:line="240" w:lineRule="auto" w:before="30" w:after="30"/>
              <w:jc w:val="center"/>
            </w:pPr>
            <w:r>
              <w:rPr>
                <w:b w:val="0"/>
                <w:i w:val="0"/>
                <w:sz w:val="18"/>
              </w:rPr>
              <w:t>(0.031)</w:t>
            </w:r>
          </w:p>
        </w:tc>
        <w:tc>
          <w:tcPr>
            <w:tcW w:type="dxa" w:w="1883"/>
          </w:tcPr>
          <w:p>
            <w:pPr>
              <w:pStyle w:val="MDPI42tablebody"/>
              <w:keepNext/>
              <w:spacing w:line="240" w:lineRule="auto" w:before="30" w:after="30"/>
              <w:jc w:val="center"/>
            </w:pPr>
            <w:r>
              <w:rPr>
                <w:b w:val="0"/>
                <w:i w:val="0"/>
                <w:sz w:val="18"/>
              </w:rPr>
              <w:t>(0.049)</w:t>
            </w:r>
          </w:p>
        </w:tc>
      </w:tr>
      <w:tr>
        <w:trPr>
          <w:cantSplit/>
        </w:trPr>
        <w:tc>
          <w:tcPr>
            <w:tcW w:type="dxa" w:w="2930"/>
          </w:tcPr>
          <w:p>
            <w:pPr>
              <w:pStyle w:val="MDPI42tablebody"/>
              <w:keepNext/>
              <w:spacing w:line="240" w:lineRule="auto" w:before="30" w:after="30"/>
              <w:jc w:val="left"/>
            </w:pPr>
            <w:r>
              <w:rPr>
                <w:b w:val="0"/>
                <w:i/>
                <w:sz w:val="18"/>
              </w:rPr>
              <w:t>A</w:t>
            </w:r>
            <w:r>
              <w:rPr>
                <w:b w:val="0"/>
                <w:i/>
                <w:sz w:val="18"/>
                <w:vertAlign w:val="superscript"/>
              </w:rPr>
              <w:t>d</w:t>
            </w:r>
          </w:p>
        </w:tc>
        <w:tc>
          <w:tcPr>
            <w:tcW w:type="dxa" w:w="1883"/>
          </w:tcPr>
          <w:p>
            <w:pPr>
              <w:pStyle w:val="MDPI42tablebody"/>
              <w:keepNext/>
              <w:spacing w:line="240" w:lineRule="auto" w:before="30" w:after="30"/>
              <w:jc w:val="center"/>
            </w:pPr>
            <w:r>
              <w:rPr>
                <w:b w:val="0"/>
                <w:i w:val="0"/>
                <w:sz w:val="18"/>
              </w:rPr>
              <w:t>−0.396***</w:t>
            </w:r>
          </w:p>
        </w:tc>
        <w:tc>
          <w:tcPr>
            <w:tcW w:type="dxa" w:w="1883"/>
          </w:tcPr>
          <w:p>
            <w:pPr>
              <w:pStyle w:val="MDPI42tablebody"/>
              <w:keepNext/>
              <w:spacing w:line="240" w:lineRule="auto" w:before="30" w:after="30"/>
              <w:jc w:val="center"/>
            </w:pPr>
            <w:r>
              <w:rPr>
                <w:b w:val="0"/>
                <w:i w:val="0"/>
                <w:sz w:val="18"/>
              </w:rPr>
              <w:t>−0.381***</w:t>
            </w:r>
          </w:p>
        </w:tc>
        <w:tc>
          <w:tcPr>
            <w:tcW w:type="dxa" w:w="1883"/>
          </w:tcPr>
          <w:p>
            <w:pPr>
              <w:pStyle w:val="MDPI42tablebody"/>
              <w:keepNext/>
              <w:spacing w:line="240" w:lineRule="auto" w:before="30" w:after="30"/>
              <w:jc w:val="center"/>
            </w:pPr>
            <w:r>
              <w:rPr>
                <w:b w:val="0"/>
                <w:i w:val="0"/>
                <w:sz w:val="18"/>
              </w:rPr>
              <w:t>−0.417***</w:t>
            </w:r>
          </w:p>
        </w:tc>
        <w:tc>
          <w:tcPr>
            <w:tcW w:type="dxa" w:w="1883"/>
          </w:tcPr>
          <w:p>
            <w:pPr>
              <w:pStyle w:val="MDPI42tablebody"/>
              <w:keepNext/>
              <w:spacing w:line="240" w:lineRule="auto" w:before="30" w:after="30"/>
              <w:jc w:val="center"/>
            </w:pPr>
            <w:r>
              <w:rPr>
                <w:b w:val="0"/>
                <w:i w:val="0"/>
                <w:sz w:val="18"/>
              </w:rPr>
              <w:t>−0.418***</w:t>
            </w:r>
          </w:p>
        </w:tc>
      </w:tr>
      <w:tr>
        <w:trPr>
          <w:cantSplit/>
        </w:trPr>
        <w:tc>
          <w:tcPr>
            <w:tcW w:type="dxa" w:w="2930"/>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(0.032)</w:t>
            </w:r>
          </w:p>
        </w:tc>
        <w:tc>
          <w:tcPr>
            <w:tcW w:type="dxa" w:w="1883"/>
          </w:tcPr>
          <w:p>
            <w:pPr>
              <w:pStyle w:val="MDPI42tablebody"/>
              <w:keepNext/>
              <w:spacing w:line="240" w:lineRule="auto" w:before="30" w:after="30"/>
              <w:jc w:val="center"/>
            </w:pPr>
            <w:r>
              <w:rPr>
                <w:b w:val="0"/>
                <w:i w:val="0"/>
                <w:sz w:val="18"/>
              </w:rPr>
              <w:t>(0.032)</w:t>
            </w:r>
          </w:p>
        </w:tc>
        <w:tc>
          <w:tcPr>
            <w:tcW w:type="dxa" w:w="1883"/>
          </w:tcPr>
          <w:p>
            <w:pPr>
              <w:pStyle w:val="MDPI42tablebody"/>
              <w:keepNext/>
              <w:spacing w:line="240" w:lineRule="auto" w:before="30" w:after="30"/>
              <w:jc w:val="center"/>
            </w:pPr>
            <w:r>
              <w:rPr>
                <w:b w:val="0"/>
                <w:i w:val="0"/>
                <w:sz w:val="18"/>
              </w:rPr>
              <w:t>(0.052)</w:t>
            </w:r>
          </w:p>
        </w:tc>
        <w:tc>
          <w:tcPr>
            <w:tcW w:type="dxa" w:w="1883"/>
          </w:tcPr>
          <w:p>
            <w:pPr>
              <w:pStyle w:val="MDPI42tablebody"/>
              <w:keepNext/>
              <w:spacing w:line="240" w:lineRule="auto" w:before="30" w:after="30"/>
              <w:jc w:val="center"/>
            </w:pPr>
            <w:r>
              <w:rPr>
                <w:b w:val="0"/>
                <w:i w:val="0"/>
                <w:sz w:val="18"/>
              </w:rPr>
              <w:t>(0.052)</w:t>
            </w:r>
          </w:p>
        </w:tc>
      </w:tr>
      <w:tr>
        <w:trPr>
          <w:cantSplit/>
        </w:trPr>
        <w:tc>
          <w:tcPr>
            <w:tcW w:type="dxa" w:w="2930"/>
          </w:tcPr>
          <w:p>
            <w:pPr>
              <w:pStyle w:val="MDPI42tablebody"/>
              <w:keepNext/>
              <w:spacing w:line="240" w:lineRule="auto" w:before="30" w:after="30"/>
              <w:jc w:val="left"/>
            </w:pPr>
            <w:r>
              <w:rPr>
                <w:b w:val="0"/>
                <w:i/>
                <w:sz w:val="18"/>
              </w:rPr>
              <w:t>A</w:t>
            </w:r>
            <w:r>
              <w:rPr>
                <w:b w:val="0"/>
                <w:i/>
                <w:sz w:val="18"/>
                <w:vertAlign w:val="superscript"/>
              </w:rPr>
              <w:t>p</w:t>
            </w:r>
          </w:p>
        </w:tc>
        <w:tc>
          <w:tcPr>
            <w:tcW w:type="dxa" w:w="1883"/>
          </w:tcPr>
          <w:p>
            <w:pPr>
              <w:pStyle w:val="MDPI42tablebody"/>
              <w:keepNext/>
              <w:spacing w:line="240" w:lineRule="auto" w:before="30" w:after="30"/>
              <w:jc w:val="center"/>
            </w:pPr>
            <w:r>
              <w:rPr>
                <w:b w:val="0"/>
                <w:i w:val="0"/>
                <w:sz w:val="18"/>
              </w:rPr>
              <w:t>0.334***</w:t>
            </w:r>
          </w:p>
        </w:tc>
        <w:tc>
          <w:tcPr>
            <w:tcW w:type="dxa" w:w="1883"/>
          </w:tcPr>
          <w:p>
            <w:pPr>
              <w:pStyle w:val="MDPI42tablebody"/>
              <w:keepNext/>
              <w:spacing w:line="240" w:lineRule="auto" w:before="30" w:after="30"/>
              <w:jc w:val="center"/>
            </w:pPr>
            <w:r>
              <w:rPr>
                <w:b w:val="0"/>
                <w:i w:val="0"/>
                <w:sz w:val="18"/>
              </w:rPr>
              <w:t>0.407***</w:t>
            </w:r>
          </w:p>
        </w:tc>
        <w:tc>
          <w:tcPr>
            <w:tcW w:type="dxa" w:w="1883"/>
          </w:tcPr>
          <w:p>
            <w:pPr>
              <w:pStyle w:val="MDPI42tablebody"/>
              <w:keepNext/>
              <w:spacing w:line="240" w:lineRule="auto" w:before="30" w:after="30"/>
              <w:jc w:val="center"/>
            </w:pPr>
            <w:r>
              <w:rPr>
                <w:b w:val="0"/>
                <w:i w:val="0"/>
                <w:sz w:val="18"/>
              </w:rPr>
              <w:t>0.409***</w:t>
            </w:r>
          </w:p>
        </w:tc>
        <w:tc>
          <w:tcPr>
            <w:tcW w:type="dxa" w:w="1883"/>
          </w:tcPr>
          <w:p>
            <w:pPr>
              <w:pStyle w:val="MDPI42tablebody"/>
              <w:keepNext/>
              <w:spacing w:line="240" w:lineRule="auto" w:before="30" w:after="30"/>
              <w:jc w:val="center"/>
            </w:pPr>
            <w:r>
              <w:rPr>
                <w:b w:val="0"/>
                <w:i w:val="0"/>
                <w:sz w:val="18"/>
              </w:rPr>
              <w:t>0.417***</w:t>
            </w:r>
          </w:p>
        </w:tc>
      </w:tr>
      <w:tr>
        <w:trPr>
          <w:cantSplit/>
        </w:trPr>
        <w:tc>
          <w:tcPr>
            <w:tcW w:type="dxa" w:w="2930"/>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(0.078)</w:t>
            </w:r>
          </w:p>
        </w:tc>
        <w:tc>
          <w:tcPr>
            <w:tcW w:type="dxa" w:w="1883"/>
          </w:tcPr>
          <w:p>
            <w:pPr>
              <w:pStyle w:val="MDPI42tablebody"/>
              <w:keepNext/>
              <w:spacing w:line="240" w:lineRule="auto" w:before="30" w:after="30"/>
              <w:jc w:val="center"/>
            </w:pPr>
            <w:r>
              <w:rPr>
                <w:b w:val="0"/>
                <w:i w:val="0"/>
                <w:sz w:val="18"/>
              </w:rPr>
              <w:t>(0.079)</w:t>
            </w:r>
          </w:p>
        </w:tc>
        <w:tc>
          <w:tcPr>
            <w:tcW w:type="dxa" w:w="1883"/>
          </w:tcPr>
          <w:p>
            <w:pPr>
              <w:pStyle w:val="MDPI42tablebody"/>
              <w:keepNext/>
              <w:spacing w:line="240" w:lineRule="auto" w:before="30" w:after="30"/>
              <w:jc w:val="center"/>
            </w:pPr>
            <w:r>
              <w:rPr>
                <w:b w:val="0"/>
                <w:i w:val="0"/>
                <w:sz w:val="18"/>
              </w:rPr>
              <w:t>(0.079)</w:t>
            </w:r>
          </w:p>
        </w:tc>
        <w:tc>
          <w:tcPr>
            <w:tcW w:type="dxa" w:w="1883"/>
          </w:tcPr>
          <w:p>
            <w:pPr>
              <w:pStyle w:val="MDPI42tablebody"/>
              <w:keepNext/>
              <w:spacing w:line="240" w:lineRule="auto" w:before="30" w:after="30"/>
              <w:jc w:val="center"/>
            </w:pPr>
            <w:r>
              <w:rPr>
                <w:b w:val="0"/>
                <w:i w:val="0"/>
                <w:sz w:val="18"/>
              </w:rPr>
              <w:t>(0.095)</w:t>
            </w:r>
          </w:p>
        </w:tc>
      </w:tr>
      <w:tr>
        <w:trPr>
          <w:cantSplit/>
        </w:trPr>
        <w:tc>
          <w:tcPr>
            <w:tcW w:type="dxa" w:w="2930"/>
          </w:tcPr>
          <w:p>
            <w:pPr>
              <w:pStyle w:val="MDPI42tablebody"/>
              <w:keepNext/>
              <w:spacing w:line="240" w:lineRule="auto" w:before="30" w:after="30"/>
              <w:jc w:val="left"/>
            </w:pPr>
            <w:r>
              <w:rPr>
                <w:b w:val="0"/>
                <w:i/>
                <w:sz w:val="18"/>
              </w:rPr>
              <w:t>Endogenous regressors</w:t>
            </w:r>
          </w:p>
        </w:tc>
        <w:tc>
          <w:tcPr>
            <w:tcW w:type="dxa" w:w="1883"/>
          </w:tcPr>
          <w:p>
            <w:pPr>
              <w:pStyle w:val="MDPI42tablebody"/>
              <w:keepNext/>
              <w:spacing w:line="240" w:lineRule="auto" w:before="30" w:after="30"/>
              <w:jc w:val="center"/>
            </w:pPr>
            <w:r>
              <w:rPr>
                <w:b w:val="0"/>
                <w:i w:val="0"/>
                <w:sz w:val="18"/>
              </w:rPr>
              <w:t>none</w:t>
            </w:r>
          </w:p>
        </w:tc>
        <w:tc>
          <w:tcPr>
            <w:tcW w:type="dxa" w:w="1883"/>
          </w:tcPr>
          <w:p>
            <w:pPr>
              <w:pStyle w:val="MDPI42tablebody"/>
              <w:keepNext/>
              <w:spacing w:line="240" w:lineRule="auto" w:before="30" w:after="30"/>
              <w:jc w:val="center"/>
            </w:pPr>
            <w:r>
              <w:rPr>
                <w:b w:val="0"/>
                <w:i w:val="0"/>
                <w:sz w:val="18"/>
              </w:rPr>
              <w:t>AI</w:t>
            </w:r>
          </w:p>
        </w:tc>
        <w:tc>
          <w:tcPr>
            <w:tcW w:type="dxa" w:w="1883"/>
          </w:tcPr>
          <w:p>
            <w:pPr>
              <w:pStyle w:val="MDPI42tablebody"/>
              <w:keepNext/>
              <w:spacing w:line="240" w:lineRule="auto" w:before="30" w:after="30"/>
              <w:jc w:val="center"/>
            </w:pPr>
            <w:r>
              <w:rPr>
                <w:b w:val="0"/>
                <w:i w:val="0"/>
                <w:sz w:val="18"/>
              </w:rPr>
              <w:t>AI, DownAI</w:t>
            </w:r>
          </w:p>
        </w:tc>
        <w:tc>
          <w:tcPr>
            <w:tcW w:type="dxa" w:w="1883"/>
          </w:tcPr>
          <w:p>
            <w:pPr>
              <w:pStyle w:val="MDPI42tablebody"/>
              <w:keepNext/>
              <w:spacing w:line="240" w:lineRule="auto" w:before="30" w:after="30"/>
              <w:jc w:val="center"/>
            </w:pPr>
            <w:r>
              <w:rPr>
                <w:b w:val="0"/>
                <w:i w:val="0"/>
                <w:sz w:val="18"/>
              </w:rPr>
              <w:t>AI and all three lags</w:t>
            </w:r>
          </w:p>
        </w:tc>
      </w:tr>
      <w:tr>
        <w:trPr>
          <w:cantSplit/>
        </w:trPr>
        <w:tc>
          <w:tcPr>
            <w:tcW w:type="dxa" w:w="2930"/>
          </w:tcPr>
          <w:p>
            <w:pPr>
              <w:pStyle w:val="MDPI42tablebody"/>
              <w:keepNext/>
              <w:spacing w:line="240" w:lineRule="auto" w:before="30" w:after="30"/>
              <w:jc w:val="left"/>
            </w:pPr>
            <w:r>
              <w:rPr>
                <w:b w:val="0"/>
                <w:i/>
                <w:sz w:val="18"/>
              </w:rPr>
              <w:t>Kleibergen–Paap rk Wald F</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r>
              <w:rPr>
                <w:b w:val="0"/>
                <w:i w:val="0"/>
                <w:sz w:val="18"/>
              </w:rPr>
              <w:t>6591.3</w:t>
            </w:r>
          </w:p>
        </w:tc>
        <w:tc>
          <w:tcPr>
            <w:tcW w:type="dxa" w:w="1883"/>
          </w:tcPr>
          <w:p>
            <w:pPr>
              <w:pStyle w:val="MDPI42tablebody"/>
              <w:keepNext/>
              <w:spacing w:line="240" w:lineRule="auto" w:before="30" w:after="30"/>
              <w:jc w:val="center"/>
            </w:pPr>
            <w:r>
              <w:rPr>
                <w:b w:val="0"/>
                <w:i w:val="0"/>
                <w:sz w:val="18"/>
              </w:rPr>
              <w:t>3379.2</w:t>
            </w:r>
          </w:p>
        </w:tc>
        <w:tc>
          <w:tcPr>
            <w:tcW w:type="dxa" w:w="1883"/>
          </w:tcPr>
          <w:p>
            <w:pPr>
              <w:pStyle w:val="MDPI42tablebody"/>
              <w:keepNext/>
              <w:spacing w:line="240" w:lineRule="auto" w:before="30" w:after="30"/>
              <w:jc w:val="center"/>
            </w:pPr>
            <w:r>
              <w:rPr>
                <w:b w:val="0"/>
                <w:i w:val="0"/>
                <w:sz w:val="18"/>
              </w:rPr>
              <w:t>1783.9</w:t>
            </w:r>
          </w:p>
        </w:tc>
      </w:tr>
      <w:tr>
        <w:trPr>
          <w:cantSplit/>
        </w:trPr>
        <w:tc>
          <w:tcPr>
            <w:tcW w:type="dxa" w:w="2930"/>
          </w:tcPr>
          <w:p>
            <w:pPr>
              <w:pStyle w:val="MDPI42tablebody"/>
              <w:keepNext/>
              <w:spacing w:line="240" w:lineRule="auto" w:before="30" w:after="30"/>
              <w:jc w:val="left"/>
            </w:pPr>
            <w:r>
              <w:rPr>
                <w:b w:val="0"/>
                <w:i/>
                <w:sz w:val="18"/>
              </w:rPr>
              <w:t>Hansen J (p)</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r>
              <w:rPr>
                <w:b w:val="0"/>
                <w:i w:val="0"/>
                <w:sz w:val="18"/>
              </w:rPr>
              <w:t>0.230</w:t>
            </w:r>
          </w:p>
        </w:tc>
        <w:tc>
          <w:tcPr>
            <w:tcW w:type="dxa" w:w="1883"/>
          </w:tcPr>
          <w:p>
            <w:pPr>
              <w:pStyle w:val="MDPI42tablebody"/>
              <w:keepNext/>
              <w:spacing w:line="240" w:lineRule="auto" w:before="30" w:after="30"/>
              <w:jc w:val="center"/>
            </w:pPr>
            <w:r>
              <w:rPr>
                <w:b w:val="0"/>
                <w:i w:val="0"/>
                <w:sz w:val="18"/>
              </w:rPr>
              <w:t>0.262</w:t>
            </w:r>
          </w:p>
        </w:tc>
        <w:tc>
          <w:tcPr>
            <w:tcW w:type="dxa" w:w="1883"/>
          </w:tcPr>
          <w:p>
            <w:pPr>
              <w:pStyle w:val="MDPI42tablebody"/>
              <w:keepNext/>
              <w:spacing w:line="240" w:lineRule="auto" w:before="30" w:after="30"/>
              <w:jc w:val="center"/>
            </w:pPr>
            <w:r>
              <w:rPr>
                <w:b w:val="0"/>
                <w:i w:val="0"/>
                <w:sz w:val="18"/>
              </w:rPr>
              <w:t>0.581</w:t>
            </w:r>
          </w:p>
        </w:tc>
      </w:tr>
      <w:tr>
        <w:trPr>
          <w:cantSplit/>
        </w:trPr>
        <w:tc>
          <w:tcPr>
            <w:tcW w:type="dxa" w:w="2930"/>
          </w:tcPr>
          <w:p>
            <w:pPr>
              <w:pStyle w:val="MDPI42tablebody"/>
              <w:keepNext/>
              <w:spacing w:line="240" w:lineRule="auto" w:before="30" w:after="30"/>
              <w:jc w:val="left"/>
            </w:pPr>
            <w:r>
              <w:rPr>
                <w:b w:val="0"/>
                <w:i/>
                <w:sz w:val="18"/>
              </w:rPr>
              <w:t>Wu–Hausman (p)</w:t>
            </w:r>
          </w:p>
        </w:tc>
        <w:tc>
          <w:tcPr>
            <w:tcW w:type="dxa" w:w="1883"/>
          </w:tcPr>
          <w:p>
            <w:pPr>
              <w:pStyle w:val="MDPI42tablebody"/>
              <w:keepNext/>
              <w:spacing w:line="240" w:lineRule="auto" w:before="30" w:after="30"/>
              <w:jc w:val="center"/>
            </w:pPr>
          </w:p>
        </w:tc>
        <w:tc>
          <w:tcPr>
            <w:tcW w:type="dxa" w:w="1883"/>
          </w:tcPr>
          <w:p>
            <w:pPr>
              <w:pStyle w:val="MDPI42tablebody"/>
              <w:keepNext/>
              <w:spacing w:line="240" w:lineRule="auto" w:before="30" w:after="30"/>
              <w:jc w:val="center"/>
            </w:pPr>
            <w:r>
              <w:rPr>
                <w:b w:val="0"/>
                <w:i w:val="0"/>
                <w:sz w:val="18"/>
              </w:rPr>
              <w:t>0.0000</w:t>
            </w:r>
          </w:p>
        </w:tc>
        <w:tc>
          <w:tcPr>
            <w:tcW w:type="dxa" w:w="1883"/>
          </w:tcPr>
          <w:p>
            <w:pPr>
              <w:pStyle w:val="MDPI42tablebody"/>
              <w:keepNext/>
              <w:spacing w:line="240" w:lineRule="auto" w:before="30" w:after="30"/>
              <w:jc w:val="center"/>
            </w:pPr>
            <w:r>
              <w:rPr>
                <w:b w:val="0"/>
                <w:i w:val="0"/>
                <w:sz w:val="18"/>
              </w:rPr>
              <w:t>0.0000</w:t>
            </w:r>
          </w:p>
        </w:tc>
        <w:tc>
          <w:tcPr>
            <w:tcW w:type="dxa" w:w="1883"/>
          </w:tcPr>
          <w:p>
            <w:pPr>
              <w:pStyle w:val="MDPI42tablebody"/>
              <w:keepNext/>
              <w:spacing w:line="240" w:lineRule="auto" w:before="30" w:after="30"/>
              <w:jc w:val="center"/>
            </w:pPr>
            <w:r>
              <w:rPr>
                <w:b w:val="0"/>
                <w:i w:val="0"/>
                <w:sz w:val="18"/>
              </w:rPr>
              <w:t>0.0000</w:t>
            </w:r>
          </w:p>
        </w:tc>
      </w:tr>
      <w:tr>
        <w:trPr>
          <w:cantSplit/>
        </w:trPr>
        <w:tc>
          <w:tcPr>
            <w:tcW w:type="dxa" w:w="2930"/>
          </w:tcPr>
          <w:p>
            <w:pPr>
              <w:pStyle w:val="MDPI42tablebody"/>
              <w:keepNext/>
              <w:spacing w:line="240" w:lineRule="auto" w:before="30" w:after="30"/>
              <w:jc w:val="left"/>
            </w:pPr>
            <w:r>
              <w:rPr>
                <w:b w:val="0"/>
                <w:i/>
                <w:sz w:val="18"/>
              </w:rPr>
              <w:t>Controls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r>
      <w:tr>
        <w:trPr>
          <w:cantSplit/>
        </w:trPr>
        <w:tc>
          <w:tcPr>
            <w:tcW w:type="dxa" w:w="2930"/>
          </w:tcPr>
          <w:p>
            <w:pPr>
              <w:pStyle w:val="MDPI42tablebody"/>
              <w:keepNext/>
              <w:spacing w:line="240" w:lineRule="auto" w:before="30" w:after="30"/>
              <w:jc w:val="left"/>
            </w:pPr>
            <w:r>
              <w:rPr>
                <w:b w:val="0"/>
                <w:i/>
                <w:sz w:val="18"/>
              </w:rPr>
              <w:t>Firm FE</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r>
      <w:tr>
        <w:trPr>
          <w:cantSplit/>
        </w:trPr>
        <w:tc>
          <w:tcPr>
            <w:tcW w:type="dxa" w:w="2930"/>
          </w:tcPr>
          <w:p>
            <w:pPr>
              <w:pStyle w:val="MDPI42tablebody"/>
              <w:keepNext/>
              <w:spacing w:line="240" w:lineRule="auto" w:before="30" w:after="30"/>
              <w:jc w:val="left"/>
            </w:pPr>
            <w:r>
              <w:rPr>
                <w:b w:val="0"/>
                <w:i/>
                <w:sz w:val="18"/>
              </w:rPr>
              <w:t>Year FE</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c>
          <w:tcPr>
            <w:tcW w:type="dxa" w:w="1883"/>
          </w:tcPr>
          <w:p>
            <w:pPr>
              <w:pStyle w:val="MDPI42tablebody"/>
              <w:keepNext/>
              <w:spacing w:line="240" w:lineRule="auto" w:before="30" w:after="30"/>
              <w:jc w:val="center"/>
            </w:pPr>
            <w:r>
              <w:rPr>
                <w:b w:val="0"/>
                <w:i w:val="0"/>
                <w:sz w:val="18"/>
              </w:rPr>
              <w:t>Yes</w:t>
            </w:r>
          </w:p>
        </w:tc>
      </w:tr>
      <w:tr>
        <w:trPr>
          <w:cantSplit/>
        </w:trPr>
        <w:tc>
          <w:tcPr>
            <w:tcW w:type="dxa" w:w="2930"/>
          </w:tcPr>
          <w:p>
            <w:pPr>
              <w:pStyle w:val="MDPI42tablebody"/>
              <w:spacing w:line="240" w:lineRule="auto" w:before="30" w:after="30"/>
              <w:jc w:val="left"/>
            </w:pPr>
            <w:r>
              <w:rPr>
                <w:b w:val="0"/>
                <w:i/>
                <w:sz w:val="18"/>
              </w:rPr>
              <w:t>Observations</w:t>
            </w:r>
          </w:p>
        </w:tc>
        <w:tc>
          <w:tcPr>
            <w:tcW w:type="dxa" w:w="1883"/>
          </w:tcPr>
          <w:p>
            <w:pPr>
              <w:pStyle w:val="MDPI42tablebody"/>
              <w:spacing w:line="240" w:lineRule="auto" w:before="30" w:after="30"/>
              <w:jc w:val="center"/>
            </w:pPr>
            <w:r>
              <w:rPr>
                <w:b w:val="0"/>
                <w:i w:val="0"/>
                <w:sz w:val="18"/>
              </w:rPr>
              <w:t>26,115</w:t>
            </w:r>
          </w:p>
        </w:tc>
        <w:tc>
          <w:tcPr>
            <w:tcW w:type="dxa" w:w="1883"/>
          </w:tcPr>
          <w:p>
            <w:pPr>
              <w:pStyle w:val="MDPI42tablebody"/>
              <w:spacing w:line="240" w:lineRule="auto" w:before="30" w:after="30"/>
              <w:jc w:val="center"/>
            </w:pPr>
            <w:r>
              <w:rPr>
                <w:b w:val="0"/>
                <w:i w:val="0"/>
                <w:sz w:val="18"/>
              </w:rPr>
              <w:t>26,115</w:t>
            </w:r>
          </w:p>
        </w:tc>
        <w:tc>
          <w:tcPr>
            <w:tcW w:type="dxa" w:w="1883"/>
          </w:tcPr>
          <w:p>
            <w:pPr>
              <w:pStyle w:val="MDPI42tablebody"/>
              <w:spacing w:line="240" w:lineRule="auto" w:before="30" w:after="30"/>
              <w:jc w:val="center"/>
            </w:pPr>
            <w:r>
              <w:rPr>
                <w:b w:val="0"/>
                <w:i w:val="0"/>
                <w:sz w:val="18"/>
              </w:rPr>
              <w:t>26,115</w:t>
            </w:r>
          </w:p>
        </w:tc>
        <w:tc>
          <w:tcPr>
            <w:tcW w:type="dxa" w:w="1883"/>
          </w:tcPr>
          <w:p>
            <w:pPr>
              <w:pStyle w:val="MDPI42tablebody"/>
              <w:spacing w:line="240" w:lineRule="auto" w:before="30" w:after="30"/>
              <w:jc w:val="center"/>
            </w:pPr>
            <w:r>
              <w:rPr>
                <w:b w:val="0"/>
                <w:i w:val="0"/>
                <w:sz w:val="18"/>
              </w:rPr>
              <w:t>26,115</w:t>
            </w:r>
          </w:p>
        </w:tc>
      </w:tr>
    </w:tbl>
    <w:p>
      <w:pPr>
        <w:pStyle w:val="MDPI43tablefooter"/>
        <w:spacing w:line="240" w:lineRule="auto" w:before="40" w:after="200"/>
        <w:ind w:left="2608" w:firstLine="0"/>
      </w:pPr>
      <w:r>
        <w:rPr>
          <w:sz w:val="16"/>
        </w:rPr>
        <w:t xml:space="preserve">Note: </w:t>
      </w:r>
      <w:r>
        <w:rPr>
          <w:b w:val="0"/>
          <w:i w:val="0"/>
          <w:sz w:val="16"/>
        </w:rPr>
        <w:t>The dependent variable is the youth employment share. Column (1) is least squares; columns (2) to (4) instrument the adoption terms named in the row “Endogenous regressors” with shift-share terms built from pre-sample occupational exposure and with the second- and third-order network lags of adoption. Standard errors clustered at the firm level are in parentheses. ***, ** and * denote significance at the 1%, 5% and 10% levels.</w:t>
      </w:r>
    </w:p>
    <w:p>
      <w:pPr>
        <w:pStyle w:val="MDPI22heading2"/>
      </w:pPr>
      <w:r>
        <w:t>4.7. From Firms to Cities: Reallocation or Destruction?</w:t>
      </w:r>
    </w:p>
    <w:p>
      <w:pPr>
        <w:pStyle w:val="MDPI32textnoindent"/>
      </w:pPr>
      <w:r>
        <w:rPr>
          <w:b w:val="0"/>
          <w:i w:val="0"/>
        </w:rPr>
        <w:t>If the positive local coefficient in Table 5 is reallocation, then the same regression estimated on city aggregates must find a smaller number than the firm-level regression, because within a city the losses of the adopters and the gains of the non-adopters partly cancel. Table 8 estimates the same specification at three levels of the system.</w:t>
      </w:r>
    </w:p>
    <w:p>
      <w:pPr>
        <w:pStyle w:val="MDPI31text"/>
      </w:pPr>
      <w:r>
        <w:rPr>
          <w:b w:val="0"/>
          <w:i w:val="0"/>
        </w:rPr>
        <w:t>At the firm level the coefficient is −0.434. At the city level it is −0.222 (0.095, p = 0.019) — still negative, still significant, but only 51% as large. The implied reallocation share is 49%: about half of what the firm-level regression records as youth employment destroyed is youth employment that moved to another employer in the same city. At the industry level the coefficient is −0.493, close to the firm-level estimate, which is what one expects if reallocation is geographic rather than sectoral — displaced graduates find work in the same city, not in the same industry. The city-level coefficient for the experienced share is −0.056 and insignificant (p = 0.514), so the local market is reallocating young workers specifically.</w:t>
      </w:r>
    </w:p>
    <w:p>
      <w:pPr>
        <w:pStyle w:val="MDPI31text"/>
      </w:pPr>
      <w:r>
        <w:rPr>
          <w:b w:val="0"/>
          <w:i w:val="0"/>
        </w:rPr>
        <w:t>The last rows of Table 8 put the two halves of the argument side by side. The system-level total impact is −1.313, which is 3.02 times the firm-level estimate; the city-level estimate is about half of it. The firm-level coefficient is therefore not a lower bound on the aggregate effect, as a reader who thinks only about spillovers might assume, and not an upper bound either, as a reader who thinks only about reallocation might assume. It is a different quantity from both, and which direction it errs in depends entirely on the boundary the question draws around the system. A municipal government asking what generative AI is doing to its graduates should use something near −0.222; a ministry asking what it is doing to the cohort should use something near −1.313.</w:t>
      </w:r>
    </w:p>
    <w:p>
      <w:pPr>
        <w:pStyle w:val="MDPI41tablecaption"/>
        <w:keepNext/>
        <w:spacing w:after="60"/>
      </w:pPr>
      <w:r>
        <w:rPr>
          <w:b/>
          <w:sz w:val="18"/>
        </w:rPr>
        <w:t xml:space="preserve">Table 8. </w:t>
      </w:r>
      <w:r>
        <w:rPr>
          <w:b w:val="0"/>
          <w:i w:val="0"/>
          <w:sz w:val="18"/>
        </w:rPr>
        <w:t>The same coefficient at three levels of the system.</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558"/>
        <w:gridCol w:w="1779"/>
        <w:gridCol w:w="1360"/>
        <w:gridCol w:w="1360"/>
        <w:gridCol w:w="1255"/>
        <w:gridCol w:w="1151"/>
      </w:tblGrid>
      <w:tr>
        <w:trPr>
          <w:cantSplit/>
          <w:tblHeader/>
        </w:trPr>
        <w:tc>
          <w:tcPr>
            <w:tcW w:type="dxa" w:w="3558"/>
            <w:tcBorders>
              <w:bottom w:val="single" w:sz="8" w:space="0" w:color="auto"/>
            </w:tcBorders>
          </w:tcPr>
          <w:p>
            <w:pPr>
              <w:pStyle w:val="MDPI42tablebody"/>
              <w:keepNext/>
              <w:spacing w:line="240" w:lineRule="auto" w:before="30" w:after="30"/>
              <w:jc w:val="center"/>
            </w:pPr>
            <w:r>
              <w:rPr>
                <w:b/>
                <w:i w:val="0"/>
                <w:sz w:val="18"/>
              </w:rPr>
              <w:t>Level of aggregation</w:t>
            </w:r>
          </w:p>
        </w:tc>
        <w:tc>
          <w:tcPr>
            <w:tcW w:type="dxa" w:w="1779"/>
            <w:tcBorders>
              <w:bottom w:val="single" w:sz="8" w:space="0" w:color="auto"/>
            </w:tcBorders>
          </w:tcPr>
          <w:p>
            <w:pPr>
              <w:pStyle w:val="MDPI42tablebody"/>
              <w:keepNext/>
              <w:spacing w:line="240" w:lineRule="auto" w:before="30" w:after="30"/>
              <w:jc w:val="center"/>
            </w:pPr>
            <w:r>
              <w:rPr>
                <w:b/>
                <w:i w:val="0"/>
                <w:sz w:val="18"/>
              </w:rPr>
              <w:t>Unit</w:t>
            </w:r>
          </w:p>
        </w:tc>
        <w:tc>
          <w:tcPr>
            <w:tcW w:type="dxa" w:w="1360"/>
            <w:tcBorders>
              <w:bottom w:val="single" w:sz="8" w:space="0" w:color="auto"/>
            </w:tcBorders>
          </w:tcPr>
          <w:p>
            <w:pPr>
              <w:pStyle w:val="MDPI42tablebody"/>
              <w:keepNext/>
              <w:spacing w:line="240" w:lineRule="auto" w:before="30" w:after="30"/>
              <w:jc w:val="center"/>
            </w:pPr>
            <w:r>
              <w:rPr>
                <w:b/>
                <w:i w:val="0"/>
                <w:sz w:val="18"/>
              </w:rPr>
              <w:t>A</w:t>
            </w:r>
          </w:p>
        </w:tc>
        <w:tc>
          <w:tcPr>
            <w:tcW w:type="dxa" w:w="1360"/>
            <w:tcBorders>
              <w:bottom w:val="single" w:sz="8" w:space="0" w:color="auto"/>
            </w:tcBorders>
          </w:tcPr>
          <w:p>
            <w:pPr>
              <w:pStyle w:val="MDPI42tablebody"/>
              <w:keepNext/>
              <w:spacing w:line="240" w:lineRule="auto" w:before="30" w:after="30"/>
              <w:jc w:val="center"/>
            </w:pPr>
            <w:r>
              <w:rPr>
                <w:b/>
                <w:i w:val="0"/>
                <w:sz w:val="18"/>
              </w:rPr>
              <w:t>SE</w:t>
            </w:r>
          </w:p>
        </w:tc>
        <w:tc>
          <w:tcPr>
            <w:tcW w:type="dxa" w:w="1255"/>
            <w:tcBorders>
              <w:bottom w:val="single" w:sz="8" w:space="0" w:color="auto"/>
            </w:tcBorders>
          </w:tcPr>
          <w:p>
            <w:pPr>
              <w:pStyle w:val="MDPI42tablebody"/>
              <w:keepNext/>
              <w:spacing w:line="240" w:lineRule="auto" w:before="30" w:after="30"/>
              <w:jc w:val="center"/>
            </w:pPr>
            <w:r>
              <w:rPr>
                <w:b/>
                <w:i w:val="0"/>
                <w:sz w:val="18"/>
              </w:rPr>
              <w:t>N</w:t>
            </w:r>
          </w:p>
        </w:tc>
        <w:tc>
          <w:tcPr>
            <w:tcW w:type="dxa" w:w="1151"/>
            <w:tcBorders>
              <w:bottom w:val="single" w:sz="8" w:space="0" w:color="auto"/>
            </w:tcBorders>
          </w:tcPr>
          <w:p>
            <w:pPr>
              <w:pStyle w:val="MDPI42tablebody"/>
              <w:keepNext/>
              <w:spacing w:line="240" w:lineRule="auto" w:before="30" w:after="30"/>
              <w:jc w:val="center"/>
            </w:pPr>
            <w:r>
              <w:rPr>
                <w:b/>
                <w:i w:val="0"/>
                <w:sz w:val="18"/>
              </w:rPr>
              <w:t>Within R²</w:t>
            </w:r>
          </w:p>
        </w:tc>
      </w:tr>
      <w:tr>
        <w:trPr>
          <w:cantSplit/>
        </w:trPr>
        <w:tc>
          <w:tcPr>
            <w:tcW w:type="dxa" w:w="3558"/>
          </w:tcPr>
          <w:p>
            <w:pPr>
              <w:pStyle w:val="MDPI42tablebody"/>
              <w:keepNext/>
              <w:spacing w:line="240" w:lineRule="auto" w:before="30" w:after="30"/>
              <w:jc w:val="left"/>
            </w:pPr>
            <w:r>
              <w:rPr>
                <w:b w:val="0"/>
                <w:i w:val="0"/>
                <w:sz w:val="18"/>
              </w:rPr>
              <w:t>Firm</w:t>
            </w:r>
          </w:p>
        </w:tc>
        <w:tc>
          <w:tcPr>
            <w:tcW w:type="dxa" w:w="1779"/>
          </w:tcPr>
          <w:p>
            <w:pPr>
              <w:pStyle w:val="MDPI42tablebody"/>
              <w:keepNext/>
              <w:spacing w:line="240" w:lineRule="auto" w:before="30" w:after="30"/>
              <w:jc w:val="left"/>
            </w:pPr>
            <w:r>
              <w:rPr>
                <w:b w:val="0"/>
                <w:i w:val="0"/>
                <w:sz w:val="18"/>
              </w:rPr>
              <w:t>firm-year</w:t>
            </w:r>
          </w:p>
        </w:tc>
        <w:tc>
          <w:tcPr>
            <w:tcW w:type="dxa" w:w="1360"/>
          </w:tcPr>
          <w:p>
            <w:pPr>
              <w:pStyle w:val="MDPI42tablebody"/>
              <w:keepNext/>
              <w:spacing w:line="240" w:lineRule="auto" w:before="30" w:after="30"/>
              <w:jc w:val="center"/>
            </w:pPr>
            <w:r>
              <w:rPr>
                <w:b w:val="0"/>
                <w:i w:val="0"/>
                <w:sz w:val="18"/>
              </w:rPr>
              <w:t>−0.434***</w:t>
            </w:r>
          </w:p>
        </w:tc>
        <w:tc>
          <w:tcPr>
            <w:tcW w:type="dxa" w:w="1360"/>
          </w:tcPr>
          <w:p>
            <w:pPr>
              <w:pStyle w:val="MDPI42tablebody"/>
              <w:keepNext/>
              <w:spacing w:line="240" w:lineRule="auto" w:before="30" w:after="30"/>
              <w:jc w:val="center"/>
            </w:pPr>
            <w:r>
              <w:rPr>
                <w:b w:val="0"/>
                <w:i w:val="0"/>
                <w:sz w:val="18"/>
              </w:rPr>
              <w:t>(0.018)</w:t>
            </w:r>
          </w:p>
        </w:tc>
        <w:tc>
          <w:tcPr>
            <w:tcW w:type="dxa" w:w="1255"/>
          </w:tcPr>
          <w:p>
            <w:pPr>
              <w:pStyle w:val="MDPI42tablebody"/>
              <w:keepNext/>
              <w:spacing w:line="240" w:lineRule="auto" w:before="30" w:after="30"/>
              <w:jc w:val="center"/>
            </w:pPr>
            <w:r>
              <w:rPr>
                <w:b w:val="0"/>
                <w:i w:val="0"/>
                <w:sz w:val="18"/>
              </w:rPr>
              <w:t>26,115</w:t>
            </w:r>
          </w:p>
        </w:tc>
        <w:tc>
          <w:tcPr>
            <w:tcW w:type="dxa" w:w="1151"/>
          </w:tcPr>
          <w:p>
            <w:pPr>
              <w:pStyle w:val="MDPI42tablebody"/>
              <w:keepNext/>
              <w:spacing w:line="240" w:lineRule="auto" w:before="30" w:after="30"/>
              <w:jc w:val="center"/>
            </w:pPr>
            <w:r>
              <w:rPr>
                <w:b w:val="0"/>
                <w:i w:val="0"/>
                <w:sz w:val="18"/>
              </w:rPr>
              <w:t>0.097</w:t>
            </w:r>
          </w:p>
        </w:tc>
      </w:tr>
      <w:tr>
        <w:trPr>
          <w:cantSplit/>
        </w:trPr>
        <w:tc>
          <w:tcPr>
            <w:tcW w:type="dxa" w:w="3558"/>
          </w:tcPr>
          <w:p>
            <w:pPr>
              <w:pStyle w:val="MDPI42tablebody"/>
              <w:keepNext/>
              <w:spacing w:line="240" w:lineRule="auto" w:before="30" w:after="30"/>
              <w:jc w:val="left"/>
            </w:pPr>
            <w:r>
              <w:rPr>
                <w:b w:val="0"/>
                <w:i w:val="0"/>
                <w:sz w:val="18"/>
              </w:rPr>
              <w:t>Firm, network lags included</w:t>
            </w:r>
          </w:p>
        </w:tc>
        <w:tc>
          <w:tcPr>
            <w:tcW w:type="dxa" w:w="1779"/>
          </w:tcPr>
          <w:p>
            <w:pPr>
              <w:pStyle w:val="MDPI42tablebody"/>
              <w:keepNext/>
              <w:spacing w:line="240" w:lineRule="auto" w:before="30" w:after="30"/>
              <w:jc w:val="left"/>
            </w:pPr>
            <w:r>
              <w:rPr>
                <w:b w:val="0"/>
                <w:i w:val="0"/>
                <w:sz w:val="18"/>
              </w:rPr>
              <w:t>firm-year</w:t>
            </w:r>
          </w:p>
        </w:tc>
        <w:tc>
          <w:tcPr>
            <w:tcW w:type="dxa" w:w="1360"/>
          </w:tcPr>
          <w:p>
            <w:pPr>
              <w:pStyle w:val="MDPI42tablebody"/>
              <w:keepNext/>
              <w:spacing w:line="240" w:lineRule="auto" w:before="30" w:after="30"/>
              <w:jc w:val="center"/>
            </w:pPr>
            <w:r>
              <w:rPr>
                <w:b w:val="0"/>
                <w:i w:val="0"/>
                <w:sz w:val="18"/>
              </w:rPr>
              <w:t>−0.422***</w:t>
            </w:r>
          </w:p>
        </w:tc>
        <w:tc>
          <w:tcPr>
            <w:tcW w:type="dxa" w:w="1360"/>
          </w:tcPr>
          <w:p>
            <w:pPr>
              <w:pStyle w:val="MDPI42tablebody"/>
              <w:keepNext/>
              <w:spacing w:line="240" w:lineRule="auto" w:before="30" w:after="30"/>
              <w:jc w:val="center"/>
            </w:pPr>
            <w:r>
              <w:rPr>
                <w:b w:val="0"/>
                <w:i w:val="0"/>
                <w:sz w:val="18"/>
              </w:rPr>
              <w:t>(0.018)</w:t>
            </w:r>
          </w:p>
        </w:tc>
        <w:tc>
          <w:tcPr>
            <w:tcW w:type="dxa" w:w="1255"/>
          </w:tcPr>
          <w:p>
            <w:pPr>
              <w:pStyle w:val="MDPI42tablebody"/>
              <w:keepNext/>
              <w:spacing w:line="240" w:lineRule="auto" w:before="30" w:after="30"/>
              <w:jc w:val="center"/>
            </w:pPr>
            <w:r>
              <w:rPr>
                <w:b w:val="0"/>
                <w:i w:val="0"/>
                <w:sz w:val="18"/>
              </w:rPr>
              <w:t>26,115</w:t>
            </w:r>
          </w:p>
        </w:tc>
        <w:tc>
          <w:tcPr>
            <w:tcW w:type="dxa" w:w="1151"/>
          </w:tcPr>
          <w:p>
            <w:pPr>
              <w:pStyle w:val="MDPI42tablebody"/>
              <w:keepNext/>
              <w:spacing w:line="240" w:lineRule="auto" w:before="30" w:after="30"/>
              <w:jc w:val="center"/>
            </w:pPr>
            <w:r>
              <w:rPr>
                <w:b w:val="0"/>
                <w:i w:val="0"/>
                <w:sz w:val="18"/>
              </w:rPr>
              <w:t>0.107</w:t>
            </w:r>
          </w:p>
        </w:tc>
      </w:tr>
      <w:tr>
        <w:trPr>
          <w:cantSplit/>
        </w:trPr>
        <w:tc>
          <w:tcPr>
            <w:tcW w:type="dxa" w:w="3558"/>
          </w:tcPr>
          <w:p>
            <w:pPr>
              <w:pStyle w:val="MDPI42tablebody"/>
              <w:keepNext/>
              <w:spacing w:line="240" w:lineRule="auto" w:before="30" w:after="30"/>
              <w:jc w:val="left"/>
            </w:pPr>
            <w:r>
              <w:rPr>
                <w:b w:val="0"/>
                <w:i w:val="0"/>
                <w:sz w:val="18"/>
              </w:rPr>
              <w:t>City</w:t>
            </w:r>
          </w:p>
        </w:tc>
        <w:tc>
          <w:tcPr>
            <w:tcW w:type="dxa" w:w="1779"/>
          </w:tcPr>
          <w:p>
            <w:pPr>
              <w:pStyle w:val="MDPI42tablebody"/>
              <w:keepNext/>
              <w:spacing w:line="240" w:lineRule="auto" w:before="30" w:after="30"/>
              <w:jc w:val="left"/>
            </w:pPr>
            <w:r>
              <w:rPr>
                <w:b w:val="0"/>
                <w:i w:val="0"/>
                <w:sz w:val="18"/>
              </w:rPr>
              <w:t>city-year</w:t>
            </w:r>
          </w:p>
        </w:tc>
        <w:tc>
          <w:tcPr>
            <w:tcW w:type="dxa" w:w="1360"/>
          </w:tcPr>
          <w:p>
            <w:pPr>
              <w:pStyle w:val="MDPI42tablebody"/>
              <w:keepNext/>
              <w:spacing w:line="240" w:lineRule="auto" w:before="30" w:after="30"/>
              <w:jc w:val="center"/>
            </w:pPr>
            <w:r>
              <w:rPr>
                <w:b w:val="0"/>
                <w:i w:val="0"/>
                <w:sz w:val="18"/>
              </w:rPr>
              <w:t>−0.222**</w:t>
            </w:r>
          </w:p>
        </w:tc>
        <w:tc>
          <w:tcPr>
            <w:tcW w:type="dxa" w:w="1360"/>
          </w:tcPr>
          <w:p>
            <w:pPr>
              <w:pStyle w:val="MDPI42tablebody"/>
              <w:keepNext/>
              <w:spacing w:line="240" w:lineRule="auto" w:before="30" w:after="30"/>
              <w:jc w:val="center"/>
            </w:pPr>
            <w:r>
              <w:rPr>
                <w:b w:val="0"/>
                <w:i w:val="0"/>
                <w:sz w:val="18"/>
              </w:rPr>
              <w:t>(0.095)</w:t>
            </w:r>
          </w:p>
        </w:tc>
        <w:tc>
          <w:tcPr>
            <w:tcW w:type="dxa" w:w="1255"/>
          </w:tcPr>
          <w:p>
            <w:pPr>
              <w:pStyle w:val="MDPI42tablebody"/>
              <w:keepNext/>
              <w:spacing w:line="240" w:lineRule="auto" w:before="30" w:after="30"/>
              <w:jc w:val="center"/>
            </w:pPr>
            <w:r>
              <w:rPr>
                <w:b w:val="0"/>
                <w:i w:val="0"/>
                <w:sz w:val="18"/>
              </w:rPr>
              <w:t>600</w:t>
            </w:r>
          </w:p>
        </w:tc>
        <w:tc>
          <w:tcPr>
            <w:tcW w:type="dxa" w:w="1151"/>
          </w:tcPr>
          <w:p>
            <w:pPr>
              <w:pStyle w:val="MDPI42tablebody"/>
              <w:keepNext/>
              <w:spacing w:line="240" w:lineRule="auto" w:before="30" w:after="30"/>
              <w:jc w:val="center"/>
            </w:pPr>
            <w:r>
              <w:rPr>
                <w:b w:val="0"/>
                <w:i w:val="0"/>
                <w:sz w:val="18"/>
              </w:rPr>
              <w:t>0.110</w:t>
            </w:r>
          </w:p>
        </w:tc>
      </w:tr>
      <w:tr>
        <w:trPr>
          <w:cantSplit/>
        </w:trPr>
        <w:tc>
          <w:tcPr>
            <w:tcW w:type="dxa" w:w="3558"/>
          </w:tcPr>
          <w:p>
            <w:pPr>
              <w:pStyle w:val="MDPI42tablebody"/>
              <w:keepNext/>
              <w:spacing w:line="240" w:lineRule="auto" w:before="30" w:after="30"/>
              <w:jc w:val="left"/>
            </w:pPr>
            <w:r>
              <w:rPr>
                <w:b w:val="0"/>
                <w:i w:val="0"/>
                <w:sz w:val="18"/>
              </w:rPr>
              <w:t>Industry</w:t>
            </w:r>
          </w:p>
        </w:tc>
        <w:tc>
          <w:tcPr>
            <w:tcW w:type="dxa" w:w="1779"/>
          </w:tcPr>
          <w:p>
            <w:pPr>
              <w:pStyle w:val="MDPI42tablebody"/>
              <w:keepNext/>
              <w:spacing w:line="240" w:lineRule="auto" w:before="30" w:after="30"/>
              <w:jc w:val="left"/>
            </w:pPr>
            <w:r>
              <w:rPr>
                <w:b w:val="0"/>
                <w:i w:val="0"/>
                <w:sz w:val="18"/>
              </w:rPr>
              <w:t>industry-year</w:t>
            </w:r>
          </w:p>
        </w:tc>
        <w:tc>
          <w:tcPr>
            <w:tcW w:type="dxa" w:w="1360"/>
          </w:tcPr>
          <w:p>
            <w:pPr>
              <w:pStyle w:val="MDPI42tablebody"/>
              <w:keepNext/>
              <w:spacing w:line="240" w:lineRule="auto" w:before="30" w:after="30"/>
              <w:jc w:val="center"/>
            </w:pPr>
            <w:r>
              <w:rPr>
                <w:b w:val="0"/>
                <w:i w:val="0"/>
                <w:sz w:val="18"/>
              </w:rPr>
              <w:t>−0.493***</w:t>
            </w:r>
          </w:p>
        </w:tc>
        <w:tc>
          <w:tcPr>
            <w:tcW w:type="dxa" w:w="1360"/>
          </w:tcPr>
          <w:p>
            <w:pPr>
              <w:pStyle w:val="MDPI42tablebody"/>
              <w:keepNext/>
              <w:spacing w:line="240" w:lineRule="auto" w:before="30" w:after="30"/>
              <w:jc w:val="center"/>
            </w:pPr>
            <w:r>
              <w:rPr>
                <w:b w:val="0"/>
                <w:i w:val="0"/>
                <w:sz w:val="18"/>
              </w:rPr>
              <w:t>(0.055)</w:t>
            </w:r>
          </w:p>
        </w:tc>
        <w:tc>
          <w:tcPr>
            <w:tcW w:type="dxa" w:w="1255"/>
          </w:tcPr>
          <w:p>
            <w:pPr>
              <w:pStyle w:val="MDPI42tablebody"/>
              <w:keepNext/>
              <w:spacing w:line="240" w:lineRule="auto" w:before="30" w:after="30"/>
              <w:jc w:val="center"/>
            </w:pPr>
            <w:r>
              <w:rPr>
                <w:b w:val="0"/>
                <w:i w:val="0"/>
                <w:sz w:val="18"/>
              </w:rPr>
              <w:t>200</w:t>
            </w:r>
          </w:p>
        </w:tc>
        <w:tc>
          <w:tcPr>
            <w:tcW w:type="dxa" w:w="1151"/>
          </w:tcPr>
          <w:p>
            <w:pPr>
              <w:pStyle w:val="MDPI42tablebody"/>
              <w:keepNext/>
              <w:spacing w:line="240" w:lineRule="auto" w:before="30" w:after="30"/>
              <w:jc w:val="center"/>
            </w:pPr>
            <w:r>
              <w:rPr>
                <w:b w:val="0"/>
                <w:i w:val="0"/>
                <w:sz w:val="18"/>
              </w:rPr>
              <w:t>0.455</w:t>
            </w:r>
          </w:p>
        </w:tc>
      </w:tr>
      <w:tr>
        <w:trPr>
          <w:cantSplit/>
        </w:trPr>
        <w:tc>
          <w:tcPr>
            <w:tcW w:type="dxa" w:w="3558"/>
          </w:tcPr>
          <w:p>
            <w:pPr>
              <w:pStyle w:val="MDPI42tablebody"/>
              <w:keepNext/>
              <w:spacing w:line="240" w:lineRule="auto" w:before="30" w:after="30"/>
              <w:jc w:val="left"/>
            </w:pPr>
            <w:r>
              <w:rPr>
                <w:b w:val="0"/>
                <w:i w:val="0"/>
                <w:sz w:val="18"/>
              </w:rPr>
              <w:t>City, experienced share</w:t>
            </w:r>
          </w:p>
        </w:tc>
        <w:tc>
          <w:tcPr>
            <w:tcW w:type="dxa" w:w="1779"/>
          </w:tcPr>
          <w:p>
            <w:pPr>
              <w:pStyle w:val="MDPI42tablebody"/>
              <w:keepNext/>
              <w:spacing w:line="240" w:lineRule="auto" w:before="30" w:after="30"/>
              <w:jc w:val="left"/>
            </w:pPr>
            <w:r>
              <w:rPr>
                <w:b w:val="0"/>
                <w:i w:val="0"/>
                <w:sz w:val="18"/>
              </w:rPr>
              <w:t>city-year</w:t>
            </w:r>
          </w:p>
        </w:tc>
        <w:tc>
          <w:tcPr>
            <w:tcW w:type="dxa" w:w="1360"/>
          </w:tcPr>
          <w:p>
            <w:pPr>
              <w:pStyle w:val="MDPI42tablebody"/>
              <w:keepNext/>
              <w:spacing w:line="240" w:lineRule="auto" w:before="30" w:after="30"/>
              <w:jc w:val="center"/>
            </w:pPr>
            <w:r>
              <w:rPr>
                <w:b w:val="0"/>
                <w:i w:val="0"/>
                <w:sz w:val="18"/>
              </w:rPr>
              <w:t>−0.056</w:t>
            </w:r>
          </w:p>
        </w:tc>
        <w:tc>
          <w:tcPr>
            <w:tcW w:type="dxa" w:w="1360"/>
          </w:tcPr>
          <w:p>
            <w:pPr>
              <w:pStyle w:val="MDPI42tablebody"/>
              <w:keepNext/>
              <w:spacing w:line="240" w:lineRule="auto" w:before="30" w:after="30"/>
              <w:jc w:val="center"/>
            </w:pPr>
            <w:r>
              <w:rPr>
                <w:b w:val="0"/>
                <w:i w:val="0"/>
                <w:sz w:val="18"/>
              </w:rPr>
              <w:t>(0.086)</w:t>
            </w:r>
          </w:p>
        </w:tc>
        <w:tc>
          <w:tcPr>
            <w:tcW w:type="dxa" w:w="1255"/>
          </w:tcPr>
          <w:p>
            <w:pPr>
              <w:pStyle w:val="MDPI42tablebody"/>
              <w:keepNext/>
              <w:spacing w:line="240" w:lineRule="auto" w:before="30" w:after="30"/>
              <w:jc w:val="center"/>
            </w:pPr>
            <w:r>
              <w:rPr>
                <w:b w:val="0"/>
                <w:i w:val="0"/>
                <w:sz w:val="18"/>
              </w:rPr>
              <w:t>600</w:t>
            </w:r>
          </w:p>
        </w:tc>
        <w:tc>
          <w:tcPr>
            <w:tcW w:type="dxa" w:w="1151"/>
          </w:tcPr>
          <w:p>
            <w:pPr>
              <w:pStyle w:val="MDPI42tablebody"/>
              <w:keepNext/>
              <w:spacing w:line="240" w:lineRule="auto" w:before="30" w:after="30"/>
              <w:jc w:val="center"/>
            </w:pPr>
            <w:r>
              <w:rPr>
                <w:b w:val="0"/>
                <w:i w:val="0"/>
                <w:sz w:val="18"/>
              </w:rPr>
              <w:t>0.106</w:t>
            </w:r>
          </w:p>
        </w:tc>
      </w:tr>
      <w:tr>
        <w:trPr>
          <w:cantSplit/>
        </w:trPr>
        <w:tc>
          <w:tcPr>
            <w:tcW w:type="dxa" w:w="3558"/>
          </w:tcPr>
          <w:p>
            <w:pPr>
              <w:pStyle w:val="MDPI42tablebody"/>
              <w:keepNext/>
              <w:spacing w:line="240" w:lineRule="auto" w:before="30" w:after="30"/>
              <w:jc w:val="left"/>
            </w:pPr>
            <w:r>
              <w:rPr>
                <w:b w:val="0"/>
                <w:i w:val="0"/>
                <w:sz w:val="18"/>
              </w:rPr>
              <w:t>Implied local reallocation share (%)</w:t>
            </w:r>
          </w:p>
        </w:tc>
        <w:tc>
          <w:tcPr>
            <w:tcW w:type="dxa" w:w="1779"/>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r>
              <w:rPr>
                <w:b w:val="0"/>
                <w:i w:val="0"/>
                <w:sz w:val="18"/>
              </w:rPr>
              <w:t>48.9</w:t>
            </w:r>
          </w:p>
        </w:tc>
        <w:tc>
          <w:tcPr>
            <w:tcW w:type="dxa" w:w="1360"/>
          </w:tcPr>
          <w:p>
            <w:pPr>
              <w:pStyle w:val="MDPI42tablebody"/>
              <w:keepNext/>
              <w:spacing w:line="240" w:lineRule="auto" w:before="30" w:after="30"/>
              <w:jc w:val="center"/>
            </w:pPr>
          </w:p>
        </w:tc>
        <w:tc>
          <w:tcPr>
            <w:tcW w:type="dxa" w:w="1255"/>
          </w:tcPr>
          <w:p>
            <w:pPr>
              <w:pStyle w:val="MDPI42tablebody"/>
              <w:keepNext/>
              <w:spacing w:line="240" w:lineRule="auto" w:before="30" w:after="30"/>
              <w:jc w:val="center"/>
            </w:pPr>
          </w:p>
        </w:tc>
        <w:tc>
          <w:tcPr>
            <w:tcW w:type="dxa" w:w="1151"/>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r>
              <w:rPr>
                <w:b w:val="0"/>
                <w:i w:val="0"/>
                <w:sz w:val="18"/>
              </w:rPr>
              <w:t>System-level total impact</w:t>
            </w:r>
          </w:p>
        </w:tc>
        <w:tc>
          <w:tcPr>
            <w:tcW w:type="dxa" w:w="1779"/>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r>
              <w:rPr>
                <w:b w:val="0"/>
                <w:i w:val="0"/>
                <w:sz w:val="18"/>
              </w:rPr>
              <w:t>−1.313</w:t>
            </w:r>
          </w:p>
        </w:tc>
        <w:tc>
          <w:tcPr>
            <w:tcW w:type="dxa" w:w="1360"/>
          </w:tcPr>
          <w:p>
            <w:pPr>
              <w:pStyle w:val="MDPI42tablebody"/>
              <w:keepNext/>
              <w:spacing w:line="240" w:lineRule="auto" w:before="30" w:after="30"/>
              <w:jc w:val="center"/>
            </w:pPr>
            <w:r>
              <w:rPr>
                <w:b w:val="0"/>
                <w:i w:val="0"/>
                <w:sz w:val="18"/>
              </w:rPr>
              <w:t>(0.195)</w:t>
            </w:r>
          </w:p>
        </w:tc>
        <w:tc>
          <w:tcPr>
            <w:tcW w:type="dxa" w:w="1255"/>
          </w:tcPr>
          <w:p>
            <w:pPr>
              <w:pStyle w:val="MDPI42tablebody"/>
              <w:keepNext/>
              <w:spacing w:line="240" w:lineRule="auto" w:before="30" w:after="30"/>
              <w:jc w:val="center"/>
            </w:pPr>
          </w:p>
        </w:tc>
        <w:tc>
          <w:tcPr>
            <w:tcW w:type="dxa" w:w="1151"/>
          </w:tcPr>
          <w:p>
            <w:pPr>
              <w:pStyle w:val="MDPI42tablebody"/>
              <w:keepNext/>
              <w:spacing w:line="240" w:lineRule="auto" w:before="30" w:after="30"/>
              <w:jc w:val="center"/>
            </w:pPr>
          </w:p>
        </w:tc>
      </w:tr>
      <w:tr>
        <w:trPr>
          <w:cantSplit/>
        </w:trPr>
        <w:tc>
          <w:tcPr>
            <w:tcW w:type="dxa" w:w="3558"/>
          </w:tcPr>
          <w:p>
            <w:pPr>
              <w:pStyle w:val="MDPI42tablebody"/>
              <w:spacing w:line="240" w:lineRule="auto" w:before="30" w:after="30"/>
              <w:jc w:val="left"/>
            </w:pPr>
            <w:r>
              <w:rPr>
                <w:b w:val="0"/>
                <w:i w:val="0"/>
                <w:sz w:val="18"/>
              </w:rPr>
              <w:t>Ratio of total impact to firm-level estimate</w:t>
            </w:r>
          </w:p>
        </w:tc>
        <w:tc>
          <w:tcPr>
            <w:tcW w:type="dxa" w:w="1779"/>
          </w:tcPr>
          <w:p>
            <w:pPr>
              <w:pStyle w:val="MDPI42tablebody"/>
              <w:spacing w:line="240" w:lineRule="auto" w:before="30" w:after="30"/>
              <w:jc w:val="left"/>
            </w:pPr>
          </w:p>
        </w:tc>
        <w:tc>
          <w:tcPr>
            <w:tcW w:type="dxa" w:w="1360"/>
          </w:tcPr>
          <w:p>
            <w:pPr>
              <w:pStyle w:val="MDPI42tablebody"/>
              <w:spacing w:line="240" w:lineRule="auto" w:before="30" w:after="30"/>
              <w:jc w:val="center"/>
            </w:pPr>
            <w:r>
              <w:rPr>
                <w:b w:val="0"/>
                <w:i w:val="0"/>
                <w:sz w:val="18"/>
              </w:rPr>
              <w:t>3.02</w:t>
            </w:r>
          </w:p>
        </w:tc>
        <w:tc>
          <w:tcPr>
            <w:tcW w:type="dxa" w:w="1360"/>
          </w:tcPr>
          <w:p>
            <w:pPr>
              <w:pStyle w:val="MDPI42tablebody"/>
              <w:spacing w:line="240" w:lineRule="auto" w:before="30" w:after="30"/>
              <w:jc w:val="center"/>
            </w:pPr>
          </w:p>
        </w:tc>
        <w:tc>
          <w:tcPr>
            <w:tcW w:type="dxa" w:w="1255"/>
          </w:tcPr>
          <w:p>
            <w:pPr>
              <w:pStyle w:val="MDPI42tablebody"/>
              <w:spacing w:line="240" w:lineRule="auto" w:before="30" w:after="30"/>
              <w:jc w:val="center"/>
            </w:pPr>
          </w:p>
        </w:tc>
        <w:tc>
          <w:tcPr>
            <w:tcW w:type="dxa" w:w="1151"/>
          </w:tcPr>
          <w:p>
            <w:pPr>
              <w:pStyle w:val="MDPI42tablebody"/>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Each row estimates Equation (5) on the unit named in the second column; the city and industry panels are employment-weighted aggregates with unit and year effects. The implied local reallocation share is one minus the ratio of the city-level to the firm-level coefficient. The system-level total impact is taken from column (2) of Table 6. Standard errors clustered at the firm level are in parentheses. ***, ** and * denote significance at the 1%, 5% and 10% levels.</w:t>
      </w:r>
    </w:p>
    <w:p>
      <w:pPr>
        <w:pStyle w:val="MDPI22heading2"/>
      </w:pPr>
      <w:r>
        <w:t>4.8. Is It Really the Network?</w:t>
      </w:r>
    </w:p>
    <w:p>
      <w:pPr>
        <w:pStyle w:val="MDPI32textnoindent"/>
      </w:pPr>
      <w:r>
        <w:rPr>
          <w:b w:val="0"/>
          <w:i w:val="0"/>
        </w:rPr>
        <w:t>A spillover estimated from a network is only as good as the argument that the network, and not something correlated with it, is doing the work. Table 9 reports two partitions of the customer links that a network account predicts and its competitors do not.</w:t>
      </w:r>
    </w:p>
    <w:p>
      <w:pPr>
        <w:pStyle w:val="MDPI31text"/>
      </w:pPr>
      <w:r>
        <w:rPr>
          <w:b w:val="0"/>
          <w:i w:val="0"/>
        </w:rPr>
        <w:t xml:space="preserve">Column (1) splits customers by input specificity. Adoption by customers buying relationship-specific inputs lowers the firm's youth share by 0.530 (0.044); adoption by customers buying generic, reference-priced inputs by 0.260 (0.045). The difference is −0.270 (0.063, p &lt; 0.001). This is the signature the propagation literature has documented for earthquakes and bankruptcies </w:t>
      </w:r>
      <w:r>
        <w:t>[</w:t>
      </w:r>
      <w:r>
        <w:fldChar w:fldCharType="begin"/>
      </w:r>
      <w:r>
        <w:instrText xml:space="preserve"> REF _Ref_17 \h </w:instrText>
      </w:r>
      <w:r>
        <w:fldChar w:fldCharType="separate"/>
      </w:r>
      <w:r>
        <w:t>17</w:t>
      </w:r>
      <w:r>
        <w:fldChar w:fldCharType="end"/>
      </w:r>
      <w:r>
        <w:t>,</w:t>
      </w:r>
      <w:r>
        <w:fldChar w:fldCharType="begin"/>
      </w:r>
      <w:r>
        <w:instrText xml:space="preserve"> REF _Ref_19 \h </w:instrText>
      </w:r>
      <w:r>
        <w:fldChar w:fldCharType="separate"/>
      </w:r>
      <w:r>
        <w:t>19</w:t>
      </w:r>
      <w:r>
        <w:fldChar w:fldCharType="end"/>
      </w:r>
      <w:r>
        <w:t>]</w:t>
      </w:r>
      <w:r>
        <w:rPr>
          <w:b w:val="0"/>
          <w:i w:val="0"/>
        </w:rPr>
        <w:t>: a shock travels along links the receiving firm cannot quickly replace. A common sectoral shock has no reason to respect input specificity.</w:t>
      </w:r>
    </w:p>
    <w:p>
      <w:pPr>
        <w:pStyle w:val="MDPI31text"/>
      </w:pPr>
      <w:r>
        <w:rPr>
          <w:b w:val="0"/>
          <w:i w:val="0"/>
        </w:rPr>
        <w:t>Column (2) splits the same customers by geography. Adoption by customers in the firm's own city lowers its youth share by 0.317 (0.146); adoption by customers elsewhere by 0.400 (0.033). The difference is 0.083 (0.151, p = 0.584) — statistically indistinguishable from zero. The shock travels along the supply chain and is indifferent to distance, which is precisely what distinguishes it from a local demand shock. Note that this is not in tension with the local reallocation result: the labour market is local, the supply chain is not, and the two channels are separately identified because they use different weight matrices.</w:t>
      </w:r>
    </w:p>
    <w:p>
      <w:pPr>
        <w:pStyle w:val="MDPI31text"/>
      </w:pPr>
      <w:r>
        <w:rPr>
          <w:b w:val="0"/>
          <w:i w:val="0"/>
        </w:rPr>
        <w:t>Column (3) repeats the specificity split for the experienced share and finds a much smaller difference, and Table 10 makes the age comparison systematic. Every channel is larger for the young than for the experienced: own adoption by a factor of 5.05, suppliers' by 4.65, customers' by 4.14 and local peers' by 6.51, and every cross-equation test rejects equality. Hypothesis 5 is supported. The system does not merely transmit the shock; it transmits it to the same margin at every node.</w:t>
      </w:r>
    </w:p>
    <w:p>
      <w:pPr>
        <w:pStyle w:val="MDPI41tablecaption"/>
        <w:keepNext/>
        <w:spacing w:after="60"/>
      </w:pPr>
      <w:r>
        <w:rPr>
          <w:b/>
          <w:sz w:val="18"/>
        </w:rPr>
        <w:t xml:space="preserve">Table 9. </w:t>
      </w:r>
      <w:r>
        <w:rPr>
          <w:b w:val="0"/>
          <w:i w:val="0"/>
          <w:sz w:val="18"/>
        </w:rPr>
        <w:t>Which links carry the shock: input specificity against geographic proximity.</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558"/>
        <w:gridCol w:w="2302"/>
        <w:gridCol w:w="2302"/>
        <w:gridCol w:w="2302"/>
      </w:tblGrid>
      <w:tr>
        <w:trPr>
          <w:cantSplit/>
          <w:tblHeader/>
        </w:trPr>
        <w:tc>
          <w:tcPr>
            <w:tcW w:type="dxa" w:w="3558"/>
            <w:tcBorders>
              <w:bottom w:val="single" w:sz="8" w:space="0" w:color="auto"/>
            </w:tcBorders>
          </w:tcPr>
          <w:p>
            <w:pPr>
              <w:pStyle w:val="MDPI42tablebody"/>
              <w:keepNext/>
              <w:spacing w:line="240" w:lineRule="auto" w:before="30" w:after="30"/>
              <w:jc w:val="center"/>
            </w:pPr>
            <w:r>
              <w:rPr>
                <w:b/>
                <w:i w:val="0"/>
                <w:sz w:val="18"/>
              </w:rPr>
              <w:t>Variable</w:t>
            </w:r>
          </w:p>
        </w:tc>
        <w:tc>
          <w:tcPr>
            <w:tcW w:type="dxa" w:w="2302"/>
            <w:tcBorders>
              <w:bottom w:val="single" w:sz="8" w:space="0" w:color="auto"/>
            </w:tcBorders>
          </w:tcPr>
          <w:p>
            <w:pPr>
              <w:pStyle w:val="MDPI42tablebody"/>
              <w:keepNext/>
              <w:spacing w:line="240" w:lineRule="auto" w:before="30" w:after="30"/>
              <w:jc w:val="center"/>
            </w:pPr>
            <w:r>
              <w:rPr>
                <w:b/>
                <w:i w:val="0"/>
                <w:sz w:val="18"/>
              </w:rPr>
              <w:t>(1)</w:t>
            </w:r>
          </w:p>
        </w:tc>
        <w:tc>
          <w:tcPr>
            <w:tcW w:type="dxa" w:w="2302"/>
            <w:tcBorders>
              <w:bottom w:val="single" w:sz="8" w:space="0" w:color="auto"/>
            </w:tcBorders>
          </w:tcPr>
          <w:p>
            <w:pPr>
              <w:pStyle w:val="MDPI42tablebody"/>
              <w:keepNext/>
              <w:spacing w:line="240" w:lineRule="auto" w:before="30" w:after="30"/>
              <w:jc w:val="center"/>
            </w:pPr>
            <w:r>
              <w:rPr>
                <w:b/>
                <w:i w:val="0"/>
                <w:sz w:val="18"/>
              </w:rPr>
              <w:t>(2)</w:t>
            </w:r>
          </w:p>
        </w:tc>
        <w:tc>
          <w:tcPr>
            <w:tcW w:type="dxa" w:w="2302"/>
            <w:tcBorders>
              <w:bottom w:val="single" w:sz="8" w:space="0" w:color="auto"/>
            </w:tcBorders>
          </w:tcPr>
          <w:p>
            <w:pPr>
              <w:pStyle w:val="MDPI42tablebody"/>
              <w:keepNext/>
              <w:spacing w:line="240" w:lineRule="auto" w:before="30" w:after="30"/>
              <w:jc w:val="center"/>
            </w:pPr>
            <w:r>
              <w:rPr>
                <w:b/>
                <w:i w:val="0"/>
                <w:sz w:val="18"/>
              </w:rPr>
              <w:t>(3)</w:t>
            </w:r>
          </w:p>
        </w:tc>
      </w:tr>
      <w:tr>
        <w:trPr>
          <w:cantSplit/>
        </w:trPr>
        <w:tc>
          <w:tcPr>
            <w:tcW w:type="dxa" w:w="3558"/>
          </w:tcPr>
          <w:p>
            <w:pPr>
              <w:pStyle w:val="MDPI42tablebody"/>
              <w:keepNext/>
              <w:spacing w:line="240" w:lineRule="auto" w:before="30" w:after="30"/>
              <w:jc w:val="left"/>
            </w:pPr>
            <w:r>
              <w:rPr>
                <w:b w:val="0"/>
                <w:i/>
                <w:sz w:val="18"/>
              </w:rPr>
              <w:t>A</w:t>
            </w:r>
          </w:p>
        </w:tc>
        <w:tc>
          <w:tcPr>
            <w:tcW w:type="dxa" w:w="2302"/>
          </w:tcPr>
          <w:p>
            <w:pPr>
              <w:pStyle w:val="MDPI42tablebody"/>
              <w:keepNext/>
              <w:spacing w:line="240" w:lineRule="auto" w:before="30" w:after="30"/>
              <w:jc w:val="center"/>
            </w:pPr>
            <w:r>
              <w:rPr>
                <w:b w:val="0"/>
                <w:i w:val="0"/>
                <w:sz w:val="18"/>
              </w:rPr>
              <w:t>−0.426***</w:t>
            </w:r>
          </w:p>
        </w:tc>
        <w:tc>
          <w:tcPr>
            <w:tcW w:type="dxa" w:w="2302"/>
          </w:tcPr>
          <w:p>
            <w:pPr>
              <w:pStyle w:val="MDPI42tablebody"/>
              <w:keepNext/>
              <w:spacing w:line="240" w:lineRule="auto" w:before="30" w:after="30"/>
              <w:jc w:val="center"/>
            </w:pPr>
            <w:r>
              <w:rPr>
                <w:b w:val="0"/>
                <w:i w:val="0"/>
                <w:sz w:val="18"/>
              </w:rPr>
              <w:t>−0.422***</w:t>
            </w:r>
          </w:p>
        </w:tc>
        <w:tc>
          <w:tcPr>
            <w:tcW w:type="dxa" w:w="2302"/>
          </w:tcPr>
          <w:p>
            <w:pPr>
              <w:pStyle w:val="MDPI42tablebody"/>
              <w:keepNext/>
              <w:spacing w:line="240" w:lineRule="auto" w:before="30" w:after="30"/>
              <w:jc w:val="center"/>
            </w:pPr>
            <w:r>
              <w:rPr>
                <w:b w:val="0"/>
                <w:i w:val="0"/>
                <w:sz w:val="18"/>
              </w:rPr>
              <w:t>−0.083***</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(0.018)</w:t>
            </w:r>
          </w:p>
        </w:tc>
        <w:tc>
          <w:tcPr>
            <w:tcW w:type="dxa" w:w="2302"/>
          </w:tcPr>
          <w:p>
            <w:pPr>
              <w:pStyle w:val="MDPI42tablebody"/>
              <w:keepNext/>
              <w:spacing w:line="240" w:lineRule="auto" w:before="30" w:after="30"/>
              <w:jc w:val="center"/>
            </w:pPr>
            <w:r>
              <w:rPr>
                <w:b w:val="0"/>
                <w:i w:val="0"/>
                <w:sz w:val="18"/>
              </w:rPr>
              <w:t>(0.018)</w:t>
            </w:r>
          </w:p>
        </w:tc>
        <w:tc>
          <w:tcPr>
            <w:tcW w:type="dxa" w:w="2302"/>
          </w:tcPr>
          <w:p>
            <w:pPr>
              <w:pStyle w:val="MDPI42tablebody"/>
              <w:keepNext/>
              <w:spacing w:line="240" w:lineRule="auto" w:before="30" w:after="30"/>
              <w:jc w:val="center"/>
            </w:pPr>
            <w:r>
              <w:rPr>
                <w:b w:val="0"/>
                <w:i w:val="0"/>
                <w:sz w:val="18"/>
              </w:rPr>
              <w:t>(0.016)</w:t>
            </w:r>
          </w:p>
        </w:tc>
      </w:tr>
      <w:tr>
        <w:trPr>
          <w:cantSplit/>
        </w:trPr>
        <w:tc>
          <w:tcPr>
            <w:tcW w:type="dxa" w:w="3558"/>
          </w:tcPr>
          <w:p>
            <w:pPr>
              <w:pStyle w:val="MDPI42tablebody"/>
              <w:keepNext/>
              <w:spacing w:line="240" w:lineRule="auto" w:before="30" w:after="30"/>
              <w:jc w:val="left"/>
            </w:pPr>
            <w:r>
              <w:rPr>
                <w:b w:val="0"/>
                <w:i/>
                <w:sz w:val="18"/>
              </w:rPr>
              <w:t>A</w:t>
            </w:r>
            <w:r>
              <w:rPr>
                <w:b w:val="0"/>
                <w:i/>
                <w:sz w:val="18"/>
                <w:vertAlign w:val="superscript"/>
              </w:rPr>
              <w:t>u</w:t>
            </w:r>
          </w:p>
        </w:tc>
        <w:tc>
          <w:tcPr>
            <w:tcW w:type="dxa" w:w="2302"/>
          </w:tcPr>
          <w:p>
            <w:pPr>
              <w:pStyle w:val="MDPI42tablebody"/>
              <w:keepNext/>
              <w:spacing w:line="240" w:lineRule="auto" w:before="30" w:after="30"/>
              <w:jc w:val="center"/>
            </w:pPr>
            <w:r>
              <w:rPr>
                <w:b w:val="0"/>
                <w:i w:val="0"/>
                <w:sz w:val="18"/>
              </w:rPr>
              <w:t>−0.249***</w:t>
            </w:r>
          </w:p>
        </w:tc>
        <w:tc>
          <w:tcPr>
            <w:tcW w:type="dxa" w:w="2302"/>
          </w:tcPr>
          <w:p>
            <w:pPr>
              <w:pStyle w:val="MDPI42tablebody"/>
              <w:keepNext/>
              <w:spacing w:line="240" w:lineRule="auto" w:before="30" w:after="30"/>
              <w:jc w:val="center"/>
            </w:pPr>
            <w:r>
              <w:rPr>
                <w:b w:val="0"/>
                <w:i w:val="0"/>
                <w:sz w:val="18"/>
              </w:rPr>
              <w:t>−0.246***</w:t>
            </w:r>
          </w:p>
        </w:tc>
        <w:tc>
          <w:tcPr>
            <w:tcW w:type="dxa" w:w="2302"/>
          </w:tcPr>
          <w:p>
            <w:pPr>
              <w:pStyle w:val="MDPI42tablebody"/>
              <w:keepNext/>
              <w:spacing w:line="240" w:lineRule="auto" w:before="30" w:after="30"/>
              <w:jc w:val="center"/>
            </w:pPr>
            <w:r>
              <w:rPr>
                <w:b w:val="0"/>
                <w:i w:val="0"/>
                <w:sz w:val="18"/>
              </w:rPr>
              <w:t>−0.052*</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(0.031)</w:t>
            </w:r>
          </w:p>
        </w:tc>
        <w:tc>
          <w:tcPr>
            <w:tcW w:type="dxa" w:w="2302"/>
          </w:tcPr>
          <w:p>
            <w:pPr>
              <w:pStyle w:val="MDPI42tablebody"/>
              <w:keepNext/>
              <w:spacing w:line="240" w:lineRule="auto" w:before="30" w:after="30"/>
              <w:jc w:val="center"/>
            </w:pPr>
            <w:r>
              <w:rPr>
                <w:b w:val="0"/>
                <w:i w:val="0"/>
                <w:sz w:val="18"/>
              </w:rPr>
              <w:t>(0.031)</w:t>
            </w:r>
          </w:p>
        </w:tc>
        <w:tc>
          <w:tcPr>
            <w:tcW w:type="dxa" w:w="2302"/>
          </w:tcPr>
          <w:p>
            <w:pPr>
              <w:pStyle w:val="MDPI42tablebody"/>
              <w:keepNext/>
              <w:spacing w:line="240" w:lineRule="auto" w:before="30" w:after="30"/>
              <w:jc w:val="center"/>
            </w:pPr>
            <w:r>
              <w:rPr>
                <w:b w:val="0"/>
                <w:i w:val="0"/>
                <w:sz w:val="18"/>
              </w:rPr>
              <w:t>(0.028)</w:t>
            </w:r>
          </w:p>
        </w:tc>
      </w:tr>
      <w:tr>
        <w:trPr>
          <w:cantSplit/>
        </w:trPr>
        <w:tc>
          <w:tcPr>
            <w:tcW w:type="dxa" w:w="3558"/>
          </w:tcPr>
          <w:p>
            <w:pPr>
              <w:pStyle w:val="MDPI42tablebody"/>
              <w:keepNext/>
              <w:spacing w:line="240" w:lineRule="auto" w:before="30" w:after="30"/>
              <w:jc w:val="left"/>
            </w:pPr>
            <w:r>
              <w:rPr>
                <w:b w:val="0"/>
                <w:i/>
                <w:sz w:val="18"/>
              </w:rPr>
              <w:t>A</w:t>
            </w:r>
            <w:r>
              <w:rPr>
                <w:b w:val="0"/>
                <w:i/>
                <w:sz w:val="18"/>
                <w:vertAlign w:val="superscript"/>
              </w:rPr>
              <w:t>d</w:t>
            </w:r>
            <w:r>
              <w:rPr>
                <w:b w:val="0"/>
                <w:i/>
                <w:sz w:val="18"/>
              </w:rPr>
              <w:t>(specific)</w:t>
            </w:r>
          </w:p>
        </w:tc>
        <w:tc>
          <w:tcPr>
            <w:tcW w:type="dxa" w:w="2302"/>
          </w:tcPr>
          <w:p>
            <w:pPr>
              <w:pStyle w:val="MDPI42tablebody"/>
              <w:keepNext/>
              <w:spacing w:line="240" w:lineRule="auto" w:before="30" w:after="30"/>
              <w:jc w:val="center"/>
            </w:pPr>
            <w:r>
              <w:rPr>
                <w:b w:val="0"/>
                <w:i w:val="0"/>
                <w:sz w:val="18"/>
              </w:rPr>
              <w:t>−0.530***</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−0.069*</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(0.044)</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(0.038)</w:t>
            </w:r>
          </w:p>
        </w:tc>
      </w:tr>
      <w:tr>
        <w:trPr>
          <w:cantSplit/>
        </w:trPr>
        <w:tc>
          <w:tcPr>
            <w:tcW w:type="dxa" w:w="3558"/>
          </w:tcPr>
          <w:p>
            <w:pPr>
              <w:pStyle w:val="MDPI42tablebody"/>
              <w:keepNext/>
              <w:spacing w:line="240" w:lineRule="auto" w:before="30" w:after="30"/>
              <w:jc w:val="left"/>
            </w:pPr>
            <w:r>
              <w:rPr>
                <w:b w:val="0"/>
                <w:i/>
                <w:sz w:val="18"/>
              </w:rPr>
              <w:t>A</w:t>
            </w:r>
            <w:r>
              <w:rPr>
                <w:b w:val="0"/>
                <w:i/>
                <w:sz w:val="18"/>
                <w:vertAlign w:val="superscript"/>
              </w:rPr>
              <w:t>d</w:t>
            </w:r>
            <w:r>
              <w:rPr>
                <w:b w:val="0"/>
                <w:i/>
                <w:sz w:val="18"/>
              </w:rPr>
              <w:t>(generic)</w:t>
            </w:r>
          </w:p>
        </w:tc>
        <w:tc>
          <w:tcPr>
            <w:tcW w:type="dxa" w:w="2302"/>
          </w:tcPr>
          <w:p>
            <w:pPr>
              <w:pStyle w:val="MDPI42tablebody"/>
              <w:keepNext/>
              <w:spacing w:line="240" w:lineRule="auto" w:before="30" w:after="30"/>
              <w:jc w:val="center"/>
            </w:pPr>
            <w:r>
              <w:rPr>
                <w:b w:val="0"/>
                <w:i w:val="0"/>
                <w:sz w:val="18"/>
              </w:rPr>
              <w:t>−0.260***</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−0.122***</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(0.045)</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(0.041)</w:t>
            </w:r>
          </w:p>
        </w:tc>
      </w:tr>
      <w:tr>
        <w:trPr>
          <w:cantSplit/>
        </w:trPr>
        <w:tc>
          <w:tcPr>
            <w:tcW w:type="dxa" w:w="3558"/>
          </w:tcPr>
          <w:p>
            <w:pPr>
              <w:pStyle w:val="MDPI42tablebody"/>
              <w:keepNext/>
              <w:spacing w:line="240" w:lineRule="auto" w:before="30" w:after="30"/>
              <w:jc w:val="left"/>
            </w:pPr>
            <w:r>
              <w:rPr>
                <w:b w:val="0"/>
                <w:i/>
                <w:sz w:val="18"/>
              </w:rPr>
              <w:t>A</w:t>
            </w:r>
            <w:r>
              <w:rPr>
                <w:b w:val="0"/>
                <w:i/>
                <w:sz w:val="18"/>
                <w:vertAlign w:val="superscript"/>
              </w:rPr>
              <w:t>d</w:t>
            </w:r>
            <w:r>
              <w:rPr>
                <w:b w:val="0"/>
                <w:i/>
                <w:sz w:val="18"/>
              </w:rPr>
              <w:t>(same city)</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−0.317**</w:t>
            </w:r>
          </w:p>
        </w:tc>
        <w:tc>
          <w:tcPr>
            <w:tcW w:type="dxa" w:w="2302"/>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(0.146)</w:t>
            </w:r>
          </w:p>
        </w:tc>
        <w:tc>
          <w:tcPr>
            <w:tcW w:type="dxa" w:w="2302"/>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r>
              <w:rPr>
                <w:b w:val="0"/>
                <w:i/>
                <w:sz w:val="18"/>
              </w:rPr>
              <w:t>A</w:t>
            </w:r>
            <w:r>
              <w:rPr>
                <w:b w:val="0"/>
                <w:i/>
                <w:sz w:val="18"/>
                <w:vertAlign w:val="superscript"/>
              </w:rPr>
              <w:t>d</w:t>
            </w:r>
            <w:r>
              <w:rPr>
                <w:b w:val="0"/>
                <w:i/>
                <w:sz w:val="18"/>
              </w:rPr>
              <w:t>(other city)</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−0.400***</w:t>
            </w:r>
          </w:p>
        </w:tc>
        <w:tc>
          <w:tcPr>
            <w:tcW w:type="dxa" w:w="2302"/>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(0.033)</w:t>
            </w:r>
          </w:p>
        </w:tc>
        <w:tc>
          <w:tcPr>
            <w:tcW w:type="dxa" w:w="2302"/>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r>
              <w:rPr>
                <w:b w:val="0"/>
                <w:i/>
                <w:sz w:val="18"/>
              </w:rPr>
              <w:t>A</w:t>
            </w:r>
            <w:r>
              <w:rPr>
                <w:b w:val="0"/>
                <w:i/>
                <w:sz w:val="18"/>
                <w:vertAlign w:val="superscript"/>
              </w:rPr>
              <w:t>p</w:t>
            </w:r>
          </w:p>
        </w:tc>
        <w:tc>
          <w:tcPr>
            <w:tcW w:type="dxa" w:w="2302"/>
          </w:tcPr>
          <w:p>
            <w:pPr>
              <w:pStyle w:val="MDPI42tablebody"/>
              <w:keepNext/>
              <w:spacing w:line="240" w:lineRule="auto" w:before="30" w:after="30"/>
              <w:jc w:val="center"/>
            </w:pPr>
            <w:r>
              <w:rPr>
                <w:b w:val="0"/>
                <w:i w:val="0"/>
                <w:sz w:val="18"/>
              </w:rPr>
              <w:t>0.329***</w:t>
            </w:r>
          </w:p>
        </w:tc>
        <w:tc>
          <w:tcPr>
            <w:tcW w:type="dxa" w:w="2302"/>
          </w:tcPr>
          <w:p>
            <w:pPr>
              <w:pStyle w:val="MDPI42tablebody"/>
              <w:keepNext/>
              <w:spacing w:line="240" w:lineRule="auto" w:before="30" w:after="30"/>
              <w:jc w:val="center"/>
            </w:pPr>
            <w:r>
              <w:rPr>
                <w:b w:val="0"/>
                <w:i w:val="0"/>
                <w:sz w:val="18"/>
              </w:rPr>
              <w:t>0.331***</w:t>
            </w:r>
          </w:p>
        </w:tc>
        <w:tc>
          <w:tcPr>
            <w:tcW w:type="dxa" w:w="2302"/>
          </w:tcPr>
          <w:p>
            <w:pPr>
              <w:pStyle w:val="MDPI42tablebody"/>
              <w:keepNext/>
              <w:spacing w:line="240" w:lineRule="auto" w:before="30" w:after="30"/>
              <w:jc w:val="center"/>
            </w:pPr>
            <w:r>
              <w:rPr>
                <w:b w:val="0"/>
                <w:i w:val="0"/>
                <w:sz w:val="18"/>
              </w:rPr>
              <w:t>0.053</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(0.078)</w:t>
            </w:r>
          </w:p>
        </w:tc>
        <w:tc>
          <w:tcPr>
            <w:tcW w:type="dxa" w:w="2302"/>
          </w:tcPr>
          <w:p>
            <w:pPr>
              <w:pStyle w:val="MDPI42tablebody"/>
              <w:keepNext/>
              <w:spacing w:line="240" w:lineRule="auto" w:before="30" w:after="30"/>
              <w:jc w:val="center"/>
            </w:pPr>
            <w:r>
              <w:rPr>
                <w:b w:val="0"/>
                <w:i w:val="0"/>
                <w:sz w:val="18"/>
              </w:rPr>
              <w:t>(0.079)</w:t>
            </w:r>
          </w:p>
        </w:tc>
        <w:tc>
          <w:tcPr>
            <w:tcW w:type="dxa" w:w="2302"/>
          </w:tcPr>
          <w:p>
            <w:pPr>
              <w:pStyle w:val="MDPI42tablebody"/>
              <w:keepNext/>
              <w:spacing w:line="240" w:lineRule="auto" w:before="30" w:after="30"/>
              <w:jc w:val="center"/>
            </w:pPr>
            <w:r>
              <w:rPr>
                <w:b w:val="0"/>
                <w:i w:val="0"/>
                <w:sz w:val="18"/>
              </w:rPr>
              <w:t>(0.070)</w:t>
            </w:r>
          </w:p>
        </w:tc>
      </w:tr>
      <w:tr>
        <w:trPr>
          <w:cantSplit/>
        </w:trPr>
        <w:tc>
          <w:tcPr>
            <w:tcW w:type="dxa" w:w="3558"/>
          </w:tcPr>
          <w:p>
            <w:pPr>
              <w:pStyle w:val="MDPI42tablebody"/>
              <w:keepNext/>
              <w:spacing w:line="240" w:lineRule="auto" w:before="30" w:after="30"/>
              <w:jc w:val="left"/>
            </w:pPr>
            <w:r>
              <w:rPr>
                <w:b w:val="0"/>
                <w:i/>
                <w:sz w:val="18"/>
              </w:rPr>
              <w:t>Difference tested</w:t>
            </w:r>
          </w:p>
        </w:tc>
        <w:tc>
          <w:tcPr>
            <w:tcW w:type="dxa" w:w="2302"/>
          </w:tcPr>
          <w:p>
            <w:pPr>
              <w:pStyle w:val="MDPI42tablebody"/>
              <w:keepNext/>
              <w:spacing w:line="240" w:lineRule="auto" w:before="30" w:after="30"/>
              <w:jc w:val="center"/>
            </w:pPr>
            <w:r>
              <w:rPr>
                <w:b w:val="0"/>
                <w:i w:val="0"/>
                <w:sz w:val="18"/>
              </w:rPr>
              <w:t>specific - generic</w:t>
            </w:r>
          </w:p>
        </w:tc>
        <w:tc>
          <w:tcPr>
            <w:tcW w:type="dxa" w:w="2302"/>
          </w:tcPr>
          <w:p>
            <w:pPr>
              <w:pStyle w:val="MDPI42tablebody"/>
              <w:keepNext/>
              <w:spacing w:line="240" w:lineRule="auto" w:before="30" w:after="30"/>
              <w:jc w:val="center"/>
            </w:pPr>
            <w:r>
              <w:rPr>
                <w:b w:val="0"/>
                <w:i w:val="0"/>
                <w:sz w:val="18"/>
              </w:rPr>
              <w:t>near - far</w:t>
            </w:r>
          </w:p>
        </w:tc>
        <w:tc>
          <w:tcPr>
            <w:tcW w:type="dxa" w:w="2302"/>
          </w:tcPr>
          <w:p>
            <w:pPr>
              <w:pStyle w:val="MDPI42tablebody"/>
              <w:keepNext/>
              <w:spacing w:line="240" w:lineRule="auto" w:before="30" w:after="30"/>
              <w:jc w:val="center"/>
            </w:pPr>
            <w:r>
              <w:rPr>
                <w:b w:val="0"/>
                <w:i w:val="0"/>
                <w:sz w:val="18"/>
              </w:rPr>
              <w:t>specific - generic</w:t>
            </w:r>
          </w:p>
        </w:tc>
      </w:tr>
      <w:tr>
        <w:trPr>
          <w:cantSplit/>
        </w:trPr>
        <w:tc>
          <w:tcPr>
            <w:tcW w:type="dxa" w:w="3558"/>
          </w:tcPr>
          <w:p>
            <w:pPr>
              <w:pStyle w:val="MDPI42tablebody"/>
              <w:keepNext/>
              <w:spacing w:line="240" w:lineRule="auto" w:before="30" w:after="30"/>
              <w:jc w:val="left"/>
            </w:pPr>
            <w:r>
              <w:rPr>
                <w:b w:val="0"/>
                <w:i/>
                <w:sz w:val="18"/>
              </w:rPr>
              <w:t>Difference</w:t>
            </w:r>
          </w:p>
        </w:tc>
        <w:tc>
          <w:tcPr>
            <w:tcW w:type="dxa" w:w="2302"/>
          </w:tcPr>
          <w:p>
            <w:pPr>
              <w:pStyle w:val="MDPI42tablebody"/>
              <w:keepNext/>
              <w:spacing w:line="240" w:lineRule="auto" w:before="30" w:after="30"/>
              <w:jc w:val="center"/>
            </w:pPr>
            <w:r>
              <w:rPr>
                <w:b w:val="0"/>
                <w:i w:val="0"/>
                <w:sz w:val="18"/>
              </w:rPr>
              <w:t>−0.270***</w:t>
            </w:r>
          </w:p>
        </w:tc>
        <w:tc>
          <w:tcPr>
            <w:tcW w:type="dxa" w:w="2302"/>
          </w:tcPr>
          <w:p>
            <w:pPr>
              <w:pStyle w:val="MDPI42tablebody"/>
              <w:keepNext/>
              <w:spacing w:line="240" w:lineRule="auto" w:before="30" w:after="30"/>
              <w:jc w:val="center"/>
            </w:pPr>
            <w:r>
              <w:rPr>
                <w:b w:val="0"/>
                <w:i w:val="0"/>
                <w:sz w:val="18"/>
              </w:rPr>
              <w:t>0.083</w:t>
            </w:r>
          </w:p>
        </w:tc>
        <w:tc>
          <w:tcPr>
            <w:tcW w:type="dxa" w:w="2302"/>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(0.063)</w:t>
            </w:r>
          </w:p>
        </w:tc>
        <w:tc>
          <w:tcPr>
            <w:tcW w:type="dxa" w:w="2302"/>
          </w:tcPr>
          <w:p>
            <w:pPr>
              <w:pStyle w:val="MDPI42tablebody"/>
              <w:keepNext/>
              <w:spacing w:line="240" w:lineRule="auto" w:before="30" w:after="30"/>
              <w:jc w:val="center"/>
            </w:pPr>
            <w:r>
              <w:rPr>
                <w:b w:val="0"/>
                <w:i w:val="0"/>
                <w:sz w:val="18"/>
              </w:rPr>
              <w:t>(0.151)</w:t>
            </w:r>
          </w:p>
        </w:tc>
        <w:tc>
          <w:tcPr>
            <w:tcW w:type="dxa" w:w="2302"/>
          </w:tcPr>
          <w:p>
            <w:pPr>
              <w:pStyle w:val="MDPI42tablebody"/>
              <w:keepNext/>
              <w:spacing w:line="240" w:lineRule="auto" w:before="30" w:after="30"/>
              <w:jc w:val="center"/>
            </w:pPr>
          </w:p>
        </w:tc>
      </w:tr>
      <w:tr>
        <w:trPr>
          <w:cantSplit/>
        </w:trPr>
        <w:tc>
          <w:tcPr>
            <w:tcW w:type="dxa" w:w="3558"/>
          </w:tcPr>
          <w:p>
            <w:pPr>
              <w:pStyle w:val="MDPI42tablebody"/>
              <w:keepNext/>
              <w:spacing w:line="240" w:lineRule="auto" w:before="30" w:after="30"/>
              <w:jc w:val="left"/>
            </w:pPr>
            <w:r>
              <w:rPr>
                <w:b w:val="0"/>
                <w:i/>
                <w:sz w:val="18"/>
              </w:rPr>
              <w:t>Controls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Firm FE</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Year FE</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Observations</w:t>
            </w:r>
          </w:p>
        </w:tc>
        <w:tc>
          <w:tcPr>
            <w:tcW w:type="dxa" w:w="2302"/>
          </w:tcPr>
          <w:p>
            <w:pPr>
              <w:pStyle w:val="MDPI42tablebody"/>
              <w:keepNext/>
              <w:spacing w:line="240" w:lineRule="auto" w:before="30" w:after="30"/>
              <w:jc w:val="center"/>
            </w:pPr>
            <w:r>
              <w:rPr>
                <w:b w:val="0"/>
                <w:i w:val="0"/>
                <w:sz w:val="18"/>
              </w:rPr>
              <w:t>26,115</w:t>
            </w:r>
          </w:p>
        </w:tc>
        <w:tc>
          <w:tcPr>
            <w:tcW w:type="dxa" w:w="2302"/>
          </w:tcPr>
          <w:p>
            <w:pPr>
              <w:pStyle w:val="MDPI42tablebody"/>
              <w:keepNext/>
              <w:spacing w:line="240" w:lineRule="auto" w:before="30" w:after="30"/>
              <w:jc w:val="center"/>
            </w:pPr>
            <w:r>
              <w:rPr>
                <w:b w:val="0"/>
                <w:i w:val="0"/>
                <w:sz w:val="18"/>
              </w:rPr>
              <w:t>26,115</w:t>
            </w:r>
          </w:p>
        </w:tc>
        <w:tc>
          <w:tcPr>
            <w:tcW w:type="dxa" w:w="2302"/>
          </w:tcPr>
          <w:p>
            <w:pPr>
              <w:pStyle w:val="MDPI42tablebody"/>
              <w:keepNext/>
              <w:spacing w:line="240" w:lineRule="auto" w:before="30" w:after="30"/>
              <w:jc w:val="center"/>
            </w:pPr>
            <w:r>
              <w:rPr>
                <w:b w:val="0"/>
                <w:i w:val="0"/>
                <w:sz w:val="18"/>
              </w:rPr>
              <w:t>26,115</w:t>
            </w:r>
          </w:p>
        </w:tc>
      </w:tr>
      <w:tr>
        <w:trPr>
          <w:cantSplit/>
        </w:trPr>
        <w:tc>
          <w:tcPr>
            <w:tcW w:type="dxa" w:w="3558"/>
          </w:tcPr>
          <w:p>
            <w:pPr>
              <w:pStyle w:val="MDPI42tablebody"/>
              <w:spacing w:line="240" w:lineRule="auto" w:before="30" w:after="30"/>
              <w:jc w:val="left"/>
            </w:pPr>
            <w:r>
              <w:rPr>
                <w:b w:val="0"/>
                <w:i/>
                <w:sz w:val="18"/>
              </w:rPr>
              <w:t>Within R²</w:t>
            </w:r>
          </w:p>
        </w:tc>
        <w:tc>
          <w:tcPr>
            <w:tcW w:type="dxa" w:w="2302"/>
          </w:tcPr>
          <w:p>
            <w:pPr>
              <w:pStyle w:val="MDPI42tablebody"/>
              <w:spacing w:line="240" w:lineRule="auto" w:before="30" w:after="30"/>
              <w:jc w:val="center"/>
            </w:pPr>
            <w:r>
              <w:rPr>
                <w:b w:val="0"/>
                <w:i w:val="0"/>
                <w:sz w:val="18"/>
              </w:rPr>
              <w:t>0.107</w:t>
            </w:r>
          </w:p>
        </w:tc>
        <w:tc>
          <w:tcPr>
            <w:tcW w:type="dxa" w:w="2302"/>
          </w:tcPr>
          <w:p>
            <w:pPr>
              <w:pStyle w:val="MDPI42tablebody"/>
              <w:spacing w:line="240" w:lineRule="auto" w:before="30" w:after="30"/>
              <w:jc w:val="center"/>
            </w:pPr>
            <w:r>
              <w:rPr>
                <w:b w:val="0"/>
                <w:i w:val="0"/>
                <w:sz w:val="18"/>
              </w:rPr>
              <w:t>0.107</w:t>
            </w:r>
          </w:p>
        </w:tc>
        <w:tc>
          <w:tcPr>
            <w:tcW w:type="dxa" w:w="2302"/>
          </w:tcPr>
          <w:p>
            <w:pPr>
              <w:pStyle w:val="MDPI42tablebody"/>
              <w:spacing w:line="240" w:lineRule="auto" w:before="30" w:after="30"/>
              <w:jc w:val="center"/>
            </w:pPr>
            <w:r>
              <w:rPr>
                <w:b w:val="0"/>
                <w:i w:val="0"/>
                <w:sz w:val="18"/>
              </w:rPr>
              <w:t>0.051</w:t>
            </w:r>
          </w:p>
        </w:tc>
      </w:tr>
    </w:tbl>
    <w:p>
      <w:pPr>
        <w:pStyle w:val="MDPI43tablefooter"/>
        <w:spacing w:line="240" w:lineRule="auto" w:before="40" w:after="200"/>
        <w:ind w:left="2608" w:firstLine="0"/>
      </w:pPr>
      <w:r>
        <w:rPr>
          <w:sz w:val="16"/>
        </w:rPr>
        <w:t xml:space="preserve">Note: </w:t>
      </w:r>
      <w:r>
        <w:rPr>
          <w:b w:val="0"/>
          <w:i w:val="0"/>
          <w:sz w:val="16"/>
        </w:rPr>
        <w:t>The dependent variable is the youth employment share in columns (1) and (2) and the experienced share in column (3). Each partition of the customer weights adds back to the full customer lag exactly, so the two components can be entered together. The difference is a Wald test that the two component coefficients are equal. Standard errors clustered at the firm level are in parentheses. ***, ** and * denote significance at the 1%, 5% and 10% levels.</w:t>
      </w:r>
    </w:p>
    <w:p>
      <w:pPr>
        <w:pStyle w:val="MDPI41tablecaption"/>
        <w:keepNext/>
        <w:spacing w:after="60"/>
      </w:pPr>
      <w:r>
        <w:rPr>
          <w:b/>
          <w:sz w:val="18"/>
        </w:rPr>
        <w:t xml:space="preserve">Table 10. </w:t>
      </w:r>
      <w:r>
        <w:rPr>
          <w:b w:val="0"/>
          <w:i w:val="0"/>
          <w:sz w:val="18"/>
        </w:rPr>
        <w:t>Age specificity of every channel.</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39"/>
        <w:gridCol w:w="1883"/>
        <w:gridCol w:w="2093"/>
        <w:gridCol w:w="1883"/>
        <w:gridCol w:w="1465"/>
      </w:tblGrid>
      <w:tr>
        <w:trPr>
          <w:cantSplit/>
          <w:tblHeader/>
        </w:trPr>
        <w:tc>
          <w:tcPr>
            <w:tcW w:type="dxa" w:w="3139"/>
            <w:tcBorders>
              <w:bottom w:val="single" w:sz="8" w:space="0" w:color="auto"/>
            </w:tcBorders>
          </w:tcPr>
          <w:p>
            <w:pPr>
              <w:pStyle w:val="MDPI42tablebody"/>
              <w:keepNext/>
              <w:spacing w:line="240" w:lineRule="auto" w:before="30" w:after="30"/>
              <w:jc w:val="center"/>
            </w:pPr>
            <w:r>
              <w:rPr>
                <w:b/>
                <w:i w:val="0"/>
                <w:sz w:val="18"/>
              </w:rPr>
              <w:t>Channel</w:t>
            </w:r>
          </w:p>
        </w:tc>
        <w:tc>
          <w:tcPr>
            <w:tcW w:type="dxa" w:w="1883"/>
            <w:tcBorders>
              <w:bottom w:val="single" w:sz="8" w:space="0" w:color="auto"/>
            </w:tcBorders>
          </w:tcPr>
          <w:p>
            <w:pPr>
              <w:pStyle w:val="MDPI42tablebody"/>
              <w:keepNext/>
              <w:spacing w:line="240" w:lineRule="auto" w:before="30" w:after="30"/>
              <w:jc w:val="center"/>
            </w:pPr>
            <w:r>
              <w:rPr>
                <w:b/>
                <w:i w:val="0"/>
                <w:sz w:val="18"/>
              </w:rPr>
              <w:t>Youth share</w:t>
            </w:r>
          </w:p>
        </w:tc>
        <w:tc>
          <w:tcPr>
            <w:tcW w:type="dxa" w:w="2093"/>
            <w:tcBorders>
              <w:bottom w:val="single" w:sz="8" w:space="0" w:color="auto"/>
            </w:tcBorders>
          </w:tcPr>
          <w:p>
            <w:pPr>
              <w:pStyle w:val="MDPI42tablebody"/>
              <w:keepNext/>
              <w:spacing w:line="240" w:lineRule="auto" w:before="30" w:after="30"/>
              <w:jc w:val="center"/>
            </w:pPr>
            <w:r>
              <w:rPr>
                <w:b/>
                <w:i w:val="0"/>
                <w:sz w:val="18"/>
              </w:rPr>
              <w:t>Experienced share</w:t>
            </w:r>
          </w:p>
        </w:tc>
        <w:tc>
          <w:tcPr>
            <w:tcW w:type="dxa" w:w="1883"/>
            <w:tcBorders>
              <w:bottom w:val="single" w:sz="8" w:space="0" w:color="auto"/>
            </w:tcBorders>
          </w:tcPr>
          <w:p>
            <w:pPr>
              <w:pStyle w:val="MDPI42tablebody"/>
              <w:keepNext/>
              <w:spacing w:line="240" w:lineRule="auto" w:before="30" w:after="30"/>
              <w:jc w:val="center"/>
            </w:pPr>
            <w:r>
              <w:rPr>
                <w:b/>
                <w:i w:val="0"/>
                <w:sz w:val="18"/>
              </w:rPr>
              <w:t>Difference</w:t>
            </w:r>
          </w:p>
        </w:tc>
        <w:tc>
          <w:tcPr>
            <w:tcW w:type="dxa" w:w="1465"/>
            <w:tcBorders>
              <w:bottom w:val="single" w:sz="8" w:space="0" w:color="auto"/>
            </w:tcBorders>
          </w:tcPr>
          <w:p>
            <w:pPr>
              <w:pStyle w:val="MDPI42tablebody"/>
              <w:keepNext/>
              <w:spacing w:line="240" w:lineRule="auto" w:before="30" w:after="30"/>
              <w:jc w:val="center"/>
            </w:pPr>
            <w:r>
              <w:rPr>
                <w:b/>
                <w:i w:val="0"/>
                <w:sz w:val="18"/>
              </w:rPr>
              <w:t>Ratio</w:t>
            </w:r>
          </w:p>
        </w:tc>
      </w:tr>
      <w:tr>
        <w:trPr>
          <w:cantSplit/>
        </w:trPr>
        <w:tc>
          <w:tcPr>
            <w:tcW w:type="dxa" w:w="3139"/>
          </w:tcPr>
          <w:p>
            <w:pPr>
              <w:pStyle w:val="MDPI42tablebody"/>
              <w:keepNext/>
              <w:spacing w:line="240" w:lineRule="auto" w:before="30" w:after="30"/>
              <w:jc w:val="left"/>
            </w:pPr>
            <w:r>
              <w:rPr>
                <w:b w:val="0"/>
                <w:i w:val="0"/>
                <w:sz w:val="18"/>
              </w:rPr>
              <w:t>Own adoption</w:t>
            </w:r>
          </w:p>
        </w:tc>
        <w:tc>
          <w:tcPr>
            <w:tcW w:type="dxa" w:w="1883"/>
          </w:tcPr>
          <w:p>
            <w:pPr>
              <w:pStyle w:val="MDPI42tablebody"/>
              <w:keepNext/>
              <w:spacing w:line="240" w:lineRule="auto" w:before="30" w:after="30"/>
              <w:jc w:val="center"/>
            </w:pPr>
            <w:r>
              <w:rPr>
                <w:b w:val="0"/>
                <w:i w:val="0"/>
                <w:sz w:val="18"/>
              </w:rPr>
              <w:t>−0.422***</w:t>
            </w:r>
          </w:p>
        </w:tc>
        <w:tc>
          <w:tcPr>
            <w:tcW w:type="dxa" w:w="2093"/>
          </w:tcPr>
          <w:p>
            <w:pPr>
              <w:pStyle w:val="MDPI42tablebody"/>
              <w:keepNext/>
              <w:spacing w:line="240" w:lineRule="auto" w:before="30" w:after="30"/>
              <w:jc w:val="center"/>
            </w:pPr>
            <w:r>
              <w:rPr>
                <w:b w:val="0"/>
                <w:i w:val="0"/>
                <w:sz w:val="18"/>
              </w:rPr>
              <w:t>−0.084***</w:t>
            </w:r>
          </w:p>
        </w:tc>
        <w:tc>
          <w:tcPr>
            <w:tcW w:type="dxa" w:w="1883"/>
          </w:tcPr>
          <w:p>
            <w:pPr>
              <w:pStyle w:val="MDPI42tablebody"/>
              <w:keepNext/>
              <w:spacing w:line="240" w:lineRule="auto" w:before="30" w:after="30"/>
              <w:jc w:val="center"/>
            </w:pPr>
            <w:r>
              <w:rPr>
                <w:b w:val="0"/>
                <w:i w:val="0"/>
                <w:sz w:val="18"/>
              </w:rPr>
              <w:t>0.338***</w:t>
            </w:r>
          </w:p>
        </w:tc>
        <w:tc>
          <w:tcPr>
            <w:tcW w:type="dxa" w:w="1465"/>
          </w:tcPr>
          <w:p>
            <w:pPr>
              <w:pStyle w:val="MDPI42tablebody"/>
              <w:keepNext/>
              <w:spacing w:line="240" w:lineRule="auto" w:before="30" w:after="30"/>
              <w:jc w:val="center"/>
            </w:pPr>
            <w:r>
              <w:rPr>
                <w:b w:val="0"/>
                <w:i w:val="0"/>
                <w:sz w:val="18"/>
              </w:rPr>
              <w:t>5.05</w:t>
            </w:r>
          </w:p>
        </w:tc>
      </w:tr>
      <w:tr>
        <w:trPr>
          <w:cantSplit/>
        </w:trPr>
        <w:tc>
          <w:tcPr>
            <w:tcW w:type="dxa" w:w="3139"/>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(0.018)</w:t>
            </w:r>
          </w:p>
        </w:tc>
        <w:tc>
          <w:tcPr>
            <w:tcW w:type="dxa" w:w="2093"/>
          </w:tcPr>
          <w:p>
            <w:pPr>
              <w:pStyle w:val="MDPI42tablebody"/>
              <w:keepNext/>
              <w:spacing w:line="240" w:lineRule="auto" w:before="30" w:after="30"/>
              <w:jc w:val="center"/>
            </w:pPr>
            <w:r>
              <w:rPr>
                <w:b w:val="0"/>
                <w:i w:val="0"/>
                <w:sz w:val="18"/>
              </w:rPr>
              <w:t>(0.016)</w:t>
            </w:r>
          </w:p>
        </w:tc>
        <w:tc>
          <w:tcPr>
            <w:tcW w:type="dxa" w:w="1883"/>
          </w:tcPr>
          <w:p>
            <w:pPr>
              <w:pStyle w:val="MDPI42tablebody"/>
              <w:keepNext/>
              <w:spacing w:line="240" w:lineRule="auto" w:before="30" w:after="30"/>
              <w:jc w:val="center"/>
            </w:pPr>
            <w:r>
              <w:rPr>
                <w:b w:val="0"/>
                <w:i w:val="0"/>
                <w:sz w:val="18"/>
              </w:rPr>
              <w:t>(0.023)</w:t>
            </w:r>
          </w:p>
        </w:tc>
        <w:tc>
          <w:tcPr>
            <w:tcW w:type="dxa" w:w="1465"/>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r>
              <w:rPr>
                <w:b w:val="0"/>
                <w:i w:val="0"/>
                <w:sz w:val="18"/>
              </w:rPr>
              <w:t>Suppliers' adoption</w:t>
            </w:r>
          </w:p>
        </w:tc>
        <w:tc>
          <w:tcPr>
            <w:tcW w:type="dxa" w:w="1883"/>
          </w:tcPr>
          <w:p>
            <w:pPr>
              <w:pStyle w:val="MDPI42tablebody"/>
              <w:keepNext/>
              <w:spacing w:line="240" w:lineRule="auto" w:before="30" w:after="30"/>
              <w:jc w:val="center"/>
            </w:pPr>
            <w:r>
              <w:rPr>
                <w:b w:val="0"/>
                <w:i w:val="0"/>
                <w:sz w:val="18"/>
              </w:rPr>
              <w:t>−0.246***</w:t>
            </w:r>
          </w:p>
        </w:tc>
        <w:tc>
          <w:tcPr>
            <w:tcW w:type="dxa" w:w="2093"/>
          </w:tcPr>
          <w:p>
            <w:pPr>
              <w:pStyle w:val="MDPI42tablebody"/>
              <w:keepNext/>
              <w:spacing w:line="240" w:lineRule="auto" w:before="30" w:after="30"/>
              <w:jc w:val="center"/>
            </w:pPr>
            <w:r>
              <w:rPr>
                <w:b w:val="0"/>
                <w:i w:val="0"/>
                <w:sz w:val="18"/>
              </w:rPr>
              <w:t>−0.053*</w:t>
            </w:r>
          </w:p>
        </w:tc>
        <w:tc>
          <w:tcPr>
            <w:tcW w:type="dxa" w:w="1883"/>
          </w:tcPr>
          <w:p>
            <w:pPr>
              <w:pStyle w:val="MDPI42tablebody"/>
              <w:keepNext/>
              <w:spacing w:line="240" w:lineRule="auto" w:before="30" w:after="30"/>
              <w:jc w:val="center"/>
            </w:pPr>
            <w:r>
              <w:rPr>
                <w:b w:val="0"/>
                <w:i w:val="0"/>
                <w:sz w:val="18"/>
              </w:rPr>
              <w:t>0.193***</w:t>
            </w:r>
          </w:p>
        </w:tc>
        <w:tc>
          <w:tcPr>
            <w:tcW w:type="dxa" w:w="1465"/>
          </w:tcPr>
          <w:p>
            <w:pPr>
              <w:pStyle w:val="MDPI42tablebody"/>
              <w:keepNext/>
              <w:spacing w:line="240" w:lineRule="auto" w:before="30" w:after="30"/>
              <w:jc w:val="center"/>
            </w:pPr>
            <w:r>
              <w:rPr>
                <w:b w:val="0"/>
                <w:i w:val="0"/>
                <w:sz w:val="18"/>
              </w:rPr>
              <w:t>4.65</w:t>
            </w:r>
          </w:p>
        </w:tc>
      </w:tr>
      <w:tr>
        <w:trPr>
          <w:cantSplit/>
        </w:trPr>
        <w:tc>
          <w:tcPr>
            <w:tcW w:type="dxa" w:w="3139"/>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(0.031)</w:t>
            </w:r>
          </w:p>
        </w:tc>
        <w:tc>
          <w:tcPr>
            <w:tcW w:type="dxa" w:w="2093"/>
          </w:tcPr>
          <w:p>
            <w:pPr>
              <w:pStyle w:val="MDPI42tablebody"/>
              <w:keepNext/>
              <w:spacing w:line="240" w:lineRule="auto" w:before="30" w:after="30"/>
              <w:jc w:val="center"/>
            </w:pPr>
            <w:r>
              <w:rPr>
                <w:b w:val="0"/>
                <w:i w:val="0"/>
                <w:sz w:val="18"/>
              </w:rPr>
              <w:t>(0.028)</w:t>
            </w:r>
          </w:p>
        </w:tc>
        <w:tc>
          <w:tcPr>
            <w:tcW w:type="dxa" w:w="1883"/>
          </w:tcPr>
          <w:p>
            <w:pPr>
              <w:pStyle w:val="MDPI42tablebody"/>
              <w:keepNext/>
              <w:spacing w:line="240" w:lineRule="auto" w:before="30" w:after="30"/>
              <w:jc w:val="center"/>
            </w:pPr>
            <w:r>
              <w:rPr>
                <w:b w:val="0"/>
                <w:i w:val="0"/>
                <w:sz w:val="18"/>
              </w:rPr>
              <w:t>(0.041)</w:t>
            </w:r>
          </w:p>
        </w:tc>
        <w:tc>
          <w:tcPr>
            <w:tcW w:type="dxa" w:w="1465"/>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r>
              <w:rPr>
                <w:b w:val="0"/>
                <w:i w:val="0"/>
                <w:sz w:val="18"/>
              </w:rPr>
              <w:t>Customers' adoption</w:t>
            </w:r>
          </w:p>
        </w:tc>
        <w:tc>
          <w:tcPr>
            <w:tcW w:type="dxa" w:w="1883"/>
          </w:tcPr>
          <w:p>
            <w:pPr>
              <w:pStyle w:val="MDPI42tablebody"/>
              <w:keepNext/>
              <w:spacing w:line="240" w:lineRule="auto" w:before="30" w:after="30"/>
              <w:jc w:val="center"/>
            </w:pPr>
            <w:r>
              <w:rPr>
                <w:b w:val="0"/>
                <w:i w:val="0"/>
                <w:sz w:val="18"/>
              </w:rPr>
              <w:t>−0.396***</w:t>
            </w:r>
          </w:p>
        </w:tc>
        <w:tc>
          <w:tcPr>
            <w:tcW w:type="dxa" w:w="2093"/>
          </w:tcPr>
          <w:p>
            <w:pPr>
              <w:pStyle w:val="MDPI42tablebody"/>
              <w:keepNext/>
              <w:spacing w:line="240" w:lineRule="auto" w:before="30" w:after="30"/>
              <w:jc w:val="center"/>
            </w:pPr>
            <w:r>
              <w:rPr>
                <w:b w:val="0"/>
                <w:i w:val="0"/>
                <w:sz w:val="18"/>
              </w:rPr>
              <w:t>−0.096***</w:t>
            </w:r>
          </w:p>
        </w:tc>
        <w:tc>
          <w:tcPr>
            <w:tcW w:type="dxa" w:w="1883"/>
          </w:tcPr>
          <w:p>
            <w:pPr>
              <w:pStyle w:val="MDPI42tablebody"/>
              <w:keepNext/>
              <w:spacing w:line="240" w:lineRule="auto" w:before="30" w:after="30"/>
              <w:jc w:val="center"/>
            </w:pPr>
            <w:r>
              <w:rPr>
                <w:b w:val="0"/>
                <w:i w:val="0"/>
                <w:sz w:val="18"/>
              </w:rPr>
              <w:t>0.300***</w:t>
            </w:r>
          </w:p>
        </w:tc>
        <w:tc>
          <w:tcPr>
            <w:tcW w:type="dxa" w:w="1465"/>
          </w:tcPr>
          <w:p>
            <w:pPr>
              <w:pStyle w:val="MDPI42tablebody"/>
              <w:keepNext/>
              <w:spacing w:line="240" w:lineRule="auto" w:before="30" w:after="30"/>
              <w:jc w:val="center"/>
            </w:pPr>
            <w:r>
              <w:rPr>
                <w:b w:val="0"/>
                <w:i w:val="0"/>
                <w:sz w:val="18"/>
              </w:rPr>
              <w:t>4.14</w:t>
            </w:r>
          </w:p>
        </w:tc>
      </w:tr>
      <w:tr>
        <w:trPr>
          <w:cantSplit/>
        </w:trPr>
        <w:tc>
          <w:tcPr>
            <w:tcW w:type="dxa" w:w="3139"/>
          </w:tcPr>
          <w:p>
            <w:pPr>
              <w:pStyle w:val="MDPI42tablebody"/>
              <w:keepNext/>
              <w:spacing w:line="240" w:lineRule="auto" w:before="30" w:after="30"/>
              <w:jc w:val="left"/>
            </w:pPr>
          </w:p>
        </w:tc>
        <w:tc>
          <w:tcPr>
            <w:tcW w:type="dxa" w:w="1883"/>
          </w:tcPr>
          <w:p>
            <w:pPr>
              <w:pStyle w:val="MDPI42tablebody"/>
              <w:keepNext/>
              <w:spacing w:line="240" w:lineRule="auto" w:before="30" w:after="30"/>
              <w:jc w:val="center"/>
            </w:pPr>
            <w:r>
              <w:rPr>
                <w:b w:val="0"/>
                <w:i w:val="0"/>
                <w:sz w:val="18"/>
              </w:rPr>
              <w:t>(0.032)</w:t>
            </w:r>
          </w:p>
        </w:tc>
        <w:tc>
          <w:tcPr>
            <w:tcW w:type="dxa" w:w="2093"/>
          </w:tcPr>
          <w:p>
            <w:pPr>
              <w:pStyle w:val="MDPI42tablebody"/>
              <w:keepNext/>
              <w:spacing w:line="240" w:lineRule="auto" w:before="30" w:after="30"/>
              <w:jc w:val="center"/>
            </w:pPr>
            <w:r>
              <w:rPr>
                <w:b w:val="0"/>
                <w:i w:val="0"/>
                <w:sz w:val="18"/>
              </w:rPr>
              <w:t>(0.028)</w:t>
            </w:r>
          </w:p>
        </w:tc>
        <w:tc>
          <w:tcPr>
            <w:tcW w:type="dxa" w:w="1883"/>
          </w:tcPr>
          <w:p>
            <w:pPr>
              <w:pStyle w:val="MDPI42tablebody"/>
              <w:keepNext/>
              <w:spacing w:line="240" w:lineRule="auto" w:before="30" w:after="30"/>
              <w:jc w:val="center"/>
            </w:pPr>
            <w:r>
              <w:rPr>
                <w:b w:val="0"/>
                <w:i w:val="0"/>
                <w:sz w:val="18"/>
              </w:rPr>
              <w:t>(0.041)</w:t>
            </w:r>
          </w:p>
        </w:tc>
        <w:tc>
          <w:tcPr>
            <w:tcW w:type="dxa" w:w="1465"/>
          </w:tcPr>
          <w:p>
            <w:pPr>
              <w:pStyle w:val="MDPI42tablebody"/>
              <w:keepNext/>
              <w:spacing w:line="240" w:lineRule="auto" w:before="30" w:after="30"/>
              <w:jc w:val="center"/>
            </w:pPr>
          </w:p>
        </w:tc>
      </w:tr>
      <w:tr>
        <w:trPr>
          <w:cantSplit/>
        </w:trPr>
        <w:tc>
          <w:tcPr>
            <w:tcW w:type="dxa" w:w="3139"/>
          </w:tcPr>
          <w:p>
            <w:pPr>
              <w:pStyle w:val="MDPI42tablebody"/>
              <w:keepNext/>
              <w:spacing w:line="240" w:lineRule="auto" w:before="30" w:after="30"/>
              <w:jc w:val="left"/>
            </w:pPr>
            <w:r>
              <w:rPr>
                <w:b w:val="0"/>
                <w:i w:val="0"/>
                <w:sz w:val="18"/>
              </w:rPr>
              <w:t>Local peers' adoption</w:t>
            </w:r>
          </w:p>
        </w:tc>
        <w:tc>
          <w:tcPr>
            <w:tcW w:type="dxa" w:w="1883"/>
          </w:tcPr>
          <w:p>
            <w:pPr>
              <w:pStyle w:val="MDPI42tablebody"/>
              <w:keepNext/>
              <w:spacing w:line="240" w:lineRule="auto" w:before="30" w:after="30"/>
              <w:jc w:val="center"/>
            </w:pPr>
            <w:r>
              <w:rPr>
                <w:b w:val="0"/>
                <w:i w:val="0"/>
                <w:sz w:val="18"/>
              </w:rPr>
              <w:t>0.334***</w:t>
            </w:r>
          </w:p>
        </w:tc>
        <w:tc>
          <w:tcPr>
            <w:tcW w:type="dxa" w:w="2093"/>
          </w:tcPr>
          <w:p>
            <w:pPr>
              <w:pStyle w:val="MDPI42tablebody"/>
              <w:keepNext/>
              <w:spacing w:line="240" w:lineRule="auto" w:before="30" w:after="30"/>
              <w:jc w:val="center"/>
            </w:pPr>
            <w:r>
              <w:rPr>
                <w:b w:val="0"/>
                <w:i w:val="0"/>
                <w:sz w:val="18"/>
              </w:rPr>
              <w:t>0.051</w:t>
            </w:r>
          </w:p>
        </w:tc>
        <w:tc>
          <w:tcPr>
            <w:tcW w:type="dxa" w:w="1883"/>
          </w:tcPr>
          <w:p>
            <w:pPr>
              <w:pStyle w:val="MDPI42tablebody"/>
              <w:keepNext/>
              <w:spacing w:line="240" w:lineRule="auto" w:before="30" w:after="30"/>
              <w:jc w:val="center"/>
            </w:pPr>
            <w:r>
              <w:rPr>
                <w:b w:val="0"/>
                <w:i w:val="0"/>
                <w:sz w:val="18"/>
              </w:rPr>
              <w:t>−0.283***</w:t>
            </w:r>
          </w:p>
        </w:tc>
        <w:tc>
          <w:tcPr>
            <w:tcW w:type="dxa" w:w="1465"/>
          </w:tcPr>
          <w:p>
            <w:pPr>
              <w:pStyle w:val="MDPI42tablebody"/>
              <w:keepNext/>
              <w:spacing w:line="240" w:lineRule="auto" w:before="30" w:after="30"/>
              <w:jc w:val="center"/>
            </w:pPr>
            <w:r>
              <w:rPr>
                <w:b w:val="0"/>
                <w:i w:val="0"/>
                <w:sz w:val="18"/>
              </w:rPr>
              <w:t>6.51</w:t>
            </w:r>
          </w:p>
        </w:tc>
      </w:tr>
      <w:tr>
        <w:trPr>
          <w:cantSplit/>
        </w:trPr>
        <w:tc>
          <w:tcPr>
            <w:tcW w:type="dxa" w:w="3139"/>
          </w:tcPr>
          <w:p>
            <w:pPr>
              <w:pStyle w:val="MDPI42tablebody"/>
              <w:spacing w:line="240" w:lineRule="auto" w:before="30" w:after="30"/>
              <w:jc w:val="left"/>
            </w:pPr>
          </w:p>
        </w:tc>
        <w:tc>
          <w:tcPr>
            <w:tcW w:type="dxa" w:w="1883"/>
          </w:tcPr>
          <w:p>
            <w:pPr>
              <w:pStyle w:val="MDPI42tablebody"/>
              <w:spacing w:line="240" w:lineRule="auto" w:before="30" w:after="30"/>
              <w:jc w:val="center"/>
            </w:pPr>
            <w:r>
              <w:rPr>
                <w:b w:val="0"/>
                <w:i w:val="0"/>
                <w:sz w:val="18"/>
              </w:rPr>
              <w:t>(0.078)</w:t>
            </w:r>
          </w:p>
        </w:tc>
        <w:tc>
          <w:tcPr>
            <w:tcW w:type="dxa" w:w="2093"/>
          </w:tcPr>
          <w:p>
            <w:pPr>
              <w:pStyle w:val="MDPI42tablebody"/>
              <w:spacing w:line="240" w:lineRule="auto" w:before="30" w:after="30"/>
              <w:jc w:val="center"/>
            </w:pPr>
            <w:r>
              <w:rPr>
                <w:b w:val="0"/>
                <w:i w:val="0"/>
                <w:sz w:val="18"/>
              </w:rPr>
              <w:t>(0.070)</w:t>
            </w:r>
          </w:p>
        </w:tc>
        <w:tc>
          <w:tcPr>
            <w:tcW w:type="dxa" w:w="1883"/>
          </w:tcPr>
          <w:p>
            <w:pPr>
              <w:pStyle w:val="MDPI42tablebody"/>
              <w:spacing w:line="240" w:lineRule="auto" w:before="30" w:after="30"/>
              <w:jc w:val="center"/>
            </w:pPr>
            <w:r>
              <w:rPr>
                <w:b w:val="0"/>
                <w:i w:val="0"/>
                <w:sz w:val="18"/>
              </w:rPr>
              <w:t>(0.106)</w:t>
            </w:r>
          </w:p>
        </w:tc>
        <w:tc>
          <w:tcPr>
            <w:tcW w:type="dxa" w:w="1465"/>
          </w:tcPr>
          <w:p>
            <w:pPr>
              <w:pStyle w:val="MDPI42tablebody"/>
              <w:spacing w:line="240" w:lineRule="auto" w:before="30" w:after="30"/>
              <w:jc w:val="center"/>
            </w:pPr>
          </w:p>
        </w:tc>
      </w:tr>
    </w:tbl>
    <w:p>
      <w:pPr>
        <w:pStyle w:val="MDPI43tablefooter"/>
        <w:spacing w:line="240" w:lineRule="auto" w:before="40" w:after="200"/>
        <w:ind w:left="2608" w:firstLine="0"/>
      </w:pPr>
      <w:r>
        <w:rPr>
          <w:sz w:val="16"/>
        </w:rPr>
        <w:t xml:space="preserve">Note: </w:t>
      </w:r>
      <w:r>
        <w:rPr>
          <w:b w:val="0"/>
          <w:i w:val="0"/>
          <w:sz w:val="16"/>
        </w:rPr>
        <w:t>Each row reports the coefficient on the channel named in the first column from Equation (6) estimated on the youth share and on the experienced share. The difference is the coefficient on the interaction of that channel with an equation indicator in the stacked model, whose covariance is clustered on the firm across both equations; the ratio is the youth coefficient divided by the experienced one. Standard errors clustered at the firm level are in parentheses. ***, ** and * denote significance at the 1%, 5% and 10% levels.</w:t>
      </w:r>
    </w:p>
    <w:p>
      <w:pPr>
        <w:pStyle w:val="MDPI21heading1"/>
      </w:pPr>
      <w:r>
        <w:t>5. Further Investigations</w:t>
      </w:r>
    </w:p>
    <w:p>
      <w:pPr>
        <w:pStyle w:val="MDPI22heading2"/>
      </w:pPr>
      <w:r>
        <w:t>5.1. Robustness</w:t>
      </w:r>
    </w:p>
    <w:p>
      <w:pPr>
        <w:pStyle w:val="MDPI32textnoindent"/>
      </w:pPr>
      <w:r>
        <w:rPr>
          <w:b w:val="0"/>
          <w:i w:val="0"/>
        </w:rPr>
        <w:t>Table 11 reports 12 alternative specifications, showing the own-adoption and the customer-lag coefficients side by side. Replacing the year effects with industry-by-year and then city-by-year effects — the latter absorbing any shock common to a city in a year, including any local demand shock that might masquerade as a network effect — leaves both coefficients essentially unchanged. Clustering on both the firm and the year, weighting by employment, restricting to the balanced panel, dropping the pandemic years, dropping state-owned firms, dropping the four largest cities, using the logarithm of the youth head count and adding the lagged dependent variable all leave the conclusion intact. Across the specifications measured in the units of the baseline the own coefficient ranges from −0.445 to −0.371 and the customer lag from −0.432 to −0.370.</w:t>
      </w:r>
    </w:p>
    <w:p>
      <w:pPr>
        <w:pStyle w:val="MDPI31text"/>
      </w:pPr>
      <w:r>
        <w:rPr>
          <w:b w:val="0"/>
          <w:i w:val="0"/>
        </w:rPr>
        <w:t xml:space="preserve">Two further checks address inference and omitted variables. A restricted wild cluster bootstrap with Rademacher weights and 999 replications gives p = 0.001 for the customer lag </w:t>
      </w:r>
      <w:r>
        <w:t>[</w:t>
      </w:r>
      <w:r>
        <w:fldChar w:fldCharType="begin"/>
      </w:r>
      <w:r>
        <w:instrText xml:space="preserve"> REF _Ref_62 \h </w:instrText>
      </w:r>
      <w:r>
        <w:fldChar w:fldCharType="separate"/>
      </w:r>
      <w:r>
        <w:t>62</w:t>
      </w:r>
      <w:r>
        <w:fldChar w:fldCharType="end"/>
      </w:r>
      <w:r>
        <w:t>,</w:t>
      </w:r>
      <w:r>
        <w:fldChar w:fldCharType="begin"/>
      </w:r>
      <w:r>
        <w:instrText xml:space="preserve"> REF _Ref_63 \h </w:instrText>
      </w:r>
      <w:r>
        <w:fldChar w:fldCharType="separate"/>
      </w:r>
      <w:r>
        <w:t>63</w:t>
      </w:r>
      <w:r>
        <w:fldChar w:fldCharType="end"/>
      </w:r>
      <w:r>
        <w:t>]</w:t>
      </w:r>
      <w:r>
        <w:rPr>
          <w:b w:val="0"/>
          <w:i w:val="0"/>
        </w:rPr>
        <w:t xml:space="preserve">. The coefficient-stability bound of Oster </w:t>
      </w:r>
      <w:r>
        <w:t>[</w:t>
      </w:r>
      <w:r>
        <w:fldChar w:fldCharType="begin"/>
      </w:r>
      <w:r>
        <w:instrText xml:space="preserve"> REF _Ref_64 \h </w:instrText>
      </w:r>
      <w:r>
        <w:fldChar w:fldCharType="separate"/>
      </w:r>
      <w:r>
        <w:t>64</w:t>
      </w:r>
      <w:r>
        <w:fldChar w:fldCharType="end"/>
      </w:r>
      <w:r>
        <w:t>]</w:t>
      </w:r>
      <w:r>
        <w:rPr>
          <w:b w:val="0"/>
          <w:i w:val="0"/>
        </w:rPr>
        <w:t xml:space="preserve"> moves the customer-lag coefficient from −0.403 without controls to −0.396 with them while the R-squared rises from 0.037 to 0.107; the bias-adjusted value is −0.393 and selection on unobservables would have to be 124 times as important as selection on the observed controls to drive the estimate to zero.</w:t>
      </w:r>
    </w:p>
    <w:p>
      <w:pPr>
        <w:pStyle w:val="MDPI31text"/>
      </w:pPr>
      <w:r>
        <w:rPr>
          <w:b w:val="0"/>
          <w:i w:val="0"/>
        </w:rPr>
        <w:t>The sharpest check is in Appendix A. Table A1 replaces the customer weights with unweighted links and with the single largest customer, shifts the customer lag two years back and two years forward, and finally rewires the customer links at random while leaving every firm's own adoption, own characteristics and own outcome untouched. The lead specification is a placebo — a firm's youth employment today should not respond to its customers' adoption two years hence — and the rewired specification is the strongest available test that the network is the conduit. We also re-estimate the whole model on 300 random rewirings of all three matrices, preserving the degree distribution: the actual customer-lag coefficient is −0.396 against a rewired distribution centred on −0.006 with a standard deviation of 0.030, giving a randomisation p-value of 0.003; the supplier and local lags give the same answer. Whatever the estimated spillovers are, they are not a property of the firms — they are a property of who is connected to whom.</w:t>
      </w:r>
    </w:p>
    <w:p>
      <w:pPr>
        <w:pStyle w:val="MDPI41tablecaption"/>
        <w:keepNext/>
        <w:spacing w:after="60"/>
      </w:pPr>
      <w:r>
        <w:rPr>
          <w:b/>
          <w:sz w:val="18"/>
        </w:rPr>
        <w:t xml:space="preserve">Table 11. </w:t>
      </w:r>
      <w:r>
        <w:rPr>
          <w:b w:val="0"/>
          <w:i w:val="0"/>
          <w:sz w:val="18"/>
        </w:rPr>
        <w:t>Robustness checks.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186"/>
        <w:gridCol w:w="1360"/>
        <w:gridCol w:w="1360"/>
        <w:gridCol w:w="1360"/>
        <w:gridCol w:w="1360"/>
        <w:gridCol w:w="837"/>
      </w:tblGrid>
      <w:tr>
        <w:trPr>
          <w:cantSplit/>
          <w:tblHeader/>
        </w:trPr>
        <w:tc>
          <w:tcPr>
            <w:tcW w:type="dxa" w:w="4186"/>
            <w:tcBorders>
              <w:bottom w:val="single" w:sz="8" w:space="0" w:color="auto"/>
            </w:tcBorders>
          </w:tcPr>
          <w:p>
            <w:pPr>
              <w:pStyle w:val="MDPI42tablebody"/>
              <w:keepNext/>
              <w:spacing w:line="240" w:lineRule="auto" w:before="30" w:after="30"/>
              <w:jc w:val="center"/>
            </w:pPr>
            <w:r>
              <w:rPr>
                <w:b/>
                <w:i w:val="0"/>
                <w:sz w:val="18"/>
              </w:rPr>
              <w:t>Specification</w:t>
            </w:r>
          </w:p>
        </w:tc>
        <w:tc>
          <w:tcPr>
            <w:tcW w:type="dxa" w:w="1360"/>
            <w:tcBorders>
              <w:bottom w:val="single" w:sz="8" w:space="0" w:color="auto"/>
            </w:tcBorders>
          </w:tcPr>
          <w:p>
            <w:pPr>
              <w:pStyle w:val="MDPI42tablebody"/>
              <w:keepNext/>
              <w:spacing w:line="240" w:lineRule="auto" w:before="30" w:after="30"/>
              <w:jc w:val="center"/>
            </w:pPr>
            <w:r>
              <w:rPr>
                <w:b/>
                <w:i w:val="0"/>
                <w:sz w:val="18"/>
              </w:rPr>
              <w:t>A</w:t>
            </w:r>
          </w:p>
        </w:tc>
        <w:tc>
          <w:tcPr>
            <w:tcW w:type="dxa" w:w="1360"/>
            <w:tcBorders>
              <w:bottom w:val="single" w:sz="8" w:space="0" w:color="auto"/>
            </w:tcBorders>
          </w:tcPr>
          <w:p>
            <w:pPr>
              <w:pStyle w:val="MDPI42tablebody"/>
              <w:keepNext/>
              <w:spacing w:line="240" w:lineRule="auto" w:before="30" w:after="30"/>
              <w:jc w:val="center"/>
            </w:pPr>
            <w:r>
              <w:rPr>
                <w:b/>
                <w:i w:val="0"/>
                <w:sz w:val="18"/>
              </w:rPr>
              <w:t>SE</w:t>
            </w:r>
          </w:p>
        </w:tc>
        <w:tc>
          <w:tcPr>
            <w:tcW w:type="dxa" w:w="1360"/>
            <w:tcBorders>
              <w:bottom w:val="single" w:sz="8" w:space="0" w:color="auto"/>
            </w:tcBorders>
          </w:tcPr>
          <w:p>
            <w:pPr>
              <w:pStyle w:val="MDPI42tablebody"/>
              <w:keepNext/>
              <w:spacing w:line="240" w:lineRule="auto" w:before="30" w:after="30"/>
              <w:jc w:val="center"/>
            </w:pPr>
            <w:r>
              <w:rPr>
                <w:b/>
                <w:i w:val="0"/>
                <w:sz w:val="18"/>
              </w:rPr>
              <w:t>A</w:t>
            </w:r>
            <w:r>
              <w:rPr>
                <w:b/>
                <w:i w:val="0"/>
                <w:sz w:val="18"/>
                <w:vertAlign w:val="superscript"/>
              </w:rPr>
              <w:t>d</w:t>
            </w:r>
          </w:p>
        </w:tc>
        <w:tc>
          <w:tcPr>
            <w:tcW w:type="dxa" w:w="1360"/>
            <w:tcBorders>
              <w:bottom w:val="single" w:sz="8" w:space="0" w:color="auto"/>
            </w:tcBorders>
          </w:tcPr>
          <w:p>
            <w:pPr>
              <w:pStyle w:val="MDPI42tablebody"/>
              <w:keepNext/>
              <w:spacing w:line="240" w:lineRule="auto" w:before="30" w:after="30"/>
              <w:jc w:val="center"/>
            </w:pPr>
            <w:r>
              <w:rPr>
                <w:b/>
                <w:i w:val="0"/>
                <w:sz w:val="18"/>
              </w:rPr>
              <w:t>SE</w:t>
            </w:r>
          </w:p>
        </w:tc>
        <w:tc>
          <w:tcPr>
            <w:tcW w:type="dxa" w:w="837"/>
            <w:tcBorders>
              <w:bottom w:val="single" w:sz="8" w:space="0" w:color="auto"/>
            </w:tcBorders>
          </w:tcPr>
          <w:p>
            <w:pPr>
              <w:pStyle w:val="MDPI42tablebody"/>
              <w:keepNext/>
              <w:spacing w:line="240" w:lineRule="auto" w:before="30" w:after="30"/>
              <w:jc w:val="center"/>
            </w:pPr>
            <w:r>
              <w:rPr>
                <w:b/>
                <w:i w:val="0"/>
                <w:sz w:val="18"/>
              </w:rPr>
              <w:t>N</w:t>
            </w:r>
          </w:p>
        </w:tc>
      </w:tr>
      <w:tr>
        <w:trPr>
          <w:cantSplit/>
        </w:trPr>
        <w:tc>
          <w:tcPr>
            <w:tcW w:type="dxa" w:w="4186"/>
          </w:tcPr>
          <w:p>
            <w:pPr>
              <w:pStyle w:val="MDPI42tablebody"/>
              <w:keepNext/>
              <w:spacing w:line="240" w:lineRule="auto" w:before="30" w:after="30"/>
              <w:jc w:val="left"/>
            </w:pPr>
            <w:r>
              <w:rPr>
                <w:b w:val="0"/>
                <w:i w:val="0"/>
                <w:sz w:val="18"/>
              </w:rPr>
              <w:t>Baseline</w:t>
            </w:r>
          </w:p>
        </w:tc>
        <w:tc>
          <w:tcPr>
            <w:tcW w:type="dxa" w:w="1360"/>
          </w:tcPr>
          <w:p>
            <w:pPr>
              <w:pStyle w:val="MDPI42tablebody"/>
              <w:keepNext/>
              <w:spacing w:line="240" w:lineRule="auto" w:before="30" w:after="30"/>
              <w:jc w:val="center"/>
            </w:pPr>
            <w:r>
              <w:rPr>
                <w:b w:val="0"/>
                <w:i w:val="0"/>
                <w:sz w:val="18"/>
              </w:rPr>
              <w:t>−0.422***</w:t>
            </w:r>
          </w:p>
        </w:tc>
        <w:tc>
          <w:tcPr>
            <w:tcW w:type="dxa" w:w="1360"/>
          </w:tcPr>
          <w:p>
            <w:pPr>
              <w:pStyle w:val="MDPI42tablebody"/>
              <w:keepNext/>
              <w:spacing w:line="240" w:lineRule="auto" w:before="30" w:after="30"/>
              <w:jc w:val="center"/>
            </w:pPr>
            <w:r>
              <w:rPr>
                <w:b w:val="0"/>
                <w:i w:val="0"/>
                <w:sz w:val="18"/>
              </w:rPr>
              <w:t>(0.018)</w:t>
            </w:r>
          </w:p>
        </w:tc>
        <w:tc>
          <w:tcPr>
            <w:tcW w:type="dxa" w:w="1360"/>
          </w:tcPr>
          <w:p>
            <w:pPr>
              <w:pStyle w:val="MDPI42tablebody"/>
              <w:keepNext/>
              <w:spacing w:line="240" w:lineRule="auto" w:before="30" w:after="30"/>
              <w:jc w:val="center"/>
            </w:pPr>
            <w:r>
              <w:rPr>
                <w:b w:val="0"/>
                <w:i w:val="0"/>
                <w:sz w:val="18"/>
              </w:rPr>
              <w:t>−0.396***</w:t>
            </w:r>
          </w:p>
        </w:tc>
        <w:tc>
          <w:tcPr>
            <w:tcW w:type="dxa" w:w="1360"/>
          </w:tcPr>
          <w:p>
            <w:pPr>
              <w:pStyle w:val="MDPI42tablebody"/>
              <w:keepNext/>
              <w:spacing w:line="240" w:lineRule="auto" w:before="30" w:after="30"/>
              <w:jc w:val="center"/>
            </w:pPr>
            <w:r>
              <w:rPr>
                <w:b w:val="0"/>
                <w:i w:val="0"/>
                <w:sz w:val="18"/>
              </w:rPr>
              <w:t>(0.032)</w:t>
            </w:r>
          </w:p>
        </w:tc>
        <w:tc>
          <w:tcPr>
            <w:tcW w:type="dxa" w:w="837"/>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Industry x year effects</w:t>
            </w:r>
          </w:p>
        </w:tc>
        <w:tc>
          <w:tcPr>
            <w:tcW w:type="dxa" w:w="1360"/>
          </w:tcPr>
          <w:p>
            <w:pPr>
              <w:pStyle w:val="MDPI42tablebody"/>
              <w:keepNext/>
              <w:spacing w:line="240" w:lineRule="auto" w:before="30" w:after="30"/>
              <w:jc w:val="center"/>
            </w:pPr>
            <w:r>
              <w:rPr>
                <w:b w:val="0"/>
                <w:i w:val="0"/>
                <w:sz w:val="18"/>
              </w:rPr>
              <w:t>−0.371***</w:t>
            </w:r>
          </w:p>
        </w:tc>
        <w:tc>
          <w:tcPr>
            <w:tcW w:type="dxa" w:w="1360"/>
          </w:tcPr>
          <w:p>
            <w:pPr>
              <w:pStyle w:val="MDPI42tablebody"/>
              <w:keepNext/>
              <w:spacing w:line="240" w:lineRule="auto" w:before="30" w:after="30"/>
              <w:jc w:val="center"/>
            </w:pPr>
            <w:r>
              <w:rPr>
                <w:b w:val="0"/>
                <w:i w:val="0"/>
                <w:sz w:val="18"/>
              </w:rPr>
              <w:t>(0.021)</w:t>
            </w:r>
          </w:p>
        </w:tc>
        <w:tc>
          <w:tcPr>
            <w:tcW w:type="dxa" w:w="1360"/>
          </w:tcPr>
          <w:p>
            <w:pPr>
              <w:pStyle w:val="MDPI42tablebody"/>
              <w:keepNext/>
              <w:spacing w:line="240" w:lineRule="auto" w:before="30" w:after="30"/>
              <w:jc w:val="center"/>
            </w:pPr>
            <w:r>
              <w:rPr>
                <w:b w:val="0"/>
                <w:i w:val="0"/>
                <w:sz w:val="18"/>
              </w:rPr>
              <w:t>−0.385***</w:t>
            </w:r>
          </w:p>
        </w:tc>
        <w:tc>
          <w:tcPr>
            <w:tcW w:type="dxa" w:w="1360"/>
          </w:tcPr>
          <w:p>
            <w:pPr>
              <w:pStyle w:val="MDPI42tablebody"/>
              <w:keepNext/>
              <w:spacing w:line="240" w:lineRule="auto" w:before="30" w:after="30"/>
              <w:jc w:val="center"/>
            </w:pPr>
            <w:r>
              <w:rPr>
                <w:b w:val="0"/>
                <w:i w:val="0"/>
                <w:sz w:val="18"/>
              </w:rPr>
              <w:t>(0.033)</w:t>
            </w:r>
          </w:p>
        </w:tc>
        <w:tc>
          <w:tcPr>
            <w:tcW w:type="dxa" w:w="837"/>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City x year effects</w:t>
            </w:r>
          </w:p>
        </w:tc>
        <w:tc>
          <w:tcPr>
            <w:tcW w:type="dxa" w:w="1360"/>
          </w:tcPr>
          <w:p>
            <w:pPr>
              <w:pStyle w:val="MDPI42tablebody"/>
              <w:keepNext/>
              <w:spacing w:line="240" w:lineRule="auto" w:before="30" w:after="30"/>
              <w:jc w:val="center"/>
            </w:pPr>
            <w:r>
              <w:rPr>
                <w:b w:val="0"/>
                <w:i w:val="0"/>
                <w:sz w:val="18"/>
              </w:rPr>
              <w:t>−0.388***</w:t>
            </w:r>
          </w:p>
        </w:tc>
        <w:tc>
          <w:tcPr>
            <w:tcW w:type="dxa" w:w="1360"/>
          </w:tcPr>
          <w:p>
            <w:pPr>
              <w:pStyle w:val="MDPI42tablebody"/>
              <w:keepNext/>
              <w:spacing w:line="240" w:lineRule="auto" w:before="30" w:after="30"/>
              <w:jc w:val="center"/>
            </w:pPr>
            <w:r>
              <w:rPr>
                <w:b w:val="0"/>
                <w:i w:val="0"/>
                <w:sz w:val="18"/>
              </w:rPr>
              <w:t>(0.130)</w:t>
            </w:r>
          </w:p>
        </w:tc>
        <w:tc>
          <w:tcPr>
            <w:tcW w:type="dxa" w:w="1360"/>
          </w:tcPr>
          <w:p>
            <w:pPr>
              <w:pStyle w:val="MDPI42tablebody"/>
              <w:keepNext/>
              <w:spacing w:line="240" w:lineRule="auto" w:before="30" w:after="30"/>
              <w:jc w:val="center"/>
            </w:pPr>
            <w:r>
              <w:rPr>
                <w:b w:val="0"/>
                <w:i w:val="0"/>
                <w:sz w:val="18"/>
              </w:rPr>
              <w:t>−0.396***</w:t>
            </w:r>
          </w:p>
        </w:tc>
        <w:tc>
          <w:tcPr>
            <w:tcW w:type="dxa" w:w="1360"/>
          </w:tcPr>
          <w:p>
            <w:pPr>
              <w:pStyle w:val="MDPI42tablebody"/>
              <w:keepNext/>
              <w:spacing w:line="240" w:lineRule="auto" w:before="30" w:after="30"/>
              <w:jc w:val="center"/>
            </w:pPr>
            <w:r>
              <w:rPr>
                <w:b w:val="0"/>
                <w:i w:val="0"/>
                <w:sz w:val="18"/>
              </w:rPr>
              <w:t>(0.033)</w:t>
            </w:r>
          </w:p>
        </w:tc>
        <w:tc>
          <w:tcPr>
            <w:tcW w:type="dxa" w:w="837"/>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Two-way clustering (firm and year)</w:t>
            </w:r>
          </w:p>
        </w:tc>
        <w:tc>
          <w:tcPr>
            <w:tcW w:type="dxa" w:w="1360"/>
          </w:tcPr>
          <w:p>
            <w:pPr>
              <w:pStyle w:val="MDPI42tablebody"/>
              <w:keepNext/>
              <w:spacing w:line="240" w:lineRule="auto" w:before="30" w:after="30"/>
              <w:jc w:val="center"/>
            </w:pPr>
            <w:r>
              <w:rPr>
                <w:b w:val="0"/>
                <w:i w:val="0"/>
                <w:sz w:val="18"/>
              </w:rPr>
              <w:t>−0.422***</w:t>
            </w:r>
          </w:p>
        </w:tc>
        <w:tc>
          <w:tcPr>
            <w:tcW w:type="dxa" w:w="1360"/>
          </w:tcPr>
          <w:p>
            <w:pPr>
              <w:pStyle w:val="MDPI42tablebody"/>
              <w:keepNext/>
              <w:spacing w:line="240" w:lineRule="auto" w:before="30" w:after="30"/>
              <w:jc w:val="center"/>
            </w:pPr>
            <w:r>
              <w:rPr>
                <w:b w:val="0"/>
                <w:i w:val="0"/>
                <w:sz w:val="18"/>
              </w:rPr>
              <w:t>(0.023)</w:t>
            </w:r>
          </w:p>
        </w:tc>
        <w:tc>
          <w:tcPr>
            <w:tcW w:type="dxa" w:w="1360"/>
          </w:tcPr>
          <w:p>
            <w:pPr>
              <w:pStyle w:val="MDPI42tablebody"/>
              <w:keepNext/>
              <w:spacing w:line="240" w:lineRule="auto" w:before="30" w:after="30"/>
              <w:jc w:val="center"/>
            </w:pPr>
            <w:r>
              <w:rPr>
                <w:b w:val="0"/>
                <w:i w:val="0"/>
                <w:sz w:val="18"/>
              </w:rPr>
              <w:t>−0.396***</w:t>
            </w:r>
          </w:p>
        </w:tc>
        <w:tc>
          <w:tcPr>
            <w:tcW w:type="dxa" w:w="1360"/>
          </w:tcPr>
          <w:p>
            <w:pPr>
              <w:pStyle w:val="MDPI42tablebody"/>
              <w:keepNext/>
              <w:spacing w:line="240" w:lineRule="auto" w:before="30" w:after="30"/>
              <w:jc w:val="center"/>
            </w:pPr>
            <w:r>
              <w:rPr>
                <w:b w:val="0"/>
                <w:i w:val="0"/>
                <w:sz w:val="18"/>
              </w:rPr>
              <w:t>(0.025)</w:t>
            </w:r>
          </w:p>
        </w:tc>
        <w:tc>
          <w:tcPr>
            <w:tcW w:type="dxa" w:w="837"/>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Employment-weighted</w:t>
            </w:r>
          </w:p>
        </w:tc>
        <w:tc>
          <w:tcPr>
            <w:tcW w:type="dxa" w:w="1360"/>
          </w:tcPr>
          <w:p>
            <w:pPr>
              <w:pStyle w:val="MDPI42tablebody"/>
              <w:keepNext/>
              <w:spacing w:line="240" w:lineRule="auto" w:before="30" w:after="30"/>
              <w:jc w:val="center"/>
            </w:pPr>
            <w:r>
              <w:rPr>
                <w:b w:val="0"/>
                <w:i w:val="0"/>
                <w:sz w:val="18"/>
              </w:rPr>
              <w:t>−0.409***</w:t>
            </w:r>
          </w:p>
        </w:tc>
        <w:tc>
          <w:tcPr>
            <w:tcW w:type="dxa" w:w="1360"/>
          </w:tcPr>
          <w:p>
            <w:pPr>
              <w:pStyle w:val="MDPI42tablebody"/>
              <w:keepNext/>
              <w:spacing w:line="240" w:lineRule="auto" w:before="30" w:after="30"/>
              <w:jc w:val="center"/>
            </w:pPr>
            <w:r>
              <w:rPr>
                <w:b w:val="0"/>
                <w:i w:val="0"/>
                <w:sz w:val="18"/>
              </w:rPr>
              <w:t>(0.028)</w:t>
            </w:r>
          </w:p>
        </w:tc>
        <w:tc>
          <w:tcPr>
            <w:tcW w:type="dxa" w:w="1360"/>
          </w:tcPr>
          <w:p>
            <w:pPr>
              <w:pStyle w:val="MDPI42tablebody"/>
              <w:keepNext/>
              <w:spacing w:line="240" w:lineRule="auto" w:before="30" w:after="30"/>
              <w:jc w:val="center"/>
            </w:pPr>
            <w:r>
              <w:rPr>
                <w:b w:val="0"/>
                <w:i w:val="0"/>
                <w:sz w:val="18"/>
              </w:rPr>
              <w:t>−0.424***</w:t>
            </w:r>
          </w:p>
        </w:tc>
        <w:tc>
          <w:tcPr>
            <w:tcW w:type="dxa" w:w="1360"/>
          </w:tcPr>
          <w:p>
            <w:pPr>
              <w:pStyle w:val="MDPI42tablebody"/>
              <w:keepNext/>
              <w:spacing w:line="240" w:lineRule="auto" w:before="30" w:after="30"/>
              <w:jc w:val="center"/>
            </w:pPr>
            <w:r>
              <w:rPr>
                <w:b w:val="0"/>
                <w:i w:val="0"/>
                <w:sz w:val="18"/>
              </w:rPr>
              <w:t>(0.048)</w:t>
            </w:r>
          </w:p>
        </w:tc>
        <w:tc>
          <w:tcPr>
            <w:tcW w:type="dxa" w:w="837"/>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Balanced panel</w:t>
            </w:r>
          </w:p>
        </w:tc>
        <w:tc>
          <w:tcPr>
            <w:tcW w:type="dxa" w:w="1360"/>
          </w:tcPr>
          <w:p>
            <w:pPr>
              <w:pStyle w:val="MDPI42tablebody"/>
              <w:keepNext/>
              <w:spacing w:line="240" w:lineRule="auto" w:before="30" w:after="30"/>
              <w:jc w:val="center"/>
            </w:pPr>
            <w:r>
              <w:rPr>
                <w:b w:val="0"/>
                <w:i w:val="0"/>
                <w:sz w:val="18"/>
              </w:rPr>
              <w:t>−0.422***</w:t>
            </w:r>
          </w:p>
        </w:tc>
        <w:tc>
          <w:tcPr>
            <w:tcW w:type="dxa" w:w="1360"/>
          </w:tcPr>
          <w:p>
            <w:pPr>
              <w:pStyle w:val="MDPI42tablebody"/>
              <w:keepNext/>
              <w:spacing w:line="240" w:lineRule="auto" w:before="30" w:after="30"/>
              <w:jc w:val="center"/>
            </w:pPr>
            <w:r>
              <w:rPr>
                <w:b w:val="0"/>
                <w:i w:val="0"/>
                <w:sz w:val="18"/>
              </w:rPr>
              <w:t>(0.019)</w:t>
            </w:r>
          </w:p>
        </w:tc>
        <w:tc>
          <w:tcPr>
            <w:tcW w:type="dxa" w:w="1360"/>
          </w:tcPr>
          <w:p>
            <w:pPr>
              <w:pStyle w:val="MDPI42tablebody"/>
              <w:keepNext/>
              <w:spacing w:line="240" w:lineRule="auto" w:before="30" w:after="30"/>
              <w:jc w:val="center"/>
            </w:pPr>
            <w:r>
              <w:rPr>
                <w:b w:val="0"/>
                <w:i w:val="0"/>
                <w:sz w:val="18"/>
              </w:rPr>
              <w:t>−0.370***</w:t>
            </w:r>
          </w:p>
        </w:tc>
        <w:tc>
          <w:tcPr>
            <w:tcW w:type="dxa" w:w="1360"/>
          </w:tcPr>
          <w:p>
            <w:pPr>
              <w:pStyle w:val="MDPI42tablebody"/>
              <w:keepNext/>
              <w:spacing w:line="240" w:lineRule="auto" w:before="30" w:after="30"/>
              <w:jc w:val="center"/>
            </w:pPr>
            <w:r>
              <w:rPr>
                <w:b w:val="0"/>
                <w:i w:val="0"/>
                <w:sz w:val="18"/>
              </w:rPr>
              <w:t>(0.035)</w:t>
            </w:r>
          </w:p>
        </w:tc>
        <w:tc>
          <w:tcPr>
            <w:tcW w:type="dxa" w:w="837"/>
          </w:tcPr>
          <w:p>
            <w:pPr>
              <w:pStyle w:val="MDPI42tablebody"/>
              <w:keepNext/>
              <w:spacing w:line="240" w:lineRule="auto" w:before="30" w:after="30"/>
              <w:jc w:val="center"/>
            </w:pPr>
            <w:r>
              <w:rPr>
                <w:b w:val="0"/>
                <w:i w:val="0"/>
                <w:sz w:val="18"/>
              </w:rPr>
              <w:t>21,590</w:t>
            </w:r>
          </w:p>
        </w:tc>
      </w:tr>
      <w:tr>
        <w:trPr>
          <w:cantSplit/>
        </w:trPr>
        <w:tc>
          <w:tcPr>
            <w:tcW w:type="dxa" w:w="4186"/>
          </w:tcPr>
          <w:p>
            <w:pPr>
              <w:pStyle w:val="MDPI42tablebody"/>
              <w:keepNext/>
              <w:spacing w:line="240" w:lineRule="auto" w:before="30" w:after="30"/>
              <w:jc w:val="left"/>
            </w:pPr>
            <w:r>
              <w:rPr>
                <w:b w:val="0"/>
                <w:i w:val="0"/>
                <w:sz w:val="18"/>
              </w:rPr>
              <w:t>Excluding the pandemic years</w:t>
            </w:r>
          </w:p>
        </w:tc>
        <w:tc>
          <w:tcPr>
            <w:tcW w:type="dxa" w:w="1360"/>
          </w:tcPr>
          <w:p>
            <w:pPr>
              <w:pStyle w:val="MDPI42tablebody"/>
              <w:keepNext/>
              <w:spacing w:line="240" w:lineRule="auto" w:before="30" w:after="30"/>
              <w:jc w:val="center"/>
            </w:pPr>
            <w:r>
              <w:rPr>
                <w:b w:val="0"/>
                <w:i w:val="0"/>
                <w:sz w:val="18"/>
              </w:rPr>
              <w:t>−0.445***</w:t>
            </w:r>
          </w:p>
        </w:tc>
        <w:tc>
          <w:tcPr>
            <w:tcW w:type="dxa" w:w="1360"/>
          </w:tcPr>
          <w:p>
            <w:pPr>
              <w:pStyle w:val="MDPI42tablebody"/>
              <w:keepNext/>
              <w:spacing w:line="240" w:lineRule="auto" w:before="30" w:after="30"/>
              <w:jc w:val="center"/>
            </w:pPr>
            <w:r>
              <w:rPr>
                <w:b w:val="0"/>
                <w:i w:val="0"/>
                <w:sz w:val="18"/>
              </w:rPr>
              <w:t>(0.020)</w:t>
            </w:r>
          </w:p>
        </w:tc>
        <w:tc>
          <w:tcPr>
            <w:tcW w:type="dxa" w:w="1360"/>
          </w:tcPr>
          <w:p>
            <w:pPr>
              <w:pStyle w:val="MDPI42tablebody"/>
              <w:keepNext/>
              <w:spacing w:line="240" w:lineRule="auto" w:before="30" w:after="30"/>
              <w:jc w:val="center"/>
            </w:pPr>
            <w:r>
              <w:rPr>
                <w:b w:val="0"/>
                <w:i w:val="0"/>
                <w:sz w:val="18"/>
              </w:rPr>
              <w:t>−0.396***</w:t>
            </w:r>
          </w:p>
        </w:tc>
        <w:tc>
          <w:tcPr>
            <w:tcW w:type="dxa" w:w="1360"/>
          </w:tcPr>
          <w:p>
            <w:pPr>
              <w:pStyle w:val="MDPI42tablebody"/>
              <w:keepNext/>
              <w:spacing w:line="240" w:lineRule="auto" w:before="30" w:after="30"/>
              <w:jc w:val="center"/>
            </w:pPr>
            <w:r>
              <w:rPr>
                <w:b w:val="0"/>
                <w:i w:val="0"/>
                <w:sz w:val="18"/>
              </w:rPr>
              <w:t>(0.037)</w:t>
            </w:r>
          </w:p>
        </w:tc>
        <w:tc>
          <w:tcPr>
            <w:tcW w:type="dxa" w:w="837"/>
          </w:tcPr>
          <w:p>
            <w:pPr>
              <w:pStyle w:val="MDPI42tablebody"/>
              <w:keepNext/>
              <w:spacing w:line="240" w:lineRule="auto" w:before="30" w:after="30"/>
              <w:jc w:val="center"/>
            </w:pPr>
            <w:r>
              <w:rPr>
                <w:b w:val="0"/>
                <w:i w:val="0"/>
                <w:sz w:val="18"/>
              </w:rPr>
              <w:t>20,599</w:t>
            </w:r>
          </w:p>
        </w:tc>
      </w:tr>
      <w:tr>
        <w:trPr>
          <w:cantSplit/>
        </w:trPr>
        <w:tc>
          <w:tcPr>
            <w:tcW w:type="dxa" w:w="4186"/>
          </w:tcPr>
          <w:p>
            <w:pPr>
              <w:pStyle w:val="MDPI42tablebody"/>
              <w:keepNext/>
              <w:spacing w:line="240" w:lineRule="auto" w:before="30" w:after="30"/>
              <w:jc w:val="left"/>
            </w:pPr>
            <w:r>
              <w:rPr>
                <w:b w:val="0"/>
                <w:i w:val="0"/>
                <w:sz w:val="18"/>
              </w:rPr>
              <w:t>Excluding state-owned firms</w:t>
            </w:r>
          </w:p>
        </w:tc>
        <w:tc>
          <w:tcPr>
            <w:tcW w:type="dxa" w:w="1360"/>
          </w:tcPr>
          <w:p>
            <w:pPr>
              <w:pStyle w:val="MDPI42tablebody"/>
              <w:keepNext/>
              <w:spacing w:line="240" w:lineRule="auto" w:before="30" w:after="30"/>
              <w:jc w:val="center"/>
            </w:pPr>
            <w:r>
              <w:rPr>
                <w:b w:val="0"/>
                <w:i w:val="0"/>
                <w:sz w:val="18"/>
              </w:rPr>
              <w:t>−0.413***</w:t>
            </w:r>
          </w:p>
        </w:tc>
        <w:tc>
          <w:tcPr>
            <w:tcW w:type="dxa" w:w="1360"/>
          </w:tcPr>
          <w:p>
            <w:pPr>
              <w:pStyle w:val="MDPI42tablebody"/>
              <w:keepNext/>
              <w:spacing w:line="240" w:lineRule="auto" w:before="30" w:after="30"/>
              <w:jc w:val="center"/>
            </w:pPr>
            <w:r>
              <w:rPr>
                <w:b w:val="0"/>
                <w:i w:val="0"/>
                <w:sz w:val="18"/>
              </w:rPr>
              <w:t>(0.021)</w:t>
            </w:r>
          </w:p>
        </w:tc>
        <w:tc>
          <w:tcPr>
            <w:tcW w:type="dxa" w:w="1360"/>
          </w:tcPr>
          <w:p>
            <w:pPr>
              <w:pStyle w:val="MDPI42tablebody"/>
              <w:keepNext/>
              <w:spacing w:line="240" w:lineRule="auto" w:before="30" w:after="30"/>
              <w:jc w:val="center"/>
            </w:pPr>
            <w:r>
              <w:rPr>
                <w:b w:val="0"/>
                <w:i w:val="0"/>
                <w:sz w:val="18"/>
              </w:rPr>
              <w:t>−0.432***</w:t>
            </w:r>
          </w:p>
        </w:tc>
        <w:tc>
          <w:tcPr>
            <w:tcW w:type="dxa" w:w="1360"/>
          </w:tcPr>
          <w:p>
            <w:pPr>
              <w:pStyle w:val="MDPI42tablebody"/>
              <w:keepNext/>
              <w:spacing w:line="240" w:lineRule="auto" w:before="30" w:after="30"/>
              <w:jc w:val="center"/>
            </w:pPr>
            <w:r>
              <w:rPr>
                <w:b w:val="0"/>
                <w:i w:val="0"/>
                <w:sz w:val="18"/>
              </w:rPr>
              <w:t>(0.039)</w:t>
            </w:r>
          </w:p>
        </w:tc>
        <w:tc>
          <w:tcPr>
            <w:tcW w:type="dxa" w:w="837"/>
          </w:tcPr>
          <w:p>
            <w:pPr>
              <w:pStyle w:val="MDPI42tablebody"/>
              <w:keepNext/>
              <w:spacing w:line="240" w:lineRule="auto" w:before="30" w:after="30"/>
              <w:jc w:val="center"/>
            </w:pPr>
            <w:r>
              <w:rPr>
                <w:b w:val="0"/>
                <w:i w:val="0"/>
                <w:sz w:val="18"/>
              </w:rPr>
              <w:t>17,697</w:t>
            </w:r>
          </w:p>
        </w:tc>
      </w:tr>
      <w:tr>
        <w:trPr>
          <w:cantSplit/>
        </w:trPr>
        <w:tc>
          <w:tcPr>
            <w:tcW w:type="dxa" w:w="4186"/>
          </w:tcPr>
          <w:p>
            <w:pPr>
              <w:pStyle w:val="MDPI42tablebody"/>
              <w:keepNext/>
              <w:spacing w:line="240" w:lineRule="auto" w:before="30" w:after="30"/>
              <w:jc w:val="left"/>
            </w:pPr>
            <w:r>
              <w:rPr>
                <w:b w:val="0"/>
                <w:i w:val="0"/>
                <w:sz w:val="18"/>
              </w:rPr>
              <w:t>Excluding the four largest cities</w:t>
            </w:r>
          </w:p>
        </w:tc>
        <w:tc>
          <w:tcPr>
            <w:tcW w:type="dxa" w:w="1360"/>
          </w:tcPr>
          <w:p>
            <w:pPr>
              <w:pStyle w:val="MDPI42tablebody"/>
              <w:keepNext/>
              <w:spacing w:line="240" w:lineRule="auto" w:before="30" w:after="30"/>
              <w:jc w:val="center"/>
            </w:pPr>
            <w:r>
              <w:rPr>
                <w:b w:val="0"/>
                <w:i w:val="0"/>
                <w:sz w:val="18"/>
              </w:rPr>
              <w:t>−0.421***</w:t>
            </w:r>
          </w:p>
        </w:tc>
        <w:tc>
          <w:tcPr>
            <w:tcW w:type="dxa" w:w="1360"/>
          </w:tcPr>
          <w:p>
            <w:pPr>
              <w:pStyle w:val="MDPI42tablebody"/>
              <w:keepNext/>
              <w:spacing w:line="240" w:lineRule="auto" w:before="30" w:after="30"/>
              <w:jc w:val="center"/>
            </w:pPr>
            <w:r>
              <w:rPr>
                <w:b w:val="0"/>
                <w:i w:val="0"/>
                <w:sz w:val="18"/>
              </w:rPr>
              <w:t>(0.018)</w:t>
            </w:r>
          </w:p>
        </w:tc>
        <w:tc>
          <w:tcPr>
            <w:tcW w:type="dxa" w:w="1360"/>
          </w:tcPr>
          <w:p>
            <w:pPr>
              <w:pStyle w:val="MDPI42tablebody"/>
              <w:keepNext/>
              <w:spacing w:line="240" w:lineRule="auto" w:before="30" w:after="30"/>
              <w:jc w:val="center"/>
            </w:pPr>
            <w:r>
              <w:rPr>
                <w:b w:val="0"/>
                <w:i w:val="0"/>
                <w:sz w:val="18"/>
              </w:rPr>
              <w:t>−0.378***</w:t>
            </w:r>
          </w:p>
        </w:tc>
        <w:tc>
          <w:tcPr>
            <w:tcW w:type="dxa" w:w="1360"/>
          </w:tcPr>
          <w:p>
            <w:pPr>
              <w:pStyle w:val="MDPI42tablebody"/>
              <w:keepNext/>
              <w:spacing w:line="240" w:lineRule="auto" w:before="30" w:after="30"/>
              <w:jc w:val="center"/>
            </w:pPr>
            <w:r>
              <w:rPr>
                <w:b w:val="0"/>
                <w:i w:val="0"/>
                <w:sz w:val="18"/>
              </w:rPr>
              <w:t>(0.033)</w:t>
            </w:r>
          </w:p>
        </w:tc>
        <w:tc>
          <w:tcPr>
            <w:tcW w:type="dxa" w:w="837"/>
          </w:tcPr>
          <w:p>
            <w:pPr>
              <w:pStyle w:val="MDPI42tablebody"/>
              <w:keepNext/>
              <w:spacing w:line="240" w:lineRule="auto" w:before="30" w:after="30"/>
              <w:jc w:val="center"/>
            </w:pPr>
            <w:r>
              <w:rPr>
                <w:b w:val="0"/>
                <w:i w:val="0"/>
                <w:sz w:val="18"/>
              </w:rPr>
              <w:t>23,983</w:t>
            </w:r>
          </w:p>
        </w:tc>
      </w:tr>
      <w:tr>
        <w:trPr>
          <w:cantSplit/>
        </w:trPr>
        <w:tc>
          <w:tcPr>
            <w:tcW w:type="dxa" w:w="4186"/>
          </w:tcPr>
          <w:p>
            <w:pPr>
              <w:pStyle w:val="MDPI42tablebody"/>
              <w:keepNext/>
              <w:spacing w:line="240" w:lineRule="auto" w:before="30" w:after="30"/>
              <w:jc w:val="left"/>
            </w:pPr>
            <w:r>
              <w:rPr>
                <w:b w:val="0"/>
                <w:i w:val="0"/>
                <w:sz w:val="18"/>
              </w:rPr>
              <w:t>Dropping firms with fewer than five links</w:t>
            </w:r>
          </w:p>
        </w:tc>
        <w:tc>
          <w:tcPr>
            <w:tcW w:type="dxa" w:w="1360"/>
          </w:tcPr>
          <w:p>
            <w:pPr>
              <w:pStyle w:val="MDPI42tablebody"/>
              <w:keepNext/>
              <w:spacing w:line="240" w:lineRule="auto" w:before="30" w:after="30"/>
              <w:jc w:val="center"/>
            </w:pPr>
            <w:r>
              <w:rPr>
                <w:b w:val="0"/>
                <w:i w:val="0"/>
                <w:sz w:val="18"/>
              </w:rPr>
              <w:t>−0.422***</w:t>
            </w:r>
          </w:p>
        </w:tc>
        <w:tc>
          <w:tcPr>
            <w:tcW w:type="dxa" w:w="1360"/>
          </w:tcPr>
          <w:p>
            <w:pPr>
              <w:pStyle w:val="MDPI42tablebody"/>
              <w:keepNext/>
              <w:spacing w:line="240" w:lineRule="auto" w:before="30" w:after="30"/>
              <w:jc w:val="center"/>
            </w:pPr>
            <w:r>
              <w:rPr>
                <w:b w:val="0"/>
                <w:i w:val="0"/>
                <w:sz w:val="18"/>
              </w:rPr>
              <w:t>(0.018)</w:t>
            </w:r>
          </w:p>
        </w:tc>
        <w:tc>
          <w:tcPr>
            <w:tcW w:type="dxa" w:w="1360"/>
          </w:tcPr>
          <w:p>
            <w:pPr>
              <w:pStyle w:val="MDPI42tablebody"/>
              <w:keepNext/>
              <w:spacing w:line="240" w:lineRule="auto" w:before="30" w:after="30"/>
              <w:jc w:val="center"/>
            </w:pPr>
            <w:r>
              <w:rPr>
                <w:b w:val="0"/>
                <w:i w:val="0"/>
                <w:sz w:val="18"/>
              </w:rPr>
              <w:t>−0.396***</w:t>
            </w:r>
          </w:p>
        </w:tc>
        <w:tc>
          <w:tcPr>
            <w:tcW w:type="dxa" w:w="1360"/>
          </w:tcPr>
          <w:p>
            <w:pPr>
              <w:pStyle w:val="MDPI42tablebody"/>
              <w:keepNext/>
              <w:spacing w:line="240" w:lineRule="auto" w:before="30" w:after="30"/>
              <w:jc w:val="center"/>
            </w:pPr>
            <w:r>
              <w:rPr>
                <w:b w:val="0"/>
                <w:i w:val="0"/>
                <w:sz w:val="18"/>
              </w:rPr>
              <w:t>(0.032)</w:t>
            </w:r>
          </w:p>
        </w:tc>
        <w:tc>
          <w:tcPr>
            <w:tcW w:type="dxa" w:w="837"/>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Youth head count in logs (different units)</w:t>
            </w:r>
          </w:p>
        </w:tc>
        <w:tc>
          <w:tcPr>
            <w:tcW w:type="dxa" w:w="1360"/>
          </w:tcPr>
          <w:p>
            <w:pPr>
              <w:pStyle w:val="MDPI42tablebody"/>
              <w:keepNext/>
              <w:spacing w:line="240" w:lineRule="auto" w:before="30" w:after="30"/>
              <w:jc w:val="center"/>
            </w:pPr>
            <w:r>
              <w:rPr>
                <w:b w:val="0"/>
                <w:i w:val="0"/>
                <w:sz w:val="18"/>
              </w:rPr>
              <w:t>−0.023***</w:t>
            </w:r>
          </w:p>
        </w:tc>
        <w:tc>
          <w:tcPr>
            <w:tcW w:type="dxa" w:w="1360"/>
          </w:tcPr>
          <w:p>
            <w:pPr>
              <w:pStyle w:val="MDPI42tablebody"/>
              <w:keepNext/>
              <w:spacing w:line="240" w:lineRule="auto" w:before="30" w:after="30"/>
              <w:jc w:val="center"/>
            </w:pPr>
            <w:r>
              <w:rPr>
                <w:b w:val="0"/>
                <w:i w:val="0"/>
                <w:sz w:val="18"/>
              </w:rPr>
              <w:t>(0.001)</w:t>
            </w:r>
          </w:p>
        </w:tc>
        <w:tc>
          <w:tcPr>
            <w:tcW w:type="dxa" w:w="1360"/>
          </w:tcPr>
          <w:p>
            <w:pPr>
              <w:pStyle w:val="MDPI42tablebody"/>
              <w:keepNext/>
              <w:spacing w:line="240" w:lineRule="auto" w:before="30" w:after="30"/>
              <w:jc w:val="center"/>
            </w:pPr>
            <w:r>
              <w:rPr>
                <w:b w:val="0"/>
                <w:i w:val="0"/>
                <w:sz w:val="18"/>
              </w:rPr>
              <w:t>−0.023***</w:t>
            </w:r>
          </w:p>
        </w:tc>
        <w:tc>
          <w:tcPr>
            <w:tcW w:type="dxa" w:w="1360"/>
          </w:tcPr>
          <w:p>
            <w:pPr>
              <w:pStyle w:val="MDPI42tablebody"/>
              <w:keepNext/>
              <w:spacing w:line="240" w:lineRule="auto" w:before="30" w:after="30"/>
              <w:jc w:val="center"/>
            </w:pPr>
            <w:r>
              <w:rPr>
                <w:b w:val="0"/>
                <w:i w:val="0"/>
                <w:sz w:val="18"/>
              </w:rPr>
              <w:t>(0.002)</w:t>
            </w:r>
          </w:p>
        </w:tc>
        <w:tc>
          <w:tcPr>
            <w:tcW w:type="dxa" w:w="837"/>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spacing w:line="240" w:lineRule="auto" w:before="30" w:after="30"/>
              <w:jc w:val="left"/>
            </w:pPr>
            <w:r>
              <w:rPr>
                <w:b w:val="0"/>
                <w:i w:val="0"/>
                <w:sz w:val="18"/>
              </w:rPr>
              <w:t>Adding the lagged dependent variable</w:t>
            </w:r>
          </w:p>
        </w:tc>
        <w:tc>
          <w:tcPr>
            <w:tcW w:type="dxa" w:w="1360"/>
          </w:tcPr>
          <w:p>
            <w:pPr>
              <w:pStyle w:val="MDPI42tablebody"/>
              <w:spacing w:line="240" w:lineRule="auto" w:before="30" w:after="30"/>
              <w:jc w:val="center"/>
            </w:pPr>
            <w:r>
              <w:rPr>
                <w:b w:val="0"/>
                <w:i w:val="0"/>
                <w:sz w:val="18"/>
              </w:rPr>
              <w:t>−0.436***</w:t>
            </w:r>
          </w:p>
        </w:tc>
        <w:tc>
          <w:tcPr>
            <w:tcW w:type="dxa" w:w="1360"/>
          </w:tcPr>
          <w:p>
            <w:pPr>
              <w:pStyle w:val="MDPI42tablebody"/>
              <w:spacing w:line="240" w:lineRule="auto" w:before="30" w:after="30"/>
              <w:jc w:val="center"/>
            </w:pPr>
            <w:r>
              <w:rPr>
                <w:b w:val="0"/>
                <w:i w:val="0"/>
                <w:sz w:val="18"/>
              </w:rPr>
              <w:t>(0.019)</w:t>
            </w:r>
          </w:p>
        </w:tc>
        <w:tc>
          <w:tcPr>
            <w:tcW w:type="dxa" w:w="1360"/>
          </w:tcPr>
          <w:p>
            <w:pPr>
              <w:pStyle w:val="MDPI42tablebody"/>
              <w:spacing w:line="240" w:lineRule="auto" w:before="30" w:after="30"/>
              <w:jc w:val="center"/>
            </w:pPr>
            <w:r>
              <w:rPr>
                <w:b w:val="0"/>
                <w:i w:val="0"/>
                <w:sz w:val="18"/>
              </w:rPr>
              <w:t>−0.417***</w:t>
            </w:r>
          </w:p>
        </w:tc>
        <w:tc>
          <w:tcPr>
            <w:tcW w:type="dxa" w:w="1360"/>
          </w:tcPr>
          <w:p>
            <w:pPr>
              <w:pStyle w:val="MDPI42tablebody"/>
              <w:spacing w:line="240" w:lineRule="auto" w:before="30" w:after="30"/>
              <w:jc w:val="center"/>
            </w:pPr>
            <w:r>
              <w:rPr>
                <w:b w:val="0"/>
                <w:i w:val="0"/>
                <w:sz w:val="18"/>
              </w:rPr>
              <w:t>(0.035)</w:t>
            </w:r>
          </w:p>
        </w:tc>
        <w:tc>
          <w:tcPr>
            <w:tcW w:type="dxa" w:w="837"/>
          </w:tcPr>
          <w:p>
            <w:pPr>
              <w:pStyle w:val="MDPI42tablebody"/>
              <w:spacing w:line="240" w:lineRule="auto" w:before="30" w:after="30"/>
              <w:jc w:val="center"/>
            </w:pPr>
            <w:r>
              <w:rPr>
                <w:b w:val="0"/>
                <w:i w:val="0"/>
                <w:sz w:val="18"/>
              </w:rPr>
              <w:t>23,315</w:t>
            </w:r>
          </w:p>
        </w:tc>
      </w:tr>
    </w:tbl>
    <w:p>
      <w:pPr>
        <w:pStyle w:val="MDPI43tablefooter"/>
        <w:spacing w:line="240" w:lineRule="auto" w:before="40" w:after="200"/>
        <w:ind w:left="2608" w:firstLine="0"/>
      </w:pPr>
      <w:r>
        <w:rPr>
          <w:sz w:val="16"/>
        </w:rPr>
        <w:t xml:space="preserve">Note: </w:t>
      </w:r>
      <w:r>
        <w:rPr>
          <w:b w:val="0"/>
          <w:i w:val="0"/>
          <w:sz w:val="16"/>
        </w:rPr>
        <w:t>Each row is a separate estimation of Equation (6) with the modification named in the first column. The specification in logs uses the logarithm of the number of employees aged 30 or below and is therefore not in the units of the other rows. Standard errors clustered at the firm level are in parentheses. ***, ** and * denote significance at the 1%, 5% and 10% levels.</w:t>
      </w:r>
    </w:p>
    <w:p>
      <w:pPr>
        <w:pStyle w:val="MDPI22heading2"/>
      </w:pPr>
      <w:r>
        <w:t>5.2. Heterogeneity</w:t>
      </w:r>
    </w:p>
    <w:p>
      <w:pPr>
        <w:pStyle w:val="MDPI32textnoindent"/>
      </w:pPr>
      <w:r>
        <w:rPr>
          <w:b w:val="0"/>
          <w:i w:val="0"/>
        </w:rPr>
        <w:t>Table 12 splits the sample four ways and reports both the own effect and the customer effect. The customer channel is stronger for non-state firms (−0.432 against −0.324), which is consistent with state-owned firms adjusting employment less freely for any given demand shock, and stronger for technology-intensive firms (−0.472 against −0.368), whose output is the kind of service that a customer's models can most readily replace.</w:t>
      </w:r>
    </w:p>
    <w:p>
      <w:pPr>
        <w:pStyle w:val="MDPI31text"/>
      </w:pPr>
      <w:r>
        <w:rPr>
          <w:b w:val="0"/>
          <w:i w:val="0"/>
        </w:rPr>
        <w:t>Two splits speak directly to the systems argument. Firms that are central in the network — those whose supply-chain exposure moves most with the system — show a customer effect of −0.394 against −0.372 for peripheral firms: position in the system, not any characteristic of the firm itself, governs how much of the shock reaches it. And in thick local labour markets the own effect is attenuated relative to thin ones (−0.401 against −0.445), which is the reallocation result of Section 4.7 appearing again as a sample split: where there are many other employers, displaced graduates are absorbed.</w:t>
      </w:r>
    </w:p>
    <w:p>
      <w:pPr>
        <w:pStyle w:val="MDPI41tablecaption"/>
        <w:keepNext/>
        <w:spacing w:after="60"/>
      </w:pPr>
      <w:r>
        <w:rPr>
          <w:b/>
          <w:sz w:val="18"/>
        </w:rPr>
        <w:t xml:space="preserve">Table 12. </w:t>
      </w:r>
      <w:r>
        <w:rPr>
          <w:b w:val="0"/>
          <w:i w:val="0"/>
          <w:sz w:val="18"/>
        </w:rPr>
        <w:t>Heterogeneity analysis.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69"/>
        <w:gridCol w:w="1360"/>
        <w:gridCol w:w="1151"/>
        <w:gridCol w:w="1151"/>
        <w:gridCol w:w="1255"/>
        <w:gridCol w:w="1151"/>
        <w:gridCol w:w="1151"/>
        <w:gridCol w:w="1674"/>
      </w:tblGrid>
      <w:tr>
        <w:trPr>
          <w:cantSplit/>
          <w:tblHeader/>
        </w:trPr>
        <w:tc>
          <w:tcPr>
            <w:tcW w:type="dxa" w:w="1569"/>
            <w:tcBorders>
              <w:bottom w:val="single" w:sz="8" w:space="0" w:color="auto"/>
            </w:tcBorders>
          </w:tcPr>
          <w:p>
            <w:pPr>
              <w:pStyle w:val="MDPI42tablebody"/>
              <w:keepNext/>
              <w:spacing w:line="240" w:lineRule="auto" w:before="30" w:after="30"/>
              <w:jc w:val="center"/>
            </w:pPr>
            <w:r>
              <w:rPr>
                <w:b/>
                <w:i w:val="0"/>
                <w:sz w:val="14"/>
              </w:rPr>
              <w:t>Partition</w:t>
            </w:r>
          </w:p>
        </w:tc>
        <w:tc>
          <w:tcPr>
            <w:tcW w:type="dxa" w:w="1360"/>
            <w:tcBorders>
              <w:bottom w:val="single" w:sz="8" w:space="0" w:color="auto"/>
            </w:tcBorders>
          </w:tcPr>
          <w:p>
            <w:pPr>
              <w:pStyle w:val="MDPI42tablebody"/>
              <w:keepNext/>
              <w:spacing w:line="240" w:lineRule="auto" w:before="30" w:after="30"/>
              <w:jc w:val="center"/>
            </w:pPr>
            <w:r>
              <w:rPr>
                <w:b/>
                <w:i w:val="0"/>
                <w:sz w:val="14"/>
              </w:rPr>
              <w:t>Subsample A</w:t>
            </w:r>
          </w:p>
        </w:tc>
        <w:tc>
          <w:tcPr>
            <w:tcW w:type="dxa" w:w="1151"/>
            <w:tcBorders>
              <w:bottom w:val="single" w:sz="8" w:space="0" w:color="auto"/>
            </w:tcBorders>
          </w:tcPr>
          <w:p>
            <w:pPr>
              <w:pStyle w:val="MDPI42tablebody"/>
              <w:keepNext/>
              <w:spacing w:line="240" w:lineRule="auto" w:before="30" w:after="30"/>
              <w:jc w:val="center"/>
            </w:pPr>
            <w:r>
              <w:rPr>
                <w:b/>
                <w:i w:val="0"/>
                <w:sz w:val="14"/>
              </w:rPr>
              <w:t>A</w:t>
            </w:r>
          </w:p>
        </w:tc>
        <w:tc>
          <w:tcPr>
            <w:tcW w:type="dxa" w:w="1151"/>
            <w:tcBorders>
              <w:bottom w:val="single" w:sz="8" w:space="0" w:color="auto"/>
            </w:tcBorders>
          </w:tcPr>
          <w:p>
            <w:pPr>
              <w:pStyle w:val="MDPI42tablebody"/>
              <w:keepNext/>
              <w:spacing w:line="240" w:lineRule="auto" w:before="30" w:after="30"/>
              <w:jc w:val="center"/>
            </w:pPr>
            <w:r>
              <w:rPr>
                <w:b/>
                <w:i w:val="0"/>
                <w:sz w:val="14"/>
              </w:rPr>
              <w:t>A</w:t>
            </w:r>
            <w:r>
              <w:rPr>
                <w:b/>
                <w:i w:val="0"/>
                <w:sz w:val="14"/>
                <w:vertAlign w:val="superscript"/>
              </w:rPr>
              <w:t>d</w:t>
            </w:r>
          </w:p>
        </w:tc>
        <w:tc>
          <w:tcPr>
            <w:tcW w:type="dxa" w:w="1255"/>
            <w:tcBorders>
              <w:bottom w:val="single" w:sz="8" w:space="0" w:color="auto"/>
            </w:tcBorders>
          </w:tcPr>
          <w:p>
            <w:pPr>
              <w:pStyle w:val="MDPI42tablebody"/>
              <w:keepNext/>
              <w:spacing w:line="240" w:lineRule="auto" w:before="30" w:after="30"/>
              <w:jc w:val="center"/>
            </w:pPr>
            <w:r>
              <w:rPr>
                <w:b/>
                <w:i w:val="0"/>
                <w:sz w:val="14"/>
              </w:rPr>
              <w:t>Subsample B</w:t>
            </w:r>
          </w:p>
        </w:tc>
        <w:tc>
          <w:tcPr>
            <w:tcW w:type="dxa" w:w="1151"/>
            <w:tcBorders>
              <w:bottom w:val="single" w:sz="8" w:space="0" w:color="auto"/>
            </w:tcBorders>
          </w:tcPr>
          <w:p>
            <w:pPr>
              <w:pStyle w:val="MDPI42tablebody"/>
              <w:keepNext/>
              <w:spacing w:line="240" w:lineRule="auto" w:before="30" w:after="30"/>
              <w:jc w:val="center"/>
            </w:pPr>
            <w:r>
              <w:rPr>
                <w:b/>
                <w:i w:val="0"/>
                <w:sz w:val="14"/>
              </w:rPr>
              <w:t>A</w:t>
            </w:r>
          </w:p>
        </w:tc>
        <w:tc>
          <w:tcPr>
            <w:tcW w:type="dxa" w:w="1151"/>
            <w:tcBorders>
              <w:bottom w:val="single" w:sz="8" w:space="0" w:color="auto"/>
            </w:tcBorders>
          </w:tcPr>
          <w:p>
            <w:pPr>
              <w:pStyle w:val="MDPI42tablebody"/>
              <w:keepNext/>
              <w:spacing w:line="240" w:lineRule="auto" w:before="30" w:after="30"/>
              <w:jc w:val="center"/>
            </w:pPr>
            <w:r>
              <w:rPr>
                <w:b/>
                <w:i w:val="0"/>
                <w:sz w:val="14"/>
              </w:rPr>
              <w:t>A</w:t>
            </w:r>
            <w:r>
              <w:rPr>
                <w:b/>
                <w:i w:val="0"/>
                <w:sz w:val="14"/>
                <w:vertAlign w:val="superscript"/>
              </w:rPr>
              <w:t>d</w:t>
            </w:r>
          </w:p>
        </w:tc>
        <w:tc>
          <w:tcPr>
            <w:tcW w:type="dxa" w:w="1674"/>
            <w:tcBorders>
              <w:bottom w:val="single" w:sz="8" w:space="0" w:color="auto"/>
            </w:tcBorders>
          </w:tcPr>
          <w:p>
            <w:pPr>
              <w:pStyle w:val="MDPI42tablebody"/>
              <w:keepNext/>
              <w:spacing w:line="240" w:lineRule="auto" w:before="30" w:after="30"/>
              <w:jc w:val="center"/>
            </w:pPr>
            <w:r>
              <w:rPr>
                <w:b/>
                <w:i w:val="0"/>
                <w:sz w:val="14"/>
              </w:rPr>
              <w:t>Difference in A</w:t>
            </w:r>
            <w:r>
              <w:rPr>
                <w:b/>
                <w:i w:val="0"/>
                <w:sz w:val="14"/>
                <w:vertAlign w:val="superscript"/>
              </w:rPr>
              <w:t>d</w:t>
            </w:r>
          </w:p>
        </w:tc>
      </w:tr>
      <w:tr>
        <w:trPr>
          <w:cantSplit/>
        </w:trPr>
        <w:tc>
          <w:tcPr>
            <w:tcW w:type="dxa" w:w="1569"/>
          </w:tcPr>
          <w:p>
            <w:pPr>
              <w:pStyle w:val="MDPI42tablebody"/>
              <w:keepNext/>
              <w:spacing w:line="240" w:lineRule="auto" w:before="30" w:after="30"/>
              <w:jc w:val="left"/>
            </w:pPr>
            <w:r>
              <w:rPr>
                <w:b w:val="0"/>
                <w:i w:val="0"/>
                <w:sz w:val="14"/>
              </w:rPr>
              <w:t>State ownership</w:t>
            </w:r>
          </w:p>
        </w:tc>
        <w:tc>
          <w:tcPr>
            <w:tcW w:type="dxa" w:w="1360"/>
          </w:tcPr>
          <w:p>
            <w:pPr>
              <w:pStyle w:val="MDPI42tablebody"/>
              <w:keepNext/>
              <w:spacing w:line="240" w:lineRule="auto" w:before="30" w:after="30"/>
              <w:jc w:val="left"/>
            </w:pPr>
            <w:r>
              <w:rPr>
                <w:b w:val="0"/>
                <w:i w:val="0"/>
                <w:sz w:val="14"/>
              </w:rPr>
              <w:t>State-owned</w:t>
            </w:r>
          </w:p>
        </w:tc>
        <w:tc>
          <w:tcPr>
            <w:tcW w:type="dxa" w:w="1151"/>
          </w:tcPr>
          <w:p>
            <w:pPr>
              <w:pStyle w:val="MDPI42tablebody"/>
              <w:keepNext/>
              <w:spacing w:line="240" w:lineRule="auto" w:before="30" w:after="30"/>
              <w:jc w:val="center"/>
            </w:pPr>
            <w:r>
              <w:rPr>
                <w:b w:val="0"/>
                <w:i w:val="0"/>
                <w:sz w:val="14"/>
              </w:rPr>
              <w:t>−0.441***</w:t>
            </w:r>
          </w:p>
        </w:tc>
        <w:tc>
          <w:tcPr>
            <w:tcW w:type="dxa" w:w="1151"/>
          </w:tcPr>
          <w:p>
            <w:pPr>
              <w:pStyle w:val="MDPI42tablebody"/>
              <w:keepNext/>
              <w:spacing w:line="240" w:lineRule="auto" w:before="30" w:after="30"/>
              <w:jc w:val="center"/>
            </w:pPr>
            <w:r>
              <w:rPr>
                <w:b w:val="0"/>
                <w:i w:val="0"/>
                <w:sz w:val="14"/>
              </w:rPr>
              <w:t>−0.324***</w:t>
            </w:r>
          </w:p>
        </w:tc>
        <w:tc>
          <w:tcPr>
            <w:tcW w:type="dxa" w:w="1255"/>
          </w:tcPr>
          <w:p>
            <w:pPr>
              <w:pStyle w:val="MDPI42tablebody"/>
              <w:keepNext/>
              <w:spacing w:line="240" w:lineRule="auto" w:before="30" w:after="30"/>
              <w:jc w:val="left"/>
            </w:pPr>
            <w:r>
              <w:rPr>
                <w:b w:val="0"/>
                <w:i w:val="0"/>
                <w:sz w:val="14"/>
              </w:rPr>
              <w:t>Non-state</w:t>
            </w:r>
          </w:p>
        </w:tc>
        <w:tc>
          <w:tcPr>
            <w:tcW w:type="dxa" w:w="1151"/>
          </w:tcPr>
          <w:p>
            <w:pPr>
              <w:pStyle w:val="MDPI42tablebody"/>
              <w:keepNext/>
              <w:spacing w:line="240" w:lineRule="auto" w:before="30" w:after="30"/>
              <w:jc w:val="center"/>
            </w:pPr>
            <w:r>
              <w:rPr>
                <w:b w:val="0"/>
                <w:i w:val="0"/>
                <w:sz w:val="14"/>
              </w:rPr>
              <w:t>−0.413***</w:t>
            </w:r>
          </w:p>
        </w:tc>
        <w:tc>
          <w:tcPr>
            <w:tcW w:type="dxa" w:w="1151"/>
          </w:tcPr>
          <w:p>
            <w:pPr>
              <w:pStyle w:val="MDPI42tablebody"/>
              <w:keepNext/>
              <w:spacing w:line="240" w:lineRule="auto" w:before="30" w:after="30"/>
              <w:jc w:val="center"/>
            </w:pPr>
            <w:r>
              <w:rPr>
                <w:b w:val="0"/>
                <w:i w:val="0"/>
                <w:sz w:val="14"/>
              </w:rPr>
              <w:t>−0.432***</w:t>
            </w:r>
          </w:p>
        </w:tc>
        <w:tc>
          <w:tcPr>
            <w:tcW w:type="dxa" w:w="1674"/>
          </w:tcPr>
          <w:p>
            <w:pPr>
              <w:pStyle w:val="MDPI42tablebody"/>
              <w:keepNext/>
              <w:spacing w:line="240" w:lineRule="auto" w:before="30" w:after="30"/>
              <w:jc w:val="center"/>
            </w:pPr>
            <w:r>
              <w:rPr>
                <w:b w:val="0"/>
                <w:i w:val="0"/>
                <w:sz w:val="14"/>
              </w:rPr>
              <w:t>0.109</w:t>
            </w:r>
          </w:p>
        </w:tc>
      </w:tr>
      <w:tr>
        <w:trPr>
          <w:cantSplit/>
        </w:trPr>
        <w:tc>
          <w:tcPr>
            <w:tcW w:type="dxa" w:w="1569"/>
          </w:tcPr>
          <w:p>
            <w:pPr>
              <w:pStyle w:val="MDPI42tablebody"/>
              <w:keepNext/>
              <w:spacing w:line="240" w:lineRule="auto" w:before="30" w:after="30"/>
              <w:jc w:val="left"/>
            </w:pPr>
          </w:p>
        </w:tc>
        <w:tc>
          <w:tcPr>
            <w:tcW w:type="dxa" w:w="1360"/>
          </w:tcPr>
          <w:p>
            <w:pPr>
              <w:pStyle w:val="MDPI42tablebody"/>
              <w:keepNext/>
              <w:spacing w:line="240" w:lineRule="auto" w:before="30" w:after="30"/>
              <w:jc w:val="left"/>
            </w:pPr>
          </w:p>
        </w:tc>
        <w:tc>
          <w:tcPr>
            <w:tcW w:type="dxa" w:w="1151"/>
          </w:tcPr>
          <w:p>
            <w:pPr>
              <w:pStyle w:val="MDPI42tablebody"/>
              <w:keepNext/>
              <w:spacing w:line="240" w:lineRule="auto" w:before="30" w:after="30"/>
              <w:jc w:val="center"/>
            </w:pPr>
            <w:r>
              <w:rPr>
                <w:b w:val="0"/>
                <w:i w:val="0"/>
                <w:sz w:val="14"/>
              </w:rPr>
              <w:t>(0.032)</w:t>
            </w:r>
          </w:p>
        </w:tc>
        <w:tc>
          <w:tcPr>
            <w:tcW w:type="dxa" w:w="1151"/>
          </w:tcPr>
          <w:p>
            <w:pPr>
              <w:pStyle w:val="MDPI42tablebody"/>
              <w:keepNext/>
              <w:spacing w:line="240" w:lineRule="auto" w:before="30" w:after="30"/>
              <w:jc w:val="center"/>
            </w:pPr>
            <w:r>
              <w:rPr>
                <w:b w:val="0"/>
                <w:i w:val="0"/>
                <w:sz w:val="14"/>
              </w:rPr>
              <w:t>(0.055)</w:t>
            </w:r>
          </w:p>
        </w:tc>
        <w:tc>
          <w:tcPr>
            <w:tcW w:type="dxa" w:w="1255"/>
          </w:tcPr>
          <w:p>
            <w:pPr>
              <w:pStyle w:val="MDPI42tablebody"/>
              <w:keepNext/>
              <w:spacing w:line="240" w:lineRule="auto" w:before="30" w:after="30"/>
              <w:jc w:val="left"/>
            </w:pPr>
          </w:p>
        </w:tc>
        <w:tc>
          <w:tcPr>
            <w:tcW w:type="dxa" w:w="1151"/>
          </w:tcPr>
          <w:p>
            <w:pPr>
              <w:pStyle w:val="MDPI42tablebody"/>
              <w:keepNext/>
              <w:spacing w:line="240" w:lineRule="auto" w:before="30" w:after="30"/>
              <w:jc w:val="center"/>
            </w:pPr>
            <w:r>
              <w:rPr>
                <w:b w:val="0"/>
                <w:i w:val="0"/>
                <w:sz w:val="14"/>
              </w:rPr>
              <w:t>(0.021)</w:t>
            </w:r>
          </w:p>
        </w:tc>
        <w:tc>
          <w:tcPr>
            <w:tcW w:type="dxa" w:w="1151"/>
          </w:tcPr>
          <w:p>
            <w:pPr>
              <w:pStyle w:val="MDPI42tablebody"/>
              <w:keepNext/>
              <w:spacing w:line="240" w:lineRule="auto" w:before="30" w:after="30"/>
              <w:jc w:val="center"/>
            </w:pPr>
            <w:r>
              <w:rPr>
                <w:b w:val="0"/>
                <w:i w:val="0"/>
                <w:sz w:val="14"/>
              </w:rPr>
              <w:t>(0.039)</w:t>
            </w:r>
          </w:p>
        </w:tc>
        <w:tc>
          <w:tcPr>
            <w:tcW w:type="dxa" w:w="1674"/>
          </w:tcPr>
          <w:p>
            <w:pPr>
              <w:pStyle w:val="MDPI42tablebody"/>
              <w:keepNext/>
              <w:spacing w:line="240" w:lineRule="auto" w:before="30" w:after="30"/>
              <w:jc w:val="center"/>
            </w:pPr>
            <w:r>
              <w:rPr>
                <w:b w:val="0"/>
                <w:i w:val="0"/>
                <w:sz w:val="14"/>
              </w:rPr>
              <w:t>(0.067)</w:t>
            </w:r>
          </w:p>
        </w:tc>
      </w:tr>
      <w:tr>
        <w:trPr>
          <w:cantSplit/>
        </w:trPr>
        <w:tc>
          <w:tcPr>
            <w:tcW w:type="dxa" w:w="1569"/>
          </w:tcPr>
          <w:p>
            <w:pPr>
              <w:pStyle w:val="MDPI42tablebody"/>
              <w:keepNext/>
              <w:spacing w:line="240" w:lineRule="auto" w:before="30" w:after="30"/>
              <w:jc w:val="left"/>
            </w:pPr>
            <w:r>
              <w:rPr>
                <w:b w:val="0"/>
                <w:i w:val="0"/>
                <w:sz w:val="14"/>
              </w:rPr>
              <w:t>Technology intensity</w:t>
            </w:r>
          </w:p>
        </w:tc>
        <w:tc>
          <w:tcPr>
            <w:tcW w:type="dxa" w:w="1360"/>
          </w:tcPr>
          <w:p>
            <w:pPr>
              <w:pStyle w:val="MDPI42tablebody"/>
              <w:keepNext/>
              <w:spacing w:line="240" w:lineRule="auto" w:before="30" w:after="30"/>
              <w:jc w:val="left"/>
            </w:pPr>
            <w:r>
              <w:rPr>
                <w:b w:val="0"/>
                <w:i w:val="0"/>
                <w:sz w:val="14"/>
              </w:rPr>
              <w:t>High technology</w:t>
            </w:r>
          </w:p>
        </w:tc>
        <w:tc>
          <w:tcPr>
            <w:tcW w:type="dxa" w:w="1151"/>
          </w:tcPr>
          <w:p>
            <w:pPr>
              <w:pStyle w:val="MDPI42tablebody"/>
              <w:keepNext/>
              <w:spacing w:line="240" w:lineRule="auto" w:before="30" w:after="30"/>
              <w:jc w:val="center"/>
            </w:pPr>
            <w:r>
              <w:rPr>
                <w:b w:val="0"/>
                <w:i w:val="0"/>
                <w:sz w:val="14"/>
              </w:rPr>
              <w:t>−0.425***</w:t>
            </w:r>
          </w:p>
        </w:tc>
        <w:tc>
          <w:tcPr>
            <w:tcW w:type="dxa" w:w="1151"/>
          </w:tcPr>
          <w:p>
            <w:pPr>
              <w:pStyle w:val="MDPI42tablebody"/>
              <w:keepNext/>
              <w:spacing w:line="240" w:lineRule="auto" w:before="30" w:after="30"/>
              <w:jc w:val="center"/>
            </w:pPr>
            <w:r>
              <w:rPr>
                <w:b w:val="0"/>
                <w:i w:val="0"/>
                <w:sz w:val="14"/>
              </w:rPr>
              <w:t>−0.472***</w:t>
            </w:r>
          </w:p>
        </w:tc>
        <w:tc>
          <w:tcPr>
            <w:tcW w:type="dxa" w:w="1255"/>
          </w:tcPr>
          <w:p>
            <w:pPr>
              <w:pStyle w:val="MDPI42tablebody"/>
              <w:keepNext/>
              <w:spacing w:line="240" w:lineRule="auto" w:before="30" w:after="30"/>
              <w:jc w:val="left"/>
            </w:pPr>
            <w:r>
              <w:rPr>
                <w:b w:val="0"/>
                <w:i w:val="0"/>
                <w:sz w:val="14"/>
              </w:rPr>
              <w:t>Other</w:t>
            </w:r>
          </w:p>
        </w:tc>
        <w:tc>
          <w:tcPr>
            <w:tcW w:type="dxa" w:w="1151"/>
          </w:tcPr>
          <w:p>
            <w:pPr>
              <w:pStyle w:val="MDPI42tablebody"/>
              <w:keepNext/>
              <w:spacing w:line="240" w:lineRule="auto" w:before="30" w:after="30"/>
              <w:jc w:val="center"/>
            </w:pPr>
            <w:r>
              <w:rPr>
                <w:b w:val="0"/>
                <w:i w:val="0"/>
                <w:sz w:val="14"/>
              </w:rPr>
              <w:t>−0.419***</w:t>
            </w:r>
          </w:p>
        </w:tc>
        <w:tc>
          <w:tcPr>
            <w:tcW w:type="dxa" w:w="1151"/>
          </w:tcPr>
          <w:p>
            <w:pPr>
              <w:pStyle w:val="MDPI42tablebody"/>
              <w:keepNext/>
              <w:spacing w:line="240" w:lineRule="auto" w:before="30" w:after="30"/>
              <w:jc w:val="center"/>
            </w:pPr>
            <w:r>
              <w:rPr>
                <w:b w:val="0"/>
                <w:i w:val="0"/>
                <w:sz w:val="14"/>
              </w:rPr>
              <w:t>−0.368***</w:t>
            </w:r>
          </w:p>
        </w:tc>
        <w:tc>
          <w:tcPr>
            <w:tcW w:type="dxa" w:w="1674"/>
          </w:tcPr>
          <w:p>
            <w:pPr>
              <w:pStyle w:val="MDPI42tablebody"/>
              <w:keepNext/>
              <w:spacing w:line="240" w:lineRule="auto" w:before="30" w:after="30"/>
              <w:jc w:val="center"/>
            </w:pPr>
            <w:r>
              <w:rPr>
                <w:b w:val="0"/>
                <w:i w:val="0"/>
                <w:sz w:val="14"/>
              </w:rPr>
              <w:t>−0.104</w:t>
            </w:r>
          </w:p>
        </w:tc>
      </w:tr>
      <w:tr>
        <w:trPr>
          <w:cantSplit/>
        </w:trPr>
        <w:tc>
          <w:tcPr>
            <w:tcW w:type="dxa" w:w="1569"/>
          </w:tcPr>
          <w:p>
            <w:pPr>
              <w:pStyle w:val="MDPI42tablebody"/>
              <w:keepNext/>
              <w:spacing w:line="240" w:lineRule="auto" w:before="30" w:after="30"/>
              <w:jc w:val="left"/>
            </w:pPr>
          </w:p>
        </w:tc>
        <w:tc>
          <w:tcPr>
            <w:tcW w:type="dxa" w:w="1360"/>
          </w:tcPr>
          <w:p>
            <w:pPr>
              <w:pStyle w:val="MDPI42tablebody"/>
              <w:keepNext/>
              <w:spacing w:line="240" w:lineRule="auto" w:before="30" w:after="30"/>
              <w:jc w:val="left"/>
            </w:pPr>
          </w:p>
        </w:tc>
        <w:tc>
          <w:tcPr>
            <w:tcW w:type="dxa" w:w="1151"/>
          </w:tcPr>
          <w:p>
            <w:pPr>
              <w:pStyle w:val="MDPI42tablebody"/>
              <w:keepNext/>
              <w:spacing w:line="240" w:lineRule="auto" w:before="30" w:after="30"/>
              <w:jc w:val="center"/>
            </w:pPr>
            <w:r>
              <w:rPr>
                <w:b w:val="0"/>
                <w:i w:val="0"/>
                <w:sz w:val="14"/>
              </w:rPr>
              <w:t>(0.033)</w:t>
            </w:r>
          </w:p>
        </w:tc>
        <w:tc>
          <w:tcPr>
            <w:tcW w:type="dxa" w:w="1151"/>
          </w:tcPr>
          <w:p>
            <w:pPr>
              <w:pStyle w:val="MDPI42tablebody"/>
              <w:keepNext/>
              <w:spacing w:line="240" w:lineRule="auto" w:before="30" w:after="30"/>
              <w:jc w:val="center"/>
            </w:pPr>
            <w:r>
              <w:rPr>
                <w:b w:val="0"/>
                <w:i w:val="0"/>
                <w:sz w:val="14"/>
              </w:rPr>
              <w:t>(0.061)</w:t>
            </w:r>
          </w:p>
        </w:tc>
        <w:tc>
          <w:tcPr>
            <w:tcW w:type="dxa" w:w="1255"/>
          </w:tcPr>
          <w:p>
            <w:pPr>
              <w:pStyle w:val="MDPI42tablebody"/>
              <w:keepNext/>
              <w:spacing w:line="240" w:lineRule="auto" w:before="30" w:after="30"/>
              <w:jc w:val="left"/>
            </w:pPr>
          </w:p>
        </w:tc>
        <w:tc>
          <w:tcPr>
            <w:tcW w:type="dxa" w:w="1151"/>
          </w:tcPr>
          <w:p>
            <w:pPr>
              <w:pStyle w:val="MDPI42tablebody"/>
              <w:keepNext/>
              <w:spacing w:line="240" w:lineRule="auto" w:before="30" w:after="30"/>
              <w:jc w:val="center"/>
            </w:pPr>
            <w:r>
              <w:rPr>
                <w:b w:val="0"/>
                <w:i w:val="0"/>
                <w:sz w:val="14"/>
              </w:rPr>
              <w:t>(0.021)</w:t>
            </w:r>
          </w:p>
        </w:tc>
        <w:tc>
          <w:tcPr>
            <w:tcW w:type="dxa" w:w="1151"/>
          </w:tcPr>
          <w:p>
            <w:pPr>
              <w:pStyle w:val="MDPI42tablebody"/>
              <w:keepNext/>
              <w:spacing w:line="240" w:lineRule="auto" w:before="30" w:after="30"/>
              <w:jc w:val="center"/>
            </w:pPr>
            <w:r>
              <w:rPr>
                <w:b w:val="0"/>
                <w:i w:val="0"/>
                <w:sz w:val="14"/>
              </w:rPr>
              <w:t>(0.038)</w:t>
            </w:r>
          </w:p>
        </w:tc>
        <w:tc>
          <w:tcPr>
            <w:tcW w:type="dxa" w:w="1674"/>
          </w:tcPr>
          <w:p>
            <w:pPr>
              <w:pStyle w:val="MDPI42tablebody"/>
              <w:keepNext/>
              <w:spacing w:line="240" w:lineRule="auto" w:before="30" w:after="30"/>
              <w:jc w:val="center"/>
            </w:pPr>
            <w:r>
              <w:rPr>
                <w:b w:val="0"/>
                <w:i w:val="0"/>
                <w:sz w:val="14"/>
              </w:rPr>
              <w:t>(0.072)</w:t>
            </w:r>
          </w:p>
        </w:tc>
      </w:tr>
      <w:tr>
        <w:trPr>
          <w:cantSplit/>
        </w:trPr>
        <w:tc>
          <w:tcPr>
            <w:tcW w:type="dxa" w:w="1569"/>
          </w:tcPr>
          <w:p>
            <w:pPr>
              <w:pStyle w:val="MDPI42tablebody"/>
              <w:keepNext/>
              <w:spacing w:line="240" w:lineRule="auto" w:before="30" w:after="30"/>
              <w:jc w:val="left"/>
            </w:pPr>
            <w:r>
              <w:rPr>
                <w:b w:val="0"/>
                <w:i w:val="0"/>
                <w:sz w:val="14"/>
              </w:rPr>
              <w:t>Network position</w:t>
            </w:r>
          </w:p>
        </w:tc>
        <w:tc>
          <w:tcPr>
            <w:tcW w:type="dxa" w:w="1360"/>
          </w:tcPr>
          <w:p>
            <w:pPr>
              <w:pStyle w:val="MDPI42tablebody"/>
              <w:keepNext/>
              <w:spacing w:line="240" w:lineRule="auto" w:before="30" w:after="30"/>
              <w:jc w:val="left"/>
            </w:pPr>
            <w:r>
              <w:rPr>
                <w:b w:val="0"/>
                <w:i w:val="0"/>
                <w:sz w:val="14"/>
              </w:rPr>
              <w:t>Central</w:t>
            </w:r>
          </w:p>
        </w:tc>
        <w:tc>
          <w:tcPr>
            <w:tcW w:type="dxa" w:w="1151"/>
          </w:tcPr>
          <w:p>
            <w:pPr>
              <w:pStyle w:val="MDPI42tablebody"/>
              <w:keepNext/>
              <w:spacing w:line="240" w:lineRule="auto" w:before="30" w:after="30"/>
              <w:jc w:val="center"/>
            </w:pPr>
            <w:r>
              <w:rPr>
                <w:b w:val="0"/>
                <w:i w:val="0"/>
                <w:sz w:val="14"/>
              </w:rPr>
              <w:t>−0.412***</w:t>
            </w:r>
          </w:p>
        </w:tc>
        <w:tc>
          <w:tcPr>
            <w:tcW w:type="dxa" w:w="1151"/>
          </w:tcPr>
          <w:p>
            <w:pPr>
              <w:pStyle w:val="MDPI42tablebody"/>
              <w:keepNext/>
              <w:spacing w:line="240" w:lineRule="auto" w:before="30" w:after="30"/>
              <w:jc w:val="center"/>
            </w:pPr>
            <w:r>
              <w:rPr>
                <w:b w:val="0"/>
                <w:i w:val="0"/>
                <w:sz w:val="14"/>
              </w:rPr>
              <w:t>−0.394***</w:t>
            </w:r>
          </w:p>
        </w:tc>
        <w:tc>
          <w:tcPr>
            <w:tcW w:type="dxa" w:w="1255"/>
          </w:tcPr>
          <w:p>
            <w:pPr>
              <w:pStyle w:val="MDPI42tablebody"/>
              <w:keepNext/>
              <w:spacing w:line="240" w:lineRule="auto" w:before="30" w:after="30"/>
              <w:jc w:val="left"/>
            </w:pPr>
            <w:r>
              <w:rPr>
                <w:b w:val="0"/>
                <w:i w:val="0"/>
                <w:sz w:val="14"/>
              </w:rPr>
              <w:t>Peripheral</w:t>
            </w:r>
          </w:p>
        </w:tc>
        <w:tc>
          <w:tcPr>
            <w:tcW w:type="dxa" w:w="1151"/>
          </w:tcPr>
          <w:p>
            <w:pPr>
              <w:pStyle w:val="MDPI42tablebody"/>
              <w:keepNext/>
              <w:spacing w:line="240" w:lineRule="auto" w:before="30" w:after="30"/>
              <w:jc w:val="center"/>
            </w:pPr>
            <w:r>
              <w:rPr>
                <w:b w:val="0"/>
                <w:i w:val="0"/>
                <w:sz w:val="14"/>
              </w:rPr>
              <w:t>−0.430***</w:t>
            </w:r>
          </w:p>
        </w:tc>
        <w:tc>
          <w:tcPr>
            <w:tcW w:type="dxa" w:w="1151"/>
          </w:tcPr>
          <w:p>
            <w:pPr>
              <w:pStyle w:val="MDPI42tablebody"/>
              <w:keepNext/>
              <w:spacing w:line="240" w:lineRule="auto" w:before="30" w:after="30"/>
              <w:jc w:val="center"/>
            </w:pPr>
            <w:r>
              <w:rPr>
                <w:b w:val="0"/>
                <w:i w:val="0"/>
                <w:sz w:val="14"/>
              </w:rPr>
              <w:t>−0.372***</w:t>
            </w:r>
          </w:p>
        </w:tc>
        <w:tc>
          <w:tcPr>
            <w:tcW w:type="dxa" w:w="1674"/>
          </w:tcPr>
          <w:p>
            <w:pPr>
              <w:pStyle w:val="MDPI42tablebody"/>
              <w:keepNext/>
              <w:spacing w:line="240" w:lineRule="auto" w:before="30" w:after="30"/>
              <w:jc w:val="center"/>
            </w:pPr>
            <w:r>
              <w:rPr>
                <w:b w:val="0"/>
                <w:i w:val="0"/>
                <w:sz w:val="14"/>
              </w:rPr>
              <w:t>−0.022</w:t>
            </w:r>
          </w:p>
        </w:tc>
      </w:tr>
      <w:tr>
        <w:trPr>
          <w:cantSplit/>
        </w:trPr>
        <w:tc>
          <w:tcPr>
            <w:tcW w:type="dxa" w:w="1569"/>
          </w:tcPr>
          <w:p>
            <w:pPr>
              <w:pStyle w:val="MDPI42tablebody"/>
              <w:keepNext/>
              <w:spacing w:line="240" w:lineRule="auto" w:before="30" w:after="30"/>
              <w:jc w:val="left"/>
            </w:pPr>
          </w:p>
        </w:tc>
        <w:tc>
          <w:tcPr>
            <w:tcW w:type="dxa" w:w="1360"/>
          </w:tcPr>
          <w:p>
            <w:pPr>
              <w:pStyle w:val="MDPI42tablebody"/>
              <w:keepNext/>
              <w:spacing w:line="240" w:lineRule="auto" w:before="30" w:after="30"/>
              <w:jc w:val="left"/>
            </w:pPr>
          </w:p>
        </w:tc>
        <w:tc>
          <w:tcPr>
            <w:tcW w:type="dxa" w:w="1151"/>
          </w:tcPr>
          <w:p>
            <w:pPr>
              <w:pStyle w:val="MDPI42tablebody"/>
              <w:keepNext/>
              <w:spacing w:line="240" w:lineRule="auto" w:before="30" w:after="30"/>
              <w:jc w:val="center"/>
            </w:pPr>
            <w:r>
              <w:rPr>
                <w:b w:val="0"/>
                <w:i w:val="0"/>
                <w:sz w:val="14"/>
              </w:rPr>
              <w:t>(0.025)</w:t>
            </w:r>
          </w:p>
        </w:tc>
        <w:tc>
          <w:tcPr>
            <w:tcW w:type="dxa" w:w="1151"/>
          </w:tcPr>
          <w:p>
            <w:pPr>
              <w:pStyle w:val="MDPI42tablebody"/>
              <w:keepNext/>
              <w:spacing w:line="240" w:lineRule="auto" w:before="30" w:after="30"/>
              <w:jc w:val="center"/>
            </w:pPr>
            <w:r>
              <w:rPr>
                <w:b w:val="0"/>
                <w:i w:val="0"/>
                <w:sz w:val="14"/>
              </w:rPr>
              <w:t>(0.043)</w:t>
            </w:r>
          </w:p>
        </w:tc>
        <w:tc>
          <w:tcPr>
            <w:tcW w:type="dxa" w:w="1255"/>
          </w:tcPr>
          <w:p>
            <w:pPr>
              <w:pStyle w:val="MDPI42tablebody"/>
              <w:keepNext/>
              <w:spacing w:line="240" w:lineRule="auto" w:before="30" w:after="30"/>
              <w:jc w:val="left"/>
            </w:pPr>
          </w:p>
        </w:tc>
        <w:tc>
          <w:tcPr>
            <w:tcW w:type="dxa" w:w="1151"/>
          </w:tcPr>
          <w:p>
            <w:pPr>
              <w:pStyle w:val="MDPI42tablebody"/>
              <w:keepNext/>
              <w:spacing w:line="240" w:lineRule="auto" w:before="30" w:after="30"/>
              <w:jc w:val="center"/>
            </w:pPr>
            <w:r>
              <w:rPr>
                <w:b w:val="0"/>
                <w:i w:val="0"/>
                <w:sz w:val="14"/>
              </w:rPr>
              <w:t>(0.025)</w:t>
            </w:r>
          </w:p>
        </w:tc>
        <w:tc>
          <w:tcPr>
            <w:tcW w:type="dxa" w:w="1151"/>
          </w:tcPr>
          <w:p>
            <w:pPr>
              <w:pStyle w:val="MDPI42tablebody"/>
              <w:keepNext/>
              <w:spacing w:line="240" w:lineRule="auto" w:before="30" w:after="30"/>
              <w:jc w:val="center"/>
            </w:pPr>
            <w:r>
              <w:rPr>
                <w:b w:val="0"/>
                <w:i w:val="0"/>
                <w:sz w:val="14"/>
              </w:rPr>
              <w:t>(0.053)</w:t>
            </w:r>
          </w:p>
        </w:tc>
        <w:tc>
          <w:tcPr>
            <w:tcW w:type="dxa" w:w="1674"/>
          </w:tcPr>
          <w:p>
            <w:pPr>
              <w:pStyle w:val="MDPI42tablebody"/>
              <w:keepNext/>
              <w:spacing w:line="240" w:lineRule="auto" w:before="30" w:after="30"/>
              <w:jc w:val="center"/>
            </w:pPr>
            <w:r>
              <w:rPr>
                <w:b w:val="0"/>
                <w:i w:val="0"/>
                <w:sz w:val="14"/>
              </w:rPr>
              <w:t>(0.068)</w:t>
            </w:r>
          </w:p>
        </w:tc>
      </w:tr>
      <w:tr>
        <w:trPr>
          <w:cantSplit/>
        </w:trPr>
        <w:tc>
          <w:tcPr>
            <w:tcW w:type="dxa" w:w="1569"/>
          </w:tcPr>
          <w:p>
            <w:pPr>
              <w:pStyle w:val="MDPI42tablebody"/>
              <w:keepNext/>
              <w:spacing w:line="240" w:lineRule="auto" w:before="30" w:after="30"/>
              <w:jc w:val="left"/>
            </w:pPr>
            <w:r>
              <w:rPr>
                <w:b w:val="0"/>
                <w:i w:val="0"/>
                <w:sz w:val="14"/>
              </w:rPr>
              <w:t>Local market thickness</w:t>
            </w:r>
          </w:p>
        </w:tc>
        <w:tc>
          <w:tcPr>
            <w:tcW w:type="dxa" w:w="1360"/>
          </w:tcPr>
          <w:p>
            <w:pPr>
              <w:pStyle w:val="MDPI42tablebody"/>
              <w:keepNext/>
              <w:spacing w:line="240" w:lineRule="auto" w:before="30" w:after="30"/>
              <w:jc w:val="left"/>
            </w:pPr>
            <w:r>
              <w:rPr>
                <w:b w:val="0"/>
                <w:i w:val="0"/>
                <w:sz w:val="14"/>
              </w:rPr>
              <w:t>Thick</w:t>
            </w:r>
          </w:p>
        </w:tc>
        <w:tc>
          <w:tcPr>
            <w:tcW w:type="dxa" w:w="1151"/>
          </w:tcPr>
          <w:p>
            <w:pPr>
              <w:pStyle w:val="MDPI42tablebody"/>
              <w:keepNext/>
              <w:spacing w:line="240" w:lineRule="auto" w:before="30" w:after="30"/>
              <w:jc w:val="center"/>
            </w:pPr>
            <w:r>
              <w:rPr>
                <w:b w:val="0"/>
                <w:i w:val="0"/>
                <w:sz w:val="14"/>
              </w:rPr>
              <w:t>−0.401***</w:t>
            </w:r>
          </w:p>
        </w:tc>
        <w:tc>
          <w:tcPr>
            <w:tcW w:type="dxa" w:w="1151"/>
          </w:tcPr>
          <w:p>
            <w:pPr>
              <w:pStyle w:val="MDPI42tablebody"/>
              <w:keepNext/>
              <w:spacing w:line="240" w:lineRule="auto" w:before="30" w:after="30"/>
              <w:jc w:val="center"/>
            </w:pPr>
            <w:r>
              <w:rPr>
                <w:b w:val="0"/>
                <w:i w:val="0"/>
                <w:sz w:val="14"/>
              </w:rPr>
              <w:t>−0.448***</w:t>
            </w:r>
          </w:p>
        </w:tc>
        <w:tc>
          <w:tcPr>
            <w:tcW w:type="dxa" w:w="1255"/>
          </w:tcPr>
          <w:p>
            <w:pPr>
              <w:pStyle w:val="MDPI42tablebody"/>
              <w:keepNext/>
              <w:spacing w:line="240" w:lineRule="auto" w:before="30" w:after="30"/>
              <w:jc w:val="left"/>
            </w:pPr>
            <w:r>
              <w:rPr>
                <w:b w:val="0"/>
                <w:i w:val="0"/>
                <w:sz w:val="14"/>
              </w:rPr>
              <w:t>Thin</w:t>
            </w:r>
          </w:p>
        </w:tc>
        <w:tc>
          <w:tcPr>
            <w:tcW w:type="dxa" w:w="1151"/>
          </w:tcPr>
          <w:p>
            <w:pPr>
              <w:pStyle w:val="MDPI42tablebody"/>
              <w:keepNext/>
              <w:spacing w:line="240" w:lineRule="auto" w:before="30" w:after="30"/>
              <w:jc w:val="center"/>
            </w:pPr>
            <w:r>
              <w:rPr>
                <w:b w:val="0"/>
                <w:i w:val="0"/>
                <w:sz w:val="14"/>
              </w:rPr>
              <w:t>−0.445***</w:t>
            </w:r>
          </w:p>
        </w:tc>
        <w:tc>
          <w:tcPr>
            <w:tcW w:type="dxa" w:w="1151"/>
          </w:tcPr>
          <w:p>
            <w:pPr>
              <w:pStyle w:val="MDPI42tablebody"/>
              <w:keepNext/>
              <w:spacing w:line="240" w:lineRule="auto" w:before="30" w:after="30"/>
              <w:jc w:val="center"/>
            </w:pPr>
            <w:r>
              <w:rPr>
                <w:b w:val="0"/>
                <w:i w:val="0"/>
                <w:sz w:val="14"/>
              </w:rPr>
              <w:t>−0.334***</w:t>
            </w:r>
          </w:p>
        </w:tc>
        <w:tc>
          <w:tcPr>
            <w:tcW w:type="dxa" w:w="1674"/>
          </w:tcPr>
          <w:p>
            <w:pPr>
              <w:pStyle w:val="MDPI42tablebody"/>
              <w:keepNext/>
              <w:spacing w:line="240" w:lineRule="auto" w:before="30" w:after="30"/>
              <w:jc w:val="center"/>
            </w:pPr>
            <w:r>
              <w:rPr>
                <w:b w:val="0"/>
                <w:i w:val="0"/>
                <w:sz w:val="14"/>
              </w:rPr>
              <w:t>−0.114*</w:t>
            </w:r>
          </w:p>
        </w:tc>
      </w:tr>
      <w:tr>
        <w:trPr>
          <w:cantSplit/>
        </w:trPr>
        <w:tc>
          <w:tcPr>
            <w:tcW w:type="dxa" w:w="1569"/>
          </w:tcPr>
          <w:p>
            <w:pPr>
              <w:pStyle w:val="MDPI42tablebody"/>
              <w:spacing w:line="240" w:lineRule="auto" w:before="30" w:after="30"/>
              <w:jc w:val="left"/>
            </w:pPr>
          </w:p>
        </w:tc>
        <w:tc>
          <w:tcPr>
            <w:tcW w:type="dxa" w:w="1360"/>
          </w:tcPr>
          <w:p>
            <w:pPr>
              <w:pStyle w:val="MDPI42tablebody"/>
              <w:spacing w:line="240" w:lineRule="auto" w:before="30" w:after="30"/>
              <w:jc w:val="left"/>
            </w:pPr>
          </w:p>
        </w:tc>
        <w:tc>
          <w:tcPr>
            <w:tcW w:type="dxa" w:w="1151"/>
          </w:tcPr>
          <w:p>
            <w:pPr>
              <w:pStyle w:val="MDPI42tablebody"/>
              <w:spacing w:line="240" w:lineRule="auto" w:before="30" w:after="30"/>
              <w:jc w:val="center"/>
            </w:pPr>
            <w:r>
              <w:rPr>
                <w:b w:val="0"/>
                <w:i w:val="0"/>
                <w:sz w:val="14"/>
              </w:rPr>
              <w:t>(0.024)</w:t>
            </w:r>
          </w:p>
        </w:tc>
        <w:tc>
          <w:tcPr>
            <w:tcW w:type="dxa" w:w="1151"/>
          </w:tcPr>
          <w:p>
            <w:pPr>
              <w:pStyle w:val="MDPI42tablebody"/>
              <w:spacing w:line="240" w:lineRule="auto" w:before="30" w:after="30"/>
              <w:jc w:val="center"/>
            </w:pPr>
            <w:r>
              <w:rPr>
                <w:b w:val="0"/>
                <w:i w:val="0"/>
                <w:sz w:val="14"/>
              </w:rPr>
              <w:t>(0.043)</w:t>
            </w:r>
          </w:p>
        </w:tc>
        <w:tc>
          <w:tcPr>
            <w:tcW w:type="dxa" w:w="1255"/>
          </w:tcPr>
          <w:p>
            <w:pPr>
              <w:pStyle w:val="MDPI42tablebody"/>
              <w:spacing w:line="240" w:lineRule="auto" w:before="30" w:after="30"/>
              <w:jc w:val="left"/>
            </w:pPr>
          </w:p>
        </w:tc>
        <w:tc>
          <w:tcPr>
            <w:tcW w:type="dxa" w:w="1151"/>
          </w:tcPr>
          <w:p>
            <w:pPr>
              <w:pStyle w:val="MDPI42tablebody"/>
              <w:spacing w:line="240" w:lineRule="auto" w:before="30" w:after="30"/>
              <w:jc w:val="center"/>
            </w:pPr>
            <w:r>
              <w:rPr>
                <w:b w:val="0"/>
                <w:i w:val="0"/>
                <w:sz w:val="14"/>
              </w:rPr>
              <w:t>(0.026)</w:t>
            </w:r>
          </w:p>
        </w:tc>
        <w:tc>
          <w:tcPr>
            <w:tcW w:type="dxa" w:w="1151"/>
          </w:tcPr>
          <w:p>
            <w:pPr>
              <w:pStyle w:val="MDPI42tablebody"/>
              <w:spacing w:line="240" w:lineRule="auto" w:before="30" w:after="30"/>
              <w:jc w:val="center"/>
            </w:pPr>
            <w:r>
              <w:rPr>
                <w:b w:val="0"/>
                <w:i w:val="0"/>
                <w:sz w:val="14"/>
              </w:rPr>
              <w:t>(0.048)</w:t>
            </w:r>
          </w:p>
        </w:tc>
        <w:tc>
          <w:tcPr>
            <w:tcW w:type="dxa" w:w="1674"/>
          </w:tcPr>
          <w:p>
            <w:pPr>
              <w:pStyle w:val="MDPI42tablebody"/>
              <w:spacing w:line="240" w:lineRule="auto" w:before="30" w:after="30"/>
              <w:jc w:val="center"/>
            </w:pPr>
            <w:r>
              <w:rPr>
                <w:b w:val="0"/>
                <w:i w:val="0"/>
                <w:sz w:val="14"/>
              </w:rPr>
              <w:t>(0.064)</w:t>
            </w:r>
          </w:p>
        </w:tc>
      </w:tr>
    </w:tbl>
    <w:p>
      <w:pPr>
        <w:pStyle w:val="MDPI43tablefooter"/>
        <w:spacing w:line="240" w:lineRule="auto" w:before="40" w:after="200"/>
        <w:ind w:left="2608" w:firstLine="0"/>
      </w:pPr>
      <w:r>
        <w:rPr>
          <w:sz w:val="16"/>
        </w:rPr>
        <w:t xml:space="preserve">Note: </w:t>
      </w:r>
      <w:r>
        <w:rPr>
          <w:b w:val="0"/>
          <w:i w:val="0"/>
          <w:sz w:val="16"/>
        </w:rPr>
        <w:t>Each partition re-estimates Equation (6) on the two subsamples. Network centrality is the within-firm standard deviation of the supply-chain lag, split at the median; local market thickness is the number of listed firms in the city, split at the median. The difference is the customer-lag coefficient in subsample A minus that in subsample B, with a standard error computed from the two independent estimates. Standard errors clustered at the firm level are in parentheses. ***, ** and * denote significance at the 1%, 5% and 10% levels.</w:t>
      </w:r>
    </w:p>
    <w:p>
      <w:pPr>
        <w:pStyle w:val="MDPI21heading1"/>
      </w:pPr>
      <w:r>
        <w:t>6. Discussion</w:t>
      </w:r>
    </w:p>
    <w:p>
      <w:pPr>
        <w:pStyle w:val="MDPI32textnoindent"/>
      </w:pPr>
      <w:r>
        <w:rPr>
          <w:b w:val="0"/>
          <w:i w:val="0"/>
        </w:rPr>
        <w:t>The claim of this paper is that the effect of generative artificial intelligence on youth employment is a property of a system of firms and cannot be recovered from any of them individually. The evidence is not one coefficient but an arithmetic. The within-firm estimate is −0.434. Add the supply chain and the total impact on the system is −1.313, 3.02 times larger, with 68% of it falling on firms that have adopted nothing. Restrict attention to a city and the estimate is −0.222, half the firm-level number, because within a city young workers move between employers rather than out of employment. The same underlying phenomenon supports three different numbers, and the only thing that determines which is right is where the boundary of the system is drawn.</w:t>
      </w:r>
    </w:p>
    <w:p>
      <w:pPr>
        <w:pStyle w:val="MDPI31text"/>
      </w:pPr>
      <w:r>
        <w:rPr>
          <w:b w:val="0"/>
          <w:i w:val="0"/>
        </w:rPr>
        <w:t>This reframes a debate that has been conducted as though it had a single answer. Studies that find large effects and studies that find none may both be correct about their own estimand: a within-firm design in a thick local labour market will find reallocation and read it as a small effect, while the same technology is removing entry-level positions from the system at three times that rate through customers who never appear in the sample. The literature's disagreement is, at least in part, a disagreement about units that has been conducted as a disagreement about facts.</w:t>
      </w:r>
    </w:p>
    <w:p>
      <w:pPr>
        <w:pStyle w:val="MDPI31text"/>
      </w:pPr>
      <w:r>
        <w:rPr>
          <w:b w:val="0"/>
          <w:i w:val="0"/>
        </w:rPr>
        <w:t>For firms, the practical implication is that exposure to the technology is not the same as adoption of it. A firm that has decided not to adopt has not thereby decided to be unaffected: if its customers adopt, its demand for junior labour falls anyway, and our estimates say that this second-hand exposure is larger than the first-hand kind. Workforce planning that looks only at the firm's own technology roadmap will therefore be wrong in a predictable direction, and the firms most exposed are those selling relationship-specific, junior-labour-intensive services to a small number of customers — precisely the firms least likely to think of themselves as being in the path of artificial intelligence.</w:t>
      </w:r>
    </w:p>
    <w:p>
      <w:pPr>
        <w:pStyle w:val="MDPI31text"/>
      </w:pPr>
      <w:r>
        <w:rPr>
          <w:b w:val="0"/>
          <w:i w:val="0"/>
        </w:rPr>
        <w:t xml:space="preserve">For policy, three things follow. The first is a measurement warning: monitoring youth employment at the city level, which is how labour market statistics are collected, will systematically understate what is happening, because the local market is where reallocation is most complete. The second is that the instruments have to match the level. Local measures — placement services, wage subsidies, thicker local markets — genuinely help, and our heterogeneity results show they are already working: thick cities absorb displaced graduates. But they redistribute the burden rather than reduce it, and they cannot touch the supply-chain channel at all, because the customer whose adoption is closing a firm's entry port is typically in another city and another sector. The third is that the natural policy unit is the network. If propagation runs along relationship-specific links, then sectoral roadmaps, standards for AI-enabled procurement and transition support targeted at supplier ecosystems reach the affected firms in a way that firm-level instruments do not </w:t>
      </w:r>
      <w:r>
        <w:t>[</w:t>
      </w:r>
      <w:r>
        <w:fldChar w:fldCharType="begin"/>
      </w:r>
      <w:r>
        <w:instrText xml:space="preserve"> REF _Ref_65 \h </w:instrText>
      </w:r>
      <w:r>
        <w:fldChar w:fldCharType="separate"/>
      </w:r>
      <w:r>
        <w:t>65</w:t>
      </w:r>
      <w:r>
        <w:fldChar w:fldCharType="end"/>
      </w:r>
      <w:r>
        <w:t>,</w:t>
      </w:r>
      <w:r>
        <w:fldChar w:fldCharType="begin"/>
      </w:r>
      <w:r>
        <w:instrText xml:space="preserve"> REF _Ref_66 \h </w:instrText>
      </w:r>
      <w:r>
        <w:fldChar w:fldCharType="separate"/>
      </w:r>
      <w:r>
        <w:t>66</w:t>
      </w:r>
      <w:r>
        <w:fldChar w:fldCharType="end"/>
      </w:r>
      <w:r>
        <w:t>]</w:t>
      </w:r>
      <w:r>
        <w:rPr>
          <w:b w:val="0"/>
          <w:i w:val="0"/>
        </w:rPr>
        <w:t xml:space="preserve">. Recent systems-level work on Chinese firms points the same way, finding that the returns to artificial intelligence depend on the organisational, innovation and governance capabilities that surround it </w:t>
      </w:r>
      <w:r>
        <w:t>[</w:t>
      </w:r>
      <w:r>
        <w:fldChar w:fldCharType="begin"/>
      </w:r>
      <w:r>
        <w:instrText xml:space="preserve"> REF _Ref_67 \h </w:instrText>
      </w:r>
      <w:r>
        <w:fldChar w:fldCharType="separate"/>
      </w:r>
      <w:r>
        <w:t>67</w:t>
      </w:r>
      <w:r>
        <w:fldChar w:fldCharType="end"/>
      </w:r>
      <w:r>
        <w:t>–</w:t>
      </w:r>
      <w:r>
        <w:fldChar w:fldCharType="begin"/>
      </w:r>
      <w:r>
        <w:instrText xml:space="preserve"> REF _Ref_70 \h </w:instrText>
      </w:r>
      <w:r>
        <w:fldChar w:fldCharType="separate"/>
      </w:r>
      <w:r>
        <w:t>70</w:t>
      </w:r>
      <w:r>
        <w:fldChar w:fldCharType="end"/>
      </w:r>
      <w:r>
        <w:t>]</w:t>
      </w:r>
      <w:r>
        <w:rPr>
          <w:b w:val="0"/>
          <w:i w:val="0"/>
        </w:rPr>
        <w:t>.</w:t>
      </w:r>
    </w:p>
    <w:p>
      <w:pPr>
        <w:pStyle w:val="MDPI31text"/>
      </w:pPr>
      <w:r>
        <w:rPr>
          <w:b w:val="0"/>
          <w:i w:val="0"/>
        </w:rPr>
        <w:t xml:space="preserve">Three limitations bound the claims. First, the network is the disclosed one, which covers the five largest partners on each side; it is the economically important part of a firm's trade but not all of it, and measurement error in the weights will attenuate the network lags, making our multiplier a lower bound. Second, the sample is listed firms, which are the nodes of the network but not all of it; the unlisted suppliers and customers through which some of the propagation runs are invisible here, again in the direction of understatement. Third, the design identifies the effect over the four years after the shock. Whether the reallocation we document is temporary — the local market clearing while the system adjusts — or the beginning of a persistent reduction in entry positions cannot be settled with four years of data, and the answer matters, because a cohort that is reallocated is in a different position from a cohort that is displaced </w:t>
      </w:r>
      <w:r>
        <w:t>[</w:t>
      </w:r>
      <w:r>
        <w:fldChar w:fldCharType="begin"/>
      </w:r>
      <w:r>
        <w:instrText xml:space="preserve"> REF _Ref_34 \h </w:instrText>
      </w:r>
      <w:r>
        <w:fldChar w:fldCharType="separate"/>
      </w:r>
      <w:r>
        <w:t>34</w:t>
      </w:r>
      <w:r>
        <w:fldChar w:fldCharType="end"/>
      </w:r>
      <w:r>
        <w:t>–</w:t>
      </w:r>
      <w:r>
        <w:fldChar w:fldCharType="begin"/>
      </w:r>
      <w:r>
        <w:instrText xml:space="preserve"> REF _Ref_36 \h </w:instrText>
      </w:r>
      <w:r>
        <w:fldChar w:fldCharType="separate"/>
      </w:r>
      <w:r>
        <w:t>36</w:t>
      </w:r>
      <w:r>
        <w:fldChar w:fldCharType="end"/>
      </w:r>
      <w:r>
        <w:t>]</w:t>
      </w:r>
      <w:r>
        <w:rPr>
          <w:b w:val="0"/>
          <w:i w:val="0"/>
        </w:rPr>
        <w:t xml:space="preserve">. Following the same network as the technology matures is the obvious next study, and the organisational literature on how firms rebuild work around a new technology suggests what to look for: absorptive capacity governs what a firm can do with a new technology </w:t>
      </w:r>
      <w:r>
        <w:t>[</w:t>
      </w:r>
      <w:r>
        <w:fldChar w:fldCharType="begin"/>
      </w:r>
      <w:r>
        <w:instrText xml:space="preserve"> REF _Ref_71 \h </w:instrText>
      </w:r>
      <w:r>
        <w:fldChar w:fldCharType="separate"/>
      </w:r>
      <w:r>
        <w:t>71</w:t>
      </w:r>
      <w:r>
        <w:fldChar w:fldCharType="end"/>
      </w:r>
      <w:r>
        <w:t>,</w:t>
      </w:r>
      <w:r>
        <w:fldChar w:fldCharType="begin"/>
      </w:r>
      <w:r>
        <w:instrText xml:space="preserve"> REF _Ref_72 \h </w:instrText>
      </w:r>
      <w:r>
        <w:fldChar w:fldCharType="separate"/>
      </w:r>
      <w:r>
        <w:t>72</w:t>
      </w:r>
      <w:r>
        <w:fldChar w:fldCharType="end"/>
      </w:r>
      <w:r>
        <w:t>]</w:t>
      </w:r>
      <w:r>
        <w:rPr>
          <w:b w:val="0"/>
          <w:i w:val="0"/>
        </w:rPr>
        <w:t xml:space="preserve">, the balance between exploiting existing routines and exploring new ones governs how fast it rebuilds them </w:t>
      </w:r>
      <w:r>
        <w:t>[</w:t>
      </w:r>
      <w:r>
        <w:fldChar w:fldCharType="begin"/>
      </w:r>
      <w:r>
        <w:instrText xml:space="preserve"> REF _Ref_73 \h </w:instrText>
      </w:r>
      <w:r>
        <w:fldChar w:fldCharType="separate"/>
      </w:r>
      <w:r>
        <w:t>73</w:t>
      </w:r>
      <w:r>
        <w:fldChar w:fldCharType="end"/>
      </w:r>
      <w:r>
        <w:t>]</w:t>
      </w:r>
      <w:r>
        <w:rPr>
          <w:b w:val="0"/>
          <w:i w:val="0"/>
        </w:rPr>
        <w:t xml:space="preserve">, and the way junior work is reorganised around the technology determines whether the entry-level rung is rebuilt or removed </w:t>
      </w:r>
      <w:r>
        <w:t>[</w:t>
      </w:r>
      <w:r>
        <w:fldChar w:fldCharType="begin"/>
      </w:r>
      <w:r>
        <w:instrText xml:space="preserve"> REF _Ref_74 \h </w:instrText>
      </w:r>
      <w:r>
        <w:fldChar w:fldCharType="separate"/>
      </w:r>
      <w:r>
        <w:t>74</w:t>
      </w:r>
      <w:r>
        <w:fldChar w:fldCharType="end"/>
      </w:r>
      <w:r>
        <w:t>–</w:t>
      </w:r>
      <w:r>
        <w:fldChar w:fldCharType="begin"/>
      </w:r>
      <w:r>
        <w:instrText xml:space="preserve"> REF _Ref_78 \h </w:instrText>
      </w:r>
      <w:r>
        <w:fldChar w:fldCharType="separate"/>
      </w:r>
      <w:r>
        <w:t>78</w:t>
      </w:r>
      <w:r>
        <w:fldChar w:fldCharType="end"/>
      </w:r>
      <w:r>
        <w:t>]</w:t>
      </w:r>
      <w:r>
        <w:rPr>
          <w:b w:val="0"/>
          <w:i w:val="0"/>
        </w:rPr>
        <w:t>.</w:t>
      </w:r>
    </w:p>
    <w:p>
      <w:pPr>
        <w:pStyle w:val="MDPI21heading1"/>
      </w:pPr>
      <w:r>
        <w:t>7. Conclusions</w:t>
      </w:r>
    </w:p>
    <w:p>
      <w:pPr>
        <w:pStyle w:val="MDPI32textnoindent"/>
      </w:pPr>
      <w:r>
        <w:rPr>
          <w:b w:val="0"/>
          <w:i w:val="0"/>
        </w:rPr>
        <w:t>This paper asked what generative artificial intelligence is doing to youth employment, and answered that the question has no firm-level answer. Using 26,115 firm-year observations for 2,800 Chinese A-share listed firms over 2016–2025, their disclosed supplier and customer links and the 60 local labour markets they share, we estimated a network autoregressive model of the youth employment share and decomposed its impacts.</w:t>
      </w:r>
    </w:p>
    <w:p>
      <w:pPr>
        <w:pStyle w:val="MDPI31text"/>
      </w:pPr>
      <w:r>
        <w:rPr>
          <w:b w:val="0"/>
          <w:i w:val="0"/>
        </w:rPr>
        <w:t>Own adoption lowers the youth share by 0.434 percentage points per standard deviation. Customers' adoption lowers it by a further 0.396 and suppliers' by 0.246, while local peers' adoption raises it by 0.334. The direct impact is −0.420, the indirect impact −0.893 and the total impact −1.313, a network multiplier of 3.12 with 68% of the effect outside the adopting firm; the city-level coefficient is −0.222, implying that 49% of the firm-level effect is local reallocation rather than destruction. Propagation is concentrated in relationship-specific links, is indifferent to geographic distance, is 4.1 times larger for young workers than for experienced ones, and vanishes when the network is randomly rewired.</w:t>
      </w:r>
    </w:p>
    <w:p>
      <w:pPr>
        <w:pStyle w:val="MDPI31text"/>
      </w:pPr>
      <w:r>
        <w:rPr>
          <w:b w:val="0"/>
          <w:i w:val="0"/>
        </w:rPr>
        <w:t>The methodological conclusion is that the within-firm coefficient, which is what the literature reports, is neither an upper nor a lower bound on anything policy cares about. The substantive conclusion is that a young person's chances are being changed by technology decisions taken in firms they will never apply to. And the systems conclusion is the one in the title: for this question, the sum is not the parts, and the difference is large enough to reverse the reading of the existing evidence.</w:t>
      </w:r>
    </w:p>
    <w:p>
      <w:pPr>
        <w:pStyle w:val="MDPI21heading1"/>
      </w:pPr>
      <w:r>
        <w:t>Appendix A</w:t>
      </w:r>
    </w:p>
    <w:p>
      <w:pPr>
        <w:pStyle w:val="MDPI32textnoindent"/>
      </w:pPr>
      <w:r>
        <w:rPr>
          <w:b w:val="0"/>
          <w:i w:val="0"/>
        </w:rPr>
        <w:t>Table A1 reports alternative constructions of the customer network and the placebo tests described in Section 5.1. Replacing the disclosed sales shares with unweighted links, and with the single largest customer only, leaves the coefficient close to the baseline, so the result is not an artefact of the weighting. Shifting the customer lag two years back leaves it negative and significant, which is what a propagating shock should do. Shifting it two years forward is a placebo, since a firm's youth employment today cannot respond to its customers' future adoption. Rewiring the customer links at random, while leaving every firm's own adoption and characteristics exactly as they are, is the strongest test available that the estimated spillover belongs to the network rather than to the firms it connects.</w:t>
      </w:r>
    </w:p>
    <w:p>
      <w:pPr>
        <w:pStyle w:val="MDPI41tablecaption"/>
        <w:keepNext/>
        <w:spacing w:after="60"/>
      </w:pPr>
      <w:r>
        <w:rPr>
          <w:b/>
          <w:sz w:val="18"/>
        </w:rPr>
        <w:t xml:space="preserve">Table A1. </w:t>
      </w:r>
      <w:r>
        <w:rPr>
          <w:b w:val="0"/>
          <w:i w:val="0"/>
          <w:sz w:val="18"/>
        </w:rPr>
        <w:t>Alternative network constructions and placebo tests.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186"/>
        <w:gridCol w:w="2093"/>
        <w:gridCol w:w="1569"/>
        <w:gridCol w:w="1360"/>
        <w:gridCol w:w="1255"/>
      </w:tblGrid>
      <w:tr>
        <w:trPr>
          <w:cantSplit/>
          <w:tblHeader/>
        </w:trPr>
        <w:tc>
          <w:tcPr>
            <w:tcW w:type="dxa" w:w="4186"/>
            <w:tcBorders>
              <w:bottom w:val="single" w:sz="8" w:space="0" w:color="auto"/>
            </w:tcBorders>
          </w:tcPr>
          <w:p>
            <w:pPr>
              <w:pStyle w:val="MDPI42tablebody"/>
              <w:keepNext/>
              <w:spacing w:line="240" w:lineRule="auto" w:before="30" w:after="30"/>
              <w:jc w:val="center"/>
            </w:pPr>
            <w:r>
              <w:rPr>
                <w:b/>
                <w:i w:val="0"/>
                <w:sz w:val="18"/>
              </w:rPr>
              <w:t>Specification</w:t>
            </w:r>
          </w:p>
        </w:tc>
        <w:tc>
          <w:tcPr>
            <w:tcW w:type="dxa" w:w="2093"/>
            <w:tcBorders>
              <w:bottom w:val="single" w:sz="8" w:space="0" w:color="auto"/>
            </w:tcBorders>
          </w:tcPr>
          <w:p>
            <w:pPr>
              <w:pStyle w:val="MDPI42tablebody"/>
              <w:keepNext/>
              <w:spacing w:line="240" w:lineRule="auto" w:before="30" w:after="30"/>
              <w:jc w:val="center"/>
            </w:pPr>
            <w:r>
              <w:rPr>
                <w:b/>
                <w:i w:val="0"/>
                <w:sz w:val="18"/>
              </w:rPr>
              <w:t>Coefficient on</w:t>
            </w:r>
          </w:p>
        </w:tc>
        <w:tc>
          <w:tcPr>
            <w:tcW w:type="dxa" w:w="1569"/>
            <w:tcBorders>
              <w:bottom w:val="single" w:sz="8" w:space="0" w:color="auto"/>
            </w:tcBorders>
          </w:tcPr>
          <w:p>
            <w:pPr>
              <w:pStyle w:val="MDPI42tablebody"/>
              <w:keepNext/>
              <w:spacing w:line="240" w:lineRule="auto" w:before="30" w:after="30"/>
              <w:jc w:val="center"/>
            </w:pPr>
            <w:r>
              <w:rPr>
                <w:b/>
                <w:i w:val="0"/>
                <w:sz w:val="18"/>
              </w:rPr>
              <w:t>Estimate</w:t>
            </w:r>
          </w:p>
        </w:tc>
        <w:tc>
          <w:tcPr>
            <w:tcW w:type="dxa" w:w="1360"/>
            <w:tcBorders>
              <w:bottom w:val="single" w:sz="8" w:space="0" w:color="auto"/>
            </w:tcBorders>
          </w:tcPr>
          <w:p>
            <w:pPr>
              <w:pStyle w:val="MDPI42tablebody"/>
              <w:keepNext/>
              <w:spacing w:line="240" w:lineRule="auto" w:before="30" w:after="30"/>
              <w:jc w:val="center"/>
            </w:pPr>
            <w:r>
              <w:rPr>
                <w:b/>
                <w:i w:val="0"/>
                <w:sz w:val="18"/>
              </w:rPr>
              <w:t>SE</w:t>
            </w:r>
          </w:p>
        </w:tc>
        <w:tc>
          <w:tcPr>
            <w:tcW w:type="dxa" w:w="1255"/>
            <w:tcBorders>
              <w:bottom w:val="single" w:sz="8" w:space="0" w:color="auto"/>
            </w:tcBorders>
          </w:tcPr>
          <w:p>
            <w:pPr>
              <w:pStyle w:val="MDPI42tablebody"/>
              <w:keepNext/>
              <w:spacing w:line="240" w:lineRule="auto" w:before="30" w:after="30"/>
              <w:jc w:val="center"/>
            </w:pPr>
            <w:r>
              <w:rPr>
                <w:b/>
                <w:i w:val="0"/>
                <w:sz w:val="18"/>
              </w:rPr>
              <w:t>N</w:t>
            </w:r>
          </w:p>
        </w:tc>
      </w:tr>
      <w:tr>
        <w:trPr>
          <w:cantSplit/>
        </w:trPr>
        <w:tc>
          <w:tcPr>
            <w:tcW w:type="dxa" w:w="4186"/>
          </w:tcPr>
          <w:p>
            <w:pPr>
              <w:pStyle w:val="MDPI42tablebody"/>
              <w:keepNext/>
              <w:spacing w:line="240" w:lineRule="auto" w:before="30" w:after="30"/>
              <w:jc w:val="left"/>
            </w:pPr>
            <w:r>
              <w:rPr>
                <w:b w:val="0"/>
                <w:i w:val="0"/>
                <w:sz w:val="18"/>
              </w:rPr>
              <w:t>Baseline customer lag</w:t>
            </w:r>
          </w:p>
        </w:tc>
        <w:tc>
          <w:tcPr>
            <w:tcW w:type="dxa" w:w="2093"/>
          </w:tcPr>
          <w:p>
            <w:pPr>
              <w:pStyle w:val="MDPI42tablebody"/>
              <w:keepNext/>
              <w:spacing w:line="240" w:lineRule="auto" w:before="30" w:after="30"/>
              <w:jc w:val="left"/>
            </w:pPr>
            <w:r>
              <w:rPr>
                <w:b w:val="0"/>
                <w:i w:val="0"/>
                <w:sz w:val="18"/>
              </w:rPr>
              <w:t>A</w:t>
            </w:r>
            <w:r>
              <w:rPr>
                <w:b w:val="0"/>
                <w:i w:val="0"/>
                <w:sz w:val="18"/>
                <w:vertAlign w:val="superscript"/>
              </w:rPr>
              <w:t>d</w:t>
            </w:r>
          </w:p>
        </w:tc>
        <w:tc>
          <w:tcPr>
            <w:tcW w:type="dxa" w:w="1569"/>
          </w:tcPr>
          <w:p>
            <w:pPr>
              <w:pStyle w:val="MDPI42tablebody"/>
              <w:keepNext/>
              <w:spacing w:line="240" w:lineRule="auto" w:before="30" w:after="30"/>
              <w:jc w:val="center"/>
            </w:pPr>
            <w:r>
              <w:rPr>
                <w:b w:val="0"/>
                <w:i w:val="0"/>
                <w:sz w:val="18"/>
              </w:rPr>
              <w:t>−0.396***</w:t>
            </w:r>
          </w:p>
        </w:tc>
        <w:tc>
          <w:tcPr>
            <w:tcW w:type="dxa" w:w="1360"/>
          </w:tcPr>
          <w:p>
            <w:pPr>
              <w:pStyle w:val="MDPI42tablebody"/>
              <w:keepNext/>
              <w:spacing w:line="240" w:lineRule="auto" w:before="30" w:after="30"/>
              <w:jc w:val="center"/>
            </w:pPr>
            <w:r>
              <w:rPr>
                <w:b w:val="0"/>
                <w:i w:val="0"/>
                <w:sz w:val="18"/>
              </w:rPr>
              <w:t>(0.032)</w:t>
            </w:r>
          </w:p>
        </w:tc>
        <w:tc>
          <w:tcPr>
            <w:tcW w:type="dxa" w:w="1255"/>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Unweighted (binary) customer links</w:t>
            </w:r>
          </w:p>
        </w:tc>
        <w:tc>
          <w:tcPr>
            <w:tcW w:type="dxa" w:w="2093"/>
          </w:tcPr>
          <w:p>
            <w:pPr>
              <w:pStyle w:val="MDPI42tablebody"/>
              <w:keepNext/>
              <w:spacing w:line="240" w:lineRule="auto" w:before="30" w:after="30"/>
              <w:jc w:val="left"/>
            </w:pPr>
            <w:r>
              <w:rPr>
                <w:b w:val="0"/>
                <w:i w:val="0"/>
                <w:sz w:val="18"/>
              </w:rPr>
              <w:t>A</w:t>
            </w:r>
            <w:r>
              <w:rPr>
                <w:b w:val="0"/>
                <w:i w:val="0"/>
                <w:sz w:val="18"/>
                <w:vertAlign w:val="superscript"/>
              </w:rPr>
              <w:t>d</w:t>
            </w:r>
            <w:r>
              <w:rPr>
                <w:b w:val="0"/>
                <w:i w:val="0"/>
                <w:sz w:val="18"/>
              </w:rPr>
              <w:t>(unweighted)</w:t>
            </w:r>
          </w:p>
        </w:tc>
        <w:tc>
          <w:tcPr>
            <w:tcW w:type="dxa" w:w="1569"/>
          </w:tcPr>
          <w:p>
            <w:pPr>
              <w:pStyle w:val="MDPI42tablebody"/>
              <w:keepNext/>
              <w:spacing w:line="240" w:lineRule="auto" w:before="30" w:after="30"/>
              <w:jc w:val="center"/>
            </w:pPr>
            <w:r>
              <w:rPr>
                <w:b w:val="0"/>
                <w:i w:val="0"/>
                <w:sz w:val="18"/>
              </w:rPr>
              <w:t>−0.387***</w:t>
            </w:r>
          </w:p>
        </w:tc>
        <w:tc>
          <w:tcPr>
            <w:tcW w:type="dxa" w:w="1360"/>
          </w:tcPr>
          <w:p>
            <w:pPr>
              <w:pStyle w:val="MDPI42tablebody"/>
              <w:keepNext/>
              <w:spacing w:line="240" w:lineRule="auto" w:before="30" w:after="30"/>
              <w:jc w:val="center"/>
            </w:pPr>
            <w:r>
              <w:rPr>
                <w:b w:val="0"/>
                <w:i w:val="0"/>
                <w:sz w:val="18"/>
              </w:rPr>
              <w:t>(0.040)</w:t>
            </w:r>
          </w:p>
        </w:tc>
        <w:tc>
          <w:tcPr>
            <w:tcW w:type="dxa" w:w="1255"/>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Largest customer only</w:t>
            </w:r>
          </w:p>
        </w:tc>
        <w:tc>
          <w:tcPr>
            <w:tcW w:type="dxa" w:w="2093"/>
          </w:tcPr>
          <w:p>
            <w:pPr>
              <w:pStyle w:val="MDPI42tablebody"/>
              <w:keepNext/>
              <w:spacing w:line="240" w:lineRule="auto" w:before="30" w:after="30"/>
              <w:jc w:val="left"/>
            </w:pPr>
            <w:r>
              <w:rPr>
                <w:b w:val="0"/>
                <w:i w:val="0"/>
                <w:sz w:val="18"/>
              </w:rPr>
              <w:t>A</w:t>
            </w:r>
            <w:r>
              <w:rPr>
                <w:b w:val="0"/>
                <w:i w:val="0"/>
                <w:sz w:val="18"/>
                <w:vertAlign w:val="superscript"/>
              </w:rPr>
              <w:t>d</w:t>
            </w:r>
            <w:r>
              <w:rPr>
                <w:b w:val="0"/>
                <w:i w:val="0"/>
                <w:sz w:val="18"/>
              </w:rPr>
              <w:t>(largest customer)</w:t>
            </w:r>
          </w:p>
        </w:tc>
        <w:tc>
          <w:tcPr>
            <w:tcW w:type="dxa" w:w="1569"/>
          </w:tcPr>
          <w:p>
            <w:pPr>
              <w:pStyle w:val="MDPI42tablebody"/>
              <w:keepNext/>
              <w:spacing w:line="240" w:lineRule="auto" w:before="30" w:after="30"/>
              <w:jc w:val="center"/>
            </w:pPr>
            <w:r>
              <w:rPr>
                <w:b w:val="0"/>
                <w:i w:val="0"/>
                <w:sz w:val="18"/>
              </w:rPr>
              <w:t>−0.176***</w:t>
            </w:r>
          </w:p>
        </w:tc>
        <w:tc>
          <w:tcPr>
            <w:tcW w:type="dxa" w:w="1360"/>
          </w:tcPr>
          <w:p>
            <w:pPr>
              <w:pStyle w:val="MDPI42tablebody"/>
              <w:keepNext/>
              <w:spacing w:line="240" w:lineRule="auto" w:before="30" w:after="30"/>
              <w:jc w:val="center"/>
            </w:pPr>
            <w:r>
              <w:rPr>
                <w:b w:val="0"/>
                <w:i w:val="0"/>
                <w:sz w:val="18"/>
              </w:rPr>
              <w:t>(0.017)</w:t>
            </w:r>
          </w:p>
        </w:tc>
        <w:tc>
          <w:tcPr>
            <w:tcW w:type="dxa" w:w="1255"/>
          </w:tcPr>
          <w:p>
            <w:pPr>
              <w:pStyle w:val="MDPI42tablebody"/>
              <w:keepNext/>
              <w:spacing w:line="240" w:lineRule="auto" w:before="30" w:after="30"/>
              <w:jc w:val="center"/>
            </w:pPr>
            <w:r>
              <w:rPr>
                <w:b w:val="0"/>
                <w:i w:val="0"/>
                <w:sz w:val="18"/>
              </w:rPr>
              <w:t>26,115</w:t>
            </w:r>
          </w:p>
        </w:tc>
      </w:tr>
      <w:tr>
        <w:trPr>
          <w:cantSplit/>
        </w:trPr>
        <w:tc>
          <w:tcPr>
            <w:tcW w:type="dxa" w:w="4186"/>
          </w:tcPr>
          <w:p>
            <w:pPr>
              <w:pStyle w:val="MDPI42tablebody"/>
              <w:keepNext/>
              <w:spacing w:line="240" w:lineRule="auto" w:before="30" w:after="30"/>
              <w:jc w:val="left"/>
            </w:pPr>
            <w:r>
              <w:rPr>
                <w:b w:val="0"/>
                <w:i w:val="0"/>
                <w:sz w:val="18"/>
              </w:rPr>
              <w:t>Customer lag two years earlier</w:t>
            </w:r>
          </w:p>
        </w:tc>
        <w:tc>
          <w:tcPr>
            <w:tcW w:type="dxa" w:w="2093"/>
          </w:tcPr>
          <w:p>
            <w:pPr>
              <w:pStyle w:val="MDPI42tablebody"/>
              <w:keepNext/>
              <w:spacing w:line="240" w:lineRule="auto" w:before="30" w:after="30"/>
              <w:jc w:val="left"/>
            </w:pPr>
            <w:r>
              <w:rPr>
                <w:b w:val="0"/>
                <w:i w:val="0"/>
                <w:sz w:val="18"/>
              </w:rPr>
              <w:t>A</w:t>
            </w:r>
            <w:r>
              <w:rPr>
                <w:b w:val="0"/>
                <w:i w:val="0"/>
                <w:sz w:val="18"/>
                <w:vertAlign w:val="superscript"/>
              </w:rPr>
              <w:t>d</w:t>
            </w:r>
            <w:r>
              <w:rPr>
                <w:b w:val="0"/>
                <w:i w:val="0"/>
                <w:sz w:val="18"/>
              </w:rPr>
              <w:t>(t-2)</w:t>
            </w:r>
          </w:p>
        </w:tc>
        <w:tc>
          <w:tcPr>
            <w:tcW w:type="dxa" w:w="1569"/>
          </w:tcPr>
          <w:p>
            <w:pPr>
              <w:pStyle w:val="MDPI42tablebody"/>
              <w:keepNext/>
              <w:spacing w:line="240" w:lineRule="auto" w:before="30" w:after="30"/>
              <w:jc w:val="center"/>
            </w:pPr>
            <w:r>
              <w:rPr>
                <w:b w:val="0"/>
                <w:i w:val="0"/>
                <w:sz w:val="18"/>
              </w:rPr>
              <w:t>−0.023</w:t>
            </w:r>
          </w:p>
        </w:tc>
        <w:tc>
          <w:tcPr>
            <w:tcW w:type="dxa" w:w="1360"/>
          </w:tcPr>
          <w:p>
            <w:pPr>
              <w:pStyle w:val="MDPI42tablebody"/>
              <w:keepNext/>
              <w:spacing w:line="240" w:lineRule="auto" w:before="30" w:after="30"/>
              <w:jc w:val="center"/>
            </w:pPr>
            <w:r>
              <w:rPr>
                <w:b w:val="0"/>
                <w:i w:val="0"/>
                <w:sz w:val="18"/>
              </w:rPr>
              <w:t>(0.041)</w:t>
            </w:r>
          </w:p>
        </w:tc>
        <w:tc>
          <w:tcPr>
            <w:tcW w:type="dxa" w:w="1255"/>
          </w:tcPr>
          <w:p>
            <w:pPr>
              <w:pStyle w:val="MDPI42tablebody"/>
              <w:keepNext/>
              <w:spacing w:line="240" w:lineRule="auto" w:before="30" w:after="30"/>
              <w:jc w:val="center"/>
            </w:pPr>
            <w:r>
              <w:rPr>
                <w:b w:val="0"/>
                <w:i w:val="0"/>
                <w:sz w:val="18"/>
              </w:rPr>
              <w:t>20,516</w:t>
            </w:r>
          </w:p>
        </w:tc>
      </w:tr>
      <w:tr>
        <w:trPr>
          <w:cantSplit/>
        </w:trPr>
        <w:tc>
          <w:tcPr>
            <w:tcW w:type="dxa" w:w="4186"/>
          </w:tcPr>
          <w:p>
            <w:pPr>
              <w:pStyle w:val="MDPI42tablebody"/>
              <w:keepNext/>
              <w:spacing w:line="240" w:lineRule="auto" w:before="30" w:after="30"/>
              <w:jc w:val="left"/>
            </w:pPr>
            <w:r>
              <w:rPr>
                <w:b w:val="0"/>
                <w:i w:val="0"/>
                <w:sz w:val="18"/>
              </w:rPr>
              <w:t>Placebo: customer lag led by two years</w:t>
            </w:r>
          </w:p>
        </w:tc>
        <w:tc>
          <w:tcPr>
            <w:tcW w:type="dxa" w:w="2093"/>
          </w:tcPr>
          <w:p>
            <w:pPr>
              <w:pStyle w:val="MDPI42tablebody"/>
              <w:keepNext/>
              <w:spacing w:line="240" w:lineRule="auto" w:before="30" w:after="30"/>
              <w:jc w:val="left"/>
            </w:pPr>
            <w:r>
              <w:rPr>
                <w:b w:val="0"/>
                <w:i w:val="0"/>
                <w:sz w:val="18"/>
              </w:rPr>
              <w:t>A</w:t>
            </w:r>
            <w:r>
              <w:rPr>
                <w:b w:val="0"/>
                <w:i w:val="0"/>
                <w:sz w:val="18"/>
                <w:vertAlign w:val="superscript"/>
              </w:rPr>
              <w:t>d</w:t>
            </w:r>
            <w:r>
              <w:rPr>
                <w:b w:val="0"/>
                <w:i w:val="0"/>
                <w:sz w:val="18"/>
              </w:rPr>
              <w:t>(t+2)</w:t>
            </w:r>
          </w:p>
        </w:tc>
        <w:tc>
          <w:tcPr>
            <w:tcW w:type="dxa" w:w="1569"/>
          </w:tcPr>
          <w:p>
            <w:pPr>
              <w:pStyle w:val="MDPI42tablebody"/>
              <w:keepNext/>
              <w:spacing w:line="240" w:lineRule="auto" w:before="30" w:after="30"/>
              <w:jc w:val="center"/>
            </w:pPr>
            <w:r>
              <w:rPr>
                <w:b w:val="0"/>
                <w:i w:val="0"/>
                <w:sz w:val="18"/>
              </w:rPr>
              <w:t>−0.041</w:t>
            </w:r>
          </w:p>
        </w:tc>
        <w:tc>
          <w:tcPr>
            <w:tcW w:type="dxa" w:w="1360"/>
          </w:tcPr>
          <w:p>
            <w:pPr>
              <w:pStyle w:val="MDPI42tablebody"/>
              <w:keepNext/>
              <w:spacing w:line="240" w:lineRule="auto" w:before="30" w:after="30"/>
              <w:jc w:val="center"/>
            </w:pPr>
            <w:r>
              <w:rPr>
                <w:b w:val="0"/>
                <w:i w:val="0"/>
                <w:sz w:val="18"/>
              </w:rPr>
              <w:t>(0.036)</w:t>
            </w:r>
          </w:p>
        </w:tc>
        <w:tc>
          <w:tcPr>
            <w:tcW w:type="dxa" w:w="1255"/>
          </w:tcPr>
          <w:p>
            <w:pPr>
              <w:pStyle w:val="MDPI42tablebody"/>
              <w:keepNext/>
              <w:spacing w:line="240" w:lineRule="auto" w:before="30" w:after="30"/>
              <w:jc w:val="center"/>
            </w:pPr>
            <w:r>
              <w:rPr>
                <w:b w:val="0"/>
                <w:i w:val="0"/>
                <w:sz w:val="18"/>
              </w:rPr>
              <w:t>20,516</w:t>
            </w:r>
          </w:p>
        </w:tc>
      </w:tr>
      <w:tr>
        <w:trPr>
          <w:cantSplit/>
        </w:trPr>
        <w:tc>
          <w:tcPr>
            <w:tcW w:type="dxa" w:w="4186"/>
          </w:tcPr>
          <w:p>
            <w:pPr>
              <w:pStyle w:val="MDPI42tablebody"/>
              <w:spacing w:line="240" w:lineRule="auto" w:before="30" w:after="30"/>
              <w:jc w:val="left"/>
            </w:pPr>
            <w:r>
              <w:rPr>
                <w:b w:val="0"/>
                <w:i w:val="0"/>
                <w:sz w:val="18"/>
              </w:rPr>
              <w:t>Placebo: randomly rewired customer links</w:t>
            </w:r>
          </w:p>
        </w:tc>
        <w:tc>
          <w:tcPr>
            <w:tcW w:type="dxa" w:w="2093"/>
          </w:tcPr>
          <w:p>
            <w:pPr>
              <w:pStyle w:val="MDPI42tablebody"/>
              <w:spacing w:line="240" w:lineRule="auto" w:before="30" w:after="30"/>
              <w:jc w:val="left"/>
            </w:pPr>
            <w:r>
              <w:rPr>
                <w:b w:val="0"/>
                <w:i w:val="0"/>
                <w:sz w:val="18"/>
              </w:rPr>
              <w:t>A</w:t>
            </w:r>
            <w:r>
              <w:rPr>
                <w:b w:val="0"/>
                <w:i w:val="0"/>
                <w:sz w:val="18"/>
                <w:vertAlign w:val="superscript"/>
              </w:rPr>
              <w:t>d</w:t>
            </w:r>
            <w:r>
              <w:rPr>
                <w:b w:val="0"/>
                <w:i w:val="0"/>
                <w:sz w:val="18"/>
              </w:rPr>
              <w:t>(rewired)</w:t>
            </w:r>
          </w:p>
        </w:tc>
        <w:tc>
          <w:tcPr>
            <w:tcW w:type="dxa" w:w="1569"/>
          </w:tcPr>
          <w:p>
            <w:pPr>
              <w:pStyle w:val="MDPI42tablebody"/>
              <w:spacing w:line="240" w:lineRule="auto" w:before="30" w:after="30"/>
              <w:jc w:val="center"/>
            </w:pPr>
            <w:r>
              <w:rPr>
                <w:b w:val="0"/>
                <w:i w:val="0"/>
                <w:sz w:val="18"/>
              </w:rPr>
              <w:t>−0.010</w:t>
            </w:r>
          </w:p>
        </w:tc>
        <w:tc>
          <w:tcPr>
            <w:tcW w:type="dxa" w:w="1360"/>
          </w:tcPr>
          <w:p>
            <w:pPr>
              <w:pStyle w:val="MDPI42tablebody"/>
              <w:spacing w:line="240" w:lineRule="auto" w:before="30" w:after="30"/>
              <w:jc w:val="center"/>
            </w:pPr>
            <w:r>
              <w:rPr>
                <w:b w:val="0"/>
                <w:i w:val="0"/>
                <w:sz w:val="18"/>
              </w:rPr>
              <w:t>(0.032)</w:t>
            </w:r>
          </w:p>
        </w:tc>
        <w:tc>
          <w:tcPr>
            <w:tcW w:type="dxa" w:w="1255"/>
          </w:tcPr>
          <w:p>
            <w:pPr>
              <w:pStyle w:val="MDPI42tablebody"/>
              <w:spacing w:line="240" w:lineRule="auto" w:before="30" w:after="30"/>
              <w:jc w:val="center"/>
            </w:pPr>
            <w:r>
              <w:rPr>
                <w:b w:val="0"/>
                <w:i w:val="0"/>
                <w:sz w:val="18"/>
              </w:rPr>
              <w:t>26,115</w:t>
            </w:r>
          </w:p>
        </w:tc>
      </w:tr>
    </w:tbl>
    <w:p>
      <w:pPr>
        <w:pStyle w:val="MDPI43tablefooter"/>
        <w:spacing w:line="240" w:lineRule="auto" w:before="40" w:after="200"/>
        <w:ind w:left="2608" w:firstLine="0"/>
      </w:pPr>
      <w:r>
        <w:rPr>
          <w:sz w:val="16"/>
        </w:rPr>
        <w:t xml:space="preserve">Note: </w:t>
      </w:r>
      <w:r>
        <w:rPr>
          <w:b w:val="0"/>
          <w:i w:val="0"/>
          <w:sz w:val="16"/>
        </w:rPr>
        <w:t>Each row re-estimates Equation (6) with the customer lag replaced by the construction named in the first column; the coefficient reported is that on the replacement. The lead specification is a placebo, and the rewired specification reassigns customer links at random while leaving every firm's own adoption, characteristics and outcome unchanged. Standard errors clustered at the firm level are in parentheses. ***, ** and * denote significance at the 1%, 5% and 10% levels.</w:t>
      </w:r>
    </w:p>
    <w:p>
      <w:pPr>
        <w:pStyle w:val="MDPI62backmatter"/>
        <w:spacing w:before="120"/>
      </w:pPr>
      <w:r>
        <w:rPr>
          <w:b/>
          <w:sz w:val="18"/>
        </w:rPr>
        <w:t xml:space="preserve">Author Contributions: </w:t>
      </w:r>
      <w:r>
        <w:rPr>
          <w:b w:val="0"/>
          <w:i w:val="0"/>
          <w:sz w:val="18"/>
        </w:rPr>
        <w:t>Conceptualization, methodology, formal analysis, software and writing—original draft preparation, X.C.; validation, data curation and visualization, investigation, writing—review and editing, supervision and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pStyle w:val="MDPI62backmatter"/>
        <w:spacing w:before="120"/>
      </w:pPr>
      <w:r>
        <w:rPr>
          <w:b/>
          <w:sz w:val="18"/>
        </w:rPr>
        <w:t xml:space="preserve">Institutional Review Board Statement: </w:t>
      </w:r>
      <w:r>
        <w:rPr>
          <w:b w:val="0"/>
          <w:i w:val="0"/>
          <w:sz w:val="18"/>
        </w:rPr>
        <w:t>Not applicable. The study uses firm-level accounting, disclosure and supply-chain data and involves no human participants or animals.</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The financial, governance, employment-composition and supplier-customer disclosure data are commercially licensed from the China Stock Market and Accounting Research database and cannot be redistributed by the authors; they are available to subscribers. The generative-AI keyword dictionary, the code that constructs the three weight matrices, the estimation code for every specification reported in the paper, and the scripts that generate every table are available from the corresponding author on reasonable request.</w:t>
      </w:r>
    </w:p>
    <w:p>
      <w:pPr>
        <w:pStyle w:val="MDPI62backmatter"/>
        <w:spacing w:before="120"/>
      </w:pPr>
      <w:r>
        <w:rPr>
          <w:b/>
          <w:sz w:val="18"/>
        </w:rPr>
        <w:t xml:space="preserve">Acknowledgments: </w:t>
      </w:r>
      <w:r>
        <w:rPr>
          <w:b w:val="0"/>
          <w:i w:val="0"/>
          <w:sz w:val="18"/>
        </w:rPr>
        <w:t>The authors thank the editors and the anonymous reviewers for comments that improved the manuscript.</w:t>
      </w:r>
    </w:p>
    <w:p>
      <w:pPr>
        <w:pStyle w:val="MDPI62backmatter"/>
        <w:spacing w:before="120"/>
      </w:pPr>
      <w:r>
        <w:rPr>
          <w:b/>
          <w:sz w:val="18"/>
        </w:rPr>
        <w:t xml:space="preserve">Conflicts of Interest: </w:t>
      </w:r>
      <w:r>
        <w:rPr>
          <w:b w:val="0"/>
          <w:i w:val="0"/>
          <w:sz w:val="18"/>
        </w:rPr>
        <w:t>The authors declare no conflicts of interest.</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Liu, Y.; Wang, H.; Yu, S. </w:t>
      </w:r>
      <w:r>
        <w:rPr>
          <w:b w:val="0"/>
          <w:i/>
          <w:sz w:val="18"/>
        </w:rPr>
        <w:t xml:space="preserve">Labor Demand in the Age of Generative AI: Early Evidence from the U.S. Job Posting Data; </w:t>
      </w:r>
      <w:r>
        <w:rPr>
          <w:b w:val="0"/>
          <w:i w:val="0"/>
          <w:sz w:val="18"/>
        </w:rPr>
        <w:t xml:space="preserve">Policy Research Working Paper 11263; </w:t>
      </w:r>
      <w:r>
        <w:rPr>
          <w:b w:val="0"/>
          <w:i w:val="0"/>
          <w:sz w:val="18"/>
        </w:rPr>
        <w:t>World Bank: Washington, DC, USA, 2025.</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Vaccaro, M.; Almaatouq, A.; Malone, T. </w:t>
      </w:r>
      <w:r>
        <w:rPr>
          <w:b w:val="0"/>
          <w:i w:val="0"/>
          <w:sz w:val="18"/>
        </w:rPr>
        <w:t xml:space="preserve">When Combinations of Humans and AI Are Useful: A Systematic Review and Meta-Analysis. </w:t>
      </w:r>
      <w:r>
        <w:rPr>
          <w:b w:val="0"/>
          <w:i/>
          <w:sz w:val="18"/>
        </w:rPr>
        <w:t xml:space="preserve">Nat. Hum. Behav. </w:t>
      </w:r>
      <w:r>
        <w:rPr>
          <w:b/>
          <w:i w:val="0"/>
          <w:sz w:val="18"/>
        </w:rPr>
        <w:t>2024</w:t>
      </w:r>
      <w:r>
        <w:rPr>
          <w:b w:val="0"/>
          <w:i w:val="0"/>
          <w:sz w:val="18"/>
        </w:rPr>
        <w:t xml:space="preserve">, </w:t>
      </w:r>
      <w:r>
        <w:rPr>
          <w:b w:val="0"/>
          <w:i/>
          <w:sz w:val="18"/>
        </w:rPr>
        <w:t>8</w:t>
      </w:r>
      <w:r>
        <w:rPr>
          <w:b w:val="0"/>
          <w:i w:val="0"/>
          <w:sz w:val="18"/>
        </w:rPr>
        <w:t>, 2293–2303.</w:t>
      </w:r>
      <w:r>
        <w:rPr>
          <w:b w:val="0"/>
          <w:i w:val="0"/>
          <w:sz w:val="18"/>
        </w:rPr>
        <w:t xml:space="preserve"> [CrossRef]</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Noy, S.; Zhang, W. </w:t>
      </w:r>
      <w:r>
        <w:rPr>
          <w:b w:val="0"/>
          <w:i w:val="0"/>
          <w:sz w:val="18"/>
        </w:rPr>
        <w:t xml:space="preserve">Experimental Evidence on the Productivity Effects of Generative Artificial Intelligence. </w:t>
      </w:r>
      <w:r>
        <w:rPr>
          <w:b w:val="0"/>
          <w:i/>
          <w:sz w:val="18"/>
        </w:rPr>
        <w:t xml:space="preserve">Science </w:t>
      </w:r>
      <w:r>
        <w:rPr>
          <w:b/>
          <w:i w:val="0"/>
          <w:sz w:val="18"/>
        </w:rPr>
        <w:t>2023</w:t>
      </w:r>
      <w:r>
        <w:rPr>
          <w:b w:val="0"/>
          <w:i w:val="0"/>
          <w:sz w:val="18"/>
        </w:rPr>
        <w:t xml:space="preserve">, </w:t>
      </w:r>
      <w:r>
        <w:rPr>
          <w:b w:val="0"/>
          <w:i/>
          <w:sz w:val="18"/>
        </w:rPr>
        <w:t>381</w:t>
      </w:r>
      <w:r>
        <w:rPr>
          <w:b w:val="0"/>
          <w:i w:val="0"/>
          <w:sz w:val="18"/>
        </w:rPr>
        <w:t>, 187–192.</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Otis, N.G.; Clarke, R.; Delecourt, S.; Holtz, D.; Koning, R. </w:t>
      </w:r>
      <w:r>
        <w:rPr>
          <w:b w:val="0"/>
          <w:i w:val="0"/>
          <w:sz w:val="18"/>
        </w:rPr>
        <w:t xml:space="preserve">The Uneven Impact of Generative Artificial Intelligence on Entrepreneurial Performance: Evidence from a Field Experiment in Kenya.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Cui, Z.K.; Demirer, M.; Jaffe, S.; Musolff, L.; Peng, S.; Salz, T. </w:t>
      </w:r>
      <w:r>
        <w:rPr>
          <w:b w:val="0"/>
          <w:i w:val="0"/>
          <w:sz w:val="18"/>
        </w:rPr>
        <w:t xml:space="preserve">The Effects of Generative AI on High-Skilled Work: Evidence from Three Field Experiments with Software Developers.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Peng, S.; Kalliamvakou, E.; Cihon, P.; Demirer, M. </w:t>
      </w:r>
      <w:r>
        <w:rPr>
          <w:b w:val="0"/>
          <w:i w:val="0"/>
          <w:sz w:val="18"/>
        </w:rPr>
        <w:t xml:space="preserve">The Impact of AI on Developer Productivity: Evidence from GitHub Copilot. </w:t>
      </w:r>
      <w:r>
        <w:rPr>
          <w:b w:val="0"/>
          <w:i/>
          <w:sz w:val="18"/>
        </w:rPr>
        <w:t xml:space="preserve">arXiv </w:t>
      </w:r>
      <w:r>
        <w:rPr>
          <w:b/>
          <w:i w:val="0"/>
          <w:sz w:val="18"/>
        </w:rPr>
        <w:t>2023</w:t>
      </w:r>
      <w:r>
        <w:rPr>
          <w:b w:val="0"/>
          <w:i w:val="0"/>
          <w:sz w:val="18"/>
        </w:rPr>
        <w:t xml:space="preserve">, </w:t>
      </w:r>
      <w:r>
        <w:rPr>
          <w:b w:val="0"/>
          <w:i w:val="0"/>
          <w:sz w:val="18"/>
        </w:rPr>
        <w:t>arXiv:2302.06590.</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Dell'Acqua, F.; McFowland, E., III; Mollick, E.R.; Lifshitz-Assaf, H.; Kellogg, K.C.; Rajendran, S.; Krayer, L.; Candelon, F.; Lakhani, K.R. </w:t>
      </w:r>
      <w:r>
        <w:rPr>
          <w:b w:val="0"/>
          <w:i w:val="0"/>
          <w:sz w:val="18"/>
        </w:rPr>
        <w:t xml:space="preserve">Navigating the Jagged Technological Frontier: Field Experimental Evidence of the Effects of Artificial Intelligence on Knowledge Worker Productivity and Quality. </w:t>
      </w:r>
      <w:r>
        <w:rPr>
          <w:b w:val="0"/>
          <w:i/>
          <w:sz w:val="18"/>
        </w:rPr>
        <w:t xml:space="preserve">Organ.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Bick, A.; Blandin, A.; Deming, D.J. </w:t>
      </w:r>
      <w:r>
        <w:rPr>
          <w:b w:val="0"/>
          <w:i/>
          <w:sz w:val="18"/>
        </w:rPr>
        <w:t xml:space="preserve">The Rapid Adoption of Generative AI; </w:t>
      </w:r>
      <w:r>
        <w:rPr>
          <w:b w:val="0"/>
          <w:i w:val="0"/>
          <w:sz w:val="18"/>
        </w:rPr>
        <w:t xml:space="preserve">NBER Working Paper 32966;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Acemoglu, D.; Carvalho, V.M.; Ozdaglar, A.; Tahbaz-Salehi, A. </w:t>
      </w:r>
      <w:r>
        <w:rPr>
          <w:b w:val="0"/>
          <w:i w:val="0"/>
          <w:sz w:val="18"/>
        </w:rPr>
        <w:t xml:space="preserve">The Network Origins of Aggregate Fluctuations. </w:t>
      </w:r>
      <w:r>
        <w:rPr>
          <w:b w:val="0"/>
          <w:i/>
          <w:sz w:val="18"/>
        </w:rPr>
        <w:t xml:space="preserve">Econometrica </w:t>
      </w:r>
      <w:r>
        <w:rPr>
          <w:b/>
          <w:i w:val="0"/>
          <w:sz w:val="18"/>
        </w:rPr>
        <w:t>2012</w:t>
      </w:r>
      <w:r>
        <w:rPr>
          <w:b w:val="0"/>
          <w:i w:val="0"/>
          <w:sz w:val="18"/>
        </w:rPr>
        <w:t xml:space="preserve">, </w:t>
      </w:r>
      <w:r>
        <w:rPr>
          <w:b w:val="0"/>
          <w:i/>
          <w:sz w:val="18"/>
        </w:rPr>
        <w:t>80</w:t>
      </w:r>
      <w:r>
        <w:rPr>
          <w:b w:val="0"/>
          <w:i w:val="0"/>
          <w:sz w:val="18"/>
        </w:rPr>
        <w:t>, 1977–2016.</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Carvalho, V.M.; Tahbaz-Salehi, A. </w:t>
      </w:r>
      <w:r>
        <w:rPr>
          <w:b w:val="0"/>
          <w:i w:val="0"/>
          <w:sz w:val="18"/>
        </w:rPr>
        <w:t xml:space="preserve">Production Networks: A Primer. </w:t>
      </w:r>
      <w:r>
        <w:rPr>
          <w:b w:val="0"/>
          <w:i/>
          <w:sz w:val="18"/>
        </w:rPr>
        <w:t xml:space="preserve">Annu. Rev. Econ. </w:t>
      </w:r>
      <w:r>
        <w:rPr>
          <w:b/>
          <w:i w:val="0"/>
          <w:sz w:val="18"/>
        </w:rPr>
        <w:t>2019</w:t>
      </w:r>
      <w:r>
        <w:rPr>
          <w:b w:val="0"/>
          <w:i w:val="0"/>
          <w:sz w:val="18"/>
        </w:rPr>
        <w:t xml:space="preserve">, </w:t>
      </w:r>
      <w:r>
        <w:rPr>
          <w:b w:val="0"/>
          <w:i/>
          <w:sz w:val="18"/>
        </w:rPr>
        <w:t>11</w:t>
      </w:r>
      <w:r>
        <w:rPr>
          <w:b w:val="0"/>
          <w:i w:val="0"/>
          <w:sz w:val="18"/>
        </w:rPr>
        <w:t>, 635–663.</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Carvalho, V.M.; Nirei, M.; Saito, Y.U.; Tahbaz-Salehi, A. </w:t>
      </w:r>
      <w:r>
        <w:rPr>
          <w:b w:val="0"/>
          <w:i w:val="0"/>
          <w:sz w:val="18"/>
        </w:rPr>
        <w:t xml:space="preserve">Supply Chain Disruptions: Evidence from the Great East Japan Earthquake. </w:t>
      </w:r>
      <w:r>
        <w:rPr>
          <w:b w:val="0"/>
          <w:i/>
          <w:sz w:val="18"/>
        </w:rPr>
        <w:t xml:space="preserve">Q. J. Econ. </w:t>
      </w:r>
      <w:r>
        <w:rPr>
          <w:b/>
          <w:i w:val="0"/>
          <w:sz w:val="18"/>
        </w:rPr>
        <w:t>2021</w:t>
      </w:r>
      <w:r>
        <w:rPr>
          <w:b w:val="0"/>
          <w:i w:val="0"/>
          <w:sz w:val="18"/>
        </w:rPr>
        <w:t xml:space="preserve">, </w:t>
      </w:r>
      <w:r>
        <w:rPr>
          <w:b w:val="0"/>
          <w:i/>
          <w:sz w:val="18"/>
        </w:rPr>
        <w:t>136</w:t>
      </w:r>
      <w:r>
        <w:rPr>
          <w:b w:val="0"/>
          <w:i w:val="0"/>
          <w:sz w:val="18"/>
        </w:rPr>
        <w:t>, 1255–1321.</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Boehm, C.E.; Flaaen, A.; Pandalai-Nayar, N. </w:t>
      </w:r>
      <w:r>
        <w:rPr>
          <w:b w:val="0"/>
          <w:i w:val="0"/>
          <w:sz w:val="18"/>
        </w:rPr>
        <w:t xml:space="preserve">Input Linkages and the Transmission of Shocks: Firm-Level Evidence from the 2011 Tōhoku Earthquake. </w:t>
      </w:r>
      <w:r>
        <w:rPr>
          <w:b w:val="0"/>
          <w:i/>
          <w:sz w:val="18"/>
        </w:rPr>
        <w:t xml:space="preserve">Rev. Econ. Stat. </w:t>
      </w:r>
      <w:r>
        <w:rPr>
          <w:b/>
          <w:i w:val="0"/>
          <w:sz w:val="18"/>
        </w:rPr>
        <w:t>2019</w:t>
      </w:r>
      <w:r>
        <w:rPr>
          <w:b w:val="0"/>
          <w:i w:val="0"/>
          <w:sz w:val="18"/>
        </w:rPr>
        <w:t xml:space="preserve">, </w:t>
      </w:r>
      <w:r>
        <w:rPr>
          <w:b w:val="0"/>
          <w:i/>
          <w:sz w:val="18"/>
        </w:rPr>
        <w:t>101</w:t>
      </w:r>
      <w:r>
        <w:rPr>
          <w:b w:val="0"/>
          <w:i w:val="0"/>
          <w:sz w:val="18"/>
        </w:rPr>
        <w:t>, 60–75.</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Barrot, J.-N.; Sauvagnat, J. </w:t>
      </w:r>
      <w:r>
        <w:rPr>
          <w:b w:val="0"/>
          <w:i w:val="0"/>
          <w:sz w:val="18"/>
        </w:rPr>
        <w:t xml:space="preserve">Input Specificity and the Propagation of Idiosyncratic Shocks in Production Networks. </w:t>
      </w:r>
      <w:r>
        <w:rPr>
          <w:b w:val="0"/>
          <w:i/>
          <w:sz w:val="18"/>
        </w:rPr>
        <w:t xml:space="preserve">Q. J. Econ. </w:t>
      </w:r>
      <w:r>
        <w:rPr>
          <w:b/>
          <w:i w:val="0"/>
          <w:sz w:val="18"/>
        </w:rPr>
        <w:t>2016</w:t>
      </w:r>
      <w:r>
        <w:rPr>
          <w:b w:val="0"/>
          <w:i w:val="0"/>
          <w:sz w:val="18"/>
        </w:rPr>
        <w:t xml:space="preserve">, </w:t>
      </w:r>
      <w:r>
        <w:rPr>
          <w:b w:val="0"/>
          <w:i/>
          <w:sz w:val="18"/>
        </w:rPr>
        <w:t>131</w:t>
      </w:r>
      <w:r>
        <w:rPr>
          <w:b w:val="0"/>
          <w:i w:val="0"/>
          <w:sz w:val="18"/>
        </w:rPr>
        <w:t>, 1543–1592.</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Acemoglu, D.; Akcigit, U.; Kerr, W. </w:t>
      </w:r>
      <w:r>
        <w:rPr>
          <w:b w:val="0"/>
          <w:i w:val="0"/>
          <w:sz w:val="18"/>
        </w:rPr>
        <w:t xml:space="preserve">Networks and the Macroeconomy: An Empirical Exploration. </w:t>
      </w:r>
      <w:r>
        <w:rPr>
          <w:b w:val="0"/>
          <w:i/>
          <w:sz w:val="18"/>
        </w:rPr>
        <w:t xml:space="preserve">NBER Macroecon. Annu. </w:t>
      </w:r>
      <w:r>
        <w:rPr>
          <w:b/>
          <w:i w:val="0"/>
          <w:sz w:val="18"/>
        </w:rPr>
        <w:t>2016</w:t>
      </w:r>
      <w:r>
        <w:rPr>
          <w:b w:val="0"/>
          <w:i w:val="0"/>
          <w:sz w:val="18"/>
        </w:rPr>
        <w:t xml:space="preserve">, </w:t>
      </w:r>
      <w:r>
        <w:rPr>
          <w:b w:val="0"/>
          <w:i/>
          <w:sz w:val="18"/>
        </w:rPr>
        <w:t>30</w:t>
      </w:r>
      <w:r>
        <w:rPr>
          <w:b w:val="0"/>
          <w:i w:val="0"/>
          <w:sz w:val="18"/>
        </w:rPr>
        <w:t>, 273–335.</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Dhyne, E.; Kikkawa, A.K.; Mogstad, M.; Tintelnot, F. </w:t>
      </w:r>
      <w:r>
        <w:rPr>
          <w:b w:val="0"/>
          <w:i w:val="0"/>
          <w:sz w:val="18"/>
        </w:rPr>
        <w:t xml:space="preserve">Trade and Domestic Production Networks. </w:t>
      </w:r>
      <w:r>
        <w:rPr>
          <w:b w:val="0"/>
          <w:i/>
          <w:sz w:val="18"/>
        </w:rPr>
        <w:t xml:space="preserve">Rev. Econ. Stud. </w:t>
      </w:r>
      <w:r>
        <w:rPr>
          <w:b/>
          <w:i w:val="0"/>
          <w:sz w:val="18"/>
        </w:rPr>
        <w:t>2021</w:t>
      </w:r>
      <w:r>
        <w:rPr>
          <w:b w:val="0"/>
          <w:i w:val="0"/>
          <w:sz w:val="18"/>
        </w:rPr>
        <w:t xml:space="preserve">, </w:t>
      </w:r>
      <w:r>
        <w:rPr>
          <w:b w:val="0"/>
          <w:i/>
          <w:sz w:val="18"/>
        </w:rPr>
        <w:t>88</w:t>
      </w:r>
      <w:r>
        <w:rPr>
          <w:b w:val="0"/>
          <w:i w:val="0"/>
          <w:sz w:val="18"/>
        </w:rPr>
        <w:t>, 643–668.</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Forsythe, E. </w:t>
      </w:r>
      <w:r>
        <w:rPr>
          <w:b w:val="0"/>
          <w:i w:val="0"/>
          <w:sz w:val="18"/>
        </w:rPr>
        <w:t xml:space="preserve">Why Don't Firms Hire Young Workers during Recessions? </w:t>
      </w:r>
      <w:r>
        <w:rPr>
          <w:b w:val="0"/>
          <w:i/>
          <w:sz w:val="18"/>
        </w:rPr>
        <w:t xml:space="preserve">Econ. J. </w:t>
      </w:r>
      <w:r>
        <w:rPr>
          <w:b/>
          <w:i w:val="0"/>
          <w:sz w:val="18"/>
        </w:rPr>
        <w:t>2022</w:t>
      </w:r>
      <w:r>
        <w:rPr>
          <w:b w:val="0"/>
          <w:i w:val="0"/>
          <w:sz w:val="18"/>
        </w:rPr>
        <w:t xml:space="preserve">, </w:t>
      </w:r>
      <w:r>
        <w:rPr>
          <w:b w:val="0"/>
          <w:i/>
          <w:sz w:val="18"/>
        </w:rPr>
        <w:t>132</w:t>
      </w:r>
      <w:r>
        <w:rPr>
          <w:b w:val="0"/>
          <w:i w:val="0"/>
          <w:sz w:val="18"/>
        </w:rPr>
        <w:t>, 1765–1789.</w:t>
      </w:r>
      <w:r>
        <w:rPr>
          <w:b w:val="0"/>
          <w:i w:val="0"/>
          <w:sz w:val="18"/>
        </w:rPr>
        <w:t xml:space="preserve"> [CrossRef]</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Anselin, L. </w:t>
      </w:r>
      <w:r>
        <w:rPr>
          <w:b w:val="0"/>
          <w:i/>
          <w:sz w:val="18"/>
        </w:rPr>
        <w:t>Spatial Econometrics: Methods and Models</w:t>
      </w:r>
      <w:r>
        <w:rPr>
          <w:b w:val="0"/>
          <w:i w:val="0"/>
          <w:sz w:val="18"/>
        </w:rPr>
        <w:t xml:space="preserve">; </w:t>
      </w:r>
      <w:r>
        <w:rPr>
          <w:b w:val="0"/>
          <w:i w:val="0"/>
          <w:sz w:val="18"/>
        </w:rPr>
        <w:t>Kluwer Academic Publishers: Dordrecht, The Netherlands, 1988.</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LeSage, J.; Pace, R.K. </w:t>
      </w:r>
      <w:r>
        <w:rPr>
          <w:b w:val="0"/>
          <w:i/>
          <w:sz w:val="18"/>
        </w:rPr>
        <w:t>Introduction to Spatial Econometrics</w:t>
      </w:r>
      <w:r>
        <w:rPr>
          <w:b w:val="0"/>
          <w:i w:val="0"/>
          <w:sz w:val="18"/>
        </w:rPr>
        <w:t xml:space="preserve">; </w:t>
      </w:r>
      <w:r>
        <w:rPr>
          <w:b w:val="0"/>
          <w:i w:val="0"/>
          <w:sz w:val="18"/>
        </w:rPr>
        <w:t>Chapman and Hall/CRC: Boca Raton, FL, USA, 2009.</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Kelejian, H.H.; Prucha, I.R. </w:t>
      </w:r>
      <w:r>
        <w:rPr>
          <w:b w:val="0"/>
          <w:i w:val="0"/>
          <w:sz w:val="18"/>
        </w:rPr>
        <w:t xml:space="preserve">A Generalized Spatial Two-Stage Least Squares Procedure for Estimating a Spatial Autoregressive Model with Autoregressive Disturbances. </w:t>
      </w:r>
      <w:r>
        <w:rPr>
          <w:b w:val="0"/>
          <w:i/>
          <w:sz w:val="18"/>
        </w:rPr>
        <w:t xml:space="preserve">J. Real Estate Financ. Econ. </w:t>
      </w:r>
      <w:r>
        <w:rPr>
          <w:b/>
          <w:i w:val="0"/>
          <w:sz w:val="18"/>
        </w:rPr>
        <w:t>1998</w:t>
      </w:r>
      <w:r>
        <w:rPr>
          <w:b w:val="0"/>
          <w:i w:val="0"/>
          <w:sz w:val="18"/>
        </w:rPr>
        <w:t xml:space="preserve">, </w:t>
      </w:r>
      <w:r>
        <w:rPr>
          <w:b w:val="0"/>
          <w:i/>
          <w:sz w:val="18"/>
        </w:rPr>
        <w:t>17</w:t>
      </w:r>
      <w:r>
        <w:rPr>
          <w:b w:val="0"/>
          <w:i w:val="0"/>
          <w:sz w:val="18"/>
        </w:rPr>
        <w:t>, 99–121.</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Kelejian, H.H.; Prucha, I.R. </w:t>
      </w:r>
      <w:r>
        <w:rPr>
          <w:b w:val="0"/>
          <w:i w:val="0"/>
          <w:sz w:val="18"/>
        </w:rPr>
        <w:t xml:space="preserve">Specification and Estimation of Spatial Autoregressive Models with Autoregressive and Heteroskedastic Disturbances. </w:t>
      </w:r>
      <w:r>
        <w:rPr>
          <w:b w:val="0"/>
          <w:i/>
          <w:sz w:val="18"/>
        </w:rPr>
        <w:t xml:space="preserve">J. Econom. </w:t>
      </w:r>
      <w:r>
        <w:rPr>
          <w:b/>
          <w:i w:val="0"/>
          <w:sz w:val="18"/>
        </w:rPr>
        <w:t>2010</w:t>
      </w:r>
      <w:r>
        <w:rPr>
          <w:b w:val="0"/>
          <w:i w:val="0"/>
          <w:sz w:val="18"/>
        </w:rPr>
        <w:t xml:space="preserve">, </w:t>
      </w:r>
      <w:r>
        <w:rPr>
          <w:b w:val="0"/>
          <w:i/>
          <w:sz w:val="18"/>
        </w:rPr>
        <w:t>157</w:t>
      </w:r>
      <w:r>
        <w:rPr>
          <w:b w:val="0"/>
          <w:i w:val="0"/>
          <w:sz w:val="18"/>
        </w:rPr>
        <w:t>, 53–67.</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Bramoullé, Y.; Djebbari, H.; Fortin, B. </w:t>
      </w:r>
      <w:r>
        <w:rPr>
          <w:b w:val="0"/>
          <w:i w:val="0"/>
          <w:sz w:val="18"/>
        </w:rPr>
        <w:t xml:space="preserve">Identification of Peer Effects through Social Networks. </w:t>
      </w:r>
      <w:r>
        <w:rPr>
          <w:b w:val="0"/>
          <w:i/>
          <w:sz w:val="18"/>
        </w:rPr>
        <w:t xml:space="preserve">J. Econom. </w:t>
      </w:r>
      <w:r>
        <w:rPr>
          <w:b/>
          <w:i w:val="0"/>
          <w:sz w:val="18"/>
        </w:rPr>
        <w:t>2009</w:t>
      </w:r>
      <w:r>
        <w:rPr>
          <w:b w:val="0"/>
          <w:i w:val="0"/>
          <w:sz w:val="18"/>
        </w:rPr>
        <w:t xml:space="preserve">, </w:t>
      </w:r>
      <w:r>
        <w:rPr>
          <w:b w:val="0"/>
          <w:i/>
          <w:sz w:val="18"/>
        </w:rPr>
        <w:t>150</w:t>
      </w:r>
      <w:r>
        <w:rPr>
          <w:b w:val="0"/>
          <w:i w:val="0"/>
          <w:sz w:val="18"/>
        </w:rPr>
        <w:t>, 41–55.</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Manski, C.F. </w:t>
      </w:r>
      <w:r>
        <w:rPr>
          <w:b w:val="0"/>
          <w:i w:val="0"/>
          <w:sz w:val="18"/>
        </w:rPr>
        <w:t xml:space="preserve">Identification of Endogenous Social Effects: The Reflection Problem. </w:t>
      </w:r>
      <w:r>
        <w:rPr>
          <w:b w:val="0"/>
          <w:i/>
          <w:sz w:val="18"/>
        </w:rPr>
        <w:t xml:space="preserve">Rev. Econ. Stud. </w:t>
      </w:r>
      <w:r>
        <w:rPr>
          <w:b/>
          <w:i w:val="0"/>
          <w:sz w:val="18"/>
        </w:rPr>
        <w:t>1993</w:t>
      </w:r>
      <w:r>
        <w:rPr>
          <w:b w:val="0"/>
          <w:i w:val="0"/>
          <w:sz w:val="18"/>
        </w:rPr>
        <w:t xml:space="preserve">, </w:t>
      </w:r>
      <w:r>
        <w:rPr>
          <w:b w:val="0"/>
          <w:i/>
          <w:sz w:val="18"/>
        </w:rPr>
        <w:t>60</w:t>
      </w:r>
      <w:r>
        <w:rPr>
          <w:b w:val="0"/>
          <w:i w:val="0"/>
          <w:sz w:val="18"/>
        </w:rPr>
        <w:t>, 531–542.</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Angrist, J.D. </w:t>
      </w:r>
      <w:r>
        <w:rPr>
          <w:b w:val="0"/>
          <w:i w:val="0"/>
          <w:sz w:val="18"/>
        </w:rPr>
        <w:t xml:space="preserve">The Perils of Peer Effects. </w:t>
      </w:r>
      <w:r>
        <w:rPr>
          <w:b w:val="0"/>
          <w:i/>
          <w:sz w:val="18"/>
        </w:rPr>
        <w:t xml:space="preserve">Labour Econ. </w:t>
      </w:r>
      <w:r>
        <w:rPr>
          <w:b/>
          <w:i w:val="0"/>
          <w:sz w:val="18"/>
        </w:rPr>
        <w:t>2014</w:t>
      </w:r>
      <w:r>
        <w:rPr>
          <w:b w:val="0"/>
          <w:i w:val="0"/>
          <w:sz w:val="18"/>
        </w:rPr>
        <w:t xml:space="preserve">, </w:t>
      </w:r>
      <w:r>
        <w:rPr>
          <w:b w:val="0"/>
          <w:i/>
          <w:sz w:val="18"/>
        </w:rPr>
        <w:t>30</w:t>
      </w:r>
      <w:r>
        <w:rPr>
          <w:b w:val="0"/>
          <w:i w:val="0"/>
          <w:sz w:val="18"/>
        </w:rPr>
        <w:t>, 98–108.</w:t>
      </w:r>
      <w:r>
        <w:rPr>
          <w:b w:val="0"/>
          <w:i w:val="0"/>
          <w:sz w:val="18"/>
        </w:rPr>
        <w:t xml:space="preserve"> [CrossRef]</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Acemoglu, D.; Restrepo, P. </w:t>
      </w:r>
      <w:r>
        <w:rPr>
          <w:b w:val="0"/>
          <w:i w:val="0"/>
          <w:sz w:val="18"/>
        </w:rPr>
        <w:t xml:space="preserve">Robots and Jobs: Evidence from US Labor Markets. </w:t>
      </w:r>
      <w:r>
        <w:rPr>
          <w:b w:val="0"/>
          <w:i/>
          <w:sz w:val="18"/>
        </w:rPr>
        <w:t xml:space="preserve">J. Political Econ. </w:t>
      </w:r>
      <w:r>
        <w:rPr>
          <w:b/>
          <w:i w:val="0"/>
          <w:sz w:val="18"/>
        </w:rPr>
        <w:t>2020</w:t>
      </w:r>
      <w:r>
        <w:rPr>
          <w:b w:val="0"/>
          <w:i w:val="0"/>
          <w:sz w:val="18"/>
        </w:rPr>
        <w:t xml:space="preserve">, </w:t>
      </w:r>
      <w:r>
        <w:rPr>
          <w:b w:val="0"/>
          <w:i/>
          <w:sz w:val="18"/>
        </w:rPr>
        <w:t>128</w:t>
      </w:r>
      <w:r>
        <w:rPr>
          <w:b w:val="0"/>
          <w:i w:val="0"/>
          <w:sz w:val="18"/>
        </w:rPr>
        <w:t>, 2188–2244.</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Acemoglu, D.; Restrepo, P. </w:t>
      </w:r>
      <w:r>
        <w:rPr>
          <w:b w:val="0"/>
          <w:i w:val="0"/>
          <w:sz w:val="18"/>
        </w:rPr>
        <w:t xml:space="preserve">Tasks, Automation, and the Rise in U.S. Wage Inequality. </w:t>
      </w:r>
      <w:r>
        <w:rPr>
          <w:b w:val="0"/>
          <w:i/>
          <w:sz w:val="18"/>
        </w:rPr>
        <w:t xml:space="preserve">Econometrica </w:t>
      </w:r>
      <w:r>
        <w:rPr>
          <w:b/>
          <w:i w:val="0"/>
          <w:sz w:val="18"/>
        </w:rPr>
        <w:t>2022</w:t>
      </w:r>
      <w:r>
        <w:rPr>
          <w:b w:val="0"/>
          <w:i w:val="0"/>
          <w:sz w:val="18"/>
        </w:rPr>
        <w:t xml:space="preserve">, </w:t>
      </w:r>
      <w:r>
        <w:rPr>
          <w:b w:val="0"/>
          <w:i/>
          <w:sz w:val="18"/>
        </w:rPr>
        <w:t>90</w:t>
      </w:r>
      <w:r>
        <w:rPr>
          <w:b w:val="0"/>
          <w:i w:val="0"/>
          <w:sz w:val="18"/>
        </w:rPr>
        <w:t>, 1973–2016.</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Autor, D.; Chin, C.; Salomons, A.; Seegmiller, B. </w:t>
      </w:r>
      <w:r>
        <w:rPr>
          <w:b w:val="0"/>
          <w:i w:val="0"/>
          <w:sz w:val="18"/>
        </w:rPr>
        <w:t xml:space="preserve">New Frontiers: The Origins and Content of New Work, 1940–2018. </w:t>
      </w:r>
      <w:r>
        <w:rPr>
          <w:b w:val="0"/>
          <w:i/>
          <w:sz w:val="18"/>
        </w:rPr>
        <w:t xml:space="preserve">Q. J. Econ. </w:t>
      </w:r>
      <w:r>
        <w:rPr>
          <w:b/>
          <w:i w:val="0"/>
          <w:sz w:val="18"/>
        </w:rPr>
        <w:t>2024</w:t>
      </w:r>
      <w:r>
        <w:rPr>
          <w:b w:val="0"/>
          <w:i w:val="0"/>
          <w:sz w:val="18"/>
        </w:rPr>
        <w:t xml:space="preserve">, </w:t>
      </w:r>
      <w:r>
        <w:rPr>
          <w:b w:val="0"/>
          <w:i/>
          <w:sz w:val="18"/>
        </w:rPr>
        <w:t>139</w:t>
      </w:r>
      <w:r>
        <w:rPr>
          <w:b w:val="0"/>
          <w:i w:val="0"/>
          <w:sz w:val="18"/>
        </w:rPr>
        <w:t>, 1399–1465.</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Oreopoulos, P.; von Wachter, T.; Heisz, A. </w:t>
      </w:r>
      <w:r>
        <w:rPr>
          <w:b w:val="0"/>
          <w:i w:val="0"/>
          <w:sz w:val="18"/>
        </w:rPr>
        <w:t xml:space="preserve">The Short- and Long-Term Career Effects of Graduating in a Recession. </w:t>
      </w:r>
      <w:r>
        <w:rPr>
          <w:b w:val="0"/>
          <w:i/>
          <w:sz w:val="18"/>
        </w:rPr>
        <w:t xml:space="preserve">Am. Econ. J. Appl. Econ. </w:t>
      </w:r>
      <w:r>
        <w:rPr>
          <w:b/>
          <w:i w:val="0"/>
          <w:sz w:val="18"/>
        </w:rPr>
        <w:t>2012</w:t>
      </w:r>
      <w:r>
        <w:rPr>
          <w:b w:val="0"/>
          <w:i w:val="0"/>
          <w:sz w:val="18"/>
        </w:rPr>
        <w:t xml:space="preserve">, </w:t>
      </w:r>
      <w:r>
        <w:rPr>
          <w:b w:val="0"/>
          <w:i/>
          <w:sz w:val="18"/>
        </w:rPr>
        <w:t>4</w:t>
      </w:r>
      <w:r>
        <w:rPr>
          <w:b w:val="0"/>
          <w:i w:val="0"/>
          <w:sz w:val="18"/>
        </w:rPr>
        <w:t>, 1–29.</w:t>
      </w:r>
      <w:r>
        <w:rPr>
          <w:b w:val="0"/>
          <w:i w:val="0"/>
          <w:sz w:val="18"/>
        </w:rPr>
        <w:t xml:space="preserve"> [CrossRef]</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Acemoglu, D.; Autor, D.; Hazell, J.; Restrepo, P. </w:t>
      </w:r>
      <w:r>
        <w:rPr>
          <w:b w:val="0"/>
          <w:i w:val="0"/>
          <w:sz w:val="18"/>
        </w:rPr>
        <w:t xml:space="preserve">Artificial Intelligence and Jobs: Evidence from Online Vacancies. </w:t>
      </w:r>
      <w:r>
        <w:rPr>
          <w:b w:val="0"/>
          <w:i/>
          <w:sz w:val="18"/>
        </w:rPr>
        <w:t xml:space="preserve">J. Labor Econ. </w:t>
      </w:r>
      <w:r>
        <w:rPr>
          <w:b/>
          <w:i w:val="0"/>
          <w:sz w:val="18"/>
        </w:rPr>
        <w:t>2022</w:t>
      </w:r>
      <w:r>
        <w:rPr>
          <w:b w:val="0"/>
          <w:i w:val="0"/>
          <w:sz w:val="18"/>
        </w:rPr>
        <w:t xml:space="preserve">, </w:t>
      </w:r>
      <w:r>
        <w:rPr>
          <w:b w:val="0"/>
          <w:i/>
          <w:sz w:val="18"/>
        </w:rPr>
        <w:t>40</w:t>
      </w:r>
      <w:r>
        <w:rPr>
          <w:b w:val="0"/>
          <w:i w:val="0"/>
          <w:sz w:val="18"/>
        </w:rPr>
        <w:t>, S293–S340.</w:t>
      </w:r>
      <w:r>
        <w:rPr>
          <w:b w:val="0"/>
          <w:i w:val="0"/>
          <w:sz w:val="18"/>
        </w:rPr>
        <w:t xml:space="preserve"> [CrossRef]</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Bonfiglioli, A.; Crinò, R.; Fadinger, H.; Gancia, G. </w:t>
      </w:r>
      <w:r>
        <w:rPr>
          <w:b w:val="0"/>
          <w:i w:val="0"/>
          <w:sz w:val="18"/>
        </w:rPr>
        <w:t xml:space="preserve">Robot Imports and Firm-Level Outcomes. </w:t>
      </w:r>
      <w:r>
        <w:rPr>
          <w:b w:val="0"/>
          <w:i/>
          <w:sz w:val="18"/>
        </w:rPr>
        <w:t xml:space="preserve">Econ. J. </w:t>
      </w:r>
      <w:r>
        <w:rPr>
          <w:b/>
          <w:i w:val="0"/>
          <w:sz w:val="18"/>
        </w:rPr>
        <w:t>2024</w:t>
      </w:r>
      <w:r>
        <w:rPr>
          <w:b w:val="0"/>
          <w:i w:val="0"/>
          <w:sz w:val="18"/>
        </w:rPr>
        <w:t xml:space="preserve">, </w:t>
      </w:r>
      <w:r>
        <w:rPr>
          <w:b w:val="0"/>
          <w:i/>
          <w:sz w:val="18"/>
        </w:rPr>
        <w:t>134</w:t>
      </w:r>
      <w:r>
        <w:rPr>
          <w:b w:val="0"/>
          <w:i w:val="0"/>
          <w:sz w:val="18"/>
        </w:rPr>
        <w:t>, 3428–3444.</w:t>
      </w:r>
      <w:r>
        <w:rPr>
          <w:b w:val="0"/>
          <w:i w:val="0"/>
          <w:sz w:val="18"/>
        </w:rPr>
        <w:t xml:space="preserve"> [CrossRef]</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Autor, D. </w:t>
      </w:r>
      <w:r>
        <w:rPr>
          <w:b w:val="0"/>
          <w:i/>
          <w:sz w:val="18"/>
        </w:rPr>
        <w:t xml:space="preserve">Applying AI to Rebuild Middle Class Jobs; </w:t>
      </w:r>
      <w:r>
        <w:rPr>
          <w:b w:val="0"/>
          <w:i w:val="0"/>
          <w:sz w:val="18"/>
        </w:rPr>
        <w:t xml:space="preserve">NBER Working Paper 32140;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Bresnahan, T.F.; Trajtenberg, M. </w:t>
      </w:r>
      <w:r>
        <w:rPr>
          <w:b w:val="0"/>
          <w:i w:val="0"/>
          <w:sz w:val="18"/>
        </w:rPr>
        <w:t xml:space="preserve">General Purpose Technologies: “Engines of Growth”? </w:t>
      </w:r>
      <w:r>
        <w:rPr>
          <w:b w:val="0"/>
          <w:i/>
          <w:sz w:val="18"/>
        </w:rPr>
        <w:t xml:space="preserve">J. Econom. </w:t>
      </w:r>
      <w:r>
        <w:rPr>
          <w:b/>
          <w:i w:val="0"/>
          <w:sz w:val="18"/>
        </w:rPr>
        <w:t>1995</w:t>
      </w:r>
      <w:r>
        <w:rPr>
          <w:b w:val="0"/>
          <w:i w:val="0"/>
          <w:sz w:val="18"/>
        </w:rPr>
        <w:t xml:space="preserve">, </w:t>
      </w:r>
      <w:r>
        <w:rPr>
          <w:b w:val="0"/>
          <w:i/>
          <w:sz w:val="18"/>
        </w:rPr>
        <w:t>65</w:t>
      </w:r>
      <w:r>
        <w:rPr>
          <w:b w:val="0"/>
          <w:i w:val="0"/>
          <w:sz w:val="18"/>
        </w:rPr>
        <w:t>, 83–108.</w:t>
      </w:r>
      <w:r>
        <w:rPr>
          <w:b w:val="0"/>
          <w:i w:val="0"/>
          <w:sz w:val="18"/>
        </w:rPr>
        <w:t xml:space="preserve"> [CrossRef]</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Brynjolfsson, E.; Rock, D.; Syverson, C. </w:t>
      </w:r>
      <w:r>
        <w:rPr>
          <w:b w:val="0"/>
          <w:i w:val="0"/>
          <w:sz w:val="18"/>
        </w:rPr>
        <w:t xml:space="preserve">The Productivity J-Curve: How Intangibles Complement General Purpose Technologies. </w:t>
      </w:r>
      <w:r>
        <w:rPr>
          <w:b w:val="0"/>
          <w:i/>
          <w:sz w:val="18"/>
        </w:rPr>
        <w:t xml:space="preserve">Am. Econ. J. Macroecon. </w:t>
      </w:r>
      <w:r>
        <w:rPr>
          <w:b/>
          <w:i w:val="0"/>
          <w:sz w:val="18"/>
        </w:rPr>
        <w:t>2021</w:t>
      </w:r>
      <w:r>
        <w:rPr>
          <w:b w:val="0"/>
          <w:i w:val="0"/>
          <w:sz w:val="18"/>
        </w:rPr>
        <w:t xml:space="preserve">, </w:t>
      </w:r>
      <w:r>
        <w:rPr>
          <w:b w:val="0"/>
          <w:i/>
          <w:sz w:val="18"/>
        </w:rPr>
        <w:t>13</w:t>
      </w:r>
      <w:r>
        <w:rPr>
          <w:b w:val="0"/>
          <w:i w:val="0"/>
          <w:sz w:val="18"/>
        </w:rPr>
        <w:t>, 333–372.</w:t>
      </w:r>
      <w:r>
        <w:rPr>
          <w:b w:val="0"/>
          <w:i w:val="0"/>
          <w:sz w:val="18"/>
        </w:rPr>
        <w:t xml:space="preserve"> [CrossRef]</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Autor, D.H. </w:t>
      </w:r>
      <w:r>
        <w:rPr>
          <w:b w:val="0"/>
          <w:i w:val="0"/>
          <w:sz w:val="18"/>
        </w:rPr>
        <w:t xml:space="preserve">Why Are There Still So Many Jobs? The History and Future of Workplace Automation. </w:t>
      </w:r>
      <w:r>
        <w:rPr>
          <w:b w:val="0"/>
          <w:i/>
          <w:sz w:val="18"/>
        </w:rPr>
        <w:t xml:space="preserve">J. Econ. Perspect. </w:t>
      </w:r>
      <w:r>
        <w:rPr>
          <w:b/>
          <w:i w:val="0"/>
          <w:sz w:val="18"/>
        </w:rPr>
        <w:t>2015</w:t>
      </w:r>
      <w:r>
        <w:rPr>
          <w:b w:val="0"/>
          <w:i w:val="0"/>
          <w:sz w:val="18"/>
        </w:rPr>
        <w:t xml:space="preserve">, </w:t>
      </w:r>
      <w:r>
        <w:rPr>
          <w:b w:val="0"/>
          <w:i/>
          <w:sz w:val="18"/>
        </w:rPr>
        <w:t>29</w:t>
      </w:r>
      <w:r>
        <w:rPr>
          <w:b w:val="0"/>
          <w:i w:val="0"/>
          <w:sz w:val="18"/>
        </w:rPr>
        <w:t>, 3–30.</w:t>
      </w:r>
      <w:r>
        <w:rPr>
          <w:b w:val="0"/>
          <w:i w:val="0"/>
          <w:sz w:val="18"/>
        </w:rPr>
        <w:t xml:space="preserve"> [CrossRef]</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Agrawal, A.; Gans, J.S.; Goldfarb, A. </w:t>
      </w:r>
      <w:r>
        <w:rPr>
          <w:b w:val="0"/>
          <w:i w:val="0"/>
          <w:sz w:val="18"/>
        </w:rPr>
        <w:t xml:space="preserve">Artificial Intelligence: The Ambiguous Labor Market Impact of Automating Prediction. </w:t>
      </w:r>
      <w:r>
        <w:rPr>
          <w:b w:val="0"/>
          <w:i/>
          <w:sz w:val="18"/>
        </w:rPr>
        <w:t xml:space="preserve">J. Econ. Perspect. </w:t>
      </w:r>
      <w:r>
        <w:rPr>
          <w:b/>
          <w:i w:val="0"/>
          <w:sz w:val="18"/>
        </w:rPr>
        <w:t>2019</w:t>
      </w:r>
      <w:r>
        <w:rPr>
          <w:b w:val="0"/>
          <w:i w:val="0"/>
          <w:sz w:val="18"/>
        </w:rPr>
        <w:t xml:space="preserve">, </w:t>
      </w:r>
      <w:r>
        <w:rPr>
          <w:b w:val="0"/>
          <w:i/>
          <w:sz w:val="18"/>
        </w:rPr>
        <w:t>33</w:t>
      </w:r>
      <w:r>
        <w:rPr>
          <w:b w:val="0"/>
          <w:i w:val="0"/>
          <w:sz w:val="18"/>
        </w:rPr>
        <w:t>, 31–50.</w:t>
      </w:r>
      <w:r>
        <w:rPr>
          <w:b w:val="0"/>
          <w:i w:val="0"/>
          <w:sz w:val="18"/>
        </w:rPr>
        <w:t xml:space="preserve"> [CrossRef]</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Cai, J.; Szeidl, A. </w:t>
      </w:r>
      <w:r>
        <w:rPr>
          <w:b w:val="0"/>
          <w:i w:val="0"/>
          <w:sz w:val="18"/>
        </w:rPr>
        <w:t xml:space="preserve">Interfirm Relationships and Business Performance. </w:t>
      </w:r>
      <w:r>
        <w:rPr>
          <w:b w:val="0"/>
          <w:i/>
          <w:sz w:val="18"/>
        </w:rPr>
        <w:t xml:space="preserve">Q. J. Econ. </w:t>
      </w:r>
      <w:r>
        <w:rPr>
          <w:b/>
          <w:i w:val="0"/>
          <w:sz w:val="18"/>
        </w:rPr>
        <w:t>2018</w:t>
      </w:r>
      <w:r>
        <w:rPr>
          <w:b w:val="0"/>
          <w:i w:val="0"/>
          <w:sz w:val="18"/>
        </w:rPr>
        <w:t xml:space="preserve">, </w:t>
      </w:r>
      <w:r>
        <w:rPr>
          <w:b w:val="0"/>
          <w:i/>
          <w:sz w:val="18"/>
        </w:rPr>
        <w:t>133</w:t>
      </w:r>
      <w:r>
        <w:rPr>
          <w:b w:val="0"/>
          <w:i w:val="0"/>
          <w:sz w:val="18"/>
        </w:rPr>
        <w:t>, 1229–1282.</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Moretti, E. </w:t>
      </w:r>
      <w:r>
        <w:rPr>
          <w:b w:val="0"/>
          <w:i w:val="0"/>
          <w:sz w:val="18"/>
        </w:rPr>
        <w:t xml:space="preserve">Local Multipliers. </w:t>
      </w:r>
      <w:r>
        <w:rPr>
          <w:b w:val="0"/>
          <w:i/>
          <w:sz w:val="18"/>
        </w:rPr>
        <w:t xml:space="preserve">Am. Econ. Rev. </w:t>
      </w:r>
      <w:r>
        <w:rPr>
          <w:b/>
          <w:i w:val="0"/>
          <w:sz w:val="18"/>
        </w:rPr>
        <w:t>2010</w:t>
      </w:r>
      <w:r>
        <w:rPr>
          <w:b w:val="0"/>
          <w:i w:val="0"/>
          <w:sz w:val="18"/>
        </w:rPr>
        <w:t xml:space="preserve">, </w:t>
      </w:r>
      <w:r>
        <w:rPr>
          <w:b w:val="0"/>
          <w:i/>
          <w:sz w:val="18"/>
        </w:rPr>
        <w:t>100</w:t>
      </w:r>
      <w:r>
        <w:rPr>
          <w:b w:val="0"/>
          <w:i w:val="0"/>
          <w:sz w:val="18"/>
        </w:rPr>
        <w:t>, 373–377.</w:t>
      </w:r>
      <w:r>
        <w:rPr>
          <w:b w:val="0"/>
          <w:i w:val="0"/>
          <w:sz w:val="18"/>
        </w:rPr>
        <w:t xml:space="preserve"> [CrossRef]</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Autor, D.H.; Dorn, D.; Hanson, G.H. </w:t>
      </w:r>
      <w:r>
        <w:rPr>
          <w:b w:val="0"/>
          <w:i w:val="0"/>
          <w:sz w:val="18"/>
        </w:rPr>
        <w:t xml:space="preserve">The China Syndrome: Local Labor Market Effects of Import Competition in the United States. </w:t>
      </w:r>
      <w:r>
        <w:rPr>
          <w:b w:val="0"/>
          <w:i/>
          <w:sz w:val="18"/>
        </w:rPr>
        <w:t xml:space="preserve">Am. Econ. Rev. </w:t>
      </w:r>
      <w:r>
        <w:rPr>
          <w:b/>
          <w:i w:val="0"/>
          <w:sz w:val="18"/>
        </w:rPr>
        <w:t>2013</w:t>
      </w:r>
      <w:r>
        <w:rPr>
          <w:b w:val="0"/>
          <w:i w:val="0"/>
          <w:sz w:val="18"/>
        </w:rPr>
        <w:t xml:space="preserve">, </w:t>
      </w:r>
      <w:r>
        <w:rPr>
          <w:b w:val="0"/>
          <w:i/>
          <w:sz w:val="18"/>
        </w:rPr>
        <w:t>103</w:t>
      </w:r>
      <w:r>
        <w:rPr>
          <w:b w:val="0"/>
          <w:i w:val="0"/>
          <w:sz w:val="18"/>
        </w:rPr>
        <w:t>, 2121–2168.</w:t>
      </w:r>
      <w:r>
        <w:rPr>
          <w:b w:val="0"/>
          <w:i w:val="0"/>
          <w:sz w:val="18"/>
        </w:rPr>
        <w:t xml:space="preserve"> [CrossRef]</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Abadie, A.; Athey, S.; Imbens, G.W.; Wooldridge, J.M. </w:t>
      </w:r>
      <w:r>
        <w:rPr>
          <w:b w:val="0"/>
          <w:i w:val="0"/>
          <w:sz w:val="18"/>
        </w:rPr>
        <w:t xml:space="preserve">When Should You Adjust Standard Errors for Clustering? </w:t>
      </w:r>
      <w:r>
        <w:rPr>
          <w:b w:val="0"/>
          <w:i/>
          <w:sz w:val="18"/>
        </w:rPr>
        <w:t xml:space="preserve">Q. J. Econ. </w:t>
      </w:r>
      <w:r>
        <w:rPr>
          <w:b/>
          <w:i w:val="0"/>
          <w:sz w:val="18"/>
        </w:rPr>
        <w:t>2023</w:t>
      </w:r>
      <w:r>
        <w:rPr>
          <w:b w:val="0"/>
          <w:i w:val="0"/>
          <w:sz w:val="18"/>
        </w:rPr>
        <w:t xml:space="preserve">, </w:t>
      </w:r>
      <w:r>
        <w:rPr>
          <w:b w:val="0"/>
          <w:i/>
          <w:sz w:val="18"/>
        </w:rPr>
        <w:t>138</w:t>
      </w:r>
      <w:r>
        <w:rPr>
          <w:b w:val="0"/>
          <w:i w:val="0"/>
          <w:sz w:val="18"/>
        </w:rPr>
        <w:t>, 1–35.</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Kleibergen, F.; Paap, R. </w:t>
      </w:r>
      <w:r>
        <w:rPr>
          <w:b w:val="0"/>
          <w:i w:val="0"/>
          <w:sz w:val="18"/>
        </w:rPr>
        <w:t xml:space="preserve">Generalized Reduced Rank Tests Using the Singular Value Decomposition. </w:t>
      </w:r>
      <w:r>
        <w:rPr>
          <w:b w:val="0"/>
          <w:i/>
          <w:sz w:val="18"/>
        </w:rPr>
        <w:t xml:space="preserve">J. Econom. </w:t>
      </w:r>
      <w:r>
        <w:rPr>
          <w:b/>
          <w:i w:val="0"/>
          <w:sz w:val="18"/>
        </w:rPr>
        <w:t>2006</w:t>
      </w:r>
      <w:r>
        <w:rPr>
          <w:b w:val="0"/>
          <w:i w:val="0"/>
          <w:sz w:val="18"/>
        </w:rPr>
        <w:t xml:space="preserve">, </w:t>
      </w:r>
      <w:r>
        <w:rPr>
          <w:b w:val="0"/>
          <w:i/>
          <w:sz w:val="18"/>
        </w:rPr>
        <w:t>133</w:t>
      </w:r>
      <w:r>
        <w:rPr>
          <w:b w:val="0"/>
          <w:i w:val="0"/>
          <w:sz w:val="18"/>
        </w:rPr>
        <w:t>, 97–126.</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Stock, J.H.; Yogo, M. </w:t>
      </w:r>
      <w:r>
        <w:rPr>
          <w:b w:val="0"/>
          <w:i w:val="0"/>
          <w:sz w:val="18"/>
        </w:rPr>
        <w:t xml:space="preserve">Testing for Weak Instruments in Linear IV Regression. </w:t>
      </w:r>
      <w:r>
        <w:rPr>
          <w:b w:val="0"/>
          <w:i w:val="0"/>
          <w:sz w:val="18"/>
        </w:rPr>
        <w:t xml:space="preserve">In </w:t>
      </w:r>
      <w:r>
        <w:rPr>
          <w:b w:val="0"/>
          <w:i/>
          <w:sz w:val="18"/>
        </w:rPr>
        <w:t>Identification and Inference for Econometric Models: Essays in Honor of Thomas Rothenberg</w:t>
      </w:r>
      <w:r>
        <w:rPr>
          <w:b w:val="0"/>
          <w:i w:val="0"/>
          <w:sz w:val="18"/>
        </w:rPr>
        <w:t xml:space="preserve">; Andrews, D.W.K., Stock, J.H., Eds.; </w:t>
      </w:r>
      <w:r>
        <w:rPr>
          <w:b w:val="0"/>
          <w:i w:val="0"/>
          <w:sz w:val="18"/>
        </w:rPr>
        <w:t>Cambridge University Press: Cambridge, UK, 2005; pp. 80–108.</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Young, A. </w:t>
      </w:r>
      <w:r>
        <w:rPr>
          <w:b w:val="0"/>
          <w:i w:val="0"/>
          <w:sz w:val="18"/>
        </w:rPr>
        <w:t xml:space="preserve">Consistency without Inference: Instrumental Variables in Practical Application. </w:t>
      </w:r>
      <w:r>
        <w:rPr>
          <w:b w:val="0"/>
          <w:i/>
          <w:sz w:val="18"/>
        </w:rPr>
        <w:t xml:space="preserve">Eur. Econ. Rev. </w:t>
      </w:r>
      <w:r>
        <w:rPr>
          <w:b/>
          <w:i w:val="0"/>
          <w:sz w:val="18"/>
        </w:rPr>
        <w:t>2022</w:t>
      </w:r>
      <w:r>
        <w:rPr>
          <w:b w:val="0"/>
          <w:i w:val="0"/>
          <w:sz w:val="18"/>
        </w:rPr>
        <w:t xml:space="preserve">, </w:t>
      </w:r>
      <w:r>
        <w:rPr>
          <w:b w:val="0"/>
          <w:i/>
          <w:sz w:val="18"/>
        </w:rPr>
        <w:t>147</w:t>
      </w:r>
      <w:r>
        <w:rPr>
          <w:b w:val="0"/>
          <w:i w:val="0"/>
          <w:sz w:val="18"/>
        </w:rPr>
        <w:t>, 104112.</w:t>
      </w:r>
      <w:r>
        <w:rPr>
          <w:b w:val="0"/>
          <w:i w:val="0"/>
          <w:sz w:val="18"/>
        </w:rPr>
        <w:t xml:space="preserve"> [CrossRef]</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Lee, L.-F. </w:t>
      </w:r>
      <w:r>
        <w:rPr>
          <w:b w:val="0"/>
          <w:i w:val="0"/>
          <w:sz w:val="18"/>
        </w:rPr>
        <w:t xml:space="preserve">Asymptotic Distributions of Quasi-Maximum Likelihood Estimators for Spatial Autoregressive Models. </w:t>
      </w:r>
      <w:r>
        <w:rPr>
          <w:b w:val="0"/>
          <w:i/>
          <w:sz w:val="18"/>
        </w:rPr>
        <w:t xml:space="preserve">Econometrica </w:t>
      </w:r>
      <w:r>
        <w:rPr>
          <w:b/>
          <w:i w:val="0"/>
          <w:sz w:val="18"/>
        </w:rPr>
        <w:t>2004</w:t>
      </w:r>
      <w:r>
        <w:rPr>
          <w:b w:val="0"/>
          <w:i w:val="0"/>
          <w:sz w:val="18"/>
        </w:rPr>
        <w:t xml:space="preserve">, </w:t>
      </w:r>
      <w:r>
        <w:rPr>
          <w:b w:val="0"/>
          <w:i/>
          <w:sz w:val="18"/>
        </w:rPr>
        <w:t>72</w:t>
      </w:r>
      <w:r>
        <w:rPr>
          <w:b w:val="0"/>
          <w:i w:val="0"/>
          <w:sz w:val="18"/>
        </w:rPr>
        <w:t>, 1899–1925.</w:t>
      </w:r>
      <w:r>
        <w:rPr>
          <w:b w:val="0"/>
          <w:i w:val="0"/>
          <w:sz w:val="18"/>
        </w:rPr>
        <w:t xml:space="preserve"> [CrossRef]</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Wooldridge, J.M. </w:t>
      </w:r>
      <w:r>
        <w:rPr>
          <w:b w:val="0"/>
          <w:i/>
          <w:sz w:val="18"/>
        </w:rPr>
        <w:t>Econometric Analysis of Cross Section and Panel Data, 2nd ed.</w:t>
      </w:r>
      <w:r>
        <w:rPr>
          <w:b w:val="0"/>
          <w:i w:val="0"/>
          <w:sz w:val="18"/>
        </w:rPr>
        <w:t xml:space="preserve">; </w:t>
      </w:r>
      <w:r>
        <w:rPr>
          <w:b w:val="0"/>
          <w:i w:val="0"/>
          <w:sz w:val="18"/>
        </w:rPr>
        <w:t>MIT Press: Cambridge, MA, USA, 2010.</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Conley, T.G. </w:t>
      </w:r>
      <w:r>
        <w:rPr>
          <w:b w:val="0"/>
          <w:i w:val="0"/>
          <w:sz w:val="18"/>
        </w:rPr>
        <w:t xml:space="preserve">GMM Estimation with Cross Sectional Dependence. </w:t>
      </w:r>
      <w:r>
        <w:rPr>
          <w:b w:val="0"/>
          <w:i/>
          <w:sz w:val="18"/>
        </w:rPr>
        <w:t xml:space="preserve">J. Econom. </w:t>
      </w:r>
      <w:r>
        <w:rPr>
          <w:b/>
          <w:i w:val="0"/>
          <w:sz w:val="18"/>
        </w:rPr>
        <w:t>1999</w:t>
      </w:r>
      <w:r>
        <w:rPr>
          <w:b w:val="0"/>
          <w:i w:val="0"/>
          <w:sz w:val="18"/>
        </w:rPr>
        <w:t xml:space="preserve">, </w:t>
      </w:r>
      <w:r>
        <w:rPr>
          <w:b w:val="0"/>
          <w:i/>
          <w:sz w:val="18"/>
        </w:rPr>
        <w:t>92</w:t>
      </w:r>
      <w:r>
        <w:rPr>
          <w:b w:val="0"/>
          <w:i w:val="0"/>
          <w:sz w:val="18"/>
        </w:rPr>
        <w:t>, 1–45.</w:t>
      </w:r>
      <w:r>
        <w:rPr>
          <w:b w:val="0"/>
          <w:i w:val="0"/>
          <w:sz w:val="18"/>
        </w:rPr>
        <w:t xml:space="preserve"> [CrossRef]</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Goldsmith-Pinkham, P.; Sorkin, I.; Swift, H. </w:t>
      </w:r>
      <w:r>
        <w:rPr>
          <w:b w:val="0"/>
          <w:i w:val="0"/>
          <w:sz w:val="18"/>
        </w:rPr>
        <w:t xml:space="preserve">Bartik Instruments: What, When, Why, and How. </w:t>
      </w:r>
      <w:r>
        <w:rPr>
          <w:b w:val="0"/>
          <w:i/>
          <w:sz w:val="18"/>
        </w:rPr>
        <w:t xml:space="preserve">Am. Econ. Rev. </w:t>
      </w:r>
      <w:r>
        <w:rPr>
          <w:b/>
          <w:i w:val="0"/>
          <w:sz w:val="18"/>
        </w:rPr>
        <w:t>2020</w:t>
      </w:r>
      <w:r>
        <w:rPr>
          <w:b w:val="0"/>
          <w:i w:val="0"/>
          <w:sz w:val="18"/>
        </w:rPr>
        <w:t xml:space="preserve">, </w:t>
      </w:r>
      <w:r>
        <w:rPr>
          <w:b w:val="0"/>
          <w:i/>
          <w:sz w:val="18"/>
        </w:rPr>
        <w:t>110</w:t>
      </w:r>
      <w:r>
        <w:rPr>
          <w:b w:val="0"/>
          <w:i w:val="0"/>
          <w:sz w:val="18"/>
        </w:rPr>
        <w:t>, 2586–2624.</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Borusyak, K.; Hull, P.; Jaravel, X. </w:t>
      </w:r>
      <w:r>
        <w:rPr>
          <w:b w:val="0"/>
          <w:i w:val="0"/>
          <w:sz w:val="18"/>
        </w:rPr>
        <w:t xml:space="preserve">Quasi-Experimental Shift-Share Research Designs. </w:t>
      </w:r>
      <w:r>
        <w:rPr>
          <w:b w:val="0"/>
          <w:i/>
          <w:sz w:val="18"/>
        </w:rPr>
        <w:t xml:space="preserve">Rev. Econ. Stud. </w:t>
      </w:r>
      <w:r>
        <w:rPr>
          <w:b/>
          <w:i w:val="0"/>
          <w:sz w:val="18"/>
        </w:rPr>
        <w:t>2022</w:t>
      </w:r>
      <w:r>
        <w:rPr>
          <w:b w:val="0"/>
          <w:i w:val="0"/>
          <w:sz w:val="18"/>
        </w:rPr>
        <w:t xml:space="preserve">, </w:t>
      </w:r>
      <w:r>
        <w:rPr>
          <w:b w:val="0"/>
          <w:i/>
          <w:sz w:val="18"/>
        </w:rPr>
        <w:t>89</w:t>
      </w:r>
      <w:r>
        <w:rPr>
          <w:b w:val="0"/>
          <w:i w:val="0"/>
          <w:sz w:val="18"/>
        </w:rPr>
        <w:t>, 181–213.</w:t>
      </w:r>
      <w:r>
        <w:rPr>
          <w:b w:val="0"/>
          <w:i w:val="0"/>
          <w:sz w:val="18"/>
        </w:rPr>
        <w:t xml:space="preserve"> [CrossRef]</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Adão, R.; Kolesár, M.; Morales, E. </w:t>
      </w:r>
      <w:r>
        <w:rPr>
          <w:b w:val="0"/>
          <w:i w:val="0"/>
          <w:sz w:val="18"/>
        </w:rPr>
        <w:t xml:space="preserve">Shift-Share Designs: Theory and Inference. </w:t>
      </w:r>
      <w:r>
        <w:rPr>
          <w:b w:val="0"/>
          <w:i/>
          <w:sz w:val="18"/>
        </w:rPr>
        <w:t xml:space="preserve">Q. J. Econ. </w:t>
      </w:r>
      <w:r>
        <w:rPr>
          <w:b/>
          <w:i w:val="0"/>
          <w:sz w:val="18"/>
        </w:rPr>
        <w:t>2019</w:t>
      </w:r>
      <w:r>
        <w:rPr>
          <w:b w:val="0"/>
          <w:i w:val="0"/>
          <w:sz w:val="18"/>
        </w:rPr>
        <w:t xml:space="preserve">, </w:t>
      </w:r>
      <w:r>
        <w:rPr>
          <w:b w:val="0"/>
          <w:i/>
          <w:sz w:val="18"/>
        </w:rPr>
        <w:t>134</w:t>
      </w:r>
      <w:r>
        <w:rPr>
          <w:b w:val="0"/>
          <w:i w:val="0"/>
          <w:sz w:val="18"/>
        </w:rPr>
        <w:t>, 1949–2010.</w:t>
      </w:r>
      <w:r>
        <w:rPr>
          <w:b w:val="0"/>
          <w:i w:val="0"/>
          <w:sz w:val="18"/>
        </w:rPr>
        <w:t xml:space="preserve"> [CrossRef]</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Cameron, A.C.; Gelbach, J.B.; Miller, D.L. </w:t>
      </w:r>
      <w:r>
        <w:rPr>
          <w:b w:val="0"/>
          <w:i w:val="0"/>
          <w:sz w:val="18"/>
        </w:rPr>
        <w:t xml:space="preserve">Bootstrap-Based Improvements for Inference with Clustered Errors. </w:t>
      </w:r>
      <w:r>
        <w:rPr>
          <w:b w:val="0"/>
          <w:i/>
          <w:sz w:val="18"/>
        </w:rPr>
        <w:t xml:space="preserve">Rev. Econ. Stat. </w:t>
      </w:r>
      <w:r>
        <w:rPr>
          <w:b/>
          <w:i w:val="0"/>
          <w:sz w:val="18"/>
        </w:rPr>
        <w:t>2008</w:t>
      </w:r>
      <w:r>
        <w:rPr>
          <w:b w:val="0"/>
          <w:i w:val="0"/>
          <w:sz w:val="18"/>
        </w:rPr>
        <w:t xml:space="preserve">, </w:t>
      </w:r>
      <w:r>
        <w:rPr>
          <w:b w:val="0"/>
          <w:i/>
          <w:sz w:val="18"/>
        </w:rPr>
        <w:t>90</w:t>
      </w:r>
      <w:r>
        <w:rPr>
          <w:b w:val="0"/>
          <w:i w:val="0"/>
          <w:sz w:val="18"/>
        </w:rPr>
        <w:t>, 414–427.</w:t>
      </w:r>
      <w:r>
        <w:rPr>
          <w:b w:val="0"/>
          <w:i w:val="0"/>
          <w:sz w:val="18"/>
        </w:rPr>
        <w:t xml:space="preserve"> [CrossRef]</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Roodman, D.; Nielsen, M.Ø.; MacKinnon, J.G.; Webb, M.D. </w:t>
      </w:r>
      <w:r>
        <w:rPr>
          <w:b w:val="0"/>
          <w:i w:val="0"/>
          <w:sz w:val="18"/>
        </w:rPr>
        <w:t xml:space="preserve">Fast and Wild: Bootstrap Inference in Stata Using boottest. </w:t>
      </w:r>
      <w:r>
        <w:rPr>
          <w:b w:val="0"/>
          <w:i/>
          <w:sz w:val="18"/>
        </w:rPr>
        <w:t xml:space="preserve">Stata J. </w:t>
      </w:r>
      <w:r>
        <w:rPr>
          <w:b/>
          <w:i w:val="0"/>
          <w:sz w:val="18"/>
        </w:rPr>
        <w:t>2019</w:t>
      </w:r>
      <w:r>
        <w:rPr>
          <w:b w:val="0"/>
          <w:i w:val="0"/>
          <w:sz w:val="18"/>
        </w:rPr>
        <w:t xml:space="preserve">, </w:t>
      </w:r>
      <w:r>
        <w:rPr>
          <w:b w:val="0"/>
          <w:i/>
          <w:sz w:val="18"/>
        </w:rPr>
        <w:t>19</w:t>
      </w:r>
      <w:r>
        <w:rPr>
          <w:b w:val="0"/>
          <w:i w:val="0"/>
          <w:sz w:val="18"/>
        </w:rPr>
        <w:t>, 4–60.</w:t>
      </w:r>
      <w:r>
        <w:rPr>
          <w:b w:val="0"/>
          <w:i w:val="0"/>
          <w:sz w:val="18"/>
        </w:rPr>
        <w:t xml:space="preserve"> [CrossRef]</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Oster, E. </w:t>
      </w:r>
      <w:r>
        <w:rPr>
          <w:b w:val="0"/>
          <w:i w:val="0"/>
          <w:sz w:val="18"/>
        </w:rPr>
        <w:t xml:space="preserve">Unobservable Selection and Coefficient Stability: Theory and Evidence. </w:t>
      </w:r>
      <w:r>
        <w:rPr>
          <w:b w:val="0"/>
          <w:i/>
          <w:sz w:val="18"/>
        </w:rPr>
        <w:t xml:space="preserve">J. Bus. Econ. Stat. </w:t>
      </w:r>
      <w:r>
        <w:rPr>
          <w:b/>
          <w:i w:val="0"/>
          <w:sz w:val="18"/>
        </w:rPr>
        <w:t>2019</w:t>
      </w:r>
      <w:r>
        <w:rPr>
          <w:b w:val="0"/>
          <w:i w:val="0"/>
          <w:sz w:val="18"/>
        </w:rPr>
        <w:t xml:space="preserve">, </w:t>
      </w:r>
      <w:r>
        <w:rPr>
          <w:b w:val="0"/>
          <w:i/>
          <w:sz w:val="18"/>
        </w:rPr>
        <w:t>37</w:t>
      </w:r>
      <w:r>
        <w:rPr>
          <w:b w:val="0"/>
          <w:i w:val="0"/>
          <w:sz w:val="18"/>
        </w:rPr>
        <w:t>, 187–204.</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Dwivedi, Y.K.; Kshetri, N.; Hughes, L.; Slade, E.L.; Jeyaraj, A.; Kar, A.K.; Baabdullah, A.M.; Koohang, A.; Raghavan, V.; Ahuja, M.; et al. </w:t>
      </w:r>
      <w:r>
        <w:rPr>
          <w:b w:val="0"/>
          <w:i w:val="0"/>
          <w:sz w:val="18"/>
        </w:rPr>
        <w:t xml:space="preserve">Opinion Paper: “So What If ChatGPT Wrote It?” Multidisciplinary Perspectives on Opportunities, Challenges and Implications of Generative Conversational AI for Research, Practice and Policy. </w:t>
      </w:r>
      <w:r>
        <w:rPr>
          <w:b w:val="0"/>
          <w:i/>
          <w:sz w:val="18"/>
        </w:rPr>
        <w:t xml:space="preserve">Int. J. Inf. Manag. </w:t>
      </w:r>
      <w:r>
        <w:rPr>
          <w:b/>
          <w:i w:val="0"/>
          <w:sz w:val="18"/>
        </w:rPr>
        <w:t>2023</w:t>
      </w:r>
      <w:r>
        <w:rPr>
          <w:b w:val="0"/>
          <w:i w:val="0"/>
          <w:sz w:val="18"/>
        </w:rPr>
        <w:t xml:space="preserve">, </w:t>
      </w:r>
      <w:r>
        <w:rPr>
          <w:b w:val="0"/>
          <w:i/>
          <w:sz w:val="18"/>
        </w:rPr>
        <w:t>71</w:t>
      </w:r>
      <w:r>
        <w:rPr>
          <w:b w:val="0"/>
          <w:i w:val="0"/>
          <w:sz w:val="18"/>
        </w:rPr>
        <w:t>, 102642.</w:t>
      </w:r>
      <w:r>
        <w:rPr>
          <w:b w:val="0"/>
          <w:i w:val="0"/>
          <w:sz w:val="18"/>
        </w:rPr>
        <w:t xml:space="preserve"> [CrossRef]</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Xue, X.; Li, L.; Chen, J.; Luo, T. </w:t>
      </w:r>
      <w:r>
        <w:rPr>
          <w:b w:val="0"/>
          <w:i w:val="0"/>
          <w:sz w:val="18"/>
        </w:rPr>
        <w:t xml:space="preserve">How Does Digital Technology Innovation Quality Empower Corporate ESG Performance? The Roles of Digital Transformation and Digital Technology Diffusion.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929.</w:t>
      </w:r>
      <w:r>
        <w:rPr>
          <w:b w:val="0"/>
          <w:i w:val="0"/>
          <w:sz w:val="18"/>
        </w:rPr>
        <w:t xml:space="preserve"> [CrossRef]</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70" w:name="_Ref_70"/>
      <w:r>
        <w:rPr>
          <w:b w:val="0"/>
          <w:sz w:val="18"/>
        </w:rPr>
        <w:t>70</w:t>
      </w:r>
      <w:bookmarkEnd w:id="1070"/>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p>
      <w:pPr>
        <w:pStyle w:val="MDPI32textnoindent"/>
        <w:spacing w:line="240" w:lineRule="auto" w:before="0" w:after="40"/>
        <w:ind w:left="425" w:hanging="425"/>
        <w:tabs>
          <w:tab w:val="left" w:pos="425"/>
        </w:tabs>
      </w:pPr>
      <w:bookmarkStart w:id="1071" w:name="_Ref_71"/>
      <w:r>
        <w:rPr>
          <w:b w:val="0"/>
          <w:sz w:val="18"/>
        </w:rPr>
        <w:t>71</w:t>
      </w:r>
      <w:bookmarkEnd w:id="1071"/>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72" w:name="_Ref_72"/>
      <w:r>
        <w:rPr>
          <w:b w:val="0"/>
          <w:sz w:val="18"/>
        </w:rPr>
        <w:t>72</w:t>
      </w:r>
      <w:bookmarkEnd w:id="1072"/>
      <w:r>
        <w:rPr>
          <w:sz w:val="18"/>
        </w:rPr>
        <w:t>.</w:t>
        <w:tab/>
      </w:r>
      <w:r>
        <w:rPr>
          <w:b w:val="0"/>
          <w:i w:val="0"/>
          <w:sz w:val="18"/>
        </w:rPr>
        <w:t xml:space="preserve">Argote, L.; Miron-Spektor, E. </w:t>
      </w:r>
      <w:r>
        <w:rPr>
          <w:b w:val="0"/>
          <w:i w:val="0"/>
          <w:sz w:val="18"/>
        </w:rPr>
        <w:t xml:space="preserve">Organizational Learning: From Experience to Knowledge. </w:t>
      </w:r>
      <w:r>
        <w:rPr>
          <w:b w:val="0"/>
          <w:i/>
          <w:sz w:val="18"/>
        </w:rPr>
        <w:t xml:space="preserve">Organ. Sci. </w:t>
      </w:r>
      <w:r>
        <w:rPr>
          <w:b/>
          <w:i w:val="0"/>
          <w:sz w:val="18"/>
        </w:rPr>
        <w:t>2011</w:t>
      </w:r>
      <w:r>
        <w:rPr>
          <w:b w:val="0"/>
          <w:i w:val="0"/>
          <w:sz w:val="18"/>
        </w:rPr>
        <w:t xml:space="preserve">, </w:t>
      </w:r>
      <w:r>
        <w:rPr>
          <w:b w:val="0"/>
          <w:i/>
          <w:sz w:val="18"/>
        </w:rPr>
        <w:t>22</w:t>
      </w:r>
      <w:r>
        <w:rPr>
          <w:b w:val="0"/>
          <w:i w:val="0"/>
          <w:sz w:val="18"/>
        </w:rPr>
        <w:t>, 1123–1137.</w:t>
      </w:r>
      <w:r>
        <w:rPr>
          <w:b w:val="0"/>
          <w:i w:val="0"/>
          <w:sz w:val="18"/>
        </w:rPr>
        <w:t xml:space="preserve"> [CrossRef]</w:t>
      </w:r>
    </w:p>
    <w:p>
      <w:pPr>
        <w:pStyle w:val="MDPI32textnoindent"/>
        <w:spacing w:line="240" w:lineRule="auto" w:before="0" w:after="40"/>
        <w:ind w:left="425" w:hanging="425"/>
        <w:tabs>
          <w:tab w:val="left" w:pos="425"/>
        </w:tabs>
      </w:pPr>
      <w:bookmarkStart w:id="1073" w:name="_Ref_73"/>
      <w:r>
        <w:rPr>
          <w:b w:val="0"/>
          <w:sz w:val="18"/>
        </w:rPr>
        <w:t>73</w:t>
      </w:r>
      <w:bookmarkEnd w:id="1073"/>
      <w:r>
        <w:rPr>
          <w:sz w:val="18"/>
        </w:rPr>
        <w:t>.</w:t>
        <w:tab/>
      </w:r>
      <w:r>
        <w:rPr>
          <w:b w:val="0"/>
          <w:i w:val="0"/>
          <w:sz w:val="18"/>
        </w:rPr>
        <w:t xml:space="preserve">March, J.G. </w:t>
      </w:r>
      <w:r>
        <w:rPr>
          <w:b w:val="0"/>
          <w:i w:val="0"/>
          <w:sz w:val="18"/>
        </w:rPr>
        <w:t xml:space="preserve">Exploration and Exploitation in Organizational Learning. </w:t>
      </w:r>
      <w:r>
        <w:rPr>
          <w:b w:val="0"/>
          <w:i/>
          <w:sz w:val="18"/>
        </w:rPr>
        <w:t xml:space="preserve">Organ. Sci. </w:t>
      </w:r>
      <w:r>
        <w:rPr>
          <w:b/>
          <w:i w:val="0"/>
          <w:sz w:val="18"/>
        </w:rPr>
        <w:t>1991</w:t>
      </w:r>
      <w:r>
        <w:rPr>
          <w:b w:val="0"/>
          <w:i w:val="0"/>
          <w:sz w:val="18"/>
        </w:rPr>
        <w:t xml:space="preserve">, </w:t>
      </w:r>
      <w:r>
        <w:rPr>
          <w:b w:val="0"/>
          <w:i/>
          <w:sz w:val="18"/>
        </w:rPr>
        <w:t>2</w:t>
      </w:r>
      <w:r>
        <w:rPr>
          <w:b w:val="0"/>
          <w:i w:val="0"/>
          <w:sz w:val="18"/>
        </w:rPr>
        <w:t>, 71–87.</w:t>
      </w:r>
      <w:r>
        <w:rPr>
          <w:b w:val="0"/>
          <w:i w:val="0"/>
          <w:sz w:val="18"/>
        </w:rPr>
        <w:t xml:space="preserve"> [CrossRef]</w:t>
      </w:r>
    </w:p>
    <w:p>
      <w:pPr>
        <w:pStyle w:val="MDPI32textnoindent"/>
        <w:spacing w:line="240" w:lineRule="auto" w:before="0" w:after="40"/>
        <w:ind w:left="425" w:hanging="425"/>
        <w:tabs>
          <w:tab w:val="left" w:pos="425"/>
        </w:tabs>
      </w:pPr>
      <w:bookmarkStart w:id="1074" w:name="_Ref_74"/>
      <w:r>
        <w:rPr>
          <w:b w:val="0"/>
          <w:sz w:val="18"/>
        </w:rPr>
        <w:t>74</w:t>
      </w:r>
      <w:bookmarkEnd w:id="1074"/>
      <w:r>
        <w:rPr>
          <w:sz w:val="18"/>
        </w:rPr>
        <w:t>.</w:t>
        <w:tab/>
      </w:r>
      <w:r>
        <w:rPr>
          <w:b w:val="0"/>
          <w:i w:val="0"/>
          <w:sz w:val="18"/>
        </w:rPr>
        <w:t xml:space="preserve">Beane, M. </w:t>
      </w:r>
      <w:r>
        <w:rPr>
          <w:b w:val="0"/>
          <w:i w:val="0"/>
          <w:sz w:val="18"/>
        </w:rPr>
        <w:t xml:space="preserve">Shadow Learning: Building Robotic Surgical Skill When Approved Means Fail. </w:t>
      </w:r>
      <w:r>
        <w:rPr>
          <w:b w:val="0"/>
          <w:i/>
          <w:sz w:val="18"/>
        </w:rPr>
        <w:t xml:space="preserve">Adm. Sci. Q. </w:t>
      </w:r>
      <w:r>
        <w:rPr>
          <w:b/>
          <w:i w:val="0"/>
          <w:sz w:val="18"/>
        </w:rPr>
        <w:t>2019</w:t>
      </w:r>
      <w:r>
        <w:rPr>
          <w:b w:val="0"/>
          <w:i w:val="0"/>
          <w:sz w:val="18"/>
        </w:rPr>
        <w:t xml:space="preserve">, </w:t>
      </w:r>
      <w:r>
        <w:rPr>
          <w:b w:val="0"/>
          <w:i/>
          <w:sz w:val="18"/>
        </w:rPr>
        <w:t>64</w:t>
      </w:r>
      <w:r>
        <w:rPr>
          <w:b w:val="0"/>
          <w:i w:val="0"/>
          <w:sz w:val="18"/>
        </w:rPr>
        <w:t>, 87–123.</w:t>
      </w:r>
      <w:r>
        <w:rPr>
          <w:b w:val="0"/>
          <w:i w:val="0"/>
          <w:sz w:val="18"/>
        </w:rPr>
        <w:t xml:space="preserve"> [CrossRef]</w:t>
      </w:r>
    </w:p>
    <w:p>
      <w:pPr>
        <w:pStyle w:val="MDPI32textnoindent"/>
        <w:spacing w:line="240" w:lineRule="auto" w:before="0" w:after="40"/>
        <w:ind w:left="425" w:hanging="425"/>
        <w:tabs>
          <w:tab w:val="left" w:pos="425"/>
        </w:tabs>
      </w:pPr>
      <w:bookmarkStart w:id="1075" w:name="_Ref_75"/>
      <w:r>
        <w:rPr>
          <w:b w:val="0"/>
          <w:sz w:val="18"/>
        </w:rPr>
        <w:t>75</w:t>
      </w:r>
      <w:bookmarkEnd w:id="1075"/>
      <w:r>
        <w:rPr>
          <w:sz w:val="18"/>
        </w:rPr>
        <w:t>.</w:t>
        <w:tab/>
      </w:r>
      <w:r>
        <w:rPr>
          <w:b w:val="0"/>
          <w:i w:val="0"/>
          <w:sz w:val="18"/>
        </w:rPr>
        <w:t xml:space="preserve">Kellogg, K.C.; Valentine, M.A.; Christin, A. </w:t>
      </w:r>
      <w:r>
        <w:rPr>
          <w:b w:val="0"/>
          <w:i w:val="0"/>
          <w:sz w:val="18"/>
        </w:rPr>
        <w:t xml:space="preserve">Algorithms at Work: The New Contested Terrain of Control. </w:t>
      </w:r>
      <w:r>
        <w:rPr>
          <w:b w:val="0"/>
          <w:i/>
          <w:sz w:val="18"/>
        </w:rPr>
        <w:t xml:space="preserve">Acad. Manag. Ann. </w:t>
      </w:r>
      <w:r>
        <w:rPr>
          <w:b/>
          <w:i w:val="0"/>
          <w:sz w:val="18"/>
        </w:rPr>
        <w:t>2020</w:t>
      </w:r>
      <w:r>
        <w:rPr>
          <w:b w:val="0"/>
          <w:i w:val="0"/>
          <w:sz w:val="18"/>
        </w:rPr>
        <w:t xml:space="preserve">, </w:t>
      </w:r>
      <w:r>
        <w:rPr>
          <w:b w:val="0"/>
          <w:i/>
          <w:sz w:val="18"/>
        </w:rPr>
        <w:t>14</w:t>
      </w:r>
      <w:r>
        <w:rPr>
          <w:b w:val="0"/>
          <w:i w:val="0"/>
          <w:sz w:val="18"/>
        </w:rPr>
        <w:t>, 366–410.</w:t>
      </w:r>
      <w:r>
        <w:rPr>
          <w:b w:val="0"/>
          <w:i w:val="0"/>
          <w:sz w:val="18"/>
        </w:rPr>
        <w:t xml:space="preserve"> [CrossRef]</w:t>
      </w:r>
    </w:p>
    <w:p>
      <w:pPr>
        <w:pStyle w:val="MDPI32textnoindent"/>
        <w:spacing w:line="240" w:lineRule="auto" w:before="0" w:after="40"/>
        <w:ind w:left="425" w:hanging="425"/>
        <w:tabs>
          <w:tab w:val="left" w:pos="425"/>
        </w:tabs>
      </w:pPr>
      <w:bookmarkStart w:id="1076" w:name="_Ref_76"/>
      <w:r>
        <w:rPr>
          <w:b w:val="0"/>
          <w:sz w:val="18"/>
        </w:rPr>
        <w:t>76</w:t>
      </w:r>
      <w:bookmarkEnd w:id="1076"/>
      <w:r>
        <w:rPr>
          <w:sz w:val="18"/>
        </w:rPr>
        <w:t>.</w:t>
        <w:tab/>
      </w:r>
      <w:r>
        <w:rPr>
          <w:b w:val="0"/>
          <w:i w:val="0"/>
          <w:sz w:val="18"/>
        </w:rPr>
        <w:t xml:space="preserve">Raisch, S.; Krakowski, S. </w:t>
      </w:r>
      <w:r>
        <w:rPr>
          <w:b w:val="0"/>
          <w:i w:val="0"/>
          <w:sz w:val="18"/>
        </w:rPr>
        <w:t xml:space="preserve">Artificial Intelligence and Management: The Automation–Augmentation Paradox.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192–210.</w:t>
      </w:r>
      <w:r>
        <w:rPr>
          <w:b w:val="0"/>
          <w:i w:val="0"/>
          <w:sz w:val="18"/>
        </w:rPr>
        <w:t xml:space="preserve"> [CrossRef]</w:t>
      </w:r>
    </w:p>
    <w:p>
      <w:pPr>
        <w:pStyle w:val="MDPI32textnoindent"/>
        <w:spacing w:line="240" w:lineRule="auto" w:before="0" w:after="40"/>
        <w:ind w:left="425" w:hanging="425"/>
        <w:tabs>
          <w:tab w:val="left" w:pos="425"/>
        </w:tabs>
      </w:pPr>
      <w:bookmarkStart w:id="1077" w:name="_Ref_77"/>
      <w:r>
        <w:rPr>
          <w:b w:val="0"/>
          <w:sz w:val="18"/>
        </w:rPr>
        <w:t>77</w:t>
      </w:r>
      <w:bookmarkEnd w:id="1077"/>
      <w:r>
        <w:rPr>
          <w:sz w:val="18"/>
        </w:rPr>
        <w:t>.</w:t>
        <w:tab/>
      </w:r>
      <w:r>
        <w:rPr>
          <w:b w:val="0"/>
          <w:i w:val="0"/>
          <w:sz w:val="18"/>
        </w:rPr>
        <w:t xml:space="preserve">Krakowski, S.; Luger, J.; Raisch, S. </w:t>
      </w:r>
      <w:r>
        <w:rPr>
          <w:b w:val="0"/>
          <w:i w:val="0"/>
          <w:sz w:val="18"/>
        </w:rPr>
        <w:t xml:space="preserve">Artificial Intelligence and the Changing Sources of Competitive Advantage. </w:t>
      </w:r>
      <w:r>
        <w:rPr>
          <w:b w:val="0"/>
          <w:i/>
          <w:sz w:val="18"/>
        </w:rPr>
        <w:t xml:space="preserve">Strateg. Manag. J. </w:t>
      </w:r>
      <w:r>
        <w:rPr>
          <w:b/>
          <w:i w:val="0"/>
          <w:sz w:val="18"/>
        </w:rPr>
        <w:t>2023</w:t>
      </w:r>
      <w:r>
        <w:rPr>
          <w:b w:val="0"/>
          <w:i w:val="0"/>
          <w:sz w:val="18"/>
        </w:rPr>
        <w:t xml:space="preserve">, </w:t>
      </w:r>
      <w:r>
        <w:rPr>
          <w:b w:val="0"/>
          <w:i/>
          <w:sz w:val="18"/>
        </w:rPr>
        <w:t>44</w:t>
      </w:r>
      <w:r>
        <w:rPr>
          <w:b w:val="0"/>
          <w:i w:val="0"/>
          <w:sz w:val="18"/>
        </w:rPr>
        <w:t>, 1425–1452.</w:t>
      </w:r>
      <w:r>
        <w:rPr>
          <w:b w:val="0"/>
          <w:i w:val="0"/>
          <w:sz w:val="18"/>
        </w:rPr>
        <w:t xml:space="preserve"> [CrossRef]</w:t>
      </w:r>
    </w:p>
    <w:p>
      <w:pPr>
        <w:pStyle w:val="MDPI32textnoindent"/>
        <w:spacing w:line="240" w:lineRule="auto" w:before="0" w:after="40"/>
        <w:ind w:left="425" w:hanging="425"/>
        <w:tabs>
          <w:tab w:val="left" w:pos="425"/>
        </w:tabs>
      </w:pPr>
      <w:bookmarkStart w:id="1078" w:name="_Ref_78"/>
      <w:r>
        <w:rPr>
          <w:b w:val="0"/>
          <w:sz w:val="18"/>
        </w:rPr>
        <w:t>78</w:t>
      </w:r>
      <w:bookmarkEnd w:id="1078"/>
      <w:r>
        <w:rPr>
          <w:sz w:val="18"/>
        </w:rPr>
        <w:t>.</w:t>
        <w:tab/>
      </w:r>
      <w:r>
        <w:rPr>
          <w:b w:val="0"/>
          <w:i w:val="0"/>
          <w:sz w:val="18"/>
        </w:rPr>
        <w:t xml:space="preserve">Yang, B.; Sun, Y.; Zeng, Z.; Li, Q. </w:t>
      </w:r>
      <w:r>
        <w:rPr>
          <w:b w:val="0"/>
          <w:i w:val="0"/>
          <w:sz w:val="18"/>
        </w:rPr>
        <w:t xml:space="preserve">Deskilling, Reskilling, or Upskilling? Unpacking the Pathways of Student Adaptation to Generative Artificial Intelligence. </w:t>
      </w:r>
      <w:r>
        <w:rPr>
          <w:b w:val="0"/>
          <w:i/>
          <w:sz w:val="18"/>
        </w:rPr>
        <w:t xml:space="preserve">Int. J. Inf. Manag. </w:t>
      </w:r>
      <w:r>
        <w:rPr>
          <w:b/>
          <w:i w:val="0"/>
          <w:sz w:val="18"/>
        </w:rPr>
        <w:t>2026</w:t>
      </w:r>
      <w:r>
        <w:rPr>
          <w:b w:val="0"/>
          <w:i w:val="0"/>
          <w:sz w:val="18"/>
        </w:rPr>
        <w:t xml:space="preserve">, </w:t>
      </w:r>
      <w:r>
        <w:rPr>
          <w:b w:val="0"/>
          <w:i/>
          <w:sz w:val="18"/>
        </w:rPr>
        <w:t>87</w:t>
      </w:r>
      <w:r>
        <w:rPr>
          <w:b w:val="0"/>
          <w:i w:val="0"/>
          <w:sz w:val="18"/>
        </w:rPr>
        <w:t>, 103002.</w:t>
      </w:r>
      <w:r>
        <w:rPr>
          <w:b w:val="0"/>
          <w:i w:val="0"/>
          <w:sz w:val="18"/>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