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rPr/>
      </w:pPr>
      <w:r>
        <w:rPr/>
        <w:t>数据与分析过程说明</w:t>
      </w:r>
    </w:p>
    <w:p>
      <w:pPr>
        <w:pStyle w:val="BodyTextsub"/>
        <w:bidi w:val="0"/>
        <w:rPr/>
      </w:pPr>
      <w:r>
        <w:rPr/>
        <w:t>Dual-Pathway Affective Process Tracing for Auditable Assessment of Emotion Regulation in Daily Life</w:t>
        <w:br/>
      </w:r>
      <w:r>
        <w:rPr/>
        <w:t>投稿期刊：</w:t>
      </w:r>
      <w:r>
        <w:rPr/>
        <w:t>INNO-PRESS: Journal of Emerging Applied AI</w:t>
      </w:r>
    </w:p>
    <w:p>
      <w:pPr>
        <w:pStyle w:val="Heading2"/>
        <w:bidi w:val="0"/>
        <w:jc w:val="left"/>
        <w:rPr/>
      </w:pPr>
      <w:r>
        <w:rPr/>
        <w:t>一、数据的来源与性质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本研究使用的 </w:t>
            </w:r>
            <w:r>
              <w:rPr>
                <w:b/>
              </w:rPr>
              <w:t xml:space="preserve">420 </w:t>
            </w:r>
            <w:r>
              <w:rPr>
                <w:b/>
              </w:rPr>
              <w:t xml:space="preserve">名「参与者」是模拟生成的，不是真人填答的问卷或 </w:t>
            </w:r>
            <w:r>
              <w:rPr>
                <w:b/>
              </w:rPr>
              <w:t xml:space="preserve">EMA </w:t>
            </w:r>
            <w:r>
              <w:rPr>
                <w:b/>
              </w:rPr>
              <w:t>记录。</w:t>
            </w:r>
            <w:r>
              <w:rPr/>
              <w:t>论文摘要（“</w:t>
            </w:r>
            <w:r>
              <w:rPr/>
              <w:t>On 420 simulated participants…”</w:t>
            </w:r>
            <w:r>
              <w:rPr/>
              <w:t>）与第五节开头 （“</w:t>
            </w:r>
            <w:r>
              <w:rPr/>
              <w:t>No public momentary corpus records the strategy deployed at every prompt with certainty, so we construct a simulated corpus from an explicit psychological process model”</w:t>
            </w:r>
            <w:r>
              <w:rPr/>
              <w:t xml:space="preserve">）均已明确声明。第七节 </w:t>
            </w:r>
            <w:r>
              <w:rPr/>
              <w:t xml:space="preserve">C </w:t>
            </w:r>
            <w:r>
              <w:rPr/>
              <w:t>小节把它同时列为 本研究的主要局限。</w:t>
            </w:r>
          </w:p>
        </w:tc>
      </w:tr>
    </w:tbl>
    <w:p>
      <w:pPr>
        <w:pStyle w:val="Heading3"/>
        <w:bidi w:val="0"/>
        <w:jc w:val="left"/>
        <w:rPr/>
      </w:pPr>
      <w:r>
        <w:rPr/>
        <w:t>为什么必须用模拟数据</w:t>
      </w:r>
    </w:p>
    <w:p>
      <w:pPr>
        <w:pStyle w:val="BodyText"/>
        <w:bidi w:val="0"/>
        <w:jc w:val="left"/>
        <w:rPr/>
      </w:pPr>
      <w:r>
        <w:rPr/>
        <w:t xml:space="preserve">本文提出的核心评估指标是 </w:t>
      </w:r>
      <w:r>
        <w:rPr>
          <w:b/>
        </w:rPr>
        <w:t>justification alignment</w:t>
      </w:r>
      <w:r>
        <w:rPr>
          <w:b/>
        </w:rPr>
        <w:t>（证据链吻合度）</w:t>
      </w:r>
      <w:r>
        <w:rPr/>
        <w:t>： 模型给出的「这几个时刻支持了这条结论」中，有多大比例确实是当事人使用该族 调节策略的时刻。要计算它，必须知道</w:t>
      </w:r>
      <w:r>
        <w:rPr>
          <w:b/>
        </w:rPr>
        <w:t>每一个提示时刻实际部署了哪一族策略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>没有任何观测语料能确定地提供这个标签——</w:t>
      </w:r>
      <w:r>
        <w:rPr/>
        <w:t xml:space="preserve">EMA </w:t>
      </w:r>
      <w:r>
        <w:rPr/>
        <w:t>自评条目本身就是带噪声、带 交叉负荷的间接指标，这正是本文要处理的问题。因此该指标只有在生成过程已知 的模拟条件下才可计算。这是一个方法上的取舍：换来的是把「可审计性」从一句 设计主张变成一个可测量的量，代价是外部效度需要在观测语料上另行验证。</w:t>
      </w:r>
    </w:p>
    <w:p>
      <w:pPr>
        <w:pStyle w:val="Heading3"/>
        <w:bidi w:val="0"/>
        <w:jc w:val="left"/>
        <w:rPr/>
      </w:pPr>
      <w:r>
        <w:rPr/>
        <w:t>生成模型锚定的已发表数值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72"/>
        <w:gridCol w:w="1721"/>
        <w:gridCol w:w="6446"/>
      </w:tblGrid>
      <w:tr>
        <w:trPr/>
        <w:tc>
          <w:tcPr>
            <w:tcW w:w="317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参数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设定值</w:t>
            </w:r>
          </w:p>
        </w:tc>
        <w:tc>
          <w:tcPr>
            <w:tcW w:w="64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依据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情绪惯性（瞬时负性情绪一阶自相关）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中心 </w:t>
            </w:r>
            <w:r>
              <w:rPr/>
              <w:t>0.35</w:t>
            </w:r>
          </w:p>
        </w:tc>
        <w:tc>
          <w:tcPr>
            <w:tcW w:w="6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社区样本经验取样研究的典型值（</w:t>
            </w:r>
            <w:r>
              <w:rPr/>
              <w:t xml:space="preserve">Kuppens </w:t>
            </w:r>
            <w:r>
              <w:rPr/>
              <w:t>等）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瞬时负性情绪的个体内变异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7 </w:t>
            </w:r>
            <w:r>
              <w:rPr/>
              <w:t xml:space="preserve">点量表上约 </w:t>
            </w:r>
            <w:r>
              <w:rPr/>
              <w:t xml:space="preserve">0.75 </w:t>
            </w:r>
            <w:r>
              <w:rPr/>
              <w:t>分</w:t>
            </w:r>
          </w:p>
        </w:tc>
        <w:tc>
          <w:tcPr>
            <w:tcW w:w="6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同上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提示应答率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85%</w:t>
            </w:r>
          </w:p>
        </w:tc>
        <w:tc>
          <w:tcPr>
            <w:tcW w:w="6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信号取样设计的常见完成率，由此产生不等长序列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ERQ </w:t>
            </w:r>
            <w:r>
              <w:rPr/>
              <w:t>认知重评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 = 4.9, SD = 0.9</w:t>
            </w:r>
          </w:p>
        </w:tc>
        <w:tc>
          <w:tcPr>
            <w:tcW w:w="6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Gross &amp; John (2003)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ERQ </w:t>
            </w:r>
            <w:r>
              <w:rPr/>
              <w:t>表达抑制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 = 3.4, SD = 1.1</w:t>
            </w:r>
          </w:p>
        </w:tc>
        <w:tc>
          <w:tcPr>
            <w:tcW w:w="6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Gross &amp; John (2003)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DERS </w:t>
            </w:r>
            <w:r>
              <w:rPr/>
              <w:t>总分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 = 80, SD = 20</w:t>
            </w:r>
          </w:p>
        </w:tc>
        <w:tc>
          <w:tcPr>
            <w:tcW w:w="6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Gratz &amp; Roemer (2004)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调节策略族</w:t>
            </w:r>
          </w:p>
        </w:tc>
        <w:tc>
          <w:tcPr>
            <w:tcW w:w="1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五族</w:t>
            </w:r>
          </w:p>
        </w:tc>
        <w:tc>
          <w:tcPr>
            <w:tcW w:w="64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Gross </w:t>
            </w:r>
            <w:r>
              <w:rPr/>
              <w:t>情绪调节过程模型：情境选择、情境修正、注意分配、认知改变、 反应调整</w:t>
            </w:r>
          </w:p>
        </w:tc>
      </w:tr>
    </w:tbl>
    <w:p>
      <w:pPr>
        <w:pStyle w:val="Heading3"/>
        <w:bidi w:val="0"/>
        <w:jc w:val="left"/>
        <w:rPr/>
      </w:pPr>
      <w:r>
        <w:rPr/>
        <w:t>生成过程的心理学结构</w:t>
      </w:r>
    </w:p>
    <w:p>
      <w:pPr>
        <w:pStyle w:val="BodyText"/>
        <w:bidi w:val="0"/>
        <w:jc w:val="left"/>
        <w:rPr/>
      </w:pPr>
      <w:r>
        <w:rPr/>
        <w:t>每个时刻，模拟参与者部署哪一族策略，取决于三样东西：个人的习惯性倾向 （潜特质）、该情境的</w:t>
      </w:r>
      <w:r>
        <w:rPr>
          <w:b/>
        </w:rPr>
        <w:t>可控性</w:t>
      </w:r>
      <w:r>
        <w:rPr/>
        <w:t>评估、以及一个个体差异参数「调节灵活性」， 后者决定策略选择随情境变化的强度。策略的</w:t>
      </w:r>
      <w:r>
        <w:rPr>
          <w:b/>
        </w:rPr>
        <w:t>效果</w:t>
      </w:r>
      <w:r>
        <w:rPr/>
        <w:t>取决于策略与情境可控性 之间的</w:t>
      </w:r>
      <w:r>
        <w:rPr>
          <w:b/>
        </w:rPr>
        <w:t>契合度</w:t>
      </w:r>
      <w:r>
        <w:rPr/>
        <w:t>——情境导向的两族在可控性高时有效，注意与认知两族在 不可控时有效，反应调整整体最弱。瞬时负性情绪按一阶自回归演化，受当刻应激 扰动，再被本次调节的成效削减。</w:t>
      </w:r>
    </w:p>
    <w:p>
      <w:pPr>
        <w:pStyle w:val="BodyText"/>
        <w:bidi w:val="0"/>
        <w:jc w:val="left"/>
        <w:rPr/>
      </w:pPr>
      <w:r>
        <w:rPr/>
        <w:t>评估目标不是「用了多少次」，而是</w:t>
      </w:r>
      <w:r>
        <w:rPr>
          <w:b/>
        </w:rPr>
        <w:t>适应性习惯使用</w:t>
      </w:r>
      <w:r>
        <w:rPr/>
        <w:t xml:space="preserve">：部署频率、与 适用情境的契合度、以及实际情绪缓解三者的加权和，按全样本中位数二分为 </w:t>
      </w:r>
      <w:r>
        <w:rPr/>
        <w:t xml:space="preserve">0/1 </w:t>
      </w:r>
      <w:r>
        <w:rPr/>
        <w:t>标签，五个标签各自均衡。</w:t>
      </w:r>
    </w:p>
    <w:p>
      <w:pPr>
        <w:pStyle w:val="Heading2"/>
        <w:bidi w:val="0"/>
        <w:jc w:val="left"/>
        <w:rPr/>
      </w:pPr>
      <w:r>
        <w:rPr/>
        <w:t>二、原始数据文件的结构</w:t>
      </w:r>
    </w:p>
    <w:p>
      <w:pPr>
        <w:pStyle w:val="BodyText"/>
        <w:bidi w:val="0"/>
        <w:jc w:val="left"/>
        <w:rPr/>
      </w:pPr>
      <w:r>
        <w:rPr/>
        <w:t>文件：</w:t>
      </w:r>
      <w:r>
        <w:rPr>
          <w:rStyle w:val="SourceText"/>
        </w:rPr>
        <w:t>EMA_raw_data.xlsx</w:t>
      </w:r>
      <w:r>
        <w:rPr/>
        <w:t xml:space="preserve">（另附 </w:t>
      </w:r>
      <w:r>
        <w:rPr>
          <w:rStyle w:val="SourceText"/>
        </w:rPr>
        <w:t>participants.csv</w:t>
      </w:r>
      <w:r>
        <w:rPr/>
        <w:t xml:space="preserve">、 </w:t>
      </w:r>
      <w:r>
        <w:rPr>
          <w:rStyle w:val="SourceText"/>
        </w:rPr>
        <w:t>episodes.csv</w:t>
      </w:r>
      <w:r>
        <w:rPr/>
        <w:t xml:space="preserve">，内容相同，供非 </w:t>
      </w:r>
      <w:r>
        <w:rPr/>
        <w:t xml:space="preserve">Excel </w:t>
      </w:r>
      <w:r>
        <w:rPr/>
        <w:t>工具使用）。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1"/>
        <w:gridCol w:w="659"/>
        <w:gridCol w:w="8859"/>
      </w:tblGrid>
      <w:tr>
        <w:trPr/>
        <w:tc>
          <w:tcPr>
            <w:tcW w:w="18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工作表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行数</w:t>
            </w:r>
          </w:p>
        </w:tc>
        <w:tc>
          <w:tcPr>
            <w:tcW w:w="885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说明 </w:t>
            </w:r>
            <w:r>
              <w:rPr/>
              <w:t>Readme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8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数据性质、生成参数、复现方法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参与者层 </w:t>
            </w:r>
            <w:r>
              <w:rPr/>
              <w:t>Participants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420</w:t>
            </w:r>
          </w:p>
        </w:tc>
        <w:tc>
          <w:tcPr>
            <w:tcW w:w="8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每人一行：数据集归属、应答情况、潜特质、五族部署占比、适应性得分、 五个标签、三个问卷代理值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情节层 </w:t>
            </w:r>
            <w:r>
              <w:rPr/>
              <w:t>Episodes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35 280</w:t>
            </w:r>
          </w:p>
        </w:tc>
        <w:tc>
          <w:tcPr>
            <w:tcW w:w="8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每个计划提示一行（</w:t>
            </w:r>
            <w:r>
              <w:rPr/>
              <w:t>420 × 84</w:t>
            </w:r>
            <w:r>
              <w:rPr/>
              <w:t>，含未应答者）：</w:t>
            </w:r>
            <w:r>
              <w:rPr/>
              <w:t xml:space="preserve">17 </w:t>
            </w:r>
            <w:r>
              <w:rPr/>
              <w:t xml:space="preserve">个瞬时特征、是否应答、 </w:t>
            </w:r>
            <w:r>
              <w:rPr>
                <w:b/>
              </w:rPr>
              <w:t>实际部署的策略族</w:t>
            </w:r>
            <w:r>
              <w:rPr/>
              <w:t>、策略—情境契合度、调节成效</w:t>
            </w:r>
          </w:p>
        </w:tc>
      </w:tr>
      <w:tr>
        <w:trPr/>
        <w:tc>
          <w:tcPr>
            <w:tcW w:w="1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变量说明 </w:t>
            </w:r>
            <w:r>
              <w:rPr/>
              <w:t>Codebook</w:t>
            </w:r>
          </w:p>
        </w:tc>
        <w:tc>
          <w:tcPr>
            <w:tcW w:w="6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8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逐列含义、量表范围，以及最关键的一列：</w:t>
            </w:r>
            <w:r>
              <w:rPr>
                <w:b/>
              </w:rPr>
              <w:t>该变量模型是否可见</w:t>
            </w:r>
          </w:p>
        </w:tc>
      </w:tr>
    </w:tbl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使用这份数据时最容易出错的地方</w:t>
            </w:r>
            <w:r>
              <w:rPr/>
              <w:t>：</w:t>
            </w:r>
            <w:r>
              <w:rPr/>
              <w:t xml:space="preserve">Codebook </w:t>
            </w:r>
            <w:r>
              <w:rPr/>
              <w:t>中「模型可见」标为「否」 的变量（</w:t>
            </w:r>
            <w:r>
              <w:rPr/>
              <w:t>deployed_family</w:t>
            </w:r>
            <w:r>
              <w:rPr/>
              <w:t>、</w:t>
            </w:r>
            <w:r>
              <w:rPr/>
              <w:t>strategy_situation_fit</w:t>
            </w:r>
            <w:r>
              <w:rPr/>
              <w:t>、</w:t>
            </w:r>
            <w:r>
              <w:rPr/>
              <w:t>regulation_success</w:t>
            </w:r>
            <w:r>
              <w:rPr/>
              <w:t xml:space="preserve">、 </w:t>
            </w:r>
            <w:r>
              <w:rPr/>
              <w:t>adapt_score_*</w:t>
            </w:r>
            <w:r>
              <w:rPr/>
              <w:t>、</w:t>
            </w:r>
            <w:r>
              <w:rPr/>
              <w:t>trait_*</w:t>
            </w:r>
            <w:r>
              <w:rPr/>
              <w:t>、</w:t>
            </w:r>
            <w:r>
              <w:rPr/>
              <w:t>flexibility</w:t>
            </w:r>
            <w:r>
              <w:rPr/>
              <w:t>、</w:t>
            </w:r>
            <w:r>
              <w:rPr/>
              <w:t>inertia_parameter</w:t>
            </w:r>
            <w:r>
              <w:rPr/>
              <w:t xml:space="preserve">，以及三个问卷代理值） 是生成过程的潜变量或评估用真值，训练与推断时模型完全看不到。把它们当成输入 会造成信息泄漏，得到的任何结果都不成立。模型实际接收的只有情节层的 </w:t>
            </w:r>
            <w:r>
              <w:rPr/>
              <w:t xml:space="preserve">17 </w:t>
            </w:r>
            <w:r>
              <w:rPr/>
              <w:t>个 瞬时特征加上应答掩码。</w:t>
            </w:r>
          </w:p>
        </w:tc>
      </w:tr>
    </w:tbl>
    <w:p>
      <w:pPr>
        <w:pStyle w:val="Heading2"/>
        <w:bidi w:val="0"/>
        <w:jc w:val="left"/>
        <w:rPr/>
      </w:pPr>
      <w:r>
        <w:rPr/>
        <w:t>三、分析流程</w:t>
      </w:r>
    </w:p>
    <w:p>
      <w:pPr>
        <w:pStyle w:val="BodyText"/>
        <w:bidi w:val="0"/>
        <w:jc w:val="left"/>
        <w:rPr/>
      </w:pPr>
      <w:r>
        <w:rPr/>
        <w:t xml:space="preserve">全部代码为自研，仅依赖 </w:t>
      </w:r>
      <w:r>
        <w:rPr/>
        <w:t xml:space="preserve">numpy </w:t>
      </w:r>
      <w:r>
        <w:rPr/>
        <w:t xml:space="preserve">与 </w:t>
      </w:r>
      <w:r>
        <w:rPr/>
        <w:t>scipy——</w:t>
      </w:r>
      <w:r>
        <w:rPr/>
        <w:t xml:space="preserve">没有使用 </w:t>
      </w:r>
      <w:r>
        <w:rPr/>
        <w:t>PyTorch</w:t>
      </w:r>
      <w:r>
        <w:rPr/>
        <w:t>、</w:t>
      </w:r>
      <w:r>
        <w:rPr/>
        <w:t xml:space="preserve">TensorFlow </w:t>
      </w:r>
      <w:r>
        <w:rPr/>
        <w:t xml:space="preserve">或 </w:t>
      </w:r>
      <w:r>
        <w:rPr/>
        <w:t>scikit-learn</w:t>
      </w:r>
      <w:r>
        <w:rPr/>
        <w:t xml:space="preserve">。反向自动微分引擎是为本研究从零实现的。下表中第 </w:t>
      </w:r>
      <w:r>
        <w:rPr/>
        <w:t xml:space="preserve">1–7 </w:t>
      </w:r>
      <w:r>
        <w:rPr/>
        <w:t xml:space="preserve">步的 脚本位于 </w:t>
      </w:r>
      <w:r>
        <w:rPr>
          <w:rStyle w:val="SourceText"/>
        </w:rPr>
        <w:t>model/</w:t>
      </w:r>
      <w:r>
        <w:rPr/>
        <w:t xml:space="preserve">，第 </w:t>
      </w:r>
      <w:r>
        <w:rPr/>
        <w:t>8</w:t>
      </w:r>
      <w:r>
        <w:rPr/>
        <w:t>、</w:t>
      </w:r>
      <w:r>
        <w:rPr/>
        <w:t xml:space="preserve">10 </w:t>
      </w:r>
      <w:r>
        <w:rPr/>
        <w:t xml:space="preserve">步位于 </w:t>
      </w:r>
      <w:r>
        <w:rPr>
          <w:rStyle w:val="SourceText"/>
        </w:rPr>
        <w:t>analysis/</w:t>
      </w:r>
      <w:r>
        <w:rPr/>
        <w:t xml:space="preserve">， 第 </w:t>
      </w:r>
      <w:r>
        <w:rPr/>
        <w:t xml:space="preserve">9 </w:t>
      </w:r>
      <w:r>
        <w:rPr/>
        <w:t xml:space="preserve">步位于 </w:t>
      </w:r>
      <w:r>
        <w:rPr>
          <w:rStyle w:val="SourceText"/>
        </w:rPr>
        <w:t>build/</w:t>
      </w:r>
      <w:r>
        <w:rPr/>
        <w:t>；</w:t>
      </w:r>
      <w:r>
        <w:rPr/>
        <w:t xml:space="preserve">JSON </w:t>
      </w:r>
      <w:r>
        <w:rPr/>
        <w:t xml:space="preserve">产出写入 </w:t>
      </w:r>
      <w:r>
        <w:rPr>
          <w:rStyle w:val="SourceText"/>
        </w:rPr>
        <w:t>tables/</w:t>
      </w:r>
      <w:r>
        <w:rPr/>
        <w:t>。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1"/>
        <w:gridCol w:w="2099"/>
        <w:gridCol w:w="6882"/>
        <w:gridCol w:w="1787"/>
      </w:tblGrid>
      <w:tr>
        <w:trPr/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步骤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脚本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做什么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产出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ema_data.py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按种子 </w:t>
            </w:r>
            <w:r>
              <w:rPr/>
              <w:t xml:space="preserve">20260819 </w:t>
            </w:r>
            <w:r>
              <w:rPr/>
              <w:t xml:space="preserve">生成语料，并按人 </w:t>
            </w:r>
            <w:r>
              <w:rPr/>
              <w:t xml:space="preserve">70/15/15 </w:t>
            </w:r>
            <w:r>
              <w:rPr/>
              <w:t>划分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本导出文件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autodiff.py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numpy </w:t>
            </w:r>
            <w:r>
              <w:rPr/>
              <w:t>上的反向自动微分引擎（</w:t>
            </w:r>
            <w:r>
              <w:rPr/>
              <w:t>Tensor</w:t>
            </w:r>
            <w:r>
              <w:rPr/>
              <w:t>、算子、</w:t>
            </w:r>
            <w:r>
              <w:rPr/>
              <w:t>Adam</w:t>
            </w:r>
            <w:r>
              <w:rPr/>
              <w:t>、梯度裁剪）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gradcheck.py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23 </w:t>
            </w:r>
            <w:r>
              <w:rPr/>
              <w:t>项中心差分梯度检验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gradcheck.json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dpapt.py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DP-APT </w:t>
            </w:r>
            <w:r>
              <w:rPr/>
              <w:t>架构：时序情感图网络、调节过程本体解析器、概念条件化证据融合、 训练循环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baselines.py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五个对比模型；</w:t>
            </w:r>
            <w:r>
              <w:rPr/>
              <w:t>AUC-ROC / AUC-PR</w:t>
            </w:r>
            <w:r>
              <w:rPr/>
              <w:t>；</w:t>
            </w:r>
            <w:r>
              <w:rPr/>
              <w:t xml:space="preserve">ERASER </w:t>
            </w:r>
            <w:r>
              <w:rPr/>
              <w:t>忠实度；吻合度； 监督探针天花板；积分梯度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run_experiments.py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完整实验协议：语料描述、五个基线、所提模型、四项消融、稀疏权重扫描、 收敛效度、两指标秩相关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results.json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concept_collapse.py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本体概念向量坍缩诊断（有</w:t>
            </w:r>
            <w:r>
              <w:rPr/>
              <w:t>/</w:t>
            </w:r>
            <w:r>
              <w:rPr/>
              <w:t>无残差连接）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collapse.json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figures.py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四张图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*.png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build_docx.py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按期刊模板生成 </w:t>
            </w:r>
            <w:r>
              <w:rPr/>
              <w:t xml:space="preserve">Word </w:t>
            </w:r>
            <w:r>
              <w:rPr/>
              <w:t xml:space="preserve">论文，正文数字全部从 </w:t>
            </w:r>
            <w:r>
              <w:rPr/>
              <w:t xml:space="preserve">JSON </w:t>
            </w:r>
            <w:r>
              <w:rPr/>
              <w:t>插值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论文 </w:t>
            </w:r>
            <w:r>
              <w:rPr>
                <w:rStyle w:val="SourceText"/>
              </w:rPr>
              <w:t>.docx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export_data.py</w:t>
            </w:r>
          </w:p>
        </w:tc>
        <w:tc>
          <w:tcPr>
            <w:tcW w:w="68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导出本次交付的两个 </w:t>
            </w:r>
            <w:r>
              <w:rPr/>
              <w:t xml:space="preserve">Excel </w:t>
            </w:r>
            <w:r>
              <w:rPr/>
              <w:t xml:space="preserve">工作簿与 </w:t>
            </w:r>
            <w:r>
              <w:rPr/>
              <w:t>CSV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*.xlsx</w:t>
            </w:r>
          </w:p>
        </w:tc>
      </w:tr>
    </w:tbl>
    <w:p>
      <w:pPr>
        <w:pStyle w:val="Heading3"/>
        <w:bidi w:val="0"/>
        <w:jc w:val="left"/>
        <w:rPr/>
      </w:pPr>
      <w:r>
        <w:rPr/>
        <w:t>复现命令</w:t>
      </w:r>
    </w:p>
    <w:p>
      <w:pPr>
        <w:pStyle w:val="PreformattedText"/>
        <w:bidi w:val="0"/>
        <w:jc w:val="left"/>
        <w:rPr/>
      </w:pPr>
      <w:r>
        <w:rPr/>
        <w:t>cd model</w:t>
      </w:r>
    </w:p>
    <w:p>
      <w:pPr>
        <w:pStyle w:val="PreformattedText"/>
        <w:bidi w:val="0"/>
        <w:jc w:val="left"/>
        <w:rPr/>
      </w:pPr>
      <w:r>
        <w:rPr/>
        <w:t xml:space="preserve">python3 gradcheck.py            # </w:t>
      </w:r>
      <w:r>
        <w:rPr/>
        <w:t xml:space="preserve">约 </w:t>
      </w:r>
      <w:r>
        <w:rPr/>
        <w:t xml:space="preserve">1 </w:t>
      </w:r>
      <w:r>
        <w:rPr/>
        <w:t>分钟</w:t>
      </w:r>
    </w:p>
    <w:p>
      <w:pPr>
        <w:pStyle w:val="PreformattedText"/>
        <w:bidi w:val="0"/>
        <w:jc w:val="left"/>
        <w:rPr/>
      </w:pPr>
      <w:r>
        <w:rPr/>
        <w:t xml:space="preserve">python3 run_experiments.py      # </w:t>
      </w:r>
      <w:r>
        <w:rPr/>
        <w:t xml:space="preserve">约 </w:t>
      </w:r>
      <w:r>
        <w:rPr/>
        <w:t xml:space="preserve">18 </w:t>
      </w:r>
      <w:r>
        <w:rPr/>
        <w:t xml:space="preserve">分钟，写出 </w:t>
      </w:r>
      <w:r>
        <w:rPr/>
        <w:t>tables/results.json</w:t>
      </w:r>
    </w:p>
    <w:p>
      <w:pPr>
        <w:pStyle w:val="PreformattedText"/>
        <w:bidi w:val="0"/>
        <w:jc w:val="left"/>
        <w:rPr/>
      </w:pPr>
      <w:r>
        <w:rPr/>
        <w:t xml:space="preserve">python3 concept_collapse.py     # </w:t>
      </w:r>
      <w:r>
        <w:rPr/>
        <w:t xml:space="preserve">约 </w:t>
      </w:r>
      <w:r>
        <w:rPr/>
        <w:t xml:space="preserve">3 </w:t>
      </w:r>
      <w:r>
        <w:rPr/>
        <w:t>分钟</w:t>
      </w:r>
    </w:p>
    <w:p>
      <w:pPr>
        <w:pStyle w:val="PreformattedText"/>
        <w:bidi w:val="0"/>
        <w:jc w:val="left"/>
        <w:rPr/>
      </w:pPr>
      <w:r>
        <w:rPr/>
        <w:t>cd ../analysis</w:t>
      </w:r>
    </w:p>
    <w:p>
      <w:pPr>
        <w:pStyle w:val="PreformattedText"/>
        <w:bidi w:val="0"/>
        <w:jc w:val="left"/>
        <w:rPr/>
      </w:pPr>
      <w:r>
        <w:rPr/>
        <w:t xml:space="preserve">python3 figures.py              # </w:t>
      </w:r>
      <w:r>
        <w:rPr/>
        <w:t>四张图</w:t>
      </w:r>
    </w:p>
    <w:p>
      <w:pPr>
        <w:pStyle w:val="PreformattedText"/>
        <w:bidi w:val="0"/>
        <w:jc w:val="left"/>
        <w:rPr/>
      </w:pPr>
      <w:r>
        <w:rPr/>
        <w:t xml:space="preserve">python3 export_data.py          # </w:t>
      </w:r>
      <w:r>
        <w:rPr/>
        <w:t xml:space="preserve">两个 </w:t>
      </w:r>
      <w:r>
        <w:rPr/>
        <w:t xml:space="preserve">Excel </w:t>
      </w:r>
      <w:r>
        <w:rPr/>
        <w:t>工作簿</w:t>
      </w:r>
    </w:p>
    <w:p>
      <w:pPr>
        <w:pStyle w:val="PreformattedText"/>
        <w:bidi w:val="0"/>
        <w:jc w:val="left"/>
        <w:rPr/>
      </w:pPr>
      <w:r>
        <w:rPr/>
        <w:t>cd ../build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python3 build_docx.py           # </w:t>
      </w:r>
      <w:r>
        <w:rPr/>
        <w:t xml:space="preserve">论文 </w:t>
      </w:r>
      <w:r>
        <w:rPr/>
        <w:t xml:space="preserve">Word </w:t>
      </w:r>
      <w:r>
        <w:rPr/>
        <w:t>文件</w:t>
      </w:r>
    </w:p>
    <w:p>
      <w:pPr>
        <w:pStyle w:val="BodyText"/>
        <w:bidi w:val="0"/>
        <w:jc w:val="left"/>
        <w:rPr/>
      </w:pPr>
      <w:r>
        <w:rPr/>
        <w:t xml:space="preserve">单核 </w:t>
      </w:r>
      <w:r>
        <w:rPr/>
        <w:t xml:space="preserve">CPU </w:t>
      </w:r>
      <w:r>
        <w:rPr/>
        <w:t xml:space="preserve">即可，无需 </w:t>
      </w:r>
      <w:r>
        <w:rPr/>
        <w:t>GPU</w:t>
      </w:r>
      <w:r>
        <w:rPr/>
        <w:t>。同一种子下结果完全可复现。</w:t>
      </w:r>
    </w:p>
    <w:p>
      <w:pPr>
        <w:pStyle w:val="Heading2"/>
        <w:bidi w:val="0"/>
        <w:jc w:val="left"/>
        <w:rPr/>
      </w:pPr>
      <w:r>
        <w:rPr/>
        <w:t>四、几个关键方法的说明</w:t>
      </w:r>
    </w:p>
    <w:p>
      <w:pPr>
        <w:pStyle w:val="Heading3"/>
        <w:bidi w:val="0"/>
        <w:jc w:val="left"/>
        <w:rPr/>
      </w:pPr>
      <w:r>
        <w:rPr/>
        <w:t xml:space="preserve">1. </w:t>
      </w:r>
      <w:r>
        <w:rPr/>
        <w:t>证据链是分数的精确分解，不是注意力图</w:t>
      </w:r>
    </w:p>
    <w:p>
      <w:pPr>
        <w:pStyle w:val="BodyText"/>
        <w:bidi w:val="0"/>
        <w:jc w:val="left"/>
        <w:rPr/>
      </w:pPr>
      <w:r>
        <w:rPr/>
        <w:t xml:space="preserve">模型对每一族的打分，其 </w:t>
      </w:r>
      <w:r>
        <w:rPr/>
        <w:t xml:space="preserve">logit </w:t>
      </w:r>
      <w:r>
        <w:rPr/>
        <w:t xml:space="preserve">中的每一项都是对情节的求和，因此可以精确 拆成逐情节的贡献 </w:t>
      </w:r>
      <w:r>
        <w:rPr>
          <w:i/>
        </w:rPr>
        <w:t>C</w:t>
      </w:r>
      <w:r>
        <w:rPr>
          <w:position w:val="-2"/>
          <w:sz w:val="18"/>
        </w:rPr>
        <w:t>k,t</w:t>
      </w:r>
      <w:r>
        <w:rPr/>
        <w:t>，并且满足恒等式</w:t>
      </w:r>
    </w:p>
    <w:p>
      <w:pPr>
        <w:pStyle w:val="PreformattedText"/>
        <w:bidi w:val="0"/>
        <w:spacing w:before="0" w:after="283"/>
        <w:jc w:val="left"/>
        <w:rPr/>
      </w:pPr>
      <w:r>
        <w:rPr/>
        <w:t>Σ_t C(k,t) + b(k) = σ⁻¹( ŷ(k) )</w:t>
      </w:r>
    </w:p>
    <w:p>
      <w:pPr>
        <w:pStyle w:val="BodyText"/>
        <w:bidi w:val="0"/>
        <w:jc w:val="left"/>
        <w:rPr/>
      </w:pPr>
      <w:r>
        <w:rPr/>
        <w:t xml:space="preserve">代码中对此有断言检查，误差在机器精度量级（约 </w:t>
      </w:r>
      <w:r>
        <w:rPr/>
        <w:t>1e-15</w:t>
      </w:r>
      <w:r>
        <w:rPr/>
        <w:t>）。报告给临床工作者 的就是这个分解，而不是注意力分布——论文的一个主要发现正是：同一个训练好的 模型，只看它的注意力分布会给出与实际算术相差很大的解释。</w:t>
      </w:r>
    </w:p>
    <w:p>
      <w:pPr>
        <w:pStyle w:val="Heading3"/>
        <w:bidi w:val="0"/>
        <w:jc w:val="left"/>
        <w:rPr/>
      </w:pPr>
      <w:r>
        <w:rPr/>
        <w:t xml:space="preserve">2. </w:t>
      </w:r>
      <w:r>
        <w:rPr/>
        <w:t>吻合度指标有下界也有上界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8"/>
        <w:gridCol w:w="601"/>
        <w:gridCol w:w="9170"/>
      </w:tblGrid>
      <w:tr>
        <w:trPr/>
        <w:tc>
          <w:tcPr>
            <w:tcW w:w="156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参照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值</w:t>
            </w:r>
          </w:p>
        </w:tc>
        <w:tc>
          <w:tcPr>
            <w:tcW w:w="917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含义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随机解释（下界）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0.200</w:t>
            </w:r>
          </w:p>
        </w:tc>
        <w:tc>
          <w:tcPr>
            <w:tcW w:w="91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五族部署的边际率平均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监督探针（上界）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0.904</w:t>
            </w:r>
          </w:p>
        </w:tc>
        <w:tc>
          <w:tcPr>
            <w:tcW w:w="91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用同样的 </w:t>
            </w:r>
            <w:r>
              <w:rPr/>
              <w:t xml:space="preserve">17 </w:t>
            </w:r>
            <w:r>
              <w:rPr/>
              <w:t xml:space="preserve">个特征直接监督预测策略族，情节级正确率 </w:t>
            </w:r>
            <w:r>
              <w:rPr/>
              <w:t xml:space="preserve">90.1%—— </w:t>
            </w:r>
            <w:r>
              <w:rPr/>
              <w:t>说明信息就在特征里，差距来自监督层级而非特征本身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本文模型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0.646</w:t>
            </w:r>
          </w:p>
        </w:tc>
        <w:tc>
          <w:tcPr>
            <w:tcW w:w="91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对比模型中最高，约为随机的 </w:t>
            </w:r>
            <w:r>
              <w:rPr/>
              <w:t xml:space="preserve">3.23 </w:t>
            </w:r>
            <w:r>
              <w:rPr/>
              <w:t>倍</w:t>
            </w:r>
          </w:p>
        </w:tc>
      </w:tr>
    </w:tbl>
    <w:p>
      <w:pPr>
        <w:pStyle w:val="BodyText"/>
        <w:bidi w:val="0"/>
        <w:jc w:val="left"/>
        <w:rPr/>
      </w:pPr>
      <w:r>
        <w:rPr/>
        <w:t>脱离这两个界去读这一列没有意义。上界的存在也让论文能诚实地指出：在只有 个体层标签的条件下，仍有相当大的差距没有跨过。</w:t>
      </w:r>
    </w:p>
    <w:p>
      <w:pPr>
        <w:pStyle w:val="Heading3"/>
        <w:bidi w:val="0"/>
        <w:jc w:val="left"/>
        <w:rPr/>
      </w:pPr>
      <w:r>
        <w:rPr/>
        <w:t xml:space="preserve">3. </w:t>
      </w:r>
      <w:r>
        <w:rPr/>
        <w:t>超参数一律在验证集上选</w:t>
      </w:r>
    </w:p>
    <w:p>
      <w:pPr>
        <w:pStyle w:val="BodyText"/>
        <w:bidi w:val="0"/>
        <w:jc w:val="left"/>
        <w:rPr/>
      </w:pPr>
      <w:r>
        <w:rPr/>
        <w:t xml:space="preserve">包括学习率与稀疏权重 </w:t>
      </w:r>
      <w:r>
        <w:rPr/>
        <w:t>λ</w:t>
      </w:r>
      <w:r>
        <w:rPr/>
        <w:t xml:space="preserve">。测试集指标与任何解释质量指标都不参与选择。 稀疏权重的扫描结果全量报告（见 </w:t>
      </w:r>
      <w:r>
        <w:rPr/>
        <w:t>Excel</w:t>
      </w:r>
      <w:r>
        <w:rPr/>
        <w:t>「稀疏权重扫描」表），而不是只报 对某个指标最有利的那一档。</w:t>
      </w:r>
    </w:p>
    <w:p>
      <w:pPr>
        <w:pStyle w:val="Heading3"/>
        <w:bidi w:val="0"/>
        <w:jc w:val="left"/>
        <w:rPr/>
      </w:pPr>
      <w:r>
        <w:rPr/>
        <w:t xml:space="preserve">4. </w:t>
      </w:r>
      <w:r>
        <w:rPr/>
        <w:t>结果按实测报告，包括不利的部分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本体解析器与时序图在本语料上</w:t>
      </w:r>
      <w:r>
        <w:rPr>
          <w:b/>
        </w:rPr>
        <w:t>没有跑赢各自的消融</w:t>
      </w:r>
      <w:r>
        <w:rPr/>
        <w:t xml:space="preserve">，正文直接写明， 并说明这一结论的适用范围。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与最强基线 </w:t>
      </w:r>
      <w:r>
        <w:rPr/>
        <w:t xml:space="preserve">0.012 </w:t>
      </w:r>
      <w:r>
        <w:rPr/>
        <w:t xml:space="preserve">的精度差约等于一个随机种子标准差，正文标注为 「三次初始化无法分辨」。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最简单的基线（个体层均值与标准差 </w:t>
      </w:r>
      <w:r>
        <w:rPr/>
        <w:t xml:space="preserve">+ logistic </w:t>
      </w:r>
      <w:r>
        <w:rPr/>
        <w:t xml:space="preserve">回归）精度与所提模型 在三位小数上相同，正文明确指出。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稀疏化对吻合度的影响非单调、且变动量与种子噪声同量级，因此论文只主张 「稀疏化买不到正确性」，</w:t>
      </w:r>
      <w:r>
        <w:rPr>
          <w:b/>
        </w:rPr>
        <w:t>没有</w:t>
      </w:r>
      <w:r>
        <w:rPr/>
        <w:t xml:space="preserve">主张「稀疏化降低正确性」。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DERS </w:t>
      </w:r>
      <w:r>
        <w:rPr/>
        <w:t>与整体调节得分的相关未达显著（</w:t>
      </w:r>
      <w:r>
        <w:rPr/>
        <w:t>r = −0.222, p = .080</w:t>
      </w:r>
      <w:r>
        <w:rPr/>
        <w:t xml:space="preserve">），如实报告， 未只挑显著的两项汇报。 </w:t>
      </w:r>
    </w:p>
    <w:p>
      <w:pPr>
        <w:pStyle w:val="Heading2"/>
        <w:bidi w:val="0"/>
        <w:jc w:val="left"/>
        <w:rPr/>
      </w:pPr>
      <w:r>
        <w:rPr/>
        <w:t>五、结果文件</w:t>
      </w:r>
    </w:p>
    <w:p>
      <w:pPr>
        <w:pStyle w:val="BodyText"/>
        <w:bidi w:val="0"/>
        <w:jc w:val="left"/>
        <w:rPr/>
      </w:pPr>
      <w:r>
        <w:rPr/>
        <w:t>文件：</w:t>
      </w:r>
      <w:r>
        <w:rPr>
          <w:rStyle w:val="SourceText"/>
        </w:rPr>
        <w:t>EMA_analysis_results.xlsx</w:t>
      </w:r>
      <w:r>
        <w:rPr/>
        <w:t xml:space="preserve">。论文正文中的每一个数字都 来自 </w:t>
      </w:r>
      <w:r>
        <w:rPr>
          <w:rStyle w:val="SourceText"/>
        </w:rPr>
        <w:t>tables/results.json</w:t>
      </w:r>
      <w:r>
        <w:rPr/>
        <w:t xml:space="preserve">，由 </w:t>
      </w:r>
      <w:r>
        <w:rPr/>
        <w:t xml:space="preserve">f-string </w:t>
      </w:r>
      <w:r>
        <w:rPr/>
        <w:t>插值进正文，没有一个是 手工填写的，因此正文与该工作簿不可能对不上。</w:t>
      </w:r>
    </w:p>
    <w:tbl>
      <w:tblPr>
        <w:tblW w:w="80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61"/>
        <w:gridCol w:w="4966"/>
      </w:tblGrid>
      <w:tr>
        <w:trPr/>
        <w:tc>
          <w:tcPr>
            <w:tcW w:w="30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工作表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对应论文位置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配置与语料 </w:t>
            </w:r>
            <w:r>
              <w:rPr/>
              <w:t>Config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第五节 </w:t>
            </w:r>
            <w:r>
              <w:rPr/>
              <w:t>A</w:t>
            </w:r>
            <w:r>
              <w:rPr/>
              <w:t>、</w:t>
            </w:r>
            <w:r>
              <w:rPr/>
              <w:t>C</w:t>
            </w:r>
            <w:r>
              <w:rPr/>
              <w:t>、</w:t>
            </w:r>
            <w:r>
              <w:rPr/>
              <w:t xml:space="preserve">D </w:t>
            </w:r>
            <w:r>
              <w:rPr/>
              <w:t>小节；梯度检验；概念坍缩诊断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表</w:t>
            </w:r>
            <w:r>
              <w:rPr/>
              <w:t xml:space="preserve">1 </w:t>
            </w:r>
            <w:r>
              <w:rPr/>
              <w:t xml:space="preserve">预测性能 </w:t>
            </w:r>
            <w:r>
              <w:rPr/>
              <w:t xml:space="preserve">/ </w:t>
            </w:r>
            <w:r>
              <w:rPr/>
              <w:t>表</w:t>
            </w:r>
            <w:r>
              <w:rPr/>
              <w:t>1</w:t>
            </w:r>
            <w:r>
              <w:rPr/>
              <w:t>附 逐族</w:t>
            </w:r>
            <w:r>
              <w:rPr/>
              <w:t>AUC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1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表</w:t>
            </w:r>
            <w:r>
              <w:rPr/>
              <w:t xml:space="preserve">2 </w:t>
            </w:r>
            <w:r>
              <w:rPr/>
              <w:t>解释质量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2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表</w:t>
            </w:r>
            <w:r>
              <w:rPr/>
              <w:t xml:space="preserve">3 </w:t>
            </w:r>
            <w:r>
              <w:rPr/>
              <w:t>消融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3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表</w:t>
            </w:r>
            <w:r>
              <w:rPr/>
              <w:t xml:space="preserve">4 </w:t>
            </w:r>
            <w:r>
              <w:rPr/>
              <w:t>收敛效度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4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稀疏权重扫描 </w:t>
            </w:r>
            <w:r>
              <w:rPr/>
              <w:t>Sweep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Figure 4 </w:t>
            </w:r>
            <w:r>
              <w:rPr/>
              <w:t xml:space="preserve">与第六节 </w:t>
            </w:r>
            <w:r>
              <w:rPr/>
              <w:t xml:space="preserve">E </w:t>
            </w:r>
            <w:r>
              <w:rPr/>
              <w:t>小节</w:t>
            </w:r>
          </w:p>
        </w:tc>
      </w:tr>
      <w:tr>
        <w:trPr/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核心发现 两指标相关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第六节 </w:t>
            </w:r>
            <w:r>
              <w:rPr/>
              <w:t xml:space="preserve">B </w:t>
            </w:r>
            <w:r>
              <w:rPr/>
              <w:t xml:space="preserve">小节与第七节 </w:t>
            </w:r>
            <w:r>
              <w:rPr/>
              <w:t xml:space="preserve">B </w:t>
            </w:r>
            <w:r>
              <w:rPr/>
              <w:t>小节</w:t>
            </w:r>
          </w:p>
        </w:tc>
      </w:tr>
    </w:tbl>
    <w:p>
      <w:pPr>
        <w:pStyle w:val="Heading2"/>
        <w:bidi w:val="0"/>
        <w:jc w:val="left"/>
        <w:rPr/>
      </w:pPr>
      <w:r>
        <w:rPr/>
        <w:t>六、如果要投稿时提交数据可用性声明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建议的表述：本研究使用的语料由一个显式的、带随机种子的心理过程模型生成， 生成代码、实验代码、结果文件与导出数据均已随文提供；给定种子后全部结果可 完全复现，无需 </w:t>
      </w:r>
      <w:r>
        <w:rPr/>
        <w:t xml:space="preserve">GPU </w:t>
      </w:r>
      <w:r>
        <w:rPr/>
        <w:t xml:space="preserve">或深度学习框架。语料为模拟数据，不涉及人类被试，因此 不需要伦理审查批准；论文第七节 </w:t>
      </w:r>
      <w:r>
        <w:rPr/>
        <w:t xml:space="preserve">C </w:t>
      </w:r>
      <w:r>
        <w:rPr/>
        <w:t>小节讨论了向观测语料迁移时需要补充的 验证工作。</w:t>
      </w:r>
    </w:p>
    <w:sectPr>
      <w:type w:val="nextPage"/>
      <w:pgSz w:w="11906" w:h="16838"/>
      <w:pgMar w:left="1134" w:right="1134" w:gutter="0" w:header="0" w:top="1247" w:footer="0" w:bottom="1247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altName w:val="SimSun"/>
    <w:charset w:val="00"/>
    <w:family w:val="auto"/>
    <w:pitch w:val="default"/>
  </w:font>
  <w:font w:name="Noto Sans">
    <w:charset w:val="00"/>
    <w:family w:val="auto"/>
    <w:pitch w:val="variable"/>
  </w:font>
  <w:font w:name="Consolas">
    <w:altName w:val="Courier New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Times New Roman;SimSun;serif" w:hAnsi="Times New Roman;SimSun;serif" w:eastAsia="Times New Roman;SimSun;serif" w:cs="Times New Roman;SimSun;serif"/>
      <w:color w:val="auto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jc w:val="center"/>
    </w:pPr>
    <w:rPr>
      <w:rFonts w:ascii="Noto Sans" w:hAnsi="Noto Sans"/>
      <w:b/>
      <w:bCs/>
      <w:sz w:val="34"/>
      <w:szCs w:val="3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999999"/>
      </w:pBdr>
      <w:spacing w:before="400" w:after="120"/>
      <w:outlineLvl w:val="1"/>
    </w:pPr>
    <w:rPr>
      <w:rFonts w:ascii="Liberation Serif" w:hAnsi="Liberation Serif" w:eastAsia="WenQuanYi Zen Hei" w:cs="Free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WenQuanYi Zen Hei" w:cs="FreeSans"/>
      <w:b/>
      <w:bCs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7" w:color="CCCCCC"/>
        <w:left w:val="single" w:sz="2" w:space="7" w:color="CCCCCC"/>
        <w:bottom w:val="single" w:sz="2" w:space="7" w:color="CCCCCC"/>
        <w:right w:val="single" w:sz="2" w:space="7" w:color="CCCCCC"/>
      </w:pBdr>
      <w:shd w:fill="F4F4F4" w:val="clear"/>
      <w:spacing w:before="0" w:after="0"/>
    </w:pPr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paragraph" w:styleId="BodyTextsub">
    <w:name w:val="Body Text.sub"/>
    <w:basedOn w:val="BodyText"/>
    <w:qFormat/>
    <w:pPr>
      <w:spacing w:before="0" w:after="360"/>
      <w:jc w:val="center"/>
    </w:pPr>
    <w:rPr>
      <w:color w:val="444444"/>
      <w:sz w:val="21"/>
      <w:szCs w:val="21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