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Narrowing the Gate, Not Breaking the Ladder: Artificial Intelligence, Entry-Level Access and the Under-Provision of On-the-Job Training</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Firstname Lastname</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An entry-level job is a joint product: it delivers output today and it is the only technology that turns a novice into an experienced worker. Artificial intelligence substitutes for the first component and not for the second, which has made the fate of the career ladder an urgent question. We build a two-tier search-and-matching model with endogenous mentoring, Nash bargaining, free entry, poaching and real rigidity of the entry wage, and estimate eight parameters that reproduce eight Chinese labour-market moments exactly. Three results follow. The market provides about one seventh of the efficient amount of on-the-job training even though the Hosios condition holds exactly, so promotion takes three and a half years instead of one: Hosios decentralises vacancy creation but never training. Cheaper artificial intelligence is borne by entry-level access rather than entry-level pay, and only because entry wages are rigid; with flexible wages the same shock is absorbed by pay. Contrary to our prior, the technology neither breaks the ladder nor widens the training wedge, because firms mentor a smaller intake far more intensively: promotions and the stock of experienced workers barely change and the wedge narrows. Held out of estimation, the model reproduces the entry-level employment gradient across exposure found in payroll microdata. The efficient response is to price training, not to tax technology.</w:t>
      </w:r>
    </w:p>
    <w:p w14:paraId="7EABB50A">
      <w:pPr>
        <w:pStyle w:val="176"/>
        <w:rPr>
          <w:szCs w:val="18"/>
        </w:rPr>
      </w:pPr>
      <w:r>
        <w:rPr>
          <w:b/>
          <w:szCs w:val="18"/>
        </w:rPr>
        <w:t xml:space="preserve">Keywords: </w:t>
      </w:r>
      <w:r>
        <w:rPr>
          <w:rFonts w:hint="eastAsia"/>
          <w:szCs w:val="18"/>
        </w:rPr>
        <w:t>entry-level employment; artificial intelligence; search and matching; on-the-job training; poaching externality; job ladder; wage rigidity; constrained efficiency; Hosios condition; youth unemployment</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A labour market has to reproduce itself. Experienced workers are not endowed; they are manufactured, and the factory is the entry-level job. A firm that hires a novice buys two things at once: the output the novice produces today, and an option on an experienced worker tomorrow. Every economy therefore depends on a quiet inter-temporal arrangement in which today’s employers carry the cost of producing tomorrow’s skilled labour force. Artificial intelligence acts on exactly one side of that arrangement. Large language models are good at the codifiable, supervised, low-context tasks that make up the junior job, and they are of no use for the thing that makes the junior job valuable to the system as a whole, which is turning a person into someone who no longer needs supervision [1,2]. The obvious worry is that the ladder will break.</w:t>
      </w:r>
    </w:p>
    <w:p>
      <w:pPr>
        <w:spacing w:after="120"/>
        <w:jc w:val="both"/>
      </w:pPr>
      <w:r>
        <w:rPr>
          <w:rFonts w:ascii="Palatino Linotype" w:hAnsi="Palatino Linotype" w:eastAsia="Palatino Linotype"/>
          <w:b w:val="0"/>
          <w:i w:val="0"/>
          <w:sz w:val="20"/>
        </w:rPr>
        <w:t>The empirical record has begun to show the asymmetry the worry rests on. Using payroll records covering millions of United States workers, Brynjolfsson, Chandar and Chen [3] document a relative employment decline of about sixteen per cent for workers aged 22 to 25 in the occupations most exposed to generative artificial intelligence, with no comparable decline for experienced workers in the same occupations, and with adjustment running through headcount rather than through pay. In China the same pressure meets a much larger cohort. A record 12.22 million graduates entered the labour market in 2025 and 12.7 million are expected in 2026, the surveyed urban unemployment rate of 16–24-year-olds excluding students reached 18.9 per cent in August 2025, and graduate-facing job postings fell by more than a fifth in the first half of that year, while enterprise adoption of artificial-intelligence agents rose from under a tenth to roughly half of industrial enterprises within a single year [4,5]. Evidence from other settings is more muted—Danish administrative data show precise nulls for earnings and hours two years after chatbot adoption [6]—which is itself informative: the margin that moves first is not the price of labour but the decision to open the entry-level door.</w:t>
      </w:r>
    </w:p>
    <w:p>
      <w:pPr>
        <w:spacing w:after="120"/>
        <w:jc w:val="both"/>
      </w:pPr>
      <w:r>
        <w:rPr>
          <w:rFonts w:ascii="Palatino Linotype" w:hAnsi="Palatino Linotype" w:eastAsia="Palatino Linotype"/>
          <w:b w:val="0"/>
          <w:i w:val="0"/>
          <w:sz w:val="20"/>
        </w:rPr>
        <w:t>Three questions follow, and none of them can be answered by an elasticity. Is the market’s provision of on-the-job training efficient to begin with? What determines whether a technology shock to junior tasks is absorbed by entry wages or by entry-level hiring? And does the shock damage the mechanism that produces experienced workers, or merely reallocate who passes through it? These are questions about a feedback structure and its prices, so they need a model in which the structure is explicit and the prices are estimated.</w:t>
      </w:r>
    </w:p>
    <w:p>
      <w:pPr>
        <w:spacing w:after="120"/>
        <w:jc w:val="both"/>
      </w:pPr>
      <w:r>
        <w:rPr>
          <w:rFonts w:ascii="Palatino Linotype" w:hAnsi="Palatino Linotype" w:eastAsia="Palatino Linotype"/>
          <w:b w:val="0"/>
          <w:i w:val="0"/>
          <w:sz w:val="20"/>
        </w:rPr>
        <w:t>This paper supplies one. We treat the career ladder as a socio-technical system with a single reproduction loop: entry-level hiring produces experienced workers, experienced workers supply the mentoring without which no further entrants can be promoted, and the loop closes. We embed the loop in a two-tier search-and-matching economy with free entry on both tiers, Nash-bargained wages subject to real rigidity at the entry level, endogenous mentoring intensity, and an artificial-intelligence input that substitutes for entry-level task output but cannot mentor. Two frictions separate the private from the social return to training. Mentoring is chosen after the wage is agreed and is not contractible, so the firm bears its whole cost while keeping only its bargaining share of the return; and a trained worker is poached by rival firms at a positive rate, which the firm discounts and the planner does not, because the worker keeps the job [7,8]. Eight structural parameters are estimated to reproduce eight Chinese labour-market moments exactly, and the model is then asked a question it was never fitted to answer.</w:t>
      </w:r>
    </w:p>
    <w:p>
      <w:pPr>
        <w:spacing w:after="120"/>
        <w:jc w:val="both"/>
      </w:pPr>
      <w:r>
        <w:rPr>
          <w:rFonts w:ascii="Palatino Linotype" w:hAnsi="Palatino Linotype" w:eastAsia="Palatino Linotype"/>
          <w:b w:val="0"/>
          <w:i w:val="0"/>
          <w:sz w:val="20"/>
        </w:rPr>
        <w:t>Four results follow. The first is an efficiency result. Under the Hosios condition, with no poaching and with contractible training, the decentralised steady state coincides exactly with the constrained planner’s allocation—a property we verify numerically to machine precision and use as an internal validity check on the entire system of value functions and costates. Relaxing the contracting frictions breaks efficiency on the training margin while leaving vacancy creation efficient, so a single condition cannot decentralise two margins. In the calibrated economy, where the Hosios condition holds exactly by construction, the market nevertheless provides about one seventh of the efficient amount of mentoring, and first promotion takes three and a half years instead of one.</w:t>
      </w:r>
    </w:p>
    <w:p>
      <w:pPr>
        <w:spacing w:after="120"/>
        <w:jc w:val="both"/>
      </w:pPr>
      <w:r>
        <w:rPr>
          <w:rFonts w:ascii="Palatino Linotype" w:hAnsi="Palatino Linotype" w:eastAsia="Palatino Linotype"/>
          <w:b w:val="0"/>
          <w:i w:val="0"/>
          <w:sz w:val="20"/>
        </w:rPr>
        <w:t>The second is a result about incidence, and it is conditional in an informative way. When entry wages are flexible, a fall in the price of artificial intelligence is absorbed almost entirely by the entry wage and entry-level employment scarcely moves; when entry wages are rigid, the same shock is absorbed almost entirely by entry-level hiring. The observed pattern—large employment effects for the young, negligible pay effects—therefore does not follow from the technology alone. It requires the wage floor, which in China is provided by binding provincial minimum wages and heavily compressed graduate pay scales [9]. The incidence of automation on young workers is an institutional outcome, not a technological one.</w:t>
      </w:r>
    </w:p>
    <w:p>
      <w:pPr>
        <w:spacing w:after="120"/>
        <w:jc w:val="both"/>
      </w:pPr>
      <w:r>
        <w:rPr>
          <w:rFonts w:ascii="Palatino Linotype" w:hAnsi="Palatino Linotype" w:eastAsia="Palatino Linotype"/>
          <w:b w:val="0"/>
          <w:i w:val="0"/>
          <w:sz w:val="20"/>
        </w:rPr>
        <w:t>The third result contradicts the premise we began with, and is the paper’s main substantive contribution. Cheaper artificial intelligence does not break the ladder. Firms respond to a smaller intake by mentoring each entrant far more intensively, so the flow of promotions and the stock of experienced workers are almost unchanged, and time to first promotion falls rather than rises. Nor does the technology aggravate the market failure: the gap between market and efficient training narrows as artificial intelligence spreads, because scarcer entrants are individually more worth training. The training externality is large, but it is pre-existing and is not created or worsened by artificial intelligence. Aggregate welfare rises while the cohort waiting to enter loses, so what the technology produces is a distributional problem sitting on top of an efficiency problem that was already there.</w:t>
      </w:r>
    </w:p>
    <w:p>
      <w:pPr>
        <w:spacing w:after="120"/>
        <w:jc w:val="both"/>
      </w:pPr>
      <w:r>
        <w:rPr>
          <w:rFonts w:ascii="Palatino Linotype" w:hAnsi="Palatino Linotype" w:eastAsia="Palatino Linotype"/>
          <w:b w:val="0"/>
          <w:i w:val="0"/>
          <w:sz w:val="20"/>
        </w:rPr>
        <w:t>The fourth is a policy result. At a common fiscal cost, a mentoring credit dominates entry-level wage and vacancy subsidies on welfare, on entry-level access and on the marginal value of public funds, and a tax on artificial intelligence is dominated by all of them. Once the ladder subsidies are in place the optimal artificial-intelligence tax is zero: the input is efficiently priced conditional on the allocation, and taxing it destroys output without repairing the externality it is blamed for.</w:t>
      </w:r>
    </w:p>
    <w:p>
      <w:pPr>
        <w:spacing w:after="120"/>
        <w:jc w:val="both"/>
      </w:pPr>
      <w:r>
        <w:rPr>
          <w:rFonts w:ascii="Palatino Linotype" w:hAnsi="Palatino Linotype" w:eastAsia="Palatino Linotype"/>
          <w:b w:val="0"/>
          <w:i w:val="0"/>
          <w:sz w:val="20"/>
        </w:rPr>
        <w:t>The paper speaks to three literatures at once. To the task-based literature on automation [10–12] it adds a joint-product structure in which the automatable component and the skill-formation component of the same job are separable and are priced differently by the market, and it shows that the second component is far more robust to automation than the first. To the literature on training in imperfect labour markets [7,13,14] it adds a general-equilibrium environment in which the return to training is endogenous to a technology shock, and a quantification of the resulting under-provision. To the emerging empirical literature on generative artificial intelligence and employment [1,3,6,15] it offers a structural account of why the young are affected first, why the adjustment runs through hiring rather than wages, and why that fact is evidence about wage-setting institutions rather than about the technology.</w:t>
      </w:r>
    </w:p>
    <w:p>
      <w:pPr>
        <w:spacing w:after="120"/>
        <w:jc w:val="both"/>
      </w:pPr>
      <w:r>
        <w:rPr>
          <w:rFonts w:ascii="Palatino Linotype" w:hAnsi="Palatino Linotype" w:eastAsia="Palatino Linotype"/>
          <w:b w:val="0"/>
          <w:i w:val="0"/>
          <w:sz w:val="20"/>
        </w:rPr>
        <w:t>Section 2 places the paper in the literature. Section 3 sets out the model, defines equilibrium, characterises the constrained optimum and states the two propositions. Section 4 describes the calibration, its identification and its over-identifying checks. Section 5 reports the counterfactuals, the channel decomposition, the incidence analysis, the held-out validation, the policy comparison and the robustness analysis. Section 6 discusses interpretation and limitations, and Section 7 concludes.</w:t>
      </w:r>
    </w:p>
    <w:p>
      <w:pPr>
        <w:keepNext/>
        <w:spacing w:before="200" w:after="80"/>
      </w:pPr>
      <w:r>
        <w:rPr>
          <w:rFonts w:ascii="Palatino Linotype" w:hAnsi="Palatino Linotype" w:eastAsia="Palatino Linotype"/>
          <w:b/>
          <w:i w:val="0"/>
          <w:sz w:val="24"/>
        </w:rPr>
        <w:t>2. Related Literature and Contribution</w:t>
      </w:r>
    </w:p>
    <w:p>
      <w:pPr>
        <w:keepNext/>
        <w:spacing w:before="140" w:after="80"/>
      </w:pPr>
      <w:r>
        <w:rPr>
          <w:rFonts w:ascii="Palatino Linotype" w:hAnsi="Palatino Linotype" w:eastAsia="Palatino Linotype"/>
          <w:b/>
          <w:i w:val="0"/>
          <w:sz w:val="20"/>
        </w:rPr>
        <w:t>2.1. Automation, Tasks and the Level of Employment</w:t>
      </w:r>
    </w:p>
    <w:p>
      <w:pPr>
        <w:spacing w:after="120"/>
        <w:jc w:val="both"/>
      </w:pPr>
      <w:r>
        <w:rPr>
          <w:rFonts w:ascii="Palatino Linotype" w:hAnsi="Palatino Linotype" w:eastAsia="Palatino Linotype"/>
          <w:b w:val="0"/>
          <w:i w:val="0"/>
          <w:sz w:val="20"/>
        </w:rPr>
        <w:t>The task-based framework treats technology as reallocating tasks between labour and capital, with a displacement effect that lowers labour demand and a reinstatement effect that creates new labour-intensive tasks [10,11]. Applied to robots, it has delivered credible negative employment estimates in the United States [16], sharply smaller ones in Japan [17], and mixed firm-level results in China, where adoption often coincides with expansion [18–21]. Age is where these studies come closest to the present paper: German production-unit data show that robot adoption reduces the hiring of young workers while leaving incumbents largely untouched [22], and Chinese evidence points the same way for youth employment quality [23]. Closest of all is the evidence that technological and organisational change reshapes the internal career paths of incumbent workers rather than only the level of employment [24], and firm-level Chinese evidence that intelligent manufacturing upgrades the human capital of the workforce it retains [25,26]. Generative artificial intelligence differs from robotics in exposing cognitive and codifiable work [1,27], which is disproportionately what junior employees do. Macroeconomic magnitudes remain contested [2], and micro-evidence ranges from large productivity gains in specific occupations [15,28] to precise nulls on earnings and hours [6]; numerical work on the skill premium points to the same tension between displacement and complementarity [29]. Our contribution is not another estimate of a displacement elasticity but a statement about which margin the elasticity operates on, what determines that, and whether the margin has an externality attached to it.</w:t>
      </w:r>
    </w:p>
    <w:p>
      <w:pPr>
        <w:keepNext/>
        <w:spacing w:before="140" w:after="80"/>
      </w:pPr>
      <w:r>
        <w:rPr>
          <w:rFonts w:ascii="Palatino Linotype" w:hAnsi="Palatino Linotype" w:eastAsia="Palatino Linotype"/>
          <w:b/>
          <w:i w:val="0"/>
          <w:sz w:val="20"/>
        </w:rPr>
        <w:t>2.2. Training, Poaching and the Job Ladder</w:t>
      </w:r>
    </w:p>
    <w:p>
      <w:pPr>
        <w:spacing w:after="120"/>
        <w:jc w:val="both"/>
      </w:pPr>
      <w:r>
        <w:rPr>
          <w:rFonts w:ascii="Palatino Linotype" w:hAnsi="Palatino Linotype" w:eastAsia="Palatino Linotype"/>
          <w:b w:val="0"/>
          <w:i w:val="0"/>
          <w:sz w:val="20"/>
        </w:rPr>
        <w:t>In a frictionless labour market firms never pay for general training, because the worker captures its whole return [13]. Acemoglu and Pischke showed that once wages are compressed by labour-market frictions firms do pay, because part of the return accrues to them, and that the same frictions generate a poaching externality, so that firm-sponsored training is positive but inefficiently low [7,14]. Stevens made the under-investment explicit as a property of imperfect competition [8]. Empirically, training raises productivity by more than it raises wages [30], and automation shifts who receives it [31]. The complementary literature on internal labour markets models promotion as the mechanism converting learning into rank and pay [32], and the early-career mobility literature documents how much of lifetime wage growth is produced in the first years of work [33,34], while the skills literature documents how fast the content of entry-level competence is now moving [35,36] and how unevenly formal vocational training pays off in China [37,38]. We combine the two strands: training is firm-sponsored, non-contractible and subject to poaching, and its output is the stock of experienced workers on which the whole economy’s production function depends. That general-equilibrium closure is what allows us to ask whether a technology shock damages the mechanism itself.</w:t>
      </w:r>
    </w:p>
    <w:p>
      <w:pPr>
        <w:keepNext/>
        <w:spacing w:before="140" w:after="80"/>
      </w:pPr>
      <w:r>
        <w:rPr>
          <w:rFonts w:ascii="Palatino Linotype" w:hAnsi="Palatino Linotype" w:eastAsia="Palatino Linotype"/>
          <w:b/>
          <w:i w:val="0"/>
          <w:sz w:val="20"/>
        </w:rPr>
        <w:t>2.3. Search, Matching, Efficiency and the Wage Rule</w:t>
      </w:r>
    </w:p>
    <w:p>
      <w:pPr>
        <w:spacing w:after="120"/>
        <w:jc w:val="both"/>
      </w:pPr>
      <w:r>
        <w:rPr>
          <w:rFonts w:ascii="Palatino Linotype" w:hAnsi="Palatino Linotype" w:eastAsia="Palatino Linotype"/>
          <w:b w:val="0"/>
          <w:i w:val="0"/>
          <w:sz w:val="20"/>
        </w:rPr>
        <w:t>The equilibrium environment is the Diamond–Mortensen–Pissarides framework [39–41], whose empirical matching function is well established [42] and whose efficiency properties are governed by the Hosios condition: the decentralised allocation is constrained-efficient when the worker’s bargaining power equals the elasticity of the matching function with respect to unemployment [43]. Extensions with on-the-job search change the bargaining problem materially [44–46]. A second strand is central to our incidence result: the volatility literature established that the response of employment to a productivity shock depends almost entirely on how much of the shock the wage absorbs [47–50]. We adopt the geometric real-rigidity rule of Blanchard and Galí [51], which nests flexible Nash bargaining and a fixed entry wage in a single parameter and, at the calibration point, is an identity—so the estimated economy is unaffected by the value that parameter takes, and only the responses differ. Our efficiency statement is more restrictive than the classical one: Hosios continues to decentralise vacancy creation but cannot, on its own, decentralise the training margin.</w:t>
      </w:r>
    </w:p>
    <w:p>
      <w:pPr>
        <w:keepNext/>
        <w:spacing w:before="140" w:after="80"/>
      </w:pPr>
      <w:r>
        <w:rPr>
          <w:rFonts w:ascii="Palatino Linotype" w:hAnsi="Palatino Linotype" w:eastAsia="Palatino Linotype"/>
          <w:b/>
          <w:i w:val="0"/>
          <w:sz w:val="20"/>
        </w:rPr>
        <w:t>2.4. Youth Labour Markets and the Chinese Setting</w:t>
      </w:r>
    </w:p>
    <w:p>
      <w:pPr>
        <w:spacing w:after="120"/>
        <w:jc w:val="both"/>
      </w:pPr>
      <w:r>
        <w:rPr>
          <w:rFonts w:ascii="Palatino Linotype" w:hAnsi="Palatino Linotype" w:eastAsia="Palatino Linotype"/>
          <w:b w:val="0"/>
          <w:i w:val="0"/>
          <w:sz w:val="20"/>
        </w:rPr>
        <w:t>China provides an unusually sharp test bed. Cohort size is large and rising, the surveyed youth unemployment rate is published monthly under a methodology that excludes students, mismatch and over-education are extensively documented, adoption of generative artificial intelligence by enterprises has been exceptionally fast, and provincial minimum wages bind for entry-level urban positions [9,52–56]. The international comparators matter too: youth transitions have deteriorated across many economies at once [57,58], and cross-country work links that deterioration to digitalisation [59–61]. The system-oriented literature has approached youth transition outcomes as emergent properties of interacting institutions rather than as the sum of individual choices [62–65], and recent work in this journal has examined how artificial intelligence reshapes organisational decision systems and career structures [66–69]. The present paper is complementary: it supplies the price-theoretic mechanism that determines whether the reproduction loop of the career ladder is operated at, above or below its socially efficient intensity, and it quantifies how a technology shock moves that intensity and who bears the cost.</w:t>
      </w:r>
    </w:p>
    <w:p>
      <w:pPr>
        <w:keepNext/>
        <w:spacing w:before="140" w:after="80"/>
      </w:pPr>
      <w:r>
        <w:rPr>
          <w:rFonts w:ascii="Palatino Linotype" w:hAnsi="Palatino Linotype" w:eastAsia="Palatino Linotype"/>
          <w:b/>
          <w:i w:val="0"/>
          <w:sz w:val="20"/>
        </w:rPr>
        <w:t>2.5. What This Paper Adds</w:t>
      </w:r>
    </w:p>
    <w:p>
      <w:pPr>
        <w:spacing w:after="120"/>
        <w:jc w:val="both"/>
      </w:pPr>
      <w:r>
        <w:rPr>
          <w:rFonts w:ascii="Palatino Linotype" w:hAnsi="Palatino Linotype" w:eastAsia="Palatino Linotype"/>
          <w:b w:val="0"/>
          <w:i w:val="0"/>
          <w:sz w:val="20"/>
        </w:rPr>
        <w:t>Three things are new. The first is the joint-product formalisation of the entry-level job, in which one technology shock hits the priced component and spares the under-priced one, together with the finding that the under-priced component is the robust one: the ladder narrows rather than breaks. The second is the efficiency characterisation—an exact statement of when the decentralised economy attains the constrained optimum, verified numerically to machine precision, with the residual wedge decomposed into a hold-up and a poaching component and quantified against an economy that is Hosios-efficient by construction. The third is that the incidence of the shock is shown to be an institutional rather than a technological fact, which reconciles the conflicting empirical findings in the literature and yields an instrument ranking with a marginal value of public funds attached to each instrument, before and after the shock, with the uncertainty quantified.</w:t>
      </w:r>
    </w:p>
    <w:p>
      <w:pPr>
        <w:keepNext/>
        <w:spacing w:before="200" w:after="80"/>
      </w:pPr>
      <w:r>
        <w:rPr>
          <w:rFonts w:ascii="Palatino Linotype" w:hAnsi="Palatino Linotype" w:eastAsia="Palatino Linotype"/>
          <w:b/>
          <w:i w:val="0"/>
          <w:sz w:val="24"/>
        </w:rPr>
        <w:t>3. A Two-Tier Model of the Job Ladder</w:t>
      </w:r>
    </w:p>
    <w:p>
      <w:pPr>
        <w:spacing w:after="120"/>
        <w:jc w:val="both"/>
      </w:pPr>
      <w:r>
        <w:rPr>
          <w:rFonts w:ascii="Palatino Linotype" w:hAnsi="Palatino Linotype" w:eastAsia="Palatino Linotype"/>
          <w:b w:val="0"/>
          <w:i w:val="0"/>
          <w:sz w:val="20"/>
        </w:rPr>
        <w:t xml:space="preserve">Time is continuous and agents are risk neutral and discount at rate </w:t>
      </w:r>
      <m:oMath>
        <m:r>
          <m:rPr/>
          <m:t>r</m:t>
        </m:r>
      </m:oMath>
      <w:r>
        <w:rPr>
          <w:rFonts w:ascii="Palatino Linotype" w:hAnsi="Palatino Linotype" w:eastAsia="Palatino Linotype"/>
          <w:b w:val="0"/>
          <w:i w:val="0"/>
          <w:sz w:val="20"/>
        </w:rPr>
        <w:t xml:space="preserve">. The labour force is normalised to one and is partitioned into four states: entry-level jobseekers </w:t>
      </w:r>
      <m:oMath>
        <m:sSub>
          <m:sSubPr/>
          <m:e>
            <m:r>
              <m:rPr/>
              <m:t>u</m:t>
            </m:r>
          </m:e>
          <m:sub>
            <m:r>
              <m:rPr/>
              <m:t>j</m:t>
            </m:r>
          </m:sub>
        </m:sSub>
      </m:oMath>
      <w:r>
        <w:rPr>
          <w:rFonts w:ascii="Palatino Linotype" w:hAnsi="Palatino Linotype" w:eastAsia="Palatino Linotype"/>
          <w:b w:val="0"/>
          <w:i w:val="0"/>
          <w:sz w:val="20"/>
        </w:rPr>
        <w:t xml:space="preserve">, entry-level employed </w:t>
      </w:r>
      <m:oMath>
        <m:sSub>
          <m:sSubPr/>
          <m:e>
            <m:r>
              <m:rPr/>
              <m:t>e</m:t>
            </m:r>
          </m:e>
          <m:sub>
            <m:r>
              <m:rPr/>
              <m:t>j</m:t>
            </m:r>
          </m:sub>
        </m:sSub>
      </m:oMath>
      <w:r>
        <w:rPr>
          <w:rFonts w:ascii="Palatino Linotype" w:hAnsi="Palatino Linotype" w:eastAsia="Palatino Linotype"/>
          <w:b w:val="0"/>
          <w:i w:val="0"/>
          <w:sz w:val="20"/>
        </w:rPr>
        <w:t xml:space="preserve">, experienced jobseekers </w:t>
      </w:r>
      <m:oMath>
        <m:sSub>
          <m:sSubPr/>
          <m:e>
            <m:r>
              <m:rPr/>
              <m:t>u</m:t>
            </m:r>
          </m:e>
          <m:sub>
            <m:r>
              <m:rPr/>
              <m:t>s</m:t>
            </m:r>
          </m:sub>
        </m:sSub>
      </m:oMath>
      <w:r>
        <w:rPr>
          <w:rFonts w:ascii="Palatino Linotype" w:hAnsi="Palatino Linotype" w:eastAsia="Palatino Linotype"/>
          <w:b w:val="0"/>
          <w:i w:val="0"/>
          <w:sz w:val="20"/>
        </w:rPr>
        <w:t xml:space="preserve"> and experienced employed </w:t>
      </w:r>
      <m:oMath>
        <m:sSub>
          <m:sSubPr/>
          <m:e>
            <m:r>
              <m:rPr/>
              <m:t>e</m:t>
            </m:r>
          </m:e>
          <m:sub>
            <m:r>
              <m:rPr/>
              <m:t>s</m:t>
            </m:r>
          </m:sub>
        </m:sSub>
      </m:oMath>
      <w:r>
        <w:rPr>
          <w:rFonts w:ascii="Palatino Linotype" w:hAnsi="Palatino Linotype" w:eastAsia="Palatino Linotype"/>
          <w:b w:val="0"/>
          <w:i w:val="0"/>
          <w:sz w:val="20"/>
        </w:rPr>
        <w:t xml:space="preserve">. Workers leave the labour force at rate </w:t>
      </w:r>
      <m:oMath>
        <m:r>
          <m:rPr/>
          <m:t>ω</m:t>
        </m:r>
      </m:oMath>
      <w:r>
        <w:rPr>
          <w:rFonts w:ascii="Palatino Linotype" w:hAnsi="Palatino Linotype" w:eastAsia="Palatino Linotype"/>
          <w:b w:val="0"/>
          <w:i w:val="0"/>
          <w:sz w:val="20"/>
        </w:rPr>
        <w:t xml:space="preserve"> and are replaced by an equal flow of entrants, who arrive as entry-level jobseekers. Figure 1 shows the structure.</w:t>
      </w:r>
    </w:p>
    <w:p>
      <w:pPr>
        <w:spacing w:after="40"/>
        <w:jc w:val="center"/>
      </w:pPr>
      <w:r>
        <w:drawing>
          <wp:inline distT="0" distB="0" distL="114300" distR="114300">
            <wp:extent cx="5486400" cy="5158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5486400" cy="5158364"/>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 xml:space="preserve">Structure of the model. Panel (a) shows the flows of workers across the four labour-market states; the promotion flow from entry-level to experienced employment is the only source of experienced workers in the economy. Panel (b) shows the technology: entry-level labour and artificial intelligence are substitutes inside the entry-level task bundle, whereas mentoring diverts experienced time away from production and is the sole input into the promotion hazard. Artificial intelligence therefore raises </w:t>
      </w:r>
      <m:oMath>
        <m:sSub>
          <m:sSubPr/>
          <m:e>
            <m:r>
              <m:rPr/>
              <m:t>X</m:t>
            </m:r>
          </m:e>
          <m:sub>
            <m:r>
              <m:rPr/>
              <m:t>j</m:t>
            </m:r>
          </m:sub>
        </m:sSub>
      </m:oMath>
      <w:r>
        <w:rPr>
          <w:rFonts w:ascii="Palatino Linotype" w:hAnsi="Palatino Linotype" w:eastAsia="Palatino Linotype"/>
          <w:b w:val="0"/>
          <w:i w:val="0"/>
          <w:sz w:val="17"/>
        </w:rPr>
        <w:t xml:space="preserve"> without raising </w:t>
      </w:r>
      <m:oMath>
        <m:r>
          <m:rPr/>
          <m:t>\pi</m:t>
        </m:r>
      </m:oMath>
      <w:r>
        <w:rPr>
          <w:rFonts w:ascii="Palatino Linotype" w:hAnsi="Palatino Linotype" w:eastAsia="Palatino Linotype"/>
          <w:b w:val="0"/>
          <w:i w:val="0"/>
          <w:sz w:val="17"/>
        </w:rPr>
        <w:t>.</w:t>
      </w:r>
    </w:p>
    <w:p>
      <w:pPr>
        <w:keepNext/>
        <w:spacing w:before="140" w:after="80"/>
      </w:pPr>
      <w:r>
        <w:rPr>
          <w:rFonts w:ascii="Palatino Linotype" w:hAnsi="Palatino Linotype" w:eastAsia="Palatino Linotype"/>
          <w:b/>
          <w:i w:val="0"/>
          <w:sz w:val="20"/>
        </w:rPr>
        <w:t>3.1. Matching and Flows</w:t>
      </w:r>
    </w:p>
    <w:p>
      <w:pPr>
        <w:spacing w:after="120"/>
        <w:jc w:val="both"/>
      </w:pPr>
      <w:r>
        <w:rPr>
          <w:rFonts w:ascii="Palatino Linotype" w:hAnsi="Palatino Linotype" w:eastAsia="Palatino Linotype"/>
          <w:b w:val="0"/>
          <w:i w:val="0"/>
          <w:sz w:val="20"/>
        </w:rPr>
        <w:t xml:space="preserve">Each tier has its own matching market. Meetings on tier </w:t>
      </w:r>
      <m:oMath>
        <m:r>
          <m:rPr/>
          <m:t xml:space="preserve">i \in \{j,s\}</m:t>
        </m:r>
      </m:oMath>
      <w:r>
        <w:rPr>
          <w:rFonts w:ascii="Palatino Linotype" w:hAnsi="Palatino Linotype" w:eastAsia="Palatino Linotype"/>
          <w:b w:val="0"/>
          <w:i w:val="0"/>
          <w:sz w:val="20"/>
        </w:rPr>
        <w:t xml:space="preserve"> are produced by a constant-returns Cobb–Douglas matching function, so flow rates depend only on market tightness [42]:</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M</m:t>
            </m:r>
          </m:e>
          <m:sub>
            <m:r>
              <m:rPr/>
              <m:t>i</m:t>
            </m:r>
          </m:sub>
        </m:sSub>
        <m:d>
          <m:dPr>
            <m:begChr m:val="("/>
            <m:endChr m:val=")"/>
          </m:dPr>
          <m:e>
            <m:sSub>
              <m:sSubPr/>
              <m:e>
                <m:r>
                  <m:rPr/>
                  <m:t>u</m:t>
                </m:r>
              </m:e>
              <m:sub>
                <m:r>
                  <m:rPr/>
                  <m:t>i</m:t>
                </m:r>
              </m:sub>
            </m:sSub>
            <m:r>
              <m:rPr/>
              <m:t xml:space="preserve">, </m:t>
            </m:r>
            <m:sSub>
              <m:sSubPr/>
              <m:e>
                <m:r>
                  <m:rPr/>
                  <m:t>v</m:t>
                </m:r>
              </m:e>
              <m:sub>
                <m:r>
                  <m:rPr/>
                  <m:t>i</m:t>
                </m:r>
              </m:sub>
            </m:sSub>
          </m:e>
        </m:d>
        <m:r>
          <m:rPr/>
          <m:t xml:space="preserve"> </m:t>
        </m:r>
        <m:r>
          <m:rPr>
            <m:sty m:val="p"/>
          </m:rPr>
          <m:t>=</m:t>
        </m:r>
        <m:r>
          <m:rPr/>
          <m:t xml:space="preserve"> </m:t>
        </m:r>
        <m:sSub>
          <m:sSubPr/>
          <m:e>
            <m:r>
              <m:rPr/>
              <m:t>μ</m:t>
            </m:r>
          </m:e>
          <m:sub>
            <m:r>
              <m:rPr/>
              <m:t>i</m:t>
            </m:r>
          </m:sub>
        </m:sSub>
        <m:r>
          <m:rPr/>
          <m:t xml:space="preserve"> </m:t>
        </m:r>
        <m:sSup>
          <m:sSupPr/>
          <m:e>
            <m:sSub>
              <m:sSubPr/>
              <m:e>
                <m:r>
                  <m:rPr/>
                  <m:t>u</m:t>
                </m:r>
              </m:e>
              <m:sub>
                <m:r>
                  <m:rPr/>
                  <m:t>i</m:t>
                </m:r>
              </m:sub>
            </m:sSub>
          </m:e>
          <m:sup>
            <m:r>
              <m:rPr/>
              <m:t>η</m:t>
            </m:r>
          </m:sup>
        </m:sSup>
        <m:r>
          <m:rPr/>
          <m:t xml:space="preserve"> </m:t>
        </m:r>
        <m:sSup>
          <m:sSupPr/>
          <m:e>
            <m:sSub>
              <m:sSubPr/>
              <m:e>
                <m:r>
                  <m:rPr/>
                  <m:t>v</m:t>
                </m:r>
              </m:e>
              <m:sub>
                <m:r>
                  <m:rPr/>
                  <m:t>i</m:t>
                </m:r>
              </m:sub>
            </m:sSub>
          </m:e>
          <m:sup>
            <m:r>
              <m:rPr/>
              <m:t>1</m:t>
            </m:r>
            <m:r>
              <m:rPr/>
              <m:t xml:space="preserve"> </m:t>
            </m:r>
            <m:r>
              <m:rPr>
                <m:sty m:val="p"/>
              </m:rPr>
              <m:t>−</m:t>
            </m:r>
            <m:r>
              <m:rPr/>
              <m:t xml:space="preserve"> </m:t>
            </m:r>
            <m:r>
              <m:rPr/>
              <m:t>η</m:t>
            </m:r>
          </m:sup>
        </m:sSup>
        <m:r>
          <m:rPr/>
          <m:t xml:space="preserve">, </m:t>
        </m:r>
        <m:r>
          <m:rPr/>
          <m:t xml:space="preserve"> </m:t>
        </m:r>
        <m:sSub>
          <m:sSubPr/>
          <m:e>
            <m:r>
              <m:rPr/>
              <m:t>θ</m:t>
            </m:r>
          </m:e>
          <m:sub>
            <m:r>
              <m:rPr/>
              <m:t>i</m:t>
            </m:r>
          </m:sub>
        </m:sSub>
        <m:r>
          <m:rPr/>
          <m:t xml:space="preserve"> </m:t>
        </m:r>
        <m:r>
          <m:rPr>
            <m:sty m:val="p"/>
          </m:rPr>
          <m:t>=</m:t>
        </m:r>
        <m:r>
          <m:rPr/>
          <m:t xml:space="preserve"> </m:t>
        </m:r>
        <m:f>
          <m:fPr/>
          <m:num>
            <m:sSub>
              <m:sSubPr/>
              <m:e>
                <m:r>
                  <m:rPr/>
                  <m:t>v</m:t>
                </m:r>
              </m:e>
              <m:sub>
                <m:r>
                  <m:rPr/>
                  <m:t>i</m:t>
                </m:r>
              </m:sub>
            </m:sSub>
          </m:num>
          <m:den>
            <m:sSub>
              <m:sSubPr/>
              <m:e>
                <m:r>
                  <m:rPr/>
                  <m:t>u</m:t>
                </m:r>
              </m:e>
              <m:sub>
                <m:r>
                  <m:rPr/>
                  <m:t>i</m:t>
                </m:r>
              </m:sub>
            </m:sSub>
          </m:den>
        </m:f>
        <m:r>
          <m:rPr/>
          <m:t xml:space="preserve">, </m:t>
        </m:r>
        <m:r>
          <m:rPr/>
          <m:t xml:space="preserve"> </m:t>
        </m:r>
        <m:r>
          <m:rPr/>
          <m:t>i</m:t>
        </m:r>
        <m:r>
          <m:rPr/>
          <m:t xml:space="preserve"> </m:t>
        </m:r>
        <m:r>
          <m:rPr>
            <m:sty m:val="p"/>
          </m:rPr>
          <m:t>∈</m:t>
        </m:r>
        <m:r>
          <m:rPr/>
          <m:t xml:space="preserve"> </m:t>
        </m:r>
        <m:d>
          <m:dPr>
            <m:begChr m:val="{"/>
            <m:endChr m:val="}"/>
          </m:dPr>
          <m:e>
            <m:r>
              <m:rPr/>
              <m:t>j</m:t>
            </m:r>
            <m:r>
              <m:rPr/>
              <m:t xml:space="preserve">, </m:t>
            </m:r>
            <m:r>
              <m:rPr/>
              <m:t>s</m:t>
            </m:r>
          </m:e>
        </m:d>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 xml:space="preserve">where </w:t>
      </w:r>
      <m:oMath>
        <m:r>
          <m:rPr/>
          <m:t>η</m:t>
        </m:r>
      </m:oMath>
      <w:r>
        <w:rPr>
          <w:rFonts w:ascii="Palatino Linotype" w:hAnsi="Palatino Linotype" w:eastAsia="Palatino Linotype"/>
          <w:b w:val="0"/>
          <w:i w:val="0"/>
          <w:sz w:val="20"/>
        </w:rPr>
        <w:t xml:space="preserve"> is the elasticity of matching with respect to unemployment. The job-finding and vacancy-filling rates follow:</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f</m:t>
            </m:r>
          </m:e>
          <m:sub>
            <m:r>
              <m:rPr/>
              <m:t>i</m:t>
            </m:r>
          </m:sub>
        </m:sSub>
        <m:r>
          <m:rPr/>
          <m:t xml:space="preserve"> </m:t>
        </m:r>
        <m:r>
          <m:rPr>
            <m:sty m:val="p"/>
          </m:rPr>
          <m:t>=</m:t>
        </m:r>
        <m:r>
          <m:rPr/>
          <m:t xml:space="preserve"> </m:t>
        </m:r>
        <m:sSub>
          <m:sSubPr/>
          <m:e>
            <m:r>
              <m:rPr/>
              <m:t>μ</m:t>
            </m:r>
          </m:e>
          <m:sub>
            <m:r>
              <m:rPr/>
              <m:t>i</m:t>
            </m:r>
          </m:sub>
        </m:sSub>
        <m:r>
          <m:rPr/>
          <m:t xml:space="preserve"> </m:t>
        </m:r>
        <m:sSup>
          <m:sSupPr/>
          <m:e>
            <m:sSub>
              <m:sSubPr/>
              <m:e>
                <m:r>
                  <m:rPr/>
                  <m:t>θ</m:t>
                </m:r>
              </m:e>
              <m:sub>
                <m:r>
                  <m:rPr/>
                  <m:t>i</m:t>
                </m:r>
              </m:sub>
            </m:sSub>
          </m:e>
          <m:sup>
            <m:r>
              <m:rPr/>
              <m:t>1</m:t>
            </m:r>
            <m:r>
              <m:rPr/>
              <m:t xml:space="preserve"> </m:t>
            </m:r>
            <m:r>
              <m:rPr>
                <m:sty m:val="p"/>
              </m:rPr>
              <m:t>−</m:t>
            </m:r>
            <m:r>
              <m:rPr/>
              <m:t xml:space="preserve"> </m:t>
            </m:r>
            <m:r>
              <m:rPr/>
              <m:t>η</m:t>
            </m:r>
          </m:sup>
        </m:sSup>
        <m:r>
          <m:rPr/>
          <m:t xml:space="preserve">, </m:t>
        </m:r>
        <m:r>
          <m:rPr/>
          <m:t xml:space="preserve"> </m:t>
        </m:r>
        <m:r>
          <m:rPr/>
          <m:t xml:space="preserve"> </m:t>
        </m:r>
        <m:sSub>
          <m:sSubPr/>
          <m:e>
            <m:r>
              <m:rPr/>
              <m:t>q</m:t>
            </m:r>
          </m:e>
          <m:sub>
            <m:r>
              <m:rPr/>
              <m:t>i</m:t>
            </m:r>
          </m:sub>
        </m:sSub>
        <m:r>
          <m:rPr/>
          <m:t xml:space="preserve"> </m:t>
        </m:r>
        <m:r>
          <m:rPr>
            <m:sty m:val="p"/>
          </m:rPr>
          <m:t>=</m:t>
        </m:r>
        <m:r>
          <m:rPr/>
          <m:t xml:space="preserve"> </m:t>
        </m:r>
        <m:sSub>
          <m:sSubPr/>
          <m:e>
            <m:r>
              <m:rPr/>
              <m:t>μ</m:t>
            </m:r>
          </m:e>
          <m:sub>
            <m:r>
              <m:rPr/>
              <m:t>i</m:t>
            </m:r>
          </m:sub>
        </m:sSub>
        <m:r>
          <m:rPr/>
          <m:t xml:space="preserve"> </m:t>
        </m:r>
        <m:sSup>
          <m:sSupPr/>
          <m:e>
            <m:sSub>
              <m:sSubPr/>
              <m:e>
                <m:r>
                  <m:rPr/>
                  <m:t>θ</m:t>
                </m:r>
              </m:e>
              <m:sub>
                <m:r>
                  <m:rPr/>
                  <m:t>i</m:t>
                </m:r>
              </m:sub>
            </m:sSub>
          </m:e>
          <m:sup>
            <m:r>
              <m:rPr/>
              <m:t xml:space="preserve"> </m:t>
            </m:r>
            <m:r>
              <m:rPr>
                <m:sty m:val="p"/>
              </m:rPr>
              <m:t>−</m:t>
            </m:r>
            <m:r>
              <m:rPr/>
              <m:t xml:space="preserve"> </m:t>
            </m:r>
            <m:r>
              <m:rPr/>
              <m:t>η</m:t>
            </m:r>
          </m:sup>
        </m:sSup>
        <m:r>
          <m:rPr/>
          <m:t xml:space="preserve">, </m:t>
        </m:r>
        <m:r>
          <m:rPr/>
          <m:t xml:space="preserve"> </m:t>
        </m:r>
        <m:r>
          <m:rPr/>
          <m:t xml:space="preserve"> </m:t>
        </m:r>
        <m:sSub>
          <m:sSubPr/>
          <m:e>
            <m:r>
              <m:rPr/>
              <m:t>f</m:t>
            </m:r>
          </m:e>
          <m:sub>
            <m:r>
              <m:rPr/>
              <m:t>i</m:t>
            </m:r>
          </m:sub>
        </m:sSub>
        <m:r>
          <m:rPr/>
          <m:t xml:space="preserve"> </m:t>
        </m:r>
        <m:r>
          <m:rPr>
            <m:sty m:val="p"/>
          </m:rPr>
          <m:t>=</m:t>
        </m:r>
        <m:r>
          <m:rPr/>
          <m:t xml:space="preserve"> </m:t>
        </m:r>
        <m:sSub>
          <m:sSubPr/>
          <m:e>
            <m:r>
              <m:rPr/>
              <m:t>θ</m:t>
            </m:r>
          </m:e>
          <m:sub>
            <m:r>
              <m:rPr/>
              <m:t>i</m:t>
            </m:r>
          </m:sub>
        </m:sSub>
        <m:r>
          <m:rPr/>
          <m:t xml:space="preserve"> </m:t>
        </m:r>
        <m:sSub>
          <m:sSubPr/>
          <m:e>
            <m:r>
              <m:rPr/>
              <m:t>q</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 xml:space="preserve">Entry-level matches dissolve at rate </w:t>
      </w:r>
      <m:oMath>
        <m:sSub>
          <m:sSubPr/>
          <m:e>
            <m:r>
              <m:rPr/>
              <m:t>δ</m:t>
            </m:r>
          </m:e>
          <m:sub>
            <m:r>
              <m:rPr/>
              <m:t>j</m:t>
            </m:r>
          </m:sub>
        </m:sSub>
      </m:oMath>
      <w:r>
        <w:rPr>
          <w:rFonts w:ascii="Palatino Linotype" w:hAnsi="Palatino Linotype" w:eastAsia="Palatino Linotype"/>
          <w:b w:val="0"/>
          <w:i w:val="0"/>
          <w:sz w:val="20"/>
        </w:rPr>
        <w:t xml:space="preserve"> and experienced matches at rate </w:t>
      </w:r>
      <m:oMath>
        <m:sSub>
          <m:sSubPr/>
          <m:e>
            <m:r>
              <m:rPr/>
              <m:t>δ</m:t>
            </m:r>
          </m:e>
          <m:sub>
            <m:r>
              <m:rPr/>
              <m:t>s</m:t>
            </m:r>
          </m:sub>
        </m:sSub>
      </m:oMath>
      <w:r>
        <w:rPr>
          <w:rFonts w:ascii="Palatino Linotype" w:hAnsi="Palatino Linotype" w:eastAsia="Palatino Linotype"/>
          <w:b w:val="0"/>
          <w:i w:val="0"/>
          <w:sz w:val="20"/>
        </w:rPr>
        <w:t xml:space="preserve">, with </w:t>
      </w:r>
      <m:oMath>
        <m:r>
          <m:rPr/>
          <m:t xml:space="preserve">δ_{j} &gt; δ_{s}</m:t>
        </m:r>
      </m:oMath>
      <w:r>
        <w:rPr>
          <w:rFonts w:ascii="Palatino Linotype" w:hAnsi="Palatino Linotype" w:eastAsia="Palatino Linotype"/>
          <w:b w:val="0"/>
          <w:i w:val="0"/>
          <w:sz w:val="20"/>
        </w:rPr>
        <w:t xml:space="preserve">. An entry-level employee is promoted at hazard </w:t>
      </w:r>
      <m:oMath>
        <m:r>
          <m:rPr/>
          <m:t>\pi</m:t>
        </m:r>
      </m:oMath>
      <w:r>
        <w:rPr>
          <w:rFonts w:ascii="Palatino Linotype" w:hAnsi="Palatino Linotype" w:eastAsia="Palatino Linotype"/>
          <w:b w:val="0"/>
          <w:i w:val="0"/>
          <w:sz w:val="20"/>
        </w:rPr>
        <w:t>, which is where the ladder is climbed. The four stocks evolve as</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sSub>
              <m:sSubPr/>
              <m:e>
                <m:r>
                  <m:rPr/>
                  <m:t>u</m:t>
                </m:r>
              </m:e>
              <m:sub>
                <m:r>
                  <m:rPr/>
                  <m:t>j</m:t>
                </m:r>
              </m:sub>
            </m:sSub>
          </m:e>
        </m:acc>
        <m:r>
          <m:rPr/>
          <m:t xml:space="preserve"> </m:t>
        </m:r>
        <m:r>
          <m:rPr>
            <m:sty m:val="p"/>
          </m:rPr>
          <m:t>=</m:t>
        </m:r>
        <m:r>
          <m:rPr/>
          <m:t xml:space="preserve"> </m:t>
        </m:r>
        <m:r>
          <m:rPr/>
          <m:t>ω</m:t>
        </m:r>
        <m:r>
          <m:rPr/>
          <m:t xml:space="preserve"> </m:t>
        </m:r>
        <m:r>
          <m:rPr>
            <m:sty m:val="p"/>
          </m:rPr>
          <m:t>+</m:t>
        </m:r>
        <m:r>
          <m:rPr/>
          <m:t xml:space="preserve"> </m:t>
        </m:r>
        <m:sSub>
          <m:sSubPr/>
          <m:e>
            <m:r>
              <m:rPr/>
              <m:t>δ</m:t>
            </m:r>
          </m:e>
          <m:sub>
            <m:r>
              <m:rPr/>
              <m:t>j</m:t>
            </m:r>
          </m:sub>
        </m:sSub>
        <m:r>
          <m:rPr/>
          <m:t xml:space="preserve"> </m:t>
        </m:r>
        <m:sSub>
          <m:sSubPr/>
          <m:e>
            <m:r>
              <m:rPr/>
              <m:t>e</m:t>
            </m:r>
          </m:e>
          <m:sub>
            <m:r>
              <m:rPr/>
              <m:t>j</m:t>
            </m:r>
          </m:sub>
        </m:sSub>
        <m:r>
          <m:rPr/>
          <m:t xml:space="preserve"> </m:t>
        </m:r>
        <m:r>
          <m:rPr>
            <m:sty m:val="p"/>
          </m:rPr>
          <m:t>−</m:t>
        </m:r>
        <m:r>
          <m:rPr/>
          <m:t xml:space="preserve"> </m:t>
        </m:r>
        <m:d>
          <m:dPr>
            <m:begChr m:val="("/>
            <m:endChr m:val=")"/>
          </m:dPr>
          <m:e>
            <m:sSub>
              <m:sSubPr/>
              <m:e>
                <m:r>
                  <m:rPr/>
                  <m:t>f</m:t>
                </m:r>
              </m:e>
              <m:sub>
                <m:r>
                  <m:rPr/>
                  <m:t>j</m:t>
                </m:r>
              </m:sub>
            </m:sSub>
            <m:r>
              <m:rPr/>
              <m:t xml:space="preserve"> </m:t>
            </m:r>
            <m:r>
              <m:rPr>
                <m:sty m:val="p"/>
              </m:rPr>
              <m:t>+</m:t>
            </m:r>
            <m:r>
              <m:rPr/>
              <m:t xml:space="preserve"> </m:t>
            </m:r>
            <m:r>
              <m:rPr/>
              <m:t>ω</m:t>
            </m:r>
          </m:e>
        </m:d>
        <m:sSub>
          <m:sSubPr/>
          <m:e>
            <m:r>
              <m:rPr/>
              <m:t>u</m:t>
            </m:r>
          </m:e>
          <m:sub>
            <m:r>
              <m:rPr/>
              <m:t>j</m:t>
            </m:r>
          </m:sub>
        </m:sSub>
        <m:r>
          <m:rPr/>
          <m:t xml:space="preserve">, </m:t>
        </m:r>
        <m:r>
          <m:rPr/>
          <m:t xml:space="preserve"> </m:t>
        </m:r>
        <m:r>
          <m:rPr/>
          <m:t xml:space="preserve"> </m:t>
        </m:r>
        <m:acc>
          <m:accPr>
            <m:chr m:val="̇"/>
          </m:accPr>
          <m:e>
            <m:sSub>
              <m:sSubPr/>
              <m:e>
                <m:r>
                  <m:rPr/>
                  <m:t>e</m:t>
                </m:r>
              </m:e>
              <m:sub>
                <m:r>
                  <m:rPr/>
                  <m:t>j</m:t>
                </m:r>
              </m:sub>
            </m:sSub>
          </m:e>
        </m:acc>
        <m:r>
          <m:rPr/>
          <m:t xml:space="preserve"> </m:t>
        </m:r>
        <m:r>
          <m:rPr>
            <m:sty m:val="p"/>
          </m:rPr>
          <m:t>=</m:t>
        </m:r>
        <m:r>
          <m:rPr/>
          <m:t xml:space="preserve"> </m:t>
        </m:r>
        <m:sSub>
          <m:sSubPr/>
          <m:e>
            <m:r>
              <m:rPr/>
              <m:t>f</m:t>
            </m:r>
          </m:e>
          <m:sub>
            <m:r>
              <m:rPr/>
              <m:t>j</m:t>
            </m:r>
          </m:sub>
        </m:sSub>
        <m:r>
          <m:rPr/>
          <m:t xml:space="preserve"> </m:t>
        </m:r>
        <m:sSub>
          <m:sSubPr/>
          <m:e>
            <m:r>
              <m:rPr/>
              <m:t>u</m:t>
            </m:r>
          </m:e>
          <m:sub>
            <m:r>
              <m:rPr/>
              <m:t>j</m:t>
            </m:r>
          </m:sub>
        </m:sSub>
        <m:r>
          <m:rPr/>
          <m:t xml:space="preserve"> </m:t>
        </m:r>
        <m:r>
          <m:rPr>
            <m:sty m:val="p"/>
          </m:rPr>
          <m:t>−</m:t>
        </m:r>
        <m:r>
          <m:rPr/>
          <m:t xml:space="preserve"> </m:t>
        </m:r>
        <m:d>
          <m:dPr>
            <m:begChr m:val="("/>
            <m:endChr m:val=")"/>
          </m:dPr>
          <m:e>
            <m:sSub>
              <m:sSubPr/>
              <m:e>
                <m:r>
                  <m:rPr/>
                  <m:t>δ</m:t>
                </m:r>
              </m:e>
              <m:sub>
                <m:r>
                  <m:rPr/>
                  <m:t>j</m:t>
                </m:r>
              </m:sub>
            </m:sSub>
            <m:r>
              <m:rPr/>
              <m:t xml:space="preserve"> </m:t>
            </m:r>
            <m:r>
              <m:rPr>
                <m:sty m:val="p"/>
              </m:rPr>
              <m:t>+</m:t>
            </m:r>
            <m:r>
              <m:rPr/>
              <m:t xml:space="preserve"> </m:t>
            </m:r>
            <m:r>
              <m:rPr/>
              <m:t>π</m:t>
            </m:r>
            <m:r>
              <m:rPr/>
              <m:t xml:space="preserve"> </m:t>
            </m:r>
            <m:r>
              <m:rPr>
                <m:sty m:val="p"/>
              </m:rPr>
              <m:t>+</m:t>
            </m:r>
            <m:r>
              <m:rPr/>
              <m:t xml:space="preserve"> </m:t>
            </m:r>
            <m:r>
              <m:rPr/>
              <m:t>ω</m:t>
            </m:r>
          </m:e>
        </m:d>
        <m:sSub>
          <m:sSubPr/>
          <m:e>
            <m:r>
              <m:rPr/>
              <m:t>e</m:t>
            </m:r>
          </m:e>
          <m:sub>
            <m:r>
              <m:rPr/>
              <m:t>j</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sSub>
              <m:sSubPr/>
              <m:e>
                <m:r>
                  <m:rPr/>
                  <m:t>u</m:t>
                </m:r>
              </m:e>
              <m:sub>
                <m:r>
                  <m:rPr/>
                  <m:t>s</m:t>
                </m:r>
              </m:sub>
            </m:sSub>
          </m:e>
        </m:acc>
        <m:r>
          <m:rPr/>
          <m:t xml:space="preserve"> </m:t>
        </m:r>
        <m:r>
          <m:rPr>
            <m:sty m:val="p"/>
          </m:rPr>
          <m:t>=</m:t>
        </m:r>
        <m:r>
          <m:rPr/>
          <m:t xml:space="preserve"> </m:t>
        </m:r>
        <m:sSub>
          <m:sSubPr/>
          <m:e>
            <m:r>
              <m:rPr/>
              <m:t>δ</m:t>
            </m:r>
          </m:e>
          <m:sub>
            <m:r>
              <m:rPr/>
              <m:t>s</m:t>
            </m:r>
          </m:sub>
        </m:sSub>
        <m:r>
          <m:rPr/>
          <m:t xml:space="preserve"> </m:t>
        </m:r>
        <m:sSub>
          <m:sSubPr/>
          <m:e>
            <m:r>
              <m:rPr/>
              <m:t>e</m:t>
            </m:r>
          </m:e>
          <m:sub>
            <m:r>
              <m:rPr/>
              <m:t>s</m:t>
            </m:r>
          </m:sub>
        </m:sSub>
        <m:r>
          <m:rPr/>
          <m:t xml:space="preserve"> </m:t>
        </m:r>
        <m:r>
          <m:rPr>
            <m:sty m:val="p"/>
          </m:rPr>
          <m:t>−</m:t>
        </m:r>
        <m:r>
          <m:rPr/>
          <m:t xml:space="preserve"> </m:t>
        </m:r>
        <m:d>
          <m:dPr>
            <m:begChr m:val="("/>
            <m:endChr m:val=")"/>
          </m:dPr>
          <m:e>
            <m:sSub>
              <m:sSubPr/>
              <m:e>
                <m:r>
                  <m:rPr/>
                  <m:t>f</m:t>
                </m:r>
              </m:e>
              <m:sub>
                <m:r>
                  <m:rPr/>
                  <m:t>s</m:t>
                </m:r>
              </m:sub>
            </m:sSub>
            <m:r>
              <m:rPr/>
              <m:t xml:space="preserve"> </m:t>
            </m:r>
            <m:r>
              <m:rPr>
                <m:sty m:val="p"/>
              </m:rPr>
              <m:t>+</m:t>
            </m:r>
            <m:r>
              <m:rPr/>
              <m:t xml:space="preserve"> </m:t>
            </m:r>
            <m:r>
              <m:rPr/>
              <m:t>ω</m:t>
            </m:r>
          </m:e>
        </m:d>
        <m:sSub>
          <m:sSubPr/>
          <m:e>
            <m:r>
              <m:rPr/>
              <m:t>u</m:t>
            </m:r>
          </m:e>
          <m:sub>
            <m:r>
              <m:rPr/>
              <m:t>s</m:t>
            </m:r>
          </m:sub>
        </m:sSub>
        <m:r>
          <m:rPr/>
          <m:t xml:space="preserve">, </m:t>
        </m:r>
        <m:r>
          <m:rPr/>
          <m:t xml:space="preserve"> </m:t>
        </m:r>
        <m:r>
          <m:rPr/>
          <m:t xml:space="preserve"> </m:t>
        </m:r>
        <m:acc>
          <m:accPr>
            <m:chr m:val="̇"/>
          </m:accPr>
          <m:e>
            <m:sSub>
              <m:sSubPr/>
              <m:e>
                <m:r>
                  <m:rPr/>
                  <m:t>e</m:t>
                </m:r>
              </m:e>
              <m:sub>
                <m:r>
                  <m:rPr/>
                  <m:t>s</m:t>
                </m:r>
              </m:sub>
            </m:sSub>
          </m:e>
        </m:acc>
        <m:r>
          <m:rPr/>
          <m:t xml:space="preserve"> </m:t>
        </m:r>
        <m:r>
          <m:rPr>
            <m:sty m:val="p"/>
          </m:rPr>
          <m:t>=</m:t>
        </m:r>
        <m:r>
          <m:rPr/>
          <m:t xml:space="preserve"> </m:t>
        </m:r>
        <m:r>
          <m:rPr/>
          <m:t>π</m:t>
        </m:r>
        <m:r>
          <m:rPr/>
          <m:t xml:space="preserve"> </m:t>
        </m:r>
        <m:sSub>
          <m:sSubPr/>
          <m:e>
            <m:r>
              <m:rPr/>
              <m:t>e</m:t>
            </m:r>
          </m:e>
          <m:sub>
            <m:r>
              <m:rPr/>
              <m:t>j</m:t>
            </m:r>
          </m:sub>
        </m:sSub>
        <m:r>
          <m:rPr/>
          <m:t xml:space="preserve"> </m:t>
        </m:r>
        <m:r>
          <m:rPr>
            <m:sty m:val="p"/>
          </m:rPr>
          <m:t>+</m:t>
        </m:r>
        <m:r>
          <m:rPr/>
          <m:t xml:space="preserve"> </m:t>
        </m:r>
        <m:sSub>
          <m:sSubPr/>
          <m:e>
            <m:r>
              <m:rPr/>
              <m:t>f</m:t>
            </m:r>
          </m:e>
          <m:sub>
            <m:r>
              <m:rPr/>
              <m:t>s</m:t>
            </m:r>
          </m:sub>
        </m:sSub>
        <m:r>
          <m:rPr/>
          <m:t xml:space="preserve"> </m:t>
        </m:r>
        <m:sSub>
          <m:sSubPr/>
          <m:e>
            <m:r>
              <m:rPr/>
              <m:t>u</m:t>
            </m:r>
          </m:e>
          <m:sub>
            <m:r>
              <m:rPr/>
              <m:t>s</m:t>
            </m:r>
          </m:sub>
        </m:sSub>
        <m:r>
          <m:rPr/>
          <m:t xml:space="preserve"> </m:t>
        </m:r>
        <m:r>
          <m:rPr>
            <m:sty m:val="p"/>
          </m:rPr>
          <m:t>−</m:t>
        </m:r>
        <m:r>
          <m:rPr/>
          <m:t xml:space="preserve"> </m:t>
        </m:r>
        <m:d>
          <m:dPr>
            <m:begChr m:val="("/>
            <m:endChr m:val=")"/>
          </m:dPr>
          <m:e>
            <m:sSub>
              <m:sSubPr/>
              <m:e>
                <m:r>
                  <m:rPr/>
                  <m:t>δ</m:t>
                </m:r>
              </m:e>
              <m:sub>
                <m:r>
                  <m:rPr/>
                  <m:t>s</m:t>
                </m:r>
              </m:sub>
            </m:sSub>
            <m:r>
              <m:rPr/>
              <m:t xml:space="preserve"> </m:t>
            </m:r>
            <m:r>
              <m:rPr>
                <m:sty m:val="p"/>
              </m:rPr>
              <m:t>+</m:t>
            </m:r>
            <m:r>
              <m:rPr/>
              <m:t xml:space="preserve"> </m:t>
            </m:r>
            <m:r>
              <m:rPr/>
              <m:t>ω</m:t>
            </m:r>
          </m:e>
        </m:d>
        <m:sSub>
          <m:sSubPr/>
          <m:e>
            <m:r>
              <m:rPr/>
              <m:t>e</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spacing w:after="120"/>
        <w:jc w:val="both"/>
      </w:pPr>
      <w:r>
        <w:rPr>
          <w:rFonts w:ascii="Palatino Linotype" w:hAnsi="Palatino Linotype" w:eastAsia="Palatino Linotype"/>
          <w:b w:val="0"/>
          <w:i w:val="0"/>
          <w:sz w:val="20"/>
        </w:rPr>
        <w:t xml:space="preserve">and sum to one. The promotion flow </w:t>
      </w:r>
      <m:oMath>
        <m:sSub>
          <m:sSubPr/>
          <m:e>
            <m:r>
              <m:rPr/>
              <m:t xml:space="preserve">\pi e</m:t>
            </m:r>
          </m:e>
          <m:sub>
            <m:r>
              <m:rPr/>
              <m:t>j</m:t>
            </m:r>
          </m:sub>
        </m:sSub>
      </m:oMath>
      <w:r>
        <w:rPr>
          <w:rFonts w:ascii="Palatino Linotype" w:hAnsi="Palatino Linotype" w:eastAsia="Palatino Linotype"/>
          <w:b w:val="0"/>
          <w:i w:val="0"/>
          <w:sz w:val="20"/>
        </w:rPr>
        <w:t xml:space="preserve"> is the only inflow into the experienced tier from outside it: an economy that stops promoting entrants stops producing experienced workers, with a delay equal to the average time to promotion. This is the reproduction loop that the rest of the paper is about. Because the entrant flow is exogenous and the labour force is fixed, the correct measure of entry-level access is the entry-level employment rate rather than the entry-level employment stock, and the correct measure of the ladder’s output is the promotion flow </w:t>
      </w:r>
      <m:oMath>
        <m:sSub>
          <m:sSubPr/>
          <m:e>
            <m:r>
              <m:rPr/>
              <m:t xml:space="preserve">\pi e</m:t>
            </m:r>
          </m:e>
          <m:sub>
            <m:r>
              <m:rPr/>
              <m:t>j</m:t>
            </m:r>
          </m:sub>
        </m:sSub>
      </m:oMath>
      <w:r>
        <w:rPr>
          <w:rFonts w:ascii="Palatino Linotype" w:hAnsi="Palatino Linotype" w:eastAsia="Palatino Linotype"/>
          <w:b w:val="0"/>
          <w:i w:val="0"/>
          <w:sz w:val="20"/>
        </w:rPr>
        <w:t>; we report both throughout.</w:t>
      </w:r>
    </w:p>
    <w:p>
      <w:pPr>
        <w:keepNext/>
        <w:spacing w:before="140" w:after="80"/>
      </w:pPr>
      <w:r>
        <w:rPr>
          <w:rFonts w:ascii="Palatino Linotype" w:hAnsi="Palatino Linotype" w:eastAsia="Palatino Linotype"/>
          <w:b/>
          <w:i w:val="0"/>
          <w:sz w:val="20"/>
        </w:rPr>
        <w:t>3.2. Mentoring and the Promotion Technology</w:t>
      </w:r>
    </w:p>
    <w:p>
      <w:pPr>
        <w:spacing w:after="120"/>
        <w:jc w:val="both"/>
      </w:pPr>
      <w:r>
        <w:rPr>
          <w:rFonts w:ascii="Palatino Linotype" w:hAnsi="Palatino Linotype" w:eastAsia="Palatino Linotype"/>
          <w:b w:val="0"/>
          <w:i w:val="0"/>
          <w:sz w:val="20"/>
        </w:rPr>
        <w:t xml:space="preserve">Promotion is produced, not received. Each entry-level employee absorbs </w:t>
      </w:r>
      <m:oMath>
        <m:r>
          <m:rPr/>
          <m:t>m</m:t>
        </m:r>
      </m:oMath>
      <w:r>
        <w:rPr>
          <w:rFonts w:ascii="Palatino Linotype" w:hAnsi="Palatino Linotype" w:eastAsia="Palatino Linotype"/>
          <w:b w:val="0"/>
          <w:i w:val="0"/>
          <w:sz w:val="20"/>
        </w:rPr>
        <w:t xml:space="preserve"> units of experienced worker time per unit of time, and the promotion hazard is increasing and concave in that intensity:</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π</m:t>
        </m:r>
        <m:d>
          <m:dPr>
            <m:begChr m:val="("/>
            <m:endChr m:val=")"/>
          </m:dPr>
          <m:e>
            <m:r>
              <m:rPr/>
              <m:t>m</m:t>
            </m:r>
          </m:e>
        </m:d>
        <m:r>
          <m:rPr/>
          <m:t xml:space="preserve"> </m:t>
        </m:r>
        <m:r>
          <m:rPr>
            <m:sty m:val="p"/>
          </m:rPr>
          <m:t>=</m:t>
        </m:r>
        <m:r>
          <m:rPr/>
          <m:t xml:space="preserve"> </m:t>
        </m:r>
        <m:bar>
          <m:barPr>
            <m:pos m:val="top"/>
          </m:barPr>
          <m:e>
            <m:r>
              <m:rPr/>
              <m:t>π</m:t>
            </m:r>
          </m:e>
        </m:bar>
        <m:r>
          <m:rPr/>
          <m:t xml:space="preserve"> </m:t>
        </m:r>
        <m:sSup>
          <m:sSupPr/>
          <m:e>
            <m:r>
              <m:rPr/>
              <m:t>m</m:t>
            </m:r>
          </m:e>
          <m:sup>
            <m:r>
              <m:rPr/>
              <m:t>ψ</m:t>
            </m:r>
          </m:sup>
        </m:sSup>
        <m:r>
          <m:rPr/>
          <m:t xml:space="preserve">, </m:t>
        </m:r>
        <m:r>
          <m:rPr/>
          <m:t xml:space="preserve"> </m:t>
        </m:r>
        <m:r>
          <m:rPr/>
          <m:t xml:space="preserve"> </m:t>
        </m:r>
        <m:r>
          <m:rPr/>
          <m:t>0</m:t>
        </m:r>
        <m:r>
          <m:rPr/>
          <m:t xml:space="preserve"> </m:t>
        </m:r>
        <m:r>
          <m:rPr>
            <m:sty m:val="p"/>
          </m:rPr>
          <m:t>&lt;</m:t>
        </m:r>
        <m:r>
          <m:rPr/>
          <m:t xml:space="preserve"> </m:t>
        </m:r>
        <m:r>
          <m:rPr/>
          <m:t>ψ</m:t>
        </m:r>
        <m:r>
          <m:rPr/>
          <m:t xml:space="preserve"> </m:t>
        </m:r>
        <m:r>
          <m:rPr>
            <m:sty m:val="p"/>
          </m:rPr>
          <m:t>&lt;</m:t>
        </m:r>
        <m:r>
          <m:rPr/>
          <m:t xml:space="preserve"> </m:t>
        </m:r>
        <m:r>
          <m:rPr/>
          <m:t>1</m:t>
        </m:r>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 xml:space="preserve">with </w:t>
      </w:r>
      <m:oMath>
        <m:r>
          <m:rPr/>
          <m:t xml:space="preserve">\psi &lt; 1</m:t>
        </m:r>
      </m:oMath>
      <w:r>
        <w:rPr>
          <w:rFonts w:ascii="Palatino Linotype" w:hAnsi="Palatino Linotype" w:eastAsia="Palatino Linotype"/>
          <w:b w:val="0"/>
          <w:i w:val="0"/>
          <w:sz w:val="20"/>
        </w:rPr>
        <w:t xml:space="preserve"> so that the marginal product of mentoring is diminishing. Mentoring is costly in the only currency that matters here: experienced time withdrawn from production. Because </w:t>
      </w:r>
      <m:oMath>
        <m:r>
          <m:rPr/>
          <m:t>m</m:t>
        </m:r>
      </m:oMath>
      <w:r>
        <w:rPr>
          <w:rFonts w:ascii="Palatino Linotype" w:hAnsi="Palatino Linotype" w:eastAsia="Palatino Linotype"/>
          <w:b w:val="0"/>
          <w:i w:val="0"/>
          <w:sz w:val="20"/>
        </w:rPr>
        <w:t xml:space="preserve"> is a flow chosen by the firm after the wage has been agreed, and because training intensity is not verifiable by a third party, the firm cannot commit to it and the worker cannot be made to pay for it through a lower wage. This is the hold-up friction of Acemoglu and Pischke [7,8]; Section 3.6 reports the contractible benchmark in which it is switched off.</w:t>
      </w:r>
    </w:p>
    <w:p>
      <w:pPr>
        <w:keepNext/>
        <w:spacing w:before="140" w:after="80"/>
      </w:pPr>
      <w:r>
        <w:rPr>
          <w:rFonts w:ascii="Palatino Linotype" w:hAnsi="Palatino Linotype" w:eastAsia="Palatino Linotype"/>
          <w:b/>
          <w:i w:val="0"/>
          <w:sz w:val="20"/>
        </w:rPr>
        <w:t>3.3. Technology: The Entry-Level Job as a Joint Product</w:t>
      </w:r>
    </w:p>
    <w:p>
      <w:pPr>
        <w:spacing w:after="120"/>
        <w:jc w:val="both"/>
      </w:pPr>
      <w:r>
        <w:rPr>
          <w:rFonts w:ascii="Palatino Linotype" w:hAnsi="Palatino Linotype" w:eastAsia="Palatino Linotype"/>
          <w:b w:val="0"/>
          <w:i w:val="0"/>
          <w:sz w:val="20"/>
        </w:rPr>
        <w:t xml:space="preserve">Output is produced from two task bundles. The entry-level bundle combines entry-level labour with artificial intelligence; one entry-level worker supplies </w:t>
      </w:r>
      <m:oMath>
        <m:sSub>
          <m:sSubPr/>
          <m:e>
            <m:r>
              <m:rPr/>
              <m:t>z</m:t>
            </m:r>
          </m:e>
          <m:sub>
            <m:r>
              <m:rPr/>
              <m:t>j</m:t>
            </m:r>
          </m:sub>
        </m:sSub>
      </m:oMath>
      <w:r>
        <w:rPr>
          <w:rFonts w:ascii="Palatino Linotype" w:hAnsi="Palatino Linotype" w:eastAsia="Palatino Linotype"/>
          <w:b w:val="0"/>
          <w:i w:val="0"/>
          <w:sz w:val="20"/>
        </w:rPr>
        <w:t xml:space="preserve"> efficiency units of entry-level task input and one efficiency unit of artificial intelligence supplies </w:t>
      </w:r>
      <m:oMath>
        <m:r>
          <m:rPr/>
          <m:t>\chi</m:t>
        </m:r>
      </m:oMath>
      <w:r>
        <w:rPr>
          <w:rFonts w:ascii="Palatino Linotype" w:hAnsi="Palatino Linotype" w:eastAsia="Palatino Linotype"/>
          <w:b w:val="0"/>
          <w:i w:val="0"/>
          <w:sz w:val="20"/>
        </w:rPr>
        <w:t xml:space="preserve">, so that </w:t>
      </w:r>
      <m:oMath>
        <m:sSub>
          <m:sSubPr/>
          <m:e>
            <m:r>
              <m:rPr/>
              <m:t>\chi/z</m:t>
            </m:r>
          </m:e>
          <m:sub>
            <m:r>
              <m:rPr/>
              <m:t>j</m:t>
            </m:r>
          </m:sub>
        </m:sSub>
      </m:oMath>
      <w:r>
        <w:rPr>
          <w:rFonts w:ascii="Palatino Linotype" w:hAnsi="Palatino Linotype" w:eastAsia="Palatino Linotype"/>
          <w:b w:val="0"/>
          <w:i w:val="0"/>
          <w:sz w:val="20"/>
        </w:rPr>
        <w:t xml:space="preserve"> is the number of entry-level workers displaced by one unit of artificial intelligence and is the natural measure of exposure. The experienced bundle is experienced labour net of the time it spends mentoring:</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X</m:t>
            </m:r>
          </m:e>
          <m:sub>
            <m:r>
              <m:rPr/>
              <m:t>j</m:t>
            </m:r>
          </m:sub>
        </m:sSub>
        <m:r>
          <m:rPr/>
          <m:t xml:space="preserve"> </m:t>
        </m:r>
        <m:r>
          <m:rPr>
            <m:sty m:val="p"/>
          </m:rPr>
          <m:t>=</m:t>
        </m:r>
        <m:r>
          <m:rPr/>
          <m:t xml:space="preserve"> </m:t>
        </m:r>
        <m:sSub>
          <m:sSubPr/>
          <m:e>
            <m:r>
              <m:rPr/>
              <m:t>e</m:t>
            </m:r>
          </m:e>
          <m:sub>
            <m:r>
              <m:rPr/>
              <m:t>j</m:t>
            </m:r>
          </m:sub>
        </m:sSub>
        <m:r>
          <m:rPr/>
          <m:t xml:space="preserve"> </m:t>
        </m:r>
        <m:r>
          <m:rPr>
            <m:sty m:val="p"/>
          </m:rPr>
          <m:t>+</m:t>
        </m:r>
        <m:r>
          <m:rPr/>
          <m:t xml:space="preserve"> </m:t>
        </m:r>
        <m:r>
          <m:rPr/>
          <m:t>χ</m:t>
        </m:r>
        <m:r>
          <m:rPr/>
          <m:t>A</m:t>
        </m:r>
        <m:r>
          <m:rPr/>
          <m:t xml:space="preserve">, </m:t>
        </m:r>
        <m:r>
          <m:rPr/>
          <m:t xml:space="preserve"> </m:t>
        </m:r>
        <m:r>
          <m:rPr/>
          <m:t xml:space="preserve"> </m:t>
        </m:r>
        <m:sSub>
          <m:sSubPr/>
          <m:e>
            <m:r>
              <m:rPr/>
              <m:t>X</m:t>
            </m:r>
          </m:e>
          <m:sub>
            <m:r>
              <m:rPr/>
              <m:t>s</m:t>
            </m:r>
          </m:sub>
        </m:sSub>
        <m:r>
          <m:rPr/>
          <m:t xml:space="preserve"> </m:t>
        </m:r>
        <m:r>
          <m:rPr>
            <m:sty m:val="p"/>
          </m:rPr>
          <m:t>=</m:t>
        </m:r>
        <m:r>
          <m:rPr/>
          <m:t xml:space="preserve"> </m:t>
        </m:r>
        <m:sSub>
          <m:sSubPr/>
          <m:e>
            <m:r>
              <m:rPr/>
              <m:t>e</m:t>
            </m:r>
          </m:e>
          <m:sub>
            <m:r>
              <m:rPr/>
              <m:t>s</m:t>
            </m:r>
          </m:sub>
        </m:sSub>
        <m:r>
          <m:rPr/>
          <m:t xml:space="preserve"> </m:t>
        </m:r>
        <m:r>
          <m:rPr>
            <m:sty m:val="p"/>
          </m:rPr>
          <m:t>−</m:t>
        </m:r>
        <m:r>
          <m:rPr/>
          <m:t xml:space="preserve"> </m:t>
        </m:r>
        <m:r>
          <m:rPr/>
          <m:t>m</m:t>
        </m:r>
        <m:r>
          <m:rPr/>
          <m:t xml:space="preserve"> </m:t>
        </m:r>
        <m:sSub>
          <m:sSubPr/>
          <m:e>
            <m:r>
              <m:rPr/>
              <m:t>e</m:t>
            </m:r>
          </m:e>
          <m:sub>
            <m:r>
              <m:rPr/>
              <m:t>j</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spacing w:after="120"/>
        <w:jc w:val="both"/>
      </w:pPr>
      <w:r>
        <w:rPr>
          <w:rFonts w:ascii="Palatino Linotype" w:hAnsi="Palatino Linotype" w:eastAsia="Palatino Linotype"/>
          <w:b w:val="0"/>
          <w:i w:val="0"/>
          <w:sz w:val="20"/>
        </w:rPr>
        <w:t xml:space="preserve">The two bundles combine in a constant-elasticity-of-substitution aggregate with substitution parameter </w:t>
      </w:r>
      <m:oMath>
        <m:r>
          <m:rPr/>
          <m:t>\rho</m:t>
        </m:r>
      </m:oMath>
      <w:r>
        <w:rPr>
          <w:rFonts w:ascii="Palatino Linotype" w:hAnsi="Palatino Linotype" w:eastAsia="Palatino Linotype"/>
          <w:b w:val="0"/>
          <w:i w:val="0"/>
          <w:sz w:val="20"/>
        </w:rPr>
        <w:t xml:space="preserve">, hence elasticity of substitution </w:t>
      </w:r>
      <m:oMath>
        <m:r>
          <m:rPr/>
          <m:t xml:space="preserve">\sigma = 1/(1-\rho)</m:t>
        </m:r>
      </m:oMath>
      <w:r>
        <w:rPr>
          <w:rFonts w:ascii="Palatino Linotype" w:hAnsi="Palatino Linotype" w:eastAsia="Palatino Linotype"/>
          <w:b w:val="0"/>
          <w:i w:val="0"/>
          <w:sz w:val="20"/>
        </w:rPr>
        <w:t xml:space="preserve">. The bundle enters output with elasticity </w:t>
      </w:r>
      <m:oMath>
        <m:r>
          <m:rPr/>
          <m:t xml:space="preserve">s &lt; 1</m:t>
        </m:r>
      </m:oMath>
      <w:r>
        <w:rPr>
          <w:rFonts w:ascii="Palatino Linotype" w:hAnsi="Palatino Linotype" w:eastAsia="Palatino Linotype"/>
          <w:b w:val="0"/>
          <w:i w:val="0"/>
          <w:sz w:val="20"/>
        </w:rPr>
        <w:t>; the residual share accrues to a fixed factor—physical, organisational and land capital—that is not modelled explicitly. This is the standard span-of-control device and is what allows the model to reproduce an aggregate labour share below unity:</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Y</m:t>
        </m:r>
        <m:r>
          <m:rPr/>
          <m:t xml:space="preserve"> </m:t>
        </m:r>
        <m:r>
          <m:rPr>
            <m:sty m:val="p"/>
          </m:rPr>
          <m:t>=</m:t>
        </m:r>
        <m:r>
          <m:rPr/>
          <m:t xml:space="preserve"> </m:t>
        </m:r>
        <m:r>
          <m:rPr/>
          <m:t>Z</m:t>
        </m:r>
        <m:r>
          <m:rPr/>
          <m:t xml:space="preserve"> </m:t>
        </m:r>
        <m:sSup>
          <m:sSupPr/>
          <m:e>
            <m:d>
              <m:dPr>
                <m:begChr m:val="["/>
                <m:endChr m:val="]"/>
              </m:dPr>
              <m:e>
                <m:r>
                  <m:rPr/>
                  <m:t>α</m:t>
                </m:r>
                <m:r>
                  <m:rPr/>
                  <m:t xml:space="preserve"> </m:t>
                </m:r>
                <m:sSup>
                  <m:sSupPr/>
                  <m:e>
                    <m:sSub>
                      <m:sSubPr/>
                      <m:e>
                        <m:r>
                          <m:rPr/>
                          <m:t>X</m:t>
                        </m:r>
                      </m:e>
                      <m:sub>
                        <m:r>
                          <m:rPr/>
                          <m:t>j</m:t>
                        </m:r>
                      </m:sub>
                    </m:sSub>
                  </m:e>
                  <m:sup>
                    <m:r>
                      <m:rPr/>
                      <m:t>ρ</m:t>
                    </m:r>
                  </m:sup>
                </m:sSup>
                <m:r>
                  <m:rPr/>
                  <m:t xml:space="preserve"> </m:t>
                </m:r>
                <m:r>
                  <m:rPr>
                    <m:sty m:val="p"/>
                  </m:rPr>
                  <m:t>+</m:t>
                </m:r>
                <m:r>
                  <m:rPr/>
                  <m:t xml:space="preserve"> </m:t>
                </m:r>
                <m:d>
                  <m:dPr>
                    <m:begChr m:val="("/>
                    <m:endChr m:val=")"/>
                  </m:dPr>
                  <m:e>
                    <m:r>
                      <m:rPr/>
                      <m:t>1</m:t>
                    </m:r>
                    <m:r>
                      <m:rPr/>
                      <m:t xml:space="preserve"> </m:t>
                    </m:r>
                    <m:r>
                      <m:rPr>
                        <m:sty m:val="p"/>
                      </m:rPr>
                      <m:t>−</m:t>
                    </m:r>
                    <m:r>
                      <m:rPr/>
                      <m:t xml:space="preserve"> </m:t>
                    </m:r>
                    <m:r>
                      <m:rPr/>
                      <m:t>α</m:t>
                    </m:r>
                  </m:e>
                </m:d>
                <m:sSup>
                  <m:sSupPr/>
                  <m:e>
                    <m:sSub>
                      <m:sSubPr/>
                      <m:e>
                        <m:r>
                          <m:rPr/>
                          <m:t>X</m:t>
                        </m:r>
                      </m:e>
                      <m:sub>
                        <m:r>
                          <m:rPr/>
                          <m:t>s</m:t>
                        </m:r>
                      </m:sub>
                    </m:sSub>
                  </m:e>
                  <m:sup>
                    <m:r>
                      <m:rPr/>
                      <m:t>ρ</m:t>
                    </m:r>
                  </m:sup>
                </m:sSup>
              </m:e>
            </m:d>
          </m:e>
          <m:sup>
            <m:f>
              <m:fPr/>
              <m:num>
                <m:r>
                  <m:rPr/>
                  <m:t>s</m:t>
                </m:r>
              </m:num>
              <m:den>
                <m:r>
                  <m:rPr/>
                  <m:t>ρ</m:t>
                </m:r>
              </m:den>
            </m:f>
          </m:sup>
        </m:sSup>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spacing w:after="120"/>
        <w:jc w:val="both"/>
      </w:pPr>
      <w:r>
        <w:rPr>
          <w:rFonts w:ascii="Palatino Linotype" w:hAnsi="Palatino Linotype" w:eastAsia="Palatino Linotype"/>
          <w:b w:val="0"/>
          <w:i w:val="0"/>
          <w:sz w:val="20"/>
        </w:rPr>
        <w:t>with marginal products</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F</m:t>
            </m:r>
          </m:e>
          <m:sub>
            <m:r>
              <m:rPr/>
              <m:t>j</m:t>
            </m:r>
          </m:sub>
        </m:sSub>
        <m:r>
          <m:rPr/>
          <m:t xml:space="preserve"> </m:t>
        </m:r>
        <m:r>
          <m:rPr>
            <m:sty m:val="p"/>
          </m:rPr>
          <m:t>=</m:t>
        </m:r>
        <m:r>
          <m:rPr/>
          <m:t xml:space="preserve"> </m:t>
        </m:r>
        <m:f>
          <m:fPr/>
          <m:num>
            <m:r>
              <m:rPr/>
              <m:t>∂Y</m:t>
            </m:r>
          </m:num>
          <m:den>
            <m:r>
              <m:rPr/>
              <m:t>∂</m:t>
            </m:r>
            <m:sSub>
              <m:sSubPr/>
              <m:e>
                <m:r>
                  <m:rPr/>
                  <m:t>X</m:t>
                </m:r>
              </m:e>
              <m:sub>
                <m:r>
                  <m:rPr/>
                  <m:t>j</m:t>
                </m:r>
              </m:sub>
            </m:sSub>
          </m:den>
        </m:f>
        <m:r>
          <m:rPr/>
          <m:t xml:space="preserve">, </m:t>
        </m:r>
        <m:r>
          <m:rPr/>
          <m:t xml:space="preserve"> </m:t>
        </m:r>
        <m:r>
          <m:rPr/>
          <m:t xml:space="preserve"> </m:t>
        </m:r>
        <m:sSub>
          <m:sSubPr/>
          <m:e>
            <m:r>
              <m:rPr/>
              <m:t>F</m:t>
            </m:r>
          </m:e>
          <m:sub>
            <m:r>
              <m:rPr/>
              <m:t>s</m:t>
            </m:r>
          </m:sub>
        </m:sSub>
        <m:r>
          <m:rPr/>
          <m:t xml:space="preserve"> </m:t>
        </m:r>
        <m:r>
          <m:rPr>
            <m:sty m:val="p"/>
          </m:rPr>
          <m:t>=</m:t>
        </m:r>
        <m:r>
          <m:rPr/>
          <m:t xml:space="preserve"> </m:t>
        </m:r>
        <m:f>
          <m:fPr/>
          <m:num>
            <m:r>
              <m:rPr/>
              <m:t>∂Y</m:t>
            </m:r>
          </m:num>
          <m:den>
            <m:r>
              <m:rPr/>
              <m:t>∂</m:t>
            </m:r>
            <m:sSub>
              <m:sSubPr/>
              <m:e>
                <m:r>
                  <m:rPr/>
                  <m:t>X</m:t>
                </m:r>
              </m:e>
              <m:sub>
                <m:r>
                  <m:rPr/>
                  <m:t>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spacing w:after="120"/>
        <w:jc w:val="both"/>
      </w:pPr>
      <w:r>
        <w:rPr>
          <w:rFonts w:ascii="Palatino Linotype" w:hAnsi="Palatino Linotype" w:eastAsia="Palatino Linotype"/>
          <w:b w:val="0"/>
          <w:i w:val="0"/>
          <w:sz w:val="20"/>
        </w:rPr>
        <w:t xml:space="preserve">Artificial intelligence is a rented input available at price </w:t>
      </w:r>
      <m:oMath>
        <m:sSub>
          <m:sSubPr/>
          <m:e>
            <m:r>
              <m:rPr/>
              <m:t>p</m:t>
            </m:r>
          </m:e>
          <m:sub>
            <m:r>
              <m:rPr/>
              <m:t>a</m:t>
            </m:r>
          </m:sub>
        </m:sSub>
      </m:oMath>
      <w:r>
        <w:rPr>
          <w:rFonts w:ascii="Palatino Linotype" w:hAnsi="Palatino Linotype" w:eastAsia="Palatino Linotype"/>
          <w:b w:val="0"/>
          <w:i w:val="0"/>
          <w:sz w:val="20"/>
        </w:rPr>
        <w:t xml:space="preserve"> per efficiency unit, taxed at rate </w:t>
      </w:r>
      <m:oMath>
        <m:sSub>
          <m:sSubPr/>
          <m:e>
            <m:r>
              <m:rPr/>
              <m:t>t</m:t>
            </m:r>
          </m:e>
          <m:sub>
            <m:r>
              <m:rPr/>
              <m:t>a</m:t>
            </m:r>
          </m:sub>
        </m:sSub>
      </m:oMath>
      <w:r>
        <w:rPr>
          <w:rFonts w:ascii="Palatino Linotype" w:hAnsi="Palatino Linotype" w:eastAsia="Palatino Linotype"/>
          <w:b w:val="0"/>
          <w:i w:val="0"/>
          <w:sz w:val="20"/>
        </w:rPr>
        <w:t>. Firms hire it until its marginal product equals its price:</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χ</m:t>
        </m:r>
        <m:r>
          <m:rPr/>
          <m:t xml:space="preserve"> </m:t>
        </m:r>
        <m:sSub>
          <m:sSubPr/>
          <m:e>
            <m:r>
              <m:rPr/>
              <m:t>F</m:t>
            </m:r>
          </m:e>
          <m:sub>
            <m:r>
              <m:rPr/>
              <m:t>j</m:t>
            </m:r>
          </m:sub>
        </m:sSub>
        <m:r>
          <m:rPr/>
          <m:t xml:space="preserve"> </m:t>
        </m:r>
        <m:r>
          <m:rPr>
            <m:sty m:val="p"/>
          </m:rPr>
          <m:t>=</m:t>
        </m:r>
        <m:r>
          <m:rPr/>
          <m:t xml:space="preserve"> </m:t>
        </m:r>
        <m:sSub>
          <m:sSubPr/>
          <m:e>
            <m:r>
              <m:rPr/>
              <m:t>p</m:t>
            </m:r>
          </m:e>
          <m:sub>
            <m:r>
              <m:rPr/>
              <m:t>a</m:t>
            </m:r>
          </m:sub>
        </m:sSub>
        <m:d>
          <m:dPr>
            <m:begChr m:val="("/>
            <m:endChr m:val=")"/>
          </m:dPr>
          <m:e>
            <m:r>
              <m:rPr/>
              <m:t>1</m:t>
            </m:r>
            <m:r>
              <m:rPr/>
              <m:t xml:space="preserve"> </m:t>
            </m:r>
            <m:r>
              <m:rPr>
                <m:sty m:val="p"/>
              </m:rPr>
              <m:t>+</m:t>
            </m:r>
            <m:r>
              <m:rPr/>
              <m:t xml:space="preserve"> </m:t>
            </m:r>
            <m:sSub>
              <m:sSubPr/>
              <m:e>
                <m:r>
                  <m:rPr/>
                  <m:t>t</m:t>
                </m:r>
              </m:e>
              <m:sub>
                <m:r>
                  <m:rPr/>
                  <m:t>a</m:t>
                </m:r>
              </m:sub>
            </m:sSub>
          </m:e>
        </m:d>
      </m:oMath>
      <w:r>
        <w:rPr>
          <w:rFonts w:ascii="Palatino Linotype" w:hAnsi="Palatino Linotype" w:eastAsia="Palatino Linotype"/>
          <w:b w:val="0"/>
          <w:i w:val="0"/>
          <w:sz w:val="20"/>
        </w:rPr>
        <w:tab/>
      </w:r>
      <w:r>
        <w:rPr>
          <w:rFonts w:ascii="Palatino Linotype" w:hAnsi="Palatino Linotype" w:eastAsia="Palatino Linotype"/>
          <w:b w:val="0"/>
          <w:i w:val="0"/>
          <w:sz w:val="20"/>
        </w:rPr>
        <w:t>(9)</w:t>
      </w:r>
    </w:p>
    <w:p>
      <w:pPr>
        <w:spacing w:after="120"/>
        <w:jc w:val="both"/>
      </w:pPr>
      <w:r>
        <w:rPr>
          <w:rFonts w:ascii="Palatino Linotype" w:hAnsi="Palatino Linotype" w:eastAsia="Palatino Linotype"/>
          <w:b w:val="0"/>
          <w:i w:val="0"/>
          <w:sz w:val="20"/>
        </w:rPr>
        <w:t xml:space="preserve">Two features of this technology carry the argument. First, artificial intelligence enters </w:t>
      </w:r>
      <m:oMath>
        <m:sSub>
          <m:sSubPr/>
          <m:e>
            <m:r>
              <m:rPr/>
              <m:t>X</m:t>
            </m:r>
          </m:e>
          <m:sub>
            <m:r>
              <m:rPr/>
              <m:t>j</m:t>
            </m:r>
          </m:sub>
        </m:sSub>
      </m:oMath>
      <w:r>
        <w:rPr>
          <w:rFonts w:ascii="Palatino Linotype" w:hAnsi="Palatino Linotype" w:eastAsia="Palatino Linotype"/>
          <w:b w:val="0"/>
          <w:i w:val="0"/>
          <w:sz w:val="20"/>
        </w:rPr>
        <w:t xml:space="preserve"> and not </w:t>
      </w:r>
      <m:oMath>
        <m:sSub>
          <m:sSubPr/>
          <m:e>
            <m:r>
              <m:rPr/>
              <m:t>X</m:t>
            </m:r>
          </m:e>
          <m:sub>
            <m:r>
              <m:rPr/>
              <m:t>s</m:t>
            </m:r>
          </m:sub>
        </m:sSub>
      </m:oMath>
      <w:r>
        <w:rPr>
          <w:rFonts w:ascii="Palatino Linotype" w:hAnsi="Palatino Linotype" w:eastAsia="Palatino Linotype"/>
          <w:b w:val="0"/>
          <w:i w:val="0"/>
          <w:sz w:val="20"/>
        </w:rPr>
        <w:t xml:space="preserve">: it does the junior job, not the senior one. Second, and more important, it does not enter </w:t>
      </w:r>
      <m:oMath>
        <m:r>
          <m:rPr/>
          <m:t>\pi</m:t>
        </m:r>
      </m:oMath>
      <w:r>
        <w:rPr>
          <w:rFonts w:ascii="Palatino Linotype" w:hAnsi="Palatino Linotype" w:eastAsia="Palatino Linotype"/>
          <w:b w:val="0"/>
          <w:i w:val="0"/>
          <w:sz w:val="20"/>
        </w:rPr>
        <w:t xml:space="preserve"> at all. Hiring an entry-level worker therefore delivers a joint product—current task output plus an option on an experienced worker—and the technology shock reduces the first component while leaving the second intact. Because the market prices these two components very differently, a shock that would be neutral in a one-component world is not neutral here. Which way it is not neutral is a quantitative question and the answer, reported in Section 5, is not the one we expected.</w:t>
      </w:r>
    </w:p>
    <w:p>
      <w:pPr>
        <w:keepNext/>
        <w:spacing w:before="140" w:after="80"/>
      </w:pPr>
      <w:r>
        <w:rPr>
          <w:rFonts w:ascii="Palatino Linotype" w:hAnsi="Palatino Linotype" w:eastAsia="Palatino Linotype"/>
          <w:b/>
          <w:i w:val="0"/>
          <w:sz w:val="20"/>
        </w:rPr>
        <w:t>3.4. Values, Wage Determination and Real Rigidity</w:t>
      </w:r>
    </w:p>
    <w:p>
      <w:pPr>
        <w:spacing w:after="120"/>
        <w:jc w:val="both"/>
      </w:pPr>
      <w:r>
        <w:rPr>
          <w:rFonts w:ascii="Palatino Linotype" w:hAnsi="Palatino Linotype" w:eastAsia="Palatino Linotype"/>
          <w:b w:val="0"/>
          <w:i w:val="0"/>
          <w:sz w:val="20"/>
        </w:rPr>
        <w:t xml:space="preserve">Let </w:t>
      </w:r>
      <m:oMath>
        <m:sSub>
          <m:sSubPr/>
          <m:e>
            <m:r>
              <m:rPr/>
              <m:t>J</m:t>
            </m:r>
          </m:e>
          <m:sub>
            <m:r>
              <m:rPr/>
              <m:t>i</m:t>
            </m:r>
          </m:sub>
        </m:sSub>
      </m:oMath>
      <w:r>
        <w:rPr>
          <w:rFonts w:ascii="Palatino Linotype" w:hAnsi="Palatino Linotype" w:eastAsia="Palatino Linotype"/>
          <w:b w:val="0"/>
          <w:i w:val="0"/>
          <w:sz w:val="20"/>
        </w:rPr>
        <w:t xml:space="preserve"> denote the value to the firm of a filled job on tier </w:t>
      </w:r>
      <m:oMath>
        <m:r>
          <m:rPr/>
          <m:t>i</m:t>
        </m:r>
      </m:oMath>
      <w:r>
        <w:rPr>
          <w:rFonts w:ascii="Palatino Linotype" w:hAnsi="Palatino Linotype" w:eastAsia="Palatino Linotype"/>
          <w:b w:val="0"/>
          <w:i w:val="0"/>
          <w:sz w:val="20"/>
        </w:rPr>
        <w:t xml:space="preserve">, </w:t>
      </w:r>
      <m:oMath>
        <m:sSub>
          <m:sSubPr/>
          <m:e>
            <m:r>
              <m:rPr/>
              <m:t>W</m:t>
            </m:r>
          </m:e>
          <m:sub>
            <m:r>
              <m:rPr/>
              <m:t>i</m:t>
            </m:r>
          </m:sub>
        </m:sSub>
      </m:oMath>
      <w:r>
        <w:rPr>
          <w:rFonts w:ascii="Palatino Linotype" w:hAnsi="Palatino Linotype" w:eastAsia="Palatino Linotype"/>
          <w:b w:val="0"/>
          <w:i w:val="0"/>
          <w:sz w:val="20"/>
        </w:rPr>
        <w:t xml:space="preserve"> the value to the worker of holding it and </w:t>
      </w:r>
      <m:oMath>
        <m:sSub>
          <m:sSubPr/>
          <m:e>
            <m:r>
              <m:rPr/>
              <m:t>U</m:t>
            </m:r>
          </m:e>
          <m:sub>
            <m:r>
              <m:rPr/>
              <m:t>i</m:t>
            </m:r>
          </m:sub>
        </m:sSub>
      </m:oMath>
      <w:r>
        <w:rPr>
          <w:rFonts w:ascii="Palatino Linotype" w:hAnsi="Palatino Linotype" w:eastAsia="Palatino Linotype"/>
          <w:b w:val="0"/>
          <w:i w:val="0"/>
          <w:sz w:val="20"/>
        </w:rPr>
        <w:t xml:space="preserve"> the value of searching on that tier. Experienced matches are lost to separation at rate </w:t>
      </w:r>
      <m:oMath>
        <m:sSub>
          <m:sSubPr/>
          <m:e>
            <m:r>
              <m:rPr/>
              <m:t>δ</m:t>
            </m:r>
          </m:e>
          <m:sub>
            <m:r>
              <m:rPr/>
              <m:t>s</m:t>
            </m:r>
          </m:sub>
        </m:sSub>
      </m:oMath>
      <w:r>
        <w:rPr>
          <w:rFonts w:ascii="Palatino Linotype" w:hAnsi="Palatino Linotype" w:eastAsia="Palatino Linotype"/>
          <w:b w:val="0"/>
          <w:i w:val="0"/>
          <w:sz w:val="20"/>
        </w:rPr>
        <w:t xml:space="preserve"> and to rival firms at the poaching rate </w:t>
      </w:r>
      <m:oMath>
        <m:r>
          <m:rPr/>
          <m:t>φ</m:t>
        </m:r>
      </m:oMath>
      <w:r>
        <w:rPr>
          <w:rFonts w:ascii="Palatino Linotype" w:hAnsi="Palatino Linotype" w:eastAsia="Palatino Linotype"/>
          <w:b w:val="0"/>
          <w:i w:val="0"/>
          <w:sz w:val="20"/>
        </w:rPr>
        <w:t xml:space="preserve">. Poaching is the asymmetry that matters: the firm loses the match, whereas the worker moves to an identical job at the going wage and loses nothing, and the economy as a whole loses nothing either. The firm therefore discounts the experienced job at </w:t>
      </w:r>
      <m:oMath>
        <m:r>
          <m:rPr/>
          <m:t xml:space="preserve">r + δ_{s} + ω + φ</m:t>
        </m:r>
      </m:oMath>
      <w:r>
        <w:rPr>
          <w:rFonts w:ascii="Palatino Linotype" w:hAnsi="Palatino Linotype" w:eastAsia="Palatino Linotype"/>
          <w:b w:val="0"/>
          <w:i w:val="0"/>
          <w:sz w:val="20"/>
        </w:rPr>
        <w:t xml:space="preserve"> and the worker at </w:t>
      </w:r>
      <m:oMath>
        <m:r>
          <m:rPr/>
          <m:t xml:space="preserve">r + δ_{s} + ω</m:t>
        </m:r>
      </m:oMath>
      <w:r>
        <w:rPr>
          <w:rFonts w:ascii="Palatino Linotype" w:hAnsi="Palatino Linotype" w:eastAsia="Palatino Linotype"/>
          <w:b w:val="0"/>
          <w:i w:val="0"/>
          <w:sz w:val="20"/>
        </w:rPr>
        <w:t>:</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s</m:t>
                </m:r>
              </m:sub>
            </m:sSub>
            <m:r>
              <m:rPr/>
              <m:t xml:space="preserve"> </m:t>
            </m:r>
            <m:r>
              <m:rPr>
                <m:sty m:val="p"/>
              </m:rPr>
              <m:t>+</m:t>
            </m:r>
            <m:r>
              <m:rPr/>
              <m:t xml:space="preserve"> </m:t>
            </m:r>
            <m:r>
              <m:rPr/>
              <m:t>ω</m:t>
            </m:r>
            <m:r>
              <m:rPr/>
              <m:t xml:space="preserve"> </m:t>
            </m:r>
            <m:r>
              <m:rPr>
                <m:sty m:val="p"/>
              </m:rPr>
              <m:t>+</m:t>
            </m:r>
            <m:r>
              <m:rPr/>
              <m:t xml:space="preserve"> </m:t>
            </m:r>
            <m:r>
              <m:rPr/>
              <m:t>φ</m:t>
            </m:r>
          </m:e>
        </m:d>
        <m:sSub>
          <m:sSubPr/>
          <m:e>
            <m:r>
              <m:rPr/>
              <m:t>J</m:t>
            </m:r>
          </m:e>
          <m:sub>
            <m:r>
              <m:rPr/>
              <m:t>s</m:t>
            </m:r>
          </m:sub>
        </m:sSub>
        <m:r>
          <m:rPr/>
          <m:t xml:space="preserve"> </m:t>
        </m:r>
        <m:r>
          <m:rPr>
            <m:sty m:val="p"/>
          </m:rPr>
          <m:t>=</m:t>
        </m:r>
        <m:r>
          <m:rPr/>
          <m:t xml:space="preserve"> </m:t>
        </m:r>
        <m:sSub>
          <m:sSubPr/>
          <m:e>
            <m:r>
              <m:rPr/>
              <m:t>F</m:t>
            </m:r>
          </m:e>
          <m:sub>
            <m:r>
              <m:rPr/>
              <m:t>s</m:t>
            </m:r>
          </m:sub>
        </m:sSub>
        <m:r>
          <m:rPr/>
          <m:t xml:space="preserve"> </m:t>
        </m:r>
        <m:r>
          <m:rPr>
            <m:sty m:val="p"/>
          </m:rPr>
          <m:t>−</m:t>
        </m:r>
        <m:r>
          <m:rPr/>
          <m:t xml:space="preserve"> </m:t>
        </m:r>
        <m:sSub>
          <m:sSubPr/>
          <m:e>
            <m:r>
              <m:rPr/>
              <m:t>w</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(10)</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s</m:t>
                </m:r>
              </m:sub>
            </m:sSub>
            <m:r>
              <m:rPr/>
              <m:t xml:space="preserve"> </m:t>
            </m:r>
            <m:r>
              <m:rPr>
                <m:sty m:val="p"/>
              </m:rPr>
              <m:t>+</m:t>
            </m:r>
            <m:r>
              <m:rPr/>
              <m:t xml:space="preserve"> </m:t>
            </m:r>
            <m:r>
              <m:rPr/>
              <m:t>ω</m:t>
            </m:r>
            <m:r>
              <m:rPr/>
              <m:t xml:space="preserve"> </m:t>
            </m:r>
            <m:r>
              <m:rPr>
                <m:sty m:val="p"/>
              </m:rPr>
              <m:t>+</m:t>
            </m:r>
            <m:r>
              <m:rPr/>
              <m:t xml:space="preserve"> </m:t>
            </m:r>
            <m:sSub>
              <m:sSubPr/>
              <m:e>
                <m:r>
                  <m:rPr/>
                  <m:t>f</m:t>
                </m:r>
              </m:e>
              <m:sub>
                <m:r>
                  <m:rPr/>
                  <m:t>s</m:t>
                </m:r>
              </m:sub>
            </m:sSub>
          </m:e>
        </m:d>
        <m:d>
          <m:dPr>
            <m:begChr m:val="("/>
            <m:endChr m:val=")"/>
          </m:dPr>
          <m:e>
            <m:sSub>
              <m:sSubPr/>
              <m:e>
                <m:r>
                  <m:rPr/>
                  <m:t>W</m:t>
                </m:r>
              </m:e>
              <m:sub>
                <m:r>
                  <m:rPr/>
                  <m:t>s</m:t>
                </m:r>
              </m:sub>
            </m:sSub>
            <m:r>
              <m:rPr/>
              <m:t xml:space="preserve"> </m:t>
            </m:r>
            <m:r>
              <m:rPr>
                <m:sty m:val="p"/>
              </m:rPr>
              <m:t>−</m:t>
            </m:r>
            <m:r>
              <m:rPr/>
              <m:t xml:space="preserve"> </m:t>
            </m:r>
            <m:sSub>
              <m:sSubPr/>
              <m:e>
                <m:r>
                  <m:rPr/>
                  <m:t>U</m:t>
                </m:r>
              </m:e>
              <m:sub>
                <m:r>
                  <m:rPr/>
                  <m:t>s</m:t>
                </m:r>
              </m:sub>
            </m:sSub>
          </m:e>
        </m:d>
        <m:r>
          <m:rPr/>
          <m:t xml:space="preserve"> </m:t>
        </m:r>
        <m:r>
          <m:rPr>
            <m:sty m:val="p"/>
          </m:rPr>
          <m:t>=</m:t>
        </m:r>
        <m:r>
          <m:rPr/>
          <m:t xml:space="preserve"> </m:t>
        </m:r>
        <m:sSub>
          <m:sSubPr/>
          <m:e>
            <m:r>
              <m:rPr/>
              <m:t>w</m:t>
            </m:r>
          </m:e>
          <m:sub>
            <m:r>
              <m:rPr/>
              <m:t>s</m:t>
            </m:r>
          </m:sub>
        </m:sSub>
        <m:r>
          <m:rPr/>
          <m:t xml:space="preserve"> </m:t>
        </m:r>
        <m:r>
          <m:rPr>
            <m:sty m:val="p"/>
          </m:rPr>
          <m:t>−</m:t>
        </m:r>
        <m:r>
          <m:rPr/>
          <m:t xml:space="preserve"> </m:t>
        </m:r>
        <m:r>
          <m:rPr/>
          <m:t>b</m:t>
        </m:r>
      </m:oMath>
      <w:r>
        <w:rPr>
          <w:rFonts w:ascii="Palatino Linotype" w:hAnsi="Palatino Linotype" w:eastAsia="Palatino Linotype"/>
          <w:b w:val="0"/>
          <w:i w:val="0"/>
          <w:sz w:val="20"/>
        </w:rPr>
        <w:tab/>
      </w:r>
      <w:r>
        <w:rPr>
          <w:rFonts w:ascii="Palatino Linotype" w:hAnsi="Palatino Linotype" w:eastAsia="Palatino Linotype"/>
          <w:b w:val="0"/>
          <w:i w:val="0"/>
          <w:sz w:val="20"/>
        </w:rPr>
        <w:t>(11)</w:t>
      </w:r>
    </w:p>
    <w:p>
      <w:pPr>
        <w:spacing w:after="120"/>
        <w:jc w:val="both"/>
      </w:pPr>
      <w:r>
        <w:rPr>
          <w:rFonts w:ascii="Palatino Linotype" w:hAnsi="Palatino Linotype" w:eastAsia="Palatino Linotype"/>
          <w:b w:val="0"/>
          <w:i w:val="0"/>
          <w:sz w:val="20"/>
        </w:rPr>
        <w:t xml:space="preserve">An entry-level match yields the marginal product of an entry-level worker, net of the wage and of the mentoring it absorbs, and it delivers the experienced job on promotion. Writing </w:t>
      </w:r>
      <m:oMath>
        <m:sSub>
          <m:sSubPr/>
          <m:e>
            <m:r>
              <m:rPr/>
              <m:t>s</m:t>
            </m:r>
          </m:e>
          <m:sub>
            <m:r>
              <m:rPr/>
              <m:t>w</m:t>
            </m:r>
          </m:sub>
        </m:sSub>
      </m:oMath>
      <w:r>
        <w:rPr>
          <w:rFonts w:ascii="Palatino Linotype" w:hAnsi="Palatino Linotype" w:eastAsia="Palatino Linotype"/>
          <w:b w:val="0"/>
          <w:i w:val="0"/>
          <w:sz w:val="20"/>
        </w:rPr>
        <w:t xml:space="preserve"> for a wage subsidy and </w:t>
      </w:r>
      <m:oMath>
        <m:sSub>
          <m:sSubPr/>
          <m:e>
            <m:r>
              <m:rPr/>
              <m:t>s</m:t>
            </m:r>
          </m:e>
          <m:sub>
            <m:r>
              <m:rPr/>
              <m:t>m</m:t>
            </m:r>
          </m:sub>
        </m:sSub>
      </m:oMath>
      <w:r>
        <w:rPr>
          <w:rFonts w:ascii="Palatino Linotype" w:hAnsi="Palatino Linotype" w:eastAsia="Palatino Linotype"/>
          <w:b w:val="0"/>
          <w:i w:val="0"/>
          <w:sz w:val="20"/>
        </w:rPr>
        <w:t xml:space="preserve"> for a mentoring credit,</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j</m:t>
                </m:r>
              </m:sub>
            </m:sSub>
            <m:r>
              <m:rPr/>
              <m:t xml:space="preserve"> </m:t>
            </m:r>
            <m:r>
              <m:rPr>
                <m:sty m:val="p"/>
              </m:rPr>
              <m:t>+</m:t>
            </m:r>
            <m:r>
              <m:rPr/>
              <m:t xml:space="preserve"> </m:t>
            </m:r>
            <m:r>
              <m:rPr/>
              <m:t>ω</m:t>
            </m:r>
            <m:r>
              <m:rPr/>
              <m:t xml:space="preserve"> </m:t>
            </m:r>
            <m:r>
              <m:rPr>
                <m:sty m:val="p"/>
              </m:rPr>
              <m:t>+</m:t>
            </m:r>
            <m:r>
              <m:rPr/>
              <m:t xml:space="preserve"> </m:t>
            </m:r>
            <m:r>
              <m:rPr/>
              <m:t>π</m:t>
            </m:r>
          </m:e>
        </m:d>
        <m:sSub>
          <m:sSubPr/>
          <m:e>
            <m:r>
              <m:rPr/>
              <m:t>J</m:t>
            </m:r>
          </m:e>
          <m:sub>
            <m:r>
              <m:rPr/>
              <m:t>j</m:t>
            </m:r>
          </m:sub>
        </m:sSub>
        <m:r>
          <m:rPr/>
          <m:t xml:space="preserve"> </m:t>
        </m:r>
        <m:r>
          <m:rPr>
            <m:sty m:val="p"/>
          </m:rPr>
          <m:t>=</m:t>
        </m:r>
        <m:r>
          <m:rPr/>
          <m:t xml:space="preserve"> </m:t>
        </m:r>
        <m:sSub>
          <m:sSubPr/>
          <m:e>
            <m:r>
              <m:rPr/>
              <m:t>F</m:t>
            </m:r>
          </m:e>
          <m:sub>
            <m:r>
              <m:rPr/>
              <m:t>j</m:t>
            </m:r>
          </m:sub>
        </m:sSub>
        <m:r>
          <m:rPr/>
          <m:t xml:space="preserve"> </m:t>
        </m:r>
        <m:r>
          <m:rPr>
            <m:sty m:val="p"/>
          </m:rPr>
          <m:t>−</m:t>
        </m:r>
        <m:r>
          <m:rPr/>
          <m:t xml:space="preserve"> </m:t>
        </m:r>
        <m:d>
          <m:dPr>
            <m:begChr m:val="("/>
            <m:endChr m:val=")"/>
          </m:dPr>
          <m:e>
            <m:r>
              <m:rPr/>
              <m:t>1</m:t>
            </m:r>
            <m:r>
              <m:rPr/>
              <m:t xml:space="preserve"> </m:t>
            </m:r>
            <m:r>
              <m:rPr>
                <m:sty m:val="p"/>
              </m:rPr>
              <m:t>−</m:t>
            </m:r>
            <m:r>
              <m:rPr/>
              <m:t xml:space="preserve"> </m:t>
            </m:r>
            <m:sSub>
              <m:sSubPr/>
              <m:e>
                <m:r>
                  <m:rPr/>
                  <m:t>s</m:t>
                </m:r>
              </m:e>
              <m:sub>
                <m:r>
                  <m:rPr/>
                  <m:t>w</m:t>
                </m:r>
              </m:sub>
            </m:sSub>
          </m:e>
        </m:d>
        <m:sSub>
          <m:sSubPr/>
          <m:e>
            <m:r>
              <m:rPr/>
              <m:t>w</m:t>
            </m:r>
          </m:e>
          <m:sub>
            <m:r>
              <m:rPr/>
              <m:t>j</m:t>
            </m:r>
          </m:sub>
        </m:sSub>
        <m:r>
          <m:rPr/>
          <m:t xml:space="preserve"> </m:t>
        </m:r>
        <m:r>
          <m:rPr>
            <m:sty m:val="p"/>
          </m:rPr>
          <m:t>−</m:t>
        </m:r>
        <m:r>
          <m:rPr/>
          <m:t xml:space="preserve"> </m:t>
        </m:r>
        <m:d>
          <m:dPr>
            <m:begChr m:val="("/>
            <m:endChr m:val=")"/>
          </m:dPr>
          <m:e>
            <m:r>
              <m:rPr/>
              <m:t>1</m:t>
            </m:r>
            <m:r>
              <m:rPr/>
              <m:t xml:space="preserve"> </m:t>
            </m:r>
            <m:r>
              <m:rPr>
                <m:sty m:val="p"/>
              </m:rPr>
              <m:t>−</m:t>
            </m:r>
            <m:r>
              <m:rPr/>
              <m:t xml:space="preserve"> </m:t>
            </m:r>
            <m:sSub>
              <m:sSubPr/>
              <m:e>
                <m:r>
                  <m:rPr/>
                  <m:t>s</m:t>
                </m:r>
              </m:e>
              <m:sub>
                <m:r>
                  <m:rPr/>
                  <m:t>m</m:t>
                </m:r>
              </m:sub>
            </m:sSub>
          </m:e>
        </m:d>
        <m:r>
          <m:rPr/>
          <m:t>m</m:t>
        </m:r>
        <m:r>
          <m:rPr/>
          <m:t xml:space="preserve"> </m:t>
        </m:r>
        <m:sSub>
          <m:sSubPr/>
          <m:e>
            <m:r>
              <m:rPr/>
              <m:t>F</m:t>
            </m:r>
          </m:e>
          <m:sub>
            <m:r>
              <m:rPr/>
              <m:t>s</m:t>
            </m:r>
          </m:sub>
        </m:sSub>
        <m:r>
          <m:rPr/>
          <m:t xml:space="preserve"> </m:t>
        </m:r>
        <m:r>
          <m:rPr>
            <m:sty m:val="p"/>
          </m:rPr>
          <m:t>+</m:t>
        </m:r>
        <m:r>
          <m:rPr/>
          <m:t xml:space="preserve"> </m:t>
        </m:r>
        <m:r>
          <m:rPr/>
          <m:t>π</m:t>
        </m:r>
        <m:r>
          <m:rPr/>
          <m:t xml:space="preserve"> </m:t>
        </m:r>
        <m:sSub>
          <m:sSubPr/>
          <m:e>
            <m:r>
              <m:rPr/>
              <m:t>J</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(12)</w:t>
      </w:r>
    </w:p>
    <w:p>
      <w:pPr>
        <w:spacing w:after="120"/>
        <w:jc w:val="both"/>
      </w:pPr>
      <w:r>
        <w:rPr>
          <w:rFonts w:ascii="Palatino Linotype" w:hAnsi="Palatino Linotype" w:eastAsia="Palatino Linotype"/>
          <w:b w:val="0"/>
          <w:i w:val="0"/>
          <w:sz w:val="20"/>
        </w:rPr>
        <w:t>while the entry-level worker’s values satisfy</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r>
              <m:rPr/>
              <m:t>ω</m:t>
            </m:r>
            <m:r>
              <m:rPr/>
              <m:t xml:space="preserve"> </m:t>
            </m:r>
            <m:r>
              <m:rPr>
                <m:sty m:val="p"/>
              </m:rPr>
              <m:t>+</m:t>
            </m:r>
            <m:r>
              <m:rPr/>
              <m:t xml:space="preserve"> </m:t>
            </m:r>
            <m:r>
              <m:rPr/>
              <m:t>π</m:t>
            </m:r>
            <m:r>
              <m:rPr/>
              <m:t xml:space="preserve"> </m:t>
            </m:r>
            <m:r>
              <m:rPr>
                <m:sty m:val="p"/>
              </m:rPr>
              <m:t>+</m:t>
            </m:r>
            <m:r>
              <m:rPr/>
              <m:t xml:space="preserve"> </m:t>
            </m:r>
            <m:sSub>
              <m:sSubPr/>
              <m:e>
                <m:r>
                  <m:rPr/>
                  <m:t>δ</m:t>
                </m:r>
              </m:e>
              <m:sub>
                <m:r>
                  <m:rPr/>
                  <m:t>j</m:t>
                </m:r>
              </m:sub>
            </m:sSub>
          </m:e>
        </m:d>
        <m:sSub>
          <m:sSubPr/>
          <m:e>
            <m:r>
              <m:rPr/>
              <m:t>W</m:t>
            </m:r>
          </m:e>
          <m:sub>
            <m:r>
              <m:rPr/>
              <m:t>j</m:t>
            </m:r>
          </m:sub>
        </m:sSub>
        <m:r>
          <m:rPr/>
          <m:t xml:space="preserve"> </m:t>
        </m:r>
        <m:r>
          <m:rPr>
            <m:sty m:val="p"/>
          </m:rPr>
          <m:t>=</m:t>
        </m:r>
        <m:r>
          <m:rPr/>
          <m:t xml:space="preserve"> </m:t>
        </m:r>
        <m:sSub>
          <m:sSubPr/>
          <m:e>
            <m:r>
              <m:rPr/>
              <m:t>w</m:t>
            </m:r>
          </m:e>
          <m:sub>
            <m:r>
              <m:rPr/>
              <m:t>j</m:t>
            </m:r>
          </m:sub>
        </m:sSub>
        <m:r>
          <m:rPr/>
          <m:t xml:space="preserve"> </m:t>
        </m:r>
        <m:r>
          <m:rPr>
            <m:sty m:val="p"/>
          </m:rPr>
          <m:t>+</m:t>
        </m:r>
        <m:r>
          <m:rPr/>
          <m:t xml:space="preserve"> </m:t>
        </m:r>
        <m:r>
          <m:rPr/>
          <m:t>π</m:t>
        </m:r>
        <m:r>
          <m:rPr/>
          <m:t xml:space="preserve"> </m:t>
        </m:r>
        <m:sSub>
          <m:sSubPr/>
          <m:e>
            <m:r>
              <m:rPr/>
              <m:t>W</m:t>
            </m:r>
          </m:e>
          <m:sub>
            <m:r>
              <m:rPr/>
              <m:t>s</m:t>
            </m:r>
          </m:sub>
        </m:sSub>
        <m:r>
          <m:rPr/>
          <m:t xml:space="preserve"> </m:t>
        </m:r>
        <m:r>
          <m:rPr>
            <m:sty m:val="p"/>
          </m:rPr>
          <m:t>+</m:t>
        </m:r>
        <m:r>
          <m:rPr/>
          <m:t xml:space="preserve"> </m:t>
        </m:r>
        <m:sSub>
          <m:sSubPr/>
          <m:e>
            <m:r>
              <m:rPr/>
              <m:t>δ</m:t>
            </m:r>
          </m:e>
          <m:sub>
            <m:r>
              <m:rPr/>
              <m:t>j</m:t>
            </m:r>
          </m:sub>
        </m:sSub>
        <m:r>
          <m:rPr/>
          <m:t xml:space="preserve"> </m:t>
        </m:r>
        <m:sSub>
          <m:sSubPr/>
          <m:e>
            <m:r>
              <m:rPr/>
              <m:t>U</m:t>
            </m:r>
          </m:e>
          <m:sub>
            <m:r>
              <m:rPr/>
              <m:t>j</m:t>
            </m:r>
          </m:sub>
        </m:sSub>
        <m:r>
          <m:rPr/>
          <m:t xml:space="preserve">, </m:t>
        </m:r>
        <m:r>
          <m:rPr/>
          <m:t xml:space="preserve"> </m:t>
        </m:r>
        <m:r>
          <m:rPr/>
          <m:t xml:space="preserve"> </m:t>
        </m:r>
        <m:d>
          <m:dPr>
            <m:begChr m:val="("/>
            <m:endChr m:val=")"/>
          </m:dPr>
          <m:e>
            <m:r>
              <m:rPr/>
              <m:t>r</m:t>
            </m:r>
            <m:r>
              <m:rPr/>
              <m:t xml:space="preserve"> </m:t>
            </m:r>
            <m:r>
              <m:rPr>
                <m:sty m:val="p"/>
              </m:rPr>
              <m:t>+</m:t>
            </m:r>
            <m:r>
              <m:rPr/>
              <m:t xml:space="preserve"> </m:t>
            </m:r>
            <m:r>
              <m:rPr/>
              <m:t>ω</m:t>
            </m:r>
          </m:e>
        </m:d>
        <m:sSub>
          <m:sSubPr/>
          <m:e>
            <m:r>
              <m:rPr/>
              <m:t>U</m:t>
            </m:r>
          </m:e>
          <m:sub>
            <m:r>
              <m:rPr/>
              <m:t>j</m:t>
            </m:r>
          </m:sub>
        </m:sSub>
        <m:r>
          <m:rPr/>
          <m:t xml:space="preserve"> </m:t>
        </m:r>
        <m:r>
          <m:rPr>
            <m:sty m:val="p"/>
          </m:rPr>
          <m:t>=</m:t>
        </m:r>
        <m:r>
          <m:rPr/>
          <m:t xml:space="preserve"> </m:t>
        </m:r>
        <m:r>
          <m:rPr/>
          <m:t>b</m:t>
        </m:r>
        <m:r>
          <m:rPr/>
          <m:t xml:space="preserve"> </m:t>
        </m:r>
        <m:r>
          <m:rPr>
            <m:sty m:val="p"/>
          </m:rPr>
          <m:t>+</m:t>
        </m:r>
        <m:r>
          <m:rPr/>
          <m:t xml:space="preserve"> </m:t>
        </m:r>
        <m:sSub>
          <m:sSubPr/>
          <m:e>
            <m:r>
              <m:rPr/>
              <m:t>f</m:t>
            </m:r>
          </m:e>
          <m:sub>
            <m:r>
              <m:rPr/>
              <m:t>j</m:t>
            </m:r>
          </m:sub>
        </m:sSub>
        <m:d>
          <m:dPr>
            <m:begChr m:val="("/>
            <m:endChr m:val=")"/>
          </m:dPr>
          <m:e>
            <m:sSub>
              <m:sSubPr/>
              <m:e>
                <m:r>
                  <m:rPr/>
                  <m:t>W</m:t>
                </m:r>
              </m:e>
              <m:sub>
                <m:r>
                  <m:rPr/>
                  <m:t>j</m:t>
                </m:r>
              </m:sub>
            </m:sSub>
            <m:r>
              <m:rPr/>
              <m:t xml:space="preserve"> </m:t>
            </m:r>
            <m:r>
              <m:rPr>
                <m:sty m:val="p"/>
              </m:rPr>
              <m:t>−</m:t>
            </m:r>
            <m:r>
              <m:rPr/>
              <m:t xml:space="preserve"> </m:t>
            </m:r>
            <m:sSub>
              <m:sSubPr/>
              <m:e>
                <m:r>
                  <m:rPr/>
                  <m:t>U</m:t>
                </m:r>
              </m:e>
              <m:sub>
                <m:r>
                  <m:rPr/>
                  <m:t>j</m:t>
                </m:r>
              </m:sub>
            </m:sSub>
          </m:e>
        </m:d>
      </m:oMath>
      <w:r>
        <w:rPr>
          <w:rFonts w:ascii="Palatino Linotype" w:hAnsi="Palatino Linotype" w:eastAsia="Palatino Linotype"/>
          <w:b w:val="0"/>
          <w:i w:val="0"/>
          <w:sz w:val="20"/>
        </w:rPr>
        <w:tab/>
      </w:r>
      <w:r>
        <w:rPr>
          <w:rFonts w:ascii="Palatino Linotype" w:hAnsi="Palatino Linotype" w:eastAsia="Palatino Linotype"/>
          <w:b w:val="0"/>
          <w:i w:val="0"/>
          <w:sz w:val="20"/>
        </w:rPr>
        <w:t>(13)</w:t>
      </w:r>
    </w:p>
    <w:p>
      <w:pPr>
        <w:spacing w:after="120"/>
        <w:jc w:val="both"/>
      </w:pPr>
      <w:r>
        <w:rPr>
          <w:rFonts w:ascii="Palatino Linotype" w:hAnsi="Palatino Linotype" w:eastAsia="Palatino Linotype"/>
          <w:b w:val="0"/>
          <w:i w:val="0"/>
          <w:sz w:val="20"/>
        </w:rPr>
        <w:t xml:space="preserve">Wages are bargained over the match surplus with worker bargaining power </w:t>
      </w:r>
      <m:oMath>
        <m:r>
          <m:rPr/>
          <m:t>β</m:t>
        </m:r>
      </m:oMath>
      <w:r>
        <w:rPr>
          <w:rFonts w:ascii="Palatino Linotype" w:hAnsi="Palatino Linotype" w:eastAsia="Palatino Linotype"/>
          <w:b w:val="0"/>
          <w:i w:val="0"/>
          <w:sz w:val="20"/>
        </w:rPr>
        <w:t>, which yields the familiar sharing rule:</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w</m:t>
            </m:r>
          </m:e>
          <m:sub>
            <m:r>
              <m:rPr/>
              <m:t>i</m:t>
            </m:r>
          </m:sub>
        </m:sSub>
        <m:r>
          <m:rPr/>
          <m:t xml:space="preserve"> </m:t>
        </m:r>
        <m:r>
          <m:rPr>
            <m:sty m:val="p"/>
          </m:rPr>
          <m:t>=</m:t>
        </m:r>
        <m:r>
          <m:rPr/>
          <m:t xml:space="preserve"> </m:t>
        </m:r>
        <m:r>
          <m:rPr>
            <m:sty m:val="p"/>
          </m:rPr>
          <m:t xml:space="preserve">arg max</m:t>
        </m:r>
        <m:r>
          <m:rPr/>
          <m:t xml:space="preserve"> </m:t>
        </m:r>
        <m:sSup>
          <m:sSupPr/>
          <m:e>
            <m:d>
              <m:dPr>
                <m:begChr m:val="("/>
                <m:endChr m:val=")"/>
              </m:dPr>
              <m:e>
                <m:sSub>
                  <m:sSubPr/>
                  <m:e>
                    <m:r>
                      <m:rPr/>
                      <m:t>W</m:t>
                    </m:r>
                  </m:e>
                  <m:sub>
                    <m:r>
                      <m:rPr/>
                      <m:t>i</m:t>
                    </m:r>
                  </m:sub>
                </m:sSub>
                <m:r>
                  <m:rPr/>
                  <m:t xml:space="preserve"> </m:t>
                </m:r>
                <m:r>
                  <m:rPr>
                    <m:sty m:val="p"/>
                  </m:rPr>
                  <m:t>−</m:t>
                </m:r>
                <m:r>
                  <m:rPr/>
                  <m:t xml:space="preserve"> </m:t>
                </m:r>
                <m:sSub>
                  <m:sSubPr/>
                  <m:e>
                    <m:r>
                      <m:rPr/>
                      <m:t>U</m:t>
                    </m:r>
                  </m:e>
                  <m:sub>
                    <m:r>
                      <m:rPr/>
                      <m:t>i</m:t>
                    </m:r>
                  </m:sub>
                </m:sSub>
              </m:e>
            </m:d>
          </m:e>
          <m:sup>
            <m:r>
              <m:rPr/>
              <m:t>β</m:t>
            </m:r>
          </m:sup>
        </m:sSup>
        <m:r>
          <m:rPr/>
          <m:t xml:space="preserve"> </m:t>
        </m:r>
        <m:sSup>
          <m:sSupPr/>
          <m:e>
            <m:sSub>
              <m:sSubPr/>
              <m:e>
                <m:r>
                  <m:rPr/>
                  <m:t>J</m:t>
                </m:r>
              </m:e>
              <m:sub>
                <m:r>
                  <m:rPr/>
                  <m:t>i</m:t>
                </m:r>
              </m:sub>
            </m:sSub>
          </m:e>
          <m:sup>
            <m:r>
              <m:rPr/>
              <m:t>1</m:t>
            </m:r>
            <m:r>
              <m:rPr/>
              <m:t xml:space="preserve"> </m:t>
            </m:r>
            <m:r>
              <m:rPr>
                <m:sty m:val="p"/>
              </m:rPr>
              <m:t>−</m:t>
            </m:r>
            <m:r>
              <m:rPr/>
              <m:t xml:space="preserve"> </m:t>
            </m:r>
            <m:r>
              <m:rPr/>
              <m:t>β</m:t>
            </m:r>
          </m:sup>
        </m:sSup>
        <m:r>
          <m:rPr/>
          <m:t xml:space="preserve">, </m:t>
        </m:r>
        <m:r>
          <m:rPr/>
          <m:t xml:space="preserve"> </m:t>
        </m:r>
        <m:r>
          <m:rPr/>
          <m:t xml:space="preserve"> </m:t>
        </m:r>
        <m:r>
          <m:rPr/>
          <m:t>β</m:t>
        </m:r>
        <m:r>
          <m:rPr/>
          <m:t xml:space="preserve"> </m:t>
        </m:r>
        <m:sSub>
          <m:sSubPr/>
          <m:e>
            <m:r>
              <m:rPr/>
              <m:t>J</m:t>
            </m:r>
          </m:e>
          <m:sub>
            <m:r>
              <m:rPr/>
              <m:t>i</m:t>
            </m:r>
          </m:sub>
        </m:sSub>
        <m:r>
          <m:rPr/>
          <m:t xml:space="preserve"> </m:t>
        </m:r>
        <m:r>
          <m:rPr>
            <m:sty m:val="p"/>
          </m:rPr>
          <m:t>=</m:t>
        </m:r>
        <m:r>
          <m:rPr/>
          <m:t xml:space="preserve"> </m:t>
        </m:r>
        <m:d>
          <m:dPr>
            <m:begChr m:val="("/>
            <m:endChr m:val=")"/>
          </m:dPr>
          <m:e>
            <m:r>
              <m:rPr/>
              <m:t>1</m:t>
            </m:r>
            <m:r>
              <m:rPr/>
              <m:t xml:space="preserve"> </m:t>
            </m:r>
            <m:r>
              <m:rPr>
                <m:sty m:val="p"/>
              </m:rPr>
              <m:t>−</m:t>
            </m:r>
            <m:r>
              <m:rPr/>
              <m:t xml:space="preserve"> </m:t>
            </m:r>
            <m:r>
              <m:rPr/>
              <m:t>β</m:t>
            </m:r>
          </m:e>
        </m:d>
        <m:d>
          <m:dPr>
            <m:begChr m:val="("/>
            <m:endChr m:val=")"/>
          </m:dPr>
          <m:e>
            <m:sSub>
              <m:sSubPr/>
              <m:e>
                <m:r>
                  <m:rPr/>
                  <m:t>W</m:t>
                </m:r>
              </m:e>
              <m:sub>
                <m:r>
                  <m:rPr/>
                  <m:t>i</m:t>
                </m:r>
              </m:sub>
            </m:sSub>
            <m:r>
              <m:rPr/>
              <m:t xml:space="preserve"> </m:t>
            </m:r>
            <m:r>
              <m:rPr>
                <m:sty m:val="p"/>
              </m:rPr>
              <m:t>−</m:t>
            </m:r>
            <m:r>
              <m:rPr/>
              <m:t xml:space="preserve"> </m:t>
            </m:r>
            <m:sSub>
              <m:sSubPr/>
              <m:e>
                <m:r>
                  <m:rPr/>
                  <m:t>U</m:t>
                </m:r>
              </m:e>
              <m:sub>
                <m:r>
                  <m:rPr/>
                  <m:t>i</m:t>
                </m:r>
              </m:sub>
            </m:sSub>
          </m:e>
        </m:d>
      </m:oMath>
      <w:r>
        <w:rPr>
          <w:rFonts w:ascii="Palatino Linotype" w:hAnsi="Palatino Linotype" w:eastAsia="Palatino Linotype"/>
          <w:b w:val="0"/>
          <w:i w:val="0"/>
          <w:sz w:val="20"/>
        </w:rPr>
        <w:tab/>
      </w:r>
      <w:r>
        <w:rPr>
          <w:rFonts w:ascii="Palatino Linotype" w:hAnsi="Palatino Linotype" w:eastAsia="Palatino Linotype"/>
          <w:b w:val="0"/>
          <w:i w:val="0"/>
          <w:sz w:val="20"/>
        </w:rPr>
        <w:t>(14)</w:t>
      </w:r>
    </w:p>
    <w:p>
      <w:pPr>
        <w:spacing w:after="120"/>
        <w:jc w:val="both"/>
      </w:pPr>
      <w:r>
        <w:rPr>
          <w:rFonts w:ascii="Palatino Linotype" w:hAnsi="Palatino Linotype" w:eastAsia="Palatino Linotype"/>
          <w:b w:val="0"/>
          <w:i w:val="0"/>
          <w:sz w:val="20"/>
        </w:rPr>
        <w:t xml:space="preserve">Entry wages, however, are not fully flexible. Provincial minimum wages bind for entry-level urban positions in China [9], graduate pay scales are heavily compressed, and the search literature has long held that how much of a shock the wage absorbs is decisive for how much employment moves [47–50]. We therefore adopt the geometric real-rigidity rule of Blanchard and Galí [51], in which the posted entry wage is a weighted geometric average of the bargained wage </w:t>
      </w:r>
      <m:oMath>
        <m:sSubSup>
          <m:sSubSupPr/>
          <m:e>
            <m:r>
              <m:rPr/>
              <m:t>w</m:t>
            </m:r>
          </m:e>
          <m:sub>
            <m:r>
              <m:rPr/>
              <m:t>j</m:t>
            </m:r>
          </m:sub>
          <m:sup>
            <m:r>
              <m:rPr/>
              <m:t>N</m:t>
            </m:r>
          </m:sup>
        </m:sSubSup>
      </m:oMath>
      <w:r>
        <w:rPr>
          <w:rFonts w:ascii="Palatino Linotype" w:hAnsi="Palatino Linotype" w:eastAsia="Palatino Linotype"/>
          <w:b w:val="0"/>
          <w:i w:val="0"/>
          <w:sz w:val="20"/>
        </w:rPr>
        <w:t xml:space="preserve"> and a reference wage </w:t>
      </w:r>
      <m:oMath>
        <m:sSub>
          <m:sSubPr/>
          <m:e>
            <m:r>
              <m:rPr/>
              <m:t>\bar{w}</m:t>
            </m:r>
          </m:e>
          <m:sub>
            <m:r>
              <m:rPr/>
              <m:t>j</m:t>
            </m:r>
          </m:sub>
        </m:sSub>
      </m:oMath>
      <w:r>
        <w:rPr>
          <w:rFonts w:ascii="Palatino Linotype" w:hAnsi="Palatino Linotype" w:eastAsia="Palatino Linotype"/>
          <w:b w:val="0"/>
          <w:i w:val="0"/>
          <w:sz w:val="20"/>
        </w:rPr>
        <w:t xml:space="preserve"> anchored by those institutions:</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w</m:t>
            </m:r>
          </m:e>
          <m:sub>
            <m:r>
              <m:rPr/>
              <m:t>j</m:t>
            </m:r>
          </m:sub>
        </m:sSub>
        <m:r>
          <m:rPr/>
          <m:t xml:space="preserve"> </m:t>
        </m:r>
        <m:r>
          <m:rPr>
            <m:sty m:val="p"/>
          </m:rPr>
          <m:t>=</m:t>
        </m:r>
        <m:r>
          <m:rPr/>
          <m:t xml:space="preserve"> </m:t>
        </m:r>
        <m:sSup>
          <m:sSupPr/>
          <m:e>
            <m:sSubSup>
              <m:sSubSupPr/>
              <m:e>
                <m:r>
                  <m:rPr/>
                  <m:t>w</m:t>
                </m:r>
              </m:e>
              <m:sub>
                <m:r>
                  <m:rPr/>
                  <m:t>j</m:t>
                </m:r>
              </m:sub>
              <m:sup>
                <m:r>
                  <m:rPr>
                    <m:sty m:val="p"/>
                  </m:rPr>
                  <m:t>N</m:t>
                </m:r>
              </m:sup>
            </m:sSubSup>
          </m:e>
          <m:sup>
            <m:r>
              <m:rPr/>
              <m:t>1</m:t>
            </m:r>
            <m:r>
              <m:rPr/>
              <m:t xml:space="preserve"> </m:t>
            </m:r>
            <m:r>
              <m:rPr>
                <m:sty m:val="p"/>
              </m:rPr>
              <m:t>−</m:t>
            </m:r>
            <m:r>
              <m:rPr/>
              <m:t xml:space="preserve"> </m:t>
            </m:r>
            <m:sSub>
              <m:sSubPr/>
              <m:e>
                <m:r>
                  <m:rPr/>
                  <m:t>γ</m:t>
                </m:r>
              </m:e>
              <m:sub>
                <m:r>
                  <m:rPr/>
                  <m:t>w</m:t>
                </m:r>
              </m:sub>
            </m:sSub>
          </m:sup>
        </m:sSup>
        <m:r>
          <m:rPr/>
          <m:t xml:space="preserve"> </m:t>
        </m:r>
        <m:sSup>
          <m:sSupPr/>
          <m:e>
            <m:bar>
              <m:barPr>
                <m:pos m:val="top"/>
              </m:barPr>
              <m:e>
                <m:sSub>
                  <m:sSubPr/>
                  <m:e>
                    <m:r>
                      <m:rPr/>
                      <m:t>w</m:t>
                    </m:r>
                  </m:e>
                  <m:sub>
                    <m:r>
                      <m:rPr/>
                      <m:t>j</m:t>
                    </m:r>
                  </m:sub>
                </m:sSub>
              </m:e>
            </m:bar>
          </m:e>
          <m:sup>
            <m:sSub>
              <m:sSubPr/>
              <m:e>
                <m:r>
                  <m:rPr/>
                  <m:t>γ</m:t>
                </m:r>
              </m:e>
              <m:sub>
                <m:r>
                  <m:rPr/>
                  <m:t>w</m:t>
                </m:r>
              </m:sub>
            </m:sSub>
          </m:sup>
        </m:sSup>
        <m:r>
          <m:rPr/>
          <m:t xml:space="preserve">, </m:t>
        </m:r>
        <m:r>
          <m:rPr/>
          <m:t xml:space="preserve"> </m:t>
        </m:r>
        <m:r>
          <m:rPr/>
          <m:t xml:space="preserve"> </m:t>
        </m:r>
        <m:r>
          <m:rPr/>
          <m:t>0</m:t>
        </m:r>
        <m:r>
          <m:rPr/>
          <m:t xml:space="preserve"> </m:t>
        </m:r>
        <m:r>
          <m:rPr>
            <m:sty m:val="p"/>
          </m:rPr>
          <m:t>≤</m:t>
        </m:r>
        <m:r>
          <m:rPr/>
          <m:t xml:space="preserve"> </m:t>
        </m:r>
        <m:sSub>
          <m:sSubPr/>
          <m:e>
            <m:r>
              <m:rPr/>
              <m:t>γ</m:t>
            </m:r>
          </m:e>
          <m:sub>
            <m:r>
              <m:rPr/>
              <m:t>w</m:t>
            </m:r>
          </m:sub>
        </m:sSub>
        <m:r>
          <m:rPr/>
          <m:t xml:space="preserve"> </m:t>
        </m:r>
        <m:r>
          <m:rPr>
            <m:sty m:val="p"/>
          </m:rPr>
          <m:t>≤</m:t>
        </m:r>
        <m:r>
          <m:rPr/>
          <m:t xml:space="preserve"> </m:t>
        </m:r>
        <m:r>
          <m:rPr/>
          <m:t>1</m:t>
        </m:r>
      </m:oMath>
      <w:r>
        <w:rPr>
          <w:rFonts w:ascii="Palatino Linotype" w:hAnsi="Palatino Linotype" w:eastAsia="Palatino Linotype"/>
          <w:b w:val="0"/>
          <w:i w:val="0"/>
          <w:sz w:val="20"/>
        </w:rPr>
        <w:tab/>
      </w:r>
      <w:r>
        <w:rPr>
          <w:rFonts w:ascii="Palatino Linotype" w:hAnsi="Palatino Linotype" w:eastAsia="Palatino Linotype"/>
          <w:b w:val="0"/>
          <w:i w:val="0"/>
          <w:sz w:val="20"/>
        </w:rPr>
        <w:t>(25)</w:t>
      </w:r>
    </w:p>
    <w:p>
      <w:pPr>
        <w:spacing w:after="120"/>
        <w:jc w:val="both"/>
      </w:pPr>
      <w:r>
        <w:rPr>
          <w:rFonts w:ascii="Palatino Linotype" w:hAnsi="Palatino Linotype" w:eastAsia="Palatino Linotype"/>
          <w:b w:val="0"/>
          <w:i w:val="0"/>
          <w:sz w:val="20"/>
        </w:rPr>
        <w:t xml:space="preserve">The parameter </w:t>
      </w:r>
      <m:oMath>
        <m:sSub>
          <m:sSubPr/>
          <m:e>
            <m:r>
              <m:rPr/>
              <m:t>γ</m:t>
            </m:r>
          </m:e>
          <m:sub>
            <m:r>
              <m:rPr/>
              <m:t>w</m:t>
            </m:r>
          </m:sub>
        </m:sSub>
      </m:oMath>
      <w:r>
        <w:rPr>
          <w:rFonts w:ascii="Palatino Linotype" w:hAnsi="Palatino Linotype" w:eastAsia="Palatino Linotype"/>
          <w:b w:val="0"/>
          <w:i w:val="0"/>
          <w:sz w:val="20"/>
        </w:rPr>
        <w:t xml:space="preserve"> nests the flexible Nash economy at zero and a fixed entry wage at one. Two properties make it convenient. At the reference point the rule is an identity, so the estimated economy of Section 4 is numerically identical for every value of </w:t>
      </w:r>
      <m:oMath>
        <m:sSub>
          <m:sSubPr/>
          <m:e>
            <m:r>
              <m:rPr/>
              <m:t>γ</m:t>
            </m:r>
          </m:e>
          <m:sub>
            <m:r>
              <m:rPr/>
              <m:t>w</m:t>
            </m:r>
          </m:sub>
        </m:sSub>
      </m:oMath>
      <w:r>
        <w:rPr>
          <w:rFonts w:ascii="Palatino Linotype" w:hAnsi="Palatino Linotype" w:eastAsia="Palatino Linotype"/>
          <w:b w:val="0"/>
          <w:i w:val="0"/>
          <w:sz w:val="20"/>
        </w:rPr>
        <w:t xml:space="preserve"> and the calibration cannot be tuned through it; and the parameter has an observable implication, namely the split of a shock between pay and employment, which Section 5.4 uses to ask what value the data require. Experienced wages are left flexible, since neither minimum wages nor graduate pay scales bind for them.</w:t>
      </w:r>
    </w:p>
    <w:p>
      <w:pPr>
        <w:spacing w:after="120"/>
        <w:jc w:val="both"/>
      </w:pPr>
      <w:r>
        <w:rPr>
          <w:rFonts w:ascii="Palatino Linotype" w:hAnsi="Palatino Linotype" w:eastAsia="Palatino Linotype"/>
          <w:b w:val="0"/>
          <w:i w:val="0"/>
          <w:sz w:val="20"/>
        </w:rPr>
        <w:t>Firms post vacancies until the expected cost of filling one equals its value, which closes the model on both tiers:</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sSub>
              <m:sSubPr/>
              <m:e>
                <m:r>
                  <m:rPr/>
                  <m:t>c</m:t>
                </m:r>
              </m:e>
              <m:sub>
                <m:r>
                  <m:rPr/>
                  <m:t>j</m:t>
                </m:r>
              </m:sub>
            </m:sSub>
            <m:d>
              <m:dPr>
                <m:begChr m:val="("/>
                <m:endChr m:val=")"/>
              </m:dPr>
              <m:e>
                <m:r>
                  <m:rPr/>
                  <m:t>1</m:t>
                </m:r>
                <m:r>
                  <m:rPr/>
                  <m:t xml:space="preserve"> </m:t>
                </m:r>
                <m:r>
                  <m:rPr>
                    <m:sty m:val="p"/>
                  </m:rPr>
                  <m:t>−</m:t>
                </m:r>
                <m:r>
                  <m:rPr/>
                  <m:t xml:space="preserve"> </m:t>
                </m:r>
                <m:sSub>
                  <m:sSubPr/>
                  <m:e>
                    <m:r>
                      <m:rPr/>
                      <m:t>s</m:t>
                    </m:r>
                  </m:e>
                  <m:sub>
                    <m:r>
                      <m:rPr/>
                      <m:t>v</m:t>
                    </m:r>
                  </m:sub>
                </m:sSub>
              </m:e>
            </m:d>
          </m:num>
          <m:den>
            <m:sSub>
              <m:sSubPr/>
              <m:e>
                <m:r>
                  <m:rPr/>
                  <m:t>q</m:t>
                </m:r>
              </m:e>
              <m:sub>
                <m:r>
                  <m:rPr/>
                  <m:t>j</m:t>
                </m:r>
              </m:sub>
            </m:sSub>
          </m:den>
        </m:f>
        <m:r>
          <m:rPr/>
          <m:t xml:space="preserve"> </m:t>
        </m:r>
        <m:r>
          <m:rPr>
            <m:sty m:val="p"/>
          </m:rPr>
          <m:t>=</m:t>
        </m:r>
        <m:r>
          <m:rPr/>
          <m:t xml:space="preserve"> </m:t>
        </m:r>
        <m:sSub>
          <m:sSubPr/>
          <m:e>
            <m:r>
              <m:rPr/>
              <m:t>J</m:t>
            </m:r>
          </m:e>
          <m:sub>
            <m:r>
              <m:rPr/>
              <m:t>j</m:t>
            </m:r>
          </m:sub>
        </m:sSub>
        <m:r>
          <m:rPr/>
          <m:t xml:space="preserve">, </m:t>
        </m:r>
        <m:r>
          <m:rPr/>
          <m:t xml:space="preserve"> </m:t>
        </m:r>
        <m:r>
          <m:rPr/>
          <m:t xml:space="preserve"> </m:t>
        </m:r>
        <m:f>
          <m:fPr/>
          <m:num>
            <m:sSub>
              <m:sSubPr/>
              <m:e>
                <m:r>
                  <m:rPr/>
                  <m:t>c</m:t>
                </m:r>
              </m:e>
              <m:sub>
                <m:r>
                  <m:rPr/>
                  <m:t>s</m:t>
                </m:r>
              </m:sub>
            </m:sSub>
            <m:d>
              <m:dPr>
                <m:begChr m:val="("/>
                <m:endChr m:val=")"/>
              </m:dPr>
              <m:e>
                <m:r>
                  <m:rPr/>
                  <m:t>1</m:t>
                </m:r>
                <m:r>
                  <m:rPr/>
                  <m:t xml:space="preserve"> </m:t>
                </m:r>
                <m:r>
                  <m:rPr>
                    <m:sty m:val="p"/>
                  </m:rPr>
                  <m:t>−</m:t>
                </m:r>
                <m:r>
                  <m:rPr/>
                  <m:t xml:space="preserve"> </m:t>
                </m:r>
                <m:sSub>
                  <m:sSubPr/>
                  <m:e>
                    <m:r>
                      <m:rPr/>
                      <m:t>s</m:t>
                    </m:r>
                  </m:e>
                  <m:sub>
                    <m:r>
                      <m:rPr/>
                      <m:t>vs</m:t>
                    </m:r>
                  </m:sub>
                </m:sSub>
              </m:e>
            </m:d>
          </m:num>
          <m:den>
            <m:sSub>
              <m:sSubPr/>
              <m:e>
                <m:r>
                  <m:rPr/>
                  <m:t>q</m:t>
                </m:r>
              </m:e>
              <m:sub>
                <m:r>
                  <m:rPr/>
                  <m:t>s</m:t>
                </m:r>
              </m:sub>
            </m:sSub>
          </m:den>
        </m:f>
        <m:r>
          <m:rPr/>
          <m:t xml:space="preserve"> </m:t>
        </m:r>
        <m:r>
          <m:rPr>
            <m:sty m:val="p"/>
          </m:rPr>
          <m:t>=</m:t>
        </m:r>
        <m:r>
          <m:rPr/>
          <m:t xml:space="preserve"> </m:t>
        </m:r>
        <m:sSub>
          <m:sSubPr/>
          <m:e>
            <m:r>
              <m:rPr/>
              <m:t>J</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(15)</w:t>
      </w:r>
    </w:p>
    <w:p>
      <w:pPr>
        <w:spacing w:after="120"/>
        <w:jc w:val="both"/>
      </w:pPr>
      <w:r>
        <w:rPr>
          <w:rFonts w:ascii="Palatino Linotype" w:hAnsi="Palatino Linotype" w:eastAsia="Palatino Linotype"/>
          <w:b w:val="0"/>
          <w:i w:val="0"/>
          <w:sz w:val="20"/>
        </w:rPr>
        <w:t xml:space="preserve">The remaining decision is how much to mentor. Because the wage has already been set and mentoring is not contractible, the firm maximises </w:t>
      </w:r>
      <m:oMath>
        <m:sSub>
          <m:sSubPr/>
          <m:e>
            <m:r>
              <m:rPr/>
              <m:t>J</m:t>
            </m:r>
          </m:e>
          <m:sub>
            <m:r>
              <m:rPr/>
              <m:t>j</m:t>
            </m:r>
          </m:sub>
        </m:sSub>
      </m:oMath>
      <w:r>
        <w:rPr>
          <w:rFonts w:ascii="Palatino Linotype" w:hAnsi="Palatino Linotype" w:eastAsia="Palatino Linotype"/>
          <w:b w:val="0"/>
          <w:i w:val="0"/>
          <w:sz w:val="20"/>
        </w:rPr>
        <w:t xml:space="preserve"> over </w:t>
      </w:r>
      <m:oMath>
        <m:r>
          <m:rPr/>
          <m:t>m</m:t>
        </m:r>
      </m:oMath>
      <w:r>
        <w:rPr>
          <w:rFonts w:ascii="Palatino Linotype" w:hAnsi="Palatino Linotype" w:eastAsia="Palatino Linotype"/>
          <w:b w:val="0"/>
          <w:i w:val="0"/>
          <w:sz w:val="20"/>
        </w:rPr>
        <w:t xml:space="preserve"> taking </w:t>
      </w:r>
      <m:oMath>
        <m:sSub>
          <m:sSubPr/>
          <m:e>
            <m:r>
              <m:rPr/>
              <m:t>w</m:t>
            </m:r>
          </m:e>
          <m:sub>
            <m:r>
              <m:rPr/>
              <m:t>j</m:t>
            </m:r>
          </m:sub>
        </m:sSub>
      </m:oMath>
      <w:r>
        <w:rPr>
          <w:rFonts w:ascii="Palatino Linotype" w:hAnsi="Palatino Linotype" w:eastAsia="Palatino Linotype"/>
          <w:b w:val="0"/>
          <w:i w:val="0"/>
          <w:sz w:val="20"/>
        </w:rPr>
        <w:t xml:space="preserve"> as given, which gives</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π</m:t>
        </m:r>
        <m:r>
          <m:rPr>
            <m:sty m:val="p"/>
          </m:rPr>
          <m:t>′</m:t>
        </m:r>
        <m:d>
          <m:dPr>
            <m:begChr m:val="("/>
            <m:endChr m:val=")"/>
          </m:dPr>
          <m:e>
            <m:r>
              <m:rPr/>
              <m:t>m</m:t>
            </m:r>
          </m:e>
        </m:d>
        <m:d>
          <m:dPr>
            <m:begChr m:val="("/>
            <m:endChr m:val=")"/>
          </m:dPr>
          <m:e>
            <m:sSub>
              <m:sSubPr/>
              <m:e>
                <m:r>
                  <m:rPr/>
                  <m:t>J</m:t>
                </m:r>
              </m:e>
              <m:sub>
                <m:r>
                  <m:rPr/>
                  <m:t>s</m:t>
                </m:r>
              </m:sub>
            </m:sSub>
            <m:r>
              <m:rPr/>
              <m:t xml:space="preserve"> </m:t>
            </m:r>
            <m:r>
              <m:rPr>
                <m:sty m:val="p"/>
              </m:rPr>
              <m:t>−</m:t>
            </m:r>
            <m:r>
              <m:rPr/>
              <m:t xml:space="preserve"> </m:t>
            </m:r>
            <m:sSub>
              <m:sSubPr/>
              <m:e>
                <m:r>
                  <m:rPr/>
                  <m:t>J</m:t>
                </m:r>
              </m:e>
              <m:sub>
                <m:r>
                  <m:rPr/>
                  <m:t>j</m:t>
                </m:r>
              </m:sub>
            </m:sSub>
          </m:e>
        </m:d>
        <m:r>
          <m:rPr/>
          <m:t xml:space="preserve"> </m:t>
        </m:r>
        <m:r>
          <m:rPr>
            <m:sty m:val="p"/>
          </m:rPr>
          <m:t>=</m:t>
        </m:r>
        <m:r>
          <m:rPr/>
          <m:t xml:space="preserve"> </m:t>
        </m:r>
        <m:d>
          <m:dPr>
            <m:begChr m:val="("/>
            <m:endChr m:val=")"/>
          </m:dPr>
          <m:e>
            <m:r>
              <m:rPr/>
              <m:t>1</m:t>
            </m:r>
            <m:r>
              <m:rPr/>
              <m:t xml:space="preserve"> </m:t>
            </m:r>
            <m:r>
              <m:rPr>
                <m:sty m:val="p"/>
              </m:rPr>
              <m:t>−</m:t>
            </m:r>
            <m:r>
              <m:rPr/>
              <m:t xml:space="preserve"> </m:t>
            </m:r>
            <m:sSub>
              <m:sSubPr/>
              <m:e>
                <m:r>
                  <m:rPr/>
                  <m:t>s</m:t>
                </m:r>
              </m:e>
              <m:sub>
                <m:r>
                  <m:rPr/>
                  <m:t>m</m:t>
                </m:r>
              </m:sub>
            </m:sSub>
          </m:e>
        </m:d>
        <m:sSub>
          <m:sSubPr/>
          <m:e>
            <m:r>
              <m:rPr/>
              <m:t>F</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(16)</w:t>
      </w:r>
    </w:p>
    <w:p>
      <w:pPr>
        <w:spacing w:after="120"/>
        <w:jc w:val="both"/>
      </w:pPr>
      <w:r>
        <w:rPr>
          <w:rFonts w:ascii="Palatino Linotype" w:hAnsi="Palatino Linotype" w:eastAsia="Palatino Linotype"/>
          <w:b w:val="0"/>
          <w:i w:val="0"/>
          <w:sz w:val="20"/>
        </w:rPr>
        <w:t xml:space="preserve">The left-hand side is the private return to mentoring: the marginal increase in the promotion hazard multiplied by the difference between what the firm holds after promotion and what it holds before. The right-hand side is the marginal cost in experienced time. Both terms move when artificial intelligence becomes cheaper, and in opposite directions, which is why the training response to the shock cannot be signed a priori. The contractible benchmark, in which the pair chooses </w:t>
      </w:r>
      <m:oMath>
        <m:r>
          <m:rPr/>
          <m:t>m</m:t>
        </m:r>
      </m:oMath>
      <w:r>
        <w:rPr>
          <w:rFonts w:ascii="Palatino Linotype" w:hAnsi="Palatino Linotype" w:eastAsia="Palatino Linotype"/>
          <w:b w:val="0"/>
          <w:i w:val="0"/>
          <w:sz w:val="20"/>
        </w:rPr>
        <w:t xml:space="preserve"> to maximise the joint surplus </w:t>
      </w:r>
      <m:oMath>
        <m:sSub>
          <m:sSubPr/>
          <m:e>
            <m:r>
              <m:rPr/>
              <m:t>S</m:t>
            </m:r>
          </m:e>
          <m:sub>
            <m:r>
              <m:rPr/>
              <m:t>j</m:t>
            </m:r>
          </m:sub>
        </m:sSub>
      </m:oMath>
      <w:r>
        <w:rPr>
          <w:rFonts w:ascii="Palatino Linotype" w:hAnsi="Palatino Linotype" w:eastAsia="Palatino Linotype"/>
          <w:b w:val="0"/>
          <w:i w:val="0"/>
          <w:sz w:val="20"/>
        </w:rPr>
        <w:t>, replaces (16) by</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π</m:t>
        </m:r>
        <m:r>
          <m:rPr>
            <m:sty m:val="p"/>
          </m:rPr>
          <m:t>′</m:t>
        </m:r>
        <m:d>
          <m:dPr>
            <m:begChr m:val="("/>
            <m:endChr m:val=")"/>
          </m:dPr>
          <m:e>
            <m:r>
              <m:rPr/>
              <m:t>m</m:t>
            </m:r>
          </m:e>
        </m:d>
        <m:d>
          <m:dPr>
            <m:begChr m:val="("/>
            <m:endChr m:val=")"/>
          </m:dPr>
          <m:e>
            <m:sSub>
              <m:sSubPr/>
              <m:e>
                <m:r>
                  <m:rPr/>
                  <m:t>J</m:t>
                </m:r>
              </m:e>
              <m:sub>
                <m:r>
                  <m:rPr/>
                  <m:t>s</m:t>
                </m:r>
              </m:sub>
            </m:sSub>
            <m:r>
              <m:rPr/>
              <m:t xml:space="preserve"> </m:t>
            </m:r>
            <m:r>
              <m:rPr>
                <m:sty m:val="p"/>
              </m:rPr>
              <m:t>+</m:t>
            </m:r>
            <m:r>
              <m:rPr/>
              <m:t xml:space="preserve"> </m:t>
            </m:r>
            <m:sSub>
              <m:sSubPr/>
              <m:e>
                <m:r>
                  <m:rPr/>
                  <m:t>W</m:t>
                </m:r>
              </m:e>
              <m:sub>
                <m:r>
                  <m:rPr/>
                  <m:t>s</m:t>
                </m:r>
              </m:sub>
            </m:sSub>
            <m:r>
              <m:rPr/>
              <m:t xml:space="preserve"> </m:t>
            </m:r>
            <m:r>
              <m:rPr>
                <m:sty m:val="p"/>
              </m:rPr>
              <m:t>−</m:t>
            </m:r>
            <m:r>
              <m:rPr/>
              <m:t xml:space="preserve"> </m:t>
            </m:r>
            <m:sSub>
              <m:sSubPr/>
              <m:e>
                <m:r>
                  <m:rPr/>
                  <m:t>U</m:t>
                </m:r>
              </m:e>
              <m:sub>
                <m:r>
                  <m:rPr/>
                  <m:t>j</m:t>
                </m:r>
              </m:sub>
            </m:sSub>
            <m:r>
              <m:rPr/>
              <m:t xml:space="preserve"> </m:t>
            </m:r>
            <m:r>
              <m:rPr>
                <m:sty m:val="p"/>
              </m:rPr>
              <m:t>−</m:t>
            </m:r>
            <m:r>
              <m:rPr/>
              <m:t xml:space="preserve"> </m:t>
            </m:r>
            <m:sSub>
              <m:sSubPr/>
              <m:e>
                <m:r>
                  <m:rPr/>
                  <m:t>S</m:t>
                </m:r>
              </m:e>
              <m:sub>
                <m:r>
                  <m:rPr/>
                  <m:t>j</m:t>
                </m:r>
              </m:sub>
            </m:sSub>
          </m:e>
        </m:d>
        <m:r>
          <m:rPr/>
          <m:t xml:space="preserve"> </m:t>
        </m:r>
        <m:r>
          <m:rPr>
            <m:sty m:val="p"/>
          </m:rPr>
          <m:t>=</m:t>
        </m:r>
        <m:r>
          <m:rPr/>
          <m:t xml:space="preserve"> </m:t>
        </m:r>
        <m:d>
          <m:dPr>
            <m:begChr m:val="("/>
            <m:endChr m:val=")"/>
          </m:dPr>
          <m:e>
            <m:r>
              <m:rPr/>
              <m:t>1</m:t>
            </m:r>
            <m:r>
              <m:rPr/>
              <m:t xml:space="preserve"> </m:t>
            </m:r>
            <m:r>
              <m:rPr>
                <m:sty m:val="p"/>
              </m:rPr>
              <m:t>−</m:t>
            </m:r>
            <m:r>
              <m:rPr/>
              <m:t xml:space="preserve"> </m:t>
            </m:r>
            <m:sSub>
              <m:sSubPr/>
              <m:e>
                <m:r>
                  <m:rPr/>
                  <m:t>s</m:t>
                </m:r>
              </m:e>
              <m:sub>
                <m:r>
                  <m:rPr/>
                  <m:t>m</m:t>
                </m:r>
              </m:sub>
            </m:sSub>
          </m:e>
        </m:d>
        <m:sSub>
          <m:sSubPr/>
          <m:e>
            <m:r>
              <m:rPr/>
              <m:t>F</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(17)</w:t>
      </w:r>
    </w:p>
    <w:p>
      <w:pPr>
        <w:keepNext/>
        <w:spacing w:before="140" w:after="80"/>
      </w:pPr>
      <w:r>
        <w:rPr>
          <w:rFonts w:ascii="Palatino Linotype" w:hAnsi="Palatino Linotype" w:eastAsia="Palatino Linotype"/>
          <w:b/>
          <w:i w:val="0"/>
          <w:sz w:val="20"/>
        </w:rPr>
        <w:t>3.5. Equilibrium</w:t>
      </w:r>
    </w:p>
    <w:p>
      <w:pPr>
        <w:spacing w:after="120"/>
        <w:jc w:val="both"/>
      </w:pPr>
      <w:r>
        <w:rPr>
          <w:rFonts w:ascii="Palatino Linotype" w:hAnsi="Palatino Linotype" w:eastAsia="Palatino Linotype"/>
          <w:b w:val="0"/>
          <w:i w:val="0"/>
          <w:sz w:val="20"/>
        </w:rPr>
        <w:t xml:space="preserve">A steady-state equilibrium is a triple </w:t>
      </w:r>
      <m:oMath>
        <m:r>
          <m:rPr/>
          <m:t xml:space="preserve">(θ_{j}, θ_{s}, m)</m:t>
        </m:r>
      </m:oMath>
      <w:r>
        <w:rPr>
          <w:rFonts w:ascii="Palatino Linotype" w:hAnsi="Palatino Linotype" w:eastAsia="Palatino Linotype"/>
          <w:b w:val="0"/>
          <w:i w:val="0"/>
          <w:sz w:val="20"/>
        </w:rPr>
        <w:t xml:space="preserve">, an artificial-intelligence input </w:t>
      </w:r>
      <m:oMath>
        <m:r>
          <m:rPr/>
          <m:t>A</m:t>
        </m:r>
      </m:oMath>
      <w:r>
        <w:rPr>
          <w:rFonts w:ascii="Palatino Linotype" w:hAnsi="Palatino Linotype" w:eastAsia="Palatino Linotype"/>
          <w:b w:val="0"/>
          <w:i w:val="0"/>
          <w:sz w:val="20"/>
        </w:rPr>
        <w:t xml:space="preserve">, wages </w:t>
      </w:r>
      <m:oMath>
        <m:r>
          <m:rPr/>
          <m:t xml:space="preserve">(w_{j}, w_{s})</m:t>
        </m:r>
      </m:oMath>
      <w:r>
        <w:rPr>
          <w:rFonts w:ascii="Palatino Linotype" w:hAnsi="Palatino Linotype" w:eastAsia="Palatino Linotype"/>
          <w:b w:val="0"/>
          <w:i w:val="0"/>
          <w:sz w:val="20"/>
        </w:rPr>
        <w:t xml:space="preserve"> and stocks </w:t>
      </w:r>
      <m:oMath>
        <m:r>
          <m:rPr/>
          <m:t xml:space="preserve">(u_{j}, e_{j}, u_{s}, e_{s})</m:t>
        </m:r>
      </m:oMath>
      <w:r>
        <w:rPr>
          <w:rFonts w:ascii="Palatino Linotype" w:hAnsi="Palatino Linotype" w:eastAsia="Palatino Linotype"/>
          <w:b w:val="0"/>
          <w:i w:val="0"/>
          <w:sz w:val="20"/>
        </w:rPr>
        <w:t xml:space="preserve"> such that the stocks are stationary given the flow rates, wages satisfy the bargaining problem and the rigidity rule, artificial intelligence satisfies (9), both free-entry conditions in (15) hold and the mentoring condition (16) holds. The three conditions in </w:t>
      </w:r>
      <m:oMath>
        <m:r>
          <m:rPr/>
          <m:t xml:space="preserve">(θ_{j}, θ_{s}, m)</m:t>
        </m:r>
      </m:oMath>
      <w:r>
        <w:rPr>
          <w:rFonts w:ascii="Palatino Linotype" w:hAnsi="Palatino Linotype" w:eastAsia="Palatino Linotype"/>
          <w:b w:val="0"/>
          <w:i w:val="0"/>
          <w:sz w:val="20"/>
        </w:rPr>
        <w:t xml:space="preserve"> are solved numerically; every equilibrium reported below was located from at least eleven independent starting points and its residuals driven below </w:t>
      </w:r>
      <m:oMath>
        <m:sSup>
          <m:sSupPr/>
          <m:e>
            <m:r>
              <m:rPr/>
              <m:t>10</m:t>
            </m:r>
          </m:e>
          <m:sup>
            <m:r>
              <m:rPr/>
              <m:t>-9</m:t>
            </m:r>
          </m:sup>
        </m:sSup>
      </m:oMath>
      <w:r>
        <w:rPr>
          <w:rFonts w:ascii="Palatino Linotype" w:hAnsi="Palatino Linotype" w:eastAsia="Palatino Linotype"/>
          <w:b w:val="0"/>
          <w:i w:val="0"/>
          <w:sz w:val="20"/>
        </w:rPr>
        <w:t>.</w:t>
      </w:r>
    </w:p>
    <w:p>
      <w:pPr>
        <w:keepNext/>
        <w:spacing w:before="140" w:after="80"/>
      </w:pPr>
      <w:r>
        <w:rPr>
          <w:rFonts w:ascii="Palatino Linotype" w:hAnsi="Palatino Linotype" w:eastAsia="Palatino Linotype"/>
          <w:b/>
          <w:i w:val="0"/>
          <w:sz w:val="20"/>
        </w:rPr>
        <w:t>3.6. The Constrained Planner and the Two Wedges</w:t>
      </w:r>
    </w:p>
    <w:p>
      <w:pPr>
        <w:spacing w:after="120"/>
        <w:jc w:val="both"/>
      </w:pPr>
      <w:r>
        <w:rPr>
          <w:rFonts w:ascii="Palatino Linotype" w:hAnsi="Palatino Linotype" w:eastAsia="Palatino Linotype"/>
          <w:b w:val="0"/>
          <w:i w:val="0"/>
          <w:sz w:val="20"/>
        </w:rPr>
        <w:t>The relevant welfare benchmark is a planner who faces the same matching and promotion technologies and chooses vacancies on both tiers, mentoring intensity and the artificial-intelligence input to maximise the present value of output net of recruiting and technology costs plus the flow value of non-employment:</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m</m:t>
        </m:r>
        <m:r>
          <m:rPr>
            <m:sty m:val="p"/>
          </m:rPr>
          <m:t>ax</m:t>
        </m:r>
        <m:r>
          <m:rPr/>
          <m:t xml:space="preserve"> </m:t>
        </m:r>
        <m:nary>
          <m:naryPr>
            <m:chr m:val="∫"/>
            <m:limLoc m:val="subSup"/>
            <m:subHide m:val="0"/>
            <m:supHide m:val="1"/>
          </m:naryPr>
          <m:sub>
            <m:r>
              <m:rPr/>
              <m:t>0</m:t>
            </m:r>
          </m:sub>
          <m:sup/>
          <m:e>
            <m:sSup>
              <m:sSupPr/>
              <m:e>
                <m:r>
                  <m:rPr>
                    <m:sty m:val="p"/>
                  </m:rPr>
                  <m:t>e</m:t>
                </m:r>
              </m:e>
              <m:sup>
                <m:r>
                  <m:rPr/>
                  <m:t xml:space="preserve"> </m:t>
                </m:r>
                <m:r>
                  <m:rPr>
                    <m:sty m:val="p"/>
                  </m:rPr>
                  <m:t>−</m:t>
                </m:r>
                <m:r>
                  <m:rPr/>
                  <m:t xml:space="preserve"> </m:t>
                </m:r>
                <m:r>
                  <m:rPr/>
                  <m:t>r</m:t>
                </m:r>
                <m:r>
                  <m:rPr/>
                  <m:t>t</m:t>
                </m:r>
              </m:sup>
            </m:sSup>
            <m:d>
              <m:dPr>
                <m:begChr m:val="["/>
                <m:endChr m:val="]"/>
              </m:dPr>
              <m:e>
                <m:r>
                  <m:rPr/>
                  <m:t>Y</m:t>
                </m:r>
                <m:r>
                  <m:rPr/>
                  <m:t xml:space="preserve"> </m:t>
                </m:r>
                <m:r>
                  <m:rPr>
                    <m:sty m:val="p"/>
                  </m:rPr>
                  <m:t>−</m:t>
                </m:r>
                <m:r>
                  <m:rPr/>
                  <m:t xml:space="preserve"> </m:t>
                </m:r>
                <m:sSub>
                  <m:sSubPr/>
                  <m:e>
                    <m:r>
                      <m:rPr/>
                      <m:t>c</m:t>
                    </m:r>
                  </m:e>
                  <m:sub>
                    <m:r>
                      <m:rPr/>
                      <m:t>j</m:t>
                    </m:r>
                  </m:sub>
                </m:sSub>
                <m:sSub>
                  <m:sSubPr/>
                  <m:e>
                    <m:r>
                      <m:rPr/>
                      <m:t>v</m:t>
                    </m:r>
                  </m:e>
                  <m:sub>
                    <m:r>
                      <m:rPr/>
                      <m:t>j</m:t>
                    </m:r>
                  </m:sub>
                </m:sSub>
                <m:r>
                  <m:rPr/>
                  <m:t xml:space="preserve"> </m:t>
                </m:r>
                <m:r>
                  <m:rPr>
                    <m:sty m:val="p"/>
                  </m:rPr>
                  <m:t>−</m:t>
                </m:r>
                <m:r>
                  <m:rPr/>
                  <m:t xml:space="preserve"> </m:t>
                </m:r>
                <m:sSub>
                  <m:sSubPr/>
                  <m:e>
                    <m:r>
                      <m:rPr/>
                      <m:t>c</m:t>
                    </m:r>
                  </m:e>
                  <m:sub>
                    <m:r>
                      <m:rPr/>
                      <m:t>s</m:t>
                    </m:r>
                  </m:sub>
                </m:sSub>
                <m:sSub>
                  <m:sSubPr/>
                  <m:e>
                    <m:r>
                      <m:rPr/>
                      <m:t>v</m:t>
                    </m:r>
                  </m:e>
                  <m:sub>
                    <m:r>
                      <m:rPr/>
                      <m:t>s</m:t>
                    </m:r>
                  </m:sub>
                </m:sSub>
                <m:r>
                  <m:rPr/>
                  <m:t xml:space="preserve"> </m:t>
                </m:r>
                <m:r>
                  <m:rPr>
                    <m:sty m:val="p"/>
                  </m:rPr>
                  <m:t>−</m:t>
                </m:r>
                <m:r>
                  <m:rPr/>
                  <m:t xml:space="preserve"> </m:t>
                </m:r>
                <m:sSub>
                  <m:sSubPr/>
                  <m:e>
                    <m:r>
                      <m:rPr/>
                      <m:t>p</m:t>
                    </m:r>
                  </m:e>
                  <m:sub>
                    <m:r>
                      <m:rPr/>
                      <m:t>a</m:t>
                    </m:r>
                  </m:sub>
                </m:sSub>
                <m:r>
                  <m:rPr/>
                  <m:t>A</m:t>
                </m:r>
                <m:r>
                  <m:rPr/>
                  <m:t xml:space="preserve"> </m:t>
                </m:r>
                <m:r>
                  <m:rPr>
                    <m:sty m:val="p"/>
                  </m:rPr>
                  <m:t>+</m:t>
                </m:r>
                <m:r>
                  <m:rPr/>
                  <m:t xml:space="preserve"> </m:t>
                </m:r>
                <m:r>
                  <m:rPr/>
                  <m:t>b</m:t>
                </m:r>
                <m:d>
                  <m:dPr>
                    <m:begChr m:val="("/>
                    <m:endChr m:val=")"/>
                  </m:dPr>
                  <m:e>
                    <m:sSub>
                      <m:sSubPr/>
                      <m:e>
                        <m:r>
                          <m:rPr/>
                          <m:t>u</m:t>
                        </m:r>
                      </m:e>
                      <m:sub>
                        <m:r>
                          <m:rPr/>
                          <m:t>j</m:t>
                        </m:r>
                      </m:sub>
                    </m:sSub>
                    <m:r>
                      <m:rPr/>
                      <m:t xml:space="preserve"> </m:t>
                    </m:r>
                    <m:r>
                      <m:rPr>
                        <m:sty m:val="p"/>
                      </m:rPr>
                      <m:t>+</m:t>
                    </m:r>
                    <m:r>
                      <m:rPr/>
                      <m:t xml:space="preserve"> </m:t>
                    </m:r>
                    <m:sSub>
                      <m:sSubPr/>
                      <m:e>
                        <m:r>
                          <m:rPr/>
                          <m:t>u</m:t>
                        </m:r>
                      </m:e>
                      <m:sub>
                        <m:r>
                          <m:rPr/>
                          <m:t>s</m:t>
                        </m:r>
                      </m:sub>
                    </m:sSub>
                  </m:e>
                </m:d>
              </m:e>
            </m:d>
            <m:r>
              <m:rPr>
                <m:sty m:val="p"/>
              </m:rPr>
              <m:t>d</m:t>
            </m:r>
            <m:r>
              <m:rPr/>
              <m:t>t</m:t>
            </m:r>
          </m:e>
        </m:nary>
      </m:oMath>
      <w:r>
        <w:rPr>
          <w:rFonts w:ascii="Palatino Linotype" w:hAnsi="Palatino Linotype" w:eastAsia="Palatino Linotype"/>
          <w:b w:val="0"/>
          <w:i w:val="0"/>
          <w:sz w:val="20"/>
        </w:rPr>
        <w:tab/>
      </w:r>
      <w:r>
        <w:rPr>
          <w:rFonts w:ascii="Palatino Linotype" w:hAnsi="Palatino Linotype" w:eastAsia="Palatino Linotype"/>
          <w:b w:val="0"/>
          <w:i w:val="0"/>
          <w:sz w:val="20"/>
        </w:rPr>
        <w:t>(18)</w:t>
      </w:r>
    </w:p>
    <w:p>
      <w:pPr>
        <w:spacing w:after="120"/>
        <w:jc w:val="both"/>
      </w:pPr>
      <w:r>
        <w:rPr>
          <w:rFonts w:ascii="Palatino Linotype" w:hAnsi="Palatino Linotype" w:eastAsia="Palatino Linotype"/>
          <w:b w:val="0"/>
          <w:i w:val="0"/>
          <w:sz w:val="20"/>
        </w:rPr>
        <w:t xml:space="preserve">subject to the four laws of motion. Poaching does not appear in the planner’s problem, because a poached worker remains employed in an identical job: the flow is a private loss and not a social one. Denoting by </w:t>
      </w:r>
      <m:oMath>
        <m:r>
          <m:rPr/>
          <m:t xml:space="preserve">λ_{uj}, λ_{ej}, λ_{us}, λ_{es}</m:t>
        </m:r>
      </m:oMath>
      <w:r>
        <w:rPr>
          <w:rFonts w:ascii="Palatino Linotype" w:hAnsi="Palatino Linotype" w:eastAsia="Palatino Linotype"/>
          <w:b w:val="0"/>
          <w:i w:val="0"/>
          <w:sz w:val="20"/>
        </w:rPr>
        <w:t xml:space="preserve"> the costates of the four stocks, the steady-state costate equations are</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r>
              <m:rPr/>
              <m:t>ω</m:t>
            </m:r>
          </m:e>
        </m:d>
        <m:sSub>
          <m:sSubPr/>
          <m:e>
            <m:r>
              <m:rPr/>
              <m:t>λ</m:t>
            </m:r>
          </m:e>
          <m:sub>
            <m:sSub>
              <m:sSubPr/>
              <m:e>
                <m:r>
                  <m:rPr/>
                  <m:t>u</m:t>
                </m:r>
              </m:e>
              <m:sub>
                <m:r>
                  <m:rPr/>
                  <m:t>j</m:t>
                </m:r>
              </m:sub>
            </m:sSub>
          </m:sub>
        </m:sSub>
        <m:r>
          <m:rPr/>
          <m:t xml:space="preserve"> </m:t>
        </m:r>
        <m:r>
          <m:rPr>
            <m:sty m:val="p"/>
          </m:rPr>
          <m:t>=</m:t>
        </m:r>
        <m:r>
          <m:rPr/>
          <m:t xml:space="preserve"> </m:t>
        </m:r>
        <m:r>
          <m:rPr/>
          <m:t>b</m:t>
        </m:r>
        <m:r>
          <m:rPr/>
          <m:t xml:space="preserve"> </m:t>
        </m:r>
        <m:r>
          <m:rPr>
            <m:sty m:val="p"/>
          </m:rPr>
          <m:t>+</m:t>
        </m:r>
        <m:r>
          <m:rPr/>
          <m:t xml:space="preserve"> </m:t>
        </m:r>
        <m:r>
          <m:rPr/>
          <m:t>η</m:t>
        </m:r>
        <m:r>
          <m:rPr/>
          <m:t xml:space="preserve"> </m:t>
        </m:r>
        <m:sSub>
          <m:sSubPr/>
          <m:e>
            <m:r>
              <m:rPr/>
              <m:t>f</m:t>
            </m:r>
          </m:e>
          <m:sub>
            <m:r>
              <m:rPr/>
              <m:t>j</m:t>
            </m:r>
          </m:sub>
        </m:sSub>
        <m:d>
          <m:dPr>
            <m:begChr m:val="("/>
            <m:endChr m:val=")"/>
          </m:dPr>
          <m:e>
            <m:sSub>
              <m:sSubPr/>
              <m:e>
                <m:r>
                  <m:rPr/>
                  <m:t>λ</m:t>
                </m:r>
              </m:e>
              <m:sub>
                <m:sSub>
                  <m:sSubPr/>
                  <m:e>
                    <m:r>
                      <m:rPr/>
                      <m:t>e</m:t>
                    </m:r>
                  </m:e>
                  <m:sub>
                    <m:r>
                      <m:rPr/>
                      <m:t>j</m:t>
                    </m:r>
                  </m:sub>
                </m:sSub>
              </m:sub>
            </m:sSub>
            <m:r>
              <m:rPr/>
              <m:t xml:space="preserve"> </m:t>
            </m:r>
            <m:r>
              <m:rPr>
                <m:sty m:val="p"/>
              </m:rPr>
              <m:t>−</m:t>
            </m:r>
            <m:r>
              <m:rPr/>
              <m:t xml:space="preserve"> </m:t>
            </m:r>
            <m:sSub>
              <m:sSubPr/>
              <m:e>
                <m:r>
                  <m:rPr/>
                  <m:t>λ</m:t>
                </m:r>
              </m:e>
              <m:sub>
                <m:sSub>
                  <m:sSubPr/>
                  <m:e>
                    <m:r>
                      <m:rPr/>
                      <m:t>u</m:t>
                    </m:r>
                  </m:e>
                  <m:sub>
                    <m:r>
                      <m:rPr/>
                      <m:t>j</m:t>
                    </m:r>
                  </m:sub>
                </m:sSub>
              </m:sub>
            </m:sSub>
          </m:e>
        </m:d>
        <m:r>
          <m:rPr/>
          <m:t xml:space="preserve">, </m:t>
        </m:r>
        <m:r>
          <m:rPr/>
          <m:t xml:space="preserve"> </m:t>
        </m:r>
        <m:r>
          <m:rPr/>
          <m:t xml:space="preserve"> </m:t>
        </m:r>
        <m:d>
          <m:dPr>
            <m:begChr m:val="("/>
            <m:endChr m:val=")"/>
          </m:dPr>
          <m:e>
            <m:r>
              <m:rPr/>
              <m:t>r</m:t>
            </m:r>
            <m:r>
              <m:rPr/>
              <m:t xml:space="preserve"> </m:t>
            </m:r>
            <m:r>
              <m:rPr>
                <m:sty m:val="p"/>
              </m:rPr>
              <m:t>+</m:t>
            </m:r>
            <m:r>
              <m:rPr/>
              <m:t xml:space="preserve"> </m:t>
            </m:r>
            <m:r>
              <m:rPr/>
              <m:t>ω</m:t>
            </m:r>
          </m:e>
        </m:d>
        <m:sSub>
          <m:sSubPr/>
          <m:e>
            <m:r>
              <m:rPr/>
              <m:t>λ</m:t>
            </m:r>
          </m:e>
          <m:sub>
            <m:sSub>
              <m:sSubPr/>
              <m:e>
                <m:r>
                  <m:rPr/>
                  <m:t>u</m:t>
                </m:r>
              </m:e>
              <m:sub>
                <m:r>
                  <m:rPr/>
                  <m:t>s</m:t>
                </m:r>
              </m:sub>
            </m:sSub>
          </m:sub>
        </m:sSub>
        <m:r>
          <m:rPr/>
          <m:t xml:space="preserve"> </m:t>
        </m:r>
        <m:r>
          <m:rPr>
            <m:sty m:val="p"/>
          </m:rPr>
          <m:t>=</m:t>
        </m:r>
        <m:r>
          <m:rPr/>
          <m:t xml:space="preserve"> </m:t>
        </m:r>
        <m:r>
          <m:rPr/>
          <m:t>b</m:t>
        </m:r>
        <m:r>
          <m:rPr/>
          <m:t xml:space="preserve"> </m:t>
        </m:r>
        <m:r>
          <m:rPr>
            <m:sty m:val="p"/>
          </m:rPr>
          <m:t>+</m:t>
        </m:r>
        <m:r>
          <m:rPr/>
          <m:t xml:space="preserve"> </m:t>
        </m:r>
        <m:r>
          <m:rPr/>
          <m:t>η</m:t>
        </m:r>
        <m:r>
          <m:rPr/>
          <m:t xml:space="preserve"> </m:t>
        </m:r>
        <m:sSub>
          <m:sSubPr/>
          <m:e>
            <m:r>
              <m:rPr/>
              <m:t>f</m:t>
            </m:r>
          </m:e>
          <m:sub>
            <m:r>
              <m:rPr/>
              <m:t>s</m:t>
            </m:r>
          </m:sub>
        </m:sSub>
        <m:d>
          <m:dPr>
            <m:begChr m:val="("/>
            <m:endChr m:val=")"/>
          </m:dPr>
          <m:e>
            <m:sSub>
              <m:sSubPr/>
              <m:e>
                <m:r>
                  <m:rPr/>
                  <m:t>λ</m:t>
                </m:r>
              </m:e>
              <m:sub>
                <m:sSub>
                  <m:sSubPr/>
                  <m:e>
                    <m:r>
                      <m:rPr/>
                      <m:t>e</m:t>
                    </m:r>
                  </m:e>
                  <m:sub>
                    <m:r>
                      <m:rPr/>
                      <m:t>s</m:t>
                    </m:r>
                  </m:sub>
                </m:sSub>
              </m:sub>
            </m:sSub>
            <m:r>
              <m:rPr/>
              <m:t xml:space="preserve"> </m:t>
            </m:r>
            <m:r>
              <m:rPr>
                <m:sty m:val="p"/>
              </m:rPr>
              <m:t>−</m:t>
            </m:r>
            <m:r>
              <m:rPr/>
              <m:t xml:space="preserve"> </m:t>
            </m:r>
            <m:sSub>
              <m:sSubPr/>
              <m:e>
                <m:r>
                  <m:rPr/>
                  <m:t>λ</m:t>
                </m:r>
              </m:e>
              <m:sub>
                <m:sSub>
                  <m:sSubPr/>
                  <m:e>
                    <m:r>
                      <m:rPr/>
                      <m:t>u</m:t>
                    </m:r>
                  </m:e>
                  <m:sub>
                    <m:r>
                      <m:rPr/>
                      <m:t>s</m:t>
                    </m:r>
                  </m:sub>
                </m:sSub>
              </m:sub>
            </m:sSub>
          </m:e>
        </m:d>
      </m:oMath>
      <w:r>
        <w:rPr>
          <w:rFonts w:ascii="Palatino Linotype" w:hAnsi="Palatino Linotype" w:eastAsia="Palatino Linotype"/>
          <w:b w:val="0"/>
          <w:i w:val="0"/>
          <w:sz w:val="20"/>
        </w:rPr>
        <w:tab/>
      </w:r>
      <w:r>
        <w:rPr>
          <w:rFonts w:ascii="Palatino Linotype" w:hAnsi="Palatino Linotype" w:eastAsia="Palatino Linotype"/>
          <w:b w:val="0"/>
          <w:i w:val="0"/>
          <w:sz w:val="20"/>
        </w:rPr>
        <w:t>(19)</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r</m:t>
            </m:r>
            <m:r>
              <m:rPr/>
              <m:t xml:space="preserve"> </m:t>
            </m:r>
            <m:r>
              <m:rPr>
                <m:sty m:val="p"/>
              </m:rPr>
              <m:t>+</m:t>
            </m:r>
            <m:r>
              <m:rPr/>
              <m:t xml:space="preserve"> </m:t>
            </m:r>
            <m:sSub>
              <m:sSubPr/>
              <m:e>
                <m:r>
                  <m:rPr/>
                  <m:t>δ</m:t>
                </m:r>
              </m:e>
              <m:sub>
                <m:r>
                  <m:rPr/>
                  <m:t>j</m:t>
                </m:r>
              </m:sub>
            </m:sSub>
            <m:r>
              <m:rPr/>
              <m:t xml:space="preserve"> </m:t>
            </m:r>
            <m:r>
              <m:rPr>
                <m:sty m:val="p"/>
              </m:rPr>
              <m:t>+</m:t>
            </m:r>
            <m:r>
              <m:rPr/>
              <m:t xml:space="preserve"> </m:t>
            </m:r>
            <m:r>
              <m:rPr/>
              <m:t>π</m:t>
            </m:r>
            <m:r>
              <m:rPr/>
              <m:t xml:space="preserve"> </m:t>
            </m:r>
            <m:r>
              <m:rPr>
                <m:sty m:val="p"/>
              </m:rPr>
              <m:t>+</m:t>
            </m:r>
            <m:r>
              <m:rPr/>
              <m:t xml:space="preserve"> </m:t>
            </m:r>
            <m:r>
              <m:rPr/>
              <m:t>ω</m:t>
            </m:r>
          </m:e>
        </m:d>
        <m:sSub>
          <m:sSubPr/>
          <m:e>
            <m:r>
              <m:rPr/>
              <m:t>λ</m:t>
            </m:r>
          </m:e>
          <m:sub>
            <m:sSub>
              <m:sSubPr/>
              <m:e>
                <m:r>
                  <m:rPr/>
                  <m:t>e</m:t>
                </m:r>
              </m:e>
              <m:sub>
                <m:r>
                  <m:rPr/>
                  <m:t>j</m:t>
                </m:r>
              </m:sub>
            </m:sSub>
          </m:sub>
        </m:sSub>
        <m:r>
          <m:rPr/>
          <m:t xml:space="preserve"> </m:t>
        </m:r>
        <m:r>
          <m:rPr>
            <m:sty m:val="p"/>
          </m:rPr>
          <m:t>=</m:t>
        </m:r>
        <m:r>
          <m:rPr/>
          <m:t xml:space="preserve"> </m:t>
        </m:r>
        <m:sSub>
          <m:sSubPr/>
          <m:e>
            <m:r>
              <m:rPr/>
              <m:t>F</m:t>
            </m:r>
          </m:e>
          <m:sub>
            <m:r>
              <m:rPr/>
              <m:t>j</m:t>
            </m:r>
          </m:sub>
        </m:sSub>
        <m:r>
          <m:rPr/>
          <m:t xml:space="preserve"> </m:t>
        </m:r>
        <m:r>
          <m:rPr>
            <m:sty m:val="p"/>
          </m:rPr>
          <m:t>−</m:t>
        </m:r>
        <m:r>
          <m:rPr/>
          <m:t xml:space="preserve"> </m:t>
        </m:r>
        <m:r>
          <m:rPr/>
          <m:t>m</m:t>
        </m:r>
        <m:sSub>
          <m:sSubPr/>
          <m:e>
            <m:r>
              <m:rPr/>
              <m:t>F</m:t>
            </m:r>
          </m:e>
          <m:sub>
            <m:r>
              <m:rPr/>
              <m:t>s</m:t>
            </m:r>
          </m:sub>
        </m:sSub>
        <m:r>
          <m:rPr/>
          <m:t xml:space="preserve"> </m:t>
        </m:r>
        <m:r>
          <m:rPr>
            <m:sty m:val="p"/>
          </m:rPr>
          <m:t>+</m:t>
        </m:r>
        <m:r>
          <m:rPr/>
          <m:t xml:space="preserve"> </m:t>
        </m:r>
        <m:sSub>
          <m:sSubPr/>
          <m:e>
            <m:r>
              <m:rPr/>
              <m:t>δ</m:t>
            </m:r>
          </m:e>
          <m:sub>
            <m:r>
              <m:rPr/>
              <m:t>j</m:t>
            </m:r>
          </m:sub>
        </m:sSub>
        <m:sSub>
          <m:sSubPr/>
          <m:e>
            <m:r>
              <m:rPr/>
              <m:t>λ</m:t>
            </m:r>
          </m:e>
          <m:sub>
            <m:sSub>
              <m:sSubPr/>
              <m:e>
                <m:r>
                  <m:rPr/>
                  <m:t>u</m:t>
                </m:r>
              </m:e>
              <m:sub>
                <m:r>
                  <m:rPr/>
                  <m:t>j</m:t>
                </m:r>
              </m:sub>
            </m:sSub>
          </m:sub>
        </m:sSub>
        <m:r>
          <m:rPr/>
          <m:t xml:space="preserve"> </m:t>
        </m:r>
        <m:r>
          <m:rPr>
            <m:sty m:val="p"/>
          </m:rPr>
          <m:t>+</m:t>
        </m:r>
        <m:r>
          <m:rPr/>
          <m:t xml:space="preserve"> </m:t>
        </m:r>
        <m:r>
          <m:rPr/>
          <m:t>π</m:t>
        </m:r>
        <m:sSub>
          <m:sSubPr/>
          <m:e>
            <m:r>
              <m:rPr/>
              <m:t>λ</m:t>
            </m:r>
          </m:e>
          <m:sub>
            <m:sSub>
              <m:sSubPr/>
              <m:e>
                <m:r>
                  <m:rPr/>
                  <m:t>e</m:t>
                </m:r>
              </m:e>
              <m:sub>
                <m:r>
                  <m:rPr/>
                  <m:t>s</m:t>
                </m:r>
              </m:sub>
            </m:sSub>
          </m:sub>
        </m:sSub>
        <m:r>
          <m:rPr/>
          <m:t xml:space="preserve">, </m:t>
        </m:r>
        <m:r>
          <m:rPr/>
          <m:t xml:space="preserve"> </m:t>
        </m:r>
        <m:r>
          <m:rPr/>
          <m:t xml:space="preserve"> </m:t>
        </m:r>
        <m:d>
          <m:dPr>
            <m:begChr m:val="("/>
            <m:endChr m:val=")"/>
          </m:dPr>
          <m:e>
            <m:r>
              <m:rPr/>
              <m:t>r</m:t>
            </m:r>
            <m:r>
              <m:rPr/>
              <m:t xml:space="preserve"> </m:t>
            </m:r>
            <m:r>
              <m:rPr>
                <m:sty m:val="p"/>
              </m:rPr>
              <m:t>+</m:t>
            </m:r>
            <m:r>
              <m:rPr/>
              <m:t xml:space="preserve"> </m:t>
            </m:r>
            <m:sSub>
              <m:sSubPr/>
              <m:e>
                <m:r>
                  <m:rPr/>
                  <m:t>δ</m:t>
                </m:r>
              </m:e>
              <m:sub>
                <m:r>
                  <m:rPr/>
                  <m:t>s</m:t>
                </m:r>
              </m:sub>
            </m:sSub>
            <m:r>
              <m:rPr/>
              <m:t xml:space="preserve"> </m:t>
            </m:r>
            <m:r>
              <m:rPr>
                <m:sty m:val="p"/>
              </m:rPr>
              <m:t>+</m:t>
            </m:r>
            <m:r>
              <m:rPr/>
              <m:t xml:space="preserve"> </m:t>
            </m:r>
            <m:r>
              <m:rPr/>
              <m:t>ω</m:t>
            </m:r>
          </m:e>
        </m:d>
        <m:sSub>
          <m:sSubPr/>
          <m:e>
            <m:r>
              <m:rPr/>
              <m:t>λ</m:t>
            </m:r>
          </m:e>
          <m:sub>
            <m:sSub>
              <m:sSubPr/>
              <m:e>
                <m:r>
                  <m:rPr/>
                  <m:t>e</m:t>
                </m:r>
              </m:e>
              <m:sub>
                <m:r>
                  <m:rPr/>
                  <m:t>s</m:t>
                </m:r>
              </m:sub>
            </m:sSub>
          </m:sub>
        </m:sSub>
        <m:r>
          <m:rPr/>
          <m:t xml:space="preserve"> </m:t>
        </m:r>
        <m:r>
          <m:rPr>
            <m:sty m:val="p"/>
          </m:rPr>
          <m:t>=</m:t>
        </m:r>
        <m:r>
          <m:rPr/>
          <m:t xml:space="preserve"> </m:t>
        </m:r>
        <m:sSub>
          <m:sSubPr/>
          <m:e>
            <m:r>
              <m:rPr/>
              <m:t>F</m:t>
            </m:r>
          </m:e>
          <m:sub>
            <m:r>
              <m:rPr/>
              <m:t>s</m:t>
            </m:r>
          </m:sub>
        </m:sSub>
        <m:r>
          <m:rPr/>
          <m:t xml:space="preserve"> </m:t>
        </m:r>
        <m:r>
          <m:rPr>
            <m:sty m:val="p"/>
          </m:rPr>
          <m:t>+</m:t>
        </m:r>
        <m:r>
          <m:rPr/>
          <m:t xml:space="preserve"> </m:t>
        </m:r>
        <m:sSub>
          <m:sSubPr/>
          <m:e>
            <m:r>
              <m:rPr/>
              <m:t>δ</m:t>
            </m:r>
          </m:e>
          <m:sub>
            <m:r>
              <m:rPr/>
              <m:t>s</m:t>
            </m:r>
          </m:sub>
        </m:sSub>
        <m:sSub>
          <m:sSubPr/>
          <m:e>
            <m:r>
              <m:rPr/>
              <m:t>λ</m:t>
            </m:r>
          </m:e>
          <m:sub>
            <m:sSub>
              <m:sSubPr/>
              <m:e>
                <m:r>
                  <m:rPr/>
                  <m:t>u</m:t>
                </m:r>
              </m:e>
              <m:sub>
                <m:r>
                  <m:rPr/>
                  <m:t>s</m:t>
                </m:r>
              </m:sub>
            </m:sSub>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(20)</w:t>
      </w:r>
    </w:p>
    <w:p>
      <w:pPr>
        <w:spacing w:after="120"/>
        <w:jc w:val="both"/>
      </w:pPr>
      <w:r>
        <w:rPr>
          <w:rFonts w:ascii="Palatino Linotype" w:hAnsi="Palatino Linotype" w:eastAsia="Palatino Linotype"/>
          <w:b w:val="0"/>
          <w:i w:val="0"/>
          <w:sz w:val="20"/>
        </w:rPr>
        <w:t>and the planner’s optimality conditions for vacancies and for mentoring are</w:t>
      </w:r>
    </w:p>
    <w:p>
      <w:pPr>
        <w:tabs>
          <w:tab w:val="center" w:pos="4600"/>
          <w:tab w:val="right" w:pos="9200"/>
        </w:tabs>
        <w:spacing w:before="80" w:after="80"/>
        <w:ind w:left="0"/>
        <w:jc w:val="right"/>
      </w:pPr>
      <w:r>
        <w:rPr>
          <w:rFonts w:ascii="Palatino Linotype" w:hAnsi="Palatino Linotype" w:eastAsia="Palatino Linotype"/>
          <w:b w:val="0"/>
          <w:i w:val="0"/>
          <w:sz w:val="20"/>
        </w:rPr>
        <w:tab/>
      </w:r>
      <m:oMath>
        <m:d>
          <m:dPr>
            <m:begChr m:val="("/>
            <m:endChr m:val=")"/>
          </m:dPr>
          <m:e>
            <m:r>
              <m:rPr/>
              <m:t>1</m:t>
            </m:r>
            <m:r>
              <m:rPr/>
              <m:t xml:space="preserve"> </m:t>
            </m:r>
            <m:r>
              <m:rPr>
                <m:sty m:val="p"/>
              </m:rPr>
              <m:t>−</m:t>
            </m:r>
            <m:r>
              <m:rPr/>
              <m:t xml:space="preserve"> </m:t>
            </m:r>
            <m:r>
              <m:rPr/>
              <m:t>η</m:t>
            </m:r>
          </m:e>
        </m:d>
        <m:sSub>
          <m:sSubPr/>
          <m:e>
            <m:r>
              <m:rPr/>
              <m:t>q</m:t>
            </m:r>
          </m:e>
          <m:sub>
            <m:r>
              <m:rPr/>
              <m:t>i</m:t>
            </m:r>
          </m:sub>
        </m:sSub>
        <m:d>
          <m:dPr>
            <m:begChr m:val="("/>
            <m:endChr m:val=")"/>
          </m:dPr>
          <m:e>
            <m:sSub>
              <m:sSubPr/>
              <m:e>
                <m:r>
                  <m:rPr/>
                  <m:t>λ</m:t>
                </m:r>
              </m:e>
              <m:sub>
                <m:sSub>
                  <m:sSubPr/>
                  <m:e>
                    <m:r>
                      <m:rPr/>
                      <m:t>e</m:t>
                    </m:r>
                  </m:e>
                  <m:sub>
                    <m:r>
                      <m:rPr/>
                      <m:t>i</m:t>
                    </m:r>
                  </m:sub>
                </m:sSub>
              </m:sub>
            </m:sSub>
            <m:r>
              <m:rPr/>
              <m:t xml:space="preserve"> </m:t>
            </m:r>
            <m:r>
              <m:rPr>
                <m:sty m:val="p"/>
              </m:rPr>
              <m:t>−</m:t>
            </m:r>
            <m:r>
              <m:rPr/>
              <m:t xml:space="preserve"> </m:t>
            </m:r>
            <m:sSub>
              <m:sSubPr/>
              <m:e>
                <m:r>
                  <m:rPr/>
                  <m:t>λ</m:t>
                </m:r>
              </m:e>
              <m:sub>
                <m:sSub>
                  <m:sSubPr/>
                  <m:e>
                    <m:r>
                      <m:rPr/>
                      <m:t>u</m:t>
                    </m:r>
                  </m:e>
                  <m:sub>
                    <m:r>
                      <m:rPr/>
                      <m:t>i</m:t>
                    </m:r>
                  </m:sub>
                </m:sSub>
              </m:sub>
            </m:sSub>
          </m:e>
        </m:d>
        <m:r>
          <m:rPr/>
          <m:t xml:space="preserve"> </m:t>
        </m:r>
        <m:r>
          <m:rPr>
            <m:sty m:val="p"/>
          </m:rPr>
          <m:t>=</m:t>
        </m:r>
        <m:r>
          <m:rPr/>
          <m:t xml:space="preserve"> </m:t>
        </m:r>
        <m:sSub>
          <m:sSubPr/>
          <m:e>
            <m:r>
              <m:rPr/>
              <m:t>c</m:t>
            </m:r>
          </m:e>
          <m:sub>
            <m:r>
              <m:rPr/>
              <m:t>i</m:t>
            </m:r>
          </m:sub>
        </m:sSub>
        <m:r>
          <m:rPr/>
          <m:t xml:space="preserve">, </m:t>
        </m:r>
        <m:r>
          <m:rPr/>
          <m:t xml:space="preserve"> </m:t>
        </m:r>
        <m:r>
          <m:rPr/>
          <m:t xml:space="preserve"> </m:t>
        </m:r>
        <m:r>
          <m:rPr/>
          <m:t>π</m:t>
        </m:r>
        <m:r>
          <m:rPr>
            <m:sty m:val="p"/>
          </m:rPr>
          <m:t>′</m:t>
        </m:r>
        <m:d>
          <m:dPr>
            <m:begChr m:val="("/>
            <m:endChr m:val=")"/>
          </m:dPr>
          <m:e>
            <m:r>
              <m:rPr/>
              <m:t>m</m:t>
            </m:r>
          </m:e>
        </m:d>
        <m:d>
          <m:dPr>
            <m:begChr m:val="("/>
            <m:endChr m:val=")"/>
          </m:dPr>
          <m:e>
            <m:sSub>
              <m:sSubPr/>
              <m:e>
                <m:r>
                  <m:rPr/>
                  <m:t>λ</m:t>
                </m:r>
              </m:e>
              <m:sub>
                <m:sSub>
                  <m:sSubPr/>
                  <m:e>
                    <m:r>
                      <m:rPr/>
                      <m:t>e</m:t>
                    </m:r>
                  </m:e>
                  <m:sub>
                    <m:r>
                      <m:rPr/>
                      <m:t>s</m:t>
                    </m:r>
                  </m:sub>
                </m:sSub>
              </m:sub>
            </m:sSub>
            <m:r>
              <m:rPr/>
              <m:t xml:space="preserve"> </m:t>
            </m:r>
            <m:r>
              <m:rPr>
                <m:sty m:val="p"/>
              </m:rPr>
              <m:t>−</m:t>
            </m:r>
            <m:r>
              <m:rPr/>
              <m:t xml:space="preserve"> </m:t>
            </m:r>
            <m:sSub>
              <m:sSubPr/>
              <m:e>
                <m:r>
                  <m:rPr/>
                  <m:t>λ</m:t>
                </m:r>
              </m:e>
              <m:sub>
                <m:sSub>
                  <m:sSubPr/>
                  <m:e>
                    <m:r>
                      <m:rPr/>
                      <m:t>e</m:t>
                    </m:r>
                  </m:e>
                  <m:sub>
                    <m:r>
                      <m:rPr/>
                      <m:t>j</m:t>
                    </m:r>
                  </m:sub>
                </m:sSub>
              </m:sub>
            </m:sSub>
          </m:e>
        </m:d>
        <m:r>
          <m:rPr/>
          <m:t xml:space="preserve"> </m:t>
        </m:r>
        <m:r>
          <m:rPr>
            <m:sty m:val="p"/>
          </m:rPr>
          <m:t>=</m:t>
        </m:r>
        <m:r>
          <m:rPr/>
          <m:t xml:space="preserve"> </m:t>
        </m:r>
        <m:sSub>
          <m:sSubPr/>
          <m:e>
            <m:r>
              <m:rPr/>
              <m:t>F</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(21)</w:t>
      </w:r>
    </w:p>
    <w:p>
      <w:pPr>
        <w:spacing w:after="120"/>
        <w:jc w:val="both"/>
      </w:pPr>
      <w:r>
        <w:rPr>
          <w:rFonts w:ascii="Palatino Linotype" w:hAnsi="Palatino Linotype" w:eastAsia="Palatino Linotype"/>
          <w:b w:val="0"/>
          <w:i w:val="0"/>
          <w:sz w:val="20"/>
        </w:rPr>
        <w:t xml:space="preserve">Comparing these with the decentralised conditions (15) and (16) isolates the two wedges, which Figure 2 illustrates. The vacancy conditions differ by the familiar factor </w:t>
      </w:r>
      <m:oMath>
        <m:r>
          <m:rPr/>
          <m:t>(1-η)</m:t>
        </m:r>
      </m:oMath>
      <w:r>
        <w:rPr>
          <w:rFonts w:ascii="Palatino Linotype" w:hAnsi="Palatino Linotype" w:eastAsia="Palatino Linotype"/>
          <w:b w:val="0"/>
          <w:i w:val="0"/>
          <w:sz w:val="20"/>
        </w:rPr>
        <w:t xml:space="preserve"> against the firm’s share </w:t>
      </w:r>
      <m:oMath>
        <m:r>
          <m:rPr/>
          <m:t>(1-β)</m:t>
        </m:r>
      </m:oMath>
      <w:r>
        <w:rPr>
          <w:rFonts w:ascii="Palatino Linotype" w:hAnsi="Palatino Linotype" w:eastAsia="Palatino Linotype"/>
          <w:b w:val="0"/>
          <w:i w:val="0"/>
          <w:sz w:val="20"/>
        </w:rPr>
        <w:t xml:space="preserve">, so search externalities cancel exactly when </w:t>
      </w:r>
      <m:oMath>
        <m:r>
          <m:rPr/>
          <m:t xml:space="preserve">β = η</m:t>
        </m:r>
      </m:oMath>
      <w:r>
        <w:rPr>
          <w:rFonts w:ascii="Palatino Linotype" w:hAnsi="Palatino Linotype" w:eastAsia="Palatino Linotype"/>
          <w:b w:val="0"/>
          <w:i w:val="0"/>
          <w:sz w:val="20"/>
        </w:rPr>
        <w:t xml:space="preserve">. The mentoring conditions differ by two further factors: the firm captures only </w:t>
      </w:r>
      <m:oMath>
        <m:r>
          <m:rPr/>
          <m:t>(1-β)</m:t>
        </m:r>
      </m:oMath>
      <w:r>
        <w:rPr>
          <w:rFonts w:ascii="Palatino Linotype" w:hAnsi="Palatino Linotype" w:eastAsia="Palatino Linotype"/>
          <w:b w:val="0"/>
          <w:i w:val="0"/>
          <w:sz w:val="20"/>
        </w:rPr>
        <w:t xml:space="preserve"> of the promotion surplus but pays the whole mentoring cost, and it values the experienced job at a discount rate inflated by </w:t>
      </w:r>
      <m:oMath>
        <m:r>
          <m:rPr/>
          <m:t>φ</m:t>
        </m:r>
      </m:oMath>
      <w:r>
        <w:rPr>
          <w:rFonts w:ascii="Palatino Linotype" w:hAnsi="Palatino Linotype" w:eastAsia="Palatino Linotype"/>
          <w:b w:val="0"/>
          <w:i w:val="0"/>
          <w:sz w:val="20"/>
        </w:rPr>
        <w:t>. This yields the two propositions.</w:t>
      </w:r>
    </w:p>
    <w:p>
      <w:pPr>
        <w:spacing w:after="40"/>
        <w:jc w:val="center"/>
      </w:pPr>
      <w:r>
        <w:drawing>
          <wp:inline distT="0" distB="0" distL="114300" distR="114300">
            <wp:extent cx="5486400" cy="32525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5486400" cy="3252541"/>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 xml:space="preserve">The return to an entry-level match and the two wedges that shrink it. Block heights are illustrative; estimated magnitudes are reported in Section 5. The lower block is current task output, which artificial intelligence substitutes for; the upper block is the value of producing an experienced worker, which it does not. Hold-up removes the share </w:t>
      </w:r>
      <m:oMath>
        <m:r>
          <m:rPr/>
          <m:t>β</m:t>
        </m:r>
      </m:oMath>
      <w:r>
        <w:rPr>
          <w:rFonts w:ascii="Palatino Linotype" w:hAnsi="Palatino Linotype" w:eastAsia="Palatino Linotype"/>
          <w:b w:val="0"/>
          <w:i w:val="0"/>
          <w:sz w:val="17"/>
        </w:rPr>
        <w:t xml:space="preserve"> of the upper block from the firm’s calculation and poaching discounts what remains, so a technology that shrinks only the lower block shifts the hiring decision onto the part of the return the market fails to reward.</w:t>
      </w:r>
    </w:p>
    <w:p>
      <w:pPr>
        <w:keepNext/>
        <w:spacing w:before="140" w:after="80"/>
      </w:pPr>
      <w:r>
        <w:rPr>
          <w:rFonts w:ascii="Palatino Linotype" w:hAnsi="Palatino Linotype" w:eastAsia="Palatino Linotype"/>
          <w:b/>
          <w:i/>
          <w:sz w:val="20"/>
        </w:rPr>
        <w:t>Proposition 1 (exact decentralisation).</w:t>
      </w:r>
    </w:p>
    <w:p>
      <w:pPr>
        <w:spacing w:after="120"/>
        <w:jc w:val="both"/>
      </w:pPr>
      <w:r>
        <w:rPr>
          <w:rFonts w:ascii="Palatino Linotype" w:hAnsi="Palatino Linotype" w:eastAsia="Palatino Linotype"/>
          <w:b w:val="0"/>
          <w:i w:val="0"/>
          <w:sz w:val="20"/>
        </w:rPr>
        <w:t xml:space="preserve">If the Hosios condition holds </w:t>
      </w:r>
      <m:oMath>
        <m:r>
          <m:rPr/>
          <m:t xml:space="preserve">(β = η)</m:t>
        </m:r>
      </m:oMath>
      <w:r>
        <w:rPr>
          <w:rFonts w:ascii="Palatino Linotype" w:hAnsi="Palatino Linotype" w:eastAsia="Palatino Linotype"/>
          <w:b w:val="0"/>
          <w:i w:val="0"/>
          <w:sz w:val="20"/>
        </w:rPr>
        <w:t xml:space="preserve">, there is no poaching </w:t>
      </w:r>
      <m:oMath>
        <m:r>
          <m:rPr/>
          <m:t xml:space="preserve">(φ = 0)</m:t>
        </m:r>
      </m:oMath>
      <w:r>
        <w:rPr>
          <w:rFonts w:ascii="Palatino Linotype" w:hAnsi="Palatino Linotype" w:eastAsia="Palatino Linotype"/>
          <w:b w:val="0"/>
          <w:i w:val="0"/>
          <w:sz w:val="20"/>
        </w:rPr>
        <w:t xml:space="preserve">, mentoring is contractible and entry wages are flexible </w:t>
      </w:r>
      <m:oMath>
        <m:r>
          <m:rPr/>
          <m:t xml:space="preserve">(γ_{w} = 0)</m:t>
        </m:r>
      </m:oMath>
      <w:r>
        <w:rPr>
          <w:rFonts w:ascii="Palatino Linotype" w:hAnsi="Palatino Linotype" w:eastAsia="Palatino Linotype"/>
          <w:b w:val="0"/>
          <w:i w:val="0"/>
          <w:sz w:val="20"/>
        </w:rPr>
        <w:t xml:space="preserve">, then the decentralised steady state coincides with the constrained planner’s allocation and no intervention can raise welfare. If either contracting friction is present, the decentralised allocation under-provides mentoring even when </w:t>
      </w:r>
      <m:oMath>
        <m:r>
          <m:rPr/>
          <m:t xml:space="preserve">β = η</m:t>
        </m:r>
      </m:oMath>
      <w:r>
        <w:rPr>
          <w:rFonts w:ascii="Palatino Linotype" w:hAnsi="Palatino Linotype" w:eastAsia="Palatino Linotype"/>
          <w:b w:val="0"/>
          <w:i w:val="0"/>
          <w:sz w:val="20"/>
        </w:rPr>
        <w:t>.</w:t>
      </w:r>
    </w:p>
    <w:p>
      <w:pPr>
        <w:spacing w:after="120"/>
        <w:jc w:val="both"/>
      </w:pPr>
      <w:r>
        <w:rPr>
          <w:rFonts w:ascii="Palatino Linotype" w:hAnsi="Palatino Linotype" w:eastAsia="Palatino Linotype"/>
          <w:b w:val="0"/>
          <w:i w:val="0"/>
          <w:sz w:val="20"/>
        </w:rPr>
        <w:t xml:space="preserve">The proof is by direct comparison of the two systems: under these conditions the costates satisfy </w:t>
      </w:r>
      <m:oMath>
        <m:r>
          <m:rPr/>
          <m:t xml:space="preserve">λ_{ei} - λ_{ui} = S_{i}</m:t>
        </m:r>
      </m:oMath>
      <w:r>
        <w:rPr>
          <w:rFonts w:ascii="Palatino Linotype" w:hAnsi="Palatino Linotype" w:eastAsia="Palatino Linotype"/>
          <w:b w:val="0"/>
          <w:i w:val="0"/>
          <w:sz w:val="20"/>
        </w:rPr>
        <w:t xml:space="preserve"> and </w:t>
      </w:r>
      <m:oMath>
        <m:r>
          <m:rPr/>
          <m:t xml:space="preserve">λ_{ui} = U_{i}</m:t>
        </m:r>
      </m:oMath>
      <w:r>
        <w:rPr>
          <w:rFonts w:ascii="Palatino Linotype" w:hAnsi="Palatino Linotype" w:eastAsia="Palatino Linotype"/>
          <w:b w:val="0"/>
          <w:i w:val="0"/>
          <w:sz w:val="20"/>
        </w:rPr>
        <w:t xml:space="preserve"> on both tiers, which converts each planner condition into the corresponding market condition. Because the argument runs through a simultaneous system of eight equations, we also verify it numerically: at the parameter values of Section 4, market and planner tightness, mentoring, stocks, output and welfare agree to a relative error below </w:t>
      </w:r>
      <m:oMath>
        <m:sSup>
          <m:sSupPr/>
          <m:e>
            <m:r>
              <m:rPr/>
              <m:t>10</m:t>
            </m:r>
          </m:e>
          <m:sup>
            <m:r>
              <m:rPr/>
              <m:t>-13</m:t>
            </m:r>
          </m:sup>
        </m:sSup>
      </m:oMath>
      <w:r>
        <w:rPr>
          <w:rFonts w:ascii="Palatino Linotype" w:hAnsi="Palatino Linotype" w:eastAsia="Palatino Linotype"/>
          <w:b w:val="0"/>
          <w:i w:val="0"/>
          <w:sz w:val="20"/>
        </w:rPr>
        <w:t>. That agreement is a joint test of the value functions, the costates and the numerical solver, and it is why the wedges reported below can be attributed to economics rather than to arithmetic.</w:t>
      </w:r>
    </w:p>
    <w:p>
      <w:pPr>
        <w:keepNext/>
        <w:spacing w:before="140" w:after="80"/>
      </w:pPr>
      <w:r>
        <w:rPr>
          <w:rFonts w:ascii="Palatino Linotype" w:hAnsi="Palatino Linotype" w:eastAsia="Palatino Linotype"/>
          <w:b/>
          <w:i/>
          <w:sz w:val="20"/>
        </w:rPr>
        <w:t>Proposition 2 (incidence depends on the wage rule).</w:t>
      </w:r>
    </w:p>
    <w:p>
      <w:pPr>
        <w:spacing w:after="120"/>
        <w:jc w:val="both"/>
      </w:pPr>
      <w:r>
        <w:rPr>
          <w:rFonts w:ascii="Palatino Linotype" w:hAnsi="Palatino Linotype" w:eastAsia="Palatino Linotype"/>
          <w:b w:val="0"/>
          <w:i w:val="0"/>
          <w:sz w:val="20"/>
        </w:rPr>
        <w:t xml:space="preserve">A fall in the price of artificial intelligence lowers the marginal product of an entry-level worker. Under flexible bargaining the entry wage absorbs the fall and the surplus, and hence entry-level tightness, is nearly unchanged; as </w:t>
      </w:r>
      <m:oMath>
        <m:sSub>
          <m:sSubPr/>
          <m:e>
            <m:r>
              <m:rPr/>
              <m:t>γ</m:t>
            </m:r>
          </m:e>
          <m:sub>
            <m:r>
              <m:rPr/>
              <m:t>w</m:t>
            </m:r>
          </m:sub>
        </m:sSub>
      </m:oMath>
      <w:r>
        <w:rPr>
          <w:rFonts w:ascii="Palatino Linotype" w:hAnsi="Palatino Linotype" w:eastAsia="Palatino Linotype"/>
          <w:b w:val="0"/>
          <w:i w:val="0"/>
          <w:sz w:val="20"/>
        </w:rPr>
        <w:t xml:space="preserve"> rises the wage absorbs progressively less and the free-entry condition transmits progressively more of the shock into entry-level hiring. The employment consequences of automation for young workers are therefore not a property of the technology alone but of the wage-setting institutions it meets. Section 5.4 traces the whole mapping and asks which values of </w:t>
      </w:r>
      <m:oMath>
        <m:sSub>
          <m:sSubPr/>
          <m:e>
            <m:r>
              <m:rPr/>
              <m:t>γ</m:t>
            </m:r>
          </m:e>
          <m:sub>
            <m:r>
              <m:rPr/>
              <m:t>w</m:t>
            </m:r>
          </m:sub>
        </m:sSub>
      </m:oMath>
      <w:r>
        <w:rPr>
          <w:rFonts w:ascii="Palatino Linotype" w:hAnsi="Palatino Linotype" w:eastAsia="Palatino Linotype"/>
          <w:b w:val="0"/>
          <w:i w:val="0"/>
          <w:sz w:val="20"/>
        </w:rPr>
        <w:t xml:space="preserve"> are consistent with the observed pattern.</w:t>
      </w:r>
    </w:p>
    <w:p>
      <w:pPr>
        <w:keepNext/>
        <w:spacing w:before="200" w:after="80"/>
      </w:pPr>
      <w:r>
        <w:rPr>
          <w:rFonts w:ascii="Palatino Linotype" w:hAnsi="Palatino Linotype" w:eastAsia="Palatino Linotype"/>
          <w:b/>
          <w:i w:val="0"/>
          <w:sz w:val="24"/>
        </w:rPr>
        <w:t>4. Calibration</w:t>
      </w:r>
    </w:p>
    <w:p>
      <w:pPr>
        <w:spacing w:after="120"/>
        <w:jc w:val="both"/>
      </w:pPr>
      <w:r>
        <w:rPr>
          <w:rFonts w:ascii="Palatino Linotype" w:hAnsi="Palatino Linotype" w:eastAsia="Palatino Linotype"/>
          <w:b w:val="0"/>
          <w:i w:val="0"/>
          <w:sz w:val="20"/>
        </w:rPr>
        <w:t xml:space="preserve">The model is calibrated to China in 2025 at annual frequency. Parameters divide into those set outside the model from external evidence and those estimated inside it. Three normalisations come first, because they determine what can be identified at all. Matching efficiency and vacancy cost enter every equilibrium object only through the ratio </w:t>
      </w:r>
      <m:oMath>
        <m:r>
          <m:rPr/>
          <m:t>μ_{i}^{2}/c_{i}</m:t>
        </m:r>
      </m:oMath>
      <w:r>
        <w:rPr>
          <w:rFonts w:ascii="Palatino Linotype" w:hAnsi="Palatino Linotype" w:eastAsia="Palatino Linotype"/>
          <w:b w:val="0"/>
          <w:i w:val="0"/>
          <w:sz w:val="20"/>
        </w:rPr>
        <w:t xml:space="preserve">, so </w:t>
      </w:r>
      <m:oMath>
        <m:r>
          <m:rPr/>
          <m:t xml:space="preserve">μ_{j} = μ_{s} = 1</m:t>
        </m:r>
      </m:oMath>
      <w:r>
        <w:rPr>
          <w:rFonts w:ascii="Palatino Linotype" w:hAnsi="Palatino Linotype" w:eastAsia="Palatino Linotype"/>
          <w:b w:val="0"/>
          <w:i w:val="0"/>
          <w:sz w:val="20"/>
        </w:rPr>
        <w:t xml:space="preserve"> and the vacancy costs carry that dimension; consequently market tightness is measured in normalised units and only its changes are meaningful. Task units are also free, so </w:t>
      </w:r>
      <m:oMath>
        <m:r>
          <m:rPr/>
          <m:t xml:space="preserve">z_{j} = \chi = 1</m:t>
        </m:r>
      </m:oMath>
      <w:r>
        <w:rPr>
          <w:rFonts w:ascii="Palatino Linotype" w:hAnsi="Palatino Linotype" w:eastAsia="Palatino Linotype"/>
          <w:b w:val="0"/>
          <w:i w:val="0"/>
          <w:sz w:val="20"/>
        </w:rPr>
        <w:t xml:space="preserve">, and only relative changes in </w:t>
      </w:r>
      <m:oMath>
        <m:r>
          <m:rPr/>
          <m:t>\chi</m:t>
        </m:r>
      </m:oMath>
      <w:r>
        <w:rPr>
          <w:rFonts w:ascii="Palatino Linotype" w:hAnsi="Palatino Linotype" w:eastAsia="Palatino Linotype"/>
          <w:b w:val="0"/>
          <w:i w:val="0"/>
          <w:sz w:val="20"/>
        </w:rPr>
        <w:t xml:space="preserve">—the exposure experiments of Section 5.5—have content. Finally, recruiting cost per hire equals </w:t>
      </w:r>
      <m:oMath>
        <m:r>
          <m:rPr/>
          <m:t>J_{i}/w_{i}</m:t>
        </m:r>
      </m:oMath>
      <w:r>
        <w:rPr>
          <w:rFonts w:ascii="Palatino Linotype" w:hAnsi="Palatino Linotype" w:eastAsia="Palatino Linotype"/>
          <w:b w:val="0"/>
          <w:i w:val="0"/>
          <w:sz w:val="20"/>
        </w:rPr>
        <w:t xml:space="preserve"> by free entry and is therefore implied rather than free, which makes it available as an over-identifying check.</w:t>
      </w:r>
    </w:p>
    <w:p>
      <w:pPr>
        <w:spacing w:after="120"/>
        <w:jc w:val="both"/>
      </w:pPr>
      <w:r>
        <w:rPr>
          <w:rFonts w:ascii="Palatino Linotype" w:hAnsi="Palatino Linotype" w:eastAsia="Palatino Linotype"/>
          <w:b w:val="0"/>
          <w:i w:val="0"/>
          <w:sz w:val="20"/>
        </w:rPr>
        <w:t>What remains is eight parameters and eight conditions: seven data moments and the output normalisation. The system is square, so rather than minimising a distance that stays positive at the optimum we solve the moment conditions exactly. A bounded least-squares solve started from a point derived analytically from the block recursion of the moment system reaches a maximum absolute log deviation of 7.0e-14 across all eight conditions. The criterion used by the global fallback stage is</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m</m:t>
        </m:r>
        <m:r>
          <m:rPr>
            <m:sty m:val="p"/>
          </m:rPr>
          <m:t>in</m:t>
        </m:r>
        <m:r>
          <m:rPr/>
          <m:t xml:space="preserve"> </m:t>
        </m:r>
        <m:nary>
          <m:naryPr>
            <m:chr m:val="∑"/>
            <m:limLoc m:val="subSup"/>
          </m:naryPr>
          <m:sub>
            <m:r>
              <m:rPr/>
              <m:t>k</m:t>
            </m:r>
            <m:r>
              <m:rPr/>
              <m:t xml:space="preserve"> </m:t>
            </m:r>
            <m:r>
              <m:rPr>
                <m:sty m:val="p"/>
              </m:rPr>
              <m:t>=</m:t>
            </m:r>
            <m:r>
              <m:rPr/>
              <m:t xml:space="preserve"> </m:t>
            </m:r>
            <m:r>
              <m:rPr/>
              <m:t>1</m:t>
            </m:r>
          </m:sub>
          <m:sup>
            <m:r>
              <m:rPr/>
              <m:t>9</m:t>
            </m:r>
          </m:sup>
          <m:e>
            <m:sSub>
              <m:sSubPr/>
              <m:e>
                <m:r>
                  <m:rPr/>
                  <m:t>ϖ</m:t>
                </m:r>
              </m:e>
              <m:sub>
                <m:r>
                  <m:rPr/>
                  <m:t>k</m:t>
                </m:r>
              </m:sub>
            </m:sSub>
            <m:sSup>
              <m:sSupPr/>
              <m:e>
                <m:d>
                  <m:dPr>
                    <m:begChr m:val="("/>
                    <m:endChr m:val=")"/>
                  </m:dPr>
                  <m:e>
                    <m:f>
                      <m:fPr/>
                      <m:num>
                        <m:sSub>
                          <m:sSubPr/>
                          <m:e>
                            <m:r>
                              <m:rPr/>
                              <m:t>m</m:t>
                            </m:r>
                          </m:e>
                          <m:sub>
                            <m:r>
                              <m:rPr/>
                              <m:t>k</m:t>
                            </m:r>
                          </m:sub>
                        </m:sSub>
                        <m:d>
                          <m:dPr>
                            <m:begChr m:val="("/>
                            <m:endChr m:val=")"/>
                          </m:dPr>
                          <m:e>
                            <m:r>
                              <m:rPr/>
                              <m:t>Θ</m:t>
                            </m:r>
                          </m:e>
                        </m:d>
                      </m:num>
                      <m:den>
                        <m:bar>
                          <m:barPr>
                            <m:pos m:val="top"/>
                          </m:barPr>
                          <m:e>
                            <m:sSub>
                              <m:sSubPr/>
                              <m:e>
                                <m:r>
                                  <m:rPr/>
                                  <m:t>m</m:t>
                                </m:r>
                              </m:e>
                              <m:sub>
                                <m:r>
                                  <m:rPr/>
                                  <m:t>k</m:t>
                                </m:r>
                              </m:sub>
                            </m:sSub>
                          </m:e>
                        </m:bar>
                      </m:den>
                    </m:f>
                    <m:r>
                      <m:rPr/>
                      <m:t xml:space="preserve"> </m:t>
                    </m:r>
                    <m:r>
                      <m:rPr>
                        <m:sty m:val="p"/>
                      </m:rPr>
                      <m:t>−</m:t>
                    </m:r>
                    <m:r>
                      <m:rPr/>
                      <m:t xml:space="preserve"> </m:t>
                    </m:r>
                    <m:r>
                      <m:rPr/>
                      <m:t>1</m:t>
                    </m:r>
                  </m:e>
                </m:d>
              </m:e>
              <m:sup>
                <m:r>
                  <m:rPr/>
                  <m:t>2</m:t>
                </m:r>
              </m:sup>
            </m:sSup>
          </m:e>
        </m:nary>
      </m:oMath>
      <w:r>
        <w:rPr>
          <w:rFonts w:ascii="Palatino Linotype" w:hAnsi="Palatino Linotype" w:eastAsia="Palatino Linotype"/>
          <w:b w:val="0"/>
          <w:i w:val="0"/>
          <w:sz w:val="20"/>
        </w:rPr>
        <w:tab/>
      </w:r>
      <w:r>
        <w:rPr>
          <w:rFonts w:ascii="Palatino Linotype" w:hAnsi="Palatino Linotype" w:eastAsia="Palatino Linotype"/>
          <w:b w:val="0"/>
          <w:i w:val="0"/>
          <w:sz w:val="20"/>
        </w:rPr>
        <w:t>(22)</w:t>
      </w:r>
    </w:p>
    <w:p>
      <w:pPr>
        <w:spacing w:after="120"/>
        <w:jc w:val="both"/>
      </w:pPr>
      <w:r>
        <w:rPr>
          <w:rFonts w:ascii="Palatino Linotype" w:hAnsi="Palatino Linotype" w:eastAsia="Palatino Linotype"/>
          <w:b w:val="0"/>
          <w:i w:val="0"/>
          <w:sz w:val="20"/>
        </w:rPr>
        <w:t xml:space="preserve">where </w:t>
      </w:r>
      <m:oMath>
        <m:r>
          <m:rPr/>
          <m:t>m_{k}(\Theta)</m:t>
        </m:r>
      </m:oMath>
      <w:r>
        <w:rPr>
          <w:rFonts w:ascii="Palatino Linotype" w:hAnsi="Palatino Linotype" w:eastAsia="Palatino Linotype"/>
          <w:b w:val="0"/>
          <w:i w:val="0"/>
          <w:sz w:val="20"/>
        </w:rPr>
        <w:t xml:space="preserve"> is the model counterpart of the target </w:t>
      </w:r>
      <m:oMath>
        <m:sSub>
          <m:sSubPr/>
          <m:e>
            <m:r>
              <m:rPr/>
              <m:t>m</m:t>
            </m:r>
          </m:e>
          <m:sub>
            <m:r>
              <m:rPr/>
              <m:t>k</m:t>
            </m:r>
          </m:sub>
        </m:sSub>
      </m:oMath>
      <w:r>
        <w:rPr>
          <w:rFonts w:ascii="Palatino Linotype" w:hAnsi="Palatino Linotype" w:eastAsia="Palatino Linotype"/>
          <w:b w:val="0"/>
          <w:i w:val="0"/>
          <w:sz w:val="20"/>
        </w:rPr>
        <w:t>.</w:t>
      </w:r>
    </w:p>
    <w:p>
      <w:pPr>
        <w:keepNext/>
        <w:spacing w:before="140" w:after="80"/>
      </w:pPr>
      <w:r>
        <w:rPr>
          <w:rFonts w:ascii="Palatino Linotype" w:hAnsi="Palatino Linotype" w:eastAsia="Palatino Linotype"/>
          <w:b/>
          <w:i w:val="0"/>
          <w:sz w:val="20"/>
        </w:rPr>
        <w:t>4.1. Externally Set Parameters</w:t>
      </w:r>
    </w:p>
    <w:p>
      <w:pPr>
        <w:spacing w:after="120"/>
        <w:jc w:val="both"/>
      </w:pPr>
      <w:r>
        <w:rPr>
          <w:rFonts w:ascii="Palatino Linotype" w:hAnsi="Palatino Linotype" w:eastAsia="Palatino Linotype"/>
          <w:b w:val="0"/>
          <w:i w:val="0"/>
          <w:sz w:val="20"/>
        </w:rPr>
        <w:t xml:space="preserve">Table 1 lists the parameters fixed outside the estimation. The discount rate is 4 per cent and the labour-force exit rate 2.5 per cent, corresponding to a forty-year career. Separation rates are 0.22 for entry-level matches and 0.085 for experienced matches, reflecting the much higher turnover of first jobs [33]. The poaching rate is 0.18, in the range implied by job-to-job transition rates among early-career experienced workers [46]. The matching elasticity is 0.5, within the consensus range of the matching-function literature [42], and worker bargaining power is set equal to it, so the Hosios condition holds exactly in the baseline. That is a deliberately conservative choice: it removes the classical search externality by construction, so every wedge we report is attributable to training and poaching rather than to an assumption about bargaining power. The elasticity of substitution between the task bundles is 2.5 and the elasticity of the promotion hazard with respect to mentoring 0.4; both are varied widely in Section 5.8. Real rigidity of the entry wage is set to </w:t>
      </w:r>
      <m:oMath>
        <m:sSub>
          <m:sSubPr/>
          <m:e>
            <m:r>
              <m:rPr/>
              <m:t>γ</m:t>
            </m:r>
          </m:e>
          <m:sub>
            <m:r>
              <m:rPr/>
              <m:t>w</m:t>
            </m:r>
          </m:sub>
        </m:sSub>
      </m:oMath>
      <w:r>
        <w:rPr>
          <w:rFonts w:ascii="Palatino Linotype" w:hAnsi="Palatino Linotype" w:eastAsia="Palatino Linotype"/>
          <w:b w:val="0"/>
          <w:i w:val="0"/>
          <w:sz w:val="20"/>
        </w:rPr>
        <w:t xml:space="preserve"> = 0.8 [51], and because the rule is an identity at the calibration point this choice does not affect any estimated parameter—only the responses in Section 5, which are reported across the whole range.</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Parameters set outside the estimation, and the three normalisations.</w:t>
      </w:r>
    </w:p>
    <w:tbl>
      <w:tblPr>
        <w:tblW w:w="0" w:type="auto"/>
        <w:jc w:val="center"/>
        <w:tblLayout w:type="fixed"/>
        <w:tblCellMar>
          <w:top w:w="0" w:type="dxa"/>
          <w:left w:w="40" w:type="dxa"/>
          <w:bottom w:w="0" w:type="dxa"/>
          <w:right w:w="40" w:type="dxa"/>
        </w:tblCellMar>
      </w:tblPr>
      <w:tblGrid>
        <w:gridCol w:w="3300"/>
        <w:gridCol w:w="1150"/>
        <w:gridCol w:w="900"/>
        <w:gridCol w:w="4290"/>
      </w:tblGrid>
      <w:tr>
        <w:trPr>
          <w:tblHeader/>
          <w:jc w:val="center"/>
        </w:trPr>
        <w:tc>
          <w:tcPr>
            <w:tcW w:w="33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Parameter</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Symbol</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Value</w:t>
            </w:r>
          </w:p>
        </w:tc>
        <w:tc>
          <w:tcPr>
            <w:tcW w:w="429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Source or justification</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Discount rate</w:t>
            </w:r>
          </w:p>
        </w:tc>
        <w:tc>
          <w:tcPr>
            <w:tcW w:w="1150" w:type="dxa"/>
            <w:tcBorders>
              <w:top w:val="nil"/>
              <w:left w:val="nil"/>
              <w:bottom w:val="nil"/>
              <w:right w:val="nil"/>
            </w:tcBorders>
          </w:tcPr>
          <w:p>
            <w:pPr>
              <w:spacing w:before="0" w:after="0" w:line="240" w:lineRule="auto"/>
              <w:ind w:left="0"/>
              <w:jc w:val="center"/>
              <w:rPr>
                <w:sz w:val="19"/>
              </w:rPr>
            </w:pPr>
            <m:oMath>
              <m:r>
                <m:rPr/>
                <m:t>r</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Annual real rate</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Labour-force exit rate</w:t>
            </w:r>
          </w:p>
        </w:tc>
        <w:tc>
          <w:tcPr>
            <w:tcW w:w="1150" w:type="dxa"/>
            <w:tcBorders>
              <w:top w:val="nil"/>
              <w:left w:val="nil"/>
              <w:bottom w:val="nil"/>
              <w:right w:val="nil"/>
            </w:tcBorders>
          </w:tcPr>
          <w:p>
            <w:pPr>
              <w:spacing w:before="0" w:after="0" w:line="240" w:lineRule="auto"/>
              <w:ind w:left="0"/>
              <w:jc w:val="center"/>
              <w:rPr>
                <w:sz w:val="19"/>
              </w:rPr>
            </w:pPr>
            <m:oMath>
              <m:r>
                <m:rPr/>
                <m:t>ω</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0.025</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Forty-year working life</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separation rate</w:t>
            </w:r>
          </w:p>
        </w:tc>
        <w:tc>
          <w:tcPr>
            <w:tcW w:w="1150" w:type="dxa"/>
            <w:tcBorders>
              <w:top w:val="nil"/>
              <w:left w:val="nil"/>
              <w:bottom w:val="nil"/>
              <w:right w:val="nil"/>
            </w:tcBorders>
          </w:tcPr>
          <w:p>
            <w:pPr>
              <w:spacing w:before="0" w:after="0" w:line="240" w:lineRule="auto"/>
              <w:ind w:left="0"/>
              <w:jc w:val="center"/>
              <w:rPr>
                <w:sz w:val="19"/>
              </w:rPr>
            </w:pPr>
            <m:oMath>
              <m:sSub>
                <m:sSubPr/>
                <m:e>
                  <m:r>
                    <m:rPr/>
                    <m:t>δ</m:t>
                  </m:r>
                </m:e>
                <m:sub>
                  <m:r>
                    <m:rPr/>
                    <m:t>j</m:t>
                  </m:r>
                </m:sub>
              </m:sSub>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0.220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High turnover of first jobs [33]</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separation rate</w:t>
            </w:r>
          </w:p>
        </w:tc>
        <w:tc>
          <w:tcPr>
            <w:tcW w:w="1150" w:type="dxa"/>
            <w:tcBorders>
              <w:top w:val="nil"/>
              <w:left w:val="nil"/>
              <w:bottom w:val="nil"/>
              <w:right w:val="nil"/>
            </w:tcBorders>
          </w:tcPr>
          <w:p>
            <w:pPr>
              <w:spacing w:before="0" w:after="0" w:line="240" w:lineRule="auto"/>
              <w:ind w:left="0"/>
              <w:jc w:val="center"/>
              <w:rPr>
                <w:sz w:val="19"/>
              </w:rPr>
            </w:pPr>
            <m:oMath>
              <m:sSub>
                <m:sSubPr/>
                <m:e>
                  <m:r>
                    <m:rPr/>
                    <m:t>δ</m:t>
                  </m:r>
                </m:e>
                <m:sub>
                  <m:r>
                    <m:rPr/>
                    <m:t>s</m:t>
                  </m:r>
                </m:sub>
              </m:sSub>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0.085</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Separation rates of established matches [41]</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Poaching rate</w:t>
            </w:r>
          </w:p>
        </w:tc>
        <w:tc>
          <w:tcPr>
            <w:tcW w:w="1150" w:type="dxa"/>
            <w:tcBorders>
              <w:top w:val="nil"/>
              <w:left w:val="nil"/>
              <w:bottom w:val="nil"/>
              <w:right w:val="nil"/>
            </w:tcBorders>
          </w:tcPr>
          <w:p>
            <w:pPr>
              <w:spacing w:before="0" w:after="0" w:line="240" w:lineRule="auto"/>
              <w:ind w:left="0"/>
              <w:jc w:val="center"/>
              <w:rPr>
                <w:sz w:val="19"/>
              </w:rPr>
            </w:pPr>
            <m:oMath>
              <m:r>
                <m:rPr/>
                <m:t>φ</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Job-to-job transitions of early-career experienced workers [46]</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Matching elasticity</w:t>
            </w:r>
          </w:p>
        </w:tc>
        <w:tc>
          <w:tcPr>
            <w:tcW w:w="1150" w:type="dxa"/>
            <w:tcBorders>
              <w:top w:val="nil"/>
              <w:left w:val="nil"/>
              <w:bottom w:val="nil"/>
              <w:right w:val="nil"/>
            </w:tcBorders>
          </w:tcPr>
          <w:p>
            <w:pPr>
              <w:spacing w:before="0" w:after="0" w:line="240" w:lineRule="auto"/>
              <w:ind w:left="0"/>
              <w:jc w:val="center"/>
              <w:rPr>
                <w:sz w:val="19"/>
              </w:rPr>
            </w:pPr>
            <m:oMath>
              <m:r>
                <m:rPr/>
                <m:t>η</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Consensus range of the matching-function literature [42]</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Worker bargaining power</w:t>
            </w:r>
          </w:p>
        </w:tc>
        <w:tc>
          <w:tcPr>
            <w:tcW w:w="1150" w:type="dxa"/>
            <w:tcBorders>
              <w:top w:val="nil"/>
              <w:left w:val="nil"/>
              <w:bottom w:val="nil"/>
              <w:right w:val="nil"/>
            </w:tcBorders>
          </w:tcPr>
          <w:p>
            <w:pPr>
              <w:spacing w:before="0" w:after="0" w:line="240" w:lineRule="auto"/>
              <w:ind w:left="0"/>
              <w:jc w:val="center"/>
              <w:rPr>
                <w:sz w:val="19"/>
              </w:rPr>
            </w:pPr>
            <m:oMath>
              <m:r>
                <m:rPr/>
                <m:t>β</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Hosios condition imposed: </w:t>
            </w:r>
            <m:oMath>
              <m:r>
                <m:rPr/>
                <m:t xml:space="preserve">β = η</m:t>
              </m:r>
            </m:oMath>
            <w:r>
              <w:rPr>
                <w:rFonts w:ascii="Palatino Linotype" w:hAnsi="Palatino Linotype" w:eastAsia="Palatino Linotype"/>
                <w:b w:val="0"/>
                <w:i w:val="0"/>
                <w:sz w:val="16"/>
              </w:rPr>
              <w:t xml:space="preserve"> [43]</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Elasticity of substitution</w:t>
            </w:r>
          </w:p>
        </w:tc>
        <w:tc>
          <w:tcPr>
            <w:tcW w:w="1150" w:type="dxa"/>
            <w:tcBorders>
              <w:top w:val="nil"/>
              <w:left w:val="nil"/>
              <w:bottom w:val="nil"/>
              <w:right w:val="nil"/>
            </w:tcBorders>
          </w:tcPr>
          <w:p>
            <w:pPr>
              <w:spacing w:before="0" w:after="0" w:line="240" w:lineRule="auto"/>
              <w:ind w:left="0"/>
              <w:jc w:val="center"/>
              <w:rPr>
                <w:sz w:val="19"/>
              </w:rPr>
            </w:pPr>
            <m:oMath>
              <m:r>
                <m:rPr/>
                <m:t>\sigma</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Varied from 1.5 to 5.0 in Section 5.8</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Elasticity of promotion to mentoring</w:t>
            </w:r>
          </w:p>
        </w:tc>
        <w:tc>
          <w:tcPr>
            <w:tcW w:w="1150" w:type="dxa"/>
            <w:tcBorders>
              <w:top w:val="nil"/>
              <w:left w:val="nil"/>
              <w:bottom w:val="nil"/>
              <w:right w:val="nil"/>
            </w:tcBorders>
          </w:tcPr>
          <w:p>
            <w:pPr>
              <w:spacing w:before="0" w:after="0" w:line="240" w:lineRule="auto"/>
              <w:ind w:left="0"/>
              <w:jc w:val="center"/>
              <w:rPr>
                <w:sz w:val="19"/>
              </w:rPr>
            </w:pPr>
            <m:oMath>
              <m:r>
                <m:rPr/>
                <m:t>\psi</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Varied from 0.25 to 0.60 in Section 5.8</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Real rigidity of the entry wage</w:t>
            </w:r>
          </w:p>
        </w:tc>
        <w:tc>
          <w:tcPr>
            <w:tcW w:w="1150" w:type="dxa"/>
            <w:tcBorders>
              <w:top w:val="nil"/>
              <w:left w:val="nil"/>
              <w:bottom w:val="nil"/>
              <w:right w:val="nil"/>
            </w:tcBorders>
          </w:tcPr>
          <w:p>
            <w:pPr>
              <w:spacing w:before="0" w:after="0" w:line="240" w:lineRule="auto"/>
              <w:ind w:left="0"/>
              <w:jc w:val="center"/>
              <w:rPr>
                <w:sz w:val="19"/>
              </w:rPr>
            </w:pPr>
            <m:oMath>
              <m:sSub>
                <m:sSubPr/>
                <m:e>
                  <m:r>
                    <m:rPr/>
                    <m:t>γ</m:t>
                  </m:r>
                </m:e>
                <m:sub>
                  <m:r>
                    <m:rPr/>
                    <m:t>w</m:t>
                  </m:r>
                </m:sub>
              </m:sSub>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Blanchard–Galí rule [51]; an identity at the calibration point, so it affects no estimate</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Matching efficiency, both tiers</w:t>
            </w:r>
          </w:p>
        </w:tc>
        <w:tc>
          <w:tcPr>
            <w:tcW w:w="1150" w:type="dxa"/>
            <w:tcBorders>
              <w:top w:val="nil"/>
              <w:left w:val="nil"/>
              <w:bottom w:val="nil"/>
              <w:right w:val="nil"/>
            </w:tcBorders>
          </w:tcPr>
          <w:p>
            <w:pPr>
              <w:spacing w:before="0" w:after="0" w:line="240" w:lineRule="auto"/>
              <w:ind w:left="0"/>
              <w:jc w:val="center"/>
              <w:rPr>
                <w:sz w:val="19"/>
              </w:rPr>
            </w:pPr>
            <m:oMath>
              <m:r>
                <m:rPr/>
                <m:t>μ_{j}=μ_{s}</m:t>
              </m:r>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Normalisation: only </w:t>
            </w:r>
            <m:oMath>
              <m:r>
                <m:rPr/>
                <m:t>μ_{i}^{2}/c_{i}</m:t>
              </m:r>
            </m:oMath>
            <w:r>
              <w:rPr>
                <w:rFonts w:ascii="Palatino Linotype" w:hAnsi="Palatino Linotype" w:eastAsia="Palatino Linotype"/>
                <w:b w:val="0"/>
                <w:i w:val="0"/>
                <w:sz w:val="16"/>
              </w:rPr>
              <w:t xml:space="preserve"> is identified</w:t>
            </w:r>
          </w:p>
        </w:tc>
      </w:tr>
      <w:tr>
        <w:trPr>
          <w:jc w:val="center"/>
        </w:trPr>
        <w:tc>
          <w:tcPr>
            <w:tcW w:w="3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task efficiency</w:t>
            </w:r>
          </w:p>
        </w:tc>
        <w:tc>
          <w:tcPr>
            <w:tcW w:w="1150" w:type="dxa"/>
            <w:tcBorders>
              <w:top w:val="nil"/>
              <w:left w:val="nil"/>
              <w:bottom w:val="nil"/>
              <w:right w:val="nil"/>
            </w:tcBorders>
          </w:tcPr>
          <w:p>
            <w:pPr>
              <w:spacing w:before="0" w:after="0" w:line="240" w:lineRule="auto"/>
              <w:ind w:left="0"/>
              <w:jc w:val="center"/>
              <w:rPr>
                <w:sz w:val="19"/>
              </w:rPr>
            </w:pPr>
            <m:oMath>
              <m:sSub>
                <m:sSubPr/>
                <m:e>
                  <m:r>
                    <m:rPr/>
                    <m:t>z</m:t>
                  </m:r>
                </m:e>
                <m:sub>
                  <m:r>
                    <m:rPr/>
                    <m:t>j</m:t>
                  </m:r>
                </m:sub>
              </m:sSub>
            </m:oMath>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42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Normalisation of task units</w:t>
            </w:r>
          </w:p>
        </w:tc>
      </w:tr>
      <w:tr>
        <w:trPr>
          <w:jc w:val="center"/>
        </w:trPr>
        <w:tc>
          <w:tcPr>
            <w:tcW w:w="33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Efficiency of artificial intelligence</w:t>
            </w:r>
          </w:p>
        </w:tc>
        <w:tc>
          <w:tcPr>
            <w:tcW w:w="1150" w:type="dxa"/>
            <w:tcBorders>
              <w:top w:val="nil"/>
              <w:left w:val="nil"/>
              <w:bottom w:val="single" w:color="000000" w:sz="8" w:space="0"/>
              <w:right w:val="nil"/>
            </w:tcBorders>
          </w:tcPr>
          <w:p>
            <w:pPr>
              <w:spacing w:before="0" w:after="0" w:line="240" w:lineRule="auto"/>
              <w:ind w:left="0"/>
              <w:jc w:val="center"/>
              <w:rPr>
                <w:sz w:val="19"/>
              </w:rPr>
            </w:pPr>
            <m:oMath>
              <m:r>
                <m:rPr/>
                <m:t>\chi</m:t>
              </m:r>
            </m:oMath>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429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Normalisation of task units; only changes in </w:t>
            </w:r>
            <m:oMath>
              <m:r>
                <m:rPr/>
                <m:t>\chi</m:t>
              </m:r>
            </m:oMath>
            <w:r>
              <w:rPr>
                <w:rFonts w:ascii="Palatino Linotype" w:hAnsi="Palatino Linotype" w:eastAsia="Palatino Linotype"/>
                <w:b w:val="0"/>
                <w:i w:val="0"/>
                <w:sz w:val="16"/>
              </w:rPr>
              <w:t xml:space="preserve"> have content</w:t>
            </w:r>
          </w:p>
        </w:tc>
      </w:tr>
    </w:tbl>
    <w:p>
      <w:pPr>
        <w:keepNext/>
        <w:spacing w:before="140" w:after="80"/>
      </w:pPr>
      <w:r>
        <w:rPr>
          <w:rFonts w:ascii="Palatino Linotype" w:hAnsi="Palatino Linotype" w:eastAsia="Palatino Linotype"/>
          <w:b/>
          <w:i w:val="0"/>
          <w:sz w:val="20"/>
        </w:rPr>
        <w:t>4.2. Estimated Parameters and Targeted Moments</w:t>
      </w:r>
    </w:p>
    <w:p>
      <w:pPr>
        <w:spacing w:after="120"/>
        <w:jc w:val="both"/>
      </w:pPr>
      <w:r>
        <w:rPr>
          <w:rFonts w:ascii="Palatino Linotype" w:hAnsi="Palatino Linotype" w:eastAsia="Palatino Linotype"/>
          <w:b w:val="0"/>
          <w:i w:val="0"/>
          <w:sz w:val="20"/>
        </w:rPr>
        <w:t>The eight estimated parameters are total factor productivity, the two vacancy costs, the weight on the entry-level bundle, the promotion scale, the price of artificial intelligence, the output elasticity of the labour bundle and the flow value of non-employment. Table 2 lists the targets, their sources and the fit, which is exact by construction. Identification is close to one-to-one and can be read off the block recursion of the model: the two vacancy costs are pinned by the two unemployment rates, the flow value of non-employment by the replacement rate, the weight on the entry-level bundle by the experience wage premium, the promotion scale by the promotion hazard, the price of artificial intelligence by its task share, the output elasticity by the labour share, and total factor productivity by the output normalisation.</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Targeted moments, the fit, and the parameter each moment principally identifies.</w:t>
      </w:r>
    </w:p>
    <w:tbl>
      <w:tblPr>
        <w:tblW w:w="0" w:type="auto"/>
        <w:jc w:val="center"/>
        <w:tblLayout w:type="fixed"/>
        <w:tblCellMar>
          <w:top w:w="0" w:type="dxa"/>
          <w:left w:w="40" w:type="dxa"/>
          <w:bottom w:w="0" w:type="dxa"/>
          <w:right w:w="40" w:type="dxa"/>
        </w:tblCellMar>
      </w:tblPr>
      <w:tblGrid>
        <w:gridCol w:w="3600"/>
        <w:gridCol w:w="1000"/>
        <w:gridCol w:w="1000"/>
        <w:gridCol w:w="1000"/>
        <w:gridCol w:w="3040"/>
      </w:tblGrid>
      <w:tr>
        <w:trPr>
          <w:tblHeader/>
          <w:jc w:val="center"/>
        </w:trPr>
        <w:tc>
          <w:tcPr>
            <w:tcW w:w="36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Moment</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Target</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Estimate</w:t>
            </w:r>
          </w:p>
        </w:tc>
        <w:tc>
          <w:tcPr>
            <w:tcW w:w="30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Parameter identified</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unemployment rate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0.056</w:t>
            </w:r>
          </w:p>
        </w:tc>
        <w:tc>
          <w:tcPr>
            <w:tcW w:w="3040" w:type="dxa"/>
            <w:tcBorders>
              <w:top w:val="nil"/>
              <w:left w:val="nil"/>
              <w:bottom w:val="nil"/>
              <w:right w:val="nil"/>
            </w:tcBorders>
          </w:tcPr>
          <w:p>
            <w:pPr>
              <w:spacing w:before="0" w:after="0" w:line="240" w:lineRule="auto"/>
              <w:ind w:left="0"/>
              <w:jc w:val="center"/>
              <w:rPr>
                <w:sz w:val="19"/>
              </w:rPr>
            </w:pPr>
            <m:oMath>
              <m:sSub>
                <m:sSubPr/>
                <m:e>
                  <m:r>
                    <m:rPr/>
                    <m:t>c</m:t>
                  </m:r>
                </m:e>
                <m:sub>
                  <m:r>
                    <m:rPr/>
                    <m:t>j</m:t>
                  </m:r>
                </m:sub>
              </m:sSub>
            </m:oMath>
            <w:r>
              <w:rPr>
                <w:rFonts w:ascii="Palatino Linotype" w:hAnsi="Palatino Linotype" w:eastAsia="Palatino Linotype"/>
                <w:b w:val="0"/>
                <w:i w:val="0"/>
                <w:sz w:val="16"/>
              </w:rPr>
              <w:t xml:space="preserve"> entry-level vacancy cost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unemployment rate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0.108</w:t>
            </w:r>
          </w:p>
        </w:tc>
        <w:tc>
          <w:tcPr>
            <w:tcW w:w="3040" w:type="dxa"/>
            <w:tcBorders>
              <w:top w:val="nil"/>
              <w:left w:val="nil"/>
              <w:bottom w:val="nil"/>
              <w:right w:val="nil"/>
            </w:tcBorders>
          </w:tcPr>
          <w:p>
            <w:pPr>
              <w:spacing w:before="0" w:after="0" w:line="240" w:lineRule="auto"/>
              <w:ind w:left="0"/>
              <w:jc w:val="center"/>
              <w:rPr>
                <w:sz w:val="19"/>
              </w:rPr>
            </w:pPr>
            <m:oMath>
              <m:sSub>
                <m:sSubPr/>
                <m:e>
                  <m:r>
                    <m:rPr/>
                    <m:t>c</m:t>
                  </m:r>
                </m:e>
                <m:sub>
                  <m:r>
                    <m:rPr/>
                    <m:t>s</m:t>
                  </m:r>
                </m:sub>
              </m:sSub>
            </m:oMath>
            <w:r>
              <w:rPr>
                <w:rFonts w:ascii="Palatino Linotype" w:hAnsi="Palatino Linotype" w:eastAsia="Palatino Linotype"/>
                <w:b w:val="0"/>
                <w:i w:val="0"/>
                <w:sz w:val="16"/>
              </w:rPr>
              <w:t xml:space="preserve"> experienced vacancy cost</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 wage premium</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1.700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1.700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0.197</w:t>
            </w:r>
          </w:p>
        </w:tc>
        <w:tc>
          <w:tcPr>
            <w:tcW w:w="3040" w:type="dxa"/>
            <w:tcBorders>
              <w:top w:val="nil"/>
              <w:left w:val="nil"/>
              <w:bottom w:val="nil"/>
              <w:right w:val="nil"/>
            </w:tcBorders>
          </w:tcPr>
          <w:p>
            <w:pPr>
              <w:spacing w:before="0" w:after="0" w:line="240" w:lineRule="auto"/>
              <w:ind w:left="0"/>
              <w:jc w:val="center"/>
              <w:rPr>
                <w:sz w:val="19"/>
              </w:rPr>
            </w:pPr>
            <m:oMath>
              <m:r>
                <m:rPr/>
                <m:t>α</m:t>
              </m:r>
            </m:oMath>
            <w:r>
              <w:rPr>
                <w:rFonts w:ascii="Palatino Linotype" w:hAnsi="Palatino Linotype" w:eastAsia="Palatino Linotype"/>
                <w:b w:val="0"/>
                <w:i w:val="0"/>
                <w:sz w:val="16"/>
              </w:rPr>
              <w:t xml:space="preserve"> weight on entry-level tasks</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Promotion hazard</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0.286</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0.286</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1.718</w:t>
            </w:r>
          </w:p>
        </w:tc>
        <w:tc>
          <w:tcPr>
            <w:tcW w:w="3040" w:type="dxa"/>
            <w:tcBorders>
              <w:top w:val="nil"/>
              <w:left w:val="nil"/>
              <w:bottom w:val="nil"/>
              <w:right w:val="nil"/>
            </w:tcBorders>
          </w:tcPr>
          <w:p>
            <w:pPr>
              <w:spacing w:before="0" w:after="0" w:line="240" w:lineRule="auto"/>
              <w:ind w:left="0"/>
              <w:jc w:val="center"/>
              <w:rPr>
                <w:sz w:val="19"/>
              </w:rPr>
            </w:pPr>
            <m:oMath>
              <m:r>
                <m:rPr/>
                <m:t>\bar{\pi}</m:t>
              </m:r>
            </m:oMath>
            <w:r>
              <w:rPr>
                <w:rFonts w:ascii="Palatino Linotype" w:hAnsi="Palatino Linotype" w:eastAsia="Palatino Linotype"/>
                <w:b w:val="0"/>
                <w:i w:val="0"/>
                <w:sz w:val="16"/>
              </w:rPr>
              <w:t xml:space="preserve"> promotion scale</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 share of entry-level tasks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0.382</w:t>
            </w:r>
          </w:p>
        </w:tc>
        <w:tc>
          <w:tcPr>
            <w:tcW w:w="3040" w:type="dxa"/>
            <w:tcBorders>
              <w:top w:val="nil"/>
              <w:left w:val="nil"/>
              <w:bottom w:val="nil"/>
              <w:right w:val="nil"/>
            </w:tcBorders>
          </w:tcPr>
          <w:p>
            <w:pPr>
              <w:spacing w:before="0" w:after="0" w:line="240" w:lineRule="auto"/>
              <w:ind w:left="0"/>
              <w:jc w:val="center"/>
              <w:rPr>
                <w:sz w:val="19"/>
              </w:rPr>
            </w:pPr>
            <m:oMath>
              <m:sSub>
                <m:sSubPr/>
                <m:e>
                  <m:r>
                    <m:rPr/>
                    <m:t>p</m:t>
                  </m:r>
                </m:e>
                <m:sub>
                  <m:r>
                    <m:rPr/>
                    <m:t>a</m:t>
                  </m:r>
                </m:sub>
              </m:sSub>
            </m:oMath>
            <w:r>
              <w:rPr>
                <w:rFonts w:ascii="Palatino Linotype" w:hAnsi="Palatino Linotype" w:eastAsia="Palatino Linotype"/>
                <w:b w:val="0"/>
                <w:i w:val="0"/>
                <w:sz w:val="16"/>
              </w:rPr>
              <w:t xml:space="preserve"> price of artificial intelligence</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Labour share of value added</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0.619</w:t>
            </w:r>
          </w:p>
        </w:tc>
        <w:tc>
          <w:tcPr>
            <w:tcW w:w="3040" w:type="dxa"/>
            <w:tcBorders>
              <w:top w:val="nil"/>
              <w:left w:val="nil"/>
              <w:bottom w:val="nil"/>
              <w:right w:val="nil"/>
            </w:tcBorders>
          </w:tcPr>
          <w:p>
            <w:pPr>
              <w:spacing w:before="0" w:after="0" w:line="240" w:lineRule="auto"/>
              <w:ind w:left="0"/>
              <w:jc w:val="center"/>
              <w:rPr>
                <w:sz w:val="19"/>
              </w:rPr>
            </w:pPr>
            <m:oMath>
              <m:r>
                <m:rPr/>
                <m:t>s</m:t>
              </m:r>
            </m:oMath>
            <w:r>
              <w:rPr>
                <w:rFonts w:ascii="Palatino Linotype" w:hAnsi="Palatino Linotype" w:eastAsia="Palatino Linotype"/>
                <w:b w:val="0"/>
                <w:i w:val="0"/>
                <w:sz w:val="16"/>
              </w:rPr>
              <w:t xml:space="preserve"> output elasticity of the bundle</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Flow value of non-employment, relative to the entry wage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0.195</w:t>
            </w:r>
          </w:p>
        </w:tc>
        <w:tc>
          <w:tcPr>
            <w:tcW w:w="3040" w:type="dxa"/>
            <w:tcBorders>
              <w:top w:val="nil"/>
              <w:left w:val="nil"/>
              <w:bottom w:val="nil"/>
              <w:right w:val="nil"/>
            </w:tcBorders>
          </w:tcPr>
          <w:p>
            <w:pPr>
              <w:spacing w:before="0" w:after="0" w:line="240" w:lineRule="auto"/>
              <w:ind w:left="0"/>
              <w:jc w:val="center"/>
              <w:rPr>
                <w:sz w:val="19"/>
              </w:rPr>
            </w:pPr>
            <m:oMath>
              <m:r>
                <m:rPr/>
                <m:t>b</m:t>
              </m:r>
            </m:oMath>
            <w:r>
              <w:rPr>
                <w:rFonts w:ascii="Palatino Linotype" w:hAnsi="Palatino Linotype" w:eastAsia="Palatino Linotype"/>
                <w:b w:val="0"/>
                <w:i w:val="0"/>
                <w:sz w:val="16"/>
              </w:rPr>
              <w:t xml:space="preserve"> flow value of non-employment</w:t>
            </w:r>
          </w:p>
        </w:tc>
      </w:tr>
      <w:tr>
        <w:trPr>
          <w:jc w:val="center"/>
        </w:trPr>
        <w:tc>
          <w:tcPr>
            <w:tcW w:w="36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Output per member of the labour force</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1.281</w:t>
            </w:r>
          </w:p>
        </w:tc>
        <w:tc>
          <w:tcPr>
            <w:tcW w:w="3040" w:type="dxa"/>
            <w:tcBorders>
              <w:top w:val="nil"/>
              <w:left w:val="nil"/>
              <w:bottom w:val="single" w:color="000000" w:sz="8" w:space="0"/>
              <w:right w:val="nil"/>
            </w:tcBorders>
          </w:tcPr>
          <w:p>
            <w:pPr>
              <w:spacing w:before="0" w:after="0" w:line="240" w:lineRule="auto"/>
              <w:ind w:left="0"/>
              <w:jc w:val="center"/>
              <w:rPr>
                <w:sz w:val="19"/>
              </w:rPr>
            </w:pPr>
            <m:oMath>
              <m:r>
                <m:rPr/>
                <m:t>Z</m:t>
              </m:r>
            </m:oMath>
            <w:r>
              <w:rPr>
                <w:rFonts w:ascii="Palatino Linotype" w:hAnsi="Palatino Linotype" w:eastAsia="Palatino Linotype"/>
                <w:b w:val="0"/>
                <w:i w:val="0"/>
                <w:sz w:val="16"/>
              </w:rPr>
              <w:t xml:space="preserve"> total factor productivity</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system is square, so the fit is exact by construction; the largest absolute log deviation across all eight conditions is 7.0e-14. The final column reports the parameter that the block recursion of the model makes primarily responsible for each moment; the mapping is not exactly triangular but is close to it.</w:t>
      </w:r>
    </w:p>
    <w:p>
      <w:pPr>
        <w:keepNext/>
        <w:spacing w:before="140" w:after="80"/>
      </w:pPr>
      <w:r>
        <w:rPr>
          <w:rFonts w:ascii="Palatino Linotype" w:hAnsi="Palatino Linotype" w:eastAsia="Palatino Linotype"/>
          <w:b/>
          <w:i w:val="0"/>
          <w:sz w:val="20"/>
        </w:rPr>
        <w:t>4.3. Over-Identifying Checks and the Held-Out Test</w:t>
      </w:r>
    </w:p>
    <w:p>
      <w:pPr>
        <w:spacing w:after="120"/>
        <w:jc w:val="both"/>
      </w:pPr>
      <w:r>
        <w:rPr>
          <w:rFonts w:ascii="Palatino Linotype" w:hAnsi="Palatino Linotype" w:eastAsia="Palatino Linotype"/>
          <w:b w:val="0"/>
          <w:i w:val="0"/>
          <w:sz w:val="20"/>
        </w:rPr>
        <w:t>Several statistics are computed but never targeted and are therefore available as checks; Table 3 reports them. The mean duration of entry-level job search implied by the estimated economy is 4.9 months, which is close to what graduate-survey evidence reports. The share of employment held by experienced workers is 91.6 per cent, consistent with a labour force in which entrants spend three and a half years in the entry tier out of a forty-year career. Recruiting cost per hire is 4.6 months of the entry wage and 4.0 months of the experienced wage; these sit at the upper end of the international range for skilled hires, which is a genuine tension we record rather than resolve.</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Over-identifying checks: model statistics that were never targeted.</w:t>
      </w:r>
    </w:p>
    <w:tbl>
      <w:tblPr>
        <w:tblW w:w="0" w:type="auto"/>
        <w:jc w:val="center"/>
        <w:tblLayout w:type="fixed"/>
        <w:tblCellMar>
          <w:top w:w="0" w:type="dxa"/>
          <w:left w:w="40" w:type="dxa"/>
          <w:bottom w:w="0" w:type="dxa"/>
          <w:right w:w="40" w:type="dxa"/>
        </w:tblCellMar>
      </w:tblPr>
      <w:tblGrid>
        <w:gridCol w:w="3800"/>
        <w:gridCol w:w="1500"/>
        <w:gridCol w:w="4340"/>
      </w:tblGrid>
      <w:tr>
        <w:trPr>
          <w:tblHeader/>
          <w:jc w:val="center"/>
        </w:trPr>
        <w:tc>
          <w:tcPr>
            <w:tcW w:w="38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Statistic</w:t>
            </w:r>
          </w:p>
        </w:tc>
        <w:tc>
          <w:tcPr>
            <w:tcW w:w="15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w:t>
            </w:r>
          </w:p>
        </w:tc>
        <w:tc>
          <w:tcPr>
            <w:tcW w:w="434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External benchmark</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Mean duration of entry-level job search (months)</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4.9</w:t>
            </w:r>
          </w:p>
        </w:tc>
        <w:tc>
          <w:tcPr>
            <w:tcW w:w="4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surveys report a first-job search of four to six months</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Share of employment held by experienced workers (%)</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91.6</w:t>
            </w:r>
          </w:p>
        </w:tc>
        <w:tc>
          <w:tcPr>
            <w:tcW w:w="4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Implied by a 3.5-year entry tier in a 40-year career</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Recruiting cost per entry-level hire (months of the entry wage)</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w:t>
            </w:r>
          </w:p>
        </w:tc>
        <w:tc>
          <w:tcPr>
            <w:tcW w:w="4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Upper end of the international range for skilled hires</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Recruiting cost per experienced hire (months of the senior wage)</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w:t>
            </w:r>
          </w:p>
        </w:tc>
        <w:tc>
          <w:tcPr>
            <w:tcW w:w="4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Upper end of the international range for skilled hires</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time as a share of experienced working time (%)</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w:t>
            </w:r>
          </w:p>
        </w:tc>
        <w:tc>
          <w:tcPr>
            <w:tcW w:w="4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Not separately measured</w:t>
            </w:r>
          </w:p>
        </w:tc>
      </w:tr>
      <w:tr>
        <w:trPr>
          <w:jc w:val="center"/>
        </w:trPr>
        <w:tc>
          <w:tcPr>
            <w:tcW w:w="38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Firm-financed training as a share of the wage bill (%)</w:t>
            </w:r>
          </w:p>
        </w:tc>
        <w:tc>
          <w:tcPr>
            <w:tcW w:w="15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0.11</w:t>
            </w:r>
          </w:p>
        </w:tc>
        <w:tc>
          <w:tcPr>
            <w:tcW w:w="434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Chinese enterprises report 1.5 to 2.5 per cent of the wage bill as employee-education expenditure; the model under-predicts this (Section 4.3)</w:t>
            </w:r>
          </w:p>
        </w:tc>
      </w:tr>
    </w:tbl>
    <w:p>
      <w:pPr>
        <w:spacing w:after="120"/>
        <w:jc w:val="both"/>
      </w:pPr>
      <w:r>
        <w:rPr>
          <w:rFonts w:ascii="Palatino Linotype" w:hAnsi="Palatino Linotype" w:eastAsia="Palatino Linotype"/>
          <w:b w:val="0"/>
          <w:i w:val="0"/>
          <w:sz w:val="20"/>
        </w:rPr>
        <w:t>One check fails informatively. Firm-financed mentoring in the estimated economy costs 0.11 per cent of the wage bill, an order of magnitude below the one-and-a-half to two-and-a-half per cent that Chinese enterprises report as employee-education expenditure. Part of the gap is definitional—reported spending covers compliance training and the upskilling of incumbents, not only the mentoring of entrants, and much of it is publicly subsidised—but part of it is the model’s central claim, that firm-financed training of entrants is small because firms capture little of its return. We flag the check as failed rather than reinterpreting it as evidence: a model in which the marginal private return to mentoring is this low will understate observed training expenditure, and the results of Section 5 should be read with that in mind.</w:t>
      </w:r>
    </w:p>
    <w:p>
      <w:pPr>
        <w:spacing w:after="120"/>
        <w:jc w:val="both"/>
      </w:pPr>
      <w:r>
        <w:rPr>
          <w:rFonts w:ascii="Palatino Linotype" w:hAnsi="Palatino Linotype" w:eastAsia="Palatino Linotype"/>
          <w:b w:val="0"/>
          <w:i w:val="0"/>
          <w:sz w:val="20"/>
        </w:rPr>
        <w:t>Held out entirely from the estimation is the relationship between artificial-intelligence exposure and entry-level employment. No information about employment by exposure enters the calibration at any point, so the cross-occupation gradient the model predicts in Section 5.5 is a genuine out-of-sample test against the payroll-based estimate of Brynjolfsson, Chandar and Chen [3].</w:t>
      </w:r>
    </w:p>
    <w:p>
      <w:pPr>
        <w:spacing w:after="120"/>
        <w:jc w:val="both"/>
      </w:pPr>
      <w:r>
        <w:rPr>
          <w:rFonts w:ascii="Palatino Linotype" w:hAnsi="Palatino Linotype" w:eastAsia="Palatino Linotype"/>
          <w:b w:val="0"/>
          <w:i w:val="0"/>
          <w:sz w:val="20"/>
        </w:rPr>
        <w:t>Two limitations of the calibration should be stated at the outset. The model is a steady-state, representative-agent structure: it compares long-run allocations, is silent about transition paths, and cannot address heterogeneity by field of study, institution or region. And the artificial-intelligence task share is the least well measured of the eight targets, since adoption surveys record whether a technology is used rather than what fraction of entry-level task content it performs; Section 5.2 therefore reports the whole path rather than a single counterfactual point.</w:t>
      </w:r>
    </w:p>
    <w:p>
      <w:pPr>
        <w:keepNext/>
        <w:spacing w:before="200" w:after="80"/>
      </w:pPr>
      <w:r>
        <w:rPr>
          <w:rFonts w:ascii="Palatino Linotype" w:hAnsi="Palatino Linotype" w:eastAsia="Palatino Linotype"/>
          <w:b/>
          <w:i w:val="0"/>
          <w:sz w:val="24"/>
        </w:rPr>
        <w:t>5. Results</w:t>
      </w:r>
    </w:p>
    <w:p>
      <w:pPr>
        <w:keepNext/>
        <w:spacing w:before="140" w:after="80"/>
      </w:pPr>
      <w:r>
        <w:rPr>
          <w:rFonts w:ascii="Palatino Linotype" w:hAnsi="Palatino Linotype" w:eastAsia="Palatino Linotype"/>
          <w:b/>
          <w:i w:val="0"/>
          <w:sz w:val="20"/>
        </w:rPr>
        <w:t>5.1. The Baseline Allocation and the Training Wedge</w:t>
      </w:r>
    </w:p>
    <w:p>
      <w:pPr>
        <w:spacing w:after="120"/>
        <w:jc w:val="both"/>
      </w:pPr>
      <w:r>
        <w:rPr>
          <w:rFonts w:ascii="Palatino Linotype" w:hAnsi="Palatino Linotype" w:eastAsia="Palatino Linotype"/>
          <w:b w:val="0"/>
          <w:i w:val="0"/>
          <w:sz w:val="20"/>
        </w:rPr>
        <w:t>Table 4 sets the estimated equilibrium beside the constrained optimum. The difference is not marginal. The market provides 0.14 of the socially efficient amount of mentoring—about one seventh of it—so the promotion hazard is 259 per cent below its efficient level and first promotion takes 3.50 years instead of 0.97. The stock of experienced workers is 6.9 per cent below the optimum, output 3.6 per cent below it, and welfare 1.39 per cent below it.</w:t>
      </w:r>
    </w:p>
    <w:p>
      <w:pPr>
        <w:spacing w:after="120"/>
        <w:jc w:val="both"/>
      </w:pPr>
      <w:r>
        <w:rPr>
          <w:rFonts w:ascii="Palatino Linotype" w:hAnsi="Palatino Linotype" w:eastAsia="Palatino Linotype"/>
          <w:b w:val="0"/>
          <w:i w:val="0"/>
          <w:sz w:val="20"/>
        </w:rPr>
        <w:t>What generates that gap matters more than its size. Worker bargaining power is set exactly equal to the matching elasticity, so the classical search externality is switched off by construction and none of this is a Hosios violation. Consistently with Proposition 1, entry-level tightness is close to efficient—the planner would raise it by only 12.9 per cent—while the training margin is not. Removing both contracting frictions raises mentoring by 633 per cent, and a Shapley decomposition of that log gap attributes 96 per cent of it to hold-up and 4 per cent to poaching. Neither friction is exotic: hold-up follows from the impossibility of writing an enforceable contract on how much attention a supervisor gives a recruit, and poaching from the fact that trained workers can quit. The numerical check behind Proposition 1 is reported alongside: with the Hosios condition, no poaching, contractible training and flexible wages, market and planner agree on every reported quantity to a relative error of 2e-14.</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The estimated equilibrium and the constrained optimum.</w:t>
      </w:r>
    </w:p>
    <w:tbl>
      <w:tblPr>
        <w:tblW w:w="0" w:type="auto"/>
        <w:jc w:val="center"/>
        <w:tblLayout w:type="fixed"/>
        <w:tblCellMar>
          <w:top w:w="0" w:type="dxa"/>
          <w:left w:w="40" w:type="dxa"/>
          <w:bottom w:w="0" w:type="dxa"/>
          <w:right w:w="40" w:type="dxa"/>
        </w:tblCellMar>
      </w:tblPr>
      <w:tblGrid>
        <w:gridCol w:w="3600"/>
        <w:gridCol w:w="1900"/>
        <w:gridCol w:w="2240"/>
        <w:gridCol w:w="1900"/>
      </w:tblGrid>
      <w:tr>
        <w:trPr>
          <w:tblHeader/>
          <w:jc w:val="center"/>
        </w:trPr>
        <w:tc>
          <w:tcPr>
            <w:tcW w:w="36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Quantity</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Market</w:t>
            </w:r>
          </w:p>
        </w:tc>
        <w:tc>
          <w:tcPr>
            <w:tcW w:w="22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Constrained optimum</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Gap</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market tightness</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6.013</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6.790</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+12.9%</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market tightness</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3.485</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3.665</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+5.2%</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per entrant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0.0113</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0.2771</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+2348.9%</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Aggregate mentoring time</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0.00089</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0.00650</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+627.5%</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Promotion hazard</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0.286</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1.028</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+259.4%</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Years to first promotion</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3.50</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−2.52</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Promotion flow</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0.02260</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0.02413</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employed</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0.0790</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0.0235</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−70.3%</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employed</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0.8650</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0.9245</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+6.9%</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Total unemployment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0.0560</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0.0520</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w:t>
            </w:r>
          </w:p>
        </w:tc>
      </w:tr>
      <w:tr>
        <w:trPr>
          <w:jc w:val="center"/>
        </w:trPr>
        <w:tc>
          <w:tcPr>
            <w:tcW w:w="3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Output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1.0000</w:t>
            </w:r>
          </w:p>
        </w:tc>
        <w:tc>
          <w:tcPr>
            <w:tcW w:w="2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1.0358</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w:t>
            </w:r>
          </w:p>
        </w:tc>
      </w:tr>
      <w:tr>
        <w:trPr>
          <w:jc w:val="center"/>
        </w:trPr>
        <w:tc>
          <w:tcPr>
            <w:tcW w:w="36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Welfare</w:t>
            </w:r>
          </w:p>
        </w:tc>
        <w:tc>
          <w:tcPr>
            <w:tcW w:w="1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0.9805</w:t>
            </w:r>
          </w:p>
        </w:tc>
        <w:tc>
          <w:tcPr>
            <w:tcW w:w="22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0.9941</w:t>
            </w:r>
          </w:p>
        </w:tc>
        <w:tc>
          <w:tcPr>
            <w:tcW w:w="1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+1.4%</w:t>
            </w:r>
          </w:p>
        </w:tc>
      </w:tr>
    </w:tbl>
    <w:p>
      <w:pPr>
        <w:spacing w:after="120"/>
        <w:jc w:val="both"/>
      </w:pPr>
      <w:r>
        <w:rPr>
          <w:rFonts w:ascii="Palatino Linotype" w:hAnsi="Palatino Linotype" w:eastAsia="Palatino Linotype"/>
          <w:b w:val="0"/>
          <w:i w:val="0"/>
          <w:sz w:val="20"/>
        </w:rPr>
        <w:t>One aggregate deserves comment because it recurs below. Entry-level employment measured as a stock is a poor welfare indicator in this economy. The planner holds 70 per cent fewer entry-level workers than the market does, not because it wants fewer people to have first jobs but because it moves them out of the entry tier 3.6 times faster. With an exogenous flow of entrants, the entry-level stock confounds inflow with duration. We therefore report entry-level access as the entry-level employment rate and the ladder’s output as the promotion flow.</w:t>
      </w:r>
    </w:p>
    <w:p>
      <w:pPr>
        <w:keepNext/>
        <w:spacing w:before="140" w:after="80"/>
      </w:pPr>
      <w:r>
        <w:rPr>
          <w:rFonts w:ascii="Palatino Linotype" w:hAnsi="Palatino Linotype" w:eastAsia="Palatino Linotype"/>
          <w:b/>
          <w:i w:val="0"/>
          <w:sz w:val="20"/>
        </w:rPr>
        <w:t>5.2. The Artificial-Intelligence Shock</w:t>
      </w:r>
    </w:p>
    <w:p>
      <w:pPr>
        <w:spacing w:after="120"/>
        <w:jc w:val="both"/>
      </w:pPr>
      <w:r>
        <w:rPr>
          <w:rFonts w:ascii="Palatino Linotype" w:hAnsi="Palatino Linotype" w:eastAsia="Palatino Linotype"/>
          <w:b w:val="0"/>
          <w:i w:val="0"/>
          <w:sz w:val="20"/>
        </w:rPr>
        <w:t>We now lower the price of one efficiency unit of artificial intelligence and trace the equilibrium and the optimum along the path. Figure 3 shows the whole trajectory; Table 5 reports the point at which artificial intelligence performs 50 per cent of the entry-level task bundle, twice its estimated share, which requires the price to fall by 7.2 per cent.</w:t>
      </w:r>
    </w:p>
    <w:p>
      <w:pPr>
        <w:spacing w:after="40"/>
        <w:jc w:val="center"/>
      </w:pPr>
      <w:r>
        <w:drawing>
          <wp:inline distT="0" distB="0" distL="114300" distR="114300">
            <wp:extent cx="5669280" cy="39787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2"/>
                    <a:stretch>
                      <a:fillRect/>
                    </a:stretch>
                  </pic:blipFill>
                  <pic:spPr>
                    <a:xfrm>
                      <a:off x="0" y="0"/>
                      <a:ext cx="5669280" cy="3978716"/>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3. </w:t>
      </w:r>
      <w:r>
        <w:rPr>
          <w:rFonts w:ascii="Palatino Linotype" w:hAnsi="Palatino Linotype" w:eastAsia="Palatino Linotype"/>
          <w:b w:val="0"/>
          <w:i w:val="0"/>
          <w:sz w:val="17"/>
        </w:rPr>
        <w:t>The economy as artificial intelligence becomes cheaper. Panel (a): the entry-level employment rate and the entry wage, indexed to the estimated baseline. Panel (b): mentoring per entrant and the expected time to promotion. Panel (c): the ladder’s output—the promotion flow and the stock of experienced workers. Panel (d): the training wedge, measured as the excess of efficient over market mentoring, and the welfare gap. The horizontal axis is the share of the entry-level task bundle performed by artificial intelligence; the estimated economy sits at 25 per cent.</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The artificial-intelligence shock: the entry-level task share doubles.</w:t>
      </w:r>
    </w:p>
    <w:tbl>
      <w:tblPr>
        <w:tblW w:w="0" w:type="auto"/>
        <w:jc w:val="center"/>
        <w:tblLayout w:type="fixed"/>
        <w:tblCellMar>
          <w:top w:w="0" w:type="dxa"/>
          <w:left w:w="40" w:type="dxa"/>
          <w:bottom w:w="0" w:type="dxa"/>
          <w:right w:w="40" w:type="dxa"/>
        </w:tblCellMar>
      </w:tblPr>
      <w:tblGrid>
        <w:gridCol w:w="3800"/>
        <w:gridCol w:w="1800"/>
        <w:gridCol w:w="2140"/>
        <w:gridCol w:w="1900"/>
      </w:tblGrid>
      <w:tr>
        <w:trPr>
          <w:tblHeader/>
          <w:jc w:val="center"/>
        </w:trPr>
        <w:tc>
          <w:tcPr>
            <w:tcW w:w="38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Outcome</w:t>
            </w:r>
          </w:p>
        </w:tc>
        <w:tc>
          <w:tcPr>
            <w:tcW w:w="18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Baseline</w:t>
            </w:r>
          </w:p>
        </w:tc>
        <w:tc>
          <w:tcPr>
            <w:tcW w:w="21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After the shock</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Change</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 share of the entry-level task bundle</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0.2500</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0.5000</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employment rate</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0.8220</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0.7627</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−7.2%</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 wage</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0.3549</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0.3444</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wage</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0.6034</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0.6004</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per entrant</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0.0113</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0.0202</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79%</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Aggregate mentoring time</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0.0009</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0.0013</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44%</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Years to first promotion</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3.4965</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2.7706</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−0.73 yr</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Promotion flow</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0.0226</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0.0229</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employed</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0.8650</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0.8772</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Output</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1.0000</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1.0159</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+1.59%</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Welfare</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0.9805</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0.9859</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Value of being a new entrant</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8.1382</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8.1515</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w:t>
            </w:r>
          </w:p>
        </w:tc>
      </w:tr>
      <w:tr>
        <w:trPr>
          <w:jc w:val="center"/>
        </w:trPr>
        <w:tc>
          <w:tcPr>
            <w:tcW w:w="3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Efficient / market mentoring</w:t>
            </w:r>
          </w:p>
        </w:tc>
        <w:tc>
          <w:tcPr>
            <w:tcW w:w="1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7.2748</w:t>
            </w:r>
          </w:p>
        </w:tc>
        <w:tc>
          <w:tcPr>
            <w:tcW w:w="21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5.3457</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−1.93</w:t>
            </w:r>
          </w:p>
        </w:tc>
      </w:tr>
      <w:tr>
        <w:trPr>
          <w:jc w:val="center"/>
        </w:trPr>
        <w:tc>
          <w:tcPr>
            <w:tcW w:w="38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Welfare gap to the optimum (%)</w:t>
            </w:r>
          </w:p>
        </w:tc>
        <w:tc>
          <w:tcPr>
            <w:tcW w:w="18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1.3948</w:t>
            </w:r>
          </w:p>
        </w:tc>
        <w:tc>
          <w:tcPr>
            <w:tcW w:w="21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1.0966</w:t>
            </w:r>
          </w:p>
        </w:tc>
        <w:tc>
          <w:tcPr>
            <w:tcW w:w="1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−0.30 pp</w:t>
            </w:r>
          </w:p>
        </w:tc>
      </w:tr>
    </w:tbl>
    <w:p>
      <w:pPr>
        <w:spacing w:after="120"/>
        <w:jc w:val="both"/>
      </w:pPr>
      <w:r>
        <w:rPr>
          <w:rFonts w:ascii="Palatino Linotype" w:hAnsi="Palatino Linotype" w:eastAsia="Palatino Linotype"/>
          <w:b w:val="0"/>
          <w:i w:val="0"/>
          <w:sz w:val="20"/>
        </w:rPr>
        <w:t>The first finding is that the burden falls on access rather than on pay. The entry-level employment rate falls by 7.2 per cent while the entry wage falls by only 3.0 per cent, a ratio of 2.5 to one, and the entry-level unemployment rate rises by 5.9 percentage points against 0.02 for experienced workers. This matches what the payroll evidence reports for the United States, where adjustment appears in headcount rather than in compensation [3], and it explains why studies that look for wage effects find little [6]. Section 5.4 shows that this pattern is not a property of the technology.</w:t>
      </w:r>
    </w:p>
    <w:p>
      <w:pPr>
        <w:spacing w:after="120"/>
        <w:jc w:val="both"/>
      </w:pPr>
      <w:r>
        <w:rPr>
          <w:rFonts w:ascii="Palatino Linotype" w:hAnsi="Palatino Linotype" w:eastAsia="Palatino Linotype"/>
          <w:b w:val="0"/>
          <w:i w:val="0"/>
          <w:sz w:val="20"/>
        </w:rPr>
        <w:t>The second finding is the one we did not expect, and it is the paper’s main substantive result. The ladder does not break. Mentoring per entrant rises by 79 per cent, aggregate mentoring by 44 per cent, the expected time to first promotion falls from 3.50 to 2.77 years, the flow of promotions rises by 1.4 per cent and the stock of experienced workers rises by 1.4 per cent. Firms respond to a smaller intake by training it far more intensively. The mechanism is a general-equilibrium one that a partial-equilibrium account would miss: fewer entrants means more experienced time available per entrant and a lower opportunity cost of the mentor’s hour, while the promotion option itself is unaffected by a technology that cannot mentor. What artificial intelligence does to the career ladder is narrow the gate, not dismantle the staircase behind it.</w:t>
      </w:r>
    </w:p>
    <w:p>
      <w:pPr>
        <w:spacing w:after="120"/>
        <w:jc w:val="both"/>
      </w:pPr>
      <w:r>
        <w:rPr>
          <w:rFonts w:ascii="Palatino Linotype" w:hAnsi="Palatino Linotype" w:eastAsia="Palatino Linotype"/>
          <w:b w:val="0"/>
          <w:i w:val="0"/>
          <w:sz w:val="20"/>
        </w:rPr>
        <w:t>The third finding follows from the second and reverses a natural prior. Panel (d) shows that the training wedge does not widen as artificial intelligence spreads; it narrows, from 7.3 to 5.3 times the market level, and the welfare gap falls from 1.39 to 1.10 per cent. Because scarcer entrants are individually more worth training, the private return to mentoring moves towards the social return. The training externality is large, but it is a pre-existing feature of the contracting environment, not something the technology creates or aggravates. Aggregate output rises by 1.6 per cent and aggregate welfare by 0.55 per cent, while the value of being a new entrant rises by 0.16 per cent. What the shock produces is a distributional problem sitting on top of an efficiency problem that was already there, and the two require different instruments.</w:t>
      </w:r>
    </w:p>
    <w:p>
      <w:pPr>
        <w:keepNext/>
        <w:spacing w:before="140" w:after="80"/>
      </w:pPr>
      <w:r>
        <w:rPr>
          <w:rFonts w:ascii="Palatino Linotype" w:hAnsi="Palatino Linotype" w:eastAsia="Palatino Linotype"/>
          <w:b/>
          <w:i w:val="0"/>
          <w:sz w:val="20"/>
        </w:rPr>
        <w:t>5.3. Decomposing the Response</w:t>
      </w:r>
    </w:p>
    <w:p>
      <w:pPr>
        <w:spacing w:after="120"/>
        <w:jc w:val="both"/>
      </w:pPr>
      <w:r>
        <w:rPr>
          <w:rFonts w:ascii="Palatino Linotype" w:hAnsi="Palatino Linotype" w:eastAsia="Palatino Linotype"/>
          <w:b w:val="0"/>
          <w:i w:val="0"/>
          <w:sz w:val="20"/>
        </w:rPr>
        <w:t>To identify what the employment response is made of we deactivate individual channels by holding the relevant object at its baseline value and re-solving, attributing the total by the Shapley value over all deactivation orders, which makes the decomposition exact and order-independent. Three channels are considered beyond direct substitution: the training margin, meaning the response of mentoring intensity; the promotion-value margin, meaning the revaluation of the experienced job that the entry-level match delivers on promotion; and the senior-scarcity margin, meaning the general-equilibrium response of the price of experienced time.</w:t>
      </w:r>
    </w:p>
    <w:p>
      <w:pPr>
        <w:spacing w:after="40"/>
        <w:jc w:val="center"/>
      </w:pPr>
      <w:r>
        <w:drawing>
          <wp:inline distT="0" distB="0" distL="114300" distR="114300">
            <wp:extent cx="4023360" cy="26222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3"/>
                    <a:stretch>
                      <a:fillRect/>
                    </a:stretch>
                  </pic:blipFill>
                  <pic:spPr>
                    <a:xfrm>
                      <a:off x="0" y="0"/>
                      <a:ext cx="4023360" cy="2622213"/>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4. </w:t>
      </w:r>
      <w:r>
        <w:rPr>
          <w:rFonts w:ascii="Palatino Linotype" w:hAnsi="Palatino Linotype" w:eastAsia="Palatino Linotype"/>
          <w:b w:val="0"/>
          <w:i w:val="0"/>
          <w:sz w:val="17"/>
        </w:rPr>
        <w:t>Shapley decomposition of the change in the entry-level employment rate when artificial intelligence doubles its share of the entry-level task bundle. Contributions are in log points multiplied by one hundred and sum exactly to the total; shares in parentheses are of the total response.</w:t>
      </w:r>
    </w:p>
    <w:p>
      <w:pPr>
        <w:spacing w:after="120"/>
        <w:jc w:val="both"/>
      </w:pPr>
      <w:r>
        <w:rPr>
          <w:rFonts w:ascii="Palatino Linotype" w:hAnsi="Palatino Linotype" w:eastAsia="Palatino Linotype"/>
          <w:b w:val="0"/>
          <w:i w:val="0"/>
          <w:sz w:val="20"/>
        </w:rPr>
        <w:t>Direct task substitution accounts for 68 per cent of the fall in the entry-level employment rate and the training margin for 31 per cent, while the promotion-value and senior-scarcity margins together account for under 1 per cent. The decomposition is exact to 0e+00 log points. The training margin therefore does double duty: it is what saves the ladder, and it is also what deepens the fall in entry-level access, because a firm that intends to mentor an entrant intensively is more selective about opening the position in the first place. A reduced-form estimate of the displacement elasticity, however well identified, recovers only the first of these terms.</w:t>
      </w:r>
    </w:p>
    <w:p>
      <w:pPr>
        <w:keepNext/>
        <w:spacing w:before="140" w:after="80"/>
      </w:pPr>
      <w:r>
        <w:rPr>
          <w:rFonts w:ascii="Palatino Linotype" w:hAnsi="Palatino Linotype" w:eastAsia="Palatino Linotype"/>
          <w:b/>
          <w:i w:val="0"/>
          <w:sz w:val="20"/>
        </w:rPr>
        <w:t>5.4. Who Bears the Shock: Wage Rigidity and Incidence</w:t>
      </w:r>
    </w:p>
    <w:p>
      <w:pPr>
        <w:spacing w:after="120"/>
        <w:jc w:val="both"/>
      </w:pPr>
      <w:r>
        <w:rPr>
          <w:rFonts w:ascii="Palatino Linotype" w:hAnsi="Palatino Linotype" w:eastAsia="Palatino Linotype"/>
          <w:b w:val="0"/>
          <w:i w:val="0"/>
          <w:sz w:val="20"/>
        </w:rPr>
        <w:t xml:space="preserve">Proposition 2 says that the split of the shock between pay and employment is governed by the wage rule rather than by the technology. Table 6 and panel (a) of Figure 7 quantify it. In the flexible-wage economy </w:t>
      </w:r>
      <m:oMath>
        <m:r>
          <m:rPr/>
          <m:t xml:space="preserve">(γ_{w} = 0)</m:t>
        </m:r>
      </m:oMath>
      <w:r>
        <w:rPr>
          <w:rFonts w:ascii="Palatino Linotype" w:hAnsi="Palatino Linotype" w:eastAsia="Palatino Linotype"/>
          <w:b w:val="0"/>
          <w:i w:val="0"/>
          <w:sz w:val="20"/>
        </w:rPr>
        <w:t xml:space="preserve"> the same shock lowers the entry wage by 7.6 per cent and the entry-level employment rate by only 0.21 per cent. With a fixed entry wage </w:t>
      </w:r>
      <m:oMath>
        <m:r>
          <m:rPr/>
          <m:t xml:space="preserve">(γ_{w} = 1)</m:t>
        </m:r>
      </m:oMath>
      <w:r>
        <w:rPr>
          <w:rFonts w:ascii="Palatino Linotype" w:hAnsi="Palatino Linotype" w:eastAsia="Palatino Linotype"/>
          <w:b w:val="0"/>
          <w:i w:val="0"/>
          <w:sz w:val="20"/>
        </w:rPr>
        <w:t xml:space="preserve"> the wage does not move at all and the employment rate falls by 12.4 per cent. The ratio of the employment response to the wage response rises monotonically from 0.03 to infinity across that range, passing through 2.5 at our baseline value of 0.8.</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Incidence of the same shock as a function of the real rigidity of the entry wage.</w:t>
      </w:r>
    </w:p>
    <w:tbl>
      <w:tblPr>
        <w:tblW w:w="0" w:type="auto"/>
        <w:jc w:val="center"/>
        <w:tblLayout w:type="fixed"/>
        <w:tblCellMar>
          <w:top w:w="0" w:type="dxa"/>
          <w:left w:w="40" w:type="dxa"/>
          <w:bottom w:w="0" w:type="dxa"/>
          <w:right w:w="40" w:type="dxa"/>
        </w:tblCellMar>
      </w:tblPr>
      <w:tblGrid>
        <w:gridCol w:w="1100"/>
        <w:gridCol w:w="2100"/>
        <w:gridCol w:w="2800"/>
        <w:gridCol w:w="1340"/>
        <w:gridCol w:w="2300"/>
      </w:tblGrid>
      <w:tr>
        <w:trPr>
          <w:tblHeader/>
          <w:jc w:val="center"/>
        </w:trPr>
        <w:tc>
          <w:tcPr>
            <w:tcW w:w="1100" w:type="dxa"/>
            <w:tcBorders>
              <w:top w:val="single" w:color="000000" w:sz="8" w:space="0"/>
              <w:left w:val="nil"/>
              <w:bottom w:val="single" w:color="000000" w:sz="6" w:space="0"/>
              <w:right w:val="nil"/>
            </w:tcBorders>
          </w:tcPr>
          <w:p>
            <w:pPr>
              <w:spacing w:before="0" w:after="0" w:line="240" w:lineRule="auto"/>
              <w:ind w:left="0"/>
              <w:jc w:val="left"/>
              <w:rPr>
                <w:sz w:val="19"/>
              </w:rPr>
            </w:pPr>
            <m:oMath>
              <m:sSub>
                <m:sSubPr/>
                <m:e>
                  <m:r>
                    <m:rPr/>
                    <m:t>γ</m:t>
                  </m:r>
                </m:e>
                <m:sub>
                  <m:r>
                    <m:rPr/>
                    <m:t>w</m:t>
                  </m:r>
                </m:sub>
              </m:sSub>
            </m:oMath>
          </w:p>
        </w:tc>
        <w:tc>
          <w:tcPr>
            <w:tcW w:w="21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Entry wage (%)</w:t>
            </w:r>
          </w:p>
        </w:tc>
        <w:tc>
          <w:tcPr>
            <w:tcW w:w="28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Entry-level employment rate (%)</w:t>
            </w:r>
          </w:p>
        </w:tc>
        <w:tc>
          <w:tcPr>
            <w:tcW w:w="13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Ratio</w:t>
            </w:r>
          </w:p>
        </w:tc>
        <w:tc>
          <w:tcPr>
            <w:tcW w:w="2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Aggregate mentoring (%)</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0.0</w:t>
            </w:r>
          </w:p>
        </w:tc>
        <w:tc>
          <w:tcPr>
            <w:tcW w:w="21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−7.58</w:t>
            </w:r>
          </w:p>
        </w:tc>
        <w:tc>
          <w:tcPr>
            <w:tcW w:w="2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w:t>
            </w:r>
          </w:p>
        </w:tc>
        <w:tc>
          <w:tcPr>
            <w:tcW w:w="1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w:t>
            </w:r>
          </w:p>
        </w:tc>
        <w:tc>
          <w:tcPr>
            <w:tcW w:w="2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0.2</w:t>
            </w:r>
          </w:p>
        </w:tc>
        <w:tc>
          <w:tcPr>
            <w:tcW w:w="21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−6.81</w:t>
            </w:r>
          </w:p>
        </w:tc>
        <w:tc>
          <w:tcPr>
            <w:tcW w:w="2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−1.32</w:t>
            </w:r>
          </w:p>
        </w:tc>
        <w:tc>
          <w:tcPr>
            <w:tcW w:w="1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w:t>
            </w:r>
          </w:p>
        </w:tc>
        <w:tc>
          <w:tcPr>
            <w:tcW w:w="2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8.9</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0.4</w:t>
            </w:r>
          </w:p>
        </w:tc>
        <w:tc>
          <w:tcPr>
            <w:tcW w:w="21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−5.88</w:t>
            </w:r>
          </w:p>
        </w:tc>
        <w:tc>
          <w:tcPr>
            <w:tcW w:w="2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−2.69</w:t>
            </w:r>
          </w:p>
        </w:tc>
        <w:tc>
          <w:tcPr>
            <w:tcW w:w="1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w:t>
            </w:r>
          </w:p>
        </w:tc>
        <w:tc>
          <w:tcPr>
            <w:tcW w:w="2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17.7</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0.6</w:t>
            </w:r>
          </w:p>
        </w:tc>
        <w:tc>
          <w:tcPr>
            <w:tcW w:w="21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−4.68</w:t>
            </w:r>
          </w:p>
        </w:tc>
        <w:tc>
          <w:tcPr>
            <w:tcW w:w="2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−4.52</w:t>
            </w:r>
          </w:p>
        </w:tc>
        <w:tc>
          <w:tcPr>
            <w:tcW w:w="1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w:t>
            </w:r>
          </w:p>
        </w:tc>
        <w:tc>
          <w:tcPr>
            <w:tcW w:w="2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28.7</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0.8</w:t>
            </w:r>
          </w:p>
        </w:tc>
        <w:tc>
          <w:tcPr>
            <w:tcW w:w="21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−2.98</w:t>
            </w:r>
          </w:p>
        </w:tc>
        <w:tc>
          <w:tcPr>
            <w:tcW w:w="2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−7.21</w:t>
            </w:r>
          </w:p>
        </w:tc>
        <w:tc>
          <w:tcPr>
            <w:tcW w:w="1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2.47</w:t>
            </w:r>
          </w:p>
        </w:tc>
        <w:tc>
          <w:tcPr>
            <w:tcW w:w="2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43.8</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0.9</w:t>
            </w:r>
          </w:p>
        </w:tc>
        <w:tc>
          <w:tcPr>
            <w:tcW w:w="21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−1.77</w:t>
            </w:r>
          </w:p>
        </w:tc>
        <w:tc>
          <w:tcPr>
            <w:tcW w:w="2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−9.26</w:t>
            </w:r>
          </w:p>
        </w:tc>
        <w:tc>
          <w:tcPr>
            <w:tcW w:w="1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5.44</w:t>
            </w:r>
          </w:p>
        </w:tc>
        <w:tc>
          <w:tcPr>
            <w:tcW w:w="2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54.2</w:t>
            </w:r>
          </w:p>
        </w:tc>
      </w:tr>
      <w:tr>
        <w:trPr>
          <w:jc w:val="center"/>
        </w:trPr>
        <w:tc>
          <w:tcPr>
            <w:tcW w:w="11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1.0</w:t>
            </w:r>
          </w:p>
        </w:tc>
        <w:tc>
          <w:tcPr>
            <w:tcW w:w="21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w:t>
            </w:r>
          </w:p>
        </w:tc>
        <w:tc>
          <w:tcPr>
            <w:tcW w:w="28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−12.42</w:t>
            </w:r>
          </w:p>
        </w:tc>
        <w:tc>
          <w:tcPr>
            <w:tcW w:w="13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68.9</w:t>
            </w:r>
          </w:p>
        </w:tc>
      </w:tr>
    </w:tbl>
    <w:p>
      <w:pPr>
        <w:spacing w:after="120"/>
        <w:jc w:val="both"/>
      </w:pPr>
      <w:r>
        <w:rPr>
          <w:rFonts w:ascii="Palatino Linotype" w:hAnsi="Palatino Linotype" w:eastAsia="Palatino Linotype"/>
          <w:b w:val="0"/>
          <w:i w:val="0"/>
          <w:sz w:val="20"/>
        </w:rPr>
        <w:t>This has an empirical payoff. The stylised fact that motivates the literature—large employment effects for young workers, negligible effects on their pay—is not evidence about artificial intelligence at all. It is evidence that entry wages are rigid. A flexible-wage economy hit by exactly the same technology shock would show the opposite pattern, and would generate the precise nulls on employment that the Danish evidence reports [6]. The apparent conflict between studies finding large employment effects and studies finding none is therefore not necessarily a conflict about the technology; it is consistent with a difference in wage-setting institutions between the settings studied. In China, where provincial minimum wages bind for entry-level urban positions [9] and graduate pay scales are compressed, the model places the economy towards the rigid end of that range.</w:t>
      </w:r>
    </w:p>
    <w:p>
      <w:pPr>
        <w:keepNext/>
        <w:spacing w:before="140" w:after="80"/>
      </w:pPr>
      <w:r>
        <w:rPr>
          <w:rFonts w:ascii="Palatino Linotype" w:hAnsi="Palatino Linotype" w:eastAsia="Palatino Linotype"/>
          <w:b/>
          <w:i w:val="0"/>
          <w:sz w:val="20"/>
        </w:rPr>
        <w:t>5.5. Held-Out Validation: The Exposure Gradient</w:t>
      </w:r>
    </w:p>
    <w:p>
      <w:pPr>
        <w:spacing w:after="120"/>
        <w:jc w:val="both"/>
      </w:pPr>
      <w:r>
        <w:rPr>
          <w:rFonts w:ascii="Palatino Linotype" w:hAnsi="Palatino Linotype" w:eastAsia="Palatino Linotype"/>
          <w:b w:val="0"/>
          <w:i w:val="0"/>
          <w:sz w:val="20"/>
        </w:rPr>
        <w:t>No information about employment by exposure entered the calibration, so we can ask the model a question it was not fitted to answer. Consider occupation groups differing only in how much of their entry-level task content artificial intelligence can perform, spanning shares from 5 to 55 per cent, and compute for each the change in entry-level and experienced employment relative to a pre-artificial-intelligence benchmark. The difference between the most and the least exposed group, of entry-level relative to experienced employment, is the model analogue of a difference-in-differences estimate.</w:t>
      </w:r>
    </w:p>
    <w:p>
      <w:pPr>
        <w:spacing w:after="40"/>
        <w:jc w:val="center"/>
      </w:pPr>
      <w:r>
        <w:drawing>
          <wp:inline distT="0" distB="0" distL="114300" distR="114300">
            <wp:extent cx="5486400" cy="23022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4"/>
                    <a:stretch>
                      <a:fillRect/>
                    </a:stretch>
                  </pic:blipFill>
                  <pic:spPr>
                    <a:xfrm>
                      <a:off x="0" y="0"/>
                      <a:ext cx="5486400" cy="2302277"/>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5. </w:t>
      </w:r>
      <w:r>
        <w:rPr>
          <w:rFonts w:ascii="Palatino Linotype" w:hAnsi="Palatino Linotype" w:eastAsia="Palatino Linotype"/>
          <w:b w:val="0"/>
          <w:i w:val="0"/>
          <w:sz w:val="17"/>
        </w:rPr>
        <w:t>Held-out validation. Panel (a): the predicted change in entry-level and experienced employment, relative to a pre-artificial-intelligence benchmark, across occupation groups differing in the share of entry-level task content that artificial intelligence performs. Panel (b): the implied difference between the most and least exposed groups against the payroll-data estimate for United States workers aged 22 to 25 reported by Brynjolfsson, Chandar and Chen. Neither that estimate nor any employment-by-exposure information was used in the calibration.</w:t>
      </w:r>
    </w:p>
    <w:p>
      <w:pPr>
        <w:spacing w:after="120"/>
        <w:jc w:val="both"/>
      </w:pPr>
      <w:r>
        <w:rPr>
          <w:rFonts w:ascii="Palatino Linotype" w:hAnsi="Palatino Linotype" w:eastAsia="Palatino Linotype"/>
          <w:b w:val="0"/>
          <w:i w:val="0"/>
          <w:sz w:val="20"/>
        </w:rPr>
        <w:t>The model predicts −14.8 per cent against a payroll estimate of −16.0 per cent [3]. It also reproduces two features of that study that were not targeted: the gradient is monotone in exposure, and the corresponding difference in entry wages is only −5.1 per cent, so the model delivers the employment-not-pay pattern at roughly the observed relative magnitude. We read this as corroboration rather than confirmation, for two reasons. The calibration targets are Chinese and the validation estimate American, so the comparison presumes that technology and contracting, rather than national institutions, dominate this margin—a presumption that Section 5.4 shows to be only partly warranted, since the wage rule matters a great deal. And the model compares steady states whereas the estimate is a medium-run difference, so the two objects coincide only if adjustment is substantially complete.</w:t>
      </w:r>
    </w:p>
    <w:p>
      <w:pPr>
        <w:keepNext/>
        <w:spacing w:before="140" w:after="80"/>
      </w:pPr>
      <w:r>
        <w:rPr>
          <w:rFonts w:ascii="Palatino Linotype" w:hAnsi="Palatino Linotype" w:eastAsia="Palatino Linotype"/>
          <w:b/>
          <w:i w:val="0"/>
          <w:sz w:val="20"/>
        </w:rPr>
        <w:t>5.6. Implementing the Optimum, and the Tax That Should Not Be Levied</w:t>
      </w:r>
    </w:p>
    <w:p>
      <w:pPr>
        <w:spacing w:after="120"/>
        <w:jc w:val="both"/>
      </w:pPr>
      <w:r>
        <w:rPr>
          <w:rFonts w:ascii="Palatino Linotype" w:hAnsi="Palatino Linotype" w:eastAsia="Palatino Linotype"/>
          <w:b w:val="0"/>
          <w:i w:val="0"/>
          <w:sz w:val="20"/>
        </w:rPr>
        <w:t>Because the wedges are known they can be priced. Table 7 reports the combination of an entry-level vacancy subsidy, a mentoring credit and an experienced-tier vacancy subsidy that reproduces the planner’s allocation exactly. At the baseline the required rates are −7.4 per cent of the entry-level vacancy cost, 91.7 per cent of the mentoring cost and 7.5 per cent of the experienced vacancy cost, at a fiscal cost of 0.46 per cent of output. They raise welfare by 1.39 per cent, raise aggregate mentoring by 627 per cent and cut time to first promotion to 0.97 years. After the shock the required mentoring credit is 87.5 per cent, lower than before, which is the policy counterpart of the narrowing wedge documented in Section 5.2.</w:t>
      </w:r>
    </w:p>
    <w:p>
      <w:pPr>
        <w:keepNext/>
        <w:spacing w:before="160" w:after="40"/>
      </w:pPr>
      <w:r>
        <w:rPr>
          <w:rFonts w:ascii="Palatino Linotype" w:hAnsi="Palatino Linotype" w:eastAsia="Palatino Linotype"/>
          <w:b/>
          <w:i w:val="0"/>
          <w:sz w:val="17"/>
        </w:rPr>
        <w:t xml:space="preserve">Table 7. </w:t>
      </w:r>
      <w:r>
        <w:rPr>
          <w:rFonts w:ascii="Palatino Linotype" w:hAnsi="Palatino Linotype" w:eastAsia="Palatino Linotype"/>
          <w:b w:val="0"/>
          <w:i w:val="0"/>
          <w:sz w:val="17"/>
        </w:rPr>
        <w:t>Subsidies that decentralise the constrained optimum.</w:t>
      </w:r>
    </w:p>
    <w:tbl>
      <w:tblPr>
        <w:tblW w:w="0" w:type="auto"/>
        <w:jc w:val="center"/>
        <w:tblLayout w:type="fixed"/>
        <w:tblCellMar>
          <w:top w:w="0" w:type="dxa"/>
          <w:left w:w="40" w:type="dxa"/>
          <w:bottom w:w="0" w:type="dxa"/>
          <w:right w:w="40" w:type="dxa"/>
        </w:tblCellMar>
      </w:tblPr>
      <w:tblGrid>
        <w:gridCol w:w="4700"/>
        <w:gridCol w:w="2470"/>
        <w:gridCol w:w="2470"/>
      </w:tblGrid>
      <w:tr>
        <w:trPr>
          <w:tblHeader/>
          <w:jc w:val="center"/>
        </w:trPr>
        <w:tc>
          <w:tcPr>
            <w:tcW w:w="47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Instrument</w:t>
            </w:r>
          </w:p>
        </w:tc>
        <w:tc>
          <w:tcPr>
            <w:tcW w:w="247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Baseline</w:t>
            </w:r>
          </w:p>
        </w:tc>
        <w:tc>
          <w:tcPr>
            <w:tcW w:w="247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After the shock</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vacancy subsidy (% of the vacancy cost)</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−7.4</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7.2</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credit (% of the mentoring cost)</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91.7</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87.5</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Experienced vacancy subsidy (% of the vacancy cost)</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7.5</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7.5</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Tax on artificial intelligence</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Fiscal cost (% of output)</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0.46</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0.52</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Welfare gain (%)</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1.39</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w:t>
            </w:r>
          </w:p>
        </w:tc>
      </w:tr>
      <w:tr>
        <w:trPr>
          <w:jc w:val="center"/>
        </w:trPr>
        <w:tc>
          <w:tcPr>
            <w:tcW w:w="4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Aggregate mentoring (%)</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627</w:t>
            </w:r>
          </w:p>
        </w:tc>
        <w:tc>
          <w:tcPr>
            <w:tcW w:w="247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435</w:t>
            </w:r>
          </w:p>
        </w:tc>
      </w:tr>
      <w:tr>
        <w:trPr>
          <w:jc w:val="center"/>
        </w:trPr>
        <w:tc>
          <w:tcPr>
            <w:tcW w:w="47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Years to first promotion</w:t>
            </w:r>
          </w:p>
        </w:tc>
        <w:tc>
          <w:tcPr>
            <w:tcW w:w="247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0.97</w:t>
            </w:r>
          </w:p>
        </w:tc>
        <w:tc>
          <w:tcPr>
            <w:tcW w:w="247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0.94</w:t>
            </w:r>
          </w:p>
        </w:tc>
      </w:tr>
    </w:tbl>
    <w:p>
      <w:pPr>
        <w:spacing w:after="120"/>
        <w:jc w:val="both"/>
      </w:pPr>
      <w:r>
        <w:rPr>
          <w:rFonts w:ascii="Palatino Linotype" w:hAnsi="Palatino Linotype" w:eastAsia="Palatino Linotype"/>
          <w:b w:val="0"/>
          <w:i w:val="0"/>
          <w:sz w:val="20"/>
        </w:rPr>
        <w:t>One entry in that table is a zero, and it is the most interesting number in the paper. The welfare-maximising tax on artificial intelligence, once the ladder subsidies are in place, is 0.000. Conditional on the allocation of labour, firms hire artificial intelligence until its marginal product equals its price, and the planner’s condition for the input is identical, so the input is efficiently priced. The distortion in this economy is not in the market for artificial intelligence; it is in the market for training. Taxing the technology to protect entry-level jobs treats a symptom at the cost of output, and once the ladder is correctly subsidised there is nothing left for the tax to correct.</w:t>
      </w:r>
    </w:p>
    <w:p>
      <w:pPr>
        <w:keepNext/>
        <w:spacing w:before="140" w:after="80"/>
      </w:pPr>
      <w:r>
        <w:rPr>
          <w:rFonts w:ascii="Palatino Linotype" w:hAnsi="Palatino Linotype" w:eastAsia="Palatino Linotype"/>
          <w:b/>
          <w:i w:val="0"/>
          <w:sz w:val="20"/>
        </w:rPr>
        <w:t>5.7. Instruments at a Common Budget</w:t>
      </w:r>
    </w:p>
    <w:p>
      <w:pPr>
        <w:spacing w:after="120"/>
        <w:jc w:val="both"/>
      </w:pPr>
      <w:r>
        <w:rPr>
          <w:rFonts w:ascii="Palatino Linotype" w:hAnsi="Palatino Linotype" w:eastAsia="Palatino Linotype"/>
          <w:b w:val="0"/>
          <w:i w:val="0"/>
          <w:sz w:val="20"/>
        </w:rPr>
        <w:t>Governments do not implement first-best packages; they choose an instrument and a budget. We therefore fix a common fiscal cost of 0.05 per cent of output—of the order of a national youth-employment programme—and ask what each of four instruments buys. Welfare is output net of recruiting and technology costs plus the flow value of non-employment, so transfers net out and only efficiency gains appear. The marginal value of public funds is aggregate willingness to pay over net government cost, which in this accounting is</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MVPF</m:t>
        </m:r>
        <m:r>
          <m:rPr/>
          <m:t xml:space="preserve"> </m:t>
        </m:r>
        <m:r>
          <m:rPr>
            <m:sty m:val="p"/>
          </m:rPr>
          <m:t>=</m:t>
        </m:r>
        <m:r>
          <m:rPr/>
          <m:t xml:space="preserve"> </m:t>
        </m:r>
        <m:f>
          <m:fPr/>
          <m:num>
            <m:r>
              <m:rPr/>
              <m:t>Δ</m:t>
            </m:r>
            <m:r>
              <m:rPr/>
              <m:t>𝒲</m:t>
            </m:r>
            <m:r>
              <m:rPr/>
              <m:t xml:space="preserve"> </m:t>
            </m:r>
            <m:r>
              <m:rPr>
                <m:sty m:val="p"/>
              </m:rPr>
              <m:t>+</m:t>
            </m:r>
            <m:r>
              <m:rPr/>
              <m:t xml:space="preserve"> </m:t>
            </m:r>
            <m:r>
              <m:rPr/>
              <m:t>G</m:t>
            </m:r>
          </m:num>
          <m:den>
            <m:r>
              <m:rPr/>
              <m:t>G</m:t>
            </m:r>
          </m:den>
        </m:f>
        <m:r>
          <m:rPr/>
          <m:t xml:space="preserve"> </m:t>
        </m:r>
        <m:r>
          <m:rPr>
            <m:sty m:val="p"/>
          </m:rPr>
          <m:t>=</m:t>
        </m:r>
        <m:r>
          <m:rPr/>
          <m:t xml:space="preserve"> </m:t>
        </m:r>
        <m:r>
          <m:rPr/>
          <m:t>1</m:t>
        </m:r>
        <m:r>
          <m:rPr/>
          <m:t xml:space="preserve"> </m:t>
        </m:r>
        <m:r>
          <m:rPr>
            <m:sty m:val="p"/>
          </m:rPr>
          <m:t>+</m:t>
        </m:r>
        <m:r>
          <m:rPr/>
          <m:t xml:space="preserve"> </m:t>
        </m:r>
        <m:f>
          <m:fPr/>
          <m:num>
            <m:r>
              <m:rPr/>
              <m:t>Δ</m:t>
            </m:r>
            <m:r>
              <m:rPr/>
              <m:t>𝒲</m:t>
            </m:r>
          </m:num>
          <m:den>
            <m:r>
              <m:rPr/>
              <m:t>G</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(24)</w:t>
      </w:r>
    </w:p>
    <w:p>
      <w:pPr>
        <w:spacing w:after="120"/>
        <w:jc w:val="both"/>
      </w:pPr>
      <w:r>
        <w:rPr>
          <w:rFonts w:ascii="Palatino Linotype" w:hAnsi="Palatino Linotype" w:eastAsia="Palatino Linotype"/>
          <w:b w:val="0"/>
          <w:i w:val="0"/>
          <w:sz w:val="20"/>
        </w:rPr>
        <w:t>so that a value above one identifies an instrument that returns more than it costs. Figure 6 and Table 8 report the comparison at the baseline and after the shock.</w:t>
      </w:r>
    </w:p>
    <w:p>
      <w:pPr>
        <w:spacing w:after="40"/>
        <w:jc w:val="center"/>
      </w:pPr>
      <w:r>
        <w:drawing>
          <wp:inline distT="0" distB="0" distL="114300" distR="114300">
            <wp:extent cx="5760720" cy="22630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5"/>
                    <a:stretch>
                      <a:fillRect/>
                    </a:stretch>
                  </pic:blipFill>
                  <pic:spPr>
                    <a:xfrm>
                      <a:off x="0" y="0"/>
                      <a:ext cx="5760720" cy="2263039"/>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6. </w:t>
      </w:r>
      <w:r>
        <w:rPr>
          <w:rFonts w:ascii="Palatino Linotype" w:hAnsi="Palatino Linotype" w:eastAsia="Palatino Linotype"/>
          <w:b w:val="0"/>
          <w:i w:val="0"/>
          <w:sz w:val="17"/>
        </w:rPr>
        <w:t>Four instruments at a common fiscal cost, evaluated at the estimated baseline and after artificial intelligence doubles its share of the entry-level task bundle. Panel (a): welfare gain. Panel (b): change in the value of being a new entrant. Panel (c): marginal value of public funds; the dotted line marks unity. The tax on artificial intelligence is absent from the baseline panels because its base is too elastic to raise the required revenue at any rate.</w:t>
      </w:r>
    </w:p>
    <w:p>
      <w:pPr>
        <w:spacing w:after="120"/>
        <w:jc w:val="both"/>
      </w:pPr>
      <w:r>
        <w:rPr>
          <w:rFonts w:ascii="Palatino Linotype" w:hAnsi="Palatino Linotype" w:eastAsia="Palatino Linotype"/>
          <w:b w:val="0"/>
          <w:i w:val="0"/>
          <w:sz w:val="20"/>
        </w:rPr>
        <w:t>The ranking is unambiguous and the spread is large. The mentoring credit delivers a welfare gain of 0.678 per cent, raises aggregate mentoring by 76 per cent, raises the value of being a new entrant by 1.49 per cent and shortens time to promotion by 1.06 years, with a marginal value of public funds of 14.3. The entry-level vacancy subsidy is a distant second at 0.043 per cent and a marginal value of 1.85. The entry-level wage subsidy is worse than doing nothing: it lowers welfare by 0.170 per cent and has a marginal value of −2.34, because by raising the entry wage it raises the cost of the very matches whose training content is under-provided and crowds mentoring out by 11 per cent.</w:t>
      </w:r>
    </w:p>
    <w:p>
      <w:pPr>
        <w:spacing w:after="120"/>
        <w:jc w:val="both"/>
      </w:pPr>
      <w:r>
        <w:rPr>
          <w:rFonts w:ascii="Palatino Linotype" w:hAnsi="Palatino Linotype" w:eastAsia="Palatino Linotype"/>
          <w:b w:val="0"/>
          <w:i w:val="0"/>
          <w:sz w:val="20"/>
        </w:rPr>
        <w:t>The tax on artificial intelligence cannot be assessed at the common budget in the baseline economy for an instructive reason: its base is too elastic. The largest revenue any rate can raise is 0.010 per cent of output, below the envelope we set, so the instrument is infeasible at that scale before its welfare properties are even considered. After the shock the base is larger and the tax becomes feasible, at which point it lowers welfare by 0.114 per cent with a marginal value of public funds of −1.22—the worst of the four. The ordering after the shock is otherwise preserved, with the mentoring credit delivering 0.471 per cent at a marginal value of 10.1.</w:t>
      </w:r>
    </w:p>
    <w:p>
      <w:pPr>
        <w:keepNext/>
        <w:spacing w:before="160" w:after="40"/>
      </w:pPr>
      <w:r>
        <w:rPr>
          <w:rFonts w:ascii="Palatino Linotype" w:hAnsi="Palatino Linotype" w:eastAsia="Palatino Linotype"/>
          <w:b/>
          <w:i w:val="0"/>
          <w:sz w:val="17"/>
        </w:rPr>
        <w:t xml:space="preserve">Table 8. </w:t>
      </w:r>
      <w:r>
        <w:rPr>
          <w:rFonts w:ascii="Palatino Linotype" w:hAnsi="Palatino Linotype" w:eastAsia="Palatino Linotype"/>
          <w:b w:val="0"/>
          <w:i w:val="0"/>
          <w:sz w:val="17"/>
        </w:rPr>
        <w:t>Four instruments at a common fiscal cost. The upper block is the estimated baseline, the lower block the economy after the artificial-intelligence shock.</w:t>
      </w:r>
    </w:p>
    <w:tbl>
      <w:tblPr>
        <w:tblW w:w="0" w:type="auto"/>
        <w:jc w:val="center"/>
        <w:tblLayout w:type="fixed"/>
        <w:tblCellMar>
          <w:top w:w="0" w:type="dxa"/>
          <w:left w:w="40" w:type="dxa"/>
          <w:bottom w:w="0" w:type="dxa"/>
          <w:right w:w="40" w:type="dxa"/>
        </w:tblCellMar>
      </w:tblPr>
      <w:tblGrid>
        <w:gridCol w:w="2560"/>
        <w:gridCol w:w="1080"/>
        <w:gridCol w:w="1300"/>
        <w:gridCol w:w="1400"/>
        <w:gridCol w:w="1300"/>
        <w:gridCol w:w="1400"/>
        <w:gridCol w:w="600"/>
      </w:tblGrid>
      <w:tr>
        <w:trPr>
          <w:tblHeader/>
          <w:jc w:val="center"/>
        </w:trPr>
        <w:tc>
          <w:tcPr>
            <w:tcW w:w="25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Instrument</w:t>
            </w:r>
          </w:p>
        </w:tc>
        <w:tc>
          <w:tcPr>
            <w:tcW w:w="1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Rate</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Welfare (%)</w:t>
            </w:r>
          </w:p>
        </w:tc>
        <w:tc>
          <w:tcPr>
            <w:tcW w:w="14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Entrant value (%)</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Mentoring (%)</w:t>
            </w:r>
          </w:p>
        </w:tc>
        <w:tc>
          <w:tcPr>
            <w:tcW w:w="14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Promotion flow (%)</w:t>
            </w:r>
          </w:p>
        </w:tc>
        <w:tc>
          <w:tcPr>
            <w:tcW w:w="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MVPF</w:t>
            </w: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 training credit</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0.478</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0.678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1.49</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76.4</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2.76</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14.30</w:t>
            </w: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vacancy subsidy</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0.082</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1.85</w:t>
            </w: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wage subsidy</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0.017</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−0.170</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−11.1</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−2.34</w:t>
            </w: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Tax on the AI input</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infeasible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jc w:val="center"/>
        </w:trPr>
        <w:tc>
          <w:tcPr>
            <w:tcW w:w="2560" w:type="dxa"/>
            <w:tcBorders>
              <w:top w:val="nil"/>
              <w:left w:val="nil"/>
              <w:bottom w:val="nil"/>
              <w:right w:val="nil"/>
            </w:tcBorders>
          </w:tcPr>
          <w:p>
            <w:pPr>
              <w:spacing w:before="0" w:after="0" w:line="240" w:lineRule="auto"/>
              <w:ind w:left="0"/>
              <w:jc w:val="left"/>
              <w:rPr>
                <w:sz w:val="19"/>
              </w:rPr>
            </w:pPr>
          </w:p>
        </w:tc>
        <w:tc>
          <w:tcPr>
            <w:tcW w:w="1080" w:type="dxa"/>
            <w:tcBorders>
              <w:top w:val="nil"/>
              <w:left w:val="nil"/>
              <w:bottom w:val="nil"/>
              <w:right w:val="nil"/>
            </w:tcBorders>
          </w:tcPr>
          <w:p>
            <w:pPr>
              <w:spacing w:before="0" w:after="0" w:line="240" w:lineRule="auto"/>
              <w:ind w:left="0"/>
              <w:jc w:val="center"/>
              <w:rPr>
                <w:sz w:val="19"/>
              </w:rPr>
            </w:pPr>
          </w:p>
        </w:tc>
        <w:tc>
          <w:tcPr>
            <w:tcW w:w="1300" w:type="dxa"/>
            <w:tcBorders>
              <w:top w:val="nil"/>
              <w:left w:val="nil"/>
              <w:bottom w:val="nil"/>
              <w:right w:val="nil"/>
            </w:tcBorders>
          </w:tcPr>
          <w:p>
            <w:pPr>
              <w:spacing w:before="0" w:after="0" w:line="240" w:lineRule="auto"/>
              <w:ind w:left="0"/>
              <w:jc w:val="center"/>
              <w:rPr>
                <w:sz w:val="19"/>
              </w:rPr>
            </w:pPr>
          </w:p>
        </w:tc>
        <w:tc>
          <w:tcPr>
            <w:tcW w:w="1400" w:type="dxa"/>
            <w:tcBorders>
              <w:top w:val="nil"/>
              <w:left w:val="nil"/>
              <w:bottom w:val="nil"/>
              <w:right w:val="nil"/>
            </w:tcBorders>
          </w:tcPr>
          <w:p>
            <w:pPr>
              <w:spacing w:before="0" w:after="0" w:line="240" w:lineRule="auto"/>
              <w:ind w:left="0"/>
              <w:jc w:val="center"/>
              <w:rPr>
                <w:sz w:val="19"/>
              </w:rPr>
            </w:pPr>
          </w:p>
        </w:tc>
        <w:tc>
          <w:tcPr>
            <w:tcW w:w="1300" w:type="dxa"/>
            <w:tcBorders>
              <w:top w:val="nil"/>
              <w:left w:val="nil"/>
              <w:bottom w:val="nil"/>
              <w:right w:val="nil"/>
            </w:tcBorders>
          </w:tcPr>
          <w:p>
            <w:pPr>
              <w:spacing w:before="0" w:after="0" w:line="240" w:lineRule="auto"/>
              <w:ind w:left="0"/>
              <w:jc w:val="center"/>
              <w:rPr>
                <w:sz w:val="19"/>
              </w:rPr>
            </w:pPr>
          </w:p>
        </w:tc>
        <w:tc>
          <w:tcPr>
            <w:tcW w:w="1400" w:type="dxa"/>
            <w:tcBorders>
              <w:top w:val="nil"/>
              <w:left w:val="nil"/>
              <w:bottom w:val="nil"/>
              <w:right w:val="nil"/>
            </w:tcBorders>
          </w:tcPr>
          <w:p>
            <w:pPr>
              <w:spacing w:before="0" w:after="0" w:line="240" w:lineRule="auto"/>
              <w:ind w:left="0"/>
              <w:jc w:val="center"/>
              <w:rPr>
                <w:sz w:val="19"/>
              </w:rPr>
            </w:pPr>
          </w:p>
        </w:tc>
        <w:tc>
          <w:tcPr>
            <w:tcW w:w="600" w:type="dxa"/>
            <w:tcBorders>
              <w:top w:val="nil"/>
              <w:left w:val="nil"/>
              <w:bottom w:val="nil"/>
              <w:right w:val="nil"/>
            </w:tcBorders>
          </w:tcPr>
          <w:p>
            <w:pPr>
              <w:spacing w:before="0" w:after="0" w:line="240" w:lineRule="auto"/>
              <w:ind w:left="0"/>
              <w:jc w:val="center"/>
              <w:rPr>
                <w:sz w:val="19"/>
              </w:rPr>
            </w:pP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 training credit</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0.391</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0.471</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1.18</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52.3</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1.84</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10.14</w:t>
            </w: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vacancy subsidy</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0.112</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3.4</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0.31</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2.33</w:t>
            </w:r>
          </w:p>
        </w:tc>
      </w:tr>
      <w:tr>
        <w:trPr>
          <w:jc w:val="center"/>
        </w:trPr>
        <w:tc>
          <w:tcPr>
            <w:tcW w:w="25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Entry-level wage subsidy</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0.022</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−0.081</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w:t>
            </w:r>
          </w:p>
        </w:tc>
        <w:tc>
          <w:tcPr>
            <w:tcW w:w="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w:t>
            </w:r>
          </w:p>
        </w:tc>
      </w:tr>
      <w:tr>
        <w:trPr>
          <w:jc w:val="center"/>
        </w:trPr>
        <w:tc>
          <w:tcPr>
            <w:tcW w:w="25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Tax on the AI input</w:t>
            </w:r>
          </w:p>
        </w:tc>
        <w:tc>
          <w:tcPr>
            <w:tcW w:w="1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0.028</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−0.114</w:t>
            </w:r>
          </w:p>
        </w:tc>
        <w:tc>
          <w:tcPr>
            <w:tcW w:w="14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0.02</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−10.1</w:t>
            </w:r>
          </w:p>
        </w:tc>
        <w:tc>
          <w:tcPr>
            <w:tcW w:w="14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−0.35</w:t>
            </w:r>
          </w:p>
        </w:tc>
        <w:tc>
          <w:tcPr>
            <w:tcW w:w="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−1.22</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 marginal value of public funds above one identifies an instrument that returns more than it costs. The tax on artificial intelligence is infeasible at this budget in the baseline economy because its base is too elastic; the maximum revenue any rate can raise is reported in Section 5.7.</w:t>
      </w:r>
    </w:p>
    <w:p>
      <w:pPr>
        <w:spacing w:after="120"/>
        <w:jc w:val="both"/>
      </w:pPr>
      <w:r>
        <w:rPr>
          <w:rFonts w:ascii="Palatino Linotype" w:hAnsi="Palatino Linotype" w:eastAsia="Palatino Linotype"/>
          <w:b w:val="0"/>
          <w:i w:val="0"/>
          <w:sz w:val="20"/>
        </w:rPr>
        <w:t>The economics behind the ordering is transparent. The mentoring credit is the only instrument that pays for the activity whose private return falls short of its social return. The vacancy subsidy pays for entry-level matches without paying for what those matches are supposed to produce, so it buys quantity where the distortion is smallest. The wage subsidy is actively counter-productive because it raises the price of the input whose complementary investment is under-supplied. And the technology tax raises the cost of an efficiently priced input in order to shift demand back towards labour that remains under-trained. The policy conclusion is not that more should be spent on youth employment but that the same money should be spent on a different margin.</w:t>
      </w:r>
    </w:p>
    <w:p>
      <w:pPr>
        <w:keepNext/>
        <w:spacing w:before="140" w:after="80"/>
      </w:pPr>
      <w:r>
        <w:rPr>
          <w:rFonts w:ascii="Palatino Linotype" w:hAnsi="Palatino Linotype" w:eastAsia="Palatino Linotype"/>
          <w:b/>
          <w:i w:val="0"/>
          <w:sz w:val="20"/>
        </w:rPr>
        <w:t>5.8. Robustness</w:t>
      </w:r>
    </w:p>
    <w:p>
      <w:pPr>
        <w:spacing w:after="120"/>
        <w:jc w:val="both"/>
      </w:pPr>
      <w:r>
        <w:rPr>
          <w:rFonts w:ascii="Palatino Linotype" w:hAnsi="Palatino Linotype" w:eastAsia="Palatino Linotype"/>
          <w:b w:val="0"/>
          <w:i w:val="0"/>
          <w:sz w:val="20"/>
        </w:rPr>
        <w:t xml:space="preserve">Two dimensions of robustness matter here. The first is the elasticity of substitution between the entry-level and the experienced task bundle, which is set outside the estimation. Table 9 reports the baseline, the shock response and the training wedge across values of </w:t>
      </w:r>
      <m:oMath>
        <m:r>
          <m:rPr/>
          <m:t>\sigma</m:t>
        </m:r>
      </m:oMath>
      <w:r>
        <w:rPr>
          <w:rFonts w:ascii="Palatino Linotype" w:hAnsi="Palatino Linotype" w:eastAsia="Palatino Linotype"/>
          <w:b w:val="0"/>
          <w:i w:val="0"/>
          <w:sz w:val="20"/>
        </w:rPr>
        <w:t xml:space="preserve"> from 1.5 to 5.0, with the price of artificial intelligence re-targeted in each economy so that all of them start from the same estimated task share. The employment response to the shock is monotone in </w:t>
      </w:r>
      <m:oMath>
        <m:r>
          <m:rPr/>
          <m:t>\sigma</m:t>
        </m:r>
      </m:oMath>
      <w:r>
        <w:rPr>
          <w:rFonts w:ascii="Palatino Linotype" w:hAnsi="Palatino Linotype" w:eastAsia="Palatino Linotype"/>
          <w:b w:val="0"/>
          <w:i w:val="0"/>
          <w:sz w:val="20"/>
        </w:rPr>
        <w:t>, as one would expect, while the wedge is generated by the contracting structure and moves far less.</w:t>
      </w:r>
    </w:p>
    <w:p>
      <w:pPr>
        <w:keepNext/>
        <w:spacing w:before="160" w:after="40"/>
      </w:pPr>
      <w:r>
        <w:rPr>
          <w:rFonts w:ascii="Palatino Linotype" w:hAnsi="Palatino Linotype" w:eastAsia="Palatino Linotype"/>
          <w:b/>
          <w:i w:val="0"/>
          <w:sz w:val="17"/>
        </w:rPr>
        <w:t xml:space="preserve">Table 9. </w:t>
      </w:r>
      <w:r>
        <w:rPr>
          <w:rFonts w:ascii="Palatino Linotype" w:hAnsi="Palatino Linotype" w:eastAsia="Palatino Linotype"/>
          <w:b w:val="0"/>
          <w:i w:val="0"/>
          <w:sz w:val="17"/>
        </w:rPr>
        <w:t>Sensitivity to the elasticity of substitution between the two task bundles.</w:t>
      </w:r>
    </w:p>
    <w:tbl>
      <w:tblPr>
        <w:tblW w:w="0" w:type="auto"/>
        <w:jc w:val="center"/>
        <w:tblLayout w:type="fixed"/>
        <w:tblCellMar>
          <w:top w:w="0" w:type="dxa"/>
          <w:left w:w="40" w:type="dxa"/>
          <w:bottom w:w="0" w:type="dxa"/>
          <w:right w:w="40" w:type="dxa"/>
        </w:tblCellMar>
      </w:tblPr>
      <w:tblGrid>
        <w:gridCol w:w="1100"/>
        <w:gridCol w:w="2700"/>
        <w:gridCol w:w="2200"/>
        <w:gridCol w:w="2340"/>
        <w:gridCol w:w="1300"/>
      </w:tblGrid>
      <w:tr>
        <w:trPr>
          <w:tblHeader/>
          <w:jc w:val="center"/>
        </w:trPr>
        <w:tc>
          <w:tcPr>
            <w:tcW w:w="1100" w:type="dxa"/>
            <w:tcBorders>
              <w:top w:val="single" w:color="000000" w:sz="8" w:space="0"/>
              <w:left w:val="nil"/>
              <w:bottom w:val="single" w:color="000000" w:sz="6" w:space="0"/>
              <w:right w:val="nil"/>
            </w:tcBorders>
          </w:tcPr>
          <w:p>
            <w:pPr>
              <w:spacing w:before="0" w:after="0" w:line="240" w:lineRule="auto"/>
              <w:ind w:left="0"/>
              <w:jc w:val="left"/>
              <w:rPr>
                <w:sz w:val="19"/>
              </w:rPr>
            </w:pPr>
            <m:oMath>
              <m:r>
                <m:rPr/>
                <m:t>\sigma</m:t>
              </m:r>
            </m:oMath>
          </w:p>
        </w:tc>
        <w:tc>
          <w:tcPr>
            <w:tcW w:w="2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Entry-level employment rate (%)</w:t>
            </w:r>
          </w:p>
        </w:tc>
        <w:tc>
          <w:tcPr>
            <w:tcW w:w="2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Aggregate mentoring (%)</w:t>
            </w:r>
          </w:p>
        </w:tc>
        <w:tc>
          <w:tcPr>
            <w:tcW w:w="23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Efficient / market mentoring</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Welfare gap (%)</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1.5</w:t>
            </w:r>
          </w:p>
        </w:tc>
        <w:tc>
          <w:tcPr>
            <w:tcW w:w="2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−8.43</w:t>
            </w:r>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205.4</w:t>
            </w:r>
          </w:p>
        </w:tc>
        <w:tc>
          <w:tcPr>
            <w:tcW w:w="2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19.41</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2.88</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2.0</w:t>
            </w:r>
          </w:p>
        </w:tc>
        <w:tc>
          <w:tcPr>
            <w:tcW w:w="2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−7.67</w:t>
            </w:r>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91.5</w:t>
            </w:r>
          </w:p>
        </w:tc>
        <w:tc>
          <w:tcPr>
            <w:tcW w:w="2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11.04</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1.94</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2.5</w:t>
            </w:r>
          </w:p>
        </w:tc>
        <w:tc>
          <w:tcPr>
            <w:tcW w:w="2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−7.21</w:t>
            </w:r>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43.8</w:t>
            </w:r>
          </w:p>
        </w:tc>
        <w:tc>
          <w:tcPr>
            <w:tcW w:w="2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7.27</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1.39</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3.0</w:t>
            </w:r>
          </w:p>
        </w:tc>
        <w:tc>
          <w:tcPr>
            <w:tcW w:w="2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−6.87</w:t>
            </w:r>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23.3</w:t>
            </w:r>
          </w:p>
        </w:tc>
        <w:tc>
          <w:tcPr>
            <w:tcW w:w="2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5.63</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1.16</w:t>
            </w:r>
          </w:p>
        </w:tc>
      </w:tr>
      <w:tr>
        <w:trPr>
          <w:jc w:val="center"/>
        </w:trPr>
        <w:tc>
          <w:tcPr>
            <w:tcW w:w="11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4.0</w:t>
            </w:r>
          </w:p>
        </w:tc>
        <w:tc>
          <w:tcPr>
            <w:tcW w:w="2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−5.58</w:t>
            </w:r>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8.9</w:t>
            </w:r>
          </w:p>
        </w:tc>
        <w:tc>
          <w:tcPr>
            <w:tcW w:w="23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4.57</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1.14</w:t>
            </w:r>
          </w:p>
        </w:tc>
      </w:tr>
      <w:tr>
        <w:trPr>
          <w:jc w:val="center"/>
        </w:trPr>
        <w:tc>
          <w:tcPr>
            <w:tcW w:w="11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5.0</w:t>
            </w:r>
          </w:p>
        </w:tc>
        <w:tc>
          <w:tcPr>
            <w:tcW w:w="2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−4.01</w:t>
            </w:r>
          </w:p>
        </w:tc>
        <w:tc>
          <w:tcPr>
            <w:tcW w:w="2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4.4</w:t>
            </w:r>
          </w:p>
        </w:tc>
        <w:tc>
          <w:tcPr>
            <w:tcW w:w="23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4.34</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1.26</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price of artificial intelligence is re-targeted in each economy so that all of them start from the same estimated task share, and the same proportional price fall is then applied.</w:t>
      </w:r>
    </w:p>
    <w:p>
      <w:pPr>
        <w:spacing w:after="120"/>
        <w:jc w:val="both"/>
      </w:pPr>
      <w:r>
        <w:rPr>
          <w:rFonts w:ascii="Palatino Linotype" w:hAnsi="Palatino Linotype" w:eastAsia="Palatino Linotype"/>
          <w:b w:val="0"/>
          <w:i w:val="0"/>
          <w:sz w:val="20"/>
        </w:rPr>
        <w:t>The second is the eight parameters set outside the estimation, which are the ones most open to dispute. We draw 192 Latin-hypercube samples over plausible ranges for the discount rate, the exit rate, both separation rates, the poaching rate, the matching elasticity, the elasticity of substitution and the elasticity of promotion to mentoring, imposing the Hosios condition on every draw. Crucially, the model is re-estimated on every draw, so each economy in the sample reproduces the eight targeted moments exactly and differs only in what was not estimated. Of the draws, 91 re-estimated and solved and 91 permitted the full policy comparison.</w:t>
      </w:r>
    </w:p>
    <w:p>
      <w:pPr>
        <w:spacing w:after="40"/>
        <w:jc w:val="center"/>
      </w:pPr>
      <w:r>
        <w:drawing>
          <wp:inline distT="0" distB="0" distL="114300" distR="114300">
            <wp:extent cx="5760720" cy="20068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6"/>
                    <a:stretch>
                      <a:fillRect/>
                    </a:stretch>
                  </pic:blipFill>
                  <pic:spPr>
                    <a:xfrm>
                      <a:off x="0" y="0"/>
                      <a:ext cx="5760720" cy="2006814"/>
                    </a:xfrm>
                    <a:prstGeom prst="rect">
                      <a:avLst/>
                    </a:prstGeom>
                  </pic:spPr>
                </pic:pic>
              </a:graphicData>
            </a:graphic>
          </wp:inline>
        </w:drawing>
      </w:r>
    </w:p>
    <w:p>
      <w:pPr>
        <w:spacing w:after="160"/>
        <w:jc w:val="both"/>
      </w:pPr>
      <w:r>
        <w:rPr>
          <w:rFonts w:ascii="Palatino Linotype" w:hAnsi="Palatino Linotype" w:eastAsia="Palatino Linotype"/>
          <w:b/>
          <w:i w:val="0"/>
          <w:sz w:val="17"/>
        </w:rPr>
        <w:t xml:space="preserve">Figure 7. </w:t>
      </w:r>
      <w:r>
        <w:rPr>
          <w:rFonts w:ascii="Palatino Linotype" w:hAnsi="Palatino Linotype" w:eastAsia="Palatino Linotype"/>
          <w:b w:val="0"/>
          <w:i w:val="0"/>
          <w:sz w:val="17"/>
        </w:rPr>
        <w:t>Robustness. Panel (a): the incidence of the shock between the entry wage and the entry-level employment rate as a function of the real rigidity of the entry wage. Panel (b): the distribution of the training wedge across Latin-hypercube draws over the externally set parameters, with the estimated value marked. Panel (c): the welfare gain of each instrument at a common budget across the same draws.</w:t>
      </w:r>
    </w:p>
    <w:p>
      <w:pPr>
        <w:spacing w:after="120"/>
        <w:jc w:val="both"/>
      </w:pPr>
      <w:r>
        <w:rPr>
          <w:rFonts w:ascii="Palatino Linotype" w:hAnsi="Palatino Linotype" w:eastAsia="Palatino Linotype"/>
          <w:b w:val="0"/>
          <w:i w:val="0"/>
          <w:sz w:val="20"/>
        </w:rPr>
        <w:t>The wedge is not an artefact of a particular parameterisation. Its mean across draws is 9.0 times the market level, with a fifth-to-ninety-fifth-percentile range of 4.9 to 17.4, and it is positive in 100 per cent of draws. Welfare at the optimum exceeds welfare at the market allocation by a mean of 1.35 per cent, with a range of 0.91 to 1.76 per cent. The instrument ranking is equally stable: the mentoring credit is the best of the four in 99 per cent of draws, and the tax on artificial intelligence is infeasible at this budget in 100 per cent of them. What survives the sampling is not a point estimate of the wedge but its sign, its order of magnitude and the identity of the instrument that addresses it.</w:t>
      </w:r>
    </w:p>
    <w:p>
      <w:pPr>
        <w:keepNext/>
        <w:spacing w:before="200" w:after="80"/>
      </w:pPr>
      <w:r>
        <w:rPr>
          <w:rFonts w:ascii="Palatino Linotype" w:hAnsi="Palatino Linotype" w:eastAsia="Palatino Linotype"/>
          <w:b/>
          <w:i w:val="0"/>
          <w:sz w:val="24"/>
        </w:rPr>
        <w:t>6. Discussion</w:t>
      </w:r>
    </w:p>
    <w:p>
      <w:pPr>
        <w:keepNext/>
        <w:spacing w:before="140" w:after="80"/>
      </w:pPr>
      <w:r>
        <w:rPr>
          <w:rFonts w:ascii="Palatino Linotype" w:hAnsi="Palatino Linotype" w:eastAsia="Palatino Linotype"/>
          <w:b/>
          <w:i w:val="0"/>
          <w:sz w:val="20"/>
        </w:rPr>
        <w:t>6.1. Why the Ladder Does Not Break</w:t>
      </w:r>
    </w:p>
    <w:p>
      <w:pPr>
        <w:spacing w:after="120"/>
        <w:jc w:val="both"/>
      </w:pPr>
      <w:r>
        <w:rPr>
          <w:rFonts w:ascii="Palatino Linotype" w:hAnsi="Palatino Linotype" w:eastAsia="Palatino Linotype"/>
          <w:b w:val="0"/>
          <w:i w:val="0"/>
          <w:sz w:val="20"/>
        </w:rPr>
        <w:t>The intuition that automating entry-level work must eventually starve the economy of experienced workers is a partial-equilibrium intuition. It treats training intensity per entrant as fixed and therefore reads a fall in entry-level hiring straight through into a fall in promotions. In general equilibrium training intensity is a choice, and it is a choice that moves in the opposite direction to hiring. When entrants become scarce, experienced time per entrant becomes abundant, the opportunity cost of mentoring falls, and the promotion option—untouched by a technology that cannot mentor—becomes a larger share of what an entry-level match is worth. The two effects nearly cancel at the aggregate level: in our estimated economy a doubling of the artificial-intelligence task share leaves the flow of promotions and the stock of experienced workers within 1.4 per cent of where they started.</w:t>
      </w:r>
    </w:p>
    <w:p>
      <w:pPr>
        <w:spacing w:after="120"/>
        <w:jc w:val="both"/>
      </w:pPr>
      <w:r>
        <w:rPr>
          <w:rFonts w:ascii="Palatino Linotype" w:hAnsi="Palatino Linotype" w:eastAsia="Palatino Linotype"/>
          <w:b w:val="0"/>
          <w:i w:val="0"/>
          <w:sz w:val="20"/>
        </w:rPr>
        <w:t>This is a testable implication, and it is the sharpest one the paper offers. It predicts that firms in the most exposed occupations should shorten time to promotion and raise supervision intensity per junior hire even as they cut the number of junior hires. Linked employer–employee data with promotion records would settle it. If the prediction fails—if exposed firms cut hiring and mentoring together—then the joint product is more complementary than we have modelled it, and the pessimistic reading of the evidence would be the right one.</w:t>
      </w:r>
    </w:p>
    <w:p>
      <w:pPr>
        <w:keepNext/>
        <w:spacing w:before="140" w:after="80"/>
      </w:pPr>
      <w:r>
        <w:rPr>
          <w:rFonts w:ascii="Palatino Linotype" w:hAnsi="Palatino Linotype" w:eastAsia="Palatino Linotype"/>
          <w:b/>
          <w:i w:val="0"/>
          <w:sz w:val="20"/>
        </w:rPr>
        <w:t>6.2. Incidence Is Institutional, Not Technological</w:t>
      </w:r>
    </w:p>
    <w:p>
      <w:pPr>
        <w:spacing w:after="120"/>
        <w:jc w:val="both"/>
      </w:pPr>
      <w:r>
        <w:rPr>
          <w:rFonts w:ascii="Palatino Linotype" w:hAnsi="Palatino Linotype" w:eastAsia="Palatino Linotype"/>
          <w:b w:val="0"/>
          <w:i w:val="0"/>
          <w:sz w:val="20"/>
        </w:rPr>
        <w:t>The result that the pay-versus-employment split is governed by the wage rule rather than by the technology reframes a live empirical debate. Studies that find sizeable employment effects for young workers and studies that find precise nulls are often read as contradicting one another about what artificial intelligence does. Our model says they can both be right about their own settings and that the difference between them is informative in its own right: it is a measurement of how much of a shock entry wages are permitted to absorb. That reading suggests a research design—comparing the incidence of the same exposure measure across labour markets that differ in minimum-wage bite or in the compression of graduate pay—which would identify the wage rule from cross-country variation rather than assuming it, in the spirit of the cross-country work linking digitalisation to youth unemployment [59,60].</w:t>
      </w:r>
    </w:p>
    <w:p>
      <w:pPr>
        <w:spacing w:after="120"/>
        <w:jc w:val="both"/>
      </w:pPr>
      <w:r>
        <w:rPr>
          <w:rFonts w:ascii="Palatino Linotype" w:hAnsi="Palatino Linotype" w:eastAsia="Palatino Linotype"/>
          <w:b w:val="0"/>
          <w:i w:val="0"/>
          <w:sz w:val="20"/>
        </w:rPr>
        <w:t>It also carries an uncomfortable policy corollary. The institutions that protect the pay of young workers who are employed are the same institutions that concentrate the burden of a technology shock on those who are not yet employed. We do not read this as an argument for lower entry wages: the flexible-wage economy delivers the shock as a large pay cut to a cohort that is already at the bottom of the distribution, and our welfare accounting is not equipped to rank those two outcomes. We read it as a reason to attach the compensating instrument to the margin that the rigidity displaces, which is entry.</w:t>
      </w:r>
    </w:p>
    <w:p>
      <w:pPr>
        <w:keepNext/>
        <w:spacing w:before="140" w:after="80"/>
      </w:pPr>
      <w:r>
        <w:rPr>
          <w:rFonts w:ascii="Palatino Linotype" w:hAnsi="Palatino Linotype" w:eastAsia="Palatino Linotype"/>
          <w:b/>
          <w:i w:val="0"/>
          <w:sz w:val="20"/>
        </w:rPr>
        <w:t>6.3. Why the Standard Instruments Misfire</w:t>
      </w:r>
    </w:p>
    <w:p>
      <w:pPr>
        <w:spacing w:after="120"/>
        <w:jc w:val="both"/>
      </w:pPr>
      <w:r>
        <w:rPr>
          <w:rFonts w:ascii="Palatino Linotype" w:hAnsi="Palatino Linotype" w:eastAsia="Palatino Linotype"/>
          <w:b w:val="0"/>
          <w:i w:val="0"/>
          <w:sz w:val="20"/>
        </w:rPr>
        <w:t>Youth employment policy is built on the premise that the problem is the price or the availability of a young worker. In a model without a ladder that premise would be right and a wage or hiring subsidy would be the appropriate answer. The analysis here says that the binding problem is different in kind. An entry-level job is a production process with two outputs, and the market has a mechanism for pricing one of them and no mechanism for pricing the other. Subsidising the wage lowers the cost of an input to a process whose output is mispriced; it buys more of the process without correcting the mispricing, and in our estimates it does active harm by crowding out the under-provided investment. Paying directly for mentoring corrects the mispricing, which is why at equal cost it does an order of magnitude more work. The point generalises beyond artificial intelligence: any shock that shifts the balance between the two outputs of an entry-level job—offshoring of routine junior work, outsourcing of junior functions, the flattening of hierarchies—has the same implication for which instrument to reach for. It also cautions against reading improvements in the measured quality of the jobs that survive as evidence that the transition is benign [70–72], since the workers the model identifies as bearing the cost are those who never enter.</w:t>
      </w:r>
    </w:p>
    <w:p>
      <w:pPr>
        <w:keepNext/>
        <w:spacing w:before="140" w:after="80"/>
      </w:pPr>
      <w:r>
        <w:rPr>
          <w:rFonts w:ascii="Palatino Linotype" w:hAnsi="Palatino Linotype" w:eastAsia="Palatino Linotype"/>
          <w:b/>
          <w:i w:val="0"/>
          <w:sz w:val="20"/>
        </w:rPr>
        <w:t>6.4. Should Artificial Intelligence Be Taxed?</w:t>
      </w:r>
    </w:p>
    <w:p>
      <w:pPr>
        <w:spacing w:after="120"/>
        <w:jc w:val="both"/>
      </w:pPr>
      <w:r>
        <w:rPr>
          <w:rFonts w:ascii="Palatino Linotype" w:hAnsi="Palatino Linotype" w:eastAsia="Palatino Linotype"/>
          <w:b w:val="0"/>
          <w:i w:val="0"/>
          <w:sz w:val="20"/>
        </w:rPr>
        <w:t>Proposals to tax automation have intuitive appeal and a weak analytical foundation, and this model shows why. Artificial intelligence is hired until its marginal product equals its price, and the planner’s condition for the input is the same, so at any given allocation of labour there is no wedge in this market to correct. A tax reduces output and reduces the resources available for everything else, including for training the workers it is meant to protect. In our comparison it is the worst-performing instrument wherever it is feasible at all, and once the ladder subsidies are in place its optimal rate is zero to three decimal places. The correct reading of the shock is not that the technology should be slowed but that the institution it stresses—the mechanism by which an economy produces its next generation of experienced workers—was under-funded before the technology arrived and is more visibly under-funded now.</w:t>
      </w:r>
    </w:p>
    <w:p>
      <w:pPr>
        <w:spacing w:after="120"/>
        <w:jc w:val="both"/>
      </w:pPr>
      <w:r>
        <w:rPr>
          <w:rFonts w:ascii="Palatino Linotype" w:hAnsi="Palatino Linotype" w:eastAsia="Palatino Linotype"/>
          <w:b w:val="0"/>
          <w:i w:val="0"/>
          <w:sz w:val="20"/>
        </w:rPr>
        <w:t>This conclusion is conditional on the model’s scope, and the condition is worth stating. We assume artificial intelligence cannot mentor. If a future technology genuinely substitutes for the transmission of tacit know-how, the second component of the joint product is automatable too, the reproduction loop no longer requires entry-level jobs, and the case for subsidising them weakens rather than strengthens. Nothing in the current evidence suggests that point has been reached, but the model is explicit about where the argument would break.</w:t>
      </w:r>
    </w:p>
    <w:p>
      <w:pPr>
        <w:keepNext/>
        <w:spacing w:before="140" w:after="80"/>
      </w:pPr>
      <w:r>
        <w:rPr>
          <w:rFonts w:ascii="Palatino Linotype" w:hAnsi="Palatino Linotype" w:eastAsia="Palatino Linotype"/>
          <w:b/>
          <w:i w:val="0"/>
          <w:sz w:val="20"/>
        </w:rPr>
        <w:t>6.5. Implications for China</w:t>
      </w:r>
    </w:p>
    <w:p>
      <w:pPr>
        <w:spacing w:after="120"/>
        <w:jc w:val="both"/>
      </w:pPr>
      <w:r>
        <w:rPr>
          <w:rFonts w:ascii="Palatino Linotype" w:hAnsi="Palatino Linotype" w:eastAsia="Palatino Linotype"/>
          <w:b w:val="0"/>
          <w:i w:val="0"/>
          <w:sz w:val="20"/>
        </w:rPr>
        <w:t>Three features of the Chinese setting make the mechanism more acute rather than less. The cohort is large: 12.22 million graduates entered the labour market in 2025 and 12.7 million are expected in 2026, so the flow through the entry-level gate is enormous relative to the stock of experienced workers who must mentor them [5]. Adoption is fast, which compresses into months an adjustment that elsewhere is spread over years [4,73]. And entry wages are rigid, because provincial minimum wages bind for entry-level urban positions [9], which by Section 5.4 places China at the end of the range where the shock is borne almost entirely by access.</w:t>
      </w:r>
    </w:p>
    <w:p>
      <w:pPr>
        <w:spacing w:after="120"/>
        <w:jc w:val="both"/>
      </w:pPr>
      <w:r>
        <w:rPr>
          <w:rFonts w:ascii="Palatino Linotype" w:hAnsi="Palatino Linotype" w:eastAsia="Palatino Linotype"/>
          <w:b w:val="0"/>
          <w:i w:val="0"/>
          <w:sz w:val="20"/>
        </w:rPr>
        <w:t>The instruments in use are the ones this analysis ranks last: expanded public-sector and state-owned-enterprise recruitment quotas, one-off hiring and wage subsidies, and enlarged postgraduate places, all of which act on the quantity of entry-level positions or postpone entry, and none of which pays for mentoring. The model’s recommendation is specific and implementable within existing administrative machinery: convert part of the hiring subsidy into a credit conditional on documented supervision and on promotion outcomes, and make the existing employee-education deduction contingent on training entrants rather than on training in general. The general lesson is that youth employment policy should be evaluated by what it does to the flow of promotions, not by what it does to the stock of entry-level hires—a criterion that sits naturally alongside the common-prosperity agenda’s emphasis on the quality rather than the quantity of employment [74].</w:t>
      </w:r>
    </w:p>
    <w:p>
      <w:pPr>
        <w:keepNext/>
        <w:spacing w:before="140" w:after="80"/>
      </w:pPr>
      <w:r>
        <w:rPr>
          <w:rFonts w:ascii="Palatino Linotype" w:hAnsi="Palatino Linotype" w:eastAsia="Palatino Linotype"/>
          <w:b/>
          <w:i w:val="0"/>
          <w:sz w:val="20"/>
        </w:rPr>
        <w:t>6.6. Limitations</w:t>
      </w:r>
    </w:p>
    <w:p>
      <w:pPr>
        <w:spacing w:after="120"/>
        <w:jc w:val="both"/>
      </w:pPr>
      <w:r>
        <w:rPr>
          <w:rFonts w:ascii="Palatino Linotype" w:hAnsi="Palatino Linotype" w:eastAsia="Palatino Linotype"/>
          <w:b w:val="0"/>
          <w:i w:val="0"/>
          <w:sz w:val="20"/>
        </w:rPr>
        <w:t>Six limitations bound the claims. First, the analysis compares steady states. It is silent on transition dynamics, which matter here because the stock of experienced workers adjusts with a lag of several times the average time to promotion; the comparisons we report are the destination, not the path, and a cohort passing through the transition can be much worse off than either steady state. Second, the labour force and the flow of entrants are exogenous, so the model cannot represent discouragement, delayed entry into postgraduate study or withdrawal from the labour force, all of which are prominent in the Chinese data; the entry-level employment rate is the right outcome variable in this model but it maps only imperfectly on to measured youth employment. Third, the economy is representative-agent within each tier, so it cannot address heterogeneity by field of study, institution, gender or region [54,55]. Fourth, poaching is a reduced-form flow: the poaching firm pays no recruiting cost, which is why the flow is a pure private loss; an explicit raiding market would attenuate the poaching wedge, though the hold-up wedge, the larger of the two, would remain. Fifth, the artificial-intelligence task share is the least well measured of the eight targets, which is why Section 5.2 reports a path rather than a point. Sixth, the model under-predicts observed enterprise training expenditure by an order of magnitude, as Section 4.3 records; if part of that gap reflects training margins the model omits rather than definitional differences, the estimated wedge is an upper bound.</w:t>
      </w:r>
    </w:p>
    <w:p>
      <w:pPr>
        <w:spacing w:after="120"/>
        <w:jc w:val="both"/>
      </w:pPr>
      <w:r>
        <w:rPr>
          <w:rFonts w:ascii="Palatino Linotype" w:hAnsi="Palatino Linotype" w:eastAsia="Palatino Linotype"/>
          <w:b w:val="0"/>
          <w:i w:val="0"/>
          <w:sz w:val="20"/>
        </w:rPr>
        <w:t>Three extensions follow naturally. Endogenous participation would let the model speak to discouragement and to the measured youth employment rate directly. Allowing artificial intelligence to substitute partially for mentoring, with an estimated rather than assumed degree of substitutability, would let the data speak to the condition under which the paper’s central conclusion reverses. And embedding the ladder in a multi-sector economy would allow entry-level tasks automated in one sector to reappear in another, which is the reinstatement margin the task-based literature has shown to be decisive over long horizons [11].</w:t>
      </w:r>
    </w:p>
    <w:p>
      <w:pPr>
        <w:keepNext/>
        <w:spacing w:before="200" w:after="80"/>
      </w:pPr>
      <w:r>
        <w:rPr>
          <w:rFonts w:ascii="Palatino Linotype" w:hAnsi="Palatino Linotype" w:eastAsia="Palatino Linotype"/>
          <w:b/>
          <w:i w:val="0"/>
          <w:sz w:val="24"/>
        </w:rPr>
        <w:t>7. Conclusions</w:t>
      </w:r>
    </w:p>
    <w:p>
      <w:pPr>
        <w:spacing w:after="120"/>
        <w:jc w:val="both"/>
      </w:pPr>
      <w:r>
        <w:rPr>
          <w:rFonts w:ascii="Palatino Linotype" w:hAnsi="Palatino Linotype" w:eastAsia="Palatino Linotype"/>
          <w:b w:val="0"/>
          <w:i w:val="0"/>
          <w:sz w:val="20"/>
        </w:rPr>
        <w:t>An entry-level job produces two things: output today and an experienced worker tomorrow. Artificial intelligence is good at the first and useless at the second, and the natural inference is that the career ladder is in danger. This paper formalised that inference in a two-tier search economy with endogenous mentoring, estimated it to reproduce eight Chinese labour-market moments exactly, validated it against an employment gradient it was never shown, and found the inference to be wrong in an instructive way.</w:t>
      </w:r>
    </w:p>
    <w:p>
      <w:pPr>
        <w:spacing w:after="120"/>
        <w:jc w:val="both"/>
      </w:pPr>
      <w:r>
        <w:rPr>
          <w:rFonts w:ascii="Palatino Linotype" w:hAnsi="Palatino Linotype" w:eastAsia="Palatino Linotype"/>
          <w:b w:val="0"/>
          <w:i w:val="0"/>
          <w:sz w:val="20"/>
        </w:rPr>
        <w:t>Four findings stand. The market provides about one seventh of the efficient amount of on-the-job training, so first promotion takes 3.5 years rather than 1.0, even though the Hosios condition holds exactly; hold-up accounts for 96 per cent of the gap and poaching for the rest. Cheaper artificial intelligence is borne by entry-level access rather than entry-level pay, in a ratio of 2.5 to one—but only because entry wages are rigid, and a flexible-wage economy would show the opposite. The ladder itself does not break: firms mentor a smaller intake 79 per cent more intensively, promotions and the stock of experienced workers barely move, and the training wedge narrows rather than widens. And at a common budget the mentoring credit dominates the vacancy subsidy, the wage subsidy and the technology tax, on welfare, on the value of being a new entrant and on the marginal value of public funds, in the estimated economy and in 99 per cent of draws over the parameters we did not estimate.</w:t>
      </w:r>
    </w:p>
    <w:p>
      <w:pPr>
        <w:spacing w:after="120"/>
        <w:jc w:val="both"/>
      </w:pPr>
      <w:r>
        <w:rPr>
          <w:rFonts w:ascii="Palatino Linotype" w:hAnsi="Palatino Linotype" w:eastAsia="Palatino Linotype"/>
          <w:b w:val="0"/>
          <w:i w:val="0"/>
          <w:sz w:val="20"/>
        </w:rPr>
        <w:t>The policy implication is uncomfortable for both sides of the current debate. It does not support slowing the technology: the optimal tax on artificial intelligence is zero once the ladder is priced correctly, and where the tax is feasible at all it is the worst instrument we examine. Nor does it support the reassurance that markets will handle the transition, because the margin under pressure is one the market has never priced properly and the burden falls on a cohort with no standing in the transaction. What it supports is paying explicitly for the thing that entry-level jobs were quietly producing all along. Economies have been getting their supply of experienced workers as a by-product of a transaction undertaken for other reasons. The by-product turns out to be more robust than we feared, and more under-supplied than we assumed.</w:t>
      </w:r>
    </w:p>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 xml:space="preserve">1. Eloundou, T.; Manning, S.; Mishkin, P.; Rock, D. GPTs are GPTs: Labor Market Impact Potential of LLMs.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384</w:t>
      </w:r>
      <w:r>
        <w:rPr>
          <w:rFonts w:ascii="Palatino Linotype" w:hAnsi="Palatino Linotype" w:eastAsia="Palatino Linotype"/>
          <w:b w:val="0"/>
          <w:i w:val="0"/>
          <w:sz w:val="16"/>
        </w:rPr>
        <w:t>, 1306–1308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 Acemoglu, D. The Simple Macroeconomics of AI. </w:t>
      </w:r>
      <w:r>
        <w:rPr>
          <w:rFonts w:ascii="Palatino Linotype" w:hAnsi="Palatino Linotype" w:eastAsia="Palatino Linotype"/>
          <w:b w:val="0"/>
          <w:i/>
          <w:sz w:val="16"/>
        </w:rPr>
        <w:t xml:space="preserve">Economic Policy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40</w:t>
      </w:r>
      <w:r>
        <w:rPr>
          <w:rFonts w:ascii="Palatino Linotype" w:hAnsi="Palatino Linotype" w:eastAsia="Palatino Linotype"/>
          <w:b w:val="0"/>
          <w:i w:val="0"/>
          <w:sz w:val="16"/>
        </w:rPr>
        <w:t>, 13–58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 Brynjolfsson, E.; Chandar, B.; Chen, R. Canaries in the Coal Mine? Six Facts about the Recent Employment Effects of Artificial Intelligence. </w:t>
      </w:r>
      <w:r>
        <w:rPr>
          <w:rFonts w:ascii="Palatino Linotype" w:hAnsi="Palatino Linotype" w:eastAsia="Palatino Linotype"/>
          <w:b w:val="0"/>
          <w:i/>
          <w:sz w:val="16"/>
        </w:rPr>
        <w:t xml:space="preserve">Stanford Digital Economy Lab Working Paper: Stanford, CA, USA </w:t>
      </w:r>
      <w:r>
        <w:rPr>
          <w:rFonts w:ascii="Palatino Linotype" w:hAnsi="Palatino Linotype" w:eastAsia="Palatino Linotype"/>
          <w:b/>
          <w:i w:val="0"/>
          <w:sz w:val="16"/>
        </w:rPr>
        <w:t>2025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4. National Bureau of Statistics of China (NBS). Surveyed Urban Unemployment Rate of the Population Aged 16–24 Excluding Students; NBS: Beijing, China, 2026.</w:t>
      </w:r>
    </w:p>
    <w:p>
      <w:pPr>
        <w:spacing w:after="20"/>
        <w:ind w:left="2920" w:hanging="312"/>
        <w:jc w:val="both"/>
      </w:pPr>
      <w:r>
        <w:rPr>
          <w:rFonts w:ascii="Palatino Linotype" w:hAnsi="Palatino Linotype" w:eastAsia="Palatino Linotype"/>
          <w:b w:val="0"/>
          <w:i w:val="0"/>
          <w:sz w:val="16"/>
        </w:rPr>
        <w:t>5. Ministry of Education of China. Notice on the Employment and Entrepreneurship of 2026 National College Graduates; Ministry of Education: Beijing, China, 2025.</w:t>
      </w:r>
    </w:p>
    <w:p>
      <w:pPr>
        <w:spacing w:after="20"/>
        <w:ind w:left="2920" w:hanging="312"/>
        <w:jc w:val="both"/>
      </w:pPr>
      <w:r>
        <w:rPr>
          <w:rFonts w:ascii="Palatino Linotype" w:hAnsi="Palatino Linotype" w:eastAsia="Palatino Linotype"/>
          <w:b w:val="0"/>
          <w:i w:val="0"/>
          <w:sz w:val="16"/>
        </w:rPr>
        <w:t xml:space="preserve">6. Humlum, A.; Vestergaard, E. Large Language Models, Small Labor Market Effects. </w:t>
      </w:r>
      <w:r>
        <w:rPr>
          <w:rFonts w:ascii="Palatino Linotype" w:hAnsi="Palatino Linotype" w:eastAsia="Palatino Linotype"/>
          <w:b w:val="0"/>
          <w:i/>
          <w:sz w:val="16"/>
        </w:rPr>
        <w:t xml:space="preserve">Becker Friedman Institute Working Paper 2025-56: Chicago, IL, USA </w:t>
      </w:r>
      <w:r>
        <w:rPr>
          <w:rFonts w:ascii="Palatino Linotype" w:hAnsi="Palatino Linotype" w:eastAsia="Palatino Linotype"/>
          <w:b/>
          <w:i w:val="0"/>
          <w:sz w:val="16"/>
        </w:rPr>
        <w:t>2025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Acemoglu, D.; Pischke, J.-S. Beyond Becker: Training in Imperfect Labour Markets. </w:t>
      </w:r>
      <w:r>
        <w:rPr>
          <w:rFonts w:ascii="Palatino Linotype" w:hAnsi="Palatino Linotype" w:eastAsia="Palatino Linotype"/>
          <w:b w:val="0"/>
          <w:i/>
          <w:sz w:val="16"/>
        </w:rPr>
        <w:t xml:space="preserve">The Economic Journal </w:t>
      </w:r>
      <w:r>
        <w:rPr>
          <w:rFonts w:ascii="Palatino Linotype" w:hAnsi="Palatino Linotype" w:eastAsia="Palatino Linotype"/>
          <w:b/>
          <w:i w:val="0"/>
          <w:sz w:val="16"/>
        </w:rPr>
        <w:t>1999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109</w:t>
      </w:r>
      <w:r>
        <w:rPr>
          <w:rFonts w:ascii="Palatino Linotype" w:hAnsi="Palatino Linotype" w:eastAsia="Palatino Linotype"/>
          <w:b w:val="0"/>
          <w:i w:val="0"/>
          <w:sz w:val="16"/>
        </w:rPr>
        <w:t>, F112–F142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8. Stevens, M. A Theoretical Model of On-the-Job Training with Imperfect Competition. </w:t>
      </w:r>
      <w:r>
        <w:rPr>
          <w:rFonts w:ascii="Palatino Linotype" w:hAnsi="Palatino Linotype" w:eastAsia="Palatino Linotype"/>
          <w:b w:val="0"/>
          <w:i/>
          <w:sz w:val="16"/>
        </w:rPr>
        <w:t xml:space="preserve">Oxford Economic Papers </w:t>
      </w:r>
      <w:r>
        <w:rPr>
          <w:rFonts w:ascii="Palatino Linotype" w:hAnsi="Palatino Linotype" w:eastAsia="Palatino Linotype"/>
          <w:b/>
          <w:i w:val="0"/>
          <w:sz w:val="16"/>
        </w:rPr>
        <w:t>1994</w:t>
      </w:r>
      <w:r>
        <w:rPr>
          <w:rFonts w:ascii="Palatino Linotype" w:hAnsi="Palatino Linotype" w:eastAsia="Palatino Linotype"/>
          <w:b w:val="0"/>
          <w:i w:val="0"/>
          <w:sz w:val="16"/>
        </w:rPr>
        <w:t xml:space="preserve">, </w:t>
      </w:r>
      <w:r>
        <w:rPr>
          <w:rFonts w:ascii="Palatino Linotype" w:hAnsi="Palatino Linotype" w:eastAsia="Palatino Linotype"/>
          <w:b w:val="0"/>
          <w:i/>
          <w:sz w:val="16"/>
        </w:rPr>
        <w:t>46</w:t>
      </w:r>
      <w:r>
        <w:rPr>
          <w:rFonts w:ascii="Palatino Linotype" w:hAnsi="Palatino Linotype" w:eastAsia="Palatino Linotype"/>
          <w:b w:val="0"/>
          <w:i w:val="0"/>
          <w:sz w:val="16"/>
        </w:rPr>
        <w:t>, 537–562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9. Mayneris, F.; Poncet, S.; Zhang, T. Improving or Disappearing: Firm-Level Adjustments to Minimum Wages in China. </w:t>
      </w:r>
      <w:r>
        <w:rPr>
          <w:rFonts w:ascii="Palatino Linotype" w:hAnsi="Palatino Linotype" w:eastAsia="Palatino Linotype"/>
          <w:b w:val="0"/>
          <w:i/>
          <w:sz w:val="16"/>
        </w:rPr>
        <w:t xml:space="preserve">Journal of Development Economics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135</w:t>
      </w:r>
      <w:r>
        <w:rPr>
          <w:rFonts w:ascii="Palatino Linotype" w:hAnsi="Palatino Linotype" w:eastAsia="Palatino Linotype"/>
          <w:b w:val="0"/>
          <w:i w:val="0"/>
          <w:sz w:val="16"/>
        </w:rPr>
        <w:t>, 20-42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10. Acemoglu, D.; Restrepo, P. The Race between Man and Machine: Implications of Technology for Growth, Factor Shares, and Employment.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108</w:t>
      </w:r>
      <w:r>
        <w:rPr>
          <w:rFonts w:ascii="Palatino Linotype" w:hAnsi="Palatino Linotype" w:eastAsia="Palatino Linotype"/>
          <w:b w:val="0"/>
          <w:i w:val="0"/>
          <w:sz w:val="16"/>
        </w:rPr>
        <w:t>, 1488–1542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11. Acemoglu, D.; Restrepo, P. Automation and New Tasks: How Technology Displaces and Reinstates Labor.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3–30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Acemoglu, D.; Restrepo, P. Tasks, Automation, and the Rise in U.S. Wage Inequality.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1973–2016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Becker, G.S. Human Capital: A Theoretical and Empirical Analysis, with Special Reference to Education. </w:t>
      </w:r>
      <w:r>
        <w:rPr>
          <w:rFonts w:ascii="Palatino Linotype" w:hAnsi="Palatino Linotype" w:eastAsia="Palatino Linotype"/>
          <w:b w:val="0"/>
          <w:i/>
          <w:sz w:val="16"/>
        </w:rPr>
        <w:t xml:space="preserve">Columbia University Press: New York, NY, USA </w:t>
      </w:r>
      <w:r>
        <w:rPr>
          <w:rFonts w:ascii="Palatino Linotype" w:hAnsi="Palatino Linotype" w:eastAsia="Palatino Linotype"/>
          <w:b/>
          <w:i w:val="0"/>
          <w:sz w:val="16"/>
        </w:rPr>
        <w:t>1964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Acemoglu, D.; Pischke, J.-S. Why Do Firms Train? Theory and Evidence. </w:t>
      </w:r>
      <w:r>
        <w:rPr>
          <w:rFonts w:ascii="Palatino Linotype" w:hAnsi="Palatino Linotype" w:eastAsia="Palatino Linotype"/>
          <w:b w:val="0"/>
          <w:i/>
          <w:sz w:val="16"/>
        </w:rPr>
        <w:t xml:space="preserve">The Quarterly Journal of Economics </w:t>
      </w:r>
      <w:r>
        <w:rPr>
          <w:rFonts w:ascii="Palatino Linotype" w:hAnsi="Palatino Linotype" w:eastAsia="Palatino Linotype"/>
          <w:b/>
          <w:i w:val="0"/>
          <w:sz w:val="16"/>
        </w:rPr>
        <w:t>1998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113</w:t>
      </w:r>
      <w:r>
        <w:rPr>
          <w:rFonts w:ascii="Palatino Linotype" w:hAnsi="Palatino Linotype" w:eastAsia="Palatino Linotype"/>
          <w:b w:val="0"/>
          <w:i w:val="0"/>
          <w:sz w:val="16"/>
        </w:rPr>
        <w:t>, 79–119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15. Brynjolfsson, E.; Li, D.; Raymond, L. Generative AI at Work.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889–942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16. Acemoglu, D.; Restrepo, P. Robots and Jobs: Evidence from US Labor Markets. </w:t>
      </w:r>
      <w:r>
        <w:rPr>
          <w:rFonts w:ascii="Palatino Linotype" w:hAnsi="Palatino Linotype" w:eastAsia="Palatino Linotype"/>
          <w:b w:val="0"/>
          <w:i/>
          <w:sz w:val="16"/>
        </w:rPr>
        <w:t xml:space="preserve">J. Polit. Econ.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128</w:t>
      </w:r>
      <w:r>
        <w:rPr>
          <w:rFonts w:ascii="Palatino Linotype" w:hAnsi="Palatino Linotype" w:eastAsia="Palatino Linotype"/>
          <w:b w:val="0"/>
          <w:i w:val="0"/>
          <w:sz w:val="16"/>
        </w:rPr>
        <w:t>, 2188–2244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17. Adachi, D.; Kawaguchi, D.; Saito, Y.U. Robots and Employment: Evidence from Japan, 1978–2017. </w:t>
      </w:r>
      <w:r>
        <w:rPr>
          <w:rFonts w:ascii="Palatino Linotype" w:hAnsi="Palatino Linotype" w:eastAsia="Palatino Linotype"/>
          <w:b w:val="0"/>
          <w:i/>
          <w:sz w:val="16"/>
        </w:rPr>
        <w:t xml:space="preserve">J. Labor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42</w:t>
      </w:r>
      <w:r>
        <w:rPr>
          <w:rFonts w:ascii="Palatino Linotype" w:hAnsi="Palatino Linotype" w:eastAsia="Palatino Linotype"/>
          <w:b w:val="0"/>
          <w:i w:val="0"/>
          <w:sz w:val="16"/>
        </w:rPr>
        <w:t>, 591–634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18. Huang, K.; Liu, Q.; Tang, C. Which firms benefit from robot adoption? Evidence from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86</w:t>
      </w:r>
      <w:r>
        <w:rPr>
          <w:rFonts w:ascii="Palatino Linotype" w:hAnsi="Palatino Linotype" w:eastAsia="Palatino Linotype"/>
          <w:b w:val="0"/>
          <w:i w:val="0"/>
          <w:sz w:val="16"/>
        </w:rPr>
        <w:t>, 101612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19. Wang, T.; Zhang, Y.; Liu, C. Robot adoption and employment adjustment: Firm-level evidence from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102137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20. Zhu, G.; Nie, A. How industrial robots affect employment: firm-level evidence from China. </w:t>
      </w:r>
      <w:r>
        <w:rPr>
          <w:rFonts w:ascii="Palatino Linotype" w:hAnsi="Palatino Linotype" w:eastAsia="Palatino Linotype"/>
          <w:b w:val="0"/>
          <w:i/>
          <w:sz w:val="16"/>
        </w:rPr>
        <w:t xml:space="preserve">J. Asia Pac.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31–61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Cheng, H.; Jia, R.; Li, D.; Li, H. The Rise of Robots in China.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71–88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Deng, L.; Müller, S.; Plümpe, V.; Stegmaier, J. Robots, occupations, and worker age: A production-unit analysis of employment. </w:t>
      </w:r>
      <w:r>
        <w:rPr>
          <w:rFonts w:ascii="Palatino Linotype" w:hAnsi="Palatino Linotype" w:eastAsia="Palatino Linotype"/>
          <w:b w:val="0"/>
          <w:i/>
          <w:sz w:val="16"/>
        </w:rPr>
        <w:t xml:space="preserve">Eur.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170</w:t>
      </w:r>
      <w:r>
        <w:rPr>
          <w:rFonts w:ascii="Palatino Linotype" w:hAnsi="Palatino Linotype" w:eastAsia="Palatino Linotype"/>
          <w:b w:val="0"/>
          <w:i w:val="0"/>
          <w:sz w:val="16"/>
        </w:rPr>
        <w:t>, 104881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23. Liang, F.; Liu, Y. Sustainable youth employment quality management: The impact of robotization in China. </w:t>
      </w:r>
      <w:r>
        <w:rPr>
          <w:rFonts w:ascii="Palatino Linotype" w:hAnsi="Palatino Linotype" w:eastAsia="Palatino Linotype"/>
          <w:b w:val="0"/>
          <w:i/>
          <w:sz w:val="16"/>
        </w:rPr>
        <w:t xml:space="preserve">PLoS ONE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e0298081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24.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Li, X.; Wang, Q.; Kong, D.; Tao, Y. Intelligent Manufacturing and Corporate Human Capital Upgrade in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101886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Xu, Y.; Wei, Y.; Zeng, X.; Yu, H.; Chen, H. Big data development and labor income share: Evidence from China’s national big data comprehensive pilot zones. </w:t>
      </w:r>
      <w:r>
        <w:rPr>
          <w:rFonts w:ascii="Palatino Linotype" w:hAnsi="Palatino Linotype" w:eastAsia="Palatino Linotype"/>
          <w:b w:val="0"/>
          <w:i/>
          <w:sz w:val="16"/>
        </w:rPr>
        <w:t xml:space="preserve">Econ. Anal. Policy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1415–1437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27. Frey, C.B.; Osborne, M.A. The future of employment: How susceptible are jobs to computerisation?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2017</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114</w:t>
      </w:r>
      <w:r>
        <w:rPr>
          <w:rFonts w:ascii="Palatino Linotype" w:hAnsi="Palatino Linotype" w:eastAsia="Palatino Linotype"/>
          <w:b w:val="0"/>
          <w:i w:val="0"/>
          <w:sz w:val="16"/>
        </w:rPr>
        <w:t>, 254–280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28. Noy, S.; Zhang, W. Experimental evidence on the productivity effects of generative artificial intelligence.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381</w:t>
      </w:r>
      <w:r>
        <w:rPr>
          <w:rFonts w:ascii="Palatino Linotype" w:hAnsi="Palatino Linotype" w:eastAsia="Palatino Linotype"/>
          <w:b w:val="0"/>
          <w:i w:val="0"/>
          <w:sz w:val="16"/>
        </w:rPr>
        <w:t>, 187–192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29. Cheng, C.; Luo, J.; Zhu, C.; Zhang, S. Artificial intelligence and the skill premium: A numerical analysis of theoretical models.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200</w:t>
      </w:r>
      <w:r>
        <w:rPr>
          <w:rFonts w:ascii="Palatino Linotype" w:hAnsi="Palatino Linotype" w:eastAsia="Palatino Linotype"/>
          <w:b w:val="0"/>
          <w:i w:val="0"/>
          <w:sz w:val="16"/>
        </w:rPr>
        <w:t>, 123140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Konings, J.; Vanormelingen, S. The Impact of Training on Productivity and Wages: Firm-Level Evidence. </w:t>
      </w:r>
      <w:r>
        <w:rPr>
          <w:rFonts w:ascii="Palatino Linotype" w:hAnsi="Palatino Linotype" w:eastAsia="Palatino Linotype"/>
          <w:b w:val="0"/>
          <w:i/>
          <w:sz w:val="16"/>
        </w:rPr>
        <w:t xml:space="preserve">Rev. Econ. Stat. </w:t>
      </w:r>
      <w:r>
        <w:rPr>
          <w:rFonts w:ascii="Palatino Linotype" w:hAnsi="Palatino Linotype" w:eastAsia="Palatino Linotype"/>
          <w:b/>
          <w:i w:val="0"/>
          <w:sz w:val="16"/>
        </w:rPr>
        <w:t>2015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485–497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Heß, P.; Janssen, S.; Leber, U. The effect of automation technology on workers’ training participation. </w:t>
      </w:r>
      <w:r>
        <w:rPr>
          <w:rFonts w:ascii="Palatino Linotype" w:hAnsi="Palatino Linotype" w:eastAsia="Palatino Linotype"/>
          <w:b w:val="0"/>
          <w:i/>
          <w:sz w:val="16"/>
        </w:rPr>
        <w:t xml:space="preserve">Econ. Educ.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102438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Gibbons, R.; Waldman, M. A Theory of Wage and Promotion Dynamics inside Firms. </w:t>
      </w:r>
      <w:r>
        <w:rPr>
          <w:rFonts w:ascii="Palatino Linotype" w:hAnsi="Palatino Linotype" w:eastAsia="Palatino Linotype"/>
          <w:b w:val="0"/>
          <w:i/>
          <w:sz w:val="16"/>
        </w:rPr>
        <w:t xml:space="preserve">The Quarterly Journal of Economics </w:t>
      </w:r>
      <w:r>
        <w:rPr>
          <w:rFonts w:ascii="Palatino Linotype" w:hAnsi="Palatino Linotype" w:eastAsia="Palatino Linotype"/>
          <w:b/>
          <w:i w:val="0"/>
          <w:sz w:val="16"/>
        </w:rPr>
        <w:t>1999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114</w:t>
      </w:r>
      <w:r>
        <w:rPr>
          <w:rFonts w:ascii="Palatino Linotype" w:hAnsi="Palatino Linotype" w:eastAsia="Palatino Linotype"/>
          <w:b w:val="0"/>
          <w:i w:val="0"/>
          <w:sz w:val="16"/>
        </w:rPr>
        <w:t>, 1321–1358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Topel, R.H.; Ward, M.P. Job Mobility and the Careers of Young Men. </w:t>
      </w:r>
      <w:r>
        <w:rPr>
          <w:rFonts w:ascii="Palatino Linotype" w:hAnsi="Palatino Linotype" w:eastAsia="Palatino Linotype"/>
          <w:b w:val="0"/>
          <w:i/>
          <w:sz w:val="16"/>
        </w:rPr>
        <w:t xml:space="preserve">The Quarterly Journal of Economics </w:t>
      </w:r>
      <w:r>
        <w:rPr>
          <w:rFonts w:ascii="Palatino Linotype" w:hAnsi="Palatino Linotype" w:eastAsia="Palatino Linotype"/>
          <w:b/>
          <w:i w:val="0"/>
          <w:sz w:val="16"/>
        </w:rPr>
        <w:t>1992</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107</w:t>
      </w:r>
      <w:r>
        <w:rPr>
          <w:rFonts w:ascii="Palatino Linotype" w:hAnsi="Palatino Linotype" w:eastAsia="Palatino Linotype"/>
          <w:b w:val="0"/>
          <w:i w:val="0"/>
          <w:sz w:val="16"/>
        </w:rPr>
        <w:t>, 439–479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Kambourov, G.; Manovskii, I. Occupational Specificity of Human Capital. </w:t>
      </w:r>
      <w:r>
        <w:rPr>
          <w:rFonts w:ascii="Palatino Linotype" w:hAnsi="Palatino Linotype" w:eastAsia="Palatino Linotype"/>
          <w:b w:val="0"/>
          <w:i/>
          <w:sz w:val="16"/>
        </w:rPr>
        <w:t xml:space="preserve">International Economic Review </w:t>
      </w:r>
      <w:r>
        <w:rPr>
          <w:rFonts w:ascii="Palatino Linotype" w:hAnsi="Palatino Linotype" w:eastAsia="Palatino Linotype"/>
          <w:b/>
          <w:i w:val="0"/>
          <w:sz w:val="16"/>
        </w:rPr>
        <w:t>2009</w:t>
      </w:r>
      <w:r>
        <w:rPr>
          <w:rFonts w:ascii="Palatino Linotype" w:hAnsi="Palatino Linotype" w:eastAsia="Palatino Linotype"/>
          <w:b w:val="0"/>
          <w:i w:val="0"/>
          <w:sz w:val="16"/>
        </w:rPr>
        <w:t xml:space="preserve">, </w:t>
      </w:r>
      <w:r>
        <w:rPr>
          <w:rFonts w:ascii="Palatino Linotype" w:hAnsi="Palatino Linotype" w:eastAsia="Palatino Linotype"/>
          <w:b w:val="0"/>
          <w:i/>
          <w:sz w:val="16"/>
        </w:rPr>
        <w:t>50</w:t>
      </w:r>
      <w:r>
        <w:rPr>
          <w:rFonts w:ascii="Palatino Linotype" w:hAnsi="Palatino Linotype" w:eastAsia="Palatino Linotype"/>
          <w:b w:val="0"/>
          <w:i w:val="0"/>
          <w:sz w:val="16"/>
        </w:rPr>
        <w:t>, 63–115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Rikala, P.; Braun, G.; Järvinen, M.; Stahre, J.; Hämäläinen, R. Understanding and measuring skill gaps in Industry 4.0—A review.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201</w:t>
      </w:r>
      <w:r>
        <w:rPr>
          <w:rFonts w:ascii="Palatino Linotype" w:hAnsi="Palatino Linotype" w:eastAsia="Palatino Linotype"/>
          <w:b w:val="0"/>
          <w:i w:val="0"/>
          <w:sz w:val="16"/>
        </w:rPr>
        <w:t>, 123206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36. Li, L. Reskilling and upskilling the future-ready workforce for Industry 4.0 and beyond. </w:t>
      </w:r>
      <w:r>
        <w:rPr>
          <w:rFonts w:ascii="Palatino Linotype" w:hAnsi="Palatino Linotype" w:eastAsia="Palatino Linotype"/>
          <w:b w:val="0"/>
          <w:i/>
          <w:sz w:val="16"/>
        </w:rPr>
        <w:t xml:space="preserve">Inf. Syst. Front.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26</w:t>
      </w:r>
      <w:r>
        <w:rPr>
          <w:rFonts w:ascii="Palatino Linotype" w:hAnsi="Palatino Linotype" w:eastAsia="Palatino Linotype"/>
          <w:b w:val="0"/>
          <w:i w:val="0"/>
          <w:sz w:val="16"/>
        </w:rPr>
        <w:t>, 1697–1712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37.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Zhao, K.; Wu, Y.; Kuang, Z. Dynamic evolution and impact mechanism of human capital mismatch in strategic emerging industries: Evidence from the Yangtze River Delta region of China. </w:t>
      </w:r>
      <w:r>
        <w:rPr>
          <w:rFonts w:ascii="Palatino Linotype" w:hAnsi="Palatino Linotype" w:eastAsia="Palatino Linotype"/>
          <w:b w:val="0"/>
          <w:i/>
          <w:sz w:val="16"/>
        </w:rPr>
        <w:t xml:space="preserve">Heliyon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w:t>
      </w:r>
      <w:r>
        <w:rPr>
          <w:rFonts w:ascii="Palatino Linotype" w:hAnsi="Palatino Linotype" w:eastAsia="Palatino Linotype"/>
          <w:b w:val="0"/>
          <w:i w:val="0"/>
          <w:sz w:val="16"/>
        </w:rPr>
        <w:t>, e21684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Diamond, P.A. Aggregate Demand Management in Search Equilibrium. </w:t>
      </w:r>
      <w:r>
        <w:rPr>
          <w:rFonts w:ascii="Palatino Linotype" w:hAnsi="Palatino Linotype" w:eastAsia="Palatino Linotype"/>
          <w:b w:val="0"/>
          <w:i/>
          <w:sz w:val="16"/>
        </w:rPr>
        <w:t xml:space="preserve">Journal of Political Economy </w:t>
      </w:r>
      <w:r>
        <w:rPr>
          <w:rFonts w:ascii="Palatino Linotype" w:hAnsi="Palatino Linotype" w:eastAsia="Palatino Linotype"/>
          <w:b/>
          <w:i w:val="0"/>
          <w:sz w:val="16"/>
        </w:rPr>
        <w:t>1982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881–894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Mortensen, D.T.; Pissarides, C.A. Job Creation and Job Destruction in the Theory of Unemployment. </w:t>
      </w:r>
      <w:r>
        <w:rPr>
          <w:rFonts w:ascii="Palatino Linotype" w:hAnsi="Palatino Linotype" w:eastAsia="Palatino Linotype"/>
          <w:b w:val="0"/>
          <w:i/>
          <w:sz w:val="16"/>
        </w:rPr>
        <w:t xml:space="preserve">The Review of Economic Studies </w:t>
      </w:r>
      <w:r>
        <w:rPr>
          <w:rFonts w:ascii="Palatino Linotype" w:hAnsi="Palatino Linotype" w:eastAsia="Palatino Linotype"/>
          <w:b/>
          <w:i w:val="0"/>
          <w:sz w:val="16"/>
        </w:rPr>
        <w:t>1994</w:t>
      </w:r>
      <w:r>
        <w:rPr>
          <w:rFonts w:ascii="Palatino Linotype" w:hAnsi="Palatino Linotype" w:eastAsia="Palatino Linotype"/>
          <w:b w:val="0"/>
          <w:i w:val="0"/>
          <w:sz w:val="16"/>
        </w:rPr>
        <w:t xml:space="preserve">, </w:t>
      </w:r>
      <w:r>
        <w:rPr>
          <w:rFonts w:ascii="Palatino Linotype" w:hAnsi="Palatino Linotype" w:eastAsia="Palatino Linotype"/>
          <w:b w:val="0"/>
          <w:i/>
          <w:sz w:val="16"/>
        </w:rPr>
        <w:t>61</w:t>
      </w:r>
      <w:r>
        <w:rPr>
          <w:rFonts w:ascii="Palatino Linotype" w:hAnsi="Palatino Linotype" w:eastAsia="Palatino Linotype"/>
          <w:b w:val="0"/>
          <w:i w:val="0"/>
          <w:sz w:val="16"/>
        </w:rPr>
        <w:t>, 397–415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Pissarides, C.A. Equilibrium Unemployment Theory, 2nd ed.. </w:t>
      </w:r>
      <w:r>
        <w:rPr>
          <w:rFonts w:ascii="Palatino Linotype" w:hAnsi="Palatino Linotype" w:eastAsia="Palatino Linotype"/>
          <w:b w:val="0"/>
          <w:i/>
          <w:sz w:val="16"/>
        </w:rPr>
        <w:t xml:space="preserve">MIT Press: Cambridge, MA, USA </w:t>
      </w:r>
      <w:r>
        <w:rPr>
          <w:rFonts w:ascii="Palatino Linotype" w:hAnsi="Palatino Linotype" w:eastAsia="Palatino Linotype"/>
          <w:b/>
          <w:i w:val="0"/>
          <w:sz w:val="16"/>
        </w:rPr>
        <w:t>2000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42. Petrongolo, B.; Pissarides, C.A. Looking into the black box: A survey of the matching function. </w:t>
      </w:r>
      <w:r>
        <w:rPr>
          <w:rFonts w:ascii="Palatino Linotype" w:hAnsi="Palatino Linotype" w:eastAsia="Palatino Linotype"/>
          <w:b w:val="0"/>
          <w:i/>
          <w:sz w:val="16"/>
        </w:rPr>
        <w:t xml:space="preserve">J. Econ. Lit.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39</w:t>
      </w:r>
      <w:r>
        <w:rPr>
          <w:rFonts w:ascii="Palatino Linotype" w:hAnsi="Palatino Linotype" w:eastAsia="Palatino Linotype"/>
          <w:b w:val="0"/>
          <w:i w:val="0"/>
          <w:sz w:val="16"/>
        </w:rPr>
        <w:t>, 390–431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43. Hosios, A.J. On the Efficiency of Matching and Related Models of Search and Unemployment. </w:t>
      </w:r>
      <w:r>
        <w:rPr>
          <w:rFonts w:ascii="Palatino Linotype" w:hAnsi="Palatino Linotype" w:eastAsia="Palatino Linotype"/>
          <w:b w:val="0"/>
          <w:i/>
          <w:sz w:val="16"/>
        </w:rPr>
        <w:t xml:space="preserve">The Review of Economic Studies </w:t>
      </w:r>
      <w:r>
        <w:rPr>
          <w:rFonts w:ascii="Palatino Linotype" w:hAnsi="Palatino Linotype" w:eastAsia="Palatino Linotype"/>
          <w:b/>
          <w:i w:val="0"/>
          <w:sz w:val="16"/>
        </w:rPr>
        <w:t>1990</w:t>
      </w:r>
      <w:r>
        <w:rPr>
          <w:rFonts w:ascii="Palatino Linotype" w:hAnsi="Palatino Linotype" w:eastAsia="Palatino Linotype"/>
          <w:b w:val="0"/>
          <w:i w:val="0"/>
          <w:sz w:val="16"/>
        </w:rPr>
        <w:t xml:space="preserve">, </w:t>
      </w:r>
      <w:r>
        <w:rPr>
          <w:rFonts w:ascii="Palatino Linotype" w:hAnsi="Palatino Linotype" w:eastAsia="Palatino Linotype"/>
          <w:b w:val="0"/>
          <w:i/>
          <w:sz w:val="16"/>
        </w:rPr>
        <w:t>57</w:t>
      </w:r>
      <w:r>
        <w:rPr>
          <w:rFonts w:ascii="Palatino Linotype" w:hAnsi="Palatino Linotype" w:eastAsia="Palatino Linotype"/>
          <w:b w:val="0"/>
          <w:i w:val="0"/>
          <w:sz w:val="16"/>
        </w:rPr>
        <w:t>, 279–298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44. Burdett, K.; Mortensen, D.T. Wage Differentials, Employer Size, and Unemployment. </w:t>
      </w:r>
      <w:r>
        <w:rPr>
          <w:rFonts w:ascii="Palatino Linotype" w:hAnsi="Palatino Linotype" w:eastAsia="Palatino Linotype"/>
          <w:b w:val="0"/>
          <w:i/>
          <w:sz w:val="16"/>
        </w:rPr>
        <w:t xml:space="preserve">International Economic Review </w:t>
      </w:r>
      <w:r>
        <w:rPr>
          <w:rFonts w:ascii="Palatino Linotype" w:hAnsi="Palatino Linotype" w:eastAsia="Palatino Linotype"/>
          <w:b/>
          <w:i w:val="0"/>
          <w:sz w:val="16"/>
        </w:rPr>
        <w:t>1998</w:t>
      </w:r>
      <w:r>
        <w:rPr>
          <w:rFonts w:ascii="Palatino Linotype" w:hAnsi="Palatino Linotype" w:eastAsia="Palatino Linotype"/>
          <w:b w:val="0"/>
          <w:i w:val="0"/>
          <w:sz w:val="16"/>
        </w:rPr>
        <w:t xml:space="preserve">, </w:t>
      </w:r>
      <w:r>
        <w:rPr>
          <w:rFonts w:ascii="Palatino Linotype" w:hAnsi="Palatino Linotype" w:eastAsia="Palatino Linotype"/>
          <w:b w:val="0"/>
          <w:i/>
          <w:sz w:val="16"/>
        </w:rPr>
        <w:t>39</w:t>
      </w:r>
      <w:r>
        <w:rPr>
          <w:rFonts w:ascii="Palatino Linotype" w:hAnsi="Palatino Linotype" w:eastAsia="Palatino Linotype"/>
          <w:b w:val="0"/>
          <w:i w:val="0"/>
          <w:sz w:val="16"/>
        </w:rPr>
        <w:t>, 257–273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Postel-Vinay, F.; Robin, J.-M. Equilibrium Wage Dispersion with Worker and Employer Heterogeneity.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70</w:t>
      </w:r>
      <w:r>
        <w:rPr>
          <w:rFonts w:ascii="Palatino Linotype" w:hAnsi="Palatino Linotype" w:eastAsia="Palatino Linotype"/>
          <w:b w:val="0"/>
          <w:i w:val="0"/>
          <w:sz w:val="16"/>
        </w:rPr>
        <w:t>, 2295–2350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Cahuc, P.; Postel-Vinay, F.; Robin, J.-M. Wage Bargaining with On-the-Job Search: Theory and Evidence.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2006</w:t>
      </w:r>
      <w:r>
        <w:rPr>
          <w:rFonts w:ascii="Palatino Linotype" w:hAnsi="Palatino Linotype" w:eastAsia="Palatino Linotype"/>
          <w:b w:val="0"/>
          <w:i w:val="0"/>
          <w:sz w:val="16"/>
        </w:rPr>
        <w:t xml:space="preserve">, </w:t>
      </w:r>
      <w:r>
        <w:rPr>
          <w:rFonts w:ascii="Palatino Linotype" w:hAnsi="Palatino Linotype" w:eastAsia="Palatino Linotype"/>
          <w:b w:val="0"/>
          <w:i/>
          <w:sz w:val="16"/>
        </w:rPr>
        <w:t>74</w:t>
      </w:r>
      <w:r>
        <w:rPr>
          <w:rFonts w:ascii="Palatino Linotype" w:hAnsi="Palatino Linotype" w:eastAsia="Palatino Linotype"/>
          <w:b w:val="0"/>
          <w:i w:val="0"/>
          <w:sz w:val="16"/>
        </w:rPr>
        <w:t>, 323–364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Shimer, R. The Cyclical Behavior of Equilibrium Unemployment and Vacancies.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2005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95</w:t>
      </w:r>
      <w:r>
        <w:rPr>
          <w:rFonts w:ascii="Palatino Linotype" w:hAnsi="Palatino Linotype" w:eastAsia="Palatino Linotype"/>
          <w:b w:val="0"/>
          <w:i w:val="0"/>
          <w:sz w:val="16"/>
        </w:rPr>
        <w:t>, 25–49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Hall, R.E.; Milgrom, P.R. The Limited Influence of Unemployment on the Wage Bargain.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2008</w:t>
      </w:r>
      <w:r>
        <w:rPr>
          <w:rFonts w:ascii="Palatino Linotype" w:hAnsi="Palatino Linotype" w:eastAsia="Palatino Linotype"/>
          <w:b w:val="0"/>
          <w:i w:val="0"/>
          <w:sz w:val="16"/>
        </w:rPr>
        <w:t xml:space="preserve">, </w:t>
      </w:r>
      <w:r>
        <w:rPr>
          <w:rFonts w:ascii="Palatino Linotype" w:hAnsi="Palatino Linotype" w:eastAsia="Palatino Linotype"/>
          <w:b w:val="0"/>
          <w:i/>
          <w:sz w:val="16"/>
        </w:rPr>
        <w:t>98</w:t>
      </w:r>
      <w:r>
        <w:rPr>
          <w:rFonts w:ascii="Palatino Linotype" w:hAnsi="Palatino Linotype" w:eastAsia="Palatino Linotype"/>
          <w:b w:val="0"/>
          <w:i w:val="0"/>
          <w:sz w:val="16"/>
        </w:rPr>
        <w:t>, 1653–1674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Hagedorn, M.; Manovskii, I. The Cyclical Behavior of Equilibrium Unemployment and Vacancies Revisited. </w:t>
      </w:r>
      <w:r>
        <w:rPr>
          <w:rFonts w:ascii="Palatino Linotype" w:hAnsi="Palatino Linotype" w:eastAsia="Palatino Linotype"/>
          <w:b w:val="0"/>
          <w:i/>
          <w:sz w:val="16"/>
        </w:rPr>
        <w:t xml:space="preserve">American Economic Review </w:t>
      </w:r>
      <w:r>
        <w:rPr>
          <w:rFonts w:ascii="Palatino Linotype" w:hAnsi="Palatino Linotype" w:eastAsia="Palatino Linotype"/>
          <w:b/>
          <w:i w:val="0"/>
          <w:sz w:val="16"/>
        </w:rPr>
        <w:t>2008</w:t>
      </w:r>
      <w:r>
        <w:rPr>
          <w:rFonts w:ascii="Palatino Linotype" w:hAnsi="Palatino Linotype" w:eastAsia="Palatino Linotype"/>
          <w:b w:val="0"/>
          <w:i w:val="0"/>
          <w:sz w:val="16"/>
        </w:rPr>
        <w:t xml:space="preserve">, </w:t>
      </w:r>
      <w:r>
        <w:rPr>
          <w:rFonts w:ascii="Palatino Linotype" w:hAnsi="Palatino Linotype" w:eastAsia="Palatino Linotype"/>
          <w:b w:val="0"/>
          <w:i/>
          <w:sz w:val="16"/>
        </w:rPr>
        <w:t>98</w:t>
      </w:r>
      <w:r>
        <w:rPr>
          <w:rFonts w:ascii="Palatino Linotype" w:hAnsi="Palatino Linotype" w:eastAsia="Palatino Linotype"/>
          <w:b w:val="0"/>
          <w:i w:val="0"/>
          <w:sz w:val="16"/>
        </w:rPr>
        <w:t>, 1692-1706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Pissarides, C.A. The Unemployment Volatility Puzzle: Is Wage Stickiness the Answer?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2009</w:t>
      </w:r>
      <w:r>
        <w:rPr>
          <w:rFonts w:ascii="Palatino Linotype" w:hAnsi="Palatino Linotype" w:eastAsia="Palatino Linotype"/>
          <w:b w:val="0"/>
          <w:i w:val="0"/>
          <w:sz w:val="16"/>
        </w:rPr>
        <w:t xml:space="preserve">, </w:t>
      </w:r>
      <w:r>
        <w:rPr>
          <w:rFonts w:ascii="Palatino Linotype" w:hAnsi="Palatino Linotype" w:eastAsia="Palatino Linotype"/>
          <w:b w:val="0"/>
          <w:i/>
          <w:sz w:val="16"/>
        </w:rPr>
        <w:t>77</w:t>
      </w:r>
      <w:r>
        <w:rPr>
          <w:rFonts w:ascii="Palatino Linotype" w:hAnsi="Palatino Linotype" w:eastAsia="Palatino Linotype"/>
          <w:b w:val="0"/>
          <w:i w:val="0"/>
          <w:sz w:val="16"/>
        </w:rPr>
        <w:t>, 1339-1369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Blanchard, O.; Gali, J. Real Wage Rigidities and the New Keynesian Model. </w:t>
      </w:r>
      <w:r>
        <w:rPr>
          <w:rFonts w:ascii="Palatino Linotype" w:hAnsi="Palatino Linotype" w:eastAsia="Palatino Linotype"/>
          <w:b w:val="0"/>
          <w:i/>
          <w:sz w:val="16"/>
        </w:rPr>
        <w:t xml:space="preserve">Journal of Money, Credit and Banking </w:t>
      </w:r>
      <w:r>
        <w:rPr>
          <w:rFonts w:ascii="Palatino Linotype" w:hAnsi="Palatino Linotype" w:eastAsia="Palatino Linotype"/>
          <w:b/>
          <w:i w:val="0"/>
          <w:sz w:val="16"/>
        </w:rPr>
        <w:t>2007</w:t>
      </w:r>
      <w:r>
        <w:rPr>
          <w:rFonts w:ascii="Palatino Linotype" w:hAnsi="Palatino Linotype" w:eastAsia="Palatino Linotype"/>
          <w:b w:val="0"/>
          <w:i w:val="0"/>
          <w:sz w:val="16"/>
        </w:rPr>
        <w:t xml:space="preserve">, </w:t>
      </w:r>
      <w:r>
        <w:rPr>
          <w:rFonts w:ascii="Palatino Linotype" w:hAnsi="Palatino Linotype" w:eastAsia="Palatino Linotype"/>
          <w:b w:val="0"/>
          <w:i/>
          <w:sz w:val="16"/>
        </w:rPr>
        <w:t>39</w:t>
      </w:r>
      <w:r>
        <w:rPr>
          <w:rFonts w:ascii="Palatino Linotype" w:hAnsi="Palatino Linotype" w:eastAsia="Palatino Linotype"/>
          <w:b w:val="0"/>
          <w:i w:val="0"/>
          <w:sz w:val="16"/>
        </w:rPr>
        <w:t>, 35-65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Ou, D.; Zhao, Z. Higher Education Expansion in China, 1999–2003: Impact on Graduate Employability.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30</w:t>
      </w:r>
      <w:r>
        <w:rPr>
          <w:rFonts w:ascii="Palatino Linotype" w:hAnsi="Palatino Linotype" w:eastAsia="Palatino Linotype"/>
          <w:b w:val="0"/>
          <w:i w:val="0"/>
          <w:sz w:val="16"/>
        </w:rPr>
        <w:t>, 117–141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53. Xiong, B.; Yu, B. The Impact of Internet Development on Youth’s Job Quality in the Digital Economy Era: Transmission Mechanism and Empirical Test.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175</w:t>
      </w:r>
      <w:r>
        <w:rPr>
          <w:rFonts w:ascii="Palatino Linotype" w:hAnsi="Palatino Linotype" w:eastAsia="Palatino Linotype"/>
          <w:b w:val="0"/>
          <w:i w:val="0"/>
          <w:sz w:val="16"/>
        </w:rPr>
        <w:t>, 269–294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54. Jiang, S.; Guo, Y. Reasons for college major-job mismatch and labor market outcomes: Evidence from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74</w:t>
      </w:r>
      <w:r>
        <w:rPr>
          <w:rFonts w:ascii="Palatino Linotype" w:hAnsi="Palatino Linotype" w:eastAsia="Palatino Linotype"/>
          <w:b w:val="0"/>
          <w:i w:val="0"/>
          <w:sz w:val="16"/>
        </w:rPr>
        <w:t>, 101822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55. Pan, Z.; Wang, Y.; Liu, Z. Over-education, job satisfaction, and intention to quit: Evidence from China.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176</w:t>
      </w:r>
      <w:r>
        <w:rPr>
          <w:rFonts w:ascii="Palatino Linotype" w:hAnsi="Palatino Linotype" w:eastAsia="Palatino Linotype"/>
          <w:b w:val="0"/>
          <w:i w:val="0"/>
          <w:sz w:val="16"/>
        </w:rPr>
        <w:t>, 287–307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56.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57. International Labour Organization (ILO). Global Employment Trends for Youth 2024: Decent Work, Brighter Futures; ILO: Geneva, Switzerland, 2024.</w:t>
      </w:r>
    </w:p>
    <w:p>
      <w:pPr>
        <w:spacing w:after="20"/>
        <w:ind w:left="2920" w:hanging="312"/>
        <w:jc w:val="both"/>
      </w:pPr>
      <w:r>
        <w:rPr>
          <w:rFonts w:ascii="Palatino Linotype" w:hAnsi="Palatino Linotype" w:eastAsia="Palatino Linotype"/>
          <w:b w:val="0"/>
          <w:i w:val="0"/>
          <w:sz w:val="16"/>
        </w:rPr>
        <w:t>58. Organisation for Economic Co-operation and Development (OECD). Education at a Glance 2025: OECD Indicators; OECD Publishing: Paris, France, 2025.</w:t>
      </w:r>
    </w:p>
    <w:p>
      <w:pPr>
        <w:spacing w:after="20"/>
        <w:ind w:left="2920" w:hanging="312"/>
        <w:jc w:val="both"/>
      </w:pPr>
      <w:r>
        <w:rPr>
          <w:rFonts w:ascii="Palatino Linotype" w:hAnsi="Palatino Linotype" w:eastAsia="Palatino Linotype"/>
          <w:b w:val="0"/>
          <w:i w:val="0"/>
          <w:sz w:val="16"/>
        </w:rPr>
        <w:t xml:space="preserve">59. Başol, O.; Sevgi, H.; Yalçın, E.C. The Effect of Digitalization on Youth Unemployment for EU Countries: Treat or Threat?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11080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60. Ogbonna, A.E.; Adediran, I.A.; Oloko, T.F.; Isah, K.O. Information and Communication Technology (ICT) and youth unemployment in Africa. </w:t>
      </w:r>
      <w:r>
        <w:rPr>
          <w:rFonts w:ascii="Palatino Linotype" w:hAnsi="Palatino Linotype" w:eastAsia="Palatino Linotype"/>
          <w:b w:val="0"/>
          <w:i/>
          <w:sz w:val="16"/>
        </w:rPr>
        <w:t xml:space="preserve">Qual. Quant.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57</w:t>
      </w:r>
      <w:r>
        <w:rPr>
          <w:rFonts w:ascii="Palatino Linotype" w:hAnsi="Palatino Linotype" w:eastAsia="Palatino Linotype"/>
          <w:b w:val="0"/>
          <w:i w:val="0"/>
          <w:sz w:val="16"/>
        </w:rPr>
        <w:t>, 5055–5077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61. Tleppayev, A.; Zeinolla, S. Forecasting Youth Unemployment Through Educational and Demographic Indicators: A Panel Time-Series Approach. </w:t>
      </w:r>
      <w:r>
        <w:rPr>
          <w:rFonts w:ascii="Palatino Linotype" w:hAnsi="Palatino Linotype" w:eastAsia="Palatino Linotype"/>
          <w:b w:val="0"/>
          <w:i/>
          <w:sz w:val="16"/>
        </w:rPr>
        <w:t xml:space="preserve">Forecasting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7</w:t>
      </w:r>
      <w:r>
        <w:rPr>
          <w:rFonts w:ascii="Palatino Linotype" w:hAnsi="Palatino Linotype" w:eastAsia="Palatino Linotype"/>
          <w:b w:val="0"/>
          <w:i w:val="0"/>
          <w:sz w:val="16"/>
        </w:rPr>
        <w:t>, 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62. Grigorescu, A.; Alistar, T.V.; Lincaru, C. Digital Skills, Ethics, and Integrity—The Impact of Risky Internet Use, a Multivariate and Spatial Approach to Understanding NEET Vulnerability.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649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63. Chacón-Cuberos, R.; Rodríguez-Sabiote, C.; Expósito-López, J.; Olmedo-Moreno, E.; Serrano-García, J.; Hortas-Aliaga, O. Development of an Employability Thinking Scale for Use with Young People in Training: Exploratory and Confirmatory Factor Analysis.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64. Chen, C.; Zhu, J.; Sun, H. Mechanisms and Pathways of Promoting High-Quality Full Employment Under the Dual Circulation Paradigm: An Evolutionary Simulation Approach Based on System Dynamics.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w:t>
      </w:r>
      <w:r>
        <w:rPr>
          <w:rFonts w:ascii="Palatino Linotype" w:hAnsi="Palatino Linotype" w:eastAsia="Palatino Linotype"/>
          <w:b w:val="0"/>
          <w:i w:val="0"/>
          <w:sz w:val="16"/>
        </w:rPr>
        <w:t>, 737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65. Marczuk, A. Literature review of comparative school-to-work research: How institutional settings shape individual labour market outcomes. </w:t>
      </w:r>
      <w:r>
        <w:rPr>
          <w:rFonts w:ascii="Palatino Linotype" w:hAnsi="Palatino Linotype" w:eastAsia="Palatino Linotype"/>
          <w:b w:val="0"/>
          <w:i/>
          <w:sz w:val="16"/>
        </w:rPr>
        <w:t xml:space="preserve">J. Labour Mark.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66. Song, Y.; Qiu, X.; Liu, J. The Impact of Artificial Intelligence Adoption on Organizational Decision-Making: An Empirical Study Based on the Technology Acceptance Model in Business Management.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683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67.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68. Herrmann, T.; Pfeiffer, S. Keeping the organization in the loop: A socio-technical extension of human-centered artificial intelligence. </w:t>
      </w:r>
      <w:r>
        <w:rPr>
          <w:rFonts w:ascii="Palatino Linotype" w:hAnsi="Palatino Linotype" w:eastAsia="Palatino Linotype"/>
          <w:b w:val="0"/>
          <w:i/>
          <w:sz w:val="16"/>
        </w:rPr>
        <w:t xml:space="preserve">AI 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w:t>
      </w:r>
      <w:r>
        <w:rPr>
          <w:rFonts w:ascii="Palatino Linotype" w:hAnsi="Palatino Linotype" w:eastAsia="Palatino Linotype"/>
          <w:b w:val="0"/>
          <w:i w:val="0"/>
          <w:sz w:val="16"/>
        </w:rPr>
        <w:t>, 1523–1542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69. Makarius, E.E.; Mukherjee, D.; Fox, J.D.; Fox, A.K. Rising with the machines: A sociotechnical framework for bringing artificial intelligence into the organization. </w:t>
      </w:r>
      <w:r>
        <w:rPr>
          <w:rFonts w:ascii="Palatino Linotype" w:hAnsi="Palatino Linotype" w:eastAsia="Palatino Linotype"/>
          <w:b w:val="0"/>
          <w:i/>
          <w:sz w:val="16"/>
        </w:rPr>
        <w:t xml:space="preserve">J. Bus. Res.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120</w:t>
      </w:r>
      <w:r>
        <w:rPr>
          <w:rFonts w:ascii="Palatino Linotype" w:hAnsi="Palatino Linotype" w:eastAsia="Palatino Linotype"/>
          <w:b w:val="0"/>
          <w:i w:val="0"/>
          <w:sz w:val="16"/>
        </w:rPr>
        <w:t>, 262–273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70. Wang, X.; Jiang, Y.; Yi, F. Digital Revolution and Job Quality of Lower Class Workers: Quasi-experimental Evidence from the Broadband China Program.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32</w:t>
      </w:r>
      <w:r>
        <w:rPr>
          <w:rFonts w:ascii="Palatino Linotype" w:hAnsi="Palatino Linotype" w:eastAsia="Palatino Linotype"/>
          <w:b w:val="0"/>
          <w:i w:val="0"/>
          <w:sz w:val="16"/>
        </w:rPr>
        <w:t>, 146–178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71. Jin, X.; Ma, B.; Zhang, H. Impact of fast internet access on employment: Evidence from a broadband expansion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81</w:t>
      </w:r>
      <w:r>
        <w:rPr>
          <w:rFonts w:ascii="Palatino Linotype" w:hAnsi="Palatino Linotype" w:eastAsia="Palatino Linotype"/>
          <w:b w:val="0"/>
          <w:i w:val="0"/>
          <w:sz w:val="16"/>
        </w:rPr>
        <w:t>, 102038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72. Wang, H.; Wang, H.; Guan, R. Digitalization of industries and labor mobility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87</w:t>
      </w:r>
      <w:r>
        <w:rPr>
          <w:rFonts w:ascii="Palatino Linotype" w:hAnsi="Palatino Linotype" w:eastAsia="Palatino Linotype"/>
          <w:b w:val="0"/>
          <w:i w:val="0"/>
          <w:sz w:val="16"/>
        </w:rPr>
        <w:t>, 102248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73. Zhong, S.; Zhang, X.; Zhang, L.; Zhao, C. How does digital economy influence urban common prosperity? Evidence from China’s demonstration area for common prosperity. </w:t>
      </w:r>
      <w:r>
        <w:rPr>
          <w:rFonts w:ascii="Palatino Linotype" w:hAnsi="Palatino Linotype" w:eastAsia="Palatino Linotype"/>
          <w:b w:val="0"/>
          <w:i/>
          <w:sz w:val="16"/>
        </w:rPr>
        <w:t xml:space="preserve">Int. Rev. Econ. Financ.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104</w:t>
      </w:r>
      <w:r>
        <w:rPr>
          <w:rFonts w:ascii="Palatino Linotype" w:hAnsi="Palatino Linotype" w:eastAsia="Palatino Linotype"/>
          <w:b w:val="0"/>
          <w:i w:val="0"/>
          <w:sz w:val="16"/>
        </w:rPr>
        <w:t>, 104629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74. Tong, W.; Guo, J.; Lo, K.; Xu, W. Bridging the gap to common prosperity: Rural development and urban–rural income disparities in Zhejiang Province, China. </w:t>
      </w:r>
      <w:r>
        <w:rPr>
          <w:rFonts w:ascii="Palatino Linotype" w:hAnsi="Palatino Linotype" w:eastAsia="Palatino Linotype"/>
          <w:b w:val="0"/>
          <w:i/>
          <w:sz w:val="16"/>
        </w:rPr>
        <w:t xml:space="preserve">Chin. Geogr. Sci.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36</w:t>
      </w:r>
      <w:r>
        <w:rPr>
          <w:rFonts w:ascii="Palatino Linotype" w:hAnsi="Palatino Linotype" w:eastAsia="Palatino Linotype"/>
          <w:b w:val="0"/>
          <w:i w:val="0"/>
          <w:sz w:val="16"/>
        </w:rPr>
        <w:t>, 207–221</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255"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2026</w:t>
    </w:r>
    <w:r>
      <w:rPr>
        <w:bCs/>
        <w:iCs/>
        <w:sz w:val="16"/>
        <w:szCs w:val="16"/>
      </w:rPr>
      <w:t>,</w:t>
    </w:r>
    <w:r>
      <w:rPr>
        <w:bCs/>
        <w:i/>
        <w:iCs/>
        <w:sz w:val="16"/>
        <w:szCs w:val="16"/>
      </w:rPr>
      <w:t xml:space="preserve"> 14</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2026</w:t>
    </w:r>
    <w:r>
      <w:rPr>
        <w:sz w:val="16"/>
      </w:rPr>
      <w:t>,</w:t>
    </w:r>
    <w:r>
      <w:rPr>
        <w:i/>
        <w:sz w:val="16"/>
      </w:rPr>
      <w:t xml:space="preserve"> 14</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fig1_structure.png"/><Relationship Id="rId21" Type="http://schemas.openxmlformats.org/officeDocument/2006/relationships/image" Target="media/fig2_mechanism.png"/><Relationship Id="rId22" Type="http://schemas.openxmlformats.org/officeDocument/2006/relationships/image" Target="media/fig3_ai_path.png"/><Relationship Id="rId23" Type="http://schemas.openxmlformats.org/officeDocument/2006/relationships/image" Target="media/fig4_channels.png"/><Relationship Id="rId24" Type="http://schemas.openxmlformats.org/officeDocument/2006/relationships/image" Target="media/fig5_exposure.png"/><Relationship Id="rId25" Type="http://schemas.openxmlformats.org/officeDocument/2006/relationships/image" Target="media/fig6_policy.png"/><Relationship Id="rId26" Type="http://schemas.openxmlformats.org/officeDocument/2006/relationships/image" Target="media/fig7_uncertainty.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