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00" w:lineRule="auto"/>
        <w:jc w:val="center"/>
      </w:pPr>
      <w:r>
        <w:rPr>
          <w:rFonts w:ascii="Times New Roman" w:eastAsia="黑体" w:hAnsi="Times New Roman"/>
          <w:b/>
          <w:bCs/>
          <w:color w:val="000000"/>
          <w:sz w:val="30"/>
          <w:szCs w:val="30"/>
        </w:rPr>
        <w:t xml:space="preserve">「教材智研」中国特色高质量教材体系研究智能体建设方案</w:t>
      </w:r>
    </w:p>
    <w:p>
      <w:pPr>
        <w:pBdr>
          <w:bottom w:val="single" w:color="000000" w:sz="8" w:space="5"/>
        </w:pBdr>
        <w:spacing w:after="200" w:before="0" w:line="300" w:lineRule="auto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教育部大中小学课程教材研究项目《中国特色高质量教材体系的基础理论研究》配套建设　·　浙江省德育教材研究基地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一、定位与边界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新建面向教材体系研究的独立智能体"教材智研"，服务课题本体论、结构论、实践论三个专题。其需求与基地"禾灵儿"平台面向的德育资源推送不同，独立建设便于语料、权限与运营自成一体，也便于结项后整体移交教务处。智能体只作收集、打标签、并置、计数与比对，交付带出处的材料与统计结果；范畴界定、命题提炼、质量判断与合规结论由课题组与相关专家作出。硬规则：无出处不入库、不交付。核心功能、实现方式与建设路径如图1所示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0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图1　「教材智研」核心功能、实现方式与建设路径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二、三项功能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溯源检索。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收政策文本、学术文献、史料与教材，逐条记清出处，按学科、学段、教育类型归类；以五个核心范畴为索引，呈现理论、历史、制度、现实四类依据的分布与缺口。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学术助研。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打标签、摆进八个子体系格子形成覆盖度视图，暴露论证薄弱处；把一条政策表述在政策、学术、史料中的三种说法三栏并置，供研究者提炼学术命题，服务政策话语向学术话语转化这一首要难点。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教材评价与合规审查。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按六个质量维度对教材小样本双人试标，产出一致性数据以检验维度可操作性；把待审文本表述与政策库现行规范表述比对，标出不一致、引用已废止文件、落入风险领域三类情况并附文号条款，风险点按政治性表述、意识形态、民族宗教、涉外与地图、史实人物、文件时效、版权七类建清单。智能体只作提示不作结论，由课题组、专家与学校教材建设委员会判定，涉外与地图按国家规定送审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三、队伍、激励与保密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队伍由马克思主义学院（中共党史党建学院）、教育学院、文法学院联合招募本科生与研究生，各院指定带队教师，专业背景与材料类型对口。作业三级：本科生初标录入，研究生交叉复核并计算一致性，教师与专家抽检确认，抽检不低于百分之十，不合格整批返工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激励四条：按合格件计酬、单价分档，多劳多得；计入实践学时并可作大创与毕业论文选题，达标者出具实践证明；材料汇编列名与成果致谢；老带新，优秀者任培训员且计酬上浮。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系统开发委托人工智能学院团队，复用学校已有服务器与统一身份认证；开发与标注分线，双方上岗前签保密承诺书，约定不外传、不留副本、不转借、离岗交回，合同列明违约责任并在项目结束后继续有效。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四、建设进度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2026年6至7月搭系统、定规范、招募培训并启动材料入库；8至9月溯源检索上线；10至11月学术助研上线，核心功能建成；2026年12月至2027年5月教材评价与合规审查上线，全部功能建成，此后转入常态运行，不再新增功能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五、经费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向学校申请专项经费 8 万元，与课题 20 万元资助经费分账管理，构成见表1。标注支出按约 2 万条材料测算，参照学校勤工助学与前期标注结算标准分档计酬；开发费按节点验收付款，标注按合格件结算，返工不重复计酬。</w:t>
      </w:r>
    </w:p>
    <w:p>
      <w:pPr>
        <w:keepNext/>
        <w:spacing w:after="60" w:before="180" w:line="30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表1　经费预算（单位：万元）</w:t>
      </w:r>
    </w:p>
    <w:tbl>
      <w:tblPr>
        <w:tblW w:type="dxa" w:w="96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2684"/>
        <w:gridCol w:w="1136"/>
        <w:gridCol w:w="5780"/>
      </w:tblGrid>
      <w:tr>
        <w:trPr>
          <w:cantSplit/>
          <w:tblHeader/>
        </w:trPr>
        <w:tc>
          <w:tcPr>
            <w:tcW w:type="dxa" w:w="26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支出科目</w:t>
            </w:r>
          </w:p>
        </w:tc>
        <w:tc>
          <w:tcPr>
            <w:tcW w:type="dxa" w:w="11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金额</w:t>
            </w:r>
          </w:p>
        </w:tc>
        <w:tc>
          <w:tcPr>
            <w:tcW w:type="dxa" w:w="57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主要内容</w:t>
            </w:r>
          </w:p>
        </w:tc>
      </w:tr>
      <w:tr>
        <w:trPr>
          <w:cantSplit/>
          <w:tblHeader w:val="false"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系统开发服务费</w:t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3.5</w:t>
            </w:r>
          </w:p>
        </w:tc>
        <w:tc>
          <w:tcPr>
            <w:tcW w:type="dxa" w:w="5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智能体搭建，三项功能界面、检索与比对规则</w:t>
            </w:r>
          </w:p>
        </w:tc>
      </w:tr>
      <w:tr>
        <w:trPr>
          <w:cantSplit/>
          <w:tblHeader w:val="false"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标注劳务与组织费</w:t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2.5</w:t>
            </w:r>
          </w:p>
        </w:tc>
        <w:tc>
          <w:tcPr>
            <w:tcW w:type="dxa" w:w="5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三院师生标注酬金、带队组织与岗前培训</w:t>
            </w:r>
          </w:p>
        </w:tc>
      </w:tr>
      <w:tr>
        <w:trPr>
          <w:cantSplit/>
          <w:tblHeader w:val="false"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专家咨询费</w:t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type="dxa" w:w="5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规范审定、依据审议、试标与比对规则论证</w:t>
            </w:r>
          </w:p>
        </w:tc>
      </w:tr>
      <w:tr>
        <w:trPr>
          <w:cantSplit/>
          <w:tblHeader w:val="false"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资料征集与数字化</w:t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0.7</w:t>
            </w:r>
          </w:p>
        </w:tc>
        <w:tc>
          <w:tcPr>
            <w:tcW w:type="dxa" w:w="5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史料扫描识别、政策文本采集、目录层录入</w:t>
            </w:r>
          </w:p>
        </w:tc>
      </w:tr>
      <w:tr>
        <w:trPr>
          <w:cantSplit/>
          <w:tblHeader w:val="false"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其他费用</w:t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0.3</w:t>
            </w:r>
          </w:p>
        </w:tc>
        <w:tc>
          <w:tcPr>
            <w:tcW w:type="dxa" w:w="5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保密与规范培训、印制、小额配置</w:t>
            </w:r>
          </w:p>
        </w:tc>
      </w:tr>
      <w:tr>
        <w:trPr>
          <w:cantSplit/>
          <w:tblHeader w:val="false"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8.0</w:t>
            </w:r>
          </w:p>
        </w:tc>
        <w:tc>
          <w:tcPr>
            <w:tcW w:type="dxa" w:w="57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六、后期运营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结项后由学校教务处承接运营，移交系统、材料库、规范手册与风险点清单，负责权限管理、材料更新与年度报告。其教材评价与合规审查功能与教务处的教材选用审核、质量管理业务直接衔接，可继续用于日常审核；运维支出纳入教务处日常经费。</w:t>
      </w:r>
    </w:p>
    <w:sectPr>
      <w:footerReference w:type="default" r:id="rId7"/>
      <w:pgSz w:w="11905" w:h="16837" w:orient="portrait"/>
      <w:pgMar w:top="907" w:right="1133" w:bottom="90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21"/>
        <w:szCs w:val="21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80" w:hanging="300"/>
      </w:pPr>
      <w:rPr>
        <w:color w:val="00000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80" w:hanging="360"/>
      </w:pPr>
      <w:rPr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>
      <w:pPr>
        <w:spacing w:after="0" w:before="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60419519151a24493c8d39902b4da1fadef6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2026-08-31T06:42:10.498Z</dcterms:created>
  <dcterms:modified xsi:type="dcterms:W3CDTF">2026-08-31T06:42:10.499Z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