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Editors,</w:t>
      </w:r>
    </w:p>
    <w:p>
      <w:pPr>
        <w:spacing w:before="0" w:after="100" w:lineRule="auto" w:line="269"/>
      </w:pPr>
      <w:r>
        <w:rPr>
          <w:rFonts w:ascii="Times New Roman" w:hAnsi="Times New Roman" w:eastAsia="Times New Roman"/>
          <w:b w:val="0"/>
          <w:sz w:val="19"/>
        </w:rPr>
        <w:t>We would like to submit the enclosed manuscript entitled “Does Parental Career Support Buffer or Amplify the Association Between Career Anxiety and Career Decision-Making Difficulties? A Simulation Study of a Reported Moderation” for consideration as an Article in Behavioral Sciences. The manuscript has not been published elsewhere and is not under consideration by any other journal. It reports no new human-subject data. All authors have approved the submission, and no conflict of interest exists.</w:t>
      </w:r>
    </w:p>
    <w:p>
      <w:pPr>
        <w:spacing w:before="0" w:after="100" w:lineRule="auto" w:line="269"/>
      </w:pPr>
      <w:r>
        <w:rPr>
          <w:rFonts w:ascii="Times New Roman" w:hAnsi="Times New Roman" w:eastAsia="Times New Roman"/>
          <w:b w:val="0"/>
          <w:sz w:val="19"/>
        </w:rPr>
        <w:t>The manuscript takes as its starting point a finding published in this journal. In a mixed-methods study of 407 female undergraduates at four non-elite Chinese universities, the association between career anxiety and career decision-making difficulties was reported to be stronger, not weaker, among students who reported more frequent parental career support. That result is difficult to accommodate within Social Cognitive Career Theory, and the authors themselves noted it as counter-intuitive. Rather than treat it as an anomaly to be replicated or dismissed, we ask a question a cross-sectional design cannot answer: what would have to be true of the process that generates these variables over time for a cross-section of it to look like that?</w:t>
      </w:r>
    </w:p>
    <w:p>
      <w:pPr>
        <w:spacing w:before="0" w:after="100" w:lineRule="auto" w:line="269"/>
      </w:pPr>
      <w:r>
        <w:rPr>
          <w:rFonts w:ascii="Times New Roman" w:hAnsi="Times New Roman" w:eastAsia="Times New Roman"/>
          <w:b w:val="0"/>
          <w:sz w:val="19"/>
        </w:rPr>
        <w:t>We specify a dynamic model in which anxiety reduces both the amount and the informational yield of career exploration, exploration builds career decision-making self-efficacy, and self-efficacy sustains further exploration; parental involvement enters through three distinct channels — reassurance, scaffolding of the student’s own exploring, and involvement that takes the decision over. We calibrate the model so that a simulated cross-section reproduces the six correlations the original study reported, then analyse simulated studies with the same conditional process procedure the original used. The main findings are as follows.</w:t>
      </w:r>
    </w:p>
    <w:p>
      <w:pPr>
        <w:spacing w:before="0" w:after="80" w:lineRule="auto" w:line="269"/>
        <w:ind w:left="312"/>
      </w:pPr>
      <w:r>
        <w:rPr>
          <w:rFonts w:ascii="Times New Roman" w:hAnsi="Times New Roman" w:eastAsia="Times New Roman"/>
          <w:b w:val="0"/>
          <w:sz w:val="19"/>
        </w:rPr>
        <w:t>(1) The obvious explanation is wrong. We expected directive, decision-taking involvement to amplify. It does the opposite: across the involvement mixture the interaction runs from .017 where involvement is wholly scaffolding to −.370 where it is wholly directive. Involvement that resolves uncertainty on the student’s behalf buffers the anxiety–difficulty association most strongly of all, because it works whether or not the student is in any condition to act.</w:t>
      </w:r>
    </w:p>
    <w:p>
      <w:pPr>
        <w:spacing w:before="0" w:after="80" w:lineRule="auto" w:line="269"/>
        <w:ind w:left="312"/>
      </w:pPr>
      <w:r>
        <w:rPr>
          <w:rFonts w:ascii="Times New Roman" w:hAnsi="Times New Roman" w:eastAsia="Times New Roman"/>
          <w:b w:val="0"/>
          <w:sz w:val="19"/>
        </w:rPr>
        <w:t>(2) Amplification has a specific and counter-intuitive signature. It arises where support scaffolds exploration the student is too anxious to undertake, because scaffolding multiplies a capacity that anxiety has already suppressed. Moving from low to high involvement reduces simulated difficulty by .167 for the least anxious quartile and by .004 for the most anxious. Autonomy-supportive help reaches those already able to use it, and the gap widens as it is provided. The reported moderation is thus more consistent with good help that anxious students cannot use than with intrusive help.</w:t>
      </w:r>
    </w:p>
    <w:p>
      <w:pPr>
        <w:spacing w:before="0" w:after="80" w:lineRule="auto" w:line="269"/>
        <w:ind w:left="312"/>
      </w:pPr>
      <w:r>
        <w:rPr>
          <w:rFonts w:ascii="Times New Roman" w:hAnsi="Times New Roman" w:eastAsia="Times New Roman"/>
          <w:b w:val="0"/>
          <w:sz w:val="19"/>
        </w:rPr>
        <w:t>(3) The pattern is uncommon, which makes it informative. Across a factorial search of 243 parameter combinations, amplification arises in 14 of them (5.8 per cent), and never where the directive share reaches one half. A study that observes it is therefore observing something narrow rather than something generic.</w:t>
      </w:r>
    </w:p>
    <w:p>
      <w:pPr>
        <w:spacing w:before="0" w:after="80" w:lineRule="auto" w:line="269"/>
        <w:ind w:left="312"/>
      </w:pPr>
      <w:r>
        <w:rPr>
          <w:rFonts w:ascii="Times New Roman" w:hAnsi="Times New Roman" w:eastAsia="Times New Roman"/>
          <w:b w:val="0"/>
          <w:sz w:val="19"/>
        </w:rPr>
        <w:t>(4) Chance is not a sufficient account. At the original sample size of 407 the simulated interaction has a mean of −.184 and a standard deviation of .041 across repeated studies, detected in 99.7 per cent of them. Sampling variability of that magnitude does not span zero, let alone reach a positive value of the size reported.</w:t>
      </w:r>
    </w:p>
    <w:p>
      <w:pPr>
        <w:spacing w:before="0" w:after="80" w:lineRule="auto" w:line="269"/>
        <w:ind w:left="312"/>
      </w:pPr>
      <w:r>
        <w:rPr>
          <w:rFonts w:ascii="Times New Roman" w:hAnsi="Times New Roman" w:eastAsia="Times New Roman"/>
          <w:b w:val="0"/>
          <w:sz w:val="19"/>
        </w:rPr>
        <w:t>(5) We are explicit about what the study is and is not. It is a simulation; it contains no empirical observations and it cannot confirm or refute the original finding. Its purpose is to establish what the finding would imply. All 32 parameters are listed in an appendix with the interval over which the analysis varies them and a statement of provenance, 12 of them fixed by calibration and the remainder swept rather than defended, and an identification check reports which correlations each parameter actually moves.</w:t>
      </w:r>
    </w:p>
    <w:p>
      <w:pPr>
        <w:spacing w:before="0" w:after="160" w:lineRule="auto" w:line="269"/>
      </w:pPr>
      <w:r>
        <w:rPr>
          <w:rFonts w:ascii="Times New Roman" w:hAnsi="Times New Roman" w:eastAsia="Times New Roman"/>
          <w:b w:val="0"/>
          <w:sz w:val="19"/>
        </w:rPr>
        <w:t>We believe the manuscript suits Behavioral Sciences. It engages directly with work the journal has published, it addresses a methodological problem the vocational literature shares — that cross-sectional moderation is routinely read as evidence about a process that unfolds over months — and it yields a concrete recommendation: measure the kind of parental support, not its frequency, because the two forms this study distinguishes predict opposite moderation from the same reported quantity. The model code, the calibrated parameter set and the scripts that generate every table and figure are available so that readers can vary our assumptions rather than accept them. We would be glad to revise the manuscript in the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