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eastAsia="黑体"/>
          <w:b/>
          <w:i w:val="0"/>
          <w:color w:val="1F3B73"/>
          <w:sz w:val="60"/>
        </w:rPr>
        <w:t>“双优”工程</w:t>
      </w:r>
    </w:p>
    <w:p>
      <w:pPr>
        <w:spacing w:after="80"/>
        <w:jc w:val="center"/>
      </w:pPr>
      <w:r>
        <w:rPr>
          <w:rFonts w:ascii="Times New Roman" w:hAnsi="Times New Roman" w:eastAsia="黑体"/>
          <w:b/>
          <w:i w:val="0"/>
          <w:color w:val="1F3B73"/>
          <w:sz w:val="44"/>
        </w:rPr>
        <w:t>“优秀办学”与“优秀服务”关键要素梳理</w:t>
      </w:r>
    </w:p>
    <w:p>
      <w:pPr>
        <w:spacing w:after="600"/>
        <w:jc w:val="center"/>
      </w:pPr>
      <w:r>
        <w:rPr>
          <w:rFonts w:ascii="Times New Roman" w:hAnsi="Times New Roman" w:eastAsia="楷体"/>
          <w:b w:val="0"/>
          <w:i w:val="0"/>
          <w:color w:val="444F63"/>
          <w:sz w:val="28"/>
        </w:rPr>
        <w:t>——政策依据、学理框架、指标清单与来源核验</w:t>
      </w:r>
    </w:p>
    <w:tbl>
      <w:tblPr>
        <w:tblW w:type="auto" w:w="0"/>
        <w:jc w:val="center"/>
        <w:tblBorders>
          <w:top w:val="single" w:sz="8" w:space="0" w:color="1F3B73"/>
          <w:left w:val="single" w:sz="8" w:space="0" w:color="1F3B73"/>
          <w:bottom w:val="single" w:sz="8" w:space="0" w:color="1F3B73"/>
          <w:right w:val="single" w:sz="8" w:space="0" w:color="1F3B73"/>
          <w:insideH w:val="single" w:sz="8" w:space="0" w:color="1F3B73"/>
          <w:insideV w:val="single" w:sz="8" w:space="0" w:color="1F3B73"/>
        </w:tblBorders>
        <w:tblLook w:firstColumn="1" w:firstRow="1" w:lastColumn="0" w:lastRow="0" w:noHBand="0" w:noVBand="1" w:val="04A0"/>
      </w:tblPr>
      <w:tblGrid>
        <w:gridCol w:w="9071"/>
      </w:tblGrid>
      <w:tr>
        <w:tc>
          <w:tcPr>
            <w:tcW w:type="dxa" w:w="9071"/>
            <w:shd w:val="clear" w:color="auto" w:fill="DCE3F0"/>
          </w:tcPr>
          <w:p>
            <w:pPr>
              <w:spacing w:after="60" w:line="340" w:lineRule="exact"/>
              <w:jc w:val="center"/>
            </w:pPr>
            <w:r/>
            <w:r>
              <w:rPr>
                <w:rFonts w:ascii="Times New Roman" w:hAnsi="Times New Roman" w:eastAsia="楷体"/>
                <w:b w:val="0"/>
                <w:i w:val="0"/>
                <w:color w:val="1F3B73"/>
                <w:sz w:val="21"/>
              </w:rPr>
              <w:t>政策依据：国务院《教育发展“十五五”规划》（2026年6月29日印发）</w:t>
            </w:r>
          </w:p>
          <w:p>
            <w:pPr>
              <w:spacing w:after="60" w:line="340" w:lineRule="exact"/>
              <w:jc w:val="center"/>
            </w:pPr>
            <w:r>
              <w:rPr>
                <w:rFonts w:ascii="Times New Roman" w:hAnsi="Times New Roman" w:eastAsia="楷体"/>
                <w:b w:val="0"/>
                <w:i w:val="0"/>
                <w:color w:val="1F3B73"/>
                <w:sz w:val="21"/>
              </w:rPr>
              <w:t>核心学理来源：瞿振元、蔺跟荣《“双优”工程：应用型大学面对的机遇、挑战与应对》</w:t>
            </w:r>
          </w:p>
          <w:p>
            <w:pPr>
              <w:spacing w:after="60" w:line="340" w:lineRule="exact"/>
              <w:jc w:val="center"/>
            </w:pPr>
            <w:r>
              <w:rPr>
                <w:rFonts w:ascii="Times New Roman" w:hAnsi="Times New Roman" w:eastAsia="楷体"/>
                <w:b w:val="0"/>
                <w:i w:val="0"/>
                <w:color w:val="1F3B73"/>
                <w:sz w:val="21"/>
              </w:rPr>
              <w:t>（《中国人民大学教育学刊》2026年第4期）等4篇2026年学术文献</w:t>
            </w:r>
          </w:p>
          <w:p>
            <w:pPr>
              <w:spacing w:after="60" w:line="340" w:lineRule="exact"/>
              <w:jc w:val="center"/>
            </w:pPr>
            <w:r>
              <w:rPr>
                <w:rFonts w:ascii="Times New Roman" w:hAnsi="Times New Roman" w:eastAsia="楷体"/>
                <w:b w:val="0"/>
                <w:i w:val="0"/>
                <w:color w:val="1F3B73"/>
                <w:sz w:val="21"/>
              </w:rPr>
            </w:r>
          </w:p>
          <w:p>
            <w:pPr>
              <w:spacing w:after="60" w:line="340" w:lineRule="exact"/>
              <w:jc w:val="center"/>
            </w:pPr>
            <w:r>
              <w:rPr>
                <w:rFonts w:ascii="Times New Roman" w:hAnsi="Times New Roman" w:eastAsia="楷体"/>
                <w:b w:val="0"/>
                <w:i w:val="0"/>
                <w:color w:val="1F3B73"/>
                <w:sz w:val="21"/>
              </w:rPr>
              <w:t>编制日期：2026年8月19日　　供嘉兴大学锚定“双优”建设目标对标使用</w:t>
            </w:r>
          </w:p>
        </w:tc>
      </w:tr>
    </w:tbl>
    <w:p>
      <w:r>
        <w:br w:type="page"/>
      </w:r>
    </w:p>
    <w:p>
      <w:pPr>
        <w:spacing w:after="240"/>
        <w:jc w:val="center"/>
      </w:pPr>
      <w:r>
        <w:rPr>
          <w:rFonts w:ascii="Times New Roman" w:hAnsi="Times New Roman" w:eastAsia="黑体"/>
          <w:b/>
          <w:i w:val="0"/>
          <w:color w:val="1F3B73"/>
          <w:sz w:val="36"/>
        </w:rPr>
        <w:t>目　　录</w:t>
      </w:r>
    </w:p>
    <w:p>
      <w:r>
        <w:fldChar w:fldCharType="begin"/>
        <w:instrText xml:space="preserve">TOC \o "1-2" \h \z \u</w:instrText>
        <w:fldChar w:fldCharType="separate"/>
        <w:t>（在 Word 中按 Ctrl+A 后按 F9 可更新目录）</w:t>
        <w:fldChar w:fldCharType="end"/>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编制说明</w:t>
      </w:r>
    </w:p>
    <w:p>
      <w:pPr>
        <w:spacing w:before="0" w:after="80" w:line="360" w:lineRule="exact"/>
        <w:ind w:firstLine="420"/>
      </w:pPr>
      <w:r>
        <w:rPr>
          <w:rFonts w:ascii="Times New Roman" w:hAnsi="Times New Roman" w:eastAsia="宋体"/>
          <w:b w:val="0"/>
          <w:i w:val="0"/>
          <w:sz w:val="21"/>
        </w:rPr>
        <w:t>本文件回答一个问题：“双优”工程（高水平应用型本科高校建设）究竟用哪些要素来衡量“办学能力优质”和“服务区域经济社会发展优秀”。</w:t>
      </w:r>
    </w:p>
    <w:p>
      <w:pPr>
        <w:spacing w:before="0" w:after="80" w:line="360" w:lineRule="exact"/>
        <w:ind w:firstLine="420"/>
      </w:pPr>
      <w:r>
        <w:rPr>
          <w:rFonts w:ascii="Times New Roman" w:hAnsi="Times New Roman" w:eastAsia="宋体"/>
          <w:b w:val="0"/>
          <w:i w:val="0"/>
          <w:sz w:val="21"/>
        </w:rPr>
        <w:t>需要开门见山讲清楚的是：截至本文件编制之日（2026年8月19日），教育部尚未公开发布“双优”工程的建设方案、遴选办法或评价指标体系文件。这一判断经过多轮独立检索交叉验证，四路检索均未命中任何对应文件、文号或附件指标表。目前具有正式文件效力的“双优”表述，只有国务院《教育发展“十五五”规划》中的一段目标性、任务性文字，它规定了方向和规模，但不是指标体系。</w:t>
      </w:r>
    </w:p>
    <w:p>
      <w:pPr>
        <w:spacing w:before="0" w:after="80" w:line="360" w:lineRule="exact"/>
        <w:ind w:firstLine="420"/>
      </w:pPr>
      <w:r>
        <w:rPr>
          <w:rFonts w:ascii="Times New Roman" w:hAnsi="Times New Roman" w:eastAsia="宋体"/>
          <w:b w:val="0"/>
          <w:i w:val="0"/>
          <w:sz w:val="21"/>
        </w:rPr>
        <w:t>因此，社会上流传的各种“双优指标”，其学理源头集中于2026年发表的几篇学术论文。其中最系统、最常被引用、也是网络流传图表的原始出处，是中国高等教育学会原会长瞿振元与安徽大学高等教育研究所蔺跟荣发表于《中国人民大学教育学刊》2026年第4期的论文——该文首次把“双优”分别概括为各十个关键要素，合计二十个要素。青塔于2026年8月1日发布、在腾讯新闻等平台流传的“‘优秀办学’和‘优秀服务’的关键要素”图表，其标注的数据来源正是此文。</w:t>
      </w:r>
    </w:p>
    <w:p>
      <w:pPr>
        <w:spacing w:before="0" w:after="80" w:line="360" w:lineRule="exact"/>
        <w:ind w:firstLine="420"/>
      </w:pPr>
      <w:r>
        <w:rPr>
          <w:rFonts w:ascii="Times New Roman" w:hAnsi="Times New Roman" w:eastAsia="宋体"/>
          <w:b w:val="0"/>
          <w:i w:val="0"/>
          <w:sz w:val="21"/>
        </w:rPr>
        <w:t>本文件因此采取“分层呈现”的编法：先摆政策原话，再逐字呈现学界提出的二十个要素，继而补充其他学者的框架和可对标的现行评价体系，最后落到嘉兴大学的对标自检。每一部分都标注来源层级；凡属整理、推断的内容一律注明，绝不与原文混淆。</w:t>
      </w:r>
    </w:p>
    <w:p>
      <w:pPr>
        <w:spacing w:before="0" w:after="80" w:line="360" w:lineRule="exact"/>
        <w:ind w:firstLine="420"/>
      </w:pPr>
      <w:r>
        <w:rPr>
          <w:rFonts w:ascii="Times New Roman" w:hAnsi="Times New Roman" w:eastAsia="宋体"/>
          <w:b w:val="0"/>
          <w:i w:val="0"/>
          <w:sz w:val="21"/>
        </w:rPr>
        <w:t>关于本次检索需要如实说明一个技术限制：本文件编制所在的运行环境，其出口网关对所有外部网站的直接访问一律返回 403（组织出口策略拒绝，已实测教育部官网、新华网、中国知网、百度学术、Google Scholar 等均被拒），搜索引擎接口的调用配额亦已用尽。因此，凡涉及网络来源的条目，均来自搜索引擎返回的标题、链接与摘要，未能逐字核对页面全文，文中已逐条标注“检索摘要转述”。而四篇附件论文的 PDF 原文已完整读取，凡标注“论文原文”的引述均逐字取自 PDF，可放心引用。所有链接均供读者自行复核。</w:t>
      </w:r>
    </w:p>
    <w:p>
      <w:pPr>
        <w:keepNext/>
        <w:spacing w:before="280" w:after="140" w:line="390" w:lineRule="exact"/>
        <w:outlineLvl w:val="1"/>
      </w:pPr>
      <w:r>
        <w:rPr>
          <w:rFonts w:ascii="Times New Roman" w:hAnsi="Times New Roman" w:eastAsia="黑体"/>
          <w:b/>
          <w:i w:val="0"/>
          <w:color w:val="1F3B73"/>
          <w:sz w:val="26"/>
        </w:rPr>
        <w:t>资料的权威性分层（阅读本文件前请务必先看）</w:t>
      </w:r>
    </w:p>
    <w:tbl>
      <w:tblPr>
        <w:tblW w:type="auto" w:w="0"/>
        <w:tblBorders>
          <w:top w:val="single" w:sz="4" w:space="0" w:color="9AA7BF"/>
          <w:left w:val="single" w:sz="4" w:space="0" w:color="9AA7BF"/>
          <w:bottom w:val="single" w:sz="4" w:space="0" w:color="9AA7BF"/>
          <w:right w:val="single" w:sz="4" w:space="0" w:color="9AA7BF"/>
          <w:insideH w:val="single" w:sz="4" w:space="0" w:color="9AA7BF"/>
          <w:insideV w:val="single" w:sz="4" w:space="0" w:color="9AA7BF"/>
        </w:tblBorders>
        <w:tblLook w:firstColumn="1" w:firstRow="1" w:lastColumn="0" w:lastRow="0" w:noHBand="0" w:noVBand="1" w:val="04A0"/>
      </w:tblPr>
      <w:tblGrid>
        <w:gridCol w:w="3024"/>
        <w:gridCol w:w="3024"/>
        <w:gridCol w:w="3024"/>
      </w:tblGrid>
      <w:tr>
        <w:trPr>
          <w:tblHeader w:val="true"/>
        </w:trPr>
        <w:tc>
          <w:tcPr>
            <w:tcW w:type="dxa" w:w="1474"/>
            <w:shd w:val="clear" w:color="auto" w:fill="1F3B73"/>
          </w:tcPr>
          <w:p>
            <w:pPr>
              <w:spacing w:before="40" w:after="40" w:line="260" w:lineRule="exact"/>
              <w:jc w:val="center"/>
            </w:pPr>
            <w:r/>
            <w:r>
              <w:rPr>
                <w:rFonts w:ascii="Times New Roman" w:hAnsi="Times New Roman" w:eastAsia="黑体"/>
                <w:b/>
                <w:i w:val="0"/>
                <w:color w:val="FFFFFF"/>
                <w:sz w:val="19"/>
              </w:rPr>
              <w:t>层级</w:t>
            </w:r>
          </w:p>
        </w:tc>
        <w:tc>
          <w:tcPr>
            <w:tcW w:type="dxa" w:w="5329"/>
            <w:shd w:val="clear" w:color="auto" w:fill="1F3B73"/>
          </w:tcPr>
          <w:p>
            <w:pPr>
              <w:spacing w:before="40" w:after="40" w:line="260" w:lineRule="exact"/>
              <w:jc w:val="center"/>
            </w:pPr>
            <w:r/>
            <w:r>
              <w:rPr>
                <w:rFonts w:ascii="Times New Roman" w:hAnsi="Times New Roman" w:eastAsia="黑体"/>
                <w:b/>
                <w:i w:val="0"/>
                <w:color w:val="FFFFFF"/>
                <w:sz w:val="19"/>
              </w:rPr>
              <w:t>内容</w:t>
            </w:r>
          </w:p>
        </w:tc>
        <w:tc>
          <w:tcPr>
            <w:tcW w:type="dxa" w:w="2268"/>
            <w:shd w:val="clear" w:color="auto" w:fill="1F3B73"/>
          </w:tcPr>
          <w:p>
            <w:pPr>
              <w:spacing w:before="40" w:after="40" w:line="260" w:lineRule="exact"/>
              <w:jc w:val="center"/>
            </w:pPr>
            <w:r/>
            <w:r>
              <w:rPr>
                <w:rFonts w:ascii="Times New Roman" w:hAnsi="Times New Roman" w:eastAsia="黑体"/>
                <w:b/>
                <w:i w:val="0"/>
                <w:color w:val="FFFFFF"/>
                <w:sz w:val="19"/>
              </w:rPr>
              <w:t>可引用性</w:t>
            </w:r>
          </w:p>
        </w:tc>
      </w:tr>
      <w:tr>
        <w:tc>
          <w:tcPr>
            <w:tcW w:type="dxa" w:w="1474"/>
            <w:shd w:val="clear" w:color="auto" w:fill="FFFFFF"/>
          </w:tcPr>
          <w:p>
            <w:pPr>
              <w:spacing w:before="40" w:after="40" w:line="260" w:lineRule="exact"/>
              <w:jc w:val="left"/>
            </w:pPr>
            <w:r/>
            <w:r>
              <w:rPr>
                <w:rFonts w:ascii="Times New Roman" w:hAnsi="Times New Roman" w:eastAsia="黑体"/>
                <w:b/>
                <w:i w:val="0"/>
                <w:sz w:val="18"/>
              </w:rPr>
              <w:t>【A】官方政策</w:t>
            </w:r>
          </w:p>
        </w:tc>
        <w:tc>
          <w:tcPr>
            <w:tcW w:type="dxa" w:w="5329"/>
            <w:shd w:val="clear" w:color="auto" w:fill="FFFFFF"/>
          </w:tcPr>
          <w:p>
            <w:pPr>
              <w:spacing w:before="40" w:after="40" w:line="260" w:lineRule="exact"/>
              <w:jc w:val="left"/>
            </w:pPr>
            <w:r/>
            <w:r>
              <w:rPr>
                <w:rFonts w:ascii="Times New Roman" w:hAnsi="Times New Roman" w:eastAsia="宋体"/>
                <w:b w:val="0"/>
                <w:i w:val="0"/>
                <w:sz w:val="18"/>
              </w:rPr>
              <w:t>国务院《教育发展“十五五”规划》（2026-06-29印发）明确“启动高水平应用型本科高校‘双优’建设”，提出建设200所左右；教育部部长怀进鹏2026年3月7日在十四届全国人大四次会议民生主题记者会上宣布，以“办学能力优质、服务区域经济社会发展优秀”为目标启动实施高水平应用型大学建设。除此之外，未见公开发布的“双优”遴选办法与指标体系文件。</w:t>
            </w:r>
          </w:p>
        </w:tc>
        <w:tc>
          <w:tcPr>
            <w:tcW w:type="dxa" w:w="2268"/>
            <w:shd w:val="clear" w:color="auto" w:fill="FFFFFF"/>
          </w:tcPr>
          <w:p>
            <w:pPr>
              <w:spacing w:before="40" w:after="40" w:line="260" w:lineRule="exact"/>
              <w:jc w:val="left"/>
            </w:pPr>
            <w:r/>
            <w:r>
              <w:rPr>
                <w:rFonts w:ascii="Times New Roman" w:hAnsi="Times New Roman" w:eastAsia="宋体"/>
                <w:b w:val="0"/>
                <w:i w:val="0"/>
                <w:sz w:val="18"/>
              </w:rPr>
              <w:t>可引用为政策依据。但注意：官方目前只给出目标与规模，没有给出指标条目。</w:t>
            </w:r>
          </w:p>
        </w:tc>
      </w:tr>
      <w:tr>
        <w:tc>
          <w:tcPr>
            <w:tcW w:type="dxa" w:w="1474"/>
            <w:shd w:val="clear" w:color="auto" w:fill="F2F4F8"/>
          </w:tcPr>
          <w:p>
            <w:pPr>
              <w:spacing w:before="40" w:after="40" w:line="260" w:lineRule="exact"/>
              <w:jc w:val="left"/>
            </w:pPr>
            <w:r/>
            <w:r>
              <w:rPr>
                <w:rFonts w:ascii="Times New Roman" w:hAnsi="Times New Roman" w:eastAsia="黑体"/>
                <w:b/>
                <w:i w:val="0"/>
                <w:sz w:val="18"/>
              </w:rPr>
              <w:t>【B】学术研究</w:t>
            </w:r>
          </w:p>
        </w:tc>
        <w:tc>
          <w:tcPr>
            <w:tcW w:type="dxa" w:w="5329"/>
            <w:shd w:val="clear" w:color="auto" w:fill="F2F4F8"/>
          </w:tcPr>
          <w:p>
            <w:pPr>
              <w:spacing w:before="40" w:after="40" w:line="260" w:lineRule="exact"/>
              <w:jc w:val="left"/>
            </w:pPr>
            <w:r/>
            <w:r>
              <w:rPr>
                <w:rFonts w:ascii="Times New Roman" w:hAnsi="Times New Roman" w:eastAsia="宋体"/>
                <w:b w:val="0"/>
                <w:i w:val="0"/>
                <w:sz w:val="18"/>
              </w:rPr>
              <w:t>瞿振元、蔺跟荣的“二十个关键要素”；王洪才、王惠的“五维”评价模式；陈文博的“能力—贡献转化效率”评价范式；广东技术师范大学研讨会上18位专家的观点。</w:t>
            </w:r>
          </w:p>
        </w:tc>
        <w:tc>
          <w:tcPr>
            <w:tcW w:type="dxa" w:w="2268"/>
            <w:shd w:val="clear" w:color="auto" w:fill="F2F4F8"/>
          </w:tcPr>
          <w:p>
            <w:pPr>
              <w:spacing w:before="40" w:after="40" w:line="260" w:lineRule="exact"/>
              <w:jc w:val="left"/>
            </w:pPr>
            <w:r/>
            <w:r>
              <w:rPr>
                <w:rFonts w:ascii="Times New Roman" w:hAnsi="Times New Roman" w:eastAsia="宋体"/>
                <w:b w:val="0"/>
                <w:i w:val="0"/>
                <w:sz w:val="18"/>
              </w:rPr>
              <w:t>可作为学理依据引用，须注明作者与出处，不得表述为“教育部指标”。</w:t>
            </w:r>
          </w:p>
        </w:tc>
      </w:tr>
      <w:tr>
        <w:tc>
          <w:tcPr>
            <w:tcW w:type="dxa" w:w="1474"/>
            <w:shd w:val="clear" w:color="auto" w:fill="FFFFFF"/>
          </w:tcPr>
          <w:p>
            <w:pPr>
              <w:spacing w:before="40" w:after="40" w:line="260" w:lineRule="exact"/>
              <w:jc w:val="left"/>
            </w:pPr>
            <w:r/>
            <w:r>
              <w:rPr>
                <w:rFonts w:ascii="Times New Roman" w:hAnsi="Times New Roman" w:eastAsia="黑体"/>
                <w:b/>
                <w:i w:val="0"/>
                <w:sz w:val="18"/>
              </w:rPr>
              <w:t>【C】媒体解读</w:t>
            </w:r>
          </w:p>
        </w:tc>
        <w:tc>
          <w:tcPr>
            <w:tcW w:type="dxa" w:w="5329"/>
            <w:shd w:val="clear" w:color="auto" w:fill="FFFFFF"/>
          </w:tcPr>
          <w:p>
            <w:pPr>
              <w:spacing w:before="40" w:after="40" w:line="260" w:lineRule="exact"/>
              <w:jc w:val="left"/>
            </w:pPr>
            <w:r/>
            <w:r>
              <w:rPr>
                <w:rFonts w:ascii="Times New Roman" w:hAnsi="Times New Roman" w:eastAsia="宋体"/>
                <w:b w:val="0"/>
                <w:i w:val="0"/>
                <w:sz w:val="18"/>
              </w:rPr>
              <w:t>青塔、21世纪经济报道、中国科学报、中国青年报等对“双优”的解读文章及其制作的要素图表。网上流传的“优秀办学/优秀服务十大关键要素”图表，数据来源即标注为瞿振元、蔺跟荣论文。</w:t>
            </w:r>
          </w:p>
        </w:tc>
        <w:tc>
          <w:tcPr>
            <w:tcW w:type="dxa" w:w="2268"/>
            <w:shd w:val="clear" w:color="auto" w:fill="FFFFFF"/>
          </w:tcPr>
          <w:p>
            <w:pPr>
              <w:spacing w:before="40" w:after="40" w:line="260" w:lineRule="exact"/>
              <w:jc w:val="left"/>
            </w:pPr>
            <w:r/>
            <w:r>
              <w:rPr>
                <w:rFonts w:ascii="Times New Roman" w:hAnsi="Times New Roman" w:eastAsia="宋体"/>
                <w:b w:val="0"/>
                <w:i w:val="0"/>
                <w:sz w:val="18"/>
              </w:rPr>
              <w:t>仅供了解舆情与传播口径，正式行文时应回溯到【B】的论文原文。</w:t>
            </w:r>
          </w:p>
        </w:tc>
      </w:tr>
      <w:tr>
        <w:tc>
          <w:tcPr>
            <w:tcW w:type="dxa" w:w="1474"/>
            <w:shd w:val="clear" w:color="auto" w:fill="F2F4F8"/>
          </w:tcPr>
          <w:p>
            <w:pPr>
              <w:spacing w:before="40" w:after="40" w:line="260" w:lineRule="exact"/>
              <w:jc w:val="left"/>
            </w:pPr>
            <w:r/>
            <w:r>
              <w:rPr>
                <w:rFonts w:ascii="Times New Roman" w:hAnsi="Times New Roman" w:eastAsia="黑体"/>
                <w:b/>
                <w:i w:val="0"/>
                <w:sz w:val="18"/>
              </w:rPr>
              <w:t>【D】本文件整理</w:t>
            </w:r>
          </w:p>
        </w:tc>
        <w:tc>
          <w:tcPr>
            <w:tcW w:type="dxa" w:w="5329"/>
            <w:shd w:val="clear" w:color="auto" w:fill="F2F4F8"/>
          </w:tcPr>
          <w:p>
            <w:pPr>
              <w:spacing w:before="40" w:after="40" w:line="260" w:lineRule="exact"/>
              <w:jc w:val="left"/>
            </w:pPr>
            <w:r/>
            <w:r>
              <w:rPr>
                <w:rFonts w:ascii="Times New Roman" w:hAnsi="Times New Roman" w:eastAsia="宋体"/>
                <w:b w:val="0"/>
                <w:i w:val="0"/>
                <w:sz w:val="18"/>
              </w:rPr>
              <w:t>各要素后的“量化观测点”、与现行评价体系的对照表、嘉兴大学对标自检清单。</w:t>
            </w:r>
          </w:p>
        </w:tc>
        <w:tc>
          <w:tcPr>
            <w:tcW w:type="dxa" w:w="2268"/>
            <w:shd w:val="clear" w:color="auto" w:fill="F2F4F8"/>
          </w:tcPr>
          <w:p>
            <w:pPr>
              <w:spacing w:before="40" w:after="40" w:line="260" w:lineRule="exact"/>
              <w:jc w:val="left"/>
            </w:pPr>
            <w:r/>
            <w:r>
              <w:rPr>
                <w:rFonts w:ascii="Times New Roman" w:hAnsi="Times New Roman" w:eastAsia="宋体"/>
                <w:b w:val="0"/>
                <w:i w:val="0"/>
                <w:sz w:val="18"/>
              </w:rPr>
              <w:t>为本文件依据论文释义与现行高校统计口径的整理，供内部对标使用，非官方指标。</w:t>
            </w:r>
          </w:p>
        </w:tc>
      </w:tr>
    </w:tbl>
    <w:p>
      <w:pPr>
        <w:spacing w:after="40"/>
      </w:pP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一、“双优”工程的政策由来与核心内涵</w:t>
      </w:r>
    </w:p>
    <w:p>
      <w:pPr>
        <w:keepNext/>
        <w:spacing w:before="280" w:after="140" w:line="390" w:lineRule="exact"/>
        <w:outlineLvl w:val="1"/>
      </w:pPr>
      <w:r>
        <w:rPr>
          <w:rFonts w:ascii="Times New Roman" w:hAnsi="Times New Roman" w:eastAsia="黑体"/>
          <w:b/>
          <w:i w:val="0"/>
          <w:color w:val="1F3B73"/>
          <w:sz w:val="26"/>
        </w:rPr>
        <w:t>（一）最高效力的政策依据：国务院《教育发展“十五五”规划》</w:t>
      </w:r>
    </w:p>
    <w:p>
      <w:pPr>
        <w:spacing w:before="0" w:after="80" w:line="360" w:lineRule="exact"/>
        <w:ind w:firstLine="420"/>
      </w:pPr>
      <w:r>
        <w:rPr>
          <w:rFonts w:ascii="Times New Roman" w:hAnsi="Times New Roman" w:eastAsia="宋体"/>
          <w:b w:val="0"/>
          <w:i w:val="0"/>
          <w:sz w:val="21"/>
        </w:rPr>
        <w:t>2026年6月29日，国务院印发《教育发展“十五五”规划》。这是目前唯一以正式文件形式使用“双优”这一名称、并对其提出建设要求的国家级文件，效力高于此前的记者会表述。</w:t>
      </w:r>
    </w:p>
    <w:p>
      <w:pPr>
        <w:pBdr>
          <w:left w:val="single" w:sz="18" w:space="8" w:color="1F3B73"/>
        </w:pBdr>
        <w:spacing w:before="80" w:after="120" w:line="340" w:lineRule="exact"/>
        <w:ind w:left="400" w:right="200"/>
      </w:pPr>
      <w:r>
        <w:rPr>
          <w:rFonts w:ascii="Times New Roman" w:hAnsi="Times New Roman" w:eastAsia="楷体"/>
          <w:b w:val="0"/>
          <w:i w:val="0"/>
          <w:color w:val="2A3345"/>
          <w:sz w:val="20"/>
        </w:rPr>
        <w:t>启动高水平应用型本科高校“双优”建设。以办学能力优质、服务区域经济社会发展优秀为目标，支持建设一批高水平应用型本科高校，打造应用基础研究、技术创新和应用型创新人才培养高地，引领带动应用型本科高校聚焦重点产业链培育优质特色学科专业集群，提高区域经济社会发展适配度、服务行业产业精准度、创新成果社会认可度。</w:t>
      </w:r>
    </w:p>
    <w:p>
      <w:pPr>
        <w:spacing w:before="0" w:after="80" w:line="360" w:lineRule="exact"/>
        <w:ind w:firstLine="420"/>
      </w:pPr>
      <w:r>
        <w:rPr>
          <w:rFonts w:ascii="Times New Roman" w:hAnsi="Times New Roman" w:eastAsia="宋体"/>
          <w:b w:val="0"/>
          <w:i w:val="0"/>
          <w:sz w:val="21"/>
        </w:rPr>
        <w:t>这段文字里最值得注意的，是结尾的“三个度”——区域经济社会发展适配度、服务行业产业精准度、创新成果社会认可度。这是目前唯一带有明确“可指标化”意味的官方表述，很有可能成为后续指标体系的一级框架来源。但必须强调：它本身是政策导向语，不是指标条目。</w:t>
      </w:r>
    </w:p>
    <w:p>
      <w:pPr>
        <w:spacing w:before="0" w:after="80" w:line="360" w:lineRule="exact"/>
        <w:ind w:firstLine="420"/>
      </w:pPr>
      <w:r>
        <w:rPr>
          <w:rFonts w:ascii="Times New Roman" w:hAnsi="Times New Roman" w:eastAsia="宋体"/>
          <w:b w:val="0"/>
          <w:i w:val="0"/>
          <w:sz w:val="21"/>
        </w:rPr>
        <w:t>建设规模方面，《规划》提出“建设200所左右高水平应用型本科高校、在有条件的本科高校建设若干优质特色学科专业”。支持方式包括支持高校改善办学条件、加强教学科研用房建设、完善数字化基础设施、建设现代产业学院和关键领域专业特色学院，推动高校与地方、行业企业共建区域产教融合创新平台、区域发展智库、工程技术创新中心、技术转移转化平台。</w:t>
      </w:r>
    </w:p>
    <w:p>
      <w:pPr>
        <w:spacing w:before="0" w:after="80" w:line="360" w:lineRule="exact"/>
        <w:ind w:firstLine="420"/>
      </w:pPr>
      <w:r>
        <w:rPr>
          <w:rFonts w:ascii="Times New Roman" w:hAnsi="Times New Roman" w:eastAsia="宋体"/>
          <w:b w:val="0"/>
          <w:i w:val="0"/>
          <w:sz w:val="21"/>
        </w:rPr>
        <w:t>重要提示：上述引文与数字来自多路独立检索交叉复现的搜索摘要，本次编制环境无法打开原文页面逐字核对，标点与个别措辞可能与原文有出入；文号亦未能确认（有转载页标注为国发〔2026〕19号，未在官网核实）。正式行文引用前，请务必打开教育部或中国政府网原文核校。</w:t>
      </w:r>
    </w:p>
    <w:p>
      <w:pPr>
        <w:spacing w:before="40" w:after="160" w:line="260" w:lineRule="exact"/>
        <w:ind w:left="240"/>
      </w:pPr>
      <w:r>
        <w:rPr>
          <w:rFonts w:ascii="Times New Roman" w:hAnsi="Times New Roman" w:eastAsia="楷体"/>
          <w:b w:val="0"/>
          <w:i w:val="0"/>
          <w:color w:val="555F70"/>
          <w:sz w:val="17"/>
        </w:rPr>
        <w:t>【来源】【A】国务院关于印发《教育发展“十五五”规划》的通知（2026-06-29印发）。教育部门户转载：http://www.moe.gov.cn/jyb_xxgk/moe_1777/moe_1778/202606/t20260629_1442045.html ；新华网：https://www.news.cn/politics/20260629/317b8a2594f34eb2a562d242033277e7/c.html ；福建省教育厅全文转载：https://jyt.fujian.gov.cn/jyyw/jyt/202606/t20260629_7169207.htm ；教育部负责人答记者问：http://www.moe.gov.cn/jyb_xwfb/s271/202606/t20260629_1442009.html（检索摘要转述，未能逐字核验）</w:t>
      </w:r>
    </w:p>
    <w:p>
      <w:pPr>
        <w:keepNext/>
        <w:spacing w:before="280" w:after="140" w:line="390" w:lineRule="exact"/>
        <w:outlineLvl w:val="1"/>
      </w:pPr>
      <w:r>
        <w:rPr>
          <w:rFonts w:ascii="Times New Roman" w:hAnsi="Times New Roman" w:eastAsia="黑体"/>
          <w:b/>
          <w:i w:val="0"/>
          <w:color w:val="1F3B73"/>
          <w:sz w:val="26"/>
        </w:rPr>
        <w:t>（二）“双优”一词的出处：2026年3月7日部长记者会</w:t>
      </w:r>
    </w:p>
    <w:p>
      <w:pPr>
        <w:spacing w:before="0" w:after="80" w:line="360" w:lineRule="exact"/>
        <w:ind w:firstLine="420"/>
      </w:pPr>
      <w:r>
        <w:rPr>
          <w:rFonts w:ascii="Times New Roman" w:hAnsi="Times New Roman" w:eastAsia="宋体"/>
          <w:b w:val="0"/>
          <w:i w:val="0"/>
          <w:sz w:val="21"/>
        </w:rPr>
        <w:t>2026年3月7日，在十四届全国人大四次会议民生主题记者会上，教育部部长怀进鹏明确表示，锚定高等教育分类发展目标，持续优化资源供给结构，将应用型大学的“双优”工程与研究型大学的“双一流”建设、职业教育的“新双高”计划一起，共同构成我国高等教育分类建设的三大核心工程。</w:t>
      </w:r>
    </w:p>
    <w:p>
      <w:pPr>
        <w:spacing w:before="0" w:after="80" w:line="360" w:lineRule="exact"/>
        <w:ind w:firstLine="420"/>
      </w:pPr>
      <w:r>
        <w:rPr>
          <w:rFonts w:ascii="Times New Roman" w:hAnsi="Times New Roman" w:eastAsia="宋体"/>
          <w:b w:val="0"/>
          <w:i w:val="0"/>
          <w:sz w:val="21"/>
        </w:rPr>
        <w:t>记者会上关于分类推进高校改革的完整段落（据多路检索交叉复原，待逐字核校）为：分类推进高校改革，已经启动新一轮“双一流”建设标准研制，支持研究型大学在支撑服务国家战略中打头阵、做尖兵；以办学能力优质、服务区域经济社会发展优秀为目标，启动实施高水平应用型大学建设；继续实施职业教育“新双高”建设，持续推进办学能力高水平、产教融合高质量，更好支撑区域经济和产业发展。</w:t>
      </w:r>
    </w:p>
    <w:p>
      <w:pPr>
        <w:spacing w:before="0" w:after="80" w:line="360" w:lineRule="exact"/>
        <w:ind w:firstLine="420"/>
      </w:pPr>
      <w:r>
        <w:rPr>
          <w:rFonts w:ascii="Times New Roman" w:hAnsi="Times New Roman" w:eastAsia="宋体"/>
          <w:b w:val="0"/>
          <w:i w:val="0"/>
          <w:sz w:val="21"/>
        </w:rPr>
        <w:t>需要留意一个用词细节：记者会上部长使用的正式表述是“启动实施高水平应用型大学建设”，“双优”起初更接近一种通俗简称，直到6月《教育发展“十五五”规划》才作为正式项目名称固化为“高水平应用型本科高校‘双优’建设”。学校在正式文稿中宜以《规划》表述为准。</w:t>
      </w:r>
    </w:p>
    <w:p>
      <w:pPr>
        <w:spacing w:before="0" w:after="80" w:line="360" w:lineRule="exact"/>
        <w:ind w:firstLine="420"/>
      </w:pPr>
      <w:r>
        <w:rPr>
          <w:rFonts w:ascii="Times New Roman" w:hAnsi="Times New Roman" w:eastAsia="宋体"/>
          <w:b w:val="0"/>
          <w:i w:val="0"/>
          <w:sz w:val="21"/>
        </w:rPr>
        <w:t>还须提醒两个易混淆的同名项目：一是教育部此前面向中等职业教育的“双优计划”（高水平中职学校和专业建设）；二是浙江省自己的中职“双优计划”（培育建设50所高水平中职学校、150个高水平专业）。这两个与本文所述的应用型本科“双优”完全是两回事，检索“浙江 双优”时极易误引，写材料时务必区分。</w:t>
      </w:r>
    </w:p>
    <w:p>
      <w:pPr>
        <w:spacing w:before="40" w:after="160" w:line="260" w:lineRule="exact"/>
        <w:ind w:left="240"/>
      </w:pPr>
      <w:r>
        <w:rPr>
          <w:rFonts w:ascii="Times New Roman" w:hAnsi="Times New Roman" w:eastAsia="楷体"/>
          <w:b w:val="0"/>
          <w:i w:val="0"/>
          <w:color w:val="555F70"/>
          <w:sz w:val="17"/>
        </w:rPr>
        <w:t>【来源】【A】怀进鹏. 十四届全国人大四次会议民生主题记者会讲话（2026-03-07）。新华网现场文字实录：https://www.news.cn/politics/20260307/ac32ab12ce174897a89114eaee7f0ad7/c.html（瞿振元、蔺跟荣论文参考文献[1]所载链接为 www.xinhuanet.com 域名下的近似地址，二者末段字符略有出入，请以能打开者为准）；中国人大网：http://www.npc.gov.cn/npc/c2/c30834/202603/t20260308_452443.html ；《人民日报》2026年3月8日第4版；教育部学校规划建设发展中心《民生主题记者会上，教育部部长怀进鹏答问全记录》https://www.csdp.edu.cn/article/9427.html 。浙江中职“双优计划”见《中共浙江省委办公厅 浙江省人民政府办公厅印发〈关于加快构建现代职业教育体系的实施意见〉的通知》http://www.linan.gov.cn/art/2024/4/1/art_1413760_59107043.html</w:t>
      </w:r>
    </w:p>
    <w:p>
      <w:pPr>
        <w:keepNext/>
        <w:spacing w:before="280" w:after="140" w:line="390" w:lineRule="exact"/>
        <w:outlineLvl w:val="1"/>
      </w:pPr>
      <w:r>
        <w:rPr>
          <w:rFonts w:ascii="Times New Roman" w:hAnsi="Times New Roman" w:eastAsia="黑体"/>
          <w:b/>
          <w:i w:val="0"/>
          <w:color w:val="1F3B73"/>
          <w:sz w:val="26"/>
        </w:rPr>
        <w:t>（三）“双优”的本质要求：优质办学 + 优秀服务</w:t>
      </w:r>
    </w:p>
    <w:p>
      <w:pPr>
        <w:pBdr>
          <w:left w:val="single" w:sz="18" w:space="8" w:color="1F3B73"/>
        </w:pBdr>
        <w:spacing w:before="80" w:after="120" w:line="340" w:lineRule="exact"/>
        <w:ind w:left="400" w:right="200"/>
      </w:pPr>
      <w:r>
        <w:rPr>
          <w:rFonts w:ascii="Times New Roman" w:hAnsi="Times New Roman" w:eastAsia="楷体"/>
          <w:b w:val="0"/>
          <w:i w:val="0"/>
          <w:color w:val="2A3345"/>
          <w:sz w:val="20"/>
        </w:rPr>
        <w:t>“双优”的本质要求是“优质办学”和“优秀服务”。优质办学指向办学条件、办学能力、办学效果等内部质量，优秀服务聚焦人才供给、科技创新、社会培训等外部贡献，二者相互支撑、辩证统一，形成应用型高等教育体系从内优到外秀的系统循环。因此，优质办学与优秀服务既是“双优”工程的遴选条件，也是动态监测评价的依据，更是应用型高校建设的方向。</w:t>
      </w:r>
    </w:p>
    <w:p>
      <w:pPr>
        <w:spacing w:before="0" w:after="80" w:line="360" w:lineRule="exact"/>
        <w:ind w:firstLine="420"/>
      </w:pPr>
      <w:r>
        <w:rPr>
          <w:rFonts w:ascii="Times New Roman" w:hAnsi="Times New Roman" w:eastAsia="宋体"/>
          <w:b w:val="0"/>
          <w:i w:val="0"/>
          <w:sz w:val="21"/>
        </w:rPr>
        <w:t>这段话确立了“双优”要素的三重身份——遴选条件、动态监测评价依据、建设方向。换言之，二十个关键要素不是一次性的申报材料清单，而是一所应用型大学长期的办学坐标系。</w:t>
      </w:r>
    </w:p>
    <w:p>
      <w:pPr>
        <w:spacing w:before="0" w:after="80" w:line="360" w:lineRule="exact"/>
        <w:ind w:firstLine="420"/>
      </w:pPr>
      <w:r>
        <w:rPr>
          <w:rFonts w:ascii="Times New Roman" w:hAnsi="Times New Roman" w:eastAsia="宋体"/>
          <w:b w:val="0"/>
          <w:i w:val="0"/>
          <w:sz w:val="21"/>
        </w:rPr>
        <w:t>论文进一步指出，“双优”的核心在于推动应用型大学将办学质量与区域服务能力深度耦合，实现办学逻辑从以学科为基础的知识生产，转向以解决真实问题为导向的价值创造；“双优”还包含大学与区域双向赋能的共生关系。</w:t>
      </w:r>
    </w:p>
    <w:p>
      <w:pPr>
        <w:spacing w:before="40" w:after="160" w:line="260" w:lineRule="exact"/>
        <w:ind w:left="240"/>
      </w:pPr>
      <w:r>
        <w:rPr>
          <w:rFonts w:ascii="Times New Roman" w:hAnsi="Times New Roman" w:eastAsia="楷体"/>
          <w:b w:val="0"/>
          <w:i w:val="0"/>
          <w:color w:val="555F70"/>
          <w:sz w:val="17"/>
        </w:rPr>
        <w:t>【来源】【B】瞿振元, 蔺跟荣（2026），论文原文第8—9页，逐字引用。</w:t>
      </w:r>
    </w:p>
    <w:p>
      <w:pPr>
        <w:keepNext/>
        <w:spacing w:before="280" w:after="140" w:line="390" w:lineRule="exact"/>
        <w:outlineLvl w:val="1"/>
      </w:pPr>
      <w:r>
        <w:rPr>
          <w:rFonts w:ascii="Times New Roman" w:hAnsi="Times New Roman" w:eastAsia="黑体"/>
          <w:b/>
          <w:i w:val="0"/>
          <w:color w:val="1F3B73"/>
          <w:sz w:val="26"/>
        </w:rPr>
        <w:t>（四）“双优”要解决的三个老问题</w:t>
      </w:r>
    </w:p>
    <w:p>
      <w:pPr>
        <w:spacing w:before="0" w:after="80" w:line="360" w:lineRule="exact"/>
        <w:ind w:firstLine="420"/>
      </w:pPr>
      <w:r>
        <w:rPr>
          <w:rFonts w:ascii="Times New Roman" w:hAnsi="Times New Roman" w:eastAsia="宋体"/>
          <w:b w:val="0"/>
          <w:i w:val="0"/>
          <w:sz w:val="21"/>
        </w:rPr>
        <w:t>理解指标，先要理解指标要治什么病。论文把“双优”工程针对的问题概括为：应用型高校长期存在的办学定位同质化、发展“夹心层困境”、人才供给与产业需求错配，以及服务区域经济社会发展能力不高。</w:t>
      </w:r>
    </w:p>
    <w:p>
      <w:pPr>
        <w:spacing w:before="0" w:after="80" w:line="360" w:lineRule="exact"/>
        <w:ind w:firstLine="420"/>
      </w:pPr>
      <w:r>
        <w:rPr>
          <w:rFonts w:ascii="Times New Roman" w:hAnsi="Times New Roman" w:eastAsia="宋体"/>
          <w:b w:val="0"/>
          <w:i w:val="0"/>
          <w:sz w:val="21"/>
        </w:rPr>
        <w:t>《中国高教研究》主编王小梅将这一状况称为高等教育体系的“中部塌陷”——应用型本科高校夹在研究型大学和技能型高校中间，始终处于“上不着天、下不着地”的尴尬境地。以1110所地方普通本科高校为主体的应用型高校占全国高校总数的38.7%，是构建“顶天立地强腰”中国式高校体系的核心“强腰”力量。</w:t>
      </w:r>
    </w:p>
    <w:p>
      <w:pPr>
        <w:spacing w:before="0" w:after="80" w:line="360" w:lineRule="exact"/>
        <w:ind w:firstLine="420"/>
      </w:pPr>
      <w:r>
        <w:rPr>
          <w:rFonts w:ascii="Times New Roman" w:hAnsi="Times New Roman" w:eastAsia="宋体"/>
          <w:b w:val="0"/>
          <w:i w:val="0"/>
          <w:sz w:val="21"/>
        </w:rPr>
        <w:t>这解释了为什么二十个要素里“服务区域”的分量如此之重：“双优”要的不是把应用型大学办成小号的研究型大学，而是让它在区域里变得不可替代。厦门大学刘振天教授在研讨会上特别提醒，三个赛道不仅是分类，也是标杆，更带有“标签”作用；应用型高校应明晰办学目标和办学定位，避免因争抢“双优”标签而导致办学趋同——这一条对任何一所准备申报的学校都是逆耳忠言。</w:t>
      </w:r>
    </w:p>
    <w:p>
      <w:pPr>
        <w:spacing w:before="40" w:after="160" w:line="260" w:lineRule="exact"/>
        <w:ind w:left="240"/>
      </w:pPr>
      <w:r>
        <w:rPr>
          <w:rFonts w:ascii="Times New Roman" w:hAnsi="Times New Roman" w:eastAsia="楷体"/>
          <w:b w:val="0"/>
          <w:i w:val="0"/>
          <w:color w:val="555F70"/>
          <w:sz w:val="17"/>
        </w:rPr>
        <w:t>【来源】【B】瞿振元, 蔺跟荣（2026），摘要及原文第6—7页；陈文博（2026），第1页；姚宇华, 陈伟（2026），第126—127页。</w:t>
      </w:r>
    </w:p>
    <w:p>
      <w:pPr>
        <w:keepNext/>
        <w:spacing w:before="280" w:after="140" w:line="390" w:lineRule="exact"/>
        <w:outlineLvl w:val="1"/>
      </w:pPr>
      <w:r>
        <w:rPr>
          <w:rFonts w:ascii="Times New Roman" w:hAnsi="Times New Roman" w:eastAsia="黑体"/>
          <w:b/>
          <w:i w:val="0"/>
          <w:color w:val="1F3B73"/>
          <w:sz w:val="26"/>
        </w:rPr>
        <w:t>（五）“双一流”“双高”“新双高”与“双优”的定位差异</w:t>
      </w:r>
    </w:p>
    <w:p>
      <w:pPr>
        <w:spacing w:before="0" w:after="80" w:line="360" w:lineRule="exact"/>
        <w:ind w:firstLine="420"/>
      </w:pPr>
      <w:r>
        <w:rPr>
          <w:rFonts w:ascii="Times New Roman" w:hAnsi="Times New Roman" w:eastAsia="宋体"/>
          <w:b w:val="0"/>
          <w:i w:val="0"/>
          <w:sz w:val="21"/>
        </w:rPr>
        <w:t>厘清三大工程的差异，是理解“双优”指标为何这样设计的前提。下表据陈文博（2026）对三大工程政策文本的比较研究整理。</w:t>
      </w:r>
    </w:p>
    <w:tbl>
      <w:tblPr>
        <w:tblW w:type="auto" w:w="0"/>
        <w:tblBorders>
          <w:top w:val="single" w:sz="4" w:space="0" w:color="9AA7BF"/>
          <w:left w:val="single" w:sz="4" w:space="0" w:color="9AA7BF"/>
          <w:bottom w:val="single" w:sz="4" w:space="0" w:color="9AA7BF"/>
          <w:right w:val="single" w:sz="4" w:space="0" w:color="9AA7BF"/>
          <w:insideH w:val="single" w:sz="4" w:space="0" w:color="9AA7BF"/>
          <w:insideV w:val="single" w:sz="4" w:space="0" w:color="9AA7BF"/>
        </w:tblBorders>
        <w:tblLook w:firstColumn="1" w:firstRow="1" w:lastColumn="0" w:lastRow="0" w:noHBand="0" w:noVBand="1" w:val="04A0"/>
      </w:tblPr>
      <w:tblGrid>
        <w:gridCol w:w="2268"/>
        <w:gridCol w:w="2268"/>
        <w:gridCol w:w="2268"/>
        <w:gridCol w:w="2268"/>
      </w:tblGrid>
      <w:tr>
        <w:trPr>
          <w:tblHeader w:val="true"/>
        </w:trPr>
        <w:tc>
          <w:tcPr>
            <w:tcW w:type="dxa" w:w="1361"/>
            <w:shd w:val="clear" w:color="auto" w:fill="1F3B73"/>
          </w:tcPr>
          <w:p>
            <w:pPr>
              <w:spacing w:before="40" w:after="40" w:line="260" w:lineRule="exact"/>
              <w:jc w:val="center"/>
            </w:pPr>
            <w:r/>
            <w:r>
              <w:rPr>
                <w:rFonts w:ascii="Times New Roman" w:hAnsi="Times New Roman" w:eastAsia="黑体"/>
                <w:b/>
                <w:i w:val="0"/>
                <w:color w:val="FFFFFF"/>
                <w:sz w:val="19"/>
              </w:rPr>
              <w:t>比较维度</w:t>
            </w:r>
          </w:p>
        </w:tc>
        <w:tc>
          <w:tcPr>
            <w:tcW w:type="dxa" w:w="2551"/>
            <w:shd w:val="clear" w:color="auto" w:fill="1F3B73"/>
          </w:tcPr>
          <w:p>
            <w:pPr>
              <w:spacing w:before="40" w:after="40" w:line="260" w:lineRule="exact"/>
              <w:jc w:val="center"/>
            </w:pPr>
            <w:r/>
            <w:r>
              <w:rPr>
                <w:rFonts w:ascii="Times New Roman" w:hAnsi="Times New Roman" w:eastAsia="黑体"/>
                <w:b/>
                <w:i w:val="0"/>
                <w:color w:val="FFFFFF"/>
                <w:sz w:val="19"/>
              </w:rPr>
              <w:t>“双一流”</w:t>
            </w:r>
          </w:p>
        </w:tc>
        <w:tc>
          <w:tcPr>
            <w:tcW w:type="dxa" w:w="2551"/>
            <w:shd w:val="clear" w:color="auto" w:fill="1F3B73"/>
          </w:tcPr>
          <w:p>
            <w:pPr>
              <w:spacing w:before="40" w:after="40" w:line="260" w:lineRule="exact"/>
              <w:jc w:val="center"/>
            </w:pPr>
            <w:r/>
            <w:r>
              <w:rPr>
                <w:rFonts w:ascii="Times New Roman" w:hAnsi="Times New Roman" w:eastAsia="黑体"/>
                <w:b/>
                <w:i w:val="0"/>
                <w:color w:val="FFFFFF"/>
                <w:sz w:val="19"/>
              </w:rPr>
              <w:t>“双高”</w:t>
            </w:r>
          </w:p>
        </w:tc>
        <w:tc>
          <w:tcPr>
            <w:tcW w:type="dxa" w:w="2608"/>
            <w:shd w:val="clear" w:color="auto" w:fill="1F3B73"/>
          </w:tcPr>
          <w:p>
            <w:pPr>
              <w:spacing w:before="40" w:after="40" w:line="260" w:lineRule="exact"/>
              <w:jc w:val="center"/>
            </w:pPr>
            <w:r/>
            <w:r>
              <w:rPr>
                <w:rFonts w:ascii="Times New Roman" w:hAnsi="Times New Roman" w:eastAsia="黑体"/>
                <w:b/>
                <w:i w:val="0"/>
                <w:color w:val="FFFFFF"/>
                <w:sz w:val="19"/>
              </w:rPr>
              <w:t>“双优”</w:t>
            </w:r>
          </w:p>
        </w:tc>
      </w:tr>
      <w:tr>
        <w:tc>
          <w:tcPr>
            <w:tcW w:type="dxa" w:w="1361"/>
            <w:shd w:val="clear" w:color="auto" w:fill="FFFFFF"/>
          </w:tcPr>
          <w:p>
            <w:pPr>
              <w:spacing w:before="40" w:after="40" w:line="260" w:lineRule="exact"/>
              <w:jc w:val="left"/>
            </w:pPr>
            <w:r/>
            <w:r>
              <w:rPr>
                <w:rFonts w:ascii="Times New Roman" w:hAnsi="Times New Roman" w:eastAsia="黑体"/>
                <w:b/>
                <w:i w:val="0"/>
                <w:sz w:val="17"/>
              </w:rPr>
              <w:t>服务高校类型</w:t>
            </w:r>
          </w:p>
        </w:tc>
        <w:tc>
          <w:tcPr>
            <w:tcW w:type="dxa" w:w="2551"/>
            <w:shd w:val="clear" w:color="auto" w:fill="FFFFFF"/>
          </w:tcPr>
          <w:p>
            <w:pPr>
              <w:spacing w:before="40" w:after="40" w:line="260" w:lineRule="exact"/>
              <w:jc w:val="left"/>
            </w:pPr>
            <w:r/>
            <w:r>
              <w:rPr>
                <w:rFonts w:ascii="Times New Roman" w:hAnsi="Times New Roman" w:eastAsia="宋体"/>
                <w:b w:val="0"/>
                <w:i w:val="0"/>
                <w:sz w:val="17"/>
              </w:rPr>
              <w:t>研究型大学</w:t>
            </w:r>
          </w:p>
        </w:tc>
        <w:tc>
          <w:tcPr>
            <w:tcW w:type="dxa" w:w="2551"/>
            <w:shd w:val="clear" w:color="auto" w:fill="FFFFFF"/>
          </w:tcPr>
          <w:p>
            <w:pPr>
              <w:spacing w:before="40" w:after="40" w:line="260" w:lineRule="exact"/>
              <w:jc w:val="left"/>
            </w:pPr>
            <w:r/>
            <w:r>
              <w:rPr>
                <w:rFonts w:ascii="Times New Roman" w:hAnsi="Times New Roman" w:eastAsia="宋体"/>
                <w:b w:val="0"/>
                <w:i w:val="0"/>
                <w:sz w:val="17"/>
              </w:rPr>
              <w:t>职业院校</w:t>
            </w:r>
          </w:p>
        </w:tc>
        <w:tc>
          <w:tcPr>
            <w:tcW w:type="dxa" w:w="2608"/>
            <w:shd w:val="clear" w:color="auto" w:fill="FFFFFF"/>
          </w:tcPr>
          <w:p>
            <w:pPr>
              <w:spacing w:before="40" w:after="40" w:line="260" w:lineRule="exact"/>
              <w:jc w:val="left"/>
            </w:pPr>
            <w:r/>
            <w:r>
              <w:rPr>
                <w:rFonts w:ascii="Times New Roman" w:hAnsi="Times New Roman" w:eastAsia="宋体"/>
                <w:b w:val="0"/>
                <w:i w:val="0"/>
                <w:sz w:val="17"/>
              </w:rPr>
              <w:t>应用型大学</w:t>
            </w:r>
          </w:p>
        </w:tc>
      </w:tr>
      <w:tr>
        <w:tc>
          <w:tcPr>
            <w:tcW w:type="dxa" w:w="1361"/>
            <w:shd w:val="clear" w:color="auto" w:fill="F2F4F8"/>
          </w:tcPr>
          <w:p>
            <w:pPr>
              <w:spacing w:before="40" w:after="40" w:line="260" w:lineRule="exact"/>
              <w:jc w:val="left"/>
            </w:pPr>
            <w:r/>
            <w:r>
              <w:rPr>
                <w:rFonts w:ascii="Times New Roman" w:hAnsi="Times New Roman" w:eastAsia="黑体"/>
                <w:b/>
                <w:i w:val="0"/>
                <w:sz w:val="17"/>
              </w:rPr>
              <w:t>“双”字结构关系</w:t>
            </w:r>
          </w:p>
        </w:tc>
        <w:tc>
          <w:tcPr>
            <w:tcW w:type="dxa" w:w="2551"/>
            <w:shd w:val="clear" w:color="auto" w:fill="F2F4F8"/>
          </w:tcPr>
          <w:p>
            <w:pPr>
              <w:spacing w:before="40" w:after="40" w:line="260" w:lineRule="exact"/>
              <w:jc w:val="left"/>
            </w:pPr>
            <w:r/>
            <w:r>
              <w:rPr>
                <w:rFonts w:ascii="Times New Roman" w:hAnsi="Times New Roman" w:eastAsia="宋体"/>
                <w:b w:val="0"/>
                <w:i w:val="0"/>
                <w:sz w:val="17"/>
              </w:rPr>
              <w:t>一流大学与一流学科：层级嵌套</w:t>
            </w:r>
          </w:p>
        </w:tc>
        <w:tc>
          <w:tcPr>
            <w:tcW w:type="dxa" w:w="2551"/>
            <w:shd w:val="clear" w:color="auto" w:fill="F2F4F8"/>
          </w:tcPr>
          <w:p>
            <w:pPr>
              <w:spacing w:before="40" w:after="40" w:line="260" w:lineRule="exact"/>
              <w:jc w:val="left"/>
            </w:pPr>
            <w:r/>
            <w:r>
              <w:rPr>
                <w:rFonts w:ascii="Times New Roman" w:hAnsi="Times New Roman" w:eastAsia="宋体"/>
                <w:b w:val="0"/>
                <w:i w:val="0"/>
                <w:sz w:val="17"/>
              </w:rPr>
              <w:t>办学能力与产教融合：内外协同</w:t>
            </w:r>
          </w:p>
        </w:tc>
        <w:tc>
          <w:tcPr>
            <w:tcW w:type="dxa" w:w="2608"/>
            <w:shd w:val="clear" w:color="auto" w:fill="F2F4F8"/>
          </w:tcPr>
          <w:p>
            <w:pPr>
              <w:spacing w:before="40" w:after="40" w:line="260" w:lineRule="exact"/>
              <w:jc w:val="left"/>
            </w:pPr>
            <w:r/>
            <w:r>
              <w:rPr>
                <w:rFonts w:ascii="Times New Roman" w:hAnsi="Times New Roman" w:eastAsia="宋体"/>
                <w:b w:val="0"/>
                <w:i w:val="0"/>
                <w:sz w:val="17"/>
              </w:rPr>
              <w:t>办学能力与服务贡献：因果耦合</w:t>
            </w:r>
          </w:p>
        </w:tc>
      </w:tr>
      <w:tr>
        <w:tc>
          <w:tcPr>
            <w:tcW w:type="dxa" w:w="1361"/>
            <w:shd w:val="clear" w:color="auto" w:fill="FFFFFF"/>
          </w:tcPr>
          <w:p>
            <w:pPr>
              <w:spacing w:before="40" w:after="40" w:line="260" w:lineRule="exact"/>
              <w:jc w:val="left"/>
            </w:pPr>
            <w:r/>
            <w:r>
              <w:rPr>
                <w:rFonts w:ascii="Times New Roman" w:hAnsi="Times New Roman" w:eastAsia="黑体"/>
                <w:b/>
                <w:i w:val="0"/>
                <w:sz w:val="17"/>
              </w:rPr>
              <w:t>核心逻辑</w:t>
            </w:r>
          </w:p>
        </w:tc>
        <w:tc>
          <w:tcPr>
            <w:tcW w:type="dxa" w:w="2551"/>
            <w:shd w:val="clear" w:color="auto" w:fill="FFFFFF"/>
          </w:tcPr>
          <w:p>
            <w:pPr>
              <w:spacing w:before="40" w:after="40" w:line="260" w:lineRule="exact"/>
              <w:jc w:val="left"/>
            </w:pPr>
            <w:r/>
            <w:r>
              <w:rPr>
                <w:rFonts w:ascii="Times New Roman" w:hAnsi="Times New Roman" w:eastAsia="宋体"/>
                <w:b w:val="0"/>
                <w:i w:val="0"/>
                <w:sz w:val="17"/>
              </w:rPr>
              <w:t>自上而下，以学科支撑大学</w:t>
            </w:r>
          </w:p>
        </w:tc>
        <w:tc>
          <w:tcPr>
            <w:tcW w:type="dxa" w:w="2551"/>
            <w:shd w:val="clear" w:color="auto" w:fill="FFFFFF"/>
          </w:tcPr>
          <w:p>
            <w:pPr>
              <w:spacing w:before="40" w:after="40" w:line="260" w:lineRule="exact"/>
              <w:jc w:val="left"/>
            </w:pPr>
            <w:r/>
            <w:r>
              <w:rPr>
                <w:rFonts w:ascii="Times New Roman" w:hAnsi="Times New Roman" w:eastAsia="宋体"/>
                <w:b w:val="0"/>
                <w:i w:val="0"/>
                <w:sz w:val="17"/>
              </w:rPr>
              <w:t>双向互动，内部能力与外部融合相互赋能</w:t>
            </w:r>
          </w:p>
        </w:tc>
        <w:tc>
          <w:tcPr>
            <w:tcW w:type="dxa" w:w="2608"/>
            <w:shd w:val="clear" w:color="auto" w:fill="FFFFFF"/>
          </w:tcPr>
          <w:p>
            <w:pPr>
              <w:spacing w:before="40" w:after="40" w:line="260" w:lineRule="exact"/>
              <w:jc w:val="left"/>
            </w:pPr>
            <w:r/>
            <w:r>
              <w:rPr>
                <w:rFonts w:ascii="Times New Roman" w:hAnsi="Times New Roman" w:eastAsia="宋体"/>
                <w:b w:val="0"/>
                <w:i w:val="0"/>
                <w:sz w:val="17"/>
              </w:rPr>
              <w:t>因果转化，以能力建设实现服务贡献</w:t>
            </w:r>
          </w:p>
        </w:tc>
      </w:tr>
      <w:tr>
        <w:tc>
          <w:tcPr>
            <w:tcW w:type="dxa" w:w="1361"/>
            <w:shd w:val="clear" w:color="auto" w:fill="F2F4F8"/>
          </w:tcPr>
          <w:p>
            <w:pPr>
              <w:spacing w:before="40" w:after="40" w:line="260" w:lineRule="exact"/>
              <w:jc w:val="left"/>
            </w:pPr>
            <w:r/>
            <w:r>
              <w:rPr>
                <w:rFonts w:ascii="Times New Roman" w:hAnsi="Times New Roman" w:eastAsia="黑体"/>
                <w:b/>
                <w:i w:val="0"/>
                <w:sz w:val="17"/>
              </w:rPr>
              <w:t>核心特征</w:t>
            </w:r>
          </w:p>
        </w:tc>
        <w:tc>
          <w:tcPr>
            <w:tcW w:type="dxa" w:w="2551"/>
            <w:shd w:val="clear" w:color="auto" w:fill="F2F4F8"/>
          </w:tcPr>
          <w:p>
            <w:pPr>
              <w:spacing w:before="40" w:after="40" w:line="260" w:lineRule="exact"/>
              <w:jc w:val="left"/>
            </w:pPr>
            <w:r/>
            <w:r>
              <w:rPr>
                <w:rFonts w:ascii="Times New Roman" w:hAnsi="Times New Roman" w:eastAsia="宋体"/>
                <w:b w:val="0"/>
                <w:i w:val="0"/>
                <w:sz w:val="17"/>
              </w:rPr>
              <w:t>学科导向、国际竞争、服务国家重大战略</w:t>
            </w:r>
          </w:p>
        </w:tc>
        <w:tc>
          <w:tcPr>
            <w:tcW w:type="dxa" w:w="2551"/>
            <w:shd w:val="clear" w:color="auto" w:fill="F2F4F8"/>
          </w:tcPr>
          <w:p>
            <w:pPr>
              <w:spacing w:before="40" w:after="40" w:line="260" w:lineRule="exact"/>
              <w:jc w:val="left"/>
            </w:pPr>
            <w:r/>
            <w:r>
              <w:rPr>
                <w:rFonts w:ascii="Times New Roman" w:hAnsi="Times New Roman" w:eastAsia="宋体"/>
                <w:b w:val="0"/>
                <w:i w:val="0"/>
                <w:sz w:val="17"/>
              </w:rPr>
              <w:t>产业导向、技能培养、服务产业转型升级</w:t>
            </w:r>
          </w:p>
        </w:tc>
        <w:tc>
          <w:tcPr>
            <w:tcW w:type="dxa" w:w="2608"/>
            <w:shd w:val="clear" w:color="auto" w:fill="F2F4F8"/>
          </w:tcPr>
          <w:p>
            <w:pPr>
              <w:spacing w:before="40" w:after="40" w:line="260" w:lineRule="exact"/>
              <w:jc w:val="left"/>
            </w:pPr>
            <w:r/>
            <w:r>
              <w:rPr>
                <w:rFonts w:ascii="Times New Roman" w:hAnsi="Times New Roman" w:eastAsia="宋体"/>
                <w:b w:val="0"/>
                <w:i w:val="0"/>
                <w:sz w:val="17"/>
              </w:rPr>
              <w:t>需求导向、应用创新、服务区域经济社会发展</w:t>
            </w:r>
          </w:p>
        </w:tc>
      </w:tr>
      <w:tr>
        <w:tc>
          <w:tcPr>
            <w:tcW w:type="dxa" w:w="1361"/>
            <w:shd w:val="clear" w:color="auto" w:fill="FFFFFF"/>
          </w:tcPr>
          <w:p>
            <w:pPr>
              <w:spacing w:before="40" w:after="40" w:line="260" w:lineRule="exact"/>
              <w:jc w:val="left"/>
            </w:pPr>
            <w:r/>
            <w:r>
              <w:rPr>
                <w:rFonts w:ascii="Times New Roman" w:hAnsi="Times New Roman" w:eastAsia="黑体"/>
                <w:b/>
                <w:i w:val="0"/>
                <w:sz w:val="17"/>
              </w:rPr>
              <w:t>评价导向</w:t>
            </w:r>
          </w:p>
        </w:tc>
        <w:tc>
          <w:tcPr>
            <w:tcW w:type="dxa" w:w="2551"/>
            <w:shd w:val="clear" w:color="auto" w:fill="FFFFFF"/>
          </w:tcPr>
          <w:p>
            <w:pPr>
              <w:spacing w:before="40" w:after="40" w:line="260" w:lineRule="exact"/>
              <w:jc w:val="left"/>
            </w:pPr>
            <w:r/>
            <w:r>
              <w:rPr>
                <w:rFonts w:ascii="Times New Roman" w:hAnsi="Times New Roman" w:eastAsia="宋体"/>
                <w:b w:val="0"/>
                <w:i w:val="0"/>
                <w:sz w:val="17"/>
              </w:rPr>
              <w:t>学术导向：基础研究、论文专利、国际排名与国家战略贡献</w:t>
            </w:r>
          </w:p>
        </w:tc>
        <w:tc>
          <w:tcPr>
            <w:tcW w:type="dxa" w:w="2551"/>
            <w:shd w:val="clear" w:color="auto" w:fill="FFFFFF"/>
          </w:tcPr>
          <w:p>
            <w:pPr>
              <w:spacing w:before="40" w:after="40" w:line="260" w:lineRule="exact"/>
              <w:jc w:val="left"/>
            </w:pPr>
            <w:r/>
            <w:r>
              <w:rPr>
                <w:rFonts w:ascii="Times New Roman" w:hAnsi="Times New Roman" w:eastAsia="宋体"/>
                <w:b w:val="0"/>
                <w:i w:val="0"/>
                <w:sz w:val="17"/>
              </w:rPr>
              <w:t>产教导向：校企合作、实训条件、技能证书与产业适配度</w:t>
            </w:r>
          </w:p>
        </w:tc>
        <w:tc>
          <w:tcPr>
            <w:tcW w:type="dxa" w:w="2608"/>
            <w:shd w:val="clear" w:color="auto" w:fill="FFFFFF"/>
          </w:tcPr>
          <w:p>
            <w:pPr>
              <w:spacing w:before="40" w:after="40" w:line="260" w:lineRule="exact"/>
              <w:jc w:val="left"/>
            </w:pPr>
            <w:r/>
            <w:r>
              <w:rPr>
                <w:rFonts w:ascii="Times New Roman" w:hAnsi="Times New Roman" w:eastAsia="宋体"/>
                <w:b w:val="0"/>
                <w:i w:val="0"/>
                <w:sz w:val="17"/>
              </w:rPr>
              <w:t>转化导向：聚焦“办学能力—区域贡献”的转化效率，突出应用创新、成果落地与区域适配价值</w:t>
            </w:r>
          </w:p>
        </w:tc>
      </w:tr>
      <w:tr>
        <w:tc>
          <w:tcPr>
            <w:tcW w:type="dxa" w:w="1361"/>
            <w:shd w:val="clear" w:color="auto" w:fill="F2F4F8"/>
          </w:tcPr>
          <w:p>
            <w:pPr>
              <w:spacing w:before="40" w:after="40" w:line="260" w:lineRule="exact"/>
              <w:jc w:val="left"/>
            </w:pPr>
            <w:r/>
            <w:r>
              <w:rPr>
                <w:rFonts w:ascii="Times New Roman" w:hAnsi="Times New Roman" w:eastAsia="黑体"/>
                <w:b/>
                <w:i w:val="0"/>
                <w:sz w:val="17"/>
              </w:rPr>
              <w:t>核心指标</w:t>
            </w:r>
          </w:p>
        </w:tc>
        <w:tc>
          <w:tcPr>
            <w:tcW w:type="dxa" w:w="2551"/>
            <w:shd w:val="clear" w:color="auto" w:fill="F2F4F8"/>
          </w:tcPr>
          <w:p>
            <w:pPr>
              <w:spacing w:before="40" w:after="40" w:line="260" w:lineRule="exact"/>
              <w:jc w:val="left"/>
            </w:pPr>
            <w:r/>
            <w:r>
              <w:rPr>
                <w:rFonts w:ascii="Times New Roman" w:hAnsi="Times New Roman" w:eastAsia="宋体"/>
                <w:b w:val="0"/>
                <w:i w:val="0"/>
                <w:sz w:val="17"/>
              </w:rPr>
              <w:t>学科实力、原创成果、顶尖人才和国际影响力</w:t>
            </w:r>
          </w:p>
        </w:tc>
        <w:tc>
          <w:tcPr>
            <w:tcW w:type="dxa" w:w="2551"/>
            <w:shd w:val="clear" w:color="auto" w:fill="F2F4F8"/>
          </w:tcPr>
          <w:p>
            <w:pPr>
              <w:spacing w:before="40" w:after="40" w:line="260" w:lineRule="exact"/>
              <w:jc w:val="left"/>
            </w:pPr>
            <w:r/>
            <w:r>
              <w:rPr>
                <w:rFonts w:ascii="Times New Roman" w:hAnsi="Times New Roman" w:eastAsia="宋体"/>
                <w:b w:val="0"/>
                <w:i w:val="0"/>
                <w:sz w:val="17"/>
              </w:rPr>
              <w:t>产教融合程度、技能人才规模、实训基地条件和企业参与情况</w:t>
            </w:r>
          </w:p>
        </w:tc>
        <w:tc>
          <w:tcPr>
            <w:tcW w:type="dxa" w:w="2608"/>
            <w:shd w:val="clear" w:color="auto" w:fill="F2F4F8"/>
          </w:tcPr>
          <w:p>
            <w:pPr>
              <w:spacing w:before="40" w:after="40" w:line="260" w:lineRule="exact"/>
              <w:jc w:val="left"/>
            </w:pPr>
            <w:r/>
            <w:r>
              <w:rPr>
                <w:rFonts w:ascii="Times New Roman" w:hAnsi="Times New Roman" w:eastAsia="宋体"/>
                <w:b w:val="0"/>
                <w:i w:val="0"/>
                <w:sz w:val="17"/>
              </w:rPr>
              <w:t>双师型教师占比、专业链与产业链匹配度、科技成果本地转化效率、区域人才供给贡献、参与地方重大项目情况</w:t>
            </w:r>
          </w:p>
        </w:tc>
      </w:tr>
      <w:tr>
        <w:tc>
          <w:tcPr>
            <w:tcW w:type="dxa" w:w="1361"/>
            <w:shd w:val="clear" w:color="auto" w:fill="FFFFFF"/>
          </w:tcPr>
          <w:p>
            <w:pPr>
              <w:spacing w:before="40" w:after="40" w:line="260" w:lineRule="exact"/>
              <w:jc w:val="left"/>
            </w:pPr>
            <w:r/>
            <w:r>
              <w:rPr>
                <w:rFonts w:ascii="Times New Roman" w:hAnsi="Times New Roman" w:eastAsia="黑体"/>
                <w:b/>
                <w:i w:val="0"/>
                <w:sz w:val="17"/>
              </w:rPr>
              <w:t>评价方式</w:t>
            </w:r>
          </w:p>
        </w:tc>
        <w:tc>
          <w:tcPr>
            <w:tcW w:type="dxa" w:w="2551"/>
            <w:shd w:val="clear" w:color="auto" w:fill="FFFFFF"/>
          </w:tcPr>
          <w:p>
            <w:pPr>
              <w:spacing w:before="40" w:after="40" w:line="260" w:lineRule="exact"/>
              <w:jc w:val="left"/>
            </w:pPr>
            <w:r/>
            <w:r>
              <w:rPr>
                <w:rFonts w:ascii="Times New Roman" w:hAnsi="Times New Roman" w:eastAsia="宋体"/>
                <w:b w:val="0"/>
                <w:i w:val="0"/>
                <w:sz w:val="17"/>
              </w:rPr>
              <w:t>学术指标加权为主，依靠同行评议，侧重纵向对比与国际参照</w:t>
            </w:r>
          </w:p>
        </w:tc>
        <w:tc>
          <w:tcPr>
            <w:tcW w:type="dxa" w:w="2551"/>
            <w:shd w:val="clear" w:color="auto" w:fill="FFFFFF"/>
          </w:tcPr>
          <w:p>
            <w:pPr>
              <w:spacing w:before="40" w:after="40" w:line="260" w:lineRule="exact"/>
              <w:jc w:val="left"/>
            </w:pPr>
            <w:r/>
            <w:r>
              <w:rPr>
                <w:rFonts w:ascii="Times New Roman" w:hAnsi="Times New Roman" w:eastAsia="宋体"/>
                <w:b w:val="0"/>
                <w:i w:val="0"/>
                <w:sz w:val="17"/>
              </w:rPr>
              <w:t>强调产教相关指标是否达标，引入行业企业参与评估，重视过程规范与技能培养成效</w:t>
            </w:r>
          </w:p>
        </w:tc>
        <w:tc>
          <w:tcPr>
            <w:tcW w:type="dxa" w:w="2608"/>
            <w:shd w:val="clear" w:color="auto" w:fill="FFFFFF"/>
          </w:tcPr>
          <w:p>
            <w:pPr>
              <w:spacing w:before="40" w:after="40" w:line="260" w:lineRule="exact"/>
              <w:jc w:val="left"/>
            </w:pPr>
            <w:r/>
            <w:r>
              <w:rPr>
                <w:rFonts w:ascii="Times New Roman" w:hAnsi="Times New Roman" w:eastAsia="宋体"/>
                <w:b w:val="0"/>
                <w:i w:val="0"/>
                <w:sz w:val="17"/>
              </w:rPr>
              <w:t>建立能力与贡献转化效率的量化评估模型，形成政府、企业、行业、社会多方参与的评价机制，注重横向对比、区域适配和实际服务效果</w:t>
            </w:r>
          </w:p>
        </w:tc>
      </w:tr>
      <w:tr>
        <w:tc>
          <w:tcPr>
            <w:tcW w:type="dxa" w:w="1361"/>
            <w:shd w:val="clear" w:color="auto" w:fill="F2F4F8"/>
          </w:tcPr>
          <w:p>
            <w:pPr>
              <w:spacing w:before="40" w:after="40" w:line="260" w:lineRule="exact"/>
              <w:jc w:val="left"/>
            </w:pPr>
            <w:r/>
            <w:r>
              <w:rPr>
                <w:rFonts w:ascii="Times New Roman" w:hAnsi="Times New Roman" w:eastAsia="黑体"/>
                <w:b/>
                <w:i w:val="0"/>
                <w:sz w:val="17"/>
              </w:rPr>
              <w:t>体系使命</w:t>
            </w:r>
          </w:p>
        </w:tc>
        <w:tc>
          <w:tcPr>
            <w:tcW w:type="dxa" w:w="2551"/>
            <w:shd w:val="clear" w:color="auto" w:fill="F2F4F8"/>
          </w:tcPr>
          <w:p>
            <w:pPr>
              <w:spacing w:before="40" w:after="40" w:line="260" w:lineRule="exact"/>
              <w:jc w:val="left"/>
            </w:pPr>
            <w:r/>
            <w:r>
              <w:rPr>
                <w:rFonts w:ascii="Times New Roman" w:hAnsi="Times New Roman" w:eastAsia="宋体"/>
                <w:b w:val="0"/>
                <w:i w:val="0"/>
                <w:sz w:val="17"/>
              </w:rPr>
              <w:t>“顶天”</w:t>
            </w:r>
          </w:p>
        </w:tc>
        <w:tc>
          <w:tcPr>
            <w:tcW w:type="dxa" w:w="2551"/>
            <w:shd w:val="clear" w:color="auto" w:fill="F2F4F8"/>
          </w:tcPr>
          <w:p>
            <w:pPr>
              <w:spacing w:before="40" w:after="40" w:line="260" w:lineRule="exact"/>
              <w:jc w:val="left"/>
            </w:pPr>
            <w:r/>
            <w:r>
              <w:rPr>
                <w:rFonts w:ascii="Times New Roman" w:hAnsi="Times New Roman" w:eastAsia="宋体"/>
                <w:b w:val="0"/>
                <w:i w:val="0"/>
                <w:sz w:val="17"/>
              </w:rPr>
              <w:t>“立地”</w:t>
            </w:r>
          </w:p>
        </w:tc>
        <w:tc>
          <w:tcPr>
            <w:tcW w:type="dxa" w:w="2608"/>
            <w:shd w:val="clear" w:color="auto" w:fill="F2F4F8"/>
          </w:tcPr>
          <w:p>
            <w:pPr>
              <w:spacing w:before="40" w:after="40" w:line="260" w:lineRule="exact"/>
              <w:jc w:val="left"/>
            </w:pPr>
            <w:r/>
            <w:r>
              <w:rPr>
                <w:rFonts w:ascii="Times New Roman" w:hAnsi="Times New Roman" w:eastAsia="宋体"/>
                <w:b w:val="0"/>
                <w:i w:val="0"/>
                <w:sz w:val="17"/>
              </w:rPr>
              <w:t>“强腰”</w:t>
            </w:r>
          </w:p>
        </w:tc>
      </w:tr>
    </w:tbl>
    <w:p>
      <w:pPr>
        <w:spacing w:before="40" w:after="160" w:line="260" w:lineRule="exact"/>
        <w:ind w:left="240"/>
      </w:pPr>
      <w:r>
        <w:rPr>
          <w:rFonts w:ascii="Times New Roman" w:hAnsi="Times New Roman" w:eastAsia="楷体"/>
          <w:b w:val="0"/>
          <w:i w:val="0"/>
          <w:color w:val="555F70"/>
          <w:sz w:val="17"/>
        </w:rPr>
        <w:t>【来源】陈文博. 因果耦合视角下“双优工程”的定位与评价转向——基于与“双一流”“双高”的比较研究[J]. 应用型高等教育研究, 2026, 11(2): 1-9. 表1及正文。</w:t>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二、“优秀办学”（优质办学）十大关键要素</w:t>
      </w:r>
    </w:p>
    <w:tbl>
      <w:tblPr>
        <w:tblW w:type="auto" w:w="0"/>
        <w:jc w:val="center"/>
        <w:tblBorders>
          <w:top w:val="single" w:sz="4" w:space="0" w:color="C3CCE0"/>
          <w:left w:val="single" w:sz="4" w:space="0" w:color="C3CCE0"/>
          <w:bottom w:val="single" w:sz="4" w:space="0" w:color="C3CCE0"/>
          <w:right w:val="single" w:sz="4" w:space="0" w:color="C3CCE0"/>
          <w:insideH w:val="single" w:sz="4" w:space="0" w:color="C3CCE0"/>
          <w:insideV w:val="single" w:sz="4" w:space="0" w:color="C3CCE0"/>
        </w:tblBorders>
        <w:tblLook w:firstColumn="1" w:firstRow="1" w:lastColumn="0" w:lastRow="0" w:noHBand="0" w:noVBand="1" w:val="04A0"/>
      </w:tblPr>
      <w:tblGrid>
        <w:gridCol w:w="9071"/>
      </w:tblGrid>
      <w:tr>
        <w:tc>
          <w:tcPr>
            <w:tcW w:type="dxa" w:w="9071"/>
            <w:shd w:val="clear" w:color="auto" w:fill="F2F4F8"/>
          </w:tcPr>
          <w:p>
            <w:pPr>
              <w:spacing w:after="60" w:line="300" w:lineRule="exact"/>
            </w:pPr>
            <w:r/>
            <w:r>
              <w:rPr>
                <w:rFonts w:ascii="Times New Roman" w:hAnsi="Times New Roman" w:eastAsia="黑体"/>
                <w:b/>
                <w:i w:val="0"/>
                <w:color w:val="1F3B73"/>
                <w:sz w:val="20"/>
              </w:rPr>
              <w:t>术语说明</w:t>
            </w:r>
          </w:p>
          <w:p>
            <w:pPr>
              <w:spacing w:after="40" w:line="300" w:lineRule="exact"/>
            </w:pPr>
            <w:r>
              <w:rPr>
                <w:rFonts w:ascii="Times New Roman" w:hAnsi="Times New Roman" w:eastAsia="宋体"/>
                <w:b w:val="0"/>
                <w:i w:val="0"/>
                <w:sz w:val="19"/>
              </w:rPr>
              <w:t>论文原文的表述是“优质办学”，青塔等媒体制作的图表标注为“优秀办学”，二者所指同一组要素。</w:t>
            </w:r>
          </w:p>
          <w:p>
            <w:pPr>
              <w:spacing w:after="40" w:line="300" w:lineRule="exact"/>
            </w:pPr>
            <w:r>
              <w:rPr>
                <w:rFonts w:ascii="Times New Roman" w:hAnsi="Times New Roman" w:eastAsia="宋体"/>
                <w:b w:val="0"/>
                <w:i w:val="0"/>
                <w:sz w:val="19"/>
              </w:rPr>
              <w:t>本文件正文以论文原文“优质办学”为准，标题保留用户熟悉的“优秀办学”说法。</w:t>
            </w:r>
          </w:p>
          <w:p>
            <w:pPr>
              <w:spacing w:after="40" w:line="300" w:lineRule="exact"/>
            </w:pPr>
            <w:r>
              <w:rPr>
                <w:rFonts w:ascii="Times New Roman" w:hAnsi="Times New Roman" w:eastAsia="宋体"/>
                <w:b w:val="0"/>
                <w:i w:val="0"/>
                <w:sz w:val="19"/>
              </w:rPr>
              <w:t>十大要素的定位：既是“双优”工程遴选的要素，也是动态监测评价的要素，还是应用型高校建设的基本考量。</w:t>
            </w:r>
          </w:p>
        </w:tc>
      </w:tr>
    </w:tbl>
    <w:p>
      <w:pPr>
        <w:spacing w:after="40"/>
      </w:pPr>
    </w:p>
    <w:p>
      <w:pPr>
        <w:spacing w:before="0" w:after="80" w:line="360" w:lineRule="exact"/>
        <w:ind w:firstLine="420"/>
      </w:pPr>
      <w:r>
        <w:rPr>
          <w:rFonts w:ascii="Times New Roman" w:hAnsi="Times New Roman" w:eastAsia="宋体"/>
          <w:b w:val="0"/>
          <w:i w:val="0"/>
          <w:sz w:val="21"/>
        </w:rPr>
        <w:t>优质办学涵盖办学方向、师资队伍、人才培养、学科布局、科技创新、国际交流、治理体系、资源配置、毕业生发展和社会声誉等十个方面的关键要素。抓好这十个关键要素，就能够夯实应用型高校发展的基本盘，摆脱“夹心层”困境，推进学校的高质量发展。</w:t>
      </w:r>
    </w:p>
    <w:p>
      <w:pPr>
        <w:spacing w:before="40" w:after="160" w:line="260" w:lineRule="exact"/>
        <w:ind w:left="240"/>
      </w:pPr>
      <w:r>
        <w:rPr>
          <w:rFonts w:ascii="Times New Roman" w:hAnsi="Times New Roman" w:eastAsia="楷体"/>
          <w:b w:val="0"/>
          <w:i w:val="0"/>
          <w:color w:val="555F70"/>
          <w:sz w:val="17"/>
        </w:rPr>
        <w:t>【来源】瞿振元, 蔺跟荣（2026），原文第11页。</w:t>
      </w:r>
    </w:p>
    <w:p>
      <w:pPr>
        <w:keepNext/>
        <w:spacing w:before="280" w:after="140" w:line="390" w:lineRule="exact"/>
        <w:outlineLvl w:val="1"/>
      </w:pPr>
      <w:r>
        <w:rPr>
          <w:rFonts w:ascii="Times New Roman" w:hAnsi="Times New Roman" w:eastAsia="黑体"/>
          <w:b/>
          <w:i w:val="0"/>
          <w:color w:val="1F3B73"/>
          <w:sz w:val="26"/>
        </w:rPr>
        <w:t>（一）要素总表</w:t>
      </w:r>
    </w:p>
    <w:tbl>
      <w:tblPr>
        <w:tblW w:type="auto" w:w="0"/>
        <w:tblBorders>
          <w:top w:val="single" w:sz="4" w:space="0" w:color="9AA7BF"/>
          <w:left w:val="single" w:sz="4" w:space="0" w:color="9AA7BF"/>
          <w:bottom w:val="single" w:sz="4" w:space="0" w:color="9AA7BF"/>
          <w:right w:val="single" w:sz="4" w:space="0" w:color="9AA7BF"/>
          <w:insideH w:val="single" w:sz="4" w:space="0" w:color="9AA7BF"/>
          <w:insideV w:val="single" w:sz="4" w:space="0" w:color="9AA7BF"/>
        </w:tblBorders>
        <w:tblLook w:firstColumn="1" w:firstRow="1" w:lastColumn="0" w:lastRow="0" w:noHBand="0" w:noVBand="1" w:val="04A0"/>
      </w:tblPr>
      <w:tblGrid>
        <w:gridCol w:w="2268"/>
        <w:gridCol w:w="2268"/>
        <w:gridCol w:w="2268"/>
        <w:gridCol w:w="2268"/>
      </w:tblGrid>
      <w:tr>
        <w:trPr>
          <w:tblHeader w:val="true"/>
        </w:trPr>
        <w:tc>
          <w:tcPr>
            <w:tcW w:type="dxa" w:w="567"/>
            <w:shd w:val="clear" w:color="auto" w:fill="1F3B73"/>
          </w:tcPr>
          <w:p>
            <w:pPr>
              <w:spacing w:before="40" w:after="40" w:line="260" w:lineRule="exact"/>
              <w:jc w:val="center"/>
            </w:pPr>
            <w:r/>
            <w:r>
              <w:rPr>
                <w:rFonts w:ascii="Times New Roman" w:hAnsi="Times New Roman" w:eastAsia="黑体"/>
                <w:b/>
                <w:i w:val="0"/>
                <w:color w:val="FFFFFF"/>
                <w:sz w:val="18"/>
              </w:rPr>
              <w:t>序号</w:t>
            </w:r>
          </w:p>
        </w:tc>
        <w:tc>
          <w:tcPr>
            <w:tcW w:type="dxa" w:w="1474"/>
            <w:shd w:val="clear" w:color="auto" w:fill="1F3B73"/>
          </w:tcPr>
          <w:p>
            <w:pPr>
              <w:spacing w:before="40" w:after="40" w:line="260" w:lineRule="exact"/>
              <w:jc w:val="center"/>
            </w:pPr>
            <w:r/>
            <w:r>
              <w:rPr>
                <w:rFonts w:ascii="Times New Roman" w:hAnsi="Times New Roman" w:eastAsia="黑体"/>
                <w:b/>
                <w:i w:val="0"/>
                <w:color w:val="FFFFFF"/>
                <w:sz w:val="18"/>
              </w:rPr>
              <w:t>关键要素</w:t>
            </w:r>
          </w:p>
        </w:tc>
        <w:tc>
          <w:tcPr>
            <w:tcW w:type="dxa" w:w="3515"/>
            <w:shd w:val="clear" w:color="auto" w:fill="1F3B73"/>
          </w:tcPr>
          <w:p>
            <w:pPr>
              <w:spacing w:before="40" w:after="40" w:line="260" w:lineRule="exact"/>
              <w:jc w:val="center"/>
            </w:pPr>
            <w:r/>
            <w:r>
              <w:rPr>
                <w:rFonts w:ascii="Times New Roman" w:hAnsi="Times New Roman" w:eastAsia="黑体"/>
                <w:b/>
                <w:i w:val="0"/>
                <w:color w:val="FFFFFF"/>
                <w:sz w:val="18"/>
              </w:rPr>
              <w:t>核心界定（论文原文要点）</w:t>
            </w:r>
          </w:p>
        </w:tc>
        <w:tc>
          <w:tcPr>
            <w:tcW w:type="dxa" w:w="3515"/>
            <w:shd w:val="clear" w:color="auto" w:fill="1F3B73"/>
          </w:tcPr>
          <w:p>
            <w:pPr>
              <w:spacing w:before="40" w:after="40" w:line="260" w:lineRule="exact"/>
              <w:jc w:val="center"/>
            </w:pPr>
            <w:r/>
            <w:r>
              <w:rPr>
                <w:rFonts w:ascii="Times New Roman" w:hAnsi="Times New Roman" w:eastAsia="黑体"/>
                <w:b/>
                <w:i w:val="0"/>
                <w:color w:val="FFFFFF"/>
                <w:sz w:val="18"/>
              </w:rPr>
              <w:t>可观测的量化观测点（整理）</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1</w:t>
            </w:r>
          </w:p>
        </w:tc>
        <w:tc>
          <w:tcPr>
            <w:tcW w:type="dxa" w:w="1474"/>
            <w:shd w:val="clear" w:color="auto" w:fill="FFFFFF"/>
          </w:tcPr>
          <w:p>
            <w:pPr>
              <w:spacing w:before="40" w:after="40" w:line="260" w:lineRule="exact"/>
              <w:jc w:val="left"/>
            </w:pPr>
            <w:r/>
            <w:r>
              <w:rPr>
                <w:rFonts w:ascii="Times New Roman" w:hAnsi="Times New Roman" w:eastAsia="黑体"/>
                <w:b/>
                <w:i w:val="0"/>
                <w:sz w:val="17"/>
              </w:rPr>
              <w:t>办学方向</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坚持党的领导、贯彻党的教育方针、坚持社会主义办学方向，是应用型高校办学的根本政治保证。</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党的领导与思想政治工作落实情况；办学章程与发展规划中“地方性、应用型”定位的明确程度；学校中长期规划与国家战略、区域“十五五”规划的对接度。</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2</w:t>
            </w:r>
          </w:p>
        </w:tc>
        <w:tc>
          <w:tcPr>
            <w:tcW w:type="dxa" w:w="1474"/>
            <w:shd w:val="clear" w:color="auto" w:fill="F2F4F8"/>
          </w:tcPr>
          <w:p>
            <w:pPr>
              <w:spacing w:before="40" w:after="40" w:line="260" w:lineRule="exact"/>
              <w:jc w:val="left"/>
            </w:pPr>
            <w:r/>
            <w:r>
              <w:rPr>
                <w:rFonts w:ascii="Times New Roman" w:hAnsi="Times New Roman" w:eastAsia="黑体"/>
                <w:b/>
                <w:i w:val="0"/>
                <w:sz w:val="17"/>
              </w:rPr>
              <w:t>高水平师资队伍</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教师既要有扎实的理论功底，又要有丰富的实践经验；将教学能力、实践能力、社会服务纳入教师评价体系。</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“双师双能型”教师认定比例；教师企业实践经历（青年教师每3～5年累计不少于6个月）；产业教授/兼职教授聘任数；教师评价方案中实践能力与社会服务的权重；AI赋能教师发展的举措。</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3</w:t>
            </w:r>
          </w:p>
        </w:tc>
        <w:tc>
          <w:tcPr>
            <w:tcW w:type="dxa" w:w="1474"/>
            <w:shd w:val="clear" w:color="auto" w:fill="FFFFFF"/>
          </w:tcPr>
          <w:p>
            <w:pPr>
              <w:spacing w:before="40" w:after="40" w:line="260" w:lineRule="exact"/>
              <w:jc w:val="left"/>
            </w:pPr>
            <w:r/>
            <w:r>
              <w:rPr>
                <w:rFonts w:ascii="Times New Roman" w:hAnsi="Times New Roman" w:eastAsia="黑体"/>
                <w:b/>
                <w:i w:val="0"/>
                <w:sz w:val="17"/>
              </w:rPr>
              <w:t>人才培养质效</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培养服务区域发展的高素质应用型人才是办学质量的根本；加强产教协同，构建“需求—要素—质量”反馈机制。</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产教融合课程与企业真实项目进课堂比例；实践教学学分占比；现代产业学院数量与运行成效；毕业生能力达成度与用人单位满意度；培养方案动态调整机制。</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4</w:t>
            </w:r>
          </w:p>
        </w:tc>
        <w:tc>
          <w:tcPr>
            <w:tcW w:type="dxa" w:w="1474"/>
            <w:shd w:val="clear" w:color="auto" w:fill="F2F4F8"/>
          </w:tcPr>
          <w:p>
            <w:pPr>
              <w:spacing w:before="40" w:after="40" w:line="260" w:lineRule="exact"/>
              <w:jc w:val="left"/>
            </w:pPr>
            <w:r/>
            <w:r>
              <w:rPr>
                <w:rFonts w:ascii="Times New Roman" w:hAnsi="Times New Roman" w:eastAsia="黑体"/>
                <w:b/>
                <w:i w:val="0"/>
                <w:sz w:val="17"/>
              </w:rPr>
              <w:t>学科战略布局</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与国家和区域产业需求相匹配是学科建设的核心逻辑；聚焦区域主导产业和战略性新兴产业，打造特色优势学科群。</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学科（专业）群与区域主导产业、战略性新兴产业的覆盖率与匹配度；省级以上重点/优势特色学科数；学科专业的撤停并转与新增数；学科群与产业链的对应图谱。</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5</w:t>
            </w:r>
          </w:p>
        </w:tc>
        <w:tc>
          <w:tcPr>
            <w:tcW w:type="dxa" w:w="1474"/>
            <w:shd w:val="clear" w:color="auto" w:fill="FFFFFF"/>
          </w:tcPr>
          <w:p>
            <w:pPr>
              <w:spacing w:before="40" w:after="40" w:line="260" w:lineRule="exact"/>
              <w:jc w:val="left"/>
            </w:pPr>
            <w:r/>
            <w:r>
              <w:rPr>
                <w:rFonts w:ascii="Times New Roman" w:hAnsi="Times New Roman" w:eastAsia="黑体"/>
                <w:b/>
                <w:i w:val="0"/>
                <w:sz w:val="17"/>
              </w:rPr>
              <w:t>科技创新与社会贡献</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科研成果向现实生产力的转化是衡量科技创新能力的核心标尺。</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横向科研经费占比与增速；发明专利产业化率；解决企业“卡脖子”技术难题数；省部级以上应用型科技平台数；科技奖励中应用类奖项占比。</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6</w:t>
            </w:r>
          </w:p>
        </w:tc>
        <w:tc>
          <w:tcPr>
            <w:tcW w:type="dxa" w:w="1474"/>
            <w:shd w:val="clear" w:color="auto" w:fill="F2F4F8"/>
          </w:tcPr>
          <w:p>
            <w:pPr>
              <w:spacing w:before="40" w:after="40" w:line="260" w:lineRule="exact"/>
              <w:jc w:val="left"/>
            </w:pPr>
            <w:r/>
            <w:r>
              <w:rPr>
                <w:rFonts w:ascii="Times New Roman" w:hAnsi="Times New Roman" w:eastAsia="黑体"/>
                <w:b/>
                <w:i w:val="0"/>
                <w:sz w:val="17"/>
              </w:rPr>
              <w:t>国际交流</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培养具备全球视野的优秀人才是应用型高校在全球化时代的重要使命。</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中外合作办学项目数；学生海外学习/实习人次；留学生规模与结构；服务本地企业“走出去”的海外办学与培训项目（如“班·墨学院”类平台）；国际专业认证通过情况。</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7</w:t>
            </w:r>
          </w:p>
        </w:tc>
        <w:tc>
          <w:tcPr>
            <w:tcW w:type="dxa" w:w="1474"/>
            <w:shd w:val="clear" w:color="auto" w:fill="FFFFFF"/>
          </w:tcPr>
          <w:p>
            <w:pPr>
              <w:spacing w:before="40" w:after="40" w:line="260" w:lineRule="exact"/>
              <w:jc w:val="left"/>
            </w:pPr>
            <w:r/>
            <w:r>
              <w:rPr>
                <w:rFonts w:ascii="Times New Roman" w:hAnsi="Times New Roman" w:eastAsia="黑体"/>
                <w:b/>
                <w:i w:val="0"/>
                <w:sz w:val="17"/>
              </w:rPr>
              <w:t>现代化治理体系</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完善依法治校机制、确保决策科学透明、行政服务高效是高质量发展的制度保障。</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章程及配套制度完备度；理事会/董事会中政府、行业、企业代表占比；校地校企共建共管机构的制度化程度；行政服务效能与师生满意度。</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8</w:t>
            </w:r>
          </w:p>
        </w:tc>
        <w:tc>
          <w:tcPr>
            <w:tcW w:type="dxa" w:w="1474"/>
            <w:shd w:val="clear" w:color="auto" w:fill="F2F4F8"/>
          </w:tcPr>
          <w:p>
            <w:pPr>
              <w:spacing w:before="40" w:after="40" w:line="260" w:lineRule="exact"/>
              <w:jc w:val="left"/>
            </w:pPr>
            <w:r/>
            <w:r>
              <w:rPr>
                <w:rFonts w:ascii="Times New Roman" w:hAnsi="Times New Roman" w:eastAsia="黑体"/>
                <w:b/>
                <w:i w:val="0"/>
                <w:sz w:val="17"/>
              </w:rPr>
              <w:t>资源配置与保障</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优化经费支出结构，将资源向教学一线、产教融合平台、实践教学环节倾斜，同时通过智慧校园建设提升资源使用效率。</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生均教学日常运行支出；教学与实验实训经费占比；产教融合平台投入；生均教学科研仪器设备值；智慧校园与数字化治理水平；社会捐赠与横向经费等多元筹资比重。</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9</w:t>
            </w:r>
          </w:p>
        </w:tc>
        <w:tc>
          <w:tcPr>
            <w:tcW w:type="dxa" w:w="1474"/>
            <w:shd w:val="clear" w:color="auto" w:fill="FFFFFF"/>
          </w:tcPr>
          <w:p>
            <w:pPr>
              <w:spacing w:before="40" w:after="40" w:line="260" w:lineRule="exact"/>
              <w:jc w:val="left"/>
            </w:pPr>
            <w:r/>
            <w:r>
              <w:rPr>
                <w:rFonts w:ascii="Times New Roman" w:hAnsi="Times New Roman" w:eastAsia="黑体"/>
                <w:b/>
                <w:i w:val="0"/>
                <w:sz w:val="17"/>
              </w:rPr>
              <w:t>毕业生职业发展</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毕业生就业质量、校友的贡献度、毕业生长期竞争力是衡量办学成效的最终标尺。</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毕业去向落实率与就业质量（起薪、专业相关度）；毕业生3～5年职业发展与晋升情况；校友捐赠与校友企业合作数；用人单位满意度；生源质量（录取位次）变化。</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10</w:t>
            </w:r>
          </w:p>
        </w:tc>
        <w:tc>
          <w:tcPr>
            <w:tcW w:type="dxa" w:w="1474"/>
            <w:shd w:val="clear" w:color="auto" w:fill="F2F4F8"/>
          </w:tcPr>
          <w:p>
            <w:pPr>
              <w:spacing w:before="40" w:after="40" w:line="260" w:lineRule="exact"/>
              <w:jc w:val="left"/>
            </w:pPr>
            <w:r/>
            <w:r>
              <w:rPr>
                <w:rFonts w:ascii="Times New Roman" w:hAnsi="Times New Roman" w:eastAsia="黑体"/>
                <w:b/>
                <w:i w:val="0"/>
                <w:sz w:val="17"/>
              </w:rPr>
              <w:t>社会公信力与声誉</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公信力主要来源于服务区域发展的实际贡献和人才培养的社会认可。</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第三方评价与社会声誉调查结果；主流媒体正面报道；行业与地方政府评价；应用型特色教育品牌的辨识度。</w:t>
            </w:r>
          </w:p>
        </w:tc>
      </w:tr>
    </w:tbl>
    <w:p>
      <w:pPr>
        <w:spacing w:before="60" w:after="160"/>
      </w:pPr>
      <w:r>
        <w:rPr>
          <w:rFonts w:ascii="Times New Roman" w:hAnsi="Times New Roman" w:eastAsia="楷体"/>
          <w:b w:val="0"/>
          <w:i w:val="0"/>
          <w:color w:val="555F70"/>
          <w:sz w:val="17"/>
        </w:rPr>
        <w:t>注：第1—3列为论文原文表述；第4列“量化观测点”为本文件依据论文释义及现行高校统计口径整理，供内部对标自检使用，非官方指标。</w:t>
      </w:r>
    </w:p>
    <w:p>
      <w:pPr>
        <w:keepNext/>
        <w:spacing w:before="280" w:after="140" w:line="390" w:lineRule="exact"/>
        <w:outlineLvl w:val="1"/>
      </w:pPr>
      <w:r>
        <w:rPr>
          <w:rFonts w:ascii="Times New Roman" w:hAnsi="Times New Roman" w:eastAsia="黑体"/>
          <w:b/>
          <w:i w:val="0"/>
          <w:color w:val="1F3B73"/>
          <w:sz w:val="26"/>
        </w:rPr>
        <w:t>（二）十大要素逐条释义（原文）</w:t>
      </w:r>
    </w:p>
    <w:p>
      <w:pPr>
        <w:keepNext/>
        <w:spacing w:before="140" w:after="40" w:line="340" w:lineRule="exact"/>
      </w:pPr>
      <w:r>
        <w:rPr>
          <w:rFonts w:ascii="Times New Roman" w:hAnsi="Times New Roman" w:eastAsia="黑体"/>
          <w:b/>
          <w:i w:val="0"/>
          <w:color w:val="1F3B73"/>
          <w:sz w:val="21"/>
        </w:rPr>
        <w:t>一是办学方向。</w:t>
      </w:r>
    </w:p>
    <w:p>
      <w:pPr>
        <w:spacing w:before="0" w:after="40" w:line="360" w:lineRule="exact"/>
        <w:ind w:firstLine="420"/>
      </w:pPr>
      <w:r>
        <w:rPr>
          <w:rFonts w:ascii="Times New Roman" w:hAnsi="Times New Roman" w:eastAsia="宋体"/>
          <w:b w:val="0"/>
          <w:i w:val="0"/>
          <w:sz w:val="21"/>
        </w:rPr>
        <w:t>坚持党的领导、贯彻党的教育方针、坚持社会主义办学方向，是应用型高校办学的根本政治保证。应用型高校必须坚持社会主义办学方向，以服务国家战略和区域经济社会发展为核心使命，与国家战略和区域经济社会发展同向同行。</w:t>
      </w:r>
    </w:p>
    <w:p>
      <w:pPr>
        <w:keepNext/>
        <w:spacing w:before="140" w:after="40" w:line="340" w:lineRule="exact"/>
      </w:pPr>
      <w:r>
        <w:rPr>
          <w:rFonts w:ascii="Times New Roman" w:hAnsi="Times New Roman" w:eastAsia="黑体"/>
          <w:b/>
          <w:i w:val="0"/>
          <w:color w:val="1F3B73"/>
          <w:sz w:val="21"/>
        </w:rPr>
        <w:t>二是高水平师资队伍。</w:t>
      </w:r>
    </w:p>
    <w:p>
      <w:pPr>
        <w:spacing w:before="0" w:after="40" w:line="360" w:lineRule="exact"/>
        <w:ind w:firstLine="420"/>
      </w:pPr>
      <w:r>
        <w:rPr>
          <w:rFonts w:ascii="Times New Roman" w:hAnsi="Times New Roman" w:eastAsia="宋体"/>
          <w:b w:val="0"/>
          <w:i w:val="0"/>
          <w:sz w:val="21"/>
        </w:rPr>
        <w:t>高水平的应用型师资队伍是应用型高校办学的关键。应用型高校的教师，既需要有扎实的理论功底，又要有丰富的实践经验。目前，应用型本科高校都积极推进师资队伍建设，重视应用型教师评价标准更新和优化，根据应用型高校的办学定位，将教学能力、实践能力、社会服务等纳入教师评价体系，同时关注AI赋能教师成长。</w:t>
      </w:r>
    </w:p>
    <w:p>
      <w:pPr>
        <w:keepNext/>
        <w:spacing w:before="140" w:after="40" w:line="340" w:lineRule="exact"/>
      </w:pPr>
      <w:r>
        <w:rPr>
          <w:rFonts w:ascii="Times New Roman" w:hAnsi="Times New Roman" w:eastAsia="黑体"/>
          <w:b/>
          <w:i w:val="0"/>
          <w:color w:val="1F3B73"/>
          <w:sz w:val="21"/>
        </w:rPr>
        <w:t>三是人才培养质效。</w:t>
      </w:r>
    </w:p>
    <w:p>
      <w:pPr>
        <w:spacing w:before="0" w:after="40" w:line="360" w:lineRule="exact"/>
        <w:ind w:firstLine="420"/>
      </w:pPr>
      <w:r>
        <w:rPr>
          <w:rFonts w:ascii="Times New Roman" w:hAnsi="Times New Roman" w:eastAsia="宋体"/>
          <w:b w:val="0"/>
          <w:i w:val="0"/>
          <w:sz w:val="21"/>
        </w:rPr>
        <w:t>人才培养是大学的首要职能，对于应用型高校而言，培养为服务区域发展的高素质应用型人才是应用型高校办学质量的根本。提升应用型人才培养质量和效果，一方面要加强产教协同，重塑培养范式，融合产业规律与教育规律，推动人才培养由知识传授向能力提升转变。另一方面要构建“需求—要素—质量”的反馈机制，根据区域经济社会需求培养人才，根据产业岗位能力要求关注关键要素，实现人才培养结构和质量动态适配。</w:t>
      </w:r>
    </w:p>
    <w:p>
      <w:pPr>
        <w:keepNext/>
        <w:spacing w:before="140" w:after="40" w:line="340" w:lineRule="exact"/>
      </w:pPr>
      <w:r>
        <w:rPr>
          <w:rFonts w:ascii="Times New Roman" w:hAnsi="Times New Roman" w:eastAsia="黑体"/>
          <w:b/>
          <w:i w:val="0"/>
          <w:color w:val="1F3B73"/>
          <w:sz w:val="21"/>
        </w:rPr>
        <w:t>四是学科战略布局。</w:t>
      </w:r>
    </w:p>
    <w:p>
      <w:pPr>
        <w:spacing w:before="0" w:after="40" w:line="360" w:lineRule="exact"/>
        <w:ind w:firstLine="420"/>
      </w:pPr>
      <w:r>
        <w:rPr>
          <w:rFonts w:ascii="Times New Roman" w:hAnsi="Times New Roman" w:eastAsia="宋体"/>
          <w:b w:val="0"/>
          <w:i w:val="0"/>
          <w:sz w:val="21"/>
        </w:rPr>
        <w:t>与国家和区域产业需求相匹配是应用型高校学科建设的核心逻辑。与研究型大学追求学科齐全、基础深厚不同，应用型高校的学科建设应坚持“有所为、有所不为”的策略，聚焦区域主导产业和战略性新兴产业，打造特色优势学科群。从资源依赖理论看，应用型高校的生存与发展高度依赖于区域资源环境，其学科布局必须与区域产业结构深度耦合。这一要素引导应用型高校摒弃“大而全”的学科建设思路，走“特而强”的特色发展之路。</w:t>
      </w:r>
    </w:p>
    <w:p>
      <w:pPr>
        <w:keepNext/>
        <w:spacing w:before="140" w:after="40" w:line="340" w:lineRule="exact"/>
      </w:pPr>
      <w:r>
        <w:rPr>
          <w:rFonts w:ascii="Times New Roman" w:hAnsi="Times New Roman" w:eastAsia="黑体"/>
          <w:b/>
          <w:i w:val="0"/>
          <w:color w:val="1F3B73"/>
          <w:sz w:val="21"/>
        </w:rPr>
        <w:t>五是科技创新与社会贡献。</w:t>
      </w:r>
    </w:p>
    <w:p>
      <w:pPr>
        <w:spacing w:before="0" w:after="40" w:line="360" w:lineRule="exact"/>
        <w:ind w:firstLine="420"/>
      </w:pPr>
      <w:r>
        <w:rPr>
          <w:rFonts w:ascii="Times New Roman" w:hAnsi="Times New Roman" w:eastAsia="宋体"/>
          <w:b w:val="0"/>
          <w:i w:val="0"/>
          <w:sz w:val="21"/>
        </w:rPr>
        <w:t>科研成果向现实生产力的转化是衡量应用型高校科技创新能力的核心标尺。应用型高校的科研不同于研究型大学的基础研究，它更强调“应用导向”，其价值最终体现在能否解决产业发展的实际问题、能否转化为现实生产力上。从创新价值链理论看，应用型高校处于基础研究与应用开发之间的“中间地带”，其核心功能是促进知识从学术场域向产业场域的流动与转化。这一要素，扭转了应用型高校“重论文轻转化”的科研导向。</w:t>
      </w:r>
    </w:p>
    <w:p>
      <w:pPr>
        <w:keepNext/>
        <w:spacing w:before="140" w:after="40" w:line="340" w:lineRule="exact"/>
      </w:pPr>
      <w:r>
        <w:rPr>
          <w:rFonts w:ascii="Times New Roman" w:hAnsi="Times New Roman" w:eastAsia="黑体"/>
          <w:b/>
          <w:i w:val="0"/>
          <w:color w:val="1F3B73"/>
          <w:sz w:val="21"/>
        </w:rPr>
        <w:t>六是国际交流。</w:t>
      </w:r>
    </w:p>
    <w:p>
      <w:pPr>
        <w:spacing w:before="0" w:after="40" w:line="360" w:lineRule="exact"/>
        <w:ind w:firstLine="420"/>
      </w:pPr>
      <w:r>
        <w:rPr>
          <w:rFonts w:ascii="Times New Roman" w:hAnsi="Times New Roman" w:eastAsia="宋体"/>
          <w:b w:val="0"/>
          <w:i w:val="0"/>
          <w:sz w:val="21"/>
        </w:rPr>
        <w:t>培养具备全球视野的优秀人才是应用型高校在全球化时代的重要使命。长期以来，国际交流被视为研究型大学的“专利”，应用型高校在国际化方面相对薄弱。然而，随着中国企业“走出去”和“一带一路”建设的深入推进，应用型高校培养的学生同样需要具备跨文化交流能力和国际视野。这一要素引导应用型高校拓宽国际化办学视野，但强调其国际化应服务于应用型人才培养的特色需求，而非简单模仿研究型大学的国际化路径。</w:t>
      </w:r>
    </w:p>
    <w:p>
      <w:pPr>
        <w:keepNext/>
        <w:spacing w:before="140" w:after="40" w:line="340" w:lineRule="exact"/>
      </w:pPr>
      <w:r>
        <w:rPr>
          <w:rFonts w:ascii="Times New Roman" w:hAnsi="Times New Roman" w:eastAsia="黑体"/>
          <w:b/>
          <w:i w:val="0"/>
          <w:color w:val="1F3B73"/>
          <w:sz w:val="21"/>
        </w:rPr>
        <w:t>七是现代化治理体系。</w:t>
      </w:r>
    </w:p>
    <w:p>
      <w:pPr>
        <w:spacing w:before="0" w:after="40" w:line="360" w:lineRule="exact"/>
        <w:ind w:firstLine="420"/>
      </w:pPr>
      <w:r>
        <w:rPr>
          <w:rFonts w:ascii="Times New Roman" w:hAnsi="Times New Roman" w:eastAsia="宋体"/>
          <w:b w:val="0"/>
          <w:i w:val="0"/>
          <w:sz w:val="21"/>
        </w:rPr>
        <w:t>完善依法治校机制、确保决策科学透明、行政服务高效是应用型高校高质量发展的制度保障。在完善内部治理体系的同时加强外部治理体系，对于应用型高校而言，要服务国家和区域经济社会发展，外部治理体系更显重要。适应区域经济社会发展和人口变化需求，应用型高校要建立更加开放、灵活的现代治理体系，完善政府、学校、企业、行业等多方参与的共治格局，形成多元主体协同参与的决策机制。</w:t>
      </w:r>
    </w:p>
    <w:p>
      <w:pPr>
        <w:keepNext/>
        <w:spacing w:before="140" w:after="40" w:line="340" w:lineRule="exact"/>
      </w:pPr>
      <w:r>
        <w:rPr>
          <w:rFonts w:ascii="Times New Roman" w:hAnsi="Times New Roman" w:eastAsia="黑体"/>
          <w:b/>
          <w:i w:val="0"/>
          <w:color w:val="1F3B73"/>
          <w:sz w:val="21"/>
        </w:rPr>
        <w:t>八是资源配置与保障。</w:t>
      </w:r>
    </w:p>
    <w:p>
      <w:pPr>
        <w:spacing w:before="0" w:after="40" w:line="360" w:lineRule="exact"/>
        <w:ind w:firstLine="420"/>
      </w:pPr>
      <w:r>
        <w:rPr>
          <w:rFonts w:ascii="Times New Roman" w:hAnsi="Times New Roman" w:eastAsia="宋体"/>
          <w:b w:val="0"/>
          <w:i w:val="0"/>
          <w:sz w:val="21"/>
        </w:rPr>
        <w:t>组织的资源配置方式决定了其行为逻辑和发展路径。应用型高校的资源配置面临的核心矛盾是有限的经费投入与多元的发展需求之间的张力。要引导应用型高校优化经费支出结构，将资源向教学一线、产教融合平台、实践教学环节倾斜，同时通过智慧校园建设提升资源使用效率。</w:t>
      </w:r>
    </w:p>
    <w:p>
      <w:pPr>
        <w:keepNext/>
        <w:spacing w:before="140" w:after="40" w:line="340" w:lineRule="exact"/>
      </w:pPr>
      <w:r>
        <w:rPr>
          <w:rFonts w:ascii="Times New Roman" w:hAnsi="Times New Roman" w:eastAsia="黑体"/>
          <w:b/>
          <w:i w:val="0"/>
          <w:color w:val="1F3B73"/>
          <w:sz w:val="21"/>
        </w:rPr>
        <w:t>九是毕业生职业发展。</w:t>
      </w:r>
    </w:p>
    <w:p>
      <w:pPr>
        <w:spacing w:before="0" w:after="40" w:line="360" w:lineRule="exact"/>
        <w:ind w:firstLine="420"/>
      </w:pPr>
      <w:r>
        <w:rPr>
          <w:rFonts w:ascii="Times New Roman" w:hAnsi="Times New Roman" w:eastAsia="宋体"/>
          <w:b w:val="0"/>
          <w:i w:val="0"/>
          <w:sz w:val="21"/>
        </w:rPr>
        <w:t>毕业生就业质量、校友的贡献度、毕业生长期竞争力是衡量应用型高校办学成效的最终标尺。这一要素体现了从“入口”到“培养”再到“出口”的全链条质量观，是学校办学质量直接影响学校社会声誉和生源质量的表现。应用型高校要将社会和用人单位的评价作为办学和资源配置的核心依据，以优秀的人才培养质量吸引优质生源，形成可持续发展的良性循环。</w:t>
      </w:r>
    </w:p>
    <w:p>
      <w:pPr>
        <w:keepNext/>
        <w:spacing w:before="140" w:after="40" w:line="340" w:lineRule="exact"/>
      </w:pPr>
      <w:r>
        <w:rPr>
          <w:rFonts w:ascii="Times New Roman" w:hAnsi="Times New Roman" w:eastAsia="黑体"/>
          <w:b/>
          <w:i w:val="0"/>
          <w:color w:val="1F3B73"/>
          <w:sz w:val="21"/>
        </w:rPr>
        <w:t>十是社会公信力与声誉。</w:t>
      </w:r>
    </w:p>
    <w:p>
      <w:pPr>
        <w:spacing w:before="0" w:after="40" w:line="360" w:lineRule="exact"/>
        <w:ind w:firstLine="420"/>
      </w:pPr>
      <w:r>
        <w:rPr>
          <w:rFonts w:ascii="Times New Roman" w:hAnsi="Times New Roman" w:eastAsia="宋体"/>
          <w:b w:val="0"/>
          <w:i w:val="0"/>
          <w:sz w:val="21"/>
        </w:rPr>
        <w:t>社会公信力是大学的核心无形资产，对于应用型高校而言，其公信力主要来源于服务区域发展的实际贡献和人才培养的社会认可。应用型高校要跳出传统学术评价的桎梏，建立质量和贡献导向的评价体系，主动对接区域经济社会发展，提升区域服务贡献能力，打造应用型特色教育品牌。</w:t>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三、“优秀服务”十大关键要素</w:t>
      </w:r>
    </w:p>
    <w:p>
      <w:pPr>
        <w:spacing w:before="0" w:after="80" w:line="360" w:lineRule="exact"/>
        <w:ind w:firstLine="420"/>
      </w:pPr>
      <w:r>
        <w:rPr>
          <w:rFonts w:ascii="Times New Roman" w:hAnsi="Times New Roman" w:eastAsia="宋体"/>
          <w:b w:val="0"/>
          <w:i w:val="0"/>
          <w:sz w:val="21"/>
        </w:rPr>
        <w:t>应用型高校的优秀服务应该包含毕业生留用、技术合作、成果转化、平台共建、智库服务、社会培训、人才引育、产业支持度、资源开放、专家派驻等十个主要方面。</w:t>
      </w:r>
    </w:p>
    <w:p>
      <w:pPr>
        <w:spacing w:before="40" w:after="160" w:line="260" w:lineRule="exact"/>
        <w:ind w:left="240"/>
      </w:pPr>
      <w:r>
        <w:rPr>
          <w:rFonts w:ascii="Times New Roman" w:hAnsi="Times New Roman" w:eastAsia="楷体"/>
          <w:b w:val="0"/>
          <w:i w:val="0"/>
          <w:color w:val="555F70"/>
          <w:sz w:val="17"/>
        </w:rPr>
        <w:t>【来源】瞿振元, 蔺跟荣（2026），原文第12—13页。</w:t>
      </w:r>
    </w:p>
    <w:p>
      <w:pPr>
        <w:keepNext/>
        <w:spacing w:before="280" w:after="140" w:line="390" w:lineRule="exact"/>
        <w:outlineLvl w:val="1"/>
      </w:pPr>
      <w:r>
        <w:rPr>
          <w:rFonts w:ascii="Times New Roman" w:hAnsi="Times New Roman" w:eastAsia="黑体"/>
          <w:b/>
          <w:i w:val="0"/>
          <w:color w:val="1F3B73"/>
          <w:sz w:val="26"/>
        </w:rPr>
        <w:t>（一）要素总表</w:t>
      </w:r>
    </w:p>
    <w:tbl>
      <w:tblPr>
        <w:tblW w:type="auto" w:w="0"/>
        <w:tblBorders>
          <w:top w:val="single" w:sz="4" w:space="0" w:color="9AA7BF"/>
          <w:left w:val="single" w:sz="4" w:space="0" w:color="9AA7BF"/>
          <w:bottom w:val="single" w:sz="4" w:space="0" w:color="9AA7BF"/>
          <w:right w:val="single" w:sz="4" w:space="0" w:color="9AA7BF"/>
          <w:insideH w:val="single" w:sz="4" w:space="0" w:color="9AA7BF"/>
          <w:insideV w:val="single" w:sz="4" w:space="0" w:color="9AA7BF"/>
        </w:tblBorders>
        <w:tblLook w:firstColumn="1" w:firstRow="1" w:lastColumn="0" w:lastRow="0" w:noHBand="0" w:noVBand="1" w:val="04A0"/>
      </w:tblPr>
      <w:tblGrid>
        <w:gridCol w:w="2268"/>
        <w:gridCol w:w="2268"/>
        <w:gridCol w:w="2268"/>
        <w:gridCol w:w="2268"/>
      </w:tblGrid>
      <w:tr>
        <w:trPr>
          <w:tblHeader w:val="true"/>
        </w:trPr>
        <w:tc>
          <w:tcPr>
            <w:tcW w:type="dxa" w:w="567"/>
            <w:shd w:val="clear" w:color="auto" w:fill="2E6B4F"/>
          </w:tcPr>
          <w:p>
            <w:pPr>
              <w:spacing w:before="40" w:after="40" w:line="260" w:lineRule="exact"/>
              <w:jc w:val="center"/>
            </w:pPr>
            <w:r/>
            <w:r>
              <w:rPr>
                <w:rFonts w:ascii="Times New Roman" w:hAnsi="Times New Roman" w:eastAsia="黑体"/>
                <w:b/>
                <w:i w:val="0"/>
                <w:color w:val="FFFFFF"/>
                <w:sz w:val="18"/>
              </w:rPr>
              <w:t>序号</w:t>
            </w:r>
          </w:p>
        </w:tc>
        <w:tc>
          <w:tcPr>
            <w:tcW w:type="dxa" w:w="1474"/>
            <w:shd w:val="clear" w:color="auto" w:fill="2E6B4F"/>
          </w:tcPr>
          <w:p>
            <w:pPr>
              <w:spacing w:before="40" w:after="40" w:line="260" w:lineRule="exact"/>
              <w:jc w:val="center"/>
            </w:pPr>
            <w:r/>
            <w:r>
              <w:rPr>
                <w:rFonts w:ascii="Times New Roman" w:hAnsi="Times New Roman" w:eastAsia="黑体"/>
                <w:b/>
                <w:i w:val="0"/>
                <w:color w:val="FFFFFF"/>
                <w:sz w:val="18"/>
              </w:rPr>
              <w:t>关键要素</w:t>
            </w:r>
          </w:p>
        </w:tc>
        <w:tc>
          <w:tcPr>
            <w:tcW w:type="dxa" w:w="3515"/>
            <w:shd w:val="clear" w:color="auto" w:fill="2E6B4F"/>
          </w:tcPr>
          <w:p>
            <w:pPr>
              <w:spacing w:before="40" w:after="40" w:line="260" w:lineRule="exact"/>
              <w:jc w:val="center"/>
            </w:pPr>
            <w:r/>
            <w:r>
              <w:rPr>
                <w:rFonts w:ascii="Times New Roman" w:hAnsi="Times New Roman" w:eastAsia="黑体"/>
                <w:b/>
                <w:i w:val="0"/>
                <w:color w:val="FFFFFF"/>
                <w:sz w:val="18"/>
              </w:rPr>
              <w:t>核心界定（论文原文要点）</w:t>
            </w:r>
          </w:p>
        </w:tc>
        <w:tc>
          <w:tcPr>
            <w:tcW w:type="dxa" w:w="3515"/>
            <w:shd w:val="clear" w:color="auto" w:fill="2E6B4F"/>
          </w:tcPr>
          <w:p>
            <w:pPr>
              <w:spacing w:before="40" w:after="40" w:line="260" w:lineRule="exact"/>
              <w:jc w:val="center"/>
            </w:pPr>
            <w:r/>
            <w:r>
              <w:rPr>
                <w:rFonts w:ascii="Times New Roman" w:hAnsi="Times New Roman" w:eastAsia="黑体"/>
                <w:b/>
                <w:i w:val="0"/>
                <w:color w:val="FFFFFF"/>
                <w:sz w:val="18"/>
              </w:rPr>
              <w:t>可观测的量化观测点（整理）</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1</w:t>
            </w:r>
          </w:p>
        </w:tc>
        <w:tc>
          <w:tcPr>
            <w:tcW w:type="dxa" w:w="1474"/>
            <w:shd w:val="clear" w:color="auto" w:fill="FFFFFF"/>
          </w:tcPr>
          <w:p>
            <w:pPr>
              <w:spacing w:before="40" w:after="40" w:line="260" w:lineRule="exact"/>
              <w:jc w:val="left"/>
            </w:pPr>
            <w:r/>
            <w:r>
              <w:rPr>
                <w:rFonts w:ascii="Times New Roman" w:hAnsi="Times New Roman" w:eastAsia="黑体"/>
                <w:b/>
                <w:i w:val="0"/>
                <w:sz w:val="17"/>
              </w:rPr>
              <w:t>毕业生留用率</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应届毕业生在学校所在地级市及省内就业的比例，是衡量服务区域水平最直接的指标。</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留在学校所在地级市就业比例；留省内就业比例；重点产业领域就业人数；留用率的年度变化趋势。</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2</w:t>
            </w:r>
          </w:p>
        </w:tc>
        <w:tc>
          <w:tcPr>
            <w:tcW w:type="dxa" w:w="1474"/>
            <w:shd w:val="clear" w:color="auto" w:fill="F2F4F8"/>
          </w:tcPr>
          <w:p>
            <w:pPr>
              <w:spacing w:before="40" w:after="40" w:line="260" w:lineRule="exact"/>
              <w:jc w:val="left"/>
            </w:pPr>
            <w:r/>
            <w:r>
              <w:rPr>
                <w:rFonts w:ascii="Times New Roman" w:hAnsi="Times New Roman" w:eastAsia="黑体"/>
                <w:b/>
                <w:i w:val="0"/>
                <w:sz w:val="17"/>
              </w:rPr>
              <w:t>共建平台数量</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与地方政府或企业共同组建的实验室、工程技术中心及科技园数量，是实现产教融合的主要途径。</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校地校企共建实验室/工程技术中心/大学科技园/产业研究院/现代产业学院数量；平台的层级（国家级、省级、市级）；平台年度实际运行绩效与投入产出。</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3</w:t>
            </w:r>
          </w:p>
        </w:tc>
        <w:tc>
          <w:tcPr>
            <w:tcW w:type="dxa" w:w="1474"/>
            <w:shd w:val="clear" w:color="auto" w:fill="FFFFFF"/>
          </w:tcPr>
          <w:p>
            <w:pPr>
              <w:spacing w:before="40" w:after="40" w:line="260" w:lineRule="exact"/>
              <w:jc w:val="left"/>
            </w:pPr>
            <w:r/>
            <w:r>
              <w:rPr>
                <w:rFonts w:ascii="Times New Roman" w:hAnsi="Times New Roman" w:eastAsia="黑体"/>
                <w:b/>
                <w:i w:val="0"/>
                <w:sz w:val="17"/>
              </w:rPr>
              <w:t>技术合同数额</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横向经费完全源于市场委托，其规模和增长反映了企业在多大程度上认可高校的技术服务能力。</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技术合同登记额（万元）；横向科研到账经费及占科研总经费比重；本地企业委托项目数与金额；技术合同数额的年均增速。</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4</w:t>
            </w:r>
          </w:p>
        </w:tc>
        <w:tc>
          <w:tcPr>
            <w:tcW w:type="dxa" w:w="1474"/>
            <w:shd w:val="clear" w:color="auto" w:fill="F2F4F8"/>
          </w:tcPr>
          <w:p>
            <w:pPr>
              <w:spacing w:before="40" w:after="40" w:line="260" w:lineRule="exact"/>
              <w:jc w:val="left"/>
            </w:pPr>
            <w:r/>
            <w:r>
              <w:rPr>
                <w:rFonts w:ascii="Times New Roman" w:hAnsi="Times New Roman" w:eastAsia="黑体"/>
                <w:b/>
                <w:i w:val="0"/>
                <w:sz w:val="17"/>
              </w:rPr>
              <w:t>成果转化收益</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成果转化收益不仅是经济指标，更是衡量高校与产业界知识耦合深度的核心标尺。</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专利转让许可与作价入股金额；成果转化合同数；本地转化占比；技术转移机构建设与专职人员配备；孵化企业数量与产值。</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5</w:t>
            </w:r>
          </w:p>
        </w:tc>
        <w:tc>
          <w:tcPr>
            <w:tcW w:type="dxa" w:w="1474"/>
            <w:shd w:val="clear" w:color="auto" w:fill="FFFFFF"/>
          </w:tcPr>
          <w:p>
            <w:pPr>
              <w:spacing w:before="40" w:after="40" w:line="260" w:lineRule="exact"/>
              <w:jc w:val="left"/>
            </w:pPr>
            <w:r/>
            <w:r>
              <w:rPr>
                <w:rFonts w:ascii="Times New Roman" w:hAnsi="Times New Roman" w:eastAsia="黑体"/>
                <w:b/>
                <w:i w:val="0"/>
                <w:sz w:val="17"/>
              </w:rPr>
              <w:t>社会培训人次</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社会培训是与区域社会建立广泛联系的重要纽带。</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年度非学历培训人次与培训学时；面向企业职工、乡村振兴、老年教育等的培训项目数；培训收入；社区教育与终身学习平台建设。</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6</w:t>
            </w:r>
          </w:p>
        </w:tc>
        <w:tc>
          <w:tcPr>
            <w:tcW w:type="dxa" w:w="1474"/>
            <w:shd w:val="clear" w:color="auto" w:fill="F2F4F8"/>
          </w:tcPr>
          <w:p>
            <w:pPr>
              <w:spacing w:before="40" w:after="40" w:line="260" w:lineRule="exact"/>
              <w:jc w:val="left"/>
            </w:pPr>
            <w:r/>
            <w:r>
              <w:rPr>
                <w:rFonts w:ascii="Times New Roman" w:hAnsi="Times New Roman" w:eastAsia="黑体"/>
                <w:b/>
                <w:i w:val="0"/>
                <w:sz w:val="17"/>
              </w:rPr>
              <w:t>智库成果采纳</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为地方政府决策提供智力支持，实现从“学术研究”向“决策咨询”的功能拓展。</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被市级以上党政部门采纳的咨询报告数；领导批示件数；参与地方立法、规划编制项目数；新型智库建设层级与影响力。</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7</w:t>
            </w:r>
          </w:p>
        </w:tc>
        <w:tc>
          <w:tcPr>
            <w:tcW w:type="dxa" w:w="1474"/>
            <w:shd w:val="clear" w:color="auto" w:fill="FFFFFF"/>
          </w:tcPr>
          <w:p>
            <w:pPr>
              <w:spacing w:before="40" w:after="40" w:line="260" w:lineRule="exact"/>
              <w:jc w:val="left"/>
            </w:pPr>
            <w:r/>
            <w:r>
              <w:rPr>
                <w:rFonts w:ascii="Times New Roman" w:hAnsi="Times New Roman" w:eastAsia="黑体"/>
                <w:b/>
                <w:i w:val="0"/>
                <w:sz w:val="17"/>
              </w:rPr>
              <w:t>服务地方人才引育</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应用型高校引进高层次人才，也为区域产业发展提供了高端智力支持，体现了应用型高校在区域的人才中心地位。</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年度引进高层次人才数及其服务地方项目数；依托学校落地的地方人才计划人选数；为区域企业培养的工程师、技术骨干数；共建人才驿站/院士专家工作站数。</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8</w:t>
            </w:r>
          </w:p>
        </w:tc>
        <w:tc>
          <w:tcPr>
            <w:tcW w:type="dxa" w:w="1474"/>
            <w:shd w:val="clear" w:color="auto" w:fill="F2F4F8"/>
          </w:tcPr>
          <w:p>
            <w:pPr>
              <w:spacing w:before="40" w:after="40" w:line="260" w:lineRule="exact"/>
              <w:jc w:val="left"/>
            </w:pPr>
            <w:r/>
            <w:r>
              <w:rPr>
                <w:rFonts w:ascii="Times New Roman" w:hAnsi="Times New Roman" w:eastAsia="黑体"/>
                <w:b/>
                <w:i w:val="0"/>
                <w:sz w:val="17"/>
              </w:rPr>
              <w:t>专业产业支持度</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学校专业设置对地方支柱产业、战略性新兴产业的支持程度，是衡量人才培养与区域产业结构适配性的主要方面。</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对接地方支柱产业与战略性新兴产业的专业数及在校生占比；专业—产业匹配度指数；近三年专业新增/撤停数；产业急需专业的招生规模。</w:t>
            </w:r>
          </w:p>
        </w:tc>
      </w:tr>
      <w:tr>
        <w:tc>
          <w:tcPr>
            <w:tcW w:type="dxa" w:w="567"/>
            <w:shd w:val="clear" w:color="auto" w:fill="FFFFFF"/>
          </w:tcPr>
          <w:p>
            <w:pPr>
              <w:spacing w:before="40" w:after="40" w:line="260" w:lineRule="exact"/>
              <w:jc w:val="center"/>
            </w:pPr>
            <w:r/>
            <w:r>
              <w:rPr>
                <w:rFonts w:ascii="Times New Roman" w:hAnsi="Times New Roman" w:eastAsia="宋体"/>
                <w:b w:val="0"/>
                <w:i w:val="0"/>
                <w:sz w:val="17"/>
              </w:rPr>
              <w:t>9</w:t>
            </w:r>
          </w:p>
        </w:tc>
        <w:tc>
          <w:tcPr>
            <w:tcW w:type="dxa" w:w="1474"/>
            <w:shd w:val="clear" w:color="auto" w:fill="FFFFFF"/>
          </w:tcPr>
          <w:p>
            <w:pPr>
              <w:spacing w:before="40" w:after="40" w:line="260" w:lineRule="exact"/>
              <w:jc w:val="left"/>
            </w:pPr>
            <w:r/>
            <w:r>
              <w:rPr>
                <w:rFonts w:ascii="Times New Roman" w:hAnsi="Times New Roman" w:eastAsia="黑体"/>
                <w:b/>
                <w:i w:val="0"/>
                <w:sz w:val="17"/>
              </w:rPr>
              <w:t>资源开放频次</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学校的图书馆、实验室要有序向社会开放，实现高校与区域的资源共建共享。</w:t>
            </w:r>
          </w:p>
        </w:tc>
        <w:tc>
          <w:tcPr>
            <w:tcW w:type="dxa" w:w="3515"/>
            <w:shd w:val="clear" w:color="auto" w:fill="FFFFFF"/>
          </w:tcPr>
          <w:p>
            <w:pPr>
              <w:spacing w:before="40" w:after="40" w:line="260" w:lineRule="exact"/>
              <w:jc w:val="left"/>
            </w:pPr>
            <w:r/>
            <w:r>
              <w:rPr>
                <w:rFonts w:ascii="Times New Roman" w:hAnsi="Times New Roman" w:eastAsia="宋体"/>
                <w:b w:val="0"/>
                <w:i w:val="0"/>
                <w:sz w:val="17"/>
              </w:rPr>
              <w:t>图书馆、体育场馆、实验室年度对外开放天数与服务人次；大型仪器设备共享机时与服务企业数；开放共享收入。</w:t>
            </w:r>
          </w:p>
        </w:tc>
      </w:tr>
      <w:tr>
        <w:tc>
          <w:tcPr>
            <w:tcW w:type="dxa" w:w="567"/>
            <w:shd w:val="clear" w:color="auto" w:fill="F2F4F8"/>
          </w:tcPr>
          <w:p>
            <w:pPr>
              <w:spacing w:before="40" w:after="40" w:line="260" w:lineRule="exact"/>
              <w:jc w:val="center"/>
            </w:pPr>
            <w:r/>
            <w:r>
              <w:rPr>
                <w:rFonts w:ascii="Times New Roman" w:hAnsi="Times New Roman" w:eastAsia="宋体"/>
                <w:b w:val="0"/>
                <w:i w:val="0"/>
                <w:sz w:val="17"/>
              </w:rPr>
              <w:t>10</w:t>
            </w:r>
          </w:p>
        </w:tc>
        <w:tc>
          <w:tcPr>
            <w:tcW w:type="dxa" w:w="1474"/>
            <w:shd w:val="clear" w:color="auto" w:fill="F2F4F8"/>
          </w:tcPr>
          <w:p>
            <w:pPr>
              <w:spacing w:before="40" w:after="40" w:line="260" w:lineRule="exact"/>
              <w:jc w:val="left"/>
            </w:pPr>
            <w:r/>
            <w:r>
              <w:rPr>
                <w:rFonts w:ascii="Times New Roman" w:hAnsi="Times New Roman" w:eastAsia="黑体"/>
                <w:b/>
                <w:i w:val="0"/>
                <w:sz w:val="17"/>
              </w:rPr>
              <w:t>派驻专家人数</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派驻专家将高校的智力资源直接嵌入企业生产一线，是产教融合从“机构合作”走向“人员融合”的体现。</w:t>
            </w:r>
          </w:p>
        </w:tc>
        <w:tc>
          <w:tcPr>
            <w:tcW w:type="dxa" w:w="3515"/>
            <w:shd w:val="clear" w:color="auto" w:fill="F2F4F8"/>
          </w:tcPr>
          <w:p>
            <w:pPr>
              <w:spacing w:before="40" w:after="40" w:line="260" w:lineRule="exact"/>
              <w:jc w:val="left"/>
            </w:pPr>
            <w:r/>
            <w:r>
              <w:rPr>
                <w:rFonts w:ascii="Times New Roman" w:hAnsi="Times New Roman" w:eastAsia="宋体"/>
                <w:b w:val="0"/>
                <w:i w:val="0"/>
                <w:sz w:val="17"/>
              </w:rPr>
              <w:t>选派“科技副总”“企业科技特派员”人数；教师企业挂职人数与累计时长；派驻专家所在企业的技术改进与经济效益；“揭榜挂帅”揭榜人次。</w:t>
            </w:r>
          </w:p>
        </w:tc>
      </w:tr>
    </w:tbl>
    <w:p>
      <w:pPr>
        <w:spacing w:before="60" w:after="160"/>
      </w:pPr>
      <w:r>
        <w:rPr>
          <w:rFonts w:ascii="Times New Roman" w:hAnsi="Times New Roman" w:eastAsia="楷体"/>
          <w:b w:val="0"/>
          <w:i w:val="0"/>
          <w:color w:val="555F70"/>
          <w:sz w:val="17"/>
        </w:rPr>
        <w:t>注：第1—3列为论文原文表述；第4列“量化观测点”为本文件依据论文释义及现行高校统计口径整理，供内部对标自检使用，非官方指标。</w:t>
      </w:r>
    </w:p>
    <w:p>
      <w:pPr>
        <w:keepNext/>
        <w:spacing w:before="280" w:after="140" w:line="390" w:lineRule="exact"/>
        <w:outlineLvl w:val="1"/>
      </w:pPr>
      <w:r>
        <w:rPr>
          <w:rFonts w:ascii="Times New Roman" w:hAnsi="Times New Roman" w:eastAsia="黑体"/>
          <w:b/>
          <w:i w:val="0"/>
          <w:color w:val="1F3B73"/>
          <w:sz w:val="26"/>
        </w:rPr>
        <w:t>（二）十大要素逐条释义（原文）</w:t>
      </w:r>
    </w:p>
    <w:p>
      <w:pPr>
        <w:keepNext/>
        <w:spacing w:before="140" w:after="40" w:line="340" w:lineRule="exact"/>
      </w:pPr>
      <w:r>
        <w:rPr>
          <w:rFonts w:ascii="Times New Roman" w:hAnsi="Times New Roman" w:eastAsia="黑体"/>
          <w:b/>
          <w:i w:val="0"/>
          <w:color w:val="1F3B73"/>
          <w:sz w:val="21"/>
        </w:rPr>
        <w:t>一是毕业生留用率。</w:t>
      </w:r>
    </w:p>
    <w:p>
      <w:pPr>
        <w:spacing w:before="0" w:after="40" w:line="360" w:lineRule="exact"/>
        <w:ind w:firstLine="420"/>
      </w:pPr>
      <w:r>
        <w:rPr>
          <w:rFonts w:ascii="Times New Roman" w:hAnsi="Times New Roman" w:eastAsia="宋体"/>
          <w:b w:val="0"/>
          <w:i w:val="0"/>
          <w:sz w:val="21"/>
        </w:rPr>
        <w:t>应届毕业生在学校所在地级市及省内就业的比例是衡量应用型高校服务区域水平最直接的指标，反映了高校人才培养与区域人才需求的适配程度，以及毕业生对区域的认同感和归属感。较高的毕业生留用率意味着这所高校培养的人才与区域发展需求的适配度较高。</w:t>
      </w:r>
    </w:p>
    <w:p>
      <w:pPr>
        <w:keepNext/>
        <w:spacing w:before="140" w:after="40" w:line="340" w:lineRule="exact"/>
      </w:pPr>
      <w:r>
        <w:rPr>
          <w:rFonts w:ascii="Times New Roman" w:hAnsi="Times New Roman" w:eastAsia="黑体"/>
          <w:b/>
          <w:i w:val="0"/>
          <w:color w:val="1F3B73"/>
          <w:sz w:val="21"/>
        </w:rPr>
        <w:t>二是共建平台数量。</w:t>
      </w:r>
    </w:p>
    <w:p>
      <w:pPr>
        <w:spacing w:before="0" w:after="40" w:line="360" w:lineRule="exact"/>
        <w:ind w:firstLine="420"/>
      </w:pPr>
      <w:r>
        <w:rPr>
          <w:rFonts w:ascii="Times New Roman" w:hAnsi="Times New Roman" w:eastAsia="宋体"/>
          <w:b w:val="0"/>
          <w:i w:val="0"/>
          <w:sz w:val="21"/>
        </w:rPr>
        <w:t>与地方政府或企业共同组建的实验室、工程技术中心及科技园数量是应用型高校实现产教融合的主要途径，其数量和质量反映了高校与区域产业合作的深度和稳定性。</w:t>
      </w:r>
    </w:p>
    <w:p>
      <w:pPr>
        <w:keepNext/>
        <w:spacing w:before="140" w:after="40" w:line="340" w:lineRule="exact"/>
      </w:pPr>
      <w:r>
        <w:rPr>
          <w:rFonts w:ascii="Times New Roman" w:hAnsi="Times New Roman" w:eastAsia="黑体"/>
          <w:b/>
          <w:i w:val="0"/>
          <w:color w:val="1F3B73"/>
          <w:sz w:val="21"/>
        </w:rPr>
        <w:t>三是技术合同数额。</w:t>
      </w:r>
    </w:p>
    <w:p>
      <w:pPr>
        <w:spacing w:before="0" w:after="40" w:line="360" w:lineRule="exact"/>
        <w:ind w:firstLine="420"/>
      </w:pPr>
      <w:r>
        <w:rPr>
          <w:rFonts w:ascii="Times New Roman" w:hAnsi="Times New Roman" w:eastAsia="宋体"/>
          <w:b w:val="0"/>
          <w:i w:val="0"/>
          <w:sz w:val="21"/>
        </w:rPr>
        <w:t>应用型高校应该走出“重纵向轻横向”的误区，将服务地方企业技术发展需求作为科研活动的主要方向。与纵向科研经费不同，横向经费完全源于市场委托，其规模和增长反映了企业在多大程度上认可高校的技术服务能力。</w:t>
      </w:r>
    </w:p>
    <w:p>
      <w:pPr>
        <w:keepNext/>
        <w:spacing w:before="140" w:after="40" w:line="340" w:lineRule="exact"/>
      </w:pPr>
      <w:r>
        <w:rPr>
          <w:rFonts w:ascii="Times New Roman" w:hAnsi="Times New Roman" w:eastAsia="黑体"/>
          <w:b/>
          <w:i w:val="0"/>
          <w:color w:val="1F3B73"/>
          <w:sz w:val="21"/>
        </w:rPr>
        <w:t>四是成果转化收益。</w:t>
      </w:r>
    </w:p>
    <w:p>
      <w:pPr>
        <w:spacing w:before="0" w:after="40" w:line="360" w:lineRule="exact"/>
        <w:ind w:firstLine="420"/>
      </w:pPr>
      <w:r>
        <w:rPr>
          <w:rFonts w:ascii="Times New Roman" w:hAnsi="Times New Roman" w:eastAsia="宋体"/>
          <w:b w:val="0"/>
          <w:i w:val="0"/>
          <w:sz w:val="21"/>
        </w:rPr>
        <w:t>成果转化收益不仅是经济指标，更是衡量高校与产业界知识耦合深度的核心标尺。从知识转移理论看，大学的知识只有实现向产业界的有效转移，才能转化为现实生产力。应用型高校要建立健全知识产权管理和技术转移体系，打通从实验室到工厂的“最后一公里”。</w:t>
      </w:r>
    </w:p>
    <w:p>
      <w:pPr>
        <w:keepNext/>
        <w:spacing w:before="140" w:after="40" w:line="340" w:lineRule="exact"/>
      </w:pPr>
      <w:r>
        <w:rPr>
          <w:rFonts w:ascii="Times New Roman" w:hAnsi="Times New Roman" w:eastAsia="黑体"/>
          <w:b/>
          <w:i w:val="0"/>
          <w:color w:val="1F3B73"/>
          <w:sz w:val="21"/>
        </w:rPr>
        <w:t>五是社会培训人次。</w:t>
      </w:r>
    </w:p>
    <w:p>
      <w:pPr>
        <w:spacing w:before="0" w:after="40" w:line="360" w:lineRule="exact"/>
        <w:ind w:firstLine="420"/>
      </w:pPr>
      <w:r>
        <w:rPr>
          <w:rFonts w:ascii="Times New Roman" w:hAnsi="Times New Roman" w:eastAsia="宋体"/>
          <w:b w:val="0"/>
          <w:i w:val="0"/>
          <w:sz w:val="21"/>
        </w:rPr>
        <w:t>在终身学习时代，高校的社会培训功能的重要性日益突出。对于应用型高校而言，社会培训是与区域社会建立广泛联系的重要纽带。这就要求应用型高校拓展非学历教育，向社会各类群体提供多样化的学习机会，这在技术加速更新以及终身学习时代更显重要。</w:t>
      </w:r>
    </w:p>
    <w:p>
      <w:pPr>
        <w:keepNext/>
        <w:spacing w:before="140" w:after="40" w:line="340" w:lineRule="exact"/>
      </w:pPr>
      <w:r>
        <w:rPr>
          <w:rFonts w:ascii="Times New Roman" w:hAnsi="Times New Roman" w:eastAsia="黑体"/>
          <w:b/>
          <w:i w:val="0"/>
          <w:color w:val="1F3B73"/>
          <w:sz w:val="21"/>
        </w:rPr>
        <w:t>六是智库成果采纳。</w:t>
      </w:r>
    </w:p>
    <w:p>
      <w:pPr>
        <w:spacing w:before="0" w:after="40" w:line="360" w:lineRule="exact"/>
        <w:ind w:firstLine="420"/>
      </w:pPr>
      <w:r>
        <w:rPr>
          <w:rFonts w:ascii="Times New Roman" w:hAnsi="Times New Roman" w:eastAsia="宋体"/>
          <w:b w:val="0"/>
          <w:i w:val="0"/>
          <w:sz w:val="21"/>
        </w:rPr>
        <w:t>应用型高校扎根地方，对区域发展中的实际问题有着天然的研究优势。因此，应用型高校应将研究目光投向区域发展中的重大现实问题，为地方政府决策提供智力支持，实现从“学术研究”向“决策咨询”的功能拓展。</w:t>
      </w:r>
    </w:p>
    <w:p>
      <w:pPr>
        <w:keepNext/>
        <w:spacing w:before="140" w:after="40" w:line="340" w:lineRule="exact"/>
      </w:pPr>
      <w:r>
        <w:rPr>
          <w:rFonts w:ascii="Times New Roman" w:hAnsi="Times New Roman" w:eastAsia="黑体"/>
          <w:b/>
          <w:i w:val="0"/>
          <w:color w:val="1F3B73"/>
          <w:sz w:val="21"/>
        </w:rPr>
        <w:t>七是服务地方人才引育。</w:t>
      </w:r>
    </w:p>
    <w:p>
      <w:pPr>
        <w:spacing w:before="0" w:after="40" w:line="360" w:lineRule="exact"/>
        <w:ind w:firstLine="420"/>
      </w:pPr>
      <w:r>
        <w:rPr>
          <w:rFonts w:ascii="Times New Roman" w:hAnsi="Times New Roman" w:eastAsia="宋体"/>
          <w:b w:val="0"/>
          <w:i w:val="0"/>
          <w:sz w:val="21"/>
        </w:rPr>
        <w:t>高校是区域人才高地建设的核心载体。应用型高校引进高层次人才，不仅提升了自身办学水平，也为区域产业发展提供了高端智力支持，体现了应用型高校在区域的人才中心地位。</w:t>
      </w:r>
    </w:p>
    <w:p>
      <w:pPr>
        <w:keepNext/>
        <w:spacing w:before="140" w:after="40" w:line="340" w:lineRule="exact"/>
      </w:pPr>
      <w:r>
        <w:rPr>
          <w:rFonts w:ascii="Times New Roman" w:hAnsi="Times New Roman" w:eastAsia="黑体"/>
          <w:b/>
          <w:i w:val="0"/>
          <w:color w:val="1F3B73"/>
          <w:sz w:val="21"/>
        </w:rPr>
        <w:t>八是专业产业支持度。</w:t>
      </w:r>
    </w:p>
    <w:p>
      <w:pPr>
        <w:spacing w:before="0" w:after="40" w:line="360" w:lineRule="exact"/>
        <w:ind w:firstLine="420"/>
      </w:pPr>
      <w:r>
        <w:rPr>
          <w:rFonts w:ascii="Times New Roman" w:hAnsi="Times New Roman" w:eastAsia="宋体"/>
          <w:b w:val="0"/>
          <w:i w:val="0"/>
          <w:sz w:val="21"/>
        </w:rPr>
        <w:t>学校专业设置对地方支柱产业、战略性新兴产业的支持程度，是衡量应用型高校人才培养与区域产业结构适配性的主要方面。应用型高校要建立专业动态调整机制，根据区域产业结构变化及时优化专业布局，实现从“有什么教师开什么课”向“产业需要什么样的人才就培养什么样的人才”的根本转变。</w:t>
      </w:r>
    </w:p>
    <w:p>
      <w:pPr>
        <w:keepNext/>
        <w:spacing w:before="140" w:after="40" w:line="340" w:lineRule="exact"/>
      </w:pPr>
      <w:r>
        <w:rPr>
          <w:rFonts w:ascii="Times New Roman" w:hAnsi="Times New Roman" w:eastAsia="黑体"/>
          <w:b/>
          <w:i w:val="0"/>
          <w:color w:val="1F3B73"/>
          <w:sz w:val="21"/>
        </w:rPr>
        <w:t>九是资源开放频次。</w:t>
      </w:r>
    </w:p>
    <w:p>
      <w:pPr>
        <w:spacing w:before="0" w:after="40" w:line="360" w:lineRule="exact"/>
        <w:ind w:firstLine="420"/>
      </w:pPr>
      <w:r>
        <w:rPr>
          <w:rFonts w:ascii="Times New Roman" w:hAnsi="Times New Roman" w:eastAsia="宋体"/>
          <w:b w:val="0"/>
          <w:i w:val="0"/>
          <w:sz w:val="21"/>
        </w:rPr>
        <w:t>大学资源不应是封闭的校有资产，而应成为区域社会的公共财富。学校的图书馆、实验室要有序向社会开放。这一指标引导应用型高校拆除“围墙”，实现高校与区域的资源共建共享，服务社会、提高效益。</w:t>
      </w:r>
    </w:p>
    <w:p>
      <w:pPr>
        <w:keepNext/>
        <w:spacing w:before="140" w:after="40" w:line="340" w:lineRule="exact"/>
      </w:pPr>
      <w:r>
        <w:rPr>
          <w:rFonts w:ascii="Times New Roman" w:hAnsi="Times New Roman" w:eastAsia="黑体"/>
          <w:b/>
          <w:i w:val="0"/>
          <w:color w:val="1F3B73"/>
          <w:sz w:val="21"/>
        </w:rPr>
        <w:t>十是派驻专家人数。</w:t>
      </w:r>
    </w:p>
    <w:p>
      <w:pPr>
        <w:spacing w:before="0" w:after="40" w:line="360" w:lineRule="exact"/>
        <w:ind w:firstLine="420"/>
      </w:pPr>
      <w:r>
        <w:rPr>
          <w:rFonts w:ascii="Times New Roman" w:hAnsi="Times New Roman" w:eastAsia="宋体"/>
          <w:b w:val="0"/>
          <w:i w:val="0"/>
          <w:sz w:val="21"/>
        </w:rPr>
        <w:t>派驻专家将高校的智力资源直接嵌入企业生产一线，实现从“坐而论道”向“起而行之”的服务模式转变，是产教融合从“机构合作”走向“人员融合”的体现。</w:t>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四、二十个关键要素的转化与统一</w:t>
      </w:r>
    </w:p>
    <w:p>
      <w:pPr>
        <w:keepNext/>
        <w:spacing w:before="280" w:after="140" w:line="390" w:lineRule="exact"/>
        <w:outlineLvl w:val="1"/>
      </w:pPr>
      <w:r>
        <w:rPr>
          <w:rFonts w:ascii="Times New Roman" w:hAnsi="Times New Roman" w:eastAsia="黑体"/>
          <w:b/>
          <w:i w:val="0"/>
          <w:color w:val="1F3B73"/>
          <w:sz w:val="26"/>
        </w:rPr>
        <w:t>（一）互为因果的逻辑整体与“三个统一”</w:t>
      </w:r>
    </w:p>
    <w:p>
      <w:pPr>
        <w:spacing w:before="0" w:after="80" w:line="360" w:lineRule="exact"/>
        <w:ind w:firstLine="420"/>
      </w:pPr>
      <w:r>
        <w:rPr>
          <w:rFonts w:ascii="Times New Roman" w:hAnsi="Times New Roman" w:eastAsia="宋体"/>
          <w:b w:val="0"/>
          <w:i w:val="0"/>
          <w:sz w:val="21"/>
        </w:rPr>
        <w:t>综观上述二十个关键要素，优质办学与优秀服务构成了一个相互支撑、互为因果的逻辑整体。优质办学是优秀服务的基础，没有高素质师资队伍、科学的学科布局、完善的治理体系，就难以产生高质量的技术服务和人才供给；优秀服务是优质办学的价值体现，毕业生留用率、技术合同成交额、成果转化收益等外部贡献指标，最终检验了办学质量的实际成效。</w:t>
      </w:r>
    </w:p>
    <w:p>
      <w:pPr>
        <w:spacing w:before="0" w:after="80" w:line="360" w:lineRule="exact"/>
        <w:ind w:firstLine="420"/>
      </w:pPr>
      <w:r>
        <w:rPr>
          <w:rFonts w:ascii="Times New Roman" w:hAnsi="Times New Roman" w:eastAsia="宋体"/>
          <w:b w:val="0"/>
          <w:i w:val="0"/>
          <w:sz w:val="21"/>
        </w:rPr>
        <w:t>优质办学与优秀服务的二十个关键要素，还体现了“双优”工程内外的统一性，即以下“三个统一”。这三个统一，是应用型高校评价体系去“研究型大学依附”的关键所在，也是“双优”工程区别于传统教育工程的根本特征。</w:t>
      </w:r>
    </w:p>
    <w:tbl>
      <w:tblPr>
        <w:tblW w:type="auto" w:w="0"/>
        <w:tblBorders>
          <w:top w:val="single" w:sz="4" w:space="0" w:color="9AA7BF"/>
          <w:left w:val="single" w:sz="4" w:space="0" w:color="9AA7BF"/>
          <w:bottom w:val="single" w:sz="4" w:space="0" w:color="9AA7BF"/>
          <w:right w:val="single" w:sz="4" w:space="0" w:color="9AA7BF"/>
          <w:insideH w:val="single" w:sz="4" w:space="0" w:color="9AA7BF"/>
          <w:insideV w:val="single" w:sz="4" w:space="0" w:color="9AA7BF"/>
        </w:tblBorders>
        <w:tblLook w:firstColumn="1" w:firstRow="1" w:lastColumn="0" w:lastRow="0" w:noHBand="0" w:noVBand="1" w:val="04A0"/>
      </w:tblPr>
      <w:tblGrid>
        <w:gridCol w:w="4535"/>
        <w:gridCol w:w="4535"/>
      </w:tblGrid>
      <w:tr>
        <w:trPr>
          <w:tblHeader w:val="true"/>
        </w:trPr>
        <w:tc>
          <w:tcPr>
            <w:tcW w:type="dxa" w:w="2608"/>
            <w:shd w:val="clear" w:color="auto" w:fill="1F3B73"/>
          </w:tcPr>
          <w:p>
            <w:pPr>
              <w:spacing w:before="40" w:after="40" w:line="260" w:lineRule="exact"/>
              <w:jc w:val="center"/>
            </w:pPr>
            <w:r/>
            <w:r>
              <w:rPr>
                <w:rFonts w:ascii="Times New Roman" w:hAnsi="Times New Roman" w:eastAsia="黑体"/>
                <w:b/>
                <w:i w:val="0"/>
                <w:color w:val="FFFFFF"/>
                <w:sz w:val="19"/>
              </w:rPr>
              <w:t>“三个统一”</w:t>
            </w:r>
          </w:p>
        </w:tc>
        <w:tc>
          <w:tcPr>
            <w:tcW w:type="dxa" w:w="6463"/>
            <w:shd w:val="clear" w:color="auto" w:fill="1F3B73"/>
          </w:tcPr>
          <w:p>
            <w:pPr>
              <w:spacing w:before="40" w:after="40" w:line="260" w:lineRule="exact"/>
              <w:jc w:val="center"/>
            </w:pPr>
            <w:r/>
            <w:r>
              <w:rPr>
                <w:rFonts w:ascii="Times New Roman" w:hAnsi="Times New Roman" w:eastAsia="黑体"/>
                <w:b/>
                <w:i w:val="0"/>
                <w:color w:val="FFFFFF"/>
                <w:sz w:val="19"/>
              </w:rPr>
              <w:t>内涵（原文）</w:t>
            </w:r>
          </w:p>
        </w:tc>
      </w:tr>
      <w:tr>
        <w:tc>
          <w:tcPr>
            <w:tcW w:type="dxa" w:w="2608"/>
            <w:shd w:val="clear" w:color="auto" w:fill="FFFFFF"/>
          </w:tcPr>
          <w:p>
            <w:pPr>
              <w:spacing w:before="40" w:after="40" w:line="260" w:lineRule="exact"/>
              <w:jc w:val="left"/>
            </w:pPr>
            <w:r/>
            <w:r>
              <w:rPr>
                <w:rFonts w:ascii="Times New Roman" w:hAnsi="Times New Roman" w:eastAsia="黑体"/>
                <w:b/>
                <w:i w:val="0"/>
                <w:sz w:val="18"/>
              </w:rPr>
              <w:t>“投入导向”与“产出导向”的统一</w:t>
            </w:r>
          </w:p>
        </w:tc>
        <w:tc>
          <w:tcPr>
            <w:tcW w:type="dxa" w:w="6463"/>
            <w:shd w:val="clear" w:color="auto" w:fill="FFFFFF"/>
          </w:tcPr>
          <w:p>
            <w:pPr>
              <w:spacing w:before="40" w:after="40" w:line="260" w:lineRule="exact"/>
              <w:jc w:val="left"/>
            </w:pPr>
            <w:r/>
            <w:r>
              <w:rPr>
                <w:rFonts w:ascii="Times New Roman" w:hAnsi="Times New Roman" w:eastAsia="宋体"/>
                <w:b w:val="0"/>
                <w:i w:val="0"/>
                <w:sz w:val="18"/>
              </w:rPr>
              <w:t>以区域需求配置优质资源，以产出质量调整专业结构，以服务贡献检验办学成效。</w:t>
            </w:r>
          </w:p>
        </w:tc>
      </w:tr>
      <w:tr>
        <w:tc>
          <w:tcPr>
            <w:tcW w:type="dxa" w:w="2608"/>
            <w:shd w:val="clear" w:color="auto" w:fill="F2F4F8"/>
          </w:tcPr>
          <w:p>
            <w:pPr>
              <w:spacing w:before="40" w:after="40" w:line="260" w:lineRule="exact"/>
              <w:jc w:val="left"/>
            </w:pPr>
            <w:r/>
            <w:r>
              <w:rPr>
                <w:rFonts w:ascii="Times New Roman" w:hAnsi="Times New Roman" w:eastAsia="黑体"/>
                <w:b/>
                <w:i w:val="0"/>
                <w:sz w:val="18"/>
              </w:rPr>
              <w:t>“内部评价”与“外部评价”的统一</w:t>
            </w:r>
          </w:p>
        </w:tc>
        <w:tc>
          <w:tcPr>
            <w:tcW w:type="dxa" w:w="6463"/>
            <w:shd w:val="clear" w:color="auto" w:fill="F2F4F8"/>
          </w:tcPr>
          <w:p>
            <w:pPr>
              <w:spacing w:before="40" w:after="40" w:line="260" w:lineRule="exact"/>
              <w:jc w:val="left"/>
            </w:pPr>
            <w:r/>
            <w:r>
              <w:rPr>
                <w:rFonts w:ascii="Times New Roman" w:hAnsi="Times New Roman" w:eastAsia="宋体"/>
                <w:b w:val="0"/>
                <w:i w:val="0"/>
                <w:sz w:val="18"/>
              </w:rPr>
              <w:t>在内部质量评价的基础上，重视用人单位反馈、第三方评价等外部评价。</w:t>
            </w:r>
          </w:p>
        </w:tc>
      </w:tr>
      <w:tr>
        <w:tc>
          <w:tcPr>
            <w:tcW w:type="dxa" w:w="2608"/>
            <w:shd w:val="clear" w:color="auto" w:fill="FFFFFF"/>
          </w:tcPr>
          <w:p>
            <w:pPr>
              <w:spacing w:before="40" w:after="40" w:line="260" w:lineRule="exact"/>
              <w:jc w:val="left"/>
            </w:pPr>
            <w:r/>
            <w:r>
              <w:rPr>
                <w:rFonts w:ascii="Times New Roman" w:hAnsi="Times New Roman" w:eastAsia="黑体"/>
                <w:b/>
                <w:i w:val="0"/>
                <w:sz w:val="18"/>
              </w:rPr>
              <w:t>“学术标准”与“应用标准”的统一</w:t>
            </w:r>
          </w:p>
        </w:tc>
        <w:tc>
          <w:tcPr>
            <w:tcW w:type="dxa" w:w="6463"/>
            <w:shd w:val="clear" w:color="auto" w:fill="FFFFFF"/>
          </w:tcPr>
          <w:p>
            <w:pPr>
              <w:spacing w:before="40" w:after="40" w:line="260" w:lineRule="exact"/>
              <w:jc w:val="left"/>
            </w:pPr>
            <w:r/>
            <w:r>
              <w:rPr>
                <w:rFonts w:ascii="Times New Roman" w:hAnsi="Times New Roman" w:eastAsia="宋体"/>
                <w:b w:val="0"/>
                <w:i w:val="0"/>
                <w:sz w:val="18"/>
              </w:rPr>
              <w:t>将学术指标聚焦于解决产业实际问题的应用研究能力，以技术攻关实效、工艺改进水平、解决复杂工程问题能力作为衡量学术深度与广度的新标准，实现学术与应用的同生共长。</w:t>
            </w:r>
          </w:p>
        </w:tc>
      </w:tr>
    </w:tbl>
    <w:p>
      <w:pPr>
        <w:spacing w:before="40" w:after="160" w:line="260" w:lineRule="exact"/>
        <w:ind w:left="240"/>
      </w:pPr>
      <w:r>
        <w:rPr>
          <w:rFonts w:ascii="Times New Roman" w:hAnsi="Times New Roman" w:eastAsia="楷体"/>
          <w:b w:val="0"/>
          <w:i w:val="0"/>
          <w:color w:val="555F70"/>
          <w:sz w:val="17"/>
        </w:rPr>
        <w:t>【来源】瞿振元, 蔺跟荣（2026），原文第13—14页。</w:t>
      </w:r>
    </w:p>
    <w:p>
      <w:pPr>
        <w:keepNext/>
        <w:spacing w:before="280" w:after="140" w:line="390" w:lineRule="exact"/>
        <w:outlineLvl w:val="1"/>
      </w:pPr>
      <w:r>
        <w:rPr>
          <w:rFonts w:ascii="Times New Roman" w:hAnsi="Times New Roman" w:eastAsia="黑体"/>
          <w:b/>
          <w:i w:val="0"/>
          <w:color w:val="1F3B73"/>
          <w:sz w:val="26"/>
        </w:rPr>
        <w:t>（二）配套推进的六个重要事项</w:t>
      </w:r>
    </w:p>
    <w:p>
      <w:pPr>
        <w:spacing w:before="0" w:after="80" w:line="360" w:lineRule="exact"/>
        <w:ind w:firstLine="420"/>
      </w:pPr>
      <w:r>
        <w:rPr>
          <w:rFonts w:ascii="Times New Roman" w:hAnsi="Times New Roman" w:eastAsia="宋体"/>
          <w:b w:val="0"/>
          <w:i w:val="0"/>
          <w:sz w:val="21"/>
        </w:rPr>
        <w:t>论文同时提出，当前推进“双优”工程建设应当抓好六件事，可视为二十个要素落地的“施工图”：</w:t>
      </w:r>
    </w:p>
    <w:p>
      <w:pPr>
        <w:spacing w:before="80" w:after="40" w:line="340" w:lineRule="exact"/>
        <w:ind w:left="420" w:hanging="420"/>
      </w:pPr>
      <w:r>
        <w:rPr>
          <w:rFonts w:ascii="Times New Roman" w:hAnsi="Times New Roman" w:eastAsia="黑体"/>
          <w:b/>
          <w:i w:val="0"/>
          <w:color w:val="1F3B73"/>
          <w:sz w:val="20"/>
        </w:rPr>
        <w:t xml:space="preserve">1. 明确地方性应用型办学定位　</w:t>
      </w:r>
      <w:r>
        <w:rPr>
          <w:rFonts w:ascii="Times New Roman" w:hAnsi="Times New Roman" w:eastAsia="宋体"/>
          <w:b w:val="0"/>
          <w:i w:val="0"/>
          <w:sz w:val="20"/>
        </w:rPr>
        <w:t>实现四个“契合”：学科专业与区域经济社会发展需求契合、人才培养与区域行业产业人才需求契合、人才高地建设与区域创新建设契合、社会服务与区域文化和特色发展契合。</w:t>
      </w:r>
    </w:p>
    <w:p>
      <w:pPr>
        <w:spacing w:before="80" w:after="40" w:line="340" w:lineRule="exact"/>
        <w:ind w:left="420" w:hanging="420"/>
      </w:pPr>
      <w:r>
        <w:rPr>
          <w:rFonts w:ascii="Times New Roman" w:hAnsi="Times New Roman" w:eastAsia="黑体"/>
          <w:b/>
          <w:i w:val="0"/>
          <w:color w:val="1F3B73"/>
          <w:sz w:val="20"/>
        </w:rPr>
        <w:t xml:space="preserve">2. 构建全过程产教协同人才培养模式　</w:t>
      </w:r>
      <w:r>
        <w:rPr>
          <w:rFonts w:ascii="Times New Roman" w:hAnsi="Times New Roman" w:eastAsia="宋体"/>
          <w:b w:val="0"/>
          <w:i w:val="0"/>
          <w:sz w:val="20"/>
        </w:rPr>
        <w:t>将企业真实项目转化为学生学习与研究课题，企业技术难题转化为教师科研选题；产教协同贯穿招生、培养、就业全周期。现代产业学院是重要探索。</w:t>
      </w:r>
    </w:p>
    <w:p>
      <w:pPr>
        <w:spacing w:before="80" w:after="40" w:line="340" w:lineRule="exact"/>
        <w:ind w:left="420" w:hanging="420"/>
      </w:pPr>
      <w:r>
        <w:rPr>
          <w:rFonts w:ascii="Times New Roman" w:hAnsi="Times New Roman" w:eastAsia="黑体"/>
          <w:b/>
          <w:i w:val="0"/>
          <w:color w:val="1F3B73"/>
          <w:sz w:val="20"/>
        </w:rPr>
        <w:t xml:space="preserve">3. 加强“双师双能型”教师队伍建设　</w:t>
      </w:r>
      <w:r>
        <w:rPr>
          <w:rFonts w:ascii="Times New Roman" w:hAnsi="Times New Roman" w:eastAsia="宋体"/>
          <w:b w:val="0"/>
          <w:i w:val="0"/>
          <w:sz w:val="20"/>
        </w:rPr>
        <w:t>建立认定条件和评价标准；实施“教师企业实践必修制度”（青年教师每3～5年累计不少于6个月企业实践）；设立“产业教授”岗位；对艺术、体育、医药卫生等不同学科应有不同标准，不能“一刀切”。</w:t>
      </w:r>
    </w:p>
    <w:p>
      <w:pPr>
        <w:spacing w:before="80" w:after="40" w:line="340" w:lineRule="exact"/>
        <w:ind w:left="420" w:hanging="420"/>
      </w:pPr>
      <w:r>
        <w:rPr>
          <w:rFonts w:ascii="Times New Roman" w:hAnsi="Times New Roman" w:eastAsia="黑体"/>
          <w:b/>
          <w:i w:val="0"/>
          <w:color w:val="1F3B73"/>
          <w:sz w:val="20"/>
        </w:rPr>
        <w:t xml:space="preserve">4. 以多元合作平台深化区域合作　</w:t>
      </w:r>
      <w:r>
        <w:rPr>
          <w:rFonts w:ascii="Times New Roman" w:hAnsi="Times New Roman" w:eastAsia="宋体"/>
          <w:b w:val="0"/>
          <w:i w:val="0"/>
          <w:sz w:val="20"/>
        </w:rPr>
        <w:t>建设技术转移中心、大学科技园/众创空间、教师教育培训、医疗卫生服务、农业科技小院、新型智库、地方研究院等平台；推行“揭榜挂帅”，形成“政府征题、企业出题、高校接题、师生解题”；鼓励教师任“科技副总”。</w:t>
      </w:r>
    </w:p>
    <w:p>
      <w:pPr>
        <w:spacing w:before="80" w:after="40" w:line="340" w:lineRule="exact"/>
        <w:ind w:left="420" w:hanging="420"/>
      </w:pPr>
      <w:r>
        <w:rPr>
          <w:rFonts w:ascii="Times New Roman" w:hAnsi="Times New Roman" w:eastAsia="黑体"/>
          <w:b/>
          <w:i w:val="0"/>
          <w:color w:val="1F3B73"/>
          <w:sz w:val="20"/>
        </w:rPr>
        <w:t xml:space="preserve">5. 加强应用型高校的研究生教育　</w:t>
      </w:r>
      <w:r>
        <w:rPr>
          <w:rFonts w:ascii="Times New Roman" w:hAnsi="Times New Roman" w:eastAsia="宋体"/>
          <w:b w:val="0"/>
          <w:i w:val="0"/>
          <w:sz w:val="20"/>
        </w:rPr>
        <w:t>着力加强专业硕士、专业博士学位点建设；坚持实践导向，以项目成果、技术专利、解决方案作为学位评定重要依据；实行“校内导师+企业导师”双导师制。</w:t>
      </w:r>
    </w:p>
    <w:p>
      <w:pPr>
        <w:spacing w:before="80" w:after="40" w:line="340" w:lineRule="exact"/>
        <w:ind w:left="420" w:hanging="420"/>
      </w:pPr>
      <w:r>
        <w:rPr>
          <w:rFonts w:ascii="Times New Roman" w:hAnsi="Times New Roman" w:eastAsia="黑体"/>
          <w:b/>
          <w:i w:val="0"/>
          <w:color w:val="1F3B73"/>
          <w:sz w:val="20"/>
        </w:rPr>
        <w:t xml:space="preserve">6. 构建新型治理体系，理顺政校关系　</w:t>
      </w:r>
      <w:r>
        <w:rPr>
          <w:rFonts w:ascii="Times New Roman" w:hAnsi="Times New Roman" w:eastAsia="宋体"/>
          <w:b w:val="0"/>
          <w:i w:val="0"/>
          <w:sz w:val="20"/>
        </w:rPr>
        <w:t>构建“国家主导、省级主责、学校主体”的三级联动治理模式：中央出标准、出政策、出资金；省市明晰区域教育布局与分类发展定位；学校主动争取发展条件。</w:t>
      </w:r>
    </w:p>
    <w:p>
      <w:pPr>
        <w:spacing w:before="40" w:after="160" w:line="260" w:lineRule="exact"/>
        <w:ind w:left="240"/>
      </w:pPr>
      <w:r>
        <w:rPr>
          <w:rFonts w:ascii="Times New Roman" w:hAnsi="Times New Roman" w:eastAsia="楷体"/>
          <w:b w:val="0"/>
          <w:i w:val="0"/>
          <w:color w:val="555F70"/>
          <w:sz w:val="17"/>
        </w:rPr>
        <w:t>【来源】瞿振元, 蔺跟荣（2026），原文第14—17页。</w:t>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五、学界提出的补充性评价框架与指标</w:t>
      </w:r>
    </w:p>
    <w:p>
      <w:pPr>
        <w:spacing w:before="0" w:after="80" w:line="360" w:lineRule="exact"/>
        <w:ind w:firstLine="420"/>
      </w:pPr>
      <w:r>
        <w:rPr>
          <w:rFonts w:ascii="Times New Roman" w:hAnsi="Times New Roman" w:eastAsia="宋体"/>
          <w:b w:val="0"/>
          <w:i w:val="0"/>
          <w:sz w:val="21"/>
        </w:rPr>
        <w:t>除瞿振元、蔺跟荣提出的二十个关键要素外，2026年已有多位学者从不同角度提出“双优”评价的维度与指标。这些属于学术研究成果，尚未进入官方文件，但对理解未来指标走向具有参考价值。</w:t>
      </w:r>
    </w:p>
    <w:p>
      <w:pPr>
        <w:keepNext/>
        <w:spacing w:before="280" w:after="140" w:line="390" w:lineRule="exact"/>
        <w:outlineLvl w:val="1"/>
      </w:pPr>
      <w:r>
        <w:rPr>
          <w:rFonts w:ascii="Times New Roman" w:hAnsi="Times New Roman" w:eastAsia="黑体"/>
          <w:b/>
          <w:i w:val="0"/>
          <w:color w:val="1F3B73"/>
          <w:sz w:val="26"/>
        </w:rPr>
        <w:t>（一）王洪才、王惠：“双优”评价模式的五维要求与三个逻辑环节</w:t>
      </w:r>
    </w:p>
    <w:p>
      <w:pPr>
        <w:spacing w:before="0" w:after="80" w:line="360" w:lineRule="exact"/>
        <w:ind w:firstLine="420"/>
      </w:pPr>
      <w:r>
        <w:rPr>
          <w:rFonts w:ascii="Times New Roman" w:hAnsi="Times New Roman" w:eastAsia="宋体"/>
          <w:b w:val="0"/>
          <w:i w:val="0"/>
          <w:sz w:val="21"/>
        </w:rPr>
        <w:t>浙江师范大学王洪才、厦门大学嘉庚学院王惠指出，“双优”政策一旦落地将对半数以上的高校发展产生重大影响，因此政策的创新性、科学性、合理性、有效性、可行性五维都至关重要。这五个维度实际上给出了评判“双优”指标体系本身是否站得住的标准：</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创新性　</w:t>
      </w:r>
      <w:r>
        <w:rPr>
          <w:rFonts w:ascii="Times New Roman" w:hAnsi="Times New Roman" w:eastAsia="宋体"/>
          <w:b w:val="0"/>
          <w:i w:val="0"/>
          <w:sz w:val="20"/>
        </w:rPr>
        <w:t>“双优”评价必须与“双一流”“双高”有明确区别，否则失去分类意义。</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科学性　</w:t>
      </w:r>
      <w:r>
        <w:rPr>
          <w:rFonts w:ascii="Times New Roman" w:hAnsi="Times New Roman" w:eastAsia="宋体"/>
          <w:b w:val="0"/>
          <w:i w:val="0"/>
          <w:sz w:val="20"/>
        </w:rPr>
        <w:t>指标构建必须基于应用型高校自身特质，即必须以社会服务为导向，从应用型人才培养根本目标出发。</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合理性　</w:t>
      </w:r>
      <w:r>
        <w:rPr>
          <w:rFonts w:ascii="Times New Roman" w:hAnsi="Times New Roman" w:eastAsia="宋体"/>
          <w:b w:val="0"/>
          <w:i w:val="0"/>
          <w:sz w:val="20"/>
        </w:rPr>
        <w:t>“双优”建设必须从应用型科研方面进行突破，其核心是抓好教学创新型师资建设。</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有效性　</w:t>
      </w:r>
      <w:r>
        <w:rPr>
          <w:rFonts w:ascii="Times New Roman" w:hAnsi="Times New Roman" w:eastAsia="宋体"/>
          <w:b w:val="0"/>
          <w:i w:val="0"/>
          <w:sz w:val="20"/>
        </w:rPr>
        <w:t>促进产教融合是“双优”评价目的所在，达成机制协同是有效基础。</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可行性　</w:t>
      </w:r>
      <w:r>
        <w:rPr>
          <w:rFonts w:ascii="Times New Roman" w:hAnsi="Times New Roman" w:eastAsia="宋体"/>
          <w:b w:val="0"/>
          <w:i w:val="0"/>
          <w:sz w:val="20"/>
        </w:rPr>
        <w:t>需要从总结现代产业学院建设的成功经验出发，摸索出一套行之有效的措施。</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逻辑起点　</w:t>
      </w:r>
      <w:r>
        <w:rPr>
          <w:rFonts w:ascii="Times New Roman" w:hAnsi="Times New Roman" w:eastAsia="宋体"/>
          <w:b w:val="0"/>
          <w:i w:val="0"/>
          <w:sz w:val="20"/>
        </w:rPr>
        <w:t>确立社会服务理念——当服务区域社会经济发展作为评价应用型高校办学水平的核心指标时，可谓抓住了关键。</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逻辑中介　</w:t>
      </w:r>
      <w:r>
        <w:rPr>
          <w:rFonts w:ascii="Times New Roman" w:hAnsi="Times New Roman" w:eastAsia="宋体"/>
          <w:b w:val="0"/>
          <w:i w:val="0"/>
          <w:sz w:val="20"/>
        </w:rPr>
        <w:t>必须搞好应用型科研——以解决企业发展过程中的技术难题为导向，不以论文发表为导向；科研能否取得实效是对科研能力评价的根本标准。</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逻辑终点　</w:t>
      </w:r>
      <w:r>
        <w:rPr>
          <w:rFonts w:ascii="Times New Roman" w:hAnsi="Times New Roman" w:eastAsia="宋体"/>
          <w:b w:val="0"/>
          <w:i w:val="0"/>
          <w:sz w:val="20"/>
        </w:rPr>
        <w:t>培养大批高素质应用型人才——应用型人才是指善于将专业知识应用于解决实际问题的人才，表现出对问题的敏感性、对专业知识的娴熟性，特别是具有勇于实践的品质。</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底层逻辑　</w:t>
      </w:r>
      <w:r>
        <w:rPr>
          <w:rFonts w:ascii="Times New Roman" w:hAnsi="Times New Roman" w:eastAsia="宋体"/>
          <w:b w:val="0"/>
          <w:i w:val="0"/>
          <w:sz w:val="20"/>
        </w:rPr>
        <w:t>重在做好创新创业教育——把应用型科研与应用型人才培养有机统一，培养“敢闯会创”人才；项目式教学、科研带动教学是“双优”建设的突破点。</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评价红线　</w:t>
      </w:r>
      <w:r>
        <w:rPr>
          <w:rFonts w:ascii="Times New Roman" w:hAnsi="Times New Roman" w:eastAsia="宋体"/>
          <w:b w:val="0"/>
          <w:i w:val="0"/>
          <w:sz w:val="20"/>
        </w:rPr>
        <w:t>一定要排除唯论文、唯项目和唯学历的干扰；应用型评价重在服务企业能力而非学历论文；评价尺度应兼顾当下与长远，进行综合评估，避免短视化。</w:t>
      </w:r>
    </w:p>
    <w:p>
      <w:pPr>
        <w:spacing w:before="40" w:after="160" w:line="260" w:lineRule="exact"/>
        <w:ind w:left="240"/>
      </w:pPr>
      <w:r>
        <w:rPr>
          <w:rFonts w:ascii="Times New Roman" w:hAnsi="Times New Roman" w:eastAsia="楷体"/>
          <w:b w:val="0"/>
          <w:i w:val="0"/>
          <w:color w:val="555F70"/>
          <w:sz w:val="17"/>
        </w:rPr>
        <w:t>【来源】【B】王洪才, 王惠. “双优”评价模式构建的逻辑机理与实践方略[J]. 江苏高教, 2026(7): 1-7. 文章编号 1003-8418(2026)07-0001-07，DOI: 10.13236/j.cnki.jshe.2026.07.001。国家社会科学基金教育学重大项目“提升高等教育创新体系整体效能研究”(VIA250011)阶段成果。以上内容逐字取自论文 PDF 原文。</w:t>
      </w:r>
    </w:p>
    <w:p>
      <w:pPr>
        <w:keepNext/>
        <w:spacing w:before="280" w:after="140" w:line="390" w:lineRule="exact"/>
        <w:outlineLvl w:val="1"/>
      </w:pPr>
      <w:r>
        <w:rPr>
          <w:rFonts w:ascii="Times New Roman" w:hAnsi="Times New Roman" w:eastAsia="黑体"/>
          <w:b/>
          <w:i w:val="0"/>
          <w:color w:val="1F3B73"/>
          <w:sz w:val="26"/>
        </w:rPr>
        <w:t>（二）陈文博：“能力—贡献”转化效率评价范式</w:t>
      </w:r>
    </w:p>
    <w:p>
      <w:pPr>
        <w:spacing w:before="0" w:after="80" w:line="360" w:lineRule="exact"/>
        <w:ind w:firstLine="420"/>
      </w:pPr>
      <w:r>
        <w:rPr>
          <w:rFonts w:ascii="Times New Roman" w:hAnsi="Times New Roman" w:eastAsia="宋体"/>
          <w:b w:val="0"/>
          <w:i w:val="0"/>
          <w:sz w:val="21"/>
        </w:rPr>
        <w:t>深圳技术大学陈文博通过与“双一流”“双高”的政策文本比较提出，“双一流”是层级嵌套、“双高”是内外协同、“双优”是因果耦合。据此提出“能力—贡献”转化效率评价新范式，构建“能力建设—转化机制—贡献实现”分析框架。这一框架的价值，在于它解释了二十个要素为什么必须成对来看：</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能力建设（第一阶段）　</w:t>
      </w:r>
      <w:r>
        <w:rPr>
          <w:rFonts w:ascii="Times New Roman" w:hAnsi="Times New Roman" w:eastAsia="宋体"/>
          <w:b w:val="0"/>
          <w:i w:val="0"/>
          <w:sz w:val="20"/>
        </w:rPr>
        <w:t>围绕区域发展需求构建核心能力体系，主要包括四大核心要素——师资队伍、学科专业、科研平台、校企合作平台。其中首要是打造“双师双能型”师资队伍。</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转化机制（核心纽带）　</w:t>
      </w:r>
      <w:r>
        <w:rPr>
          <w:rFonts w:ascii="Times New Roman" w:hAnsi="Times New Roman" w:eastAsia="宋体"/>
          <w:b w:val="0"/>
          <w:i w:val="0"/>
          <w:sz w:val="20"/>
        </w:rPr>
        <w:t>连接“办学能力优质”（因）与“服务区域发展优秀”（果），形成“能力建设→转化机制→贡献实现”的因果链条。</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贡献实现（第三阶段）　</w:t>
      </w:r>
      <w:r>
        <w:rPr>
          <w:rFonts w:ascii="Times New Roman" w:hAnsi="Times New Roman" w:eastAsia="宋体"/>
          <w:b w:val="0"/>
          <w:i w:val="0"/>
          <w:sz w:val="20"/>
        </w:rPr>
        <w:t>服务贡献并非单一维度，而是涵盖人才培养、技术创新、成果转化、区域治理等多个维度的综合贡献。</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评价两大核心指标　</w:t>
      </w:r>
      <w:r>
        <w:rPr>
          <w:rFonts w:ascii="Times New Roman" w:hAnsi="Times New Roman" w:eastAsia="宋体"/>
          <w:b w:val="0"/>
          <w:i w:val="0"/>
          <w:sz w:val="20"/>
        </w:rPr>
        <w:t>将“办学能力提升”与“区域服务成效”作为评价的两大核心指标，既考核师资队伍、专业建设、科研平台等办学能力，更考核其将办学能力转化为区域人才供给、技术创新、成果转化、治理服务的实际成效。</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评价核心观测点　</w:t>
      </w:r>
      <w:r>
        <w:rPr>
          <w:rFonts w:ascii="Times New Roman" w:hAnsi="Times New Roman" w:eastAsia="宋体"/>
          <w:b w:val="0"/>
          <w:i w:val="0"/>
          <w:sz w:val="20"/>
        </w:rPr>
        <w:t>双师型教师占比、专业链与产业链匹配度、科技成果本地转化效率、区域人才供给贡献，以及参与地方重大项目的实际情况。</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评价方法　</w:t>
      </w:r>
      <w:r>
        <w:rPr>
          <w:rFonts w:ascii="Times New Roman" w:hAnsi="Times New Roman" w:eastAsia="宋体"/>
          <w:b w:val="0"/>
          <w:i w:val="0"/>
          <w:sz w:val="20"/>
        </w:rPr>
        <w:t>建立能力与贡献转化效率的量化评估模型，形成政府、企业、行业、社会多方参与的评价机制，注重横向对比、区域适配和实际服务效果。</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评价红线　</w:t>
      </w:r>
      <w:r>
        <w:rPr>
          <w:rFonts w:ascii="Times New Roman" w:hAnsi="Times New Roman" w:eastAsia="宋体"/>
          <w:b w:val="0"/>
          <w:i w:val="0"/>
          <w:sz w:val="20"/>
        </w:rPr>
        <w:t>摒弃“唯论文、唯帽子”“唯产教形式”的评价误区。</w:t>
      </w:r>
    </w:p>
    <w:p>
      <w:pPr>
        <w:spacing w:before="40" w:after="160" w:line="260" w:lineRule="exact"/>
        <w:ind w:left="240"/>
      </w:pPr>
      <w:r>
        <w:rPr>
          <w:rFonts w:ascii="Times New Roman" w:hAnsi="Times New Roman" w:eastAsia="楷体"/>
          <w:b w:val="0"/>
          <w:i w:val="0"/>
          <w:color w:val="555F70"/>
          <w:sz w:val="17"/>
        </w:rPr>
        <w:t>【来源】【B】陈文博. 因果耦合视角下“双优工程”的定位与评价转向——基于与“双一流”“双高”的比较研究[J]. 应用型高等教育研究, 2026, 11(2): 1-9. 文章编号 2096–2045(2026)02–0001–09。以上内容逐字取自论文 PDF 原文。</w:t>
      </w:r>
    </w:p>
    <w:p>
      <w:pPr>
        <w:keepNext/>
        <w:spacing w:before="280" w:after="140" w:line="390" w:lineRule="exact"/>
        <w:outlineLvl w:val="1"/>
      </w:pPr>
      <w:r>
        <w:rPr>
          <w:rFonts w:ascii="Times New Roman" w:hAnsi="Times New Roman" w:eastAsia="黑体"/>
          <w:b/>
          <w:i w:val="0"/>
          <w:color w:val="1F3B73"/>
          <w:sz w:val="26"/>
        </w:rPr>
        <w:t>（三）学术研讨会上专家提出的评价要点</w:t>
      </w:r>
    </w:p>
    <w:p>
      <w:pPr>
        <w:spacing w:before="0" w:after="80" w:line="360" w:lineRule="exact"/>
        <w:ind w:firstLine="420"/>
      </w:pPr>
      <w:r>
        <w:rPr>
          <w:rFonts w:ascii="Times New Roman" w:hAnsi="Times New Roman" w:eastAsia="宋体"/>
          <w:b w:val="0"/>
          <w:i w:val="0"/>
          <w:sz w:val="21"/>
        </w:rPr>
        <w:t>2026年4月29日，“双优”工程与高水平应用型大学建设学术研讨会在广东技术师范大学举行，18位国内高等教育领域知名专家出席。会上提出的若干评价要点对指标设计具有直接参考价值：</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瞿振元（中国高等教育学会原会长、中国农业大学原党委书记）：</w:t>
      </w:r>
      <w:r>
        <w:rPr>
          <w:rFonts w:ascii="Times New Roman" w:hAnsi="Times New Roman" w:eastAsia="宋体"/>
          <w:b w:val="0"/>
          <w:i w:val="0"/>
          <w:sz w:val="20"/>
        </w:rPr>
        <w:t>“双优”工程涵盖优质办学和优秀服务20项关键指标，涉及办学方向、师资队伍、人才培养、学科布局、科技创新、社会贡献等多个维度；不仅要求内部优质，更强调必须与区域发展深度契合，强化产教协同、“双师型”教师队伍建设和地方合作，最终形成以实践成果为核心的育人及评价体系。</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谢维和（清华大学原副校长、文科资深教授）：</w:t>
      </w:r>
      <w:r>
        <w:rPr>
          <w:rFonts w:ascii="Times New Roman" w:hAnsi="Times New Roman" w:eastAsia="宋体"/>
          <w:b w:val="0"/>
          <w:i w:val="0"/>
          <w:sz w:val="20"/>
        </w:rPr>
        <w:t>根据《深化新时代教育评价改革总体方案》要求，特别强调“生均课程门数”（课程总量与学生数量之比）是衡量办学能力优质程度的关键指标，对应用型高校适应学生多元需求、促进创新与个性化学习、推动教育教学改革具有深远意义。这是研讨会上被明确点名的单项量化指标，值得学校提前测算自身数值。</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刘志军（河南工业大学党委书记）：</w:t>
      </w:r>
      <w:r>
        <w:rPr>
          <w:rFonts w:ascii="Times New Roman" w:hAnsi="Times New Roman" w:eastAsia="宋体"/>
          <w:b w:val="0"/>
          <w:i w:val="0"/>
          <w:sz w:val="20"/>
        </w:rPr>
        <w:t>一个完整的评价体系除评价标准外，还应包括评价目的、评价内容、评价方法和评价结果运用；“双优”评价标准的功能不能止于选拔选优，更要促进应用型高校高质量发展；建议除国家标准外，还应制定地方标准和学校标准，评价时突出质量、特色、贡献，避免千校一面。</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王小梅（《中国高教研究》主编）：</w:t>
      </w:r>
      <w:r>
        <w:rPr>
          <w:rFonts w:ascii="Times New Roman" w:hAnsi="Times New Roman" w:eastAsia="宋体"/>
          <w:b w:val="0"/>
          <w:i w:val="0"/>
          <w:sz w:val="20"/>
        </w:rPr>
        <w:t>指出高等教育体系存在“中部塌陷”，“双优”工程是破局关键；提出应用型本科高校改革发展的“三问”：身份之问、发展之问、生存之问。</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刘振天（厦门大学重点岗位教授、教育部全国高校设置评议委员会委员）：</w:t>
      </w:r>
      <w:r>
        <w:rPr>
          <w:rFonts w:ascii="Times New Roman" w:hAnsi="Times New Roman" w:eastAsia="宋体"/>
          <w:b w:val="0"/>
          <w:i w:val="0"/>
          <w:sz w:val="20"/>
        </w:rPr>
        <w:t>“双一流”“双优”“双高”三个赛道不仅是分类，也是标杆，更带有“标签”作用；提醒应用型高校应明晰办学目标和办学定位，避免因争抢“双优”标签而导致办学趋同。</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郭卉（华中科技大学教育科学研究院教授、工程教育研究所所长）：</w:t>
      </w:r>
      <w:r>
        <w:rPr>
          <w:rFonts w:ascii="Times New Roman" w:hAnsi="Times New Roman" w:eastAsia="宋体"/>
          <w:b w:val="0"/>
          <w:i w:val="0"/>
          <w:sz w:val="20"/>
        </w:rPr>
        <w:t>从组织合法性视角提出，应用型高校需将“应用型”定位转化为教学、科研、社会服务与治理中稳定的制度安排，形成内部合法性：一是形成体现应用型的教学制度；二是完善科研制度和社会服务制度；三是优化组织机制和评价体系。</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贺祖斌（广西师范大学党委书记）：</w:t>
      </w:r>
      <w:r>
        <w:rPr>
          <w:rFonts w:ascii="Times New Roman" w:hAnsi="Times New Roman" w:eastAsia="宋体"/>
          <w:b w:val="0"/>
          <w:i w:val="0"/>
          <w:sz w:val="20"/>
        </w:rPr>
        <w:t>针对学科专业调整中的定位模糊、产教脱节、调整滞后和资源分散四大困境，提出精准定位、集群发展、产教融合、动态调整与内涵建设五大路径，最终实现专业链与产业链、人才链、创新链的深度融合。</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李曼丽（清华大学教育学院学术委员会主任）：</w:t>
      </w:r>
      <w:r>
        <w:rPr>
          <w:rFonts w:ascii="Times New Roman" w:hAnsi="Times New Roman" w:eastAsia="宋体"/>
          <w:b w:val="0"/>
          <w:i w:val="0"/>
          <w:sz w:val="20"/>
        </w:rPr>
        <w:t>应用型本科教育学科因身份焦虑、使命漂移和评价错位陷入困境，根本解决之道在于重新定义不可替代性——即深度嵌入并有效回应区域教育实践，构建“学术—实践—社会价值”三维评价体系。</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李树英（深圳大学教育学部特聘教授、长江学者讲席教授）：</w:t>
      </w:r>
      <w:r>
        <w:rPr>
          <w:rFonts w:ascii="Times New Roman" w:hAnsi="Times New Roman" w:eastAsia="宋体"/>
          <w:b w:val="0"/>
          <w:i w:val="0"/>
          <w:sz w:val="20"/>
        </w:rPr>
        <w:t>“双优”工程并非单纯的资源配置政策，而是对中国式现代化语境下大学“本体性”的主动设计与哲学重构，核心是知识观、关系观、时空观三重转型；为地方高校推进“双优”提出“深融合、特色化、生态观、慢评价”四条路径。</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孙善学（教育部教育强国建设战略咨询委员会委员、天津大学职业技术教育研究所所长）：</w:t>
      </w:r>
      <w:r>
        <w:rPr>
          <w:rFonts w:ascii="Times New Roman" w:hAnsi="Times New Roman" w:eastAsia="宋体"/>
          <w:b w:val="0"/>
          <w:i w:val="0"/>
          <w:sz w:val="20"/>
        </w:rPr>
        <w:t>高校类型与人才类型存在显著错位（高职偏向应用型、应用型本科趋向研究型），应拥抱非线性思维，坚持“COE”（职业导向）教育理念。</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蒋凯（北京大学博雅特聘教授、教育学院院长）：</w:t>
      </w:r>
      <w:r>
        <w:rPr>
          <w:rFonts w:ascii="Times New Roman" w:hAnsi="Times New Roman" w:eastAsia="宋体"/>
          <w:b w:val="0"/>
          <w:i w:val="0"/>
          <w:sz w:val="20"/>
        </w:rPr>
        <w:t>国际化四条路径：“精准突破”与“体系深耕”并行不悖、“标准引领”与“在地扎根”双向赋能、“借船出海”与“造船远航”协同发力、“政—校—企—社”多主体深度协作。</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吴开俊（广州大学党委常委、副校长）：</w:t>
      </w:r>
      <w:r>
        <w:rPr>
          <w:rFonts w:ascii="Times New Roman" w:hAnsi="Times New Roman" w:eastAsia="宋体"/>
          <w:b w:val="0"/>
          <w:i w:val="0"/>
          <w:sz w:val="20"/>
        </w:rPr>
        <w:t>确立“拔尖创新人才”与“卓越应用人才”并重的“双轨制”人才分类培养模式；探索“科—教—产—融—创”一体化培养新机制。</w:t>
      </w:r>
    </w:p>
    <w:p>
      <w:pPr>
        <w:spacing w:before="40" w:after="160" w:line="260" w:lineRule="exact"/>
        <w:ind w:left="240"/>
      </w:pPr>
      <w:r>
        <w:rPr>
          <w:rFonts w:ascii="Times New Roman" w:hAnsi="Times New Roman" w:eastAsia="楷体"/>
          <w:b w:val="0"/>
          <w:i w:val="0"/>
          <w:color w:val="555F70"/>
          <w:sz w:val="17"/>
        </w:rPr>
        <w:t>【来源】姚宇华, 陈伟. 以“双优”工程驱动高水平应用型大学建设——“双优”工程与高水平应用型大学建设学术研讨会综述[J]. 高教探索, 2026(6): 126-128.</w:t>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六、可对标的现行评价体系</w:t>
      </w:r>
    </w:p>
    <w:p>
      <w:pPr>
        <w:spacing w:before="0" w:after="80" w:line="360" w:lineRule="exact"/>
        <w:ind w:firstLine="420"/>
      </w:pPr>
      <w:r>
        <w:rPr>
          <w:rFonts w:ascii="Times New Roman" w:hAnsi="Times New Roman" w:eastAsia="宋体"/>
          <w:b w:val="0"/>
          <w:i w:val="0"/>
          <w:sz w:val="21"/>
        </w:rPr>
        <w:t>在“双优”工程官方指标体系正式发布之前，下列现行评价体系是判断“双优”指标可能形态最可靠的现实参照。它们均有正式发布的官方文件或公开的方法说明。</w:t>
      </w:r>
    </w:p>
    <w:p>
      <w:pPr>
        <w:keepNext/>
        <w:spacing w:before="280" w:after="140" w:line="390" w:lineRule="exact"/>
        <w:outlineLvl w:val="1"/>
      </w:pPr>
      <w:r>
        <w:rPr>
          <w:rFonts w:ascii="Times New Roman" w:hAnsi="Times New Roman" w:eastAsia="黑体"/>
          <w:b/>
          <w:i w:val="0"/>
          <w:color w:val="1F3B73"/>
          <w:sz w:val="26"/>
        </w:rPr>
        <w:t>（一）《“双一流”建设成效评价办法（试行）》——评价方法论上最直接的母本</w:t>
      </w:r>
    </w:p>
    <w:p>
      <w:pPr>
        <w:spacing w:before="0" w:after="80" w:line="360" w:lineRule="exact"/>
        <w:ind w:firstLine="420"/>
      </w:pPr>
      <w:r>
        <w:rPr>
          <w:rFonts w:ascii="Times New Roman" w:hAnsi="Times New Roman" w:eastAsia="宋体"/>
          <w:b w:val="0"/>
          <w:i w:val="0"/>
          <w:sz w:val="21"/>
        </w:rPr>
        <w:t>教育部、财政部、国家发展改革委，教研〔2020〕13号，2020年印发、2021年3月23日公开发布。“双优”作为分类建设三大工程之一，其评价办法在方法论上最可能沿用这一套路。</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总体架构　</w:t>
      </w:r>
      <w:r>
        <w:rPr>
          <w:rFonts w:ascii="Times New Roman" w:hAnsi="Times New Roman" w:eastAsia="宋体"/>
          <w:b w:val="0"/>
          <w:i w:val="0"/>
          <w:sz w:val="20"/>
        </w:rPr>
        <w:t>成效评价由大学整体建设评价和学科建设评价两部分组成，均按“前置维度+核心维度+评价视角”方式布局考核内容。</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前置维度　</w:t>
      </w:r>
      <w:r>
        <w:rPr>
          <w:rFonts w:ascii="Times New Roman" w:hAnsi="Times New Roman" w:eastAsia="宋体"/>
          <w:b w:val="0"/>
          <w:i w:val="0"/>
          <w:sz w:val="20"/>
        </w:rPr>
        <w:t>考察建设高校“加强党的全面领导与治理体系改革成效”，贯穿评价各个方面。</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大学整体建设评价六个方面　</w:t>
      </w:r>
      <w:r>
        <w:rPr>
          <w:rFonts w:ascii="Times New Roman" w:hAnsi="Times New Roman" w:eastAsia="宋体"/>
          <w:b w:val="0"/>
          <w:i w:val="0"/>
          <w:sz w:val="20"/>
        </w:rPr>
        <w:t>人才培养、科学研究、社会服务、教师队伍建设、文化传承创新、国际交流合作。与“优质办学”十大要素高度重合。</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学科建设评价四个方面　</w:t>
      </w:r>
      <w:r>
        <w:rPr>
          <w:rFonts w:ascii="Times New Roman" w:hAnsi="Times New Roman" w:eastAsia="宋体"/>
          <w:b w:val="0"/>
          <w:i w:val="0"/>
          <w:sz w:val="20"/>
        </w:rPr>
        <w:t>人才培养、科学研究、社会服务、教师队伍建设。</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方法论特征　</w:t>
      </w:r>
      <w:r>
        <w:rPr>
          <w:rFonts w:ascii="Times New Roman" w:hAnsi="Times New Roman" w:eastAsia="宋体"/>
          <w:b w:val="0"/>
          <w:i w:val="0"/>
          <w:sz w:val="20"/>
        </w:rPr>
        <w:t>实行水平评价与效益考核相结合，考察建设基础、突破贡献、特色凝练；既考核现有资源条件下的建设成果，也衡量在已有发展基础上的成长提升及发展潜力；不简单以条件、数量和排名变化为评价指标；不计算总分、不发布排名，结果以区间和梯度分布、多元多维方式呈现。</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对“双优”的启示　</w:t>
      </w:r>
      <w:r>
        <w:rPr>
          <w:rFonts w:ascii="Times New Roman" w:hAnsi="Times New Roman" w:eastAsia="宋体"/>
          <w:b w:val="0"/>
          <w:i w:val="0"/>
          <w:sz w:val="20"/>
        </w:rPr>
        <w:t>这套办法本身不设量化的一级/二级指标评分表——这正是它的设计特点。若“双优”沿用此思路，学校准备的重点应是“成长提升的证据链”，而非条目达标。</w:t>
      </w:r>
    </w:p>
    <w:p>
      <w:pPr>
        <w:spacing w:before="40" w:after="160" w:line="260" w:lineRule="exact"/>
        <w:ind w:left="240"/>
      </w:pPr>
      <w:r>
        <w:rPr>
          <w:rFonts w:ascii="Times New Roman" w:hAnsi="Times New Roman" w:eastAsia="楷体"/>
          <w:b w:val="0"/>
          <w:i w:val="0"/>
          <w:color w:val="555F70"/>
          <w:sz w:val="17"/>
        </w:rPr>
        <w:t>【来源】【A】教育部, 财政部, 国家发展改革委.《“双一流”建设成效评价办法（试行）》教研〔2020〕13号. http://www.moe.gov.cn/srcsite/A22/moe_843/202103/t20210323_521951.html ；中国政府网 https://www.gov.cn/zhengce/zhengceku/2021-03/23/content_5595085.htm 。架构描述为检索摘要转述，未逐字核验；陈文博（2026）对该办法结构的描述与之一致。</w:t>
      </w:r>
    </w:p>
    <w:p>
      <w:pPr>
        <w:keepNext/>
        <w:spacing w:before="280" w:after="140" w:line="390" w:lineRule="exact"/>
        <w:outlineLvl w:val="1"/>
      </w:pPr>
      <w:r>
        <w:rPr>
          <w:rFonts w:ascii="Times New Roman" w:hAnsi="Times New Roman" w:eastAsia="黑体"/>
          <w:b/>
          <w:i w:val="0"/>
          <w:color w:val="1F3B73"/>
          <w:sz w:val="26"/>
        </w:rPr>
        <w:t>（二）本科教育教学审核评估“第二类第二种”指标体系——现行最直接的对标口</w:t>
      </w:r>
    </w:p>
    <w:p>
      <w:pPr>
        <w:spacing w:before="0" w:after="80" w:line="360" w:lineRule="exact"/>
        <w:ind w:firstLine="420"/>
      </w:pPr>
      <w:r>
        <w:rPr>
          <w:rFonts w:ascii="Times New Roman" w:hAnsi="Times New Roman" w:eastAsia="宋体"/>
          <w:b w:val="0"/>
          <w:i w:val="0"/>
          <w:sz w:val="21"/>
        </w:rPr>
        <w:t>《普通高等学校本科教育教学审核评估实施方案（2021—2025年）》，教育部，教督〔2021〕1号，2021年1月印发。其“两类四种”中的第二类第二种，正是面向“已参加过上轮审核评估、以应用型人才培养为主要方向的普通本科高校”，是当前唯一在用的、面向应用型本科的国家级指标体系。</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第二类指标规模　</w:t>
      </w:r>
      <w:r>
        <w:rPr>
          <w:rFonts w:ascii="Times New Roman" w:hAnsi="Times New Roman" w:eastAsia="宋体"/>
          <w:b w:val="0"/>
          <w:i w:val="0"/>
          <w:sz w:val="20"/>
        </w:rPr>
        <w:t>一级指标7个、二级指标27个、审核重点78个（另有74、79两种转载说法，以教育部原件为准）。第一类为一级4个、二级12个、审核重点38个。</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七个一级指标　</w:t>
      </w:r>
      <w:r>
        <w:rPr>
          <w:rFonts w:ascii="Times New Roman" w:hAnsi="Times New Roman" w:eastAsia="宋体"/>
          <w:b w:val="0"/>
          <w:i w:val="0"/>
          <w:sz w:val="20"/>
        </w:rPr>
        <w:t>① 办学方向与本科地位；② 培养过程；③ 教学资源与利用；④ 教师队伍；⑤ 学生发展；⑥ 质量保障；⑦ 教学成效。</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已可核验的二级指标片段　</w:t>
      </w:r>
      <w:r>
        <w:rPr>
          <w:rFonts w:ascii="Times New Roman" w:hAnsi="Times New Roman" w:eastAsia="宋体"/>
          <w:b w:val="0"/>
          <w:i w:val="0"/>
          <w:sz w:val="20"/>
        </w:rPr>
        <w:t>1.1 党的领导、1.2 思政教育、1.3 本科地位、1.4 教育投入；4.1 师德师风（把师德师风作为评价教师的第一标准）。完整27条须查教育部原件。</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与“双优”最同源的一条　</w:t>
      </w:r>
      <w:r>
        <w:rPr>
          <w:rFonts w:ascii="Times New Roman" w:hAnsi="Times New Roman" w:eastAsia="宋体"/>
          <w:b w:val="0"/>
          <w:i w:val="0"/>
          <w:sz w:val="20"/>
        </w:rPr>
        <w:t>学生发展项下的就业考察特别关注“毕业生面向学校所服务区域和行业企业的就业情况”——这与“优秀服务”第一要素“毕业生留用率”完全同源，说明该口径在国家层面已有制度先例。</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提示　</w:t>
      </w:r>
      <w:r>
        <w:rPr>
          <w:rFonts w:ascii="Times New Roman" w:hAnsi="Times New Roman" w:eastAsia="宋体"/>
          <w:b w:val="0"/>
          <w:i w:val="0"/>
          <w:sz w:val="20"/>
        </w:rPr>
        <w:t>定量指标数量在不同转载版本中有“46个（必选30、可选16）”与“54个（必选32、可选22）”两种说法，可能为试行期修订，引用须注明版本。</w:t>
      </w:r>
    </w:p>
    <w:p>
      <w:pPr>
        <w:spacing w:before="40" w:after="160" w:line="260" w:lineRule="exact"/>
        <w:ind w:left="240"/>
      </w:pPr>
      <w:r>
        <w:rPr>
          <w:rFonts w:ascii="Times New Roman" w:hAnsi="Times New Roman" w:eastAsia="楷体"/>
          <w:b w:val="0"/>
          <w:i w:val="0"/>
          <w:color w:val="555F70"/>
          <w:sz w:val="17"/>
        </w:rPr>
        <w:t>【来源】【A】教育部.《普通高等学校本科教育教学审核评估实施方案（2021—2025年）》教督〔2021〕1号. http://www.moe.gov.cn/srcsite/A11/s7057/202102/t20210205_512709.html ；中国政府网 https://www.gov.cn/zhengce/zhengceku/2021-02/07/content_5585584.htm 。指标条目为检索摘要转述，未逐字核验。</w:t>
      </w:r>
    </w:p>
    <w:p>
      <w:pPr>
        <w:keepNext/>
        <w:spacing w:before="280" w:after="140" w:line="390" w:lineRule="exact"/>
        <w:outlineLvl w:val="1"/>
      </w:pPr>
      <w:r>
        <w:rPr>
          <w:rFonts w:ascii="Times New Roman" w:hAnsi="Times New Roman" w:eastAsia="黑体"/>
          <w:b/>
          <w:i w:val="0"/>
          <w:color w:val="1F3B73"/>
          <w:sz w:val="26"/>
        </w:rPr>
        <w:t>（三）职业教育“双高计划”与“新双高”——任务清单式的建设标准</w:t>
      </w:r>
    </w:p>
    <w:p>
      <w:pPr>
        <w:spacing w:before="0" w:after="80" w:line="360" w:lineRule="exact"/>
        <w:ind w:firstLine="420"/>
      </w:pPr>
      <w:r>
        <w:rPr>
          <w:rFonts w:ascii="Times New Roman" w:hAnsi="Times New Roman" w:eastAsia="宋体"/>
          <w:b w:val="0"/>
          <w:i w:val="0"/>
          <w:sz w:val="21"/>
        </w:rPr>
        <w:t>第一轮：《教育部 财政部关于实施中国特色高水平高职学校和专业建设计划的意见》教职成〔2019〕5号；遴选办法教职成〔2019〕8号；绩效管理办法教职成〔2020〕8号。第二轮“新双高”：《关于实施中国特色高水平高职学校和专业建设计划（2025—2029年）的通知》，2025年1月印发。</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第一轮十项建设任务（1个加强、4个打造、5个提升）　</w:t>
      </w:r>
      <w:r>
        <w:rPr>
          <w:rFonts w:ascii="Times New Roman" w:hAnsi="Times New Roman" w:eastAsia="宋体"/>
          <w:b w:val="0"/>
          <w:i w:val="0"/>
          <w:sz w:val="20"/>
        </w:rPr>
        <w:t>加强党的建设；打造技术技能人才培养高地、技术技能创新服务平台、高水平专业群、高水平双师队伍；提升校企合作水平、服务发展水平、学校治理水平、信息化水平、国际化水平。</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“新双高”九项改革任务　</w:t>
      </w:r>
      <w:r>
        <w:rPr>
          <w:rFonts w:ascii="Times New Roman" w:hAnsi="Times New Roman" w:eastAsia="宋体"/>
          <w:b w:val="0"/>
          <w:i w:val="0"/>
          <w:sz w:val="20"/>
        </w:rPr>
        <w:t>落实立德树人根本任务、创新产教融合机制、打造高水平专业群、建设一流核心课程、开发优质新形态教材、建设高水平双师队伍、建设产教融合实训基地、构建数字化教学新生态、拓展国际交流与合作。</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规模与支持　</w:t>
      </w:r>
      <w:r>
        <w:rPr>
          <w:rFonts w:ascii="Times New Roman" w:hAnsi="Times New Roman" w:eastAsia="宋体"/>
          <w:b w:val="0"/>
          <w:i w:val="0"/>
          <w:sz w:val="20"/>
        </w:rPr>
        <w:t>“新双高”建设60所左右高水平高职学校和160个左右高水平专业群；每个高水平专业群每年支持1000万元。工作原则为需求导向、产教融合、质量为本、标准引领。</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绩效评价　</w:t>
      </w:r>
      <w:r>
        <w:rPr>
          <w:rFonts w:ascii="Times New Roman" w:hAnsi="Times New Roman" w:eastAsia="宋体"/>
          <w:b w:val="0"/>
          <w:i w:val="0"/>
          <w:sz w:val="20"/>
        </w:rPr>
        <w:t>结论分“优、良、中、差”四档；“中”“差”限期整改，“差”的不得进入第二轮遴选。流程为学校自评→省级评价→两部复核。</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对“双优”的启示　</w:t>
      </w:r>
      <w:r>
        <w:rPr>
          <w:rFonts w:ascii="Times New Roman" w:hAnsi="Times New Roman" w:eastAsia="宋体"/>
          <w:b w:val="0"/>
          <w:i w:val="0"/>
          <w:sz w:val="20"/>
        </w:rPr>
        <w:t>“双高”走的是“任务清单+绩效目标达成度”路线，而非评分表路线。考虑到“双优”与“新双高”同属分类建设三大工程且时点相近，“双优”很可能也采取任务清单式设计，学校宜按“任务书—目标值—达成证据”准备。</w:t>
      </w:r>
    </w:p>
    <w:p>
      <w:pPr>
        <w:spacing w:before="40" w:after="160" w:line="260" w:lineRule="exact"/>
        <w:ind w:left="240"/>
      </w:pPr>
      <w:r>
        <w:rPr>
          <w:rFonts w:ascii="Times New Roman" w:hAnsi="Times New Roman" w:eastAsia="楷体"/>
          <w:b w:val="0"/>
          <w:i w:val="0"/>
          <w:color w:val="555F70"/>
          <w:sz w:val="17"/>
        </w:rPr>
        <w:t>【来源】【A】教职成〔2019〕5号 http://www.moe.gov.cn/srcsite/A07/moe_737/s3876_qt/201904/t20190402_376471.html ；教职成〔2019〕8号 http://www.moe.gov.cn/srcsite/A07/moe_737/s3876_qt/201904/t20190417_378489.html ；教职成〔2020〕8号 http://www.moe.gov.cn/srcsite/A07/moe_737/s3876_qt/202012/t20201225_507515.html ；“新双高”转载 https://www.eol.cn/zhengce/wenjian/202502/t20250219_2655130.shtml 。任务清单为检索摘要转述。</w:t>
      </w:r>
    </w:p>
    <w:p>
      <w:pPr>
        <w:keepNext/>
        <w:spacing w:before="280" w:after="140" w:line="390" w:lineRule="exact"/>
        <w:outlineLvl w:val="1"/>
      </w:pPr>
      <w:r>
        <w:rPr>
          <w:rFonts w:ascii="Times New Roman" w:hAnsi="Times New Roman" w:eastAsia="黑体"/>
          <w:b/>
          <w:i w:val="0"/>
          <w:color w:val="1F3B73"/>
          <w:sz w:val="26"/>
        </w:rPr>
        <w:t>（四）江苏省《一流应用型本科高校遴选建设实施方案》——省级最完整的遴选门槛设计</w:t>
      </w:r>
    </w:p>
    <w:p>
      <w:pPr>
        <w:spacing w:before="0" w:after="80" w:line="360" w:lineRule="exact"/>
        <w:ind w:firstLine="420"/>
      </w:pPr>
      <w:r>
        <w:rPr>
          <w:rFonts w:ascii="Times New Roman" w:hAnsi="Times New Roman" w:eastAsia="宋体"/>
          <w:b w:val="0"/>
          <w:i w:val="0"/>
          <w:sz w:val="21"/>
        </w:rPr>
        <w:t>江苏省教育厅，苏教高〔2024〕1号，2024年1月印发。这是全国范围内与“双优”逻辑最接近、结构最完整的省级遴选制度，其“基本条件+可选条件”的门槛设计极具参考价值。</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建设安排　</w:t>
      </w:r>
      <w:r>
        <w:rPr>
          <w:rFonts w:ascii="Times New Roman" w:hAnsi="Times New Roman" w:eastAsia="宋体"/>
          <w:b w:val="0"/>
          <w:i w:val="0"/>
          <w:sz w:val="20"/>
        </w:rPr>
        <w:t>2024年启动，立项后建设周期4年；到2028年遴选10所左右高校，分批立项。</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基本条件（4项，须全部达成）　</w:t>
      </w:r>
      <w:r>
        <w:rPr>
          <w:rFonts w:ascii="Times New Roman" w:hAnsi="Times New Roman" w:eastAsia="宋体"/>
          <w:b w:val="0"/>
          <w:i w:val="0"/>
          <w:sz w:val="20"/>
        </w:rPr>
        <w:t>办学方向、办学定位、硕士学位授予权、安全稳定。</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可选条件（9项，须达成不少于5项）　</w:t>
      </w:r>
      <w:r>
        <w:rPr>
          <w:rFonts w:ascii="Times New Roman" w:hAnsi="Times New Roman" w:eastAsia="宋体"/>
          <w:b w:val="0"/>
          <w:i w:val="0"/>
          <w:sz w:val="20"/>
        </w:rPr>
        <w:t>① 教学改革；② 专业学科；③ 产教融合；④ 教师教学能力；⑤ 人才队伍；⑥ 创新创业教育；⑦ 科研创新；⑧ 国际合作；⑨ 培养成效。</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首批建设单位（2024年6月公示，6所）　</w:t>
      </w:r>
      <w:r>
        <w:rPr>
          <w:rFonts w:ascii="Times New Roman" w:hAnsi="Times New Roman" w:eastAsia="宋体"/>
          <w:b w:val="0"/>
          <w:i w:val="0"/>
          <w:sz w:val="20"/>
        </w:rPr>
        <w:t>盐城工学院、苏州科技大学、淮阴工学院、南京工程学院、江苏理工学院、江苏海洋大学。2025年扩容2所。</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配套制度　</w:t>
      </w:r>
      <w:r>
        <w:rPr>
          <w:rFonts w:ascii="Times New Roman" w:hAnsi="Times New Roman" w:eastAsia="宋体"/>
          <w:b w:val="0"/>
          <w:i w:val="0"/>
          <w:sz w:val="20"/>
        </w:rPr>
        <w:t>江苏2021年已印发《推进一流应用型本科高校建设的实施意见》（12项主要建设任务+6大重点项目），并在全国率先试点应用型专业认证，研究制定江苏应用型本科专业认证标准。</w:t>
      </w:r>
    </w:p>
    <w:p>
      <w:pPr>
        <w:spacing w:before="40" w:after="160" w:line="260" w:lineRule="exact"/>
        <w:ind w:left="240"/>
      </w:pPr>
      <w:r>
        <w:rPr>
          <w:rFonts w:ascii="Times New Roman" w:hAnsi="Times New Roman" w:eastAsia="楷体"/>
          <w:b w:val="0"/>
          <w:i w:val="0"/>
          <w:color w:val="555F70"/>
          <w:sz w:val="17"/>
        </w:rPr>
        <w:t>【来源】【A】江苏省教育厅.《江苏省一流应用型本科高校遴选建设实施方案》苏教高〔2024〕1号. 省厅新闻发布会 https://jyt.jiangsu.gov.cn/art/2024/1/19/art_64084_74.html ；2021年实施意见 http://jyt.jiangsu.gov.cn/art/2021/3/26/art_55512_9720252.html 。条件条目为检索摘要转述（另有媒体表述为“六大评价方面、37项具体指标”），未逐字核验。</w:t>
      </w:r>
    </w:p>
    <w:p>
      <w:pPr>
        <w:keepNext/>
        <w:spacing w:before="280" w:after="140" w:line="390" w:lineRule="exact"/>
        <w:outlineLvl w:val="1"/>
      </w:pPr>
      <w:r>
        <w:rPr>
          <w:rFonts w:ascii="Times New Roman" w:hAnsi="Times New Roman" w:eastAsia="黑体"/>
          <w:b/>
          <w:i w:val="0"/>
          <w:color w:val="1F3B73"/>
          <w:sz w:val="26"/>
        </w:rPr>
        <w:t>（五）广东省“冲补强”提升计划（2026—2030年）——与“双优”启动同步的省级方案</w:t>
      </w:r>
    </w:p>
    <w:p>
      <w:pPr>
        <w:spacing w:before="0" w:after="80" w:line="360" w:lineRule="exact"/>
        <w:ind w:firstLine="420"/>
      </w:pPr>
      <w:r>
        <w:rPr>
          <w:rFonts w:ascii="Times New Roman" w:hAnsi="Times New Roman" w:eastAsia="宋体"/>
          <w:b w:val="0"/>
          <w:i w:val="0"/>
          <w:sz w:val="21"/>
        </w:rPr>
        <w:t>广东省人民政府办公厅，2026年5月印发。其突出特点是把应用型高校再细分为“综合应用型”和“特色应用型”两条赛道，并给出高度量化的目标值。</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三条赛道　</w:t>
      </w:r>
      <w:r>
        <w:rPr>
          <w:rFonts w:ascii="Times New Roman" w:hAnsi="Times New Roman" w:eastAsia="宋体"/>
          <w:b w:val="0"/>
          <w:i w:val="0"/>
          <w:sz w:val="20"/>
        </w:rPr>
        <w:t>高水平研究型大学 / 综合应用型高校 / 特色应用型高校。</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综合应用型高校计划（到2030年）　</w:t>
      </w:r>
      <w:r>
        <w:rPr>
          <w:rFonts w:ascii="Times New Roman" w:hAnsi="Times New Roman" w:eastAsia="宋体"/>
          <w:b w:val="0"/>
          <w:i w:val="0"/>
          <w:sz w:val="20"/>
        </w:rPr>
        <w:t>力争建成80个左右一流专业；新增50个以上专业通过国内或国际权威组织专业认证；建成20个左右现代产业学院。</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特色应用型高校计划（到2030年）　</w:t>
      </w:r>
      <w:r>
        <w:rPr>
          <w:rFonts w:ascii="Times New Roman" w:hAnsi="Times New Roman" w:eastAsia="宋体"/>
          <w:b w:val="0"/>
          <w:i w:val="0"/>
          <w:sz w:val="20"/>
        </w:rPr>
        <w:t>新增5所以上高校入选优质特色应用型本科高校和学科专业建设工程；新增2所以上博士学位授予高校、2所以上硕士学位授予高校；力争建成140个左右一流专业；建成30个左右现代产业学院。</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全省性约束指标　</w:t>
      </w:r>
      <w:r>
        <w:rPr>
          <w:rFonts w:ascii="Times New Roman" w:hAnsi="Times New Roman" w:eastAsia="宋体"/>
          <w:b w:val="0"/>
          <w:i w:val="0"/>
          <w:sz w:val="20"/>
        </w:rPr>
        <w:t>理工农医类学科专业学生数占比达到55%以上。</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评价机制　</w:t>
      </w:r>
      <w:r>
        <w:rPr>
          <w:rFonts w:ascii="Times New Roman" w:hAnsi="Times New Roman" w:eastAsia="宋体"/>
          <w:b w:val="0"/>
          <w:i w:val="0"/>
          <w:sz w:val="20"/>
        </w:rPr>
        <w:t>建设周期内实施“年度自评+期中评价+期满评价”；高校建设方案报省教育厅审核。</w:t>
      </w:r>
    </w:p>
    <w:p>
      <w:pPr>
        <w:spacing w:before="40" w:after="160" w:line="260" w:lineRule="exact"/>
        <w:ind w:left="240"/>
      </w:pPr>
      <w:r>
        <w:rPr>
          <w:rFonts w:ascii="Times New Roman" w:hAnsi="Times New Roman" w:eastAsia="楷体"/>
          <w:b w:val="0"/>
          <w:i w:val="0"/>
          <w:color w:val="555F70"/>
          <w:sz w:val="17"/>
        </w:rPr>
        <w:t>【来源】【A】广东省人民政府办公厅.《高等教育“冲一流、补短板、强特色”提升计划实施方案（2026—2030年）》. https://www.cnbayarea.org.cn/policy/policyrelease/policies/content/post_1326934.html ；华南师范大学发规处转载 http://fzghb.scnu.edu.cn/a/20260701/313.html 。指标条目为检索摘要转述，未逐字核验，文号未检索到。</w:t>
      </w:r>
    </w:p>
    <w:p>
      <w:pPr>
        <w:keepNext/>
        <w:spacing w:before="280" w:after="140" w:line="390" w:lineRule="exact"/>
        <w:outlineLvl w:val="1"/>
      </w:pPr>
      <w:r>
        <w:rPr>
          <w:rFonts w:ascii="Times New Roman" w:hAnsi="Times New Roman" w:eastAsia="黑体"/>
          <w:b/>
          <w:i w:val="0"/>
          <w:color w:val="1F3B73"/>
          <w:sz w:val="26"/>
        </w:rPr>
        <w:t>（六）浙江省的两套现行框架——嘉兴大学最应直接对标的本省口径</w:t>
      </w:r>
    </w:p>
    <w:p>
      <w:pPr>
        <w:spacing w:before="0" w:after="80" w:line="360" w:lineRule="exact"/>
        <w:ind w:firstLine="420"/>
      </w:pPr>
      <w:r>
        <w:rPr>
          <w:rFonts w:ascii="Times New Roman" w:hAnsi="Times New Roman" w:eastAsia="宋体"/>
          <w:b w:val="0"/>
          <w:i w:val="0"/>
          <w:sz w:val="21"/>
        </w:rPr>
        <w:t>浙江省在应用型评价上起步早、体系完整，且这两套框架的数据学校本就在填报，是最省力也最现实的对标基础。</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《浙江省普通本科高校分类评价管理指标体系》　</w:t>
      </w:r>
      <w:r>
        <w:rPr>
          <w:rFonts w:ascii="Times New Roman" w:hAnsi="Times New Roman" w:eastAsia="宋体"/>
          <w:b w:val="0"/>
          <w:i w:val="0"/>
          <w:sz w:val="20"/>
        </w:rPr>
        <w:t>配套《浙江省普通本科高校分类评价管理改革办法（试行）》（2016年8月）。分研究为主型、教学研究型、教学为主型三类；六个一级指标三类通用：① 人才培养；② 师资队伍；③ 科学研究与社会服务水平；④ 学科专业建设；⑤ 国际交流；⑥ 学校影响力。二级指标有差异，区分度体现在观察点、评价标准、计分办法和分数权重上；总分1000分。</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《浙江省应用型本科院校建设指导性评价指标体系（试行）》　</w:t>
      </w:r>
      <w:r>
        <w:rPr>
          <w:rFonts w:ascii="Times New Roman" w:hAnsi="Times New Roman" w:eastAsia="宋体"/>
          <w:b w:val="0"/>
          <w:i w:val="0"/>
          <w:sz w:val="20"/>
        </w:rPr>
        <w:t>《浙江省教育厅办公室关于开展应用型本科高校建设评价工作的通知》（浙教办高教〔2017〕70号，2017年10月19日）的附件之一，另两个附件为《自评报告基本要求》和《自评报告支撑数据目录》。本次检索未能取得该指标体系的具体条目，建议由发展规划处从省教育厅或学校档案调取原件——这是嘉兴大学做“双优”对标最应优先拿到的一份本省材料。</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浙江省应用型建设试点—示范制度　</w:t>
      </w:r>
      <w:r>
        <w:rPr>
          <w:rFonts w:ascii="Times New Roman" w:hAnsi="Times New Roman" w:eastAsia="宋体"/>
          <w:b w:val="0"/>
          <w:i w:val="0"/>
          <w:sz w:val="20"/>
        </w:rPr>
        <w:t>起点是《浙江省教育厅 浙江省发展和改革委员会 浙江省财政厅关于积极促进更多本科高校加强应用型建设的指导意见》（浙教高教〔2015〕47号），全省41所本科院校申请试点；2015年12月公布首批应用型试点示范建设学校10所。检索显示嘉兴学院列入后续批次，但两处摘要给出的时间（2017 / 2019）与批次口径互相冲突，本文件不作断定，建议以学校原始立项文件为准。</w:t>
      </w:r>
    </w:p>
    <w:p>
      <w:pPr>
        <w:spacing w:before="40" w:after="160" w:line="260" w:lineRule="exact"/>
        <w:ind w:left="240"/>
      </w:pPr>
      <w:r>
        <w:rPr>
          <w:rFonts w:ascii="Times New Roman" w:hAnsi="Times New Roman" w:eastAsia="楷体"/>
          <w:b w:val="0"/>
          <w:i w:val="0"/>
          <w:color w:val="555F70"/>
          <w:sz w:val="17"/>
        </w:rPr>
        <w:t>【来源】【A】浙江省教育厅.《浙江省普通本科高校分类评价管理改革办法（试行）》（2016-08）http://jyt.zj.gov.cn/art/2016/8/9/art_1229106823_615062.html ；《关于开展应用型本科高校建设评价工作的通知》浙教办高教〔2017〕70号 https://jyt.zj.gov.cn/art/2017/10/19/art_1228998760_27484730.html ；《关于公布应用型试点示范建设学校名单的通知》（2015-12-30）http://jyt.zj.gov.cn/art/2015/12/30/art_1228998760_27484692.html 。指标结构为检索摘要转述，未逐字核验。</w:t>
      </w:r>
    </w:p>
    <w:p>
      <w:pPr>
        <w:keepNext/>
        <w:spacing w:before="280" w:after="140" w:line="390" w:lineRule="exact"/>
        <w:outlineLvl w:val="1"/>
      </w:pPr>
      <w:r>
        <w:rPr>
          <w:rFonts w:ascii="Times New Roman" w:hAnsi="Times New Roman" w:eastAsia="黑体"/>
          <w:b/>
          <w:i w:val="0"/>
          <w:color w:val="1F3B73"/>
          <w:sz w:val="26"/>
        </w:rPr>
        <w:t>（七）其他可参照的省级建设标准与国家配套制度</w:t>
      </w:r>
    </w:p>
    <w:p>
      <w:pPr>
        <w:spacing w:before="0" w:after="80" w:line="360" w:lineRule="exact"/>
        <w:ind w:firstLine="420"/>
      </w:pPr>
      <w:r>
        <w:rPr>
          <w:rFonts w:ascii="Times New Roman" w:hAnsi="Times New Roman" w:eastAsia="宋体"/>
          <w:b w:val="0"/>
          <w:i w:val="0"/>
          <w:sz w:val="21"/>
        </w:rPr>
        <w:t>以下体系与“双优”并无隶属关系，但在指标维度设计上具有借鉴价值，一并列出备查。</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安徽省地方应用型本科院校建设标准（试行·2022修订）　</w:t>
      </w:r>
      <w:r>
        <w:rPr>
          <w:rFonts w:ascii="Times New Roman" w:hAnsi="Times New Roman" w:eastAsia="宋体"/>
          <w:b w:val="0"/>
          <w:i w:val="0"/>
          <w:sz w:val="20"/>
        </w:rPr>
        <w:t>覆盖维度：应用型办学定位、办学条件、师资队伍、人才培养、科学研究、社会服务、文化传承创新、国际合作与交流、内部治理、办学特色；一级指标含“党的全面领导”“办学定位”等，下设二级指标与观测要点。https://fzgh.chzu.edu.cn/2022/0826/c9492a260883/page.htm</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山东省推进应用型本科高校建设的指导意见　</w:t>
      </w:r>
      <w:r>
        <w:rPr>
          <w:rFonts w:ascii="Times New Roman" w:hAnsi="Times New Roman" w:eastAsia="宋体"/>
          <w:b w:val="0"/>
          <w:i w:val="0"/>
          <w:sz w:val="20"/>
        </w:rPr>
        <w:t>鲁教高字〔2020〕2号；2021年2月公布首批支持名单20所，同年11月公示第二批。http://edu.shandong.gov.cn/art/2021/2/23/art_107055_10286484.html</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四川省关于大力推进应用型本科高校建设发展的指导意见　</w:t>
      </w:r>
      <w:r>
        <w:rPr>
          <w:rFonts w:ascii="Times New Roman" w:hAnsi="Times New Roman" w:eastAsia="宋体"/>
          <w:b w:val="0"/>
          <w:i w:val="0"/>
          <w:sz w:val="20"/>
        </w:rPr>
        <w:t>川教〔2024〕40号；配套建设应用型品牌专业、品牌课程，已立项两批地方普通本科高校应用型示范专业200个。</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高等职业学校办学能力评价实施方案（2025—2030年）　</w:t>
      </w:r>
      <w:r>
        <w:rPr>
          <w:rFonts w:ascii="Times New Roman" w:hAnsi="Times New Roman" w:eastAsia="宋体"/>
          <w:b w:val="0"/>
          <w:i w:val="0"/>
          <w:sz w:val="20"/>
        </w:rPr>
        <w:t>教督〔2025〕1号，2025年1月印发。值得注意的是，教育部已在高职领域把“办学能力评价”确立为正式制度术语，而“双优”第一优正是“办学能力优质”，这是判断未来指标结构走向的一条重要线索。</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产教融合型企业与产教融合试点城市　</w:t>
      </w:r>
      <w:r>
        <w:rPr>
          <w:rFonts w:ascii="Times New Roman" w:hAnsi="Times New Roman" w:eastAsia="宋体"/>
          <w:b w:val="0"/>
          <w:i w:val="0"/>
          <w:sz w:val="20"/>
        </w:rPr>
        <w:t>《建设产教融合型企业实施办法（试行）》发改社会〔2019〕590号；《国家产教融合建设试点实施方案》发改社会〔2019〕1558号。均采用“任务清单+政策清单”式设计而非评分表，与“双优”可能的形态相近。</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第三方大学排名（仅供参照，不具政策效力）　</w:t>
      </w:r>
      <w:r>
        <w:rPr>
          <w:rFonts w:ascii="Times New Roman" w:hAnsi="Times New Roman" w:eastAsia="宋体"/>
          <w:b w:val="0"/>
          <w:i w:val="0"/>
          <w:sz w:val="20"/>
        </w:rPr>
        <w:t>校友会（艾瑞深）设有中国应用型大学排名，12个一级指标；GDI大学排行榜5个一级指标（办学条件、人才培养、科研与社会服务、社会声誉、国际影响）；金平果本科院校竞争力评价3个一级指标（政治标准、业务标准、效益标准）。三家的共同短板是：没有一家把“产教融合成效”“区域贡献度”设为一级指标——这恰是“双优”必须与现有排名体系切割之处。</w:t>
      </w:r>
    </w:p>
    <w:p>
      <w:pPr>
        <w:spacing w:before="40" w:after="160" w:line="260" w:lineRule="exact"/>
        <w:ind w:left="240"/>
      </w:pPr>
      <w:r>
        <w:rPr>
          <w:rFonts w:ascii="Times New Roman" w:hAnsi="Times New Roman" w:eastAsia="楷体"/>
          <w:b w:val="0"/>
          <w:i w:val="0"/>
          <w:color w:val="555F70"/>
          <w:sz w:val="17"/>
        </w:rPr>
        <w:t>【来源】【A/C】各条来源见正文所附链接；均为检索摘要转述，未逐字核验。教督〔2025〕1号转载见 https://fzgh.yazy.edu.cn/info/1006/1269.htm ；发改社会〔2019〕590号 https://www.ndrc.gov.cn/xxgk/zcfb/tz/201904/t20190403_962417_ext.html ；发改社会〔2019〕1558号 https://www.ndrc.gov.cn/xxgk/zcfb/tz/201910/t20191009_1181933.html 。</w:t>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七、网络检索补充与核验结论</w:t>
      </w:r>
    </w:p>
    <w:p>
      <w:pPr>
        <w:keepNext/>
        <w:spacing w:before="280" w:after="140" w:line="390" w:lineRule="exact"/>
        <w:outlineLvl w:val="1"/>
      </w:pPr>
      <w:r>
        <w:rPr>
          <w:rFonts w:ascii="Times New Roman" w:hAnsi="Times New Roman" w:eastAsia="黑体"/>
          <w:b/>
          <w:i w:val="0"/>
          <w:color w:val="1F3B73"/>
          <w:sz w:val="26"/>
        </w:rPr>
        <w:t>（一）本次网络检索的方法、范围与限制</w:t>
      </w:r>
    </w:p>
    <w:p>
      <w:pPr>
        <w:spacing w:before="0" w:after="80" w:line="360" w:lineRule="exact"/>
        <w:ind w:firstLine="420"/>
      </w:pPr>
      <w:r>
        <w:rPr>
          <w:rFonts w:ascii="Times New Roman" w:hAnsi="Times New Roman" w:eastAsia="宋体"/>
          <w:b w:val="0"/>
          <w:i w:val="0"/>
          <w:sz w:val="21"/>
        </w:rPr>
        <w:t>本次检索由七路并行的检索任务组成，分别覆盖：官方政策原文、中文学术论文、Google Scholar 等国际学术检索、媒体与智库解读、省级落实文件、可对标评价体系、以及嘉兴大学与嘉兴区域。其中五路成功产出结果，两路（嘉兴大学角度、以及四项事实核验）因搜索接口配额耗尽而未能执行。</w:t>
      </w:r>
    </w:p>
    <w:p>
      <w:pPr>
        <w:spacing w:before="0" w:after="80" w:line="360" w:lineRule="exact"/>
        <w:ind w:firstLine="420"/>
      </w:pPr>
      <w:r>
        <w:rPr>
          <w:rFonts w:ascii="Times New Roman" w:hAnsi="Times New Roman" w:eastAsia="宋体"/>
          <w:b w:val="0"/>
          <w:i w:val="0"/>
          <w:sz w:val="21"/>
        </w:rPr>
        <w:t>必须如实说明的限制有两点。第一，本文件编制所在的运行环境，其出口网关对所有外部站点的直接访问一律返回 403（组织出口策略拒绝），已实测被拒的域名包括 moe.gov.cn、news.cn、gov.cn、npc.gov.cn、kns.cnki.net、xueshu.baidu.com、scholar.google.com、zjxu.edu.cn 等，因此无法打开任何一个网页逐字核对正文。第二，搜索引擎接口的单会话调用配额（200次）在检索过程中被用尽，导致嘉兴大学专项检索未能开展。</w:t>
      </w:r>
    </w:p>
    <w:p>
      <w:pPr>
        <w:spacing w:before="0" w:after="80" w:line="360" w:lineRule="exact"/>
        <w:ind w:firstLine="420"/>
      </w:pPr>
      <w:r>
        <w:rPr>
          <w:rFonts w:ascii="Times New Roman" w:hAnsi="Times New Roman" w:eastAsia="宋体"/>
          <w:b w:val="0"/>
          <w:i w:val="0"/>
          <w:sz w:val="21"/>
        </w:rPr>
        <w:t>这意味着：本文件中凡涉及网络来源的内容，其可靠性等级是“搜索引擎摘要级”——标题、链接、日期可核验，正文引文则可能与原文有出入。凡此类内容本文件均已逐条标注“检索摘要转述”。相反，四篇附件论文的 PDF 已完整读取，所有标注“论文原文”的引述均逐字可靠。</w:t>
      </w:r>
    </w:p>
    <w:p>
      <w:pPr>
        <w:spacing w:before="0" w:after="80" w:line="360" w:lineRule="exact"/>
        <w:ind w:firstLine="420"/>
      </w:pPr>
      <w:r>
        <w:rPr>
          <w:rFonts w:ascii="Times New Roman" w:hAnsi="Times New Roman" w:eastAsia="宋体"/>
          <w:b w:val="0"/>
          <w:i w:val="0"/>
          <w:sz w:val="21"/>
        </w:rPr>
        <w:t>建议：在正式对外行文前，请安排专人在可正常联网的环境下，优先核对三份材料——《教育发展“十五五”规划》原文中的“双优”段落（教育部门户）、教育部负责人就该规划答记者问、以及怀进鹏2026年3月7日记者会文字实录。这三份是本文件政策部分的地基。</w:t>
      </w:r>
    </w:p>
    <w:p>
      <w:pPr>
        <w:spacing w:before="40" w:after="160" w:line="260" w:lineRule="exact"/>
        <w:ind w:left="240"/>
      </w:pPr>
      <w:r>
        <w:rPr>
          <w:rFonts w:ascii="Times New Roman" w:hAnsi="Times New Roman" w:eastAsia="楷体"/>
          <w:b w:val="0"/>
          <w:i w:val="0"/>
          <w:color w:val="555F70"/>
          <w:sz w:val="17"/>
        </w:rPr>
        <w:t>【来源】【D】本文件整理。代理状态诊断记录：gateway answered 403 to CONNECT（policy denial）。</w:t>
      </w:r>
    </w:p>
    <w:p>
      <w:pPr>
        <w:keepNext/>
        <w:spacing w:before="280" w:after="140" w:line="390" w:lineRule="exact"/>
        <w:outlineLvl w:val="1"/>
      </w:pPr>
      <w:r>
        <w:rPr>
          <w:rFonts w:ascii="Times New Roman" w:hAnsi="Times New Roman" w:eastAsia="黑体"/>
          <w:b/>
          <w:i w:val="0"/>
          <w:color w:val="1F3B73"/>
          <w:sz w:val="26"/>
        </w:rPr>
        <w:t>（二）核心结论：官方指标体系尚未发布</w:t>
      </w:r>
    </w:p>
    <w:p>
      <w:pPr>
        <w:spacing w:before="0" w:after="80" w:line="360" w:lineRule="exact"/>
        <w:ind w:firstLine="420"/>
      </w:pPr>
      <w:r>
        <w:rPr>
          <w:rFonts w:ascii="Times New Roman" w:hAnsi="Times New Roman" w:eastAsia="宋体"/>
          <w:b w:val="0"/>
          <w:i w:val="0"/>
          <w:sz w:val="21"/>
        </w:rPr>
        <w:t>四路检索独立得出同一结论：截至2026年8月19日，未检索到教育部或国务院印发的“双优”工程建设方案、遴选办法、认定标准、绩效评价方案或指标体系文件，也未检索到任何对应文号。在 moe.gov.cn 域内定向检索“高水平应用型 双优 通知 印发”，返回的最相关结果全部指向《教育发展“十五五”规划》本身。</w:t>
      </w:r>
    </w:p>
    <w:p>
      <w:pPr>
        <w:spacing w:before="0" w:after="80" w:line="360" w:lineRule="exact"/>
        <w:ind w:firstLine="420"/>
      </w:pPr>
      <w:r>
        <w:rPr>
          <w:rFonts w:ascii="Times New Roman" w:hAnsi="Times New Roman" w:eastAsia="宋体"/>
          <w:b w:val="0"/>
          <w:i w:val="0"/>
          <w:sz w:val="21"/>
        </w:rPr>
        <w:t>两条旁证进一步支持这一判断。其一，中国高等教育学会2026年度高等教育科学研究规划课题指南中列有“‘双优’工程引领下高水平应用型大学建设标准与实践路径研究”一类课题——把“建设标准”列为待研究选题，反证标准仍在研制。其二，多篇2026年4—7月的评论明确呼吁“国家层面应就建设200所左右高水平应用型本科高校出台实施意见”，即当时尚未出台。</w:t>
      </w:r>
    </w:p>
    <w:p>
      <w:pPr>
        <w:spacing w:before="0" w:after="80" w:line="360" w:lineRule="exact"/>
        <w:ind w:firstLine="420"/>
      </w:pPr>
      <w:r>
        <w:rPr>
          <w:rFonts w:ascii="Times New Roman" w:hAnsi="Times New Roman" w:eastAsia="宋体"/>
          <w:b w:val="0"/>
          <w:i w:val="0"/>
          <w:sz w:val="21"/>
        </w:rPr>
        <w:t>结论的实践含义是明确的：任何以条目化“指标体系”形式出现的“双优标准”，目前均非官方文件。学校在内部部署时，宜将本文件第二、三章的二十个要素定位为“最权威的学理预判”，而非“已确定的评分表”；同时保持对教育部后续文件的紧密跟踪。</w:t>
      </w:r>
    </w:p>
    <w:p>
      <w:pPr>
        <w:spacing w:before="40" w:after="160" w:line="260" w:lineRule="exact"/>
        <w:ind w:left="240"/>
      </w:pPr>
      <w:r>
        <w:rPr>
          <w:rFonts w:ascii="Times New Roman" w:hAnsi="Times New Roman" w:eastAsia="楷体"/>
          <w:b w:val="0"/>
          <w:i w:val="0"/>
          <w:color w:val="555F70"/>
          <w:sz w:val="17"/>
        </w:rPr>
        <w:t>【来源】【D】本文件基于多路检索的交叉判断。相关旁证：中国高等教育学会2026年度课题指南；《应用型本科高校“国家队”怎么选怎么建》，中国青年报2026-04-24，http://news.cyol.com/gb/articles/2026-04/24/content_OVg6YPuWy0.html （检索摘要转述）。</w:t>
      </w:r>
    </w:p>
    <w:p>
      <w:pPr>
        <w:keepNext/>
        <w:spacing w:before="280" w:after="140" w:line="390" w:lineRule="exact"/>
        <w:outlineLvl w:val="1"/>
      </w:pPr>
      <w:r>
        <w:rPr>
          <w:rFonts w:ascii="Times New Roman" w:hAnsi="Times New Roman" w:eastAsia="黑体"/>
          <w:b/>
          <w:i w:val="0"/>
          <w:color w:val="1F3B73"/>
          <w:sz w:val="26"/>
        </w:rPr>
        <w:t>（三）关于“200所”与“首批名单”的口径澄清</w:t>
      </w:r>
    </w:p>
    <w:p>
      <w:pPr>
        <w:spacing w:before="0" w:after="80" w:line="360" w:lineRule="exact"/>
        <w:ind w:firstLine="420"/>
      </w:pPr>
      <w:r>
        <w:rPr>
          <w:rFonts w:ascii="Times New Roman" w:hAnsi="Times New Roman" w:eastAsia="宋体"/>
          <w:b w:val="0"/>
          <w:i w:val="0"/>
          <w:sz w:val="21"/>
        </w:rPr>
        <w:t>“200所左右”这一数字，检索显示出自国务院《教育发展“十五五”规划》（“建设200所左右高水平应用型本科高校、在有条件的本科高校建设若干优质特色学科专业”），属官方规模目标，但本次未能打开原文逐字核对，引用时宜注明出处并留有余地。</w:t>
      </w:r>
    </w:p>
    <w:p>
      <w:pPr>
        <w:spacing w:before="0" w:after="80" w:line="360" w:lineRule="exact"/>
        <w:ind w:firstLine="420"/>
      </w:pPr>
      <w:r>
        <w:rPr>
          <w:rFonts w:ascii="Times New Roman" w:hAnsi="Times New Roman" w:eastAsia="宋体"/>
          <w:b w:val="0"/>
          <w:i w:val="0"/>
          <w:sz w:val="21"/>
        </w:rPr>
        <w:t>媒体流传的一种“存量口径”解读认为：“十三五”教育现代化推进工程应用型本科高校建设项目100所，加“十四五”教育强国推进工程应用型本科高校建设137所，去重后约200所，构成“双优”的潜在基础盘。必须指出：这是媒体推断，教育部从未确认两者的对应关系，不宜在正式材料中引用。</w:t>
      </w:r>
    </w:p>
    <w:p>
      <w:pPr>
        <w:spacing w:before="0" w:after="80" w:line="360" w:lineRule="exact"/>
        <w:ind w:firstLine="420"/>
      </w:pPr>
      <w:r>
        <w:rPr>
          <w:rFonts w:ascii="Times New Roman" w:hAnsi="Times New Roman" w:eastAsia="宋体"/>
          <w:b w:val="0"/>
          <w:i w:val="0"/>
          <w:sz w:val="21"/>
        </w:rPr>
        <w:t>关于首批名单，检索未发现任何国家级公示或名单。网络流传的“最可能入选高校”名单（如已获国家级试点身份的东莞理工学院、上海电力大学、重庆理工大学等）均为媒体推测。一则“四川启动试点，4所应用型高校入选首批名单”的网文，其校名在不同检索结果中互相矛盾，本文件按存疑处理，不予采信。</w:t>
      </w:r>
    </w:p>
    <w:p>
      <w:pPr>
        <w:spacing w:before="0" w:after="80" w:line="360" w:lineRule="exact"/>
        <w:ind w:firstLine="420"/>
      </w:pPr>
      <w:r>
        <w:rPr>
          <w:rFonts w:ascii="Times New Roman" w:hAnsi="Times New Roman" w:eastAsia="宋体"/>
          <w:b w:val="0"/>
          <w:i w:val="0"/>
          <w:sz w:val="21"/>
        </w:rPr>
        <w:t>此外，用户提及的文章《从“一把尺子”到多元发展：“双优”工程重构中国高校版图》，以完整标题精确检索未命中任何来源，很可能是自媒体二次加工的标题或转载改题，其中“支持建设一批以办学能力优质、服务区域经济社会发展优秀为目标的高水平应用型本科高校”的表述与《规划》原文一致，但“200所高校如何选、如何建”等论断属评论观点，引用时不宜标注为出处明确的文献。</w:t>
      </w:r>
    </w:p>
    <w:p>
      <w:pPr>
        <w:spacing w:before="40" w:after="160" w:line="260" w:lineRule="exact"/>
        <w:ind w:left="240"/>
      </w:pPr>
      <w:r>
        <w:rPr>
          <w:rFonts w:ascii="Times New Roman" w:hAnsi="Times New Roman" w:eastAsia="楷体"/>
          <w:b w:val="0"/>
          <w:i w:val="0"/>
          <w:color w:val="555F70"/>
          <w:sz w:val="17"/>
        </w:rPr>
        <w:t>【来源】【C/D】腾讯新闻（青塔）《“双一流”之后，“双优”评选来了！应用型本科迎来“国家队”》https://news.qq.com/rain/a/20260709A09EMI00 （2026-07-09）；《应用型高校，迎来国家队！》https://news.qq.com/rain/a/20260801A0AU0900 （2026-08-01）。以上均为媒体推测，非官方口径。</w:t>
      </w:r>
    </w:p>
    <w:p>
      <w:pPr>
        <w:keepNext/>
        <w:spacing w:before="280" w:after="140" w:line="390" w:lineRule="exact"/>
        <w:outlineLvl w:val="1"/>
      </w:pPr>
      <w:r>
        <w:rPr>
          <w:rFonts w:ascii="Times New Roman" w:hAnsi="Times New Roman" w:eastAsia="黑体"/>
          <w:b/>
          <w:i w:val="0"/>
          <w:color w:val="1F3B73"/>
          <w:sz w:val="26"/>
        </w:rPr>
        <w:t>（四）网上流传要素图表的出处认定</w:t>
      </w:r>
    </w:p>
    <w:p>
      <w:pPr>
        <w:spacing w:before="0" w:after="80" w:line="360" w:lineRule="exact"/>
        <w:ind w:firstLine="420"/>
      </w:pPr>
      <w:r>
        <w:rPr>
          <w:rFonts w:ascii="Times New Roman" w:hAnsi="Times New Roman" w:eastAsia="宋体"/>
          <w:b w:val="0"/>
          <w:i w:val="0"/>
          <w:sz w:val="21"/>
        </w:rPr>
        <w:t>用户提供的“‘优秀办学’和‘优秀服务’的关键要素”图表，底部标注的数据来源为“瞿振元，蔺跟荣．‘双优’工程：应用型大学面对的机遇、挑战与应对[J]．中国人民大学教育学刊”。检索确认，该图表由青塔发布，承载文章为2026年8月1日发表于腾讯新闻的《应用型高校，迎来国家队！》。三次独立检索交叉复现的要素词表，与本文件第二、三章逐字录自论文 PDF 的内容完全一致，可以确认图表内容忠实于论文原文。</w:t>
      </w:r>
    </w:p>
    <w:p>
      <w:pPr>
        <w:spacing w:before="0" w:after="80" w:line="360" w:lineRule="exact"/>
        <w:ind w:firstLine="420"/>
      </w:pPr>
      <w:r>
        <w:rPr>
          <w:rFonts w:ascii="Times New Roman" w:hAnsi="Times New Roman" w:eastAsia="宋体"/>
          <w:b w:val="0"/>
          <w:i w:val="0"/>
          <w:sz w:val="21"/>
        </w:rPr>
        <w:t>唯一的差异是措辞：论文原文用的是“优质办学”，图表标题写作“优秀办学”。两者所指为同一组要素。学校在正式文稿中建议采用论文原文的“优质办学”，或直接使用《规划》的官方表述“办学能力优质”。</w:t>
      </w:r>
    </w:p>
    <w:p>
      <w:pPr>
        <w:spacing w:before="0" w:after="80" w:line="360" w:lineRule="exact"/>
        <w:ind w:firstLine="420"/>
      </w:pPr>
      <w:r>
        <w:rPr>
          <w:rFonts w:ascii="Times New Roman" w:hAnsi="Times New Roman" w:eastAsia="宋体"/>
          <w:b w:val="0"/>
          <w:i w:val="0"/>
          <w:sz w:val="21"/>
        </w:rPr>
        <w:t>顺带说明，检索还发现青塔该文列举了已公开锚定“双优”目标的高校，包括中北大学、江苏理工学院、湖北汽车工业学院等；另有北京联合大学、广东白云学院、重庆工商大学等已就“双优”公开表态。这属于院校自我动员，不代表遴选已启动。</w:t>
      </w:r>
    </w:p>
    <w:p>
      <w:pPr>
        <w:spacing w:before="40" w:after="160" w:line="260" w:lineRule="exact"/>
        <w:ind w:left="240"/>
      </w:pPr>
      <w:r>
        <w:rPr>
          <w:rFonts w:ascii="Times New Roman" w:hAnsi="Times New Roman" w:eastAsia="楷体"/>
          <w:b w:val="0"/>
          <w:i w:val="0"/>
          <w:color w:val="555F70"/>
          <w:sz w:val="17"/>
        </w:rPr>
        <w:t>【来源】【C】青塔.《应用型高校，迎来国家队！》腾讯新闻，2026-08-01，https://news.qq.com/rain/a/20260801A0AU0900 。北京联合大学《推进学科专业优化，聚力双优高校建设》https://www.buu.edu.cn/art/2026/8/10/art_37990_835247.html ；广东白云学院《锚定“双优”目标 建设一流应用型大学》https://www.baiyunu.edu.cn/info/1341/285901.htm 。（检索摘要转述）</w:t>
      </w:r>
    </w:p>
    <w:p>
      <w:pPr>
        <w:keepNext/>
        <w:spacing w:before="280" w:after="140" w:line="390" w:lineRule="exact"/>
        <w:outlineLvl w:val="1"/>
      </w:pPr>
      <w:r>
        <w:rPr>
          <w:rFonts w:ascii="Times New Roman" w:hAnsi="Times New Roman" w:eastAsia="黑体"/>
          <w:b/>
          <w:i w:val="0"/>
          <w:color w:val="1F3B73"/>
          <w:sz w:val="26"/>
        </w:rPr>
        <w:t>（五）值得关注的一种主张：从“以学校为单位”转向“以学科专业为单位”</w:t>
      </w:r>
    </w:p>
    <w:p>
      <w:pPr>
        <w:spacing w:before="0" w:after="80" w:line="360" w:lineRule="exact"/>
        <w:ind w:firstLine="420"/>
      </w:pPr>
      <w:r>
        <w:rPr>
          <w:rFonts w:ascii="Times New Roman" w:hAnsi="Times New Roman" w:eastAsia="宋体"/>
          <w:b w:val="0"/>
          <w:i w:val="0"/>
          <w:sz w:val="21"/>
        </w:rPr>
        <w:t>《中国科学报》2026年7月7日“中国大学评论”版刊发的《“双优”建设要实现三个转变》一文，提出的第一个转变是：建设层次上，从以学校为单位向以学科专业为单位转变，以避免资源过度集中于少数高校、避免综合化倾向；第二个转变是建设方式上，从直接给资源支持向培育资源获取能力转变，即应用型高校面向市场，应具备“造血”能力。</w:t>
      </w:r>
    </w:p>
    <w:p>
      <w:pPr>
        <w:spacing w:before="0" w:after="80" w:line="360" w:lineRule="exact"/>
        <w:ind w:firstLine="420"/>
      </w:pPr>
      <w:r>
        <w:rPr>
          <w:rFonts w:ascii="Times New Roman" w:hAnsi="Times New Roman" w:eastAsia="宋体"/>
          <w:b w:val="0"/>
          <w:i w:val="0"/>
          <w:sz w:val="21"/>
        </w:rPr>
        <w:t>另有研讨观点建议“十五五”期间建设约500个高水平应用型学科专业，学科专业遴选可采用行业领域特色、不可替代贡献、学生培养规模与质量等指标。</w:t>
      </w:r>
    </w:p>
    <w:p>
      <w:pPr>
        <w:spacing w:before="0" w:after="80" w:line="360" w:lineRule="exact"/>
        <w:ind w:firstLine="420"/>
      </w:pPr>
      <w:r>
        <w:rPr>
          <w:rFonts w:ascii="Times New Roman" w:hAnsi="Times New Roman" w:eastAsia="宋体"/>
          <w:b w:val="0"/>
          <w:i w:val="0"/>
          <w:sz w:val="21"/>
        </w:rPr>
        <w:t>这一主张与《规划》原文“在有条件的本科高校建设若干优质特色学科专业”的表述方向一致，值得高度关注：如果最终的“双优”采取“学校+学科专业”双层设计，那么学校即便暂未进入200所，仍有机会以优势特色学科专业单独入列。对嘉兴大学而言，这意味着学科专业群的凝练可能比学校整体排名更具决定性。</w:t>
      </w:r>
    </w:p>
    <w:p>
      <w:pPr>
        <w:spacing w:before="0" w:after="80" w:line="360" w:lineRule="exact"/>
        <w:ind w:firstLine="420"/>
      </w:pPr>
      <w:r>
        <w:rPr>
          <w:rFonts w:ascii="Times New Roman" w:hAnsi="Times New Roman" w:eastAsia="宋体"/>
          <w:b w:val="0"/>
          <w:i w:val="0"/>
          <w:sz w:val="21"/>
        </w:rPr>
        <w:t>提示：以上均为评论与研讨观点（B/C类），非官方口径，且本次未能打开原文核验，第三个转变的具体表述在不同检索摘要中不一致，本文件不予采信。</w:t>
      </w:r>
    </w:p>
    <w:p>
      <w:pPr>
        <w:spacing w:before="40" w:after="160" w:line="260" w:lineRule="exact"/>
        <w:ind w:left="240"/>
      </w:pPr>
      <w:r>
        <w:rPr>
          <w:rFonts w:ascii="Times New Roman" w:hAnsi="Times New Roman" w:eastAsia="楷体"/>
          <w:b w:val="0"/>
          <w:i w:val="0"/>
          <w:color w:val="555F70"/>
          <w:sz w:val="17"/>
        </w:rPr>
        <w:t>【来源】【C】《“双优”建设要实现三个转变》，科学网/《中国科学报》2026-07-07，https://news.sciencenet.cn/htmlnews/2026/7/567863.shtm ；版面PDF https://news.sciencenet.cn/dz/upload/2026/7/20267762242161.pdf 。中国青年报《“双优”工程视域下，应用型大学如何高质量发展》2026-07-03，http://zqb.cyol.com/pc/content/202607/03/content_427738.html 。（检索摘要转述）</w:t>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八、对嘉兴大学的对标建议与自检清单</w:t>
      </w:r>
    </w:p>
    <w:p>
      <w:pPr>
        <w:keepNext/>
        <w:spacing w:before="280" w:after="140" w:line="390" w:lineRule="exact"/>
        <w:outlineLvl w:val="1"/>
      </w:pPr>
      <w:r>
        <w:rPr>
          <w:rFonts w:ascii="Times New Roman" w:hAnsi="Times New Roman" w:eastAsia="黑体"/>
          <w:b/>
          <w:i w:val="0"/>
          <w:color w:val="1F3B73"/>
          <w:sz w:val="26"/>
        </w:rPr>
        <w:t>（一）说明：本章的性质与一处必须交代的缺口</w:t>
      </w:r>
    </w:p>
    <w:p>
      <w:pPr>
        <w:spacing w:before="0" w:after="80" w:line="360" w:lineRule="exact"/>
        <w:ind w:firstLine="420"/>
      </w:pPr>
      <w:r>
        <w:rPr>
          <w:rFonts w:ascii="Times New Roman" w:hAnsi="Times New Roman" w:eastAsia="宋体"/>
          <w:b w:val="0"/>
          <w:i w:val="0"/>
          <w:sz w:val="21"/>
        </w:rPr>
        <w:t>本章不是对嘉兴大学现状的评估——本次编制环境无法访问 zjxu.edu.cn 及任何外部站点，针对嘉兴大学的专项检索也因搜索配额耗尽未能执行，因此本文件不掌握、也不臆测嘉兴大学的具体办学数据（留嘉率、平台数、技术合同额、博士点进展等一概未查证）。</w:t>
      </w:r>
    </w:p>
    <w:p>
      <w:pPr>
        <w:spacing w:before="0" w:after="80" w:line="360" w:lineRule="exact"/>
        <w:ind w:firstLine="420"/>
      </w:pPr>
      <w:r>
        <w:rPr>
          <w:rFonts w:ascii="Times New Roman" w:hAnsi="Times New Roman" w:eastAsia="宋体"/>
          <w:b w:val="0"/>
          <w:i w:val="0"/>
          <w:sz w:val="21"/>
        </w:rPr>
        <w:t>本章提供的是一份对标框架：把二十个关键要素翻译成学校可以立即填数、逐项自检的清单，并接上浙江省已有的政策锚点。数据由学校发展规划处、科技处、就业指导中心等部门填入，才能形成真正的诊断。凡本章出现的浙江省政策条目，均已注明来源与可靠性等级。</w:t>
      </w:r>
    </w:p>
    <w:p>
      <w:pPr>
        <w:spacing w:before="40" w:after="160" w:line="260" w:lineRule="exact"/>
        <w:ind w:left="240"/>
      </w:pPr>
      <w:r>
        <w:rPr>
          <w:rFonts w:ascii="Times New Roman" w:hAnsi="Times New Roman" w:eastAsia="楷体"/>
          <w:b w:val="0"/>
          <w:i w:val="0"/>
          <w:color w:val="555F70"/>
          <w:sz w:val="17"/>
        </w:rPr>
        <w:t>【来源】【D】本文件整理。</w:t>
      </w:r>
    </w:p>
    <w:p>
      <w:pPr>
        <w:keepNext/>
        <w:spacing w:before="280" w:after="140" w:line="390" w:lineRule="exact"/>
        <w:outlineLvl w:val="1"/>
      </w:pPr>
      <w:r>
        <w:rPr>
          <w:rFonts w:ascii="Times New Roman" w:hAnsi="Times New Roman" w:eastAsia="黑体"/>
          <w:b/>
          <w:i w:val="0"/>
          <w:color w:val="1F3B73"/>
          <w:sz w:val="26"/>
        </w:rPr>
        <w:t>（二）浙江省层面的三个政策锚点</w:t>
      </w:r>
    </w:p>
    <w:p>
      <w:pPr>
        <w:spacing w:before="0" w:after="80" w:line="360" w:lineRule="exact"/>
        <w:ind w:firstLine="420"/>
      </w:pPr>
      <w:r>
        <w:rPr>
          <w:rFonts w:ascii="Times New Roman" w:hAnsi="Times New Roman" w:eastAsia="宋体"/>
          <w:b w:val="0"/>
          <w:i w:val="0"/>
          <w:sz w:val="21"/>
        </w:rPr>
        <w:t>对嘉兴大学而言，“双优”不是一道从天而降的国家题，它首先要落在浙江省的盘子里。本次检索找到三个直接相关的省级锚点，构成学校谋划“双优”的现实坐标：</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省政府“10所左右”的盘子　</w:t>
      </w:r>
      <w:r>
        <w:rPr>
          <w:rFonts w:ascii="Times New Roman" w:hAnsi="Times New Roman" w:eastAsia="宋体"/>
          <w:b w:val="0"/>
          <w:i w:val="0"/>
          <w:sz w:val="20"/>
        </w:rPr>
        <w:t>浙江省人民政府办公厅《关于进一步深化产教融合的实施意见》（2025年10月20日起施行，同时废止浙政办发〔2018〕106号）提出：打造10所左右特色鲜明、融入地方发展的高水平应用型本科高校；到2030年新打造2个以上国家级产教融合创新平台，支持200家以上省产教融合型重点企业，实施10个以上重点产业产教融合“一业一策”方案。这“10所左右”很可能就是浙江对接国家“双优”的省内基本盘——这是学校最应盯住的数字。来源：https://www.zjzs.net/art/2025/10/20/art_320_11628.html （检索摘要转述）</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省委“十五五”建议的定调　</w:t>
      </w:r>
      <w:r>
        <w:rPr>
          <w:rFonts w:ascii="Times New Roman" w:hAnsi="Times New Roman" w:eastAsia="宋体"/>
          <w:b w:val="0"/>
          <w:i w:val="0"/>
          <w:sz w:val="20"/>
        </w:rPr>
        <w:t>《中共浙江省委关于制定浙江省国民经济和社会发展第十五个五年规划的建议》（2025年12月，省委十五届八次全会通过）在“深化教育科技人才一体改革发展”部分提出“支持一批高校建成高水平应用型大学”。这是浙江省委层面唯一明确对应“双优”方向的表述，但无遴选口径、无数量、无指标。来源：http://www.zjsjw.gov.cn/toutiao/202512/t20251203_23839885.shtml （检索摘要转述）</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省市共建的体制基础　</w:t>
      </w:r>
      <w:r>
        <w:rPr>
          <w:rFonts w:ascii="Times New Roman" w:hAnsi="Times New Roman" w:eastAsia="宋体"/>
          <w:b w:val="0"/>
          <w:i w:val="0"/>
          <w:sz w:val="20"/>
        </w:rPr>
        <w:t>《中共浙江省委 浙江省人民政府关于全面实施高等教育强省战略的意见》（2018年8月9日）提出“探索省市共建、部门共建等方式，支持每个市重点建设好1—2所高校”，并明确“构建从高职院校、应用型本科到专业学位研究生的人才培养体系”。嘉兴大学实行省市共建共管、以省为主的管理体制，这一条是学校争取省市两级叠加支持的直接制度依据。来源：教育部官网PDF http://www.moe.gov.cn/s78/A02/gongzuo/fangguanfu/201905/W020190515295651145399.pdf ；嘉兴大学学校概况 https://www.zjxu.edu.cn/xqzl/xxgk.htm （检索摘要转述，未打开核验）</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一次值得注意的省级动作　</w:t>
      </w:r>
      <w:r>
        <w:rPr>
          <w:rFonts w:ascii="Times New Roman" w:hAnsi="Times New Roman" w:eastAsia="宋体"/>
          <w:b w:val="0"/>
          <w:i w:val="0"/>
          <w:sz w:val="20"/>
        </w:rPr>
        <w:t>2026年7月2—3日，高水平应用型大学发展研讨会在杭州举行，指导单位为教育部学校规划建设发展中心和浙江省教育厅，由中国应用技术大学（学院）联盟、浙江省高等教育学会、浙江省应用型本科高校联盟主办，浙江科技大学承办。这是“双优”背景下浙江省教育厅最直接的一次公开动作。来源：https://www.zust.edu.cn/info/1086/19998.htm</w:t>
      </w:r>
    </w:p>
    <w:p>
      <w:pPr>
        <w:spacing w:before="40" w:after="160" w:line="260" w:lineRule="exact"/>
        <w:ind w:left="240"/>
      </w:pPr>
      <w:r>
        <w:rPr>
          <w:rFonts w:ascii="Times New Roman" w:hAnsi="Times New Roman" w:eastAsia="楷体"/>
          <w:b w:val="0"/>
          <w:i w:val="0"/>
          <w:color w:val="555F70"/>
          <w:sz w:val="17"/>
        </w:rPr>
        <w:t>【来源】【A/C】各条来源见条目内链接，均为检索摘要转述，未能打开原文逐字核验。</w:t>
      </w:r>
    </w:p>
    <w:p>
      <w:pPr>
        <w:keepNext/>
        <w:spacing w:before="280" w:after="140" w:line="390" w:lineRule="exact"/>
        <w:outlineLvl w:val="1"/>
      </w:pPr>
      <w:r>
        <w:rPr>
          <w:rFonts w:ascii="Times New Roman" w:hAnsi="Times New Roman" w:eastAsia="黑体"/>
          <w:b/>
          <w:i w:val="0"/>
          <w:color w:val="1F3B73"/>
          <w:sz w:val="26"/>
        </w:rPr>
        <w:t>（三）对标自检清单：二十个要素的填数表</w:t>
      </w:r>
    </w:p>
    <w:p>
      <w:pPr>
        <w:spacing w:before="0" w:after="80" w:line="360" w:lineRule="exact"/>
        <w:ind w:firstLine="420"/>
      </w:pPr>
      <w:r>
        <w:rPr>
          <w:rFonts w:ascii="Times New Roman" w:hAnsi="Times New Roman" w:eastAsia="宋体"/>
          <w:b w:val="0"/>
          <w:i w:val="0"/>
          <w:sz w:val="21"/>
        </w:rPr>
        <w:t>建议由发展规划处牵头，按下表逐项填入嘉兴大学近三年数据与全省同类高校位次，形成“双优”自检底账。填表要点有三：一是每项都要有三年趋势，因为《“双一流”建设成效评价办法》的方法论重视“成长提升”而非绝对水平；二是“优秀服务”十项要尽量拆到嘉兴市域口径，因为“服务区域”的第一层含义就是学校所在地级市；三是凡是自身弱项，与其粉饰，不如同步列出补短板的举措与时间表。</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优质办学·十项填数口径　</w:t>
      </w:r>
      <w:r>
        <w:rPr>
          <w:rFonts w:ascii="Times New Roman" w:hAnsi="Times New Roman" w:eastAsia="宋体"/>
          <w:b w:val="0"/>
          <w:i w:val="0"/>
          <w:sz w:val="20"/>
        </w:rPr>
        <w:t>① 办学方向：章程与规划中“地方性、应用型”定位表述；②高水平师资队伍：“双师双能型”教师占比、教师企业实践累计时长、产业教授数；③人才培养质效：实践教学学分占比、现代产业学院数、用人单位满意度、生均课程门数（谢维和特别强调）；④学科战略布局：学科专业群对嘉兴市主导产业与战略性新兴产业的覆盖率；⑤科技创新与社会贡献：横向经费占比、发明专利产业化率；⑥国际交流：中外合作办学项目、服务本地企业“走出去”的项目；⑦现代化治理体系：理事会中政企行代表占比；⑧资源配置与保障：教学与实训经费占比、生均教学科研仪器设备值；⑨毕业生职业发展：毕业去向落实率、专业相关度、毕业生3—5年发展；⑩社会公信力与声誉：第三方评价与地方政府评价。</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优秀服务·十项填数口径　</w:t>
      </w:r>
      <w:r>
        <w:rPr>
          <w:rFonts w:ascii="Times New Roman" w:hAnsi="Times New Roman" w:eastAsia="宋体"/>
          <w:b w:val="0"/>
          <w:i w:val="0"/>
          <w:sz w:val="20"/>
        </w:rPr>
        <w:t>① 毕业生留用率：留嘉兴市就业比例、留浙比例（这是“最直接的指标”，也是与审核评估“毕业生面向学校所服务区域就业情况”完全同源的一条）；②共建平台数量及层级；③技术合同登记额与横向经费；④成果转化收益及本地转化占比；⑤社会培训人次与培训收入；⑥被市级以上党政部门采纳的咨询报告数与领导批示件数；⑦服务地方人才引育：引进高层次人才数及其服务地方项目；⑧专业产业支持度：对接嘉兴支柱产业的专业数及在校生占比；⑨资源开放频次：图书馆、实验室、大型仪器对外开放天数与服务企业数；⑩派驻专家人数：“科技副总”“科技特派员”人数。</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跨表校验（陈文博“转化效率”视角）　</w:t>
      </w:r>
      <w:r>
        <w:rPr>
          <w:rFonts w:ascii="Times New Roman" w:hAnsi="Times New Roman" w:eastAsia="宋体"/>
          <w:b w:val="0"/>
          <w:i w:val="0"/>
          <w:sz w:val="20"/>
        </w:rPr>
        <w:t>把两张表并排看，重点校验四个转化比：师资投入→技术合同额、平台数→成果转化收益、专业布点→毕业生留用率、科研经费→本地转化率。转化比低，说明“能力”未变成“贡献”，这正是“双优”评价最要害的地方——办学能力优质并不自动等于服务优秀。</w:t>
      </w:r>
    </w:p>
    <w:p>
      <w:pPr>
        <w:spacing w:before="60" w:after="40" w:line="340" w:lineRule="exact"/>
        <w:ind w:left="420" w:hanging="420"/>
      </w:pPr>
      <w:r>
        <w:rPr>
          <w:rFonts w:ascii="Times New Roman" w:hAnsi="Times New Roman" w:eastAsia="宋体"/>
          <w:b w:val="0"/>
          <w:i w:val="0"/>
          <w:sz w:val="20"/>
        </w:rPr>
        <w:t xml:space="preserve">· </w:t>
      </w:r>
      <w:r>
        <w:rPr>
          <w:rFonts w:ascii="Times New Roman" w:hAnsi="Times New Roman" w:eastAsia="黑体"/>
          <w:b/>
          <w:i w:val="0"/>
          <w:sz w:val="20"/>
        </w:rPr>
        <w:t xml:space="preserve">三份应优先调取的原件　</w:t>
      </w:r>
      <w:r>
        <w:rPr>
          <w:rFonts w:ascii="Times New Roman" w:hAnsi="Times New Roman" w:eastAsia="宋体"/>
          <w:b w:val="0"/>
          <w:i w:val="0"/>
          <w:sz w:val="20"/>
        </w:rPr>
        <w:t>① 《浙江省应用型本科院校建设指导性评价指标体系（试行）》（浙教办高教〔2017〕70号附件），本省唯一的应用型专项指标体系；② 学校最近一轮本科教育教学审核评估（第二类第二种）的自评报告与专家意见，其7个一级指标即现成的“优质办学”对标底稿；③ 嘉兴学院列入浙江省应用型建设试点示范学校的原始立项文件（检索显示批次与年份存在冲突，需以原件为准）。</w:t>
      </w:r>
    </w:p>
    <w:p>
      <w:pPr>
        <w:spacing w:before="40" w:after="160" w:line="260" w:lineRule="exact"/>
        <w:ind w:left="240"/>
      </w:pPr>
      <w:r>
        <w:rPr>
          <w:rFonts w:ascii="Times New Roman" w:hAnsi="Times New Roman" w:eastAsia="楷体"/>
          <w:b w:val="0"/>
          <w:i w:val="0"/>
          <w:color w:val="555F70"/>
          <w:sz w:val="17"/>
        </w:rPr>
        <w:t>【来源】【D】本文件依据二十个关键要素与现行高校统计口径整理，非官方指标；填表口径需与学校既有统计报表对齐。</w:t>
      </w:r>
    </w:p>
    <w:p>
      <w:pPr>
        <w:keepNext/>
        <w:spacing w:before="280" w:after="140" w:line="390" w:lineRule="exact"/>
        <w:outlineLvl w:val="1"/>
      </w:pPr>
      <w:r>
        <w:rPr>
          <w:rFonts w:ascii="Times New Roman" w:hAnsi="Times New Roman" w:eastAsia="黑体"/>
          <w:b/>
          <w:i w:val="0"/>
          <w:color w:val="1F3B73"/>
          <w:sz w:val="26"/>
        </w:rPr>
        <w:t>（四）几条判断</w:t>
      </w:r>
    </w:p>
    <w:p>
      <w:pPr>
        <w:spacing w:before="0" w:after="80" w:line="360" w:lineRule="exact"/>
        <w:ind w:firstLine="420"/>
      </w:pPr>
      <w:r>
        <w:rPr>
          <w:rFonts w:ascii="Times New Roman" w:hAnsi="Times New Roman" w:eastAsia="宋体"/>
          <w:b w:val="0"/>
          <w:i w:val="0"/>
          <w:sz w:val="21"/>
        </w:rPr>
        <w:t>第一，时间窗口是真实的，但尚未到冲刺阶段。国务院《规划》已定方向与规模，教育部的实施办法尚未出台，中国高等教育学会仍在把“建设标准”作为研究课题立项。这意味着现在最有价值的动作不是包装申报材料，而是把二十个要素的底账做实、把明显的短板补上——因为一旦标准出台，留给补短板的时间就没有了。</w:t>
      </w:r>
    </w:p>
    <w:p>
      <w:pPr>
        <w:spacing w:before="0" w:after="80" w:line="360" w:lineRule="exact"/>
        <w:ind w:firstLine="420"/>
      </w:pPr>
      <w:r>
        <w:rPr>
          <w:rFonts w:ascii="Times New Roman" w:hAnsi="Times New Roman" w:eastAsia="宋体"/>
          <w:b w:val="0"/>
          <w:i w:val="0"/>
          <w:sz w:val="21"/>
        </w:rPr>
        <w:t>第二，最该盯住的不是“200所”，而是“10所左右”。国家盘子再大，浙江省内的竞争才是决定性的。省政府《关于进一步深化产教融合的实施意见》提出的“10所左右特色鲜明、融入地方发展的高水平应用型本科高校”，是学校最直接的赛道。</w:t>
      </w:r>
    </w:p>
    <w:p>
      <w:pPr>
        <w:spacing w:before="0" w:after="80" w:line="360" w:lineRule="exact"/>
        <w:ind w:firstLine="420"/>
      </w:pPr>
      <w:r>
        <w:rPr>
          <w:rFonts w:ascii="Times New Roman" w:hAnsi="Times New Roman" w:eastAsia="宋体"/>
          <w:b w:val="0"/>
          <w:i w:val="0"/>
          <w:sz w:val="21"/>
        </w:rPr>
        <w:t>第三，“服务区域”要具体到嘉兴。二十个要素里，毕业生留用率、专业产业支持度、共建平台、派驻专家四项，都是以“学校所在地级市”为第一口径的。学校与嘉兴市域产业的绑定深度，比任何一项全国性排名指标都更接近“双优”的评价内核。</w:t>
      </w:r>
    </w:p>
    <w:p>
      <w:pPr>
        <w:spacing w:before="0" w:after="80" w:line="360" w:lineRule="exact"/>
        <w:ind w:firstLine="420"/>
      </w:pPr>
      <w:r>
        <w:rPr>
          <w:rFonts w:ascii="Times New Roman" w:hAnsi="Times New Roman" w:eastAsia="宋体"/>
          <w:b w:val="0"/>
          <w:i w:val="0"/>
          <w:sz w:val="21"/>
        </w:rPr>
        <w:t>第四，为“学科专业单列”留一手。若“双优”最终采取“学校+学科专业”双层设计（《规划》已有“在有条件的本科高校建设若干优质特色学科专业”的表述），凝练出一两个在全省乃至全国具有不可替代性的学科专业群，可能比学校整体指标的均衡提升更具突破价值。</w:t>
      </w:r>
    </w:p>
    <w:p>
      <w:pPr>
        <w:spacing w:before="0" w:after="80" w:line="360" w:lineRule="exact"/>
        <w:ind w:firstLine="420"/>
      </w:pPr>
      <w:r>
        <w:rPr>
          <w:rFonts w:ascii="Times New Roman" w:hAnsi="Times New Roman" w:eastAsia="宋体"/>
          <w:b w:val="0"/>
          <w:i w:val="0"/>
          <w:sz w:val="21"/>
        </w:rPr>
        <w:t>第五，警惕“标签焦虑”。刘振天教授的提醒值得反复读：三个赛道带有“标签”作用，争抢标签反而容易导致办学趋同。“双优”的评价内核是不可替代性，而不可替代性只能来自对本地产业和本地需求的深耕，无法靠对标他校获得。</w:t>
      </w:r>
    </w:p>
    <w:p>
      <w:pPr>
        <w:spacing w:before="40" w:after="160" w:line="260" w:lineRule="exact"/>
        <w:ind w:left="240"/>
      </w:pPr>
      <w:r>
        <w:rPr>
          <w:rFonts w:ascii="Times New Roman" w:hAnsi="Times New Roman" w:eastAsia="楷体"/>
          <w:b w:val="0"/>
          <w:i w:val="0"/>
          <w:color w:val="555F70"/>
          <w:sz w:val="17"/>
        </w:rPr>
        <w:t>【来源】【D】本文件基于前述材料的判断，供决策参考。</w:t>
      </w:r>
    </w:p>
    <w:p>
      <w:r>
        <w:br w:type="page"/>
      </w:r>
    </w:p>
    <w:p>
      <w:pPr>
        <w:keepNext/>
        <w:pBdr>
          <w:bottom w:val="single" w:sz="8" w:space="3" w:color="1F3B73"/>
        </w:pBdr>
        <w:spacing w:before="360" w:after="200" w:line="480" w:lineRule="exact"/>
        <w:outlineLvl w:val="0"/>
      </w:pPr>
      <w:r>
        <w:rPr>
          <w:rFonts w:ascii="Times New Roman" w:hAnsi="Times New Roman" w:eastAsia="黑体"/>
          <w:b/>
          <w:i w:val="0"/>
          <w:color w:val="1F3B73"/>
          <w:sz w:val="32"/>
        </w:rPr>
        <w:t>参考文献与资料来源</w:t>
      </w:r>
    </w:p>
    <w:p>
      <w:pPr>
        <w:keepNext/>
        <w:spacing w:before="280" w:after="140" w:line="390" w:lineRule="exact"/>
        <w:outlineLvl w:val="1"/>
      </w:pPr>
      <w:r>
        <w:rPr>
          <w:rFonts w:ascii="Times New Roman" w:hAnsi="Times New Roman" w:eastAsia="黑体"/>
          <w:b/>
          <w:i w:val="0"/>
          <w:color w:val="1F3B73"/>
          <w:sz w:val="26"/>
        </w:rPr>
        <w:t>一、附件论文（已完整读取 PDF 原文，引述逐字可靠）</w:t>
      </w:r>
    </w:p>
    <w:p>
      <w:pPr>
        <w:spacing w:after="80" w:line="320" w:lineRule="exact"/>
        <w:ind w:left="480" w:hanging="480"/>
      </w:pPr>
      <w:r>
        <w:rPr>
          <w:rFonts w:ascii="Times New Roman" w:hAnsi="Times New Roman" w:eastAsia="宋体"/>
          <w:b w:val="0"/>
          <w:i w:val="0"/>
          <w:sz w:val="19"/>
        </w:rPr>
        <w:t xml:space="preserve">[1] </w:t>
      </w:r>
      <w:r>
        <w:rPr>
          <w:rFonts w:ascii="Times New Roman" w:hAnsi="Times New Roman" w:eastAsia="宋体"/>
          <w:b w:val="0"/>
          <w:i w:val="0"/>
          <w:sz w:val="19"/>
        </w:rPr>
        <w:t>瞿振元, 蔺跟荣. “双优”工程：应用型大学面对的机遇、挑战与应对[J]. 中国人民大学教育学刊, 2026(4): 5-18. 中图分类号 G40-01，文献标识号 A，文章编号 2095-1760(2026)04-0005-14. 网络首发时间 2026-06-29 16:20:58，网络首发地址 https://link.cnki.net/urlid/11.5978.g4.20260629.0935.004（本文件第二、三、四章“二十个关键要素”的唯一来源）</w:t>
      </w:r>
    </w:p>
    <w:p>
      <w:pPr>
        <w:spacing w:after="80" w:line="320" w:lineRule="exact"/>
        <w:ind w:left="480" w:hanging="480"/>
      </w:pPr>
      <w:r>
        <w:rPr>
          <w:rFonts w:ascii="Times New Roman" w:hAnsi="Times New Roman" w:eastAsia="宋体"/>
          <w:b w:val="0"/>
          <w:i w:val="0"/>
          <w:sz w:val="19"/>
        </w:rPr>
        <w:t xml:space="preserve">[2] </w:t>
      </w:r>
      <w:r>
        <w:rPr>
          <w:rFonts w:ascii="Times New Roman" w:hAnsi="Times New Roman" w:eastAsia="宋体"/>
          <w:b w:val="0"/>
          <w:i w:val="0"/>
          <w:sz w:val="19"/>
        </w:rPr>
        <w:t>王洪才, 王惠. “双优”评价模式构建的逻辑机理与实践方略[J]. 江苏高教, 2026(7): 1-7. 中图分类号 G640，文章编号 1003-8418(2026)07-0001-07，DOI: 10.13236/j.cnki.jshe.2026.07.001. 国家社会科学基金教育学重大项目“提升高等教育创新体系整体效能研究”(VIA250011)阶段成果.</w:t>
      </w:r>
    </w:p>
    <w:p>
      <w:pPr>
        <w:spacing w:after="80" w:line="320" w:lineRule="exact"/>
        <w:ind w:left="480" w:hanging="480"/>
      </w:pPr>
      <w:r>
        <w:rPr>
          <w:rFonts w:ascii="Times New Roman" w:hAnsi="Times New Roman" w:eastAsia="宋体"/>
          <w:b w:val="0"/>
          <w:i w:val="0"/>
          <w:sz w:val="19"/>
        </w:rPr>
        <w:t xml:space="preserve">[3] </w:t>
      </w:r>
      <w:r>
        <w:rPr>
          <w:rFonts w:ascii="Times New Roman" w:hAnsi="Times New Roman" w:eastAsia="宋体"/>
          <w:b w:val="0"/>
          <w:i w:val="0"/>
          <w:sz w:val="19"/>
        </w:rPr>
        <w:t>陈文博. 因果耦合视角下“双优工程”的定位与评价转向——基于与“双一流”“双高”的比较研究[J]. 应用型高等教育研究, 2026, 11(2): 1-9. 中图分类号 G640；G40-058.1，文章编号 2096–2045(2026)02–0001–09. 作者单位：深圳技术大学应用高等教育研究院；深圳市人文社会科学重点研究基地“深圳技术大学新型应用高等教育研究中心”.</w:t>
      </w:r>
    </w:p>
    <w:p>
      <w:pPr>
        <w:spacing w:after="80" w:line="320" w:lineRule="exact"/>
        <w:ind w:left="480" w:hanging="480"/>
      </w:pPr>
      <w:r>
        <w:rPr>
          <w:rFonts w:ascii="Times New Roman" w:hAnsi="Times New Roman" w:eastAsia="宋体"/>
          <w:b w:val="0"/>
          <w:i w:val="0"/>
          <w:sz w:val="19"/>
        </w:rPr>
        <w:t xml:space="preserve">[4] </w:t>
      </w:r>
      <w:r>
        <w:rPr>
          <w:rFonts w:ascii="Times New Roman" w:hAnsi="Times New Roman" w:eastAsia="宋体"/>
          <w:b w:val="0"/>
          <w:i w:val="0"/>
          <w:sz w:val="19"/>
        </w:rPr>
        <w:t>姚宇华, 陈伟. 以“双优”工程驱动高水平应用型大学建设——“双优”工程与高水平应用型大学建设学术研讨会综述[J]. 高教探索, 2026(6): 126-128. 研讨会时间地点：2026年4月29日，广东技术师范大学白云校区. 广东省哲学社会科学规划2025年度一般项目(GD25CJY14)、广东省重点建设学科科研能力提升项目(2024ZDJS019)阶段成果.</w:t>
      </w:r>
    </w:p>
    <w:p>
      <w:pPr>
        <w:keepNext/>
        <w:spacing w:before="280" w:after="140" w:line="390" w:lineRule="exact"/>
        <w:outlineLvl w:val="1"/>
      </w:pPr>
      <w:r>
        <w:rPr>
          <w:rFonts w:ascii="Times New Roman" w:hAnsi="Times New Roman" w:eastAsia="黑体"/>
          <w:b/>
          <w:i w:val="0"/>
          <w:color w:val="1F3B73"/>
          <w:sz w:val="26"/>
        </w:rPr>
        <w:t>二、官方政策文件（检索所得，未能逐字核验，链接供复核）</w:t>
      </w:r>
    </w:p>
    <w:p>
      <w:pPr>
        <w:spacing w:after="80" w:line="320" w:lineRule="exact"/>
        <w:ind w:left="480" w:hanging="480"/>
      </w:pPr>
      <w:r>
        <w:rPr>
          <w:rFonts w:ascii="Times New Roman" w:hAnsi="Times New Roman" w:eastAsia="宋体"/>
          <w:b w:val="0"/>
          <w:i w:val="0"/>
          <w:sz w:val="19"/>
        </w:rPr>
        <w:t xml:space="preserve">[1] </w:t>
      </w:r>
      <w:r>
        <w:rPr>
          <w:rFonts w:ascii="Times New Roman" w:hAnsi="Times New Roman" w:eastAsia="宋体"/>
          <w:b w:val="0"/>
          <w:i w:val="0"/>
          <w:sz w:val="19"/>
        </w:rPr>
        <w:t>国务院. 关于印发《教育发展“十五五”规划》的通知[EB/OL]. (2026-06-29). http://www.moe.gov.cn/jyb_xxgk/moe_1777/moe_1778/202606/t20260629_1442045.html</w:t>
      </w:r>
    </w:p>
    <w:p>
      <w:pPr>
        <w:spacing w:after="80" w:line="320" w:lineRule="exact"/>
        <w:ind w:left="480" w:hanging="480"/>
      </w:pPr>
      <w:r>
        <w:rPr>
          <w:rFonts w:ascii="Times New Roman" w:hAnsi="Times New Roman" w:eastAsia="宋体"/>
          <w:b w:val="0"/>
          <w:i w:val="0"/>
          <w:sz w:val="19"/>
        </w:rPr>
        <w:t xml:space="preserve">[2] </w:t>
      </w:r>
      <w:r>
        <w:rPr>
          <w:rFonts w:ascii="Times New Roman" w:hAnsi="Times New Roman" w:eastAsia="宋体"/>
          <w:b w:val="0"/>
          <w:i w:val="0"/>
          <w:sz w:val="19"/>
        </w:rPr>
        <w:t>教育部负责人就《教育发展“十五五”规划》答记者问[EB/OL]. (2026-06-29). http://www.moe.gov.cn/jyb_xwfb/s271/202606/t20260629_1442009.html</w:t>
      </w:r>
    </w:p>
    <w:p>
      <w:pPr>
        <w:spacing w:after="80" w:line="320" w:lineRule="exact"/>
        <w:ind w:left="480" w:hanging="480"/>
      </w:pPr>
      <w:r>
        <w:rPr>
          <w:rFonts w:ascii="Times New Roman" w:hAnsi="Times New Roman" w:eastAsia="宋体"/>
          <w:b w:val="0"/>
          <w:i w:val="0"/>
          <w:sz w:val="19"/>
        </w:rPr>
        <w:t xml:space="preserve">[3] </w:t>
      </w:r>
      <w:r>
        <w:rPr>
          <w:rFonts w:ascii="Times New Roman" w:hAnsi="Times New Roman" w:eastAsia="宋体"/>
          <w:b w:val="0"/>
          <w:i w:val="0"/>
          <w:sz w:val="19"/>
        </w:rPr>
        <w:t>怀进鹏. 十四届全国人大四次会议民生主题记者会讲话[EB/OL]. (2026-03-07). https://www.news.cn/politics/20260307/ac32ab12ce174897a89114eaee7f0ad7/c.html （另见中国人大网 http://www.npc.gov.cn/npc/c2/c30834/202603/t20260308_452443.html ；《人民日报》2026-03-08 第4版）</w:t>
      </w:r>
    </w:p>
    <w:p>
      <w:pPr>
        <w:spacing w:after="80" w:line="320" w:lineRule="exact"/>
        <w:ind w:left="480" w:hanging="480"/>
      </w:pPr>
      <w:r>
        <w:rPr>
          <w:rFonts w:ascii="Times New Roman" w:hAnsi="Times New Roman" w:eastAsia="宋体"/>
          <w:b w:val="0"/>
          <w:i w:val="0"/>
          <w:sz w:val="19"/>
        </w:rPr>
        <w:t xml:space="preserve">[4] </w:t>
      </w:r>
      <w:r>
        <w:rPr>
          <w:rFonts w:ascii="Times New Roman" w:hAnsi="Times New Roman" w:eastAsia="宋体"/>
          <w:b w:val="0"/>
          <w:i w:val="0"/>
          <w:sz w:val="19"/>
        </w:rPr>
        <w:t>中共中央 国务院. 教育强国建设规划纲要（2024—2035年）[EB/OL]. (2025-01-19). https://www.gov.cn/zhengce/202501/content_6999913.htm （另见教育部转载 http://www.moe.gov.cn/jyb_xxgk/moe_1777/moe_1778/202501/t20250119_1176193.html）</w:t>
      </w:r>
    </w:p>
    <w:p>
      <w:pPr>
        <w:spacing w:after="80" w:line="320" w:lineRule="exact"/>
        <w:ind w:left="480" w:hanging="480"/>
      </w:pPr>
      <w:r>
        <w:rPr>
          <w:rFonts w:ascii="Times New Roman" w:hAnsi="Times New Roman" w:eastAsia="宋体"/>
          <w:b w:val="0"/>
          <w:i w:val="0"/>
          <w:sz w:val="19"/>
        </w:rPr>
        <w:t xml:space="preserve">[5] </w:t>
      </w:r>
      <w:r>
        <w:rPr>
          <w:rFonts w:ascii="Times New Roman" w:hAnsi="Times New Roman" w:eastAsia="宋体"/>
          <w:b w:val="0"/>
          <w:i w:val="0"/>
          <w:sz w:val="19"/>
        </w:rPr>
        <w:t>教育部, 国家发展改革委, 财政部. 关于引导部分地方普通本科高校向应用型转变的指导意见[EB/OL]. (2015-11-13). http://www.moe.gov.cn/srcsite/A03/moe_1892/moe_630/201511/t20151113_218942.html</w:t>
      </w:r>
    </w:p>
    <w:p>
      <w:pPr>
        <w:spacing w:after="80" w:line="320" w:lineRule="exact"/>
        <w:ind w:left="480" w:hanging="480"/>
      </w:pPr>
      <w:r>
        <w:rPr>
          <w:rFonts w:ascii="Times New Roman" w:hAnsi="Times New Roman" w:eastAsia="宋体"/>
          <w:b w:val="0"/>
          <w:i w:val="0"/>
          <w:sz w:val="19"/>
        </w:rPr>
        <w:t xml:space="preserve">[6] </w:t>
      </w:r>
      <w:r>
        <w:rPr>
          <w:rFonts w:ascii="Times New Roman" w:hAnsi="Times New Roman" w:eastAsia="宋体"/>
          <w:b w:val="0"/>
          <w:i w:val="0"/>
          <w:sz w:val="19"/>
        </w:rPr>
        <w:t>教育部, 财政部, 国家发展改革委. “双一流”建设成效评价办法（试行），教研〔2020〕13号[EB/OL]. (2021-03-23). http://www.moe.gov.cn/srcsite/A22/moe_843/202103/t20210323_521951.html</w:t>
      </w:r>
    </w:p>
    <w:p>
      <w:pPr>
        <w:spacing w:after="80" w:line="320" w:lineRule="exact"/>
        <w:ind w:left="480" w:hanging="480"/>
      </w:pPr>
      <w:r>
        <w:rPr>
          <w:rFonts w:ascii="Times New Roman" w:hAnsi="Times New Roman" w:eastAsia="宋体"/>
          <w:b w:val="0"/>
          <w:i w:val="0"/>
          <w:sz w:val="19"/>
        </w:rPr>
        <w:t xml:space="preserve">[7] </w:t>
      </w:r>
      <w:r>
        <w:rPr>
          <w:rFonts w:ascii="Times New Roman" w:hAnsi="Times New Roman" w:eastAsia="宋体"/>
          <w:b w:val="0"/>
          <w:i w:val="0"/>
          <w:sz w:val="19"/>
        </w:rPr>
        <w:t>教育部. 普通高等学校本科教育教学审核评估实施方案（2021—2025年），教督〔2021〕1号[EB/OL]. (2021-02-05). http://www.moe.gov.cn/srcsite/A11/s7057/202102/t20210205_512709.html</w:t>
      </w:r>
    </w:p>
    <w:p>
      <w:pPr>
        <w:spacing w:after="80" w:line="320" w:lineRule="exact"/>
        <w:ind w:left="480" w:hanging="480"/>
      </w:pPr>
      <w:r>
        <w:rPr>
          <w:rFonts w:ascii="Times New Roman" w:hAnsi="Times New Roman" w:eastAsia="宋体"/>
          <w:b w:val="0"/>
          <w:i w:val="0"/>
          <w:sz w:val="19"/>
        </w:rPr>
        <w:t xml:space="preserve">[8] </w:t>
      </w:r>
      <w:r>
        <w:rPr>
          <w:rFonts w:ascii="Times New Roman" w:hAnsi="Times New Roman" w:eastAsia="宋体"/>
          <w:b w:val="0"/>
          <w:i w:val="0"/>
          <w:sz w:val="19"/>
        </w:rPr>
        <w:t>教育部, 财政部. 关于实施中国特色高水平高职学校和专业建设计划的意见，教职成〔2019〕5号[EB/OL]. (2019-04-02). http://www.moe.gov.cn/srcsite/A07/moe_737/s3876_qt/201904/t20190402_376471.html</w:t>
      </w:r>
    </w:p>
    <w:p>
      <w:pPr>
        <w:spacing w:after="80" w:line="320" w:lineRule="exact"/>
        <w:ind w:left="480" w:hanging="480"/>
      </w:pPr>
      <w:r>
        <w:rPr>
          <w:rFonts w:ascii="Times New Roman" w:hAnsi="Times New Roman" w:eastAsia="宋体"/>
          <w:b w:val="0"/>
          <w:i w:val="0"/>
          <w:sz w:val="19"/>
        </w:rPr>
        <w:t xml:space="preserve">[9] </w:t>
      </w:r>
      <w:r>
        <w:rPr>
          <w:rFonts w:ascii="Times New Roman" w:hAnsi="Times New Roman" w:eastAsia="宋体"/>
          <w:b w:val="0"/>
          <w:i w:val="0"/>
          <w:sz w:val="19"/>
        </w:rPr>
        <w:t>教育部, 财政部. 关于实施中国特色高水平高职学校和专业建设计划（2025—2029年）的通知[EB/OL]. (2025-01). https://www.eol.cn/zhengce/wenjian/202502/t20250219_2655130.shtml（转载）</w:t>
      </w:r>
    </w:p>
    <w:p>
      <w:pPr>
        <w:spacing w:after="80" w:line="320" w:lineRule="exact"/>
        <w:ind w:left="480" w:hanging="480"/>
      </w:pPr>
      <w:r>
        <w:rPr>
          <w:rFonts w:ascii="Times New Roman" w:hAnsi="Times New Roman" w:eastAsia="宋体"/>
          <w:b w:val="0"/>
          <w:i w:val="0"/>
          <w:sz w:val="19"/>
        </w:rPr>
        <w:t xml:space="preserve">[10] </w:t>
      </w:r>
      <w:r>
        <w:rPr>
          <w:rFonts w:ascii="Times New Roman" w:hAnsi="Times New Roman" w:eastAsia="宋体"/>
          <w:b w:val="0"/>
          <w:i w:val="0"/>
          <w:sz w:val="19"/>
        </w:rPr>
        <w:t>国家发展改革委, 教育部. 建设产教融合型企业实施办法（试行），发改社会〔2019〕590号[EB/OL]. (2019-04-03). https://www.ndrc.gov.cn/xxgk/zcfb/tz/201904/t20190403_962417_ext.html</w:t>
      </w:r>
    </w:p>
    <w:p>
      <w:pPr>
        <w:spacing w:after="80" w:line="320" w:lineRule="exact"/>
        <w:ind w:left="480" w:hanging="480"/>
      </w:pPr>
      <w:r>
        <w:rPr>
          <w:rFonts w:ascii="Times New Roman" w:hAnsi="Times New Roman" w:eastAsia="宋体"/>
          <w:b w:val="0"/>
          <w:i w:val="0"/>
          <w:sz w:val="19"/>
        </w:rPr>
        <w:t xml:space="preserve">[11] </w:t>
      </w:r>
      <w:r>
        <w:rPr>
          <w:rFonts w:ascii="Times New Roman" w:hAnsi="Times New Roman" w:eastAsia="宋体"/>
          <w:b w:val="0"/>
          <w:i w:val="0"/>
          <w:sz w:val="19"/>
        </w:rPr>
        <w:t>国家发展改革委等6部门. 国家产教融合建设试点实施方案，发改社会〔2019〕1558号[EB/OL]. (2019-10-09). https://www.ndrc.gov.cn/xxgk/zcfb/tz/201910/t20191009_1181933.html</w:t>
      </w:r>
    </w:p>
    <w:p>
      <w:pPr>
        <w:keepNext/>
        <w:spacing w:before="280" w:after="140" w:line="390" w:lineRule="exact"/>
        <w:outlineLvl w:val="1"/>
      </w:pPr>
      <w:r>
        <w:rPr>
          <w:rFonts w:ascii="Times New Roman" w:hAnsi="Times New Roman" w:eastAsia="黑体"/>
          <w:b/>
          <w:i w:val="0"/>
          <w:color w:val="1F3B73"/>
          <w:sz w:val="26"/>
        </w:rPr>
        <w:t>三、省级政策文件（检索所得，未能逐字核验，链接供复核）</w:t>
      </w:r>
    </w:p>
    <w:p>
      <w:pPr>
        <w:spacing w:after="80" w:line="320" w:lineRule="exact"/>
        <w:ind w:left="480" w:hanging="480"/>
      </w:pPr>
      <w:r>
        <w:rPr>
          <w:rFonts w:ascii="Times New Roman" w:hAnsi="Times New Roman" w:eastAsia="宋体"/>
          <w:b w:val="0"/>
          <w:i w:val="0"/>
          <w:sz w:val="19"/>
        </w:rPr>
        <w:t xml:space="preserve">[1] </w:t>
      </w:r>
      <w:r>
        <w:rPr>
          <w:rFonts w:ascii="Times New Roman" w:hAnsi="Times New Roman" w:eastAsia="宋体"/>
          <w:b w:val="0"/>
          <w:i w:val="0"/>
          <w:sz w:val="19"/>
        </w:rPr>
        <w:t>浙江省人民政府办公厅. 关于进一步深化产教融合的实施意见[EB/OL]. (2025-10-20施行). https://www.zjzs.net/art/2025/10/20/art_320_11628.html</w:t>
      </w:r>
    </w:p>
    <w:p>
      <w:pPr>
        <w:spacing w:after="80" w:line="320" w:lineRule="exact"/>
        <w:ind w:left="480" w:hanging="480"/>
      </w:pPr>
      <w:r>
        <w:rPr>
          <w:rFonts w:ascii="Times New Roman" w:hAnsi="Times New Roman" w:eastAsia="宋体"/>
          <w:b w:val="0"/>
          <w:i w:val="0"/>
          <w:sz w:val="19"/>
        </w:rPr>
        <w:t xml:space="preserve">[2] </w:t>
      </w:r>
      <w:r>
        <w:rPr>
          <w:rFonts w:ascii="Times New Roman" w:hAnsi="Times New Roman" w:eastAsia="宋体"/>
          <w:b w:val="0"/>
          <w:i w:val="0"/>
          <w:sz w:val="19"/>
        </w:rPr>
        <w:t>中共浙江省委. 关于制定浙江省国民经济和社会发展第十五个五年规划的建议[EB/OL]. (2025-12). http://www.zjsjw.gov.cn/toutiao/202512/t20251203_23839885.shtml</w:t>
      </w:r>
    </w:p>
    <w:p>
      <w:pPr>
        <w:spacing w:after="80" w:line="320" w:lineRule="exact"/>
        <w:ind w:left="480" w:hanging="480"/>
      </w:pPr>
      <w:r>
        <w:rPr>
          <w:rFonts w:ascii="Times New Roman" w:hAnsi="Times New Roman" w:eastAsia="宋体"/>
          <w:b w:val="0"/>
          <w:i w:val="0"/>
          <w:sz w:val="19"/>
        </w:rPr>
        <w:t xml:space="preserve">[3] </w:t>
      </w:r>
      <w:r>
        <w:rPr>
          <w:rFonts w:ascii="Times New Roman" w:hAnsi="Times New Roman" w:eastAsia="宋体"/>
          <w:b w:val="0"/>
          <w:i w:val="0"/>
          <w:sz w:val="19"/>
        </w:rPr>
        <w:t>浙江省教育厅. 浙江省普通本科高校分类评价管理改革办法（试行）[EB/OL]. (2016-08-09). http://jyt.zj.gov.cn/art/2016/8/9/art_1229106823_615062.html</w:t>
      </w:r>
    </w:p>
    <w:p>
      <w:pPr>
        <w:spacing w:after="80" w:line="320" w:lineRule="exact"/>
        <w:ind w:left="480" w:hanging="480"/>
      </w:pPr>
      <w:r>
        <w:rPr>
          <w:rFonts w:ascii="Times New Roman" w:hAnsi="Times New Roman" w:eastAsia="宋体"/>
          <w:b w:val="0"/>
          <w:i w:val="0"/>
          <w:sz w:val="19"/>
        </w:rPr>
        <w:t xml:space="preserve">[4] </w:t>
      </w:r>
      <w:r>
        <w:rPr>
          <w:rFonts w:ascii="Times New Roman" w:hAnsi="Times New Roman" w:eastAsia="宋体"/>
          <w:b w:val="0"/>
          <w:i w:val="0"/>
          <w:sz w:val="19"/>
        </w:rPr>
        <w:t>浙江省教育厅办公室. 关于开展应用型本科高校建设评价工作的通知，浙教办高教〔2017〕70号[EB/OL]. (2017-10-19). https://jyt.zj.gov.cn/art/2017/10/19/art_1228998760_27484730.html （附件含《浙江省应用型本科院校建设指导性评价指标体系（试行）》）</w:t>
      </w:r>
    </w:p>
    <w:p>
      <w:pPr>
        <w:spacing w:after="80" w:line="320" w:lineRule="exact"/>
        <w:ind w:left="480" w:hanging="480"/>
      </w:pPr>
      <w:r>
        <w:rPr>
          <w:rFonts w:ascii="Times New Roman" w:hAnsi="Times New Roman" w:eastAsia="宋体"/>
          <w:b w:val="0"/>
          <w:i w:val="0"/>
          <w:sz w:val="19"/>
        </w:rPr>
        <w:t xml:space="preserve">[5] </w:t>
      </w:r>
      <w:r>
        <w:rPr>
          <w:rFonts w:ascii="Times New Roman" w:hAnsi="Times New Roman" w:eastAsia="宋体"/>
          <w:b w:val="0"/>
          <w:i w:val="0"/>
          <w:sz w:val="19"/>
        </w:rPr>
        <w:t>浙江省教育厅办公室. 关于公布应用型试点示范建设学校名单的通知[EB/OL]. (2015-12-30). http://jyt.zj.gov.cn/art/2015/12/30/art_1228998760_27484692.html</w:t>
      </w:r>
    </w:p>
    <w:p>
      <w:pPr>
        <w:spacing w:after="80" w:line="320" w:lineRule="exact"/>
        <w:ind w:left="480" w:hanging="480"/>
      </w:pPr>
      <w:r>
        <w:rPr>
          <w:rFonts w:ascii="Times New Roman" w:hAnsi="Times New Roman" w:eastAsia="宋体"/>
          <w:b w:val="0"/>
          <w:i w:val="0"/>
          <w:sz w:val="19"/>
        </w:rPr>
        <w:t xml:space="preserve">[6] </w:t>
      </w:r>
      <w:r>
        <w:rPr>
          <w:rFonts w:ascii="Times New Roman" w:hAnsi="Times New Roman" w:eastAsia="宋体"/>
          <w:b w:val="0"/>
          <w:i w:val="0"/>
          <w:sz w:val="19"/>
        </w:rPr>
        <w:t>中共浙江省委, 浙江省人民政府. 关于全面实施高等教育强省战略的意见[EB/OL]. (2018-08-09). http://www.moe.gov.cn/s78/A02/gongzuo/fangguanfu/201905/W020190515295651145399.pdf</w:t>
      </w:r>
    </w:p>
    <w:p>
      <w:pPr>
        <w:spacing w:after="80" w:line="320" w:lineRule="exact"/>
        <w:ind w:left="480" w:hanging="480"/>
      </w:pPr>
      <w:r>
        <w:rPr>
          <w:rFonts w:ascii="Times New Roman" w:hAnsi="Times New Roman" w:eastAsia="宋体"/>
          <w:b w:val="0"/>
          <w:i w:val="0"/>
          <w:sz w:val="19"/>
        </w:rPr>
        <w:t xml:space="preserve">[7] </w:t>
      </w:r>
      <w:r>
        <w:rPr>
          <w:rFonts w:ascii="Times New Roman" w:hAnsi="Times New Roman" w:eastAsia="宋体"/>
          <w:b w:val="0"/>
          <w:i w:val="0"/>
          <w:sz w:val="19"/>
        </w:rPr>
        <w:t>江苏省教育厅. 江苏省一流应用型本科高校遴选建设实施方案，苏教高〔2024〕1号[EB/OL]. (2024-01). https://jyt.jiangsu.gov.cn/art/2024/1/19/art_64084_74.html</w:t>
      </w:r>
    </w:p>
    <w:p>
      <w:pPr>
        <w:spacing w:after="80" w:line="320" w:lineRule="exact"/>
        <w:ind w:left="480" w:hanging="480"/>
      </w:pPr>
      <w:r>
        <w:rPr>
          <w:rFonts w:ascii="Times New Roman" w:hAnsi="Times New Roman" w:eastAsia="宋体"/>
          <w:b w:val="0"/>
          <w:i w:val="0"/>
          <w:sz w:val="19"/>
        </w:rPr>
        <w:t xml:space="preserve">[8] </w:t>
      </w:r>
      <w:r>
        <w:rPr>
          <w:rFonts w:ascii="Times New Roman" w:hAnsi="Times New Roman" w:eastAsia="宋体"/>
          <w:b w:val="0"/>
          <w:i w:val="0"/>
          <w:sz w:val="19"/>
        </w:rPr>
        <w:t>江苏省教育厅. 关于推进一流应用型本科高校建设的实施意见[EB/OL]. (2021-03-26). http://jyt.jiangsu.gov.cn/art/2021/3/26/art_55512_9720252.html</w:t>
      </w:r>
    </w:p>
    <w:p>
      <w:pPr>
        <w:spacing w:after="80" w:line="320" w:lineRule="exact"/>
        <w:ind w:left="480" w:hanging="480"/>
      </w:pPr>
      <w:r>
        <w:rPr>
          <w:rFonts w:ascii="Times New Roman" w:hAnsi="Times New Roman" w:eastAsia="宋体"/>
          <w:b w:val="0"/>
          <w:i w:val="0"/>
          <w:sz w:val="19"/>
        </w:rPr>
        <w:t xml:space="preserve">[9] </w:t>
      </w:r>
      <w:r>
        <w:rPr>
          <w:rFonts w:ascii="Times New Roman" w:hAnsi="Times New Roman" w:eastAsia="宋体"/>
          <w:b w:val="0"/>
          <w:i w:val="0"/>
          <w:sz w:val="19"/>
        </w:rPr>
        <w:t>广东省人民政府办公厅. 高等教育“冲一流、补短板、强特色”提升计划实施方案（2026—2030年）[EB/OL]. (2026-05). https://www.cnbayarea.org.cn/policy/policyrelease/policies/content/post_1326934.html</w:t>
      </w:r>
    </w:p>
    <w:p>
      <w:pPr>
        <w:spacing w:after="80" w:line="320" w:lineRule="exact"/>
        <w:ind w:left="480" w:hanging="480"/>
      </w:pPr>
      <w:r>
        <w:rPr>
          <w:rFonts w:ascii="Times New Roman" w:hAnsi="Times New Roman" w:eastAsia="宋体"/>
          <w:b w:val="0"/>
          <w:i w:val="0"/>
          <w:sz w:val="19"/>
        </w:rPr>
        <w:t xml:space="preserve">[10] </w:t>
      </w:r>
      <w:r>
        <w:rPr>
          <w:rFonts w:ascii="Times New Roman" w:hAnsi="Times New Roman" w:eastAsia="宋体"/>
          <w:b w:val="0"/>
          <w:i w:val="0"/>
          <w:sz w:val="19"/>
        </w:rPr>
        <w:t>山东省教育厅, 山东省财政厅. 关于推进应用型本科高校建设的指导意见，鲁教高字〔2020〕2号[EB/OL]. 首批支持名单 http://edu.shandong.gov.cn/art/2021/2/23/art_107055_10286484.html</w:t>
      </w:r>
    </w:p>
    <w:p>
      <w:pPr>
        <w:spacing w:after="80" w:line="320" w:lineRule="exact"/>
        <w:ind w:left="480" w:hanging="480"/>
      </w:pPr>
      <w:r>
        <w:rPr>
          <w:rFonts w:ascii="Times New Roman" w:hAnsi="Times New Roman" w:eastAsia="宋体"/>
          <w:b w:val="0"/>
          <w:i w:val="0"/>
          <w:sz w:val="19"/>
        </w:rPr>
        <w:t xml:space="preserve">[11] </w:t>
      </w:r>
      <w:r>
        <w:rPr>
          <w:rFonts w:ascii="Times New Roman" w:hAnsi="Times New Roman" w:eastAsia="宋体"/>
          <w:b w:val="0"/>
          <w:i w:val="0"/>
          <w:sz w:val="19"/>
        </w:rPr>
        <w:t>安徽省教育厅. 安徽省地方应用型本科院校建设标准（修订）[EB/OL]. (2022-07-29). https://fzgh.chzu.edu.cn/2022/0826/c9492a260883/page.htm</w:t>
      </w:r>
    </w:p>
    <w:p>
      <w:pPr>
        <w:spacing w:after="80" w:line="320" w:lineRule="exact"/>
        <w:ind w:left="480" w:hanging="480"/>
      </w:pPr>
      <w:r>
        <w:rPr>
          <w:rFonts w:ascii="Times New Roman" w:hAnsi="Times New Roman" w:eastAsia="宋体"/>
          <w:b w:val="0"/>
          <w:i w:val="0"/>
          <w:sz w:val="19"/>
        </w:rPr>
        <w:t xml:space="preserve">[12] </w:t>
      </w:r>
      <w:r>
        <w:rPr>
          <w:rFonts w:ascii="Times New Roman" w:hAnsi="Times New Roman" w:eastAsia="宋体"/>
          <w:b w:val="0"/>
          <w:i w:val="0"/>
          <w:sz w:val="19"/>
        </w:rPr>
        <w:t>四川省教育厅. 关于大力推进应用型本科高校建设发展的指导意见，川教〔2024〕40号[EB/OL].</w:t>
      </w:r>
    </w:p>
    <w:p>
      <w:pPr>
        <w:keepNext/>
        <w:spacing w:before="280" w:after="140" w:line="390" w:lineRule="exact"/>
        <w:outlineLvl w:val="1"/>
      </w:pPr>
      <w:r>
        <w:rPr>
          <w:rFonts w:ascii="Times New Roman" w:hAnsi="Times New Roman" w:eastAsia="黑体"/>
          <w:b/>
          <w:i w:val="0"/>
          <w:color w:val="1F3B73"/>
          <w:sz w:val="26"/>
        </w:rPr>
        <w:t>四、媒体与机构解读（C类，仅供参照，不得作为政策依据引用）</w:t>
      </w:r>
    </w:p>
    <w:p>
      <w:pPr>
        <w:spacing w:after="80" w:line="320" w:lineRule="exact"/>
        <w:ind w:left="480" w:hanging="480"/>
      </w:pPr>
      <w:r>
        <w:rPr>
          <w:rFonts w:ascii="Times New Roman" w:hAnsi="Times New Roman" w:eastAsia="宋体"/>
          <w:b w:val="0"/>
          <w:i w:val="0"/>
          <w:sz w:val="19"/>
        </w:rPr>
        <w:t xml:space="preserve">[1] </w:t>
      </w:r>
      <w:r>
        <w:rPr>
          <w:rFonts w:ascii="Times New Roman" w:hAnsi="Times New Roman" w:eastAsia="宋体"/>
          <w:b w:val="0"/>
          <w:i w:val="0"/>
          <w:sz w:val="19"/>
        </w:rPr>
        <w:t>青塔. 应用型高校，迎来国家队！[EB/OL]. 腾讯新闻, (2026-08-01). https://news.qq.com/rain/a/20260801A0AU0900 （用户所提供“关键要素”图表的承载文章，数据来源标注为瞿振元、蔺跟荣论文）</w:t>
      </w:r>
    </w:p>
    <w:p>
      <w:pPr>
        <w:spacing w:after="80" w:line="320" w:lineRule="exact"/>
        <w:ind w:left="480" w:hanging="480"/>
      </w:pPr>
      <w:r>
        <w:rPr>
          <w:rFonts w:ascii="Times New Roman" w:hAnsi="Times New Roman" w:eastAsia="宋体"/>
          <w:b w:val="0"/>
          <w:i w:val="0"/>
          <w:sz w:val="19"/>
        </w:rPr>
        <w:t xml:space="preserve">[2] </w:t>
      </w:r>
      <w:r>
        <w:rPr>
          <w:rFonts w:ascii="Times New Roman" w:hAnsi="Times New Roman" w:eastAsia="宋体"/>
          <w:b w:val="0"/>
          <w:i w:val="0"/>
          <w:sz w:val="19"/>
        </w:rPr>
        <w:t>青塔. “双一流”之后，“双优”评选来了！应用型本科迎来“国家队”[EB/OL]. 腾讯新闻, (2026-07-09). https://news.qq.com/rain/a/20260709A09EMI00</w:t>
      </w:r>
    </w:p>
    <w:p>
      <w:pPr>
        <w:spacing w:after="80" w:line="320" w:lineRule="exact"/>
        <w:ind w:left="480" w:hanging="480"/>
      </w:pPr>
      <w:r>
        <w:rPr>
          <w:rFonts w:ascii="Times New Roman" w:hAnsi="Times New Roman" w:eastAsia="宋体"/>
          <w:b w:val="0"/>
          <w:i w:val="0"/>
          <w:sz w:val="19"/>
        </w:rPr>
        <w:t xml:space="preserve">[3] </w:t>
      </w:r>
      <w:r>
        <w:rPr>
          <w:rFonts w:ascii="Times New Roman" w:hAnsi="Times New Roman" w:eastAsia="宋体"/>
          <w:b w:val="0"/>
          <w:i w:val="0"/>
          <w:sz w:val="19"/>
        </w:rPr>
        <w:t>“双优”建设要实现三个转变[N/OL]. 中国科学报·中国大学评论, (2026-07-07). https://news.sciencenet.cn/htmlnews/2026/7/567863.shtm</w:t>
      </w:r>
    </w:p>
    <w:p>
      <w:pPr>
        <w:spacing w:after="80" w:line="320" w:lineRule="exact"/>
        <w:ind w:left="480" w:hanging="480"/>
      </w:pPr>
      <w:r>
        <w:rPr>
          <w:rFonts w:ascii="Times New Roman" w:hAnsi="Times New Roman" w:eastAsia="宋体"/>
          <w:b w:val="0"/>
          <w:i w:val="0"/>
          <w:sz w:val="19"/>
        </w:rPr>
        <w:t xml:space="preserve">[4] </w:t>
      </w:r>
      <w:r>
        <w:rPr>
          <w:rFonts w:ascii="Times New Roman" w:hAnsi="Times New Roman" w:eastAsia="宋体"/>
          <w:b w:val="0"/>
          <w:i w:val="0"/>
          <w:sz w:val="19"/>
        </w:rPr>
        <w:t>“双优”工程视域下，应用型大学如何高质量发展[N/OL]. 中国青年报, (2026-07-03). http://zqb.cyol.com/pc/content/202607/03/content_427738.html</w:t>
      </w:r>
    </w:p>
    <w:p>
      <w:pPr>
        <w:spacing w:after="80" w:line="320" w:lineRule="exact"/>
        <w:ind w:left="480" w:hanging="480"/>
      </w:pPr>
      <w:r>
        <w:rPr>
          <w:rFonts w:ascii="Times New Roman" w:hAnsi="Times New Roman" w:eastAsia="宋体"/>
          <w:b w:val="0"/>
          <w:i w:val="0"/>
          <w:sz w:val="19"/>
        </w:rPr>
        <w:t xml:space="preserve">[5] </w:t>
      </w:r>
      <w:r>
        <w:rPr>
          <w:rFonts w:ascii="Times New Roman" w:hAnsi="Times New Roman" w:eastAsia="宋体"/>
          <w:b w:val="0"/>
          <w:i w:val="0"/>
          <w:sz w:val="19"/>
        </w:rPr>
        <w:t>应用型本科高校“国家队”怎么选怎么建[N/OL]. 中国青年报, (2026-04-24). http://news.cyol.com/gb/articles/2026-04/24/content_OVg6YPuWy0.html</w:t>
      </w:r>
    </w:p>
    <w:p>
      <w:pPr>
        <w:spacing w:after="80" w:line="320" w:lineRule="exact"/>
        <w:ind w:left="480" w:hanging="480"/>
      </w:pPr>
      <w:r>
        <w:rPr>
          <w:rFonts w:ascii="Times New Roman" w:hAnsi="Times New Roman" w:eastAsia="宋体"/>
          <w:b w:val="0"/>
          <w:i w:val="0"/>
          <w:sz w:val="19"/>
        </w:rPr>
        <w:t xml:space="preserve">[6] </w:t>
      </w:r>
      <w:r>
        <w:rPr>
          <w:rFonts w:ascii="Times New Roman" w:hAnsi="Times New Roman" w:eastAsia="宋体"/>
          <w:b w:val="0"/>
          <w:i w:val="0"/>
          <w:sz w:val="19"/>
        </w:rPr>
        <w:t>“双优”工程启动，应用型高校的“双一流”来了？[N/OL]. 21世纪经济报道, (2026-03-20). https://www.21jingji.com/article/20260320/herald/0a96b08e3bf6ad207e19ef48d16ffc9a.html</w:t>
      </w:r>
    </w:p>
    <w:p>
      <w:pPr>
        <w:spacing w:after="80" w:line="320" w:lineRule="exact"/>
        <w:ind w:left="480" w:hanging="480"/>
      </w:pPr>
      <w:r>
        <w:rPr>
          <w:rFonts w:ascii="Times New Roman" w:hAnsi="Times New Roman" w:eastAsia="宋体"/>
          <w:b w:val="0"/>
          <w:i w:val="0"/>
          <w:sz w:val="19"/>
        </w:rPr>
        <w:t xml:space="preserve">[7] </w:t>
      </w:r>
      <w:r>
        <w:rPr>
          <w:rFonts w:ascii="Times New Roman" w:hAnsi="Times New Roman" w:eastAsia="宋体"/>
          <w:b w:val="0"/>
          <w:i w:val="0"/>
          <w:sz w:val="19"/>
        </w:rPr>
        <w:t>推动应用型高校向“双优”目标迈进[EB/OL]. 央广网, (2026-07-16). https://edu.cnr.cn/sy/sytjB/20260716/t20260716_527712761.shtml</w:t>
      </w:r>
    </w:p>
    <w:p>
      <w:pPr>
        <w:spacing w:after="80" w:line="320" w:lineRule="exact"/>
        <w:ind w:left="480" w:hanging="480"/>
      </w:pPr>
      <w:r>
        <w:rPr>
          <w:rFonts w:ascii="Times New Roman" w:hAnsi="Times New Roman" w:eastAsia="宋体"/>
          <w:b w:val="0"/>
          <w:i w:val="0"/>
          <w:sz w:val="19"/>
        </w:rPr>
        <w:t xml:space="preserve">[8] </w:t>
      </w:r>
      <w:r>
        <w:rPr>
          <w:rFonts w:ascii="Times New Roman" w:hAnsi="Times New Roman" w:eastAsia="宋体"/>
          <w:b w:val="0"/>
          <w:i w:val="0"/>
          <w:sz w:val="19"/>
        </w:rPr>
        <w:t>建强之要，在于固本——高水平应用型大学建设应锚定本科教育主阵地[EB/OL]. 新华网, (2026-05-06). https://www.news.cn/digital/20260506/ce018ffa15724b80a855bfbe2fcac8e8/c.html</w:t>
      </w:r>
    </w:p>
    <w:p>
      <w:pPr>
        <w:spacing w:after="80" w:line="320" w:lineRule="exact"/>
        <w:ind w:left="480" w:hanging="480"/>
      </w:pPr>
      <w:r>
        <w:rPr>
          <w:rFonts w:ascii="Times New Roman" w:hAnsi="Times New Roman" w:eastAsia="宋体"/>
          <w:b w:val="0"/>
          <w:i w:val="0"/>
          <w:sz w:val="19"/>
        </w:rPr>
        <w:t xml:space="preserve">[9] </w:t>
      </w:r>
      <w:r>
        <w:rPr>
          <w:rFonts w:ascii="Times New Roman" w:hAnsi="Times New Roman" w:eastAsia="宋体"/>
          <w:b w:val="0"/>
          <w:i w:val="0"/>
          <w:sz w:val="19"/>
        </w:rPr>
        <w:t>教育部学校规划建设发展中心. 加快推进高水平应用型高校建设[EB/OL]. https://www.csdp.edu.cn/article/10507.html</w:t>
      </w:r>
    </w:p>
    <w:p>
      <w:pPr>
        <w:spacing w:after="80" w:line="320" w:lineRule="exact"/>
        <w:ind w:left="480" w:hanging="480"/>
      </w:pPr>
      <w:r>
        <w:rPr>
          <w:rFonts w:ascii="Times New Roman" w:hAnsi="Times New Roman" w:eastAsia="宋体"/>
          <w:b w:val="0"/>
          <w:i w:val="0"/>
          <w:sz w:val="19"/>
        </w:rPr>
        <w:t xml:space="preserve">[10] </w:t>
      </w:r>
      <w:r>
        <w:rPr>
          <w:rFonts w:ascii="Times New Roman" w:hAnsi="Times New Roman" w:eastAsia="宋体"/>
          <w:b w:val="0"/>
          <w:i w:val="0"/>
          <w:sz w:val="19"/>
        </w:rPr>
        <w:t>高水平应用型大学发展研讨会（2026年7月2—3日，杭州；指导单位：教育部学校规划建设发展中心、浙江省教育厅）[EB/OL]. https://www.zust.edu.cn/info/1086/19998.htm</w:t>
      </w:r>
    </w:p>
    <w:p>
      <w:pPr>
        <w:keepNext/>
        <w:spacing w:before="280" w:after="140" w:line="390" w:lineRule="exact"/>
        <w:outlineLvl w:val="1"/>
      </w:pPr>
      <w:r>
        <w:rPr>
          <w:rFonts w:ascii="Times New Roman" w:hAnsi="Times New Roman" w:eastAsia="黑体"/>
          <w:b/>
          <w:i w:val="0"/>
          <w:color w:val="1F3B73"/>
          <w:sz w:val="26"/>
        </w:rPr>
        <w:t>五、检索未能证实、本文件不予采信的说法（备查）</w:t>
      </w:r>
    </w:p>
    <w:p>
      <w:pPr>
        <w:spacing w:after="80" w:line="320" w:lineRule="exact"/>
        <w:ind w:left="480" w:hanging="480"/>
      </w:pPr>
      <w:r>
        <w:rPr>
          <w:rFonts w:ascii="Times New Roman" w:hAnsi="Times New Roman" w:eastAsia="宋体"/>
          <w:b w:val="0"/>
          <w:i w:val="0"/>
          <w:sz w:val="19"/>
        </w:rPr>
        <w:t xml:space="preserve">[1] </w:t>
      </w:r>
      <w:r>
        <w:rPr>
          <w:rFonts w:ascii="Times New Roman" w:hAnsi="Times New Roman" w:eastAsia="宋体"/>
          <w:b w:val="0"/>
          <w:i w:val="0"/>
          <w:sz w:val="19"/>
        </w:rPr>
        <w:t>《从“一把尺子”到多元发展：“双优”工程重构中国高校版图》——以完整标题精确检索未命中任何来源，疑为自媒体二次加工标题，不作为文献引用。</w:t>
      </w:r>
    </w:p>
    <w:p>
      <w:pPr>
        <w:spacing w:after="80" w:line="320" w:lineRule="exact"/>
        <w:ind w:left="480" w:hanging="480"/>
      </w:pPr>
      <w:r>
        <w:rPr>
          <w:rFonts w:ascii="Times New Roman" w:hAnsi="Times New Roman" w:eastAsia="宋体"/>
          <w:b w:val="0"/>
          <w:i w:val="0"/>
          <w:sz w:val="19"/>
        </w:rPr>
        <w:t xml:space="preserve">[2] </w:t>
      </w:r>
      <w:r>
        <w:rPr>
          <w:rFonts w:ascii="Times New Roman" w:hAnsi="Times New Roman" w:eastAsia="宋体"/>
          <w:b w:val="0"/>
          <w:i w:val="0"/>
          <w:sz w:val="19"/>
        </w:rPr>
        <w:t>“‘十三五’100所 + ‘十四五’137所去重约200所构成双优基础盘”——媒体推断，教育部从未确认两者对应关系。</w:t>
      </w:r>
    </w:p>
    <w:p>
      <w:pPr>
        <w:spacing w:after="80" w:line="320" w:lineRule="exact"/>
        <w:ind w:left="480" w:hanging="480"/>
      </w:pPr>
      <w:r>
        <w:rPr>
          <w:rFonts w:ascii="Times New Roman" w:hAnsi="Times New Roman" w:eastAsia="宋体"/>
          <w:b w:val="0"/>
          <w:i w:val="0"/>
          <w:sz w:val="19"/>
        </w:rPr>
        <w:t xml:space="preserve">[3] </w:t>
      </w:r>
      <w:r>
        <w:rPr>
          <w:rFonts w:ascii="Times New Roman" w:hAnsi="Times New Roman" w:eastAsia="宋体"/>
          <w:b w:val="0"/>
          <w:i w:val="0"/>
          <w:sz w:val="19"/>
        </w:rPr>
        <w:t>各类“首批入选可能性最大的高校”名单、“四川4所高校入选首批试点”等——均为媒体推测，且不同来源校名互相矛盾，按存疑处理。</w:t>
      </w:r>
    </w:p>
    <w:p>
      <w:pPr>
        <w:spacing w:after="80" w:line="320" w:lineRule="exact"/>
        <w:ind w:left="480" w:hanging="480"/>
      </w:pPr>
      <w:r>
        <w:rPr>
          <w:rFonts w:ascii="Times New Roman" w:hAnsi="Times New Roman" w:eastAsia="宋体"/>
          <w:b w:val="0"/>
          <w:i w:val="0"/>
          <w:sz w:val="19"/>
        </w:rPr>
        <w:t xml:space="preserve">[4] </w:t>
      </w:r>
      <w:r>
        <w:rPr>
          <w:rFonts w:ascii="Times New Roman" w:hAnsi="Times New Roman" w:eastAsia="宋体"/>
          <w:b w:val="0"/>
          <w:i w:val="0"/>
          <w:sz w:val="19"/>
        </w:rPr>
        <w:t>《教育发展“十五五”规划》文号“国发〔2026〕19号”——仅见于个别转载页标题，未在官网核实。</w:t>
      </w:r>
    </w:p>
    <w:p>
      <w:pPr>
        <w:spacing w:after="80" w:line="320" w:lineRule="exact"/>
        <w:ind w:left="480" w:hanging="480"/>
      </w:pPr>
      <w:r>
        <w:rPr>
          <w:rFonts w:ascii="Times New Roman" w:hAnsi="Times New Roman" w:eastAsia="宋体"/>
          <w:b w:val="0"/>
          <w:i w:val="0"/>
          <w:sz w:val="19"/>
        </w:rPr>
        <w:t xml:space="preserve">[5] </w:t>
      </w:r>
      <w:r>
        <w:rPr>
          <w:rFonts w:ascii="Times New Roman" w:hAnsi="Times New Roman" w:eastAsia="宋体"/>
          <w:b w:val="0"/>
          <w:i w:val="0"/>
          <w:sz w:val="19"/>
        </w:rPr>
        <w:t>嘉兴学院列入浙江省应用型建设试点示范学校的批次与年份——检索结果给出2017与2019两种互相冲突的口径，需以学校原始立项文件为准。</w:t>
      </w:r>
    </w:p>
    <w:sectPr w:rsidR="00FC693F" w:rsidRPr="0006063C" w:rsidSect="00034616">
      <w:headerReference w:type="default" r:id="rId9"/>
      <w:footerReference w:type="default" r:id="rId10"/>
      <w:pgSz w:w="11906" w:h="16838"/>
      <w:pgMar w:top="1417" w:right="1361" w:bottom="1304" w:left="1474" w:header="794"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666F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AAB4C8"/>
      </w:pBdr>
      <w:jc w:val="center"/>
    </w:pPr>
    <w:r>
      <w:rPr>
        <w:rFonts w:ascii="Times New Roman" w:hAnsi="Times New Roman" w:eastAsia="楷体"/>
        <w:b w:val="0"/>
        <w:i w:val="0"/>
        <w:color w:val="666F80"/>
        <w:sz w:val="18"/>
      </w:rPr>
      <w:t>“双优”工程“优秀办学”与“优秀服务”关键要素梳理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