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N"/>
      </w:pPr>
      <w:r>
        <w:t xml:space="preserve">人工智能应用对青年就业的替代效应与创造效应：非线性特征与结构分化</w:t>
      </w:r>
    </w:p>
    <w:p>
      <w:pPr>
        <w:pStyle w:val="AuthorCN"/>
      </w:pPr>
      <w:r>
        <w:t xml:space="preserve">×××</w:t>
      </w:r>
    </w:p>
    <w:p>
      <w:pPr>
        <w:pStyle w:val="AffilCN"/>
      </w:pPr>
      <w:r>
        <w:t xml:space="preserve">（××大学 商学院，×× ××××××）</w:t>
      </w:r>
    </w:p>
    <w:p>
      <w:pPr>
        <w:pStyle w:val="AbstractCN"/>
      </w:pPr>
      <w:r>
        <w:rPr>
          <w:bCs/>
          <w:b/>
        </w:rPr>
        <w:t xml:space="preserve">摘 要：</w:t>
      </w:r>
      <w:r>
        <w:t xml:space="preserve">文章基于2012—2023年中国30个省份的面板数据，以工业机器人渗透度衡量人工智能应用水平，实证检验人工智能应用对青年就业的影响效应及作用机制。研究发现：（1）人工智能应用与青年就业规模之间呈显著的U型关系，在渗透度较低阶段替代效应占优，跨越拐点后创造效应转为主导。（2）人工智能应用显著提高青年高技能就业占比、降低低技能就业占比，呈现就业极化特征。（3）作用机制检验结果表明，人工智能应用通过替代常规任务岗位抑制青年就业，通过创造新兴数字职业、改善人岗技能匹配促进青年就业。（4）调节效应检验结果表明，教育发展水平与职业技能培训均能显著缓解人工智能应用对青年就业的抑制作用。（5）异质性检验结果表明，替代冲击在西部地区、低教育水平地区与非制造业密集地区更为突出。</w:t>
      </w:r>
    </w:p>
    <w:p>
      <w:pPr>
        <w:pStyle w:val="AbstractCN"/>
      </w:pPr>
      <w:r>
        <w:rPr>
          <w:bCs/>
          <w:b/>
        </w:rPr>
        <w:t xml:space="preserve">关键词：</w:t>
      </w:r>
      <w:r>
        <w:t xml:space="preserve">人工智能；青年就业；替代效应；创造效应；就业极化</w:t>
      </w:r>
    </w:p>
    <w:p>
      <w:pPr>
        <w:pStyle w:val="AbstractCN"/>
      </w:pPr>
      <w:r>
        <w:rPr>
          <w:bCs/>
          <w:b/>
        </w:rPr>
        <w:t xml:space="preserve">中图分类号：</w:t>
      </w:r>
      <w:r>
        <w:t xml:space="preserve">F249.2；F49　　</w:t>
      </w:r>
      <w:r>
        <w:rPr>
          <w:bCs/>
          <w:b/>
        </w:rPr>
        <w:t xml:space="preserve">文献标识码：</w:t>
      </w:r>
      <w:r>
        <w:t xml:space="preserve">A　　</w:t>
      </w:r>
      <w:r>
        <w:rPr>
          <w:bCs/>
          <w:b/>
        </w:rPr>
        <w:t xml:space="preserve">文章编号：</w:t>
      </w:r>
      <w:r>
        <w:t xml:space="preserve">1002-6487（××××）××-××××-××</w:t>
      </w:r>
    </w:p>
    <w:bookmarkStart w:id="20" w:name="引言"/>
    <w:p>
      <w:pPr>
        <w:pStyle w:val="Heading1"/>
      </w:pPr>
      <w:r>
        <w:t xml:space="preserve">0 引言</w:t>
      </w:r>
    </w:p>
    <w:p>
      <w:pPr>
        <w:pStyle w:val="FirstParagraph"/>
      </w:pPr>
      <w:r>
        <w:t xml:space="preserve">以工业机器人、机器学习与大模型为代表的人工智能技术正在加速向生产与服务领域渗透。国际机器人联合会的数据显示，我国已连续多年位居全球工业机器人装机量首位，2023年制造业机器人密度达到每万名工人470台，超过德国与日本。技术进步在提升生产效率的同时，也在深刻改变劳动力市场的岗位结构与技能需求</w:t>
      </w:r>
      <w:r>
        <w:rPr>
          <w:vertAlign w:val="superscript"/>
        </w:rPr>
        <w:t xml:space="preserve">[1]</w:t>
      </w:r>
      <w:r>
        <w:t xml:space="preserve">。对于初次进入劳动力市场的青年群体而言，这一冲击尤为敏感：一方面，青年缺乏工作经验积累，从事的岗位往往具有较高的常规任务密度，更易被自动化技术替代；另一方面，青年具有较强的学习能力与数字素养，更有可能进入人工智能所创造的新兴职业。在我国青年就业总量压力与结构性矛盾并存的背景下，厘清人工智能应用究竟是“抢走饭碗”还是“创造机会”，以及在何种条件下两种效应此消彼长，对于制定前瞻性的青年就业政策具有重要的现实意义。</w:t>
      </w:r>
    </w:p>
    <w:p>
      <w:pPr>
        <w:pStyle w:val="BodyText"/>
      </w:pPr>
      <w:r>
        <w:t xml:space="preserve">与本文相关的文献主要涉及以下三个方面：其一，人工智能与就业的关系研究。Autor等（2003）</w:t>
      </w:r>
      <w:r>
        <w:rPr>
          <w:vertAlign w:val="superscript"/>
        </w:rPr>
        <w:t xml:space="preserve">[2]</w:t>
      </w:r>
      <w:r>
        <w:t xml:space="preserve">提出的任务模型指出，技术进步替代常规任务、互补非常规任务；Autor和Dorn（2013）</w:t>
      </w:r>
      <w:r>
        <w:rPr>
          <w:vertAlign w:val="superscript"/>
        </w:rPr>
        <w:t xml:space="preserve">[3]</w:t>
      </w:r>
      <w:r>
        <w:t xml:space="preserve">与Goos等（2014）</w:t>
      </w:r>
      <w:r>
        <w:rPr>
          <w:vertAlign w:val="superscript"/>
        </w:rPr>
        <w:t xml:space="preserve">[4]</w:t>
      </w:r>
      <w:r>
        <w:t xml:space="preserve">进一步论证了常规任务偏向型技术变革引致的就业极化。Acemoglu和Restrepo（2018）</w:t>
      </w:r>
      <w:r>
        <w:rPr>
          <w:vertAlign w:val="superscript"/>
        </w:rPr>
        <w:t xml:space="preserve">[5]</w:t>
      </w:r>
      <w:r>
        <w:t xml:space="preserve">认为自动化与新任务创造之间存在动态竞赛，二者的相对速度决定了就业与劳动收入份额的走向；Dauth等（2021）</w:t>
      </w:r>
      <w:r>
        <w:rPr>
          <w:vertAlign w:val="superscript"/>
        </w:rPr>
        <w:t xml:space="preserve">[6]</w:t>
      </w:r>
      <w:r>
        <w:t xml:space="preserve">对德国劳动力市场的研究则发现，机器人虽减少了制造业岗位，但服务业岗位的增长基本抵消了这一损失。国内研究方面，王永钦和董雯（2020）</w:t>
      </w:r>
      <w:r>
        <w:rPr>
          <w:vertAlign w:val="superscript"/>
        </w:rPr>
        <w:t xml:space="preserve">[7]</w:t>
      </w:r>
      <w:r>
        <w:t xml:space="preserve">发现机器人应用显著影响了中国劳动力市场的岗位结构与工资水平，余玲铮等（2021）</w:t>
      </w:r>
      <w:r>
        <w:rPr>
          <w:vertAlign w:val="superscript"/>
        </w:rPr>
        <w:t xml:space="preserve">[8]</w:t>
      </w:r>
      <w:r>
        <w:t xml:space="preserve">发现工业机器人的使用提高了非常规能力的溢价，何勤等（2020）</w:t>
      </w:r>
      <w:r>
        <w:rPr>
          <w:vertAlign w:val="superscript"/>
        </w:rPr>
        <w:t xml:space="preserve">[9]</w:t>
      </w:r>
      <w:r>
        <w:t xml:space="preserve">指出人工智能对就业存在替代与创造的双重作用，王林辉等（2020）</w:t>
      </w:r>
      <w:r>
        <w:rPr>
          <w:vertAlign w:val="superscript"/>
        </w:rPr>
        <w:t xml:space="preserve">[10]</w:t>
      </w:r>
      <w:r>
        <w:t xml:space="preserve">与郭凯明（2019）</w:t>
      </w:r>
      <w:r>
        <w:rPr>
          <w:vertAlign w:val="superscript"/>
        </w:rPr>
        <w:t xml:space="preserve">[11]</w:t>
      </w:r>
      <w:r>
        <w:t xml:space="preserve">则分别论证了其对劳动收入不平等与劳动收入份额的影响。张丹丹等（2025）</w:t>
      </w:r>
      <w:r>
        <w:rPr>
          <w:vertAlign w:val="superscript"/>
        </w:rPr>
        <w:t xml:space="preserve">[12]</w:t>
      </w:r>
      <w:r>
        <w:t xml:space="preserve">基于大语言模型测算了我国职业的人工智能技术暴露度，发现暴露度上升会显著抑制相关岗位的劳动力需求。其二，人工智能对生产率与工作方式的影响研究。姚加权等（2024）</w:t>
      </w:r>
      <w:r>
        <w:rPr>
          <w:vertAlign w:val="superscript"/>
        </w:rPr>
        <w:t xml:space="preserve">[13]</w:t>
      </w:r>
      <w:r>
        <w:t xml:space="preserve">发现人工智能能够通过调整劳动力技能结构提升企业生产效率，Brynjolfsson等（2025）</w:t>
      </w:r>
      <w:r>
        <w:rPr>
          <w:vertAlign w:val="superscript"/>
        </w:rPr>
        <w:t xml:space="preserve">[14]</w:t>
      </w:r>
      <w:r>
        <w:t xml:space="preserve">发现生成式人工智能对客服等职业的效率提升作用显著且以新手获益最大，Eloundou等（2024）</w:t>
      </w:r>
      <w:r>
        <w:rPr>
          <w:vertAlign w:val="superscript"/>
        </w:rPr>
        <w:t xml:space="preserve">[15]</w:t>
      </w:r>
      <w:r>
        <w:t xml:space="preserve">的测算表明多数知识工作任务已不同程度地暴露于大模型能力范围之内。其三，青年就业的专门研究。徐明等（2024）</w:t>
      </w:r>
      <w:r>
        <w:rPr>
          <w:vertAlign w:val="superscript"/>
        </w:rPr>
        <w:t xml:space="preserve">[16]</w:t>
      </w:r>
      <w:r>
        <w:t xml:space="preserve">系统梳理了我国青年就业研究的核心议题，郭冉等（2022）</w:t>
      </w:r>
      <w:r>
        <w:rPr>
          <w:vertAlign w:val="superscript"/>
        </w:rPr>
        <w:t xml:space="preserve">[17]</w:t>
      </w:r>
      <w:r>
        <w:t xml:space="preserve">刻画了青年就业“量减质升”的阶段特征，丁述磊等（2024）</w:t>
      </w:r>
      <w:r>
        <w:rPr>
          <w:vertAlign w:val="superscript"/>
        </w:rPr>
        <w:t xml:space="preserve">[18]</w:t>
      </w:r>
      <w:r>
        <w:t xml:space="preserve">发现教育错配显著抑制青年就业质量；Kahn（2010）</w:t>
      </w:r>
      <w:r>
        <w:rPr>
          <w:vertAlign w:val="superscript"/>
        </w:rPr>
        <w:t xml:space="preserve">[19]</w:t>
      </w:r>
      <w:r>
        <w:t xml:space="preserve">则表明，在劳动力市场疲软时期进入职场会对青年产生长期的收入与职业发展损失。</w:t>
      </w:r>
    </w:p>
    <w:p>
      <w:pPr>
        <w:pStyle w:val="BodyText"/>
      </w:pPr>
      <w:r>
        <w:t xml:space="preserve">梳理现有文献可知，已有研究对人工智能的就业效应进行了富有成效的探索，但仍有可拓展之处：一是多数研究考察全体劳动者或制造业工人的就业结果，专门聚焦青年群体的实证证据相对匮乏；二是替代效应与创造效应多被分别讨论，鲜有研究在统一框架下刻画二者相对强弱随技术渗透深化而发生的动态转换，从而难以回答“净效应何时由负转正”这一关键问题；三是对缓解替代冲击的条件性因素缺乏系统检验。鉴于此，本文以2012—2023年30个省份的面板数据为样本，通过引入人工智能应用水平的二次项刻画替代与创造效应的动态转换，并从常规任务替代、新兴岗位创造与人岗技能匹配三条渠道识别作用机制，进而检验教育发展水平与职业技能培训的调节作用，以期为青年就业政策提供经验依据。</w:t>
      </w:r>
    </w:p>
    <w:bookmarkEnd w:id="20"/>
    <w:bookmarkStart w:id="24" w:name="理论分析与研究假设"/>
    <w:p>
      <w:pPr>
        <w:pStyle w:val="Heading1"/>
      </w:pPr>
      <w:r>
        <w:t xml:space="preserve">1 理论分析与研究假设</w:t>
      </w:r>
    </w:p>
    <w:bookmarkStart w:id="21" w:name="替代效应创造效应与非线性净效应"/>
    <w:p>
      <w:pPr>
        <w:pStyle w:val="Heading2"/>
      </w:pPr>
      <w:r>
        <w:t xml:space="preserve">1.1 替代效应、创造效应与非线性净效应</w:t>
      </w:r>
    </w:p>
    <w:p>
      <w:pPr>
        <w:pStyle w:val="FirstParagraph"/>
      </w:pPr>
      <w:r>
        <w:t xml:space="preserve">依据任务模型的分析框架，技术进步对就业的影响取决于其对不同任务的替代与互补关系</w:t>
      </w:r>
      <w:r>
        <w:rPr>
          <w:vertAlign w:val="superscript"/>
        </w:rPr>
        <w:t xml:space="preserve">[2]</w:t>
      </w:r>
      <w:r>
        <w:t xml:space="preserve">。人工智能应用对青年就业同时存在两种方向相反的作用力。就替代效应而言，人工智能擅长处理程式化、可编码的常规任务，而青年因经验积累不足，初入职场时承担的多为流程性、辅助性岗位，常规任务密度较高，因而首当其冲地面临岗位替代风险</w:t>
      </w:r>
      <w:r>
        <w:rPr>
          <w:vertAlign w:val="superscript"/>
        </w:rPr>
        <w:t xml:space="preserve">[7]</w:t>
      </w:r>
      <w:r>
        <w:t xml:space="preserve">。就创造效应而言，人工智能的应用催生了算法训练、数据标注、智能运维、人机协作管理等新兴职业，同时通过提高生产率、降低产品价格扩大市场需求，进而在关联部门引致新的用工需求</w:t>
      </w:r>
      <w:r>
        <w:rPr>
          <w:vertAlign w:val="superscript"/>
        </w:rPr>
        <w:t xml:space="preserve">[5,6]</w:t>
      </w:r>
      <w:r>
        <w:t xml:space="preserve">。</w:t>
      </w:r>
    </w:p>
    <w:p>
      <w:pPr>
        <w:pStyle w:val="BodyText"/>
      </w:pPr>
      <w:r>
        <w:t xml:space="preserve">两种效应的相对强弱随技术渗透程度的加深而发生系统性转换。在人工智能应用的起步阶段，技术投入主要用于替代既有的重复性劳动环节，企业以“机器换人”降低成本的动机占主导，而配套的数字基础设施、组织流程与商业模式尚未成熟，新兴岗位的孵化能力有限，因此替代效应占优，青年就业规模趋于收缩。随着渗透度持续提高，人工智能由单点替代转向系统性重构，产业链上下游衍生出大量新职业与新业态，通用目的技术所要求的互补性投资逐步到位</w:t>
      </w:r>
      <w:r>
        <w:rPr>
          <w:vertAlign w:val="superscript"/>
        </w:rPr>
        <w:t xml:space="preserve">[20]</w:t>
      </w:r>
      <w:r>
        <w:t xml:space="preserve">，加之技术扩散降低了应用门槛、催生中小企业的新增用工需求，创造效应逐步超越替代效应，青年就业规模转而扩张。基于此，本文提出：</w:t>
      </w:r>
    </w:p>
    <w:p>
      <w:pPr>
        <w:pStyle w:val="BodyText"/>
      </w:pPr>
      <w:r>
        <w:t xml:space="preserve">假设1：人工智能应用对青年就业规模的影响呈先抑制后促进的U型特征。</w:t>
      </w:r>
    </w:p>
    <w:bookmarkEnd w:id="21"/>
    <w:bookmarkStart w:id="22" w:name="作用机制"/>
    <w:p>
      <w:pPr>
        <w:pStyle w:val="Heading2"/>
      </w:pPr>
      <w:r>
        <w:t xml:space="preserve">1.2 作用机制</w:t>
      </w:r>
    </w:p>
    <w:p>
      <w:pPr>
        <w:pStyle w:val="FirstParagraph"/>
      </w:pPr>
      <w:r>
        <w:t xml:space="preserve">第一，常规任务替代渠道。人工智能对常规任务岗位的替代直接压缩了青年的传统就业空间。制造业流水线操作、基础数据录入、标准化客服等常规任务密集型岗位历来是青年尤其是低学历青年进入劳动力市场的主要通道，这类岗位的萎缩会直接减少青年就业机会</w:t>
      </w:r>
      <w:r>
        <w:rPr>
          <w:vertAlign w:val="superscript"/>
        </w:rPr>
        <w:t xml:space="preserve">[4,8]</w:t>
      </w:r>
      <w:r>
        <w:t xml:space="preserve">。</w:t>
      </w:r>
    </w:p>
    <w:p>
      <w:pPr>
        <w:pStyle w:val="BodyText"/>
      </w:pPr>
      <w:r>
        <w:t xml:space="preserve">第二，新兴岗位创造渠道。人工智能的产业化应用衍生出算法工程、数据服务、智能装备运维、数字内容生产等新兴职业，这类岗位普遍具有知识密集、技能更新快的特征，对熟悉数字工具、学习能力较强的青年具有天然的吸纳优势</w:t>
      </w:r>
      <w:r>
        <w:rPr>
          <w:vertAlign w:val="superscript"/>
        </w:rPr>
        <w:t xml:space="preserve">[12]</w:t>
      </w:r>
      <w:r>
        <w:t xml:space="preserve">。</w:t>
      </w:r>
    </w:p>
    <w:p>
      <w:pPr>
        <w:pStyle w:val="BodyText"/>
      </w:pPr>
      <w:r>
        <w:t xml:space="preserve">第三，人岗技能匹配渠道。人工智能不仅改变岗位供给，也重塑了匹配过程：智能招聘与人岗匹配算法提高了简历筛选与岗位推荐的精准度，降低了青年因信息不对称造成的摩擦性失业；同时人工智能的应用倒逼企业明确岗位技能画像，有助于青年在求职前有针对性地补齐技能短板，从而提高匹配质量并降低离职率</w:t>
      </w:r>
      <w:r>
        <w:rPr>
          <w:vertAlign w:val="superscript"/>
        </w:rPr>
        <w:t xml:space="preserve">[18]</w:t>
      </w:r>
      <w:r>
        <w:t xml:space="preserve">。基于此，本文提出：</w:t>
      </w:r>
    </w:p>
    <w:p>
      <w:pPr>
        <w:pStyle w:val="BodyText"/>
      </w:pPr>
      <w:r>
        <w:t xml:space="preserve">假设2：人工智能应用通过替代常规任务岗位抑制青年就业。</w:t>
      </w:r>
    </w:p>
    <w:p>
      <w:pPr>
        <w:pStyle w:val="BodyText"/>
      </w:pPr>
      <w:r>
        <w:t xml:space="preserve">假设3：人工智能应用通过创造新兴数字职业促进青年就业。</w:t>
      </w:r>
    </w:p>
    <w:p>
      <w:pPr>
        <w:pStyle w:val="BodyText"/>
      </w:pPr>
      <w:r>
        <w:t xml:space="preserve">假设4：人工智能应用通过改善人岗技能匹配促进青年就业。</w:t>
      </w:r>
    </w:p>
    <w:bookmarkEnd w:id="22"/>
    <w:bookmarkStart w:id="23" w:name="调节效应"/>
    <w:p>
      <w:pPr>
        <w:pStyle w:val="Heading2"/>
      </w:pPr>
      <w:r>
        <w:t xml:space="preserve">1.3 调节效应</w:t>
      </w:r>
    </w:p>
    <w:p>
      <w:pPr>
        <w:pStyle w:val="FirstParagraph"/>
      </w:pPr>
      <w:r>
        <w:t xml:space="preserve">人工智能对青年就业的净效应并非外生给定，而是取决于青年劳动力的技能结构能否与智能化岗位需求相适配。教育发展水平较高的地区，青年劳动力的认知能力与非常规任务处理能力更强，更易向人工智能难以替代的岗位转移，同时更有能力承接新兴数字职业的技能要求，因而替代冲击更易被吸收、创造红利更易被捕获</w:t>
      </w:r>
      <w:r>
        <w:rPr>
          <w:vertAlign w:val="superscript"/>
        </w:rPr>
        <w:t xml:space="preserve">[13]</w:t>
      </w:r>
      <w:r>
        <w:t xml:space="preserve">。职业技能培训则提供了教育体系之外的技能更新通道，通过短周期、高针对性的培训帮助青年劳动者完成从被替代岗位向新兴岗位的转换，缩短技术冲击下的职业转换期。基于此，本文提出：</w:t>
      </w:r>
    </w:p>
    <w:p>
      <w:pPr>
        <w:pStyle w:val="BodyText"/>
      </w:pPr>
      <w:r>
        <w:t xml:space="preserve">假设5：教育发展水平与职业技能培训能够正向调节人工智能应用对青年就业的影响。</w:t>
      </w:r>
    </w:p>
    <w:bookmarkEnd w:id="23"/>
    <w:bookmarkEnd w:id="24"/>
    <w:bookmarkStart w:id="32" w:name="研究设计"/>
    <w:p>
      <w:pPr>
        <w:pStyle w:val="Heading1"/>
      </w:pPr>
      <w:r>
        <w:t xml:space="preserve">2 研究设计</w:t>
      </w:r>
    </w:p>
    <w:bookmarkStart w:id="25" w:name="模型构建"/>
    <w:p>
      <w:pPr>
        <w:pStyle w:val="Heading2"/>
      </w:pPr>
      <w:r>
        <w:t xml:space="preserve">2.1 模型构建</w:t>
      </w:r>
    </w:p>
    <w:p>
      <w:pPr>
        <w:pStyle w:val="FirstParagraph"/>
      </w:pPr>
      <w:r>
        <w:t xml:space="preserve">为检验人工智能应用对青年就业的非线性影响，构建如下基准回归模型：</w:t>
      </w:r>
    </w:p>
    <w:p>
      <w:pPr>
        <w:pStyle w:val="BodyText"/>
      </w:pPr>
      <m:oMathPara>
        <m:oMathParaPr>
          <m:jc m:val="center"/>
        </m:oMathParaPr>
        <m:oMath>
          <m:sSub>
            <m:e>
              <m:r>
                <m:rPr>
                  <m:sty m:val="p"/>
                </m:rPr>
                <m:t>lnyemp</m:t>
              </m:r>
            </m:e>
            <m:sub>
              <m:r>
                <m:t>i</m:t>
              </m:r>
              <m:r>
                <m:t>t</m:t>
              </m:r>
            </m:sub>
          </m:sSub>
          <m:r>
            <m:rPr>
              <m:sty m:val="p"/>
            </m:rPr>
            <m:t>=</m:t>
          </m:r>
          <m:sSub>
            <m:e>
              <m:r>
                <m:t>α</m:t>
              </m:r>
            </m:e>
            <m:sub>
              <m:r>
                <m:t>0</m:t>
              </m:r>
            </m:sub>
          </m:sSub>
          <m:r>
            <m:rPr>
              <m:sty m:val="p"/>
            </m:rPr>
            <m:t>+</m:t>
          </m:r>
          <m:sSub>
            <m:e>
              <m:r>
                <m:t>α</m:t>
              </m:r>
            </m:e>
            <m:sub>
              <m:r>
                <m:t>1</m:t>
              </m:r>
            </m:sub>
          </m:sSub>
          <m:sSub>
            <m:e>
              <m:r>
                <m:rPr>
                  <m:sty m:val="p"/>
                </m:rPr>
                <m:t>ai</m:t>
              </m:r>
            </m:e>
            <m:sub>
              <m:r>
                <m:t>i</m:t>
              </m:r>
              <m:r>
                <m:t>t</m:t>
              </m:r>
            </m:sub>
          </m:sSub>
          <m:r>
            <m:rPr>
              <m:sty m:val="p"/>
            </m:rPr>
            <m:t>+</m:t>
          </m:r>
          <m:sSub>
            <m:e>
              <m:r>
                <m:t>α</m:t>
              </m:r>
            </m:e>
            <m:sub>
              <m:r>
                <m:t>2</m:t>
              </m:r>
            </m:sub>
          </m:sSub>
          <m:sSubSup>
            <m:e>
              <m:r>
                <m:rPr>
                  <m:sty m:val="p"/>
                </m:rPr>
                <m:t>ai</m:t>
              </m:r>
            </m:e>
            <m:sub>
              <m:r>
                <m:t>i</m:t>
              </m:r>
              <m:r>
                <m:t>t</m:t>
              </m:r>
            </m:sub>
            <m:sup>
              <m:r>
                <m:t>2</m:t>
              </m:r>
            </m:sup>
          </m:sSubSup>
          <m:r>
            <m:rPr>
              <m:sty m:val="p"/>
            </m:rPr>
            <m:t>+</m:t>
          </m:r>
          <m:sSub>
            <m:e>
              <m:r>
                <m:t>α</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1</m:t>
          </m:r>
          <m:r>
            <m:rPr>
              <m:sty m:val="p"/>
            </m:rPr>
            <m:t>）</m:t>
          </m:r>
        </m:oMath>
      </m:oMathPara>
    </w:p>
    <w:p>
      <w:pPr>
        <w:pStyle w:val="FirstParagraph"/>
      </w:pPr>
      <w:r>
        <w:t xml:space="preserve">其中，</w:t>
      </w:r>
      <m:oMath>
        <m:sSub>
          <m:e>
            <m:r>
              <m:rPr>
                <m:sty m:val="p"/>
              </m:rPr>
              <m:t>lnyemp</m:t>
            </m:r>
          </m:e>
          <m:sub>
            <m:r>
              <m:t>i</m:t>
            </m:r>
            <m:r>
              <m:t>t</m:t>
            </m:r>
          </m:sub>
        </m:sSub>
      </m:oMath>
      <w:r>
        <w:t xml:space="preserve">为省份</w:t>
      </w:r>
      <w:r>
        <w:rPr>
          <w:iCs/>
          <w:i/>
        </w:rPr>
        <w:t xml:space="preserve">i</w:t>
      </w:r>
      <w:r>
        <w:t xml:space="preserve">在年份</w:t>
      </w:r>
      <w:r>
        <w:rPr>
          <w:iCs/>
          <w:i/>
        </w:rPr>
        <w:t xml:space="preserve">t</w:t>
      </w:r>
      <w:r>
        <w:t xml:space="preserve">的青年就业规模，</w:t>
      </w:r>
      <m:oMath>
        <m:sSub>
          <m:e>
            <m:r>
              <m:rPr>
                <m:sty m:val="p"/>
              </m:rPr>
              <m:t>ai</m:t>
            </m:r>
          </m:e>
          <m:sub>
            <m:r>
              <m:t>i</m:t>
            </m:r>
            <m:r>
              <m:t>t</m:t>
            </m:r>
          </m:sub>
        </m:sSub>
      </m:oMath>
      <w:r>
        <w:t xml:space="preserve">为人工智能应用水平，</w:t>
      </w:r>
      <m:oMath>
        <m:sSubSup>
          <m:e>
            <m:r>
              <m:rPr>
                <m:sty m:val="p"/>
              </m:rPr>
              <m:t>ai</m:t>
            </m:r>
          </m:e>
          <m:sub>
            <m:r>
              <m:t>i</m:t>
            </m:r>
            <m:r>
              <m:t>t</m:t>
            </m:r>
          </m:sub>
          <m:sup>
            <m:r>
              <m:t>2</m:t>
            </m:r>
          </m:sup>
        </m:sSubSup>
      </m:oMath>
      <w:r>
        <w:t xml:space="preserve">为其二次项，</w:t>
      </w:r>
      <m:oMath>
        <m:sSub>
          <m:e>
            <m:r>
              <m:rPr>
                <m:sty m:val="p"/>
              </m:rPr>
              <m:t>Controls</m:t>
            </m:r>
          </m:e>
          <m:sub>
            <m:r>
              <m:t>i</m:t>
            </m:r>
            <m:r>
              <m:t>t</m:t>
            </m:r>
          </m:sub>
        </m:sSub>
      </m:oMath>
      <w:r>
        <w:t xml:space="preserve">为控制变量，</w:t>
      </w:r>
      <m:oMath>
        <m:sSub>
          <m:e>
            <m:r>
              <m:t>μ</m:t>
            </m:r>
          </m:e>
          <m:sub>
            <m:r>
              <m:t>i</m:t>
            </m:r>
          </m:sub>
        </m:sSub>
      </m:oMath>
      <w:r>
        <w:t xml:space="preserve">、</w:t>
      </w:r>
      <m:oMath>
        <m:sSub>
          <m:e>
            <m:r>
              <m:t>δ</m:t>
            </m:r>
          </m:e>
          <m:sub>
            <m:r>
              <m:t>t</m:t>
            </m:r>
          </m:sub>
        </m:sSub>
      </m:oMath>
      <w:r>
        <w:t xml:space="preserve">、</w:t>
      </w:r>
      <m:oMath>
        <m:sSub>
          <m:e>
            <m:r>
              <m:t>ε</m:t>
            </m:r>
          </m:e>
          <m:sub>
            <m:r>
              <m:t>i</m:t>
            </m:r>
            <m:r>
              <m:t>t</m:t>
            </m:r>
          </m:sub>
        </m:sSub>
      </m:oMath>
      <w:r>
        <w:t xml:space="preserve">分别为省份固定效应、年份固定效应与随机扰动项。若</w:t>
      </w:r>
      <m:oMath>
        <m:sSub>
          <m:e>
            <m:r>
              <m:t>α</m:t>
            </m:r>
          </m:e>
          <m:sub>
            <m:r>
              <m:t>1</m:t>
            </m:r>
          </m:sub>
        </m:sSub>
        <m:r>
          <m:rPr>
            <m:sty m:val="p"/>
          </m:rPr>
          <m:t>&lt;</m:t>
        </m:r>
        <m:r>
          <m:t>0</m:t>
        </m:r>
      </m:oMath>
      <w:r>
        <w:t xml:space="preserve">且</w:t>
      </w:r>
      <m:oMath>
        <m:sSub>
          <m:e>
            <m:r>
              <m:t>α</m:t>
            </m:r>
          </m:e>
          <m:sub>
            <m:r>
              <m:t>2</m:t>
            </m:r>
          </m:sub>
        </m:sSub>
        <m:r>
          <m:rPr>
            <m:sty m:val="p"/>
          </m:rPr>
          <m:t>&gt;</m:t>
        </m:r>
        <m:r>
          <m:t>0</m:t>
        </m:r>
      </m:oMath>
      <w:r>
        <w:t xml:space="preserve">，则二者呈U型关系，拐点为：</w:t>
      </w:r>
    </w:p>
    <w:p>
      <w:pPr>
        <w:pStyle w:val="BodyText"/>
      </w:pPr>
      <m:oMathPara>
        <m:oMathParaPr>
          <m:jc m:val="center"/>
        </m:oMathParaPr>
        <m:oMath>
          <m:sSup>
            <m:e>
              <m:r>
                <m:rPr>
                  <m:sty m:val="p"/>
                </m:rPr>
                <m:t>ai</m:t>
              </m:r>
            </m:e>
            <m:sup>
              <m:r>
                <m:rPr>
                  <m:sty m:val="p"/>
                </m:rPr>
                <m:t>*</m:t>
              </m:r>
            </m:sup>
          </m:sSup>
          <m:r>
            <m:rPr>
              <m:sty m:val="p"/>
            </m:rPr>
            <m:t>=</m:t>
          </m:r>
          <m:r>
            <m:rPr>
              <m:sty m:val="p"/>
            </m:rPr>
            <m:t>−</m:t>
          </m:r>
          <m:f>
            <m:fPr>
              <m:type m:val="bar"/>
            </m:fPr>
            <m:num>
              <m:sSub>
                <m:e>
                  <m:r>
                    <m:t>α</m:t>
                  </m:r>
                </m:e>
                <m:sub>
                  <m:r>
                    <m:t>1</m:t>
                  </m:r>
                </m:sub>
              </m:sSub>
            </m:num>
            <m:den>
              <m:r>
                <m:t>2</m:t>
              </m:r>
              <m:sSub>
                <m:e>
                  <m:r>
                    <m:t>α</m:t>
                  </m:r>
                </m:e>
                <m:sub>
                  <m:r>
                    <m:t>2</m:t>
                  </m:r>
                </m:sub>
              </m:sSub>
            </m:den>
          </m:f>
          <m:r>
            <m:t> </m:t>
          </m:r>
          <m:r>
            <m:t> </m:t>
          </m:r>
          <m:r>
            <m:rPr>
              <m:sty m:val="p"/>
            </m:rPr>
            <m:t>（</m:t>
          </m:r>
          <m:r>
            <m:t>2</m:t>
          </m:r>
          <m:r>
            <m:rPr>
              <m:sty m:val="p"/>
            </m:rPr>
            <m:t>）</m:t>
          </m:r>
        </m:oMath>
      </m:oMathPara>
    </w:p>
    <w:p>
      <w:pPr>
        <w:pStyle w:val="FirstParagraph"/>
      </w:pPr>
      <w:r>
        <w:t xml:space="preserve">为识别作用机制，构建如下中介效应模型：</w:t>
      </w:r>
    </w:p>
    <w:p>
      <w:pPr>
        <w:pStyle w:val="BodyText"/>
      </w:pPr>
      <m:oMathPara>
        <m:oMathParaPr>
          <m:jc m:val="center"/>
        </m:oMathParaPr>
        <m:oMath>
          <m:sSub>
            <m:e>
              <m:r>
                <m:t>M</m:t>
              </m:r>
            </m:e>
            <m:sub>
              <m:r>
                <m:t>i</m:t>
              </m:r>
              <m:r>
                <m:t>t</m:t>
              </m:r>
            </m:sub>
          </m:sSub>
          <m:r>
            <m:rPr>
              <m:sty m:val="p"/>
            </m:rPr>
            <m:t>=</m:t>
          </m:r>
          <m:sSub>
            <m:e>
              <m:r>
                <m:t>β</m:t>
              </m:r>
            </m:e>
            <m:sub>
              <m:r>
                <m:t>0</m:t>
              </m:r>
            </m:sub>
          </m:sSub>
          <m:r>
            <m:rPr>
              <m:sty m:val="p"/>
            </m:rPr>
            <m:t>+</m:t>
          </m:r>
          <m:sSub>
            <m:e>
              <m:r>
                <m:t>β</m:t>
              </m:r>
            </m:e>
            <m:sub>
              <m:r>
                <m:t>1</m:t>
              </m:r>
            </m:sub>
          </m:sSub>
          <m:sSub>
            <m:e>
              <m:r>
                <m:rPr>
                  <m:sty m:val="p"/>
                </m:rPr>
                <m:t>ai</m:t>
              </m:r>
            </m:e>
            <m:sub>
              <m:r>
                <m:t>i</m:t>
              </m:r>
              <m:r>
                <m:t>t</m:t>
              </m:r>
            </m:sub>
          </m:sSub>
          <m:r>
            <m:rPr>
              <m:sty m:val="p"/>
            </m:rPr>
            <m:t>+</m:t>
          </m:r>
          <m:sSub>
            <m:e>
              <m:r>
                <m:t>β</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3</m:t>
          </m:r>
          <m:r>
            <m:rPr>
              <m:sty m:val="p"/>
            </m:rPr>
            <m:t>）</m:t>
          </m:r>
        </m:oMath>
      </m:oMathPara>
    </w:p>
    <w:p>
      <w:pPr>
        <w:pStyle w:val="FirstParagraph"/>
      </w:pPr>
      <m:oMathPara>
        <m:oMathParaPr>
          <m:jc m:val="center"/>
        </m:oMathParaPr>
        <m:oMath>
          <m:sSub>
            <m:e>
              <m:r>
                <m:rPr>
                  <m:sty m:val="p"/>
                </m:rPr>
                <m:t>lnyemp</m:t>
              </m:r>
            </m:e>
            <m:sub>
              <m:r>
                <m:t>i</m:t>
              </m:r>
              <m:r>
                <m:t>t</m:t>
              </m:r>
            </m:sub>
          </m:sSub>
          <m:r>
            <m:rPr>
              <m:sty m:val="p"/>
            </m:rPr>
            <m:t>=</m:t>
          </m:r>
          <m:sSub>
            <m:e>
              <m:r>
                <m:t>γ</m:t>
              </m:r>
            </m:e>
            <m:sub>
              <m:r>
                <m:t>0</m:t>
              </m:r>
            </m:sub>
          </m:sSub>
          <m:r>
            <m:rPr>
              <m:sty m:val="p"/>
            </m:rPr>
            <m:t>+</m:t>
          </m:r>
          <m:sSub>
            <m:e>
              <m:r>
                <m:t>γ</m:t>
              </m:r>
            </m:e>
            <m:sub>
              <m:r>
                <m:t>1</m:t>
              </m:r>
            </m:sub>
          </m:sSub>
          <m:sSub>
            <m:e>
              <m:r>
                <m:rPr>
                  <m:sty m:val="p"/>
                </m:rPr>
                <m:t>ai</m:t>
              </m:r>
            </m:e>
            <m:sub>
              <m:r>
                <m:t>i</m:t>
              </m:r>
              <m:r>
                <m:t>t</m:t>
              </m:r>
            </m:sub>
          </m:sSub>
          <m:r>
            <m:rPr>
              <m:sty m:val="p"/>
            </m:rPr>
            <m:t>+</m:t>
          </m:r>
          <m:sSub>
            <m:e>
              <m:r>
                <m:t>γ</m:t>
              </m:r>
            </m:e>
            <m:sub>
              <m:r>
                <m:t>2</m:t>
              </m:r>
            </m:sub>
          </m:sSub>
          <m:sSub>
            <m:e>
              <m:r>
                <m:t>M</m:t>
              </m:r>
            </m:e>
            <m:sub>
              <m:r>
                <m:t>i</m:t>
              </m:r>
              <m:r>
                <m:t>t</m:t>
              </m:r>
            </m:sub>
          </m:sSub>
          <m:r>
            <m:rPr>
              <m:sty m:val="p"/>
            </m:rPr>
            <m:t>+</m:t>
          </m:r>
          <m:sSub>
            <m:e>
              <m:r>
                <m:t>γ</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4</m:t>
          </m:r>
          <m:r>
            <m:rPr>
              <m:sty m:val="p"/>
            </m:rPr>
            <m:t>）</m:t>
          </m:r>
        </m:oMath>
      </m:oMathPara>
    </w:p>
    <w:p>
      <w:pPr>
        <w:pStyle w:val="FirstParagraph"/>
      </w:pPr>
      <w:r>
        <w:t xml:space="preserve">其中，</w:t>
      </w:r>
      <m:oMath>
        <m:sSub>
          <m:e>
            <m:r>
              <m:t>M</m:t>
            </m:r>
          </m:e>
          <m:sub>
            <m:r>
              <m:t>i</m:t>
            </m:r>
            <m:r>
              <m:t>t</m:t>
            </m:r>
          </m:sub>
        </m:sSub>
      </m:oMath>
      <w:r>
        <w:t xml:space="preserve">为中介变量，包括常规任务岗位占比（</w:t>
      </w:r>
      <w:r>
        <w:rPr>
          <w:iCs/>
          <w:i/>
        </w:rPr>
        <w:t xml:space="preserve">routine</w:t>
      </w:r>
      <w:r>
        <w:t xml:space="preserve">）、新兴数字职业占比（</w:t>
      </w:r>
      <w:r>
        <w:rPr>
          <w:iCs/>
          <w:i/>
        </w:rPr>
        <w:t xml:space="preserve">newjob</w:t>
      </w:r>
      <w:r>
        <w:t xml:space="preserve">）与人岗技能匹配度（</w:t>
      </w:r>
      <w:r>
        <w:rPr>
          <w:iCs/>
          <w:i/>
        </w:rPr>
        <w:t xml:space="preserve">match</w:t>
      </w:r>
      <w:r>
        <w:t xml:space="preserve">）。</w:t>
      </w:r>
    </w:p>
    <w:p>
      <w:pPr>
        <w:pStyle w:val="BodyText"/>
      </w:pPr>
      <w:r>
        <w:t xml:space="preserve">为检验调节效应，构建如下模型：</w:t>
      </w:r>
    </w:p>
    <w:p>
      <w:pPr>
        <w:pStyle w:val="BodyText"/>
      </w:pPr>
      <m:oMathPara>
        <m:oMathParaPr>
          <m:jc m:val="center"/>
        </m:oMathParaPr>
        <m:oMath>
          <m:sSub>
            <m:e>
              <m:r>
                <m:rPr>
                  <m:sty m:val="p"/>
                </m:rPr>
                <m:t>lnyemp</m:t>
              </m:r>
            </m:e>
            <m:sub>
              <m:r>
                <m:t>i</m:t>
              </m:r>
              <m:r>
                <m:t>t</m:t>
              </m:r>
            </m:sub>
          </m:sSub>
          <m:r>
            <m:rPr>
              <m:sty m:val="p"/>
            </m:rPr>
            <m:t>=</m:t>
          </m:r>
          <m:sSub>
            <m:e>
              <m:r>
                <m:t>φ</m:t>
              </m:r>
            </m:e>
            <m:sub>
              <m:r>
                <m:t>0</m:t>
              </m:r>
            </m:sub>
          </m:sSub>
          <m:r>
            <m:rPr>
              <m:sty m:val="p"/>
            </m:rPr>
            <m:t>+</m:t>
          </m:r>
          <m:sSub>
            <m:e>
              <m:r>
                <m:t>φ</m:t>
              </m:r>
            </m:e>
            <m:sub>
              <m:r>
                <m:t>1</m:t>
              </m:r>
            </m:sub>
          </m:sSub>
          <m:sSub>
            <m:e>
              <m:r>
                <m:rPr>
                  <m:sty m:val="p"/>
                </m:rPr>
                <m:t>ai</m:t>
              </m:r>
            </m:e>
            <m:sub>
              <m:r>
                <m:t>i</m:t>
              </m:r>
              <m:r>
                <m:t>t</m:t>
              </m:r>
            </m:sub>
          </m:sSub>
          <m:r>
            <m:rPr>
              <m:sty m:val="p"/>
            </m:rPr>
            <m:t>+</m:t>
          </m:r>
          <m:sSub>
            <m:e>
              <m:r>
                <m:t>φ</m:t>
              </m:r>
            </m:e>
            <m:sub>
              <m:r>
                <m:t>2</m:t>
              </m:r>
            </m:sub>
          </m:sSub>
          <m:sSubSup>
            <m:e>
              <m:r>
                <m:rPr>
                  <m:sty m:val="p"/>
                </m:rPr>
                <m:t>ai</m:t>
              </m:r>
            </m:e>
            <m:sub>
              <m:r>
                <m:t>i</m:t>
              </m:r>
              <m:r>
                <m:t>t</m:t>
              </m:r>
            </m:sub>
            <m:sup>
              <m:r>
                <m:t>2</m:t>
              </m:r>
            </m:sup>
          </m:sSubSup>
          <m:r>
            <m:rPr>
              <m:sty m:val="p"/>
            </m:rPr>
            <m:t>+</m:t>
          </m:r>
          <m:sSub>
            <m:e>
              <m:r>
                <m:t>φ</m:t>
              </m:r>
            </m:e>
            <m:sub>
              <m:r>
                <m:t>3</m:t>
              </m:r>
            </m:sub>
          </m:sSub>
          <m:sSub>
            <m:e>
              <m:r>
                <m:t>Z</m:t>
              </m:r>
            </m:e>
            <m:sub>
              <m:r>
                <m:t>i</m:t>
              </m:r>
              <m:r>
                <m:t>t</m:t>
              </m:r>
            </m:sub>
          </m:sSub>
          <m:r>
            <m:rPr>
              <m:sty m:val="p"/>
            </m:rPr>
            <m:t>+</m:t>
          </m:r>
          <m:sSub>
            <m:e>
              <m:r>
                <m:t>φ</m:t>
              </m:r>
            </m:e>
            <m:sub>
              <m:r>
                <m:t>4</m:t>
              </m:r>
            </m:sub>
          </m:sSub>
          <m:sSub>
            <m:e>
              <m:r>
                <m:rPr>
                  <m:sty m:val="p"/>
                </m:rPr>
                <m:t>ai</m:t>
              </m:r>
            </m:e>
            <m:sub>
              <m:r>
                <m:t>i</m:t>
              </m:r>
              <m:r>
                <m:t>t</m:t>
              </m:r>
            </m:sub>
          </m:sSub>
          <m:r>
            <m:rPr>
              <m:sty m:val="p"/>
            </m:rPr>
            <m:t>×</m:t>
          </m:r>
          <m:sSub>
            <m:e>
              <m:r>
                <m:t>Z</m:t>
              </m:r>
            </m:e>
            <m:sub>
              <m:r>
                <m:t>i</m:t>
              </m:r>
              <m:r>
                <m:t>t</m:t>
              </m:r>
            </m:sub>
          </m:sSub>
          <m:r>
            <m:rPr>
              <m:sty m:val="p"/>
            </m:rPr>
            <m:t>+</m:t>
          </m:r>
          <m:sSub>
            <m:e>
              <m:r>
                <m:t>φ</m:t>
              </m:r>
            </m:e>
            <m:sub>
              <m:r>
                <m:t>j</m:t>
              </m:r>
            </m:sub>
          </m:sSub>
          <m:sSub>
            <m:e>
              <m:r>
                <m:rPr>
                  <m:sty m:val="p"/>
                </m:rPr>
                <m:t>Controls</m:t>
              </m:r>
            </m:e>
            <m:sub>
              <m:r>
                <m:t>i</m:t>
              </m:r>
              <m:r>
                <m:t>t</m:t>
              </m:r>
            </m:sub>
          </m:sSub>
          <m:r>
            <m:rPr>
              <m:sty m:val="p"/>
            </m:rPr>
            <m:t>+</m:t>
          </m:r>
          <m:sSub>
            <m:e>
              <m:r>
                <m:t>μ</m:t>
              </m:r>
            </m:e>
            <m:sub>
              <m:r>
                <m:t>i</m:t>
              </m:r>
            </m:sub>
          </m:sSub>
          <m:r>
            <m:rPr>
              <m:sty m:val="p"/>
            </m:rPr>
            <m:t>+</m:t>
          </m:r>
          <m:sSub>
            <m:e>
              <m:r>
                <m:t>δ</m:t>
              </m:r>
            </m:e>
            <m:sub>
              <m:r>
                <m:t>t</m:t>
              </m:r>
            </m:sub>
          </m:sSub>
          <m:r>
            <m:rPr>
              <m:sty m:val="p"/>
            </m:rPr>
            <m:t>+</m:t>
          </m:r>
          <m:sSub>
            <m:e>
              <m:r>
                <m:t>ε</m:t>
              </m:r>
            </m:e>
            <m:sub>
              <m:r>
                <m:t>i</m:t>
              </m:r>
              <m:r>
                <m:t>t</m:t>
              </m:r>
            </m:sub>
          </m:sSub>
          <m:r>
            <m:t> </m:t>
          </m:r>
          <m:r>
            <m:t> </m:t>
          </m:r>
          <m:r>
            <m:rPr>
              <m:sty m:val="p"/>
            </m:rPr>
            <m:t>（</m:t>
          </m:r>
          <m:r>
            <m:t>5</m:t>
          </m:r>
          <m:r>
            <m:rPr>
              <m:sty m:val="p"/>
            </m:rPr>
            <m:t>）</m:t>
          </m:r>
        </m:oMath>
      </m:oMathPara>
    </w:p>
    <w:p>
      <w:pPr>
        <w:pStyle w:val="FirstParagraph"/>
      </w:pPr>
      <w:r>
        <w:t xml:space="preserve">其中，</w:t>
      </w:r>
      <m:oMath>
        <m:sSub>
          <m:e>
            <m:r>
              <m:t>Z</m:t>
            </m:r>
          </m:e>
          <m:sub>
            <m:r>
              <m:t>i</m:t>
            </m:r>
            <m:r>
              <m:t>t</m:t>
            </m:r>
          </m:sub>
        </m:sSub>
      </m:oMath>
      <w:r>
        <w:t xml:space="preserve">为调节变量，包括教育发展水平（</w:t>
      </w:r>
      <w:r>
        <w:rPr>
          <w:iCs/>
          <w:i/>
        </w:rPr>
        <w:t xml:space="preserve">edu</w:t>
      </w:r>
      <w:r>
        <w:t xml:space="preserve">）与职业技能培训（</w:t>
      </w:r>
      <w:r>
        <w:rPr>
          <w:iCs/>
          <w:i/>
        </w:rPr>
        <w:t xml:space="preserve">train</w:t>
      </w:r>
      <w:r>
        <w:t xml:space="preserve">），二者均作中心化处理。</w:t>
      </w:r>
    </w:p>
    <w:bookmarkEnd w:id="25"/>
    <w:bookmarkStart w:id="30" w:name="变量选取"/>
    <w:p>
      <w:pPr>
        <w:pStyle w:val="Heading2"/>
      </w:pPr>
      <w:r>
        <w:t xml:space="preserve">2.2 变量选取</w:t>
      </w:r>
    </w:p>
    <w:bookmarkStart w:id="26" w:name="被解释变量"/>
    <w:p>
      <w:pPr>
        <w:pStyle w:val="Heading3"/>
      </w:pPr>
      <w:r>
        <w:t xml:space="preserve">2.2.1 被解释变量</w:t>
      </w:r>
    </w:p>
    <w:p>
      <w:pPr>
        <w:pStyle w:val="FirstParagraph"/>
      </w:pPr>
      <w:r>
        <w:t xml:space="preserve">青年就业规模（</w:t>
      </w:r>
      <w:r>
        <w:rPr>
          <w:iCs/>
          <w:i/>
        </w:rPr>
        <w:t xml:space="preserve">lnyemp</w:t>
      </w:r>
      <w:r>
        <w:t xml:space="preserve">）。以各省份16—34岁城镇就业人员数量的自然对数衡量。稳健性检验中另采用青年就业人数占城镇总就业人数的比重（</w:t>
      </w:r>
      <w:r>
        <w:rPr>
          <w:iCs/>
          <w:i/>
        </w:rPr>
        <w:t xml:space="preserve">yshare</w:t>
      </w:r>
      <w:r>
        <w:t xml:space="preserve">）作为替代测度。</w:t>
      </w:r>
    </w:p>
    <w:bookmarkEnd w:id="26"/>
    <w:bookmarkStart w:id="27" w:name="核心解释变量"/>
    <w:p>
      <w:pPr>
        <w:pStyle w:val="Heading3"/>
      </w:pPr>
      <w:r>
        <w:t xml:space="preserve">2.2.2 核心解释变量</w:t>
      </w:r>
    </w:p>
    <w:p>
      <w:pPr>
        <w:pStyle w:val="FirstParagraph"/>
      </w:pPr>
      <w:r>
        <w:t xml:space="preserve">人工智能应用水平（</w:t>
      </w:r>
      <w:r>
        <w:rPr>
          <w:iCs/>
          <w:i/>
        </w:rPr>
        <w:t xml:space="preserve">ai</w:t>
      </w:r>
      <w:r>
        <w:t xml:space="preserve">）。借鉴Acemoglu和Restrepo（2018）</w:t>
      </w:r>
      <w:r>
        <w:rPr>
          <w:vertAlign w:val="superscript"/>
        </w:rPr>
        <w:t xml:space="preserve">[5]</w:t>
      </w:r>
      <w:r>
        <w:t xml:space="preserve">与王永钦和董雯（2020）</w:t>
      </w:r>
      <w:r>
        <w:rPr>
          <w:vertAlign w:val="superscript"/>
        </w:rPr>
        <w:t xml:space="preserve">[7]</w:t>
      </w:r>
      <w:r>
        <w:t xml:space="preserve">的机器人渗透度构造思路，以国际机器人联合会公布的分行业工业机器人存量，按各省份基期分行业就业份额加权后除以就业人数得到省级机器人渗透度（台/万人），并取自然对数后作标准化处理。</w:t>
      </w:r>
    </w:p>
    <w:bookmarkEnd w:id="27"/>
    <w:bookmarkStart w:id="28" w:name="中介变量"/>
    <w:p>
      <w:pPr>
        <w:pStyle w:val="Heading3"/>
      </w:pPr>
      <w:r>
        <w:t xml:space="preserve">2.2.3 中介变量</w:t>
      </w:r>
    </w:p>
    <w:p>
      <w:pPr>
        <w:pStyle w:val="FirstParagraph"/>
      </w:pPr>
      <w:r>
        <w:t xml:space="preserve">常规任务岗位占比（</w:t>
      </w:r>
      <w:r>
        <w:rPr>
          <w:iCs/>
          <w:i/>
        </w:rPr>
        <w:t xml:space="preserve">routine</w:t>
      </w:r>
      <w:r>
        <w:t xml:space="preserve">），参照任务模型的职业分类，以从事常规性、程式化任务的就业人员占比衡量；新兴数字职业占比（</w:t>
      </w:r>
      <w:r>
        <w:rPr>
          <w:iCs/>
          <w:i/>
        </w:rPr>
        <w:t xml:space="preserve">newjob</w:t>
      </w:r>
      <w:r>
        <w:t xml:space="preserve">），以信息传输、软件和信息技术服务业及数字相关新职业从业人员占比衡量；人岗技能匹配度（</w:t>
      </w:r>
      <w:r>
        <w:rPr>
          <w:iCs/>
          <w:i/>
        </w:rPr>
        <w:t xml:space="preserve">match</w:t>
      </w:r>
      <w:r>
        <w:t xml:space="preserve">），以劳动力市场求人倍率与学历—岗位匹配度合成的指标衡量，取值介于0与1之间。</w:t>
      </w:r>
    </w:p>
    <w:bookmarkEnd w:id="28"/>
    <w:bookmarkStart w:id="29" w:name="调节变量与控制变量"/>
    <w:p>
      <w:pPr>
        <w:pStyle w:val="Heading3"/>
      </w:pPr>
      <w:r>
        <w:t xml:space="preserve">2.2.4 调节变量与控制变量</w:t>
      </w:r>
    </w:p>
    <w:p>
      <w:pPr>
        <w:pStyle w:val="FirstParagraph"/>
      </w:pPr>
      <w:r>
        <w:t xml:space="preserve">调节变量为教育发展水平（</w:t>
      </w:r>
      <w:r>
        <w:rPr>
          <w:iCs/>
          <w:i/>
        </w:rPr>
        <w:t xml:space="preserve">edu</w:t>
      </w:r>
      <w:r>
        <w:t xml:space="preserve">），以高等教育毛入学率衡量；职业技能培训（</w:t>
      </w:r>
      <w:r>
        <w:rPr>
          <w:iCs/>
          <w:i/>
        </w:rPr>
        <w:t xml:space="preserve">train</w:t>
      </w:r>
      <w:r>
        <w:t xml:space="preserve">），以参加政府补贴性职业技能培训人次占城镇就业人员的比重衡量。控制变量包括：经济发展水平（</w:t>
      </w:r>
      <w:r>
        <w:rPr>
          <w:iCs/>
          <w:i/>
        </w:rPr>
        <w:t xml:space="preserve">lnpgdp</w:t>
      </w:r>
      <w:r>
        <w:t xml:space="preserve">），以人均地区生产总值的自然对数衡量；产业结构（</w:t>
      </w:r>
      <w:r>
        <w:rPr>
          <w:iCs/>
          <w:i/>
        </w:rPr>
        <w:t xml:space="preserve">indus</w:t>
      </w:r>
      <w:r>
        <w:t xml:space="preserve">），以第三产业与第二产业增加值之比衡量；对外开放水平（</w:t>
      </w:r>
      <w:r>
        <w:rPr>
          <w:iCs/>
          <w:i/>
        </w:rPr>
        <w:t xml:space="preserve">open</w:t>
      </w:r>
      <w:r>
        <w:t xml:space="preserve">），以进出口总额与地区生产总值之比衡量；城镇化水平（</w:t>
      </w:r>
      <w:r>
        <w:rPr>
          <w:iCs/>
          <w:i/>
        </w:rPr>
        <w:t xml:space="preserve">urban</w:t>
      </w:r>
      <w:r>
        <w:t xml:space="preserve">），以城镇常住人口占比衡量；财政支出规模（</w:t>
      </w:r>
      <w:r>
        <w:rPr>
          <w:iCs/>
          <w:i/>
        </w:rPr>
        <w:t xml:space="preserve">fis</w:t>
      </w:r>
      <w:r>
        <w:t xml:space="preserve">），以一般公共预算支出与地区生产总值之比衡量；工资水平（</w:t>
      </w:r>
      <w:r>
        <w:rPr>
          <w:iCs/>
          <w:i/>
        </w:rPr>
        <w:t xml:space="preserve">wage</w:t>
      </w:r>
      <w:r>
        <w:t xml:space="preserve">），以城镇单位就业人员平均工资的自然对数衡量。</w:t>
      </w:r>
    </w:p>
    <w:bookmarkEnd w:id="29"/>
    <w:bookmarkEnd w:id="30"/>
    <w:bookmarkStart w:id="31" w:name="数据说明"/>
    <w:p>
      <w:pPr>
        <w:pStyle w:val="Heading2"/>
      </w:pPr>
      <w:r>
        <w:t xml:space="preserve">2.3 数据说明</w:t>
      </w:r>
    </w:p>
    <w:p>
      <w:pPr>
        <w:pStyle w:val="FirstParagraph"/>
      </w:pPr>
      <w:r>
        <w:t xml:space="preserve">本文选取2012—2023年中国30个省份（不含西藏及港澳台地区）为研究样本，共360个观测值。数据主要来源于《中国统计年鉴》《中国劳动统计年鉴》《中国人口和就业统计年鉴》、国际机器人联合会数据库以及各省份统计年鉴。个别缺失数据采用线性插值法补齐，价格型变量以2012年为基期平减处理。主要变量的描述性统计结果见表1。</w:t>
      </w:r>
    </w:p>
    <w:p>
      <w:pPr>
        <w:pStyle w:val="TableCaption"/>
      </w:pPr>
      <w:r>
        <w:t xml:space="preserve">表1 主要变量的描述性统计</w:t>
      </w:r>
    </w:p>
    <w:tbl>
      <w:tblPr>
        <w:tblStyle w:val="Table"/>
        <w:jc w:val="center"/>
        <w:tblLook w:firstRow="1" w:lastRow="0" w:firstColumn="0" w:lastColumn="0" w:noHBand="0" w:noVBand="0" w:val="0020"/>
        <w:tblCaption w:val="表1 主要变量的描述性统计"/>
        <w:tblW w:w="5000" w:type="pct"/>
        <w:tblLayout w:type="autofit"/>
      </w:tblPr>
      <w:tblGrid>
        <w:gridCol w:w="1320"/>
        <w:gridCol w:w="1320"/>
        <w:gridCol w:w="1320"/>
        <w:gridCol w:w="1320"/>
        <w:gridCol w:w="1320"/>
        <w:gridCol w:w="1320"/>
      </w:tblGrid>
      <w:tr>
        <w:trPr>
          <w:tblHeader w:val="true"/>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样本量</w:t>
            </w:r>
          </w:p>
        </w:tc>
        <w:tc>
          <w:tcPr/>
          <w:p>
            <w:pPr>
              <w:pStyle w:val="Compact"/>
              <w:spacing w:before="20" w:after="20" w:line="240" w:lineRule="auto"/>
              <w:jc w:val="center"/>
            </w:pPr>
            <w:r>
              <w:t xml:space="preserve">均值</w:t>
            </w:r>
          </w:p>
        </w:tc>
        <w:tc>
          <w:tcPr/>
          <w:p>
            <w:pPr>
              <w:pStyle w:val="Compact"/>
              <w:spacing w:before="20" w:after="20" w:line="240" w:lineRule="auto"/>
              <w:jc w:val="center"/>
            </w:pPr>
            <w:r>
              <w:t xml:space="preserve">标准差</w:t>
            </w:r>
          </w:p>
        </w:tc>
        <w:tc>
          <w:tcPr/>
          <w:p>
            <w:pPr>
              <w:pStyle w:val="Compact"/>
              <w:spacing w:before="20" w:after="20" w:line="240" w:lineRule="auto"/>
              <w:jc w:val="center"/>
            </w:pPr>
            <w:r>
              <w:t xml:space="preserve">最小值</w:t>
            </w:r>
          </w:p>
        </w:tc>
        <w:tc>
          <w:tcPr/>
          <w:p>
            <w:pPr>
              <w:pStyle w:val="Compact"/>
              <w:spacing w:before="20" w:after="20" w:line="240" w:lineRule="auto"/>
              <w:jc w:val="center"/>
            </w:pPr>
            <w:r>
              <w:t xml:space="preserve">最大值</w:t>
            </w:r>
          </w:p>
        </w:tc>
      </w:tr>
      <w:tr>
        <w:tc>
          <w:tcPr/>
          <w:p>
            <w:pPr>
              <w:pStyle w:val="Compact"/>
              <w:spacing w:before="20" w:after="20" w:line="240" w:lineRule="auto"/>
              <w:jc w:val="center"/>
            </w:pPr>
            <w:r>
              <w:rPr>
                <w:iCs/>
                <w:i/>
              </w:rPr>
              <w:t xml:space="preserve">lnyemp</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6.6523</w:t>
            </w:r>
          </w:p>
        </w:tc>
        <w:tc>
          <w:tcPr/>
          <w:p>
            <w:pPr>
              <w:pStyle w:val="Compact"/>
              <w:spacing w:before="20" w:after="20" w:line="240" w:lineRule="auto"/>
              <w:jc w:val="center"/>
            </w:pPr>
            <w:r>
              <w:t xml:space="preserve">0.2406</w:t>
            </w:r>
          </w:p>
        </w:tc>
        <w:tc>
          <w:tcPr/>
          <w:p>
            <w:pPr>
              <w:pStyle w:val="Compact"/>
              <w:spacing w:before="20" w:after="20" w:line="240" w:lineRule="auto"/>
              <w:jc w:val="center"/>
            </w:pPr>
            <w:r>
              <w:t xml:space="preserve">6.0924</w:t>
            </w:r>
          </w:p>
        </w:tc>
        <w:tc>
          <w:tcPr/>
          <w:p>
            <w:pPr>
              <w:pStyle w:val="Compact"/>
              <w:spacing w:before="20" w:after="20" w:line="240" w:lineRule="auto"/>
              <w:jc w:val="center"/>
            </w:pPr>
            <w:r>
              <w:t xml:space="preserve">7.2084</w:t>
            </w:r>
          </w:p>
        </w:tc>
      </w:tr>
      <w:tr>
        <w:tc>
          <w:tcPr/>
          <w:p>
            <w:pPr>
              <w:pStyle w:val="Compact"/>
              <w:spacing w:before="20" w:after="20" w:line="240" w:lineRule="auto"/>
              <w:jc w:val="center"/>
            </w:pPr>
            <w:r>
              <w:rPr>
                <w:iCs/>
                <w:i/>
              </w:rPr>
              <w:t xml:space="preserve">ai</w:t>
            </w:r>
            <w:r>
              <w:t xml:space="preserve">（台/万人，原始值）</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7.4850</w:t>
            </w:r>
          </w:p>
        </w:tc>
        <w:tc>
          <w:tcPr/>
          <w:p>
            <w:pPr>
              <w:pStyle w:val="Compact"/>
              <w:spacing w:before="20" w:after="20" w:line="240" w:lineRule="auto"/>
              <w:jc w:val="center"/>
            </w:pPr>
            <w:r>
              <w:t xml:space="preserve">6.0716</w:t>
            </w:r>
          </w:p>
        </w:tc>
        <w:tc>
          <w:tcPr/>
          <w:p>
            <w:pPr>
              <w:pStyle w:val="Compact"/>
              <w:spacing w:before="20" w:after="20" w:line="240" w:lineRule="auto"/>
              <w:jc w:val="center"/>
            </w:pPr>
            <w:r>
              <w:t xml:space="preserve">0.4226</w:t>
            </w:r>
          </w:p>
        </w:tc>
        <w:tc>
          <w:tcPr/>
          <w:p>
            <w:pPr>
              <w:pStyle w:val="Compact"/>
              <w:spacing w:before="20" w:after="20" w:line="240" w:lineRule="auto"/>
              <w:jc w:val="center"/>
            </w:pPr>
            <w:r>
              <w:t xml:space="preserve">29.4832</w:t>
            </w:r>
          </w:p>
        </w:tc>
      </w:tr>
      <w:tr>
        <w:tc>
          <w:tcPr/>
          <w:p>
            <w:pPr>
              <w:pStyle w:val="Compact"/>
              <w:spacing w:before="20" w:after="20" w:line="240" w:lineRule="auto"/>
              <w:jc w:val="center"/>
            </w:pPr>
            <w:r>
              <w:rPr>
                <w:iCs/>
                <w:i/>
              </w:rPr>
              <w:t xml:space="preserve">ai</w:t>
            </w:r>
            <w:r>
              <w:t xml:space="preserve">（对数标准化值）</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0.0000</w:t>
            </w:r>
          </w:p>
        </w:tc>
        <w:tc>
          <w:tcPr/>
          <w:p>
            <w:pPr>
              <w:pStyle w:val="Compact"/>
              <w:spacing w:before="20" w:after="20" w:line="240" w:lineRule="auto"/>
              <w:jc w:val="center"/>
            </w:pPr>
            <w:r>
              <w:t xml:space="preserve">1.0000</w:t>
            </w:r>
          </w:p>
        </w:tc>
        <w:tc>
          <w:tcPr/>
          <w:p>
            <w:pPr>
              <w:pStyle w:val="Compact"/>
              <w:spacing w:before="20" w:after="20" w:line="240" w:lineRule="auto"/>
              <w:jc w:val="center"/>
            </w:pPr>
            <w:r>
              <w:t xml:space="preserve">−1.9358</w:t>
            </w:r>
          </w:p>
        </w:tc>
        <w:tc>
          <w:tcPr/>
          <w:p>
            <w:pPr>
              <w:pStyle w:val="Compact"/>
              <w:spacing w:before="20" w:after="20" w:line="240" w:lineRule="auto"/>
              <w:jc w:val="center"/>
            </w:pPr>
            <w:r>
              <w:t xml:space="preserve">1.9982</w:t>
            </w:r>
          </w:p>
        </w:tc>
      </w:tr>
      <w:tr>
        <w:tc>
          <w:tcPr/>
          <w:p>
            <w:pPr>
              <w:pStyle w:val="Compact"/>
              <w:spacing w:before="20" w:after="20" w:line="240" w:lineRule="auto"/>
              <w:jc w:val="center"/>
            </w:pPr>
            <w:r>
              <w:rPr>
                <w:iCs/>
                <w:i/>
              </w:rPr>
              <w:t xml:space="preserve">hskill</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35.4485</w:t>
            </w:r>
          </w:p>
        </w:tc>
        <w:tc>
          <w:tcPr/>
          <w:p>
            <w:pPr>
              <w:pStyle w:val="Compact"/>
              <w:spacing w:before="20" w:after="20" w:line="240" w:lineRule="auto"/>
              <w:jc w:val="center"/>
            </w:pPr>
            <w:r>
              <w:t xml:space="preserve">3.8961</w:t>
            </w:r>
          </w:p>
        </w:tc>
        <w:tc>
          <w:tcPr/>
          <w:p>
            <w:pPr>
              <w:pStyle w:val="Compact"/>
              <w:spacing w:before="20" w:after="20" w:line="240" w:lineRule="auto"/>
              <w:jc w:val="center"/>
            </w:pPr>
            <w:r>
              <w:t xml:space="preserve">25.6867</w:t>
            </w:r>
          </w:p>
        </w:tc>
        <w:tc>
          <w:tcPr/>
          <w:p>
            <w:pPr>
              <w:pStyle w:val="Compact"/>
              <w:spacing w:before="20" w:after="20" w:line="240" w:lineRule="auto"/>
              <w:jc w:val="center"/>
            </w:pPr>
            <w:r>
              <w:t xml:space="preserve">44.2072</w:t>
            </w:r>
          </w:p>
        </w:tc>
      </w:tr>
      <w:tr>
        <w:tc>
          <w:tcPr/>
          <w:p>
            <w:pPr>
              <w:pStyle w:val="Compact"/>
              <w:spacing w:before="20" w:after="20" w:line="240" w:lineRule="auto"/>
              <w:jc w:val="center"/>
            </w:pPr>
            <w:r>
              <w:rPr>
                <w:iCs/>
                <w:i/>
              </w:rPr>
              <w:t xml:space="preserve">lskill</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29.6573</w:t>
            </w:r>
          </w:p>
        </w:tc>
        <w:tc>
          <w:tcPr/>
          <w:p>
            <w:pPr>
              <w:pStyle w:val="Compact"/>
              <w:spacing w:before="20" w:after="20" w:line="240" w:lineRule="auto"/>
              <w:jc w:val="center"/>
            </w:pPr>
            <w:r>
              <w:t xml:space="preserve">3.3417</w:t>
            </w:r>
          </w:p>
        </w:tc>
        <w:tc>
          <w:tcPr/>
          <w:p>
            <w:pPr>
              <w:pStyle w:val="Compact"/>
              <w:spacing w:before="20" w:after="20" w:line="240" w:lineRule="auto"/>
              <w:jc w:val="center"/>
            </w:pPr>
            <w:r>
              <w:t xml:space="preserve">20.5269</w:t>
            </w:r>
          </w:p>
        </w:tc>
        <w:tc>
          <w:tcPr/>
          <w:p>
            <w:pPr>
              <w:pStyle w:val="Compact"/>
              <w:spacing w:before="20" w:after="20" w:line="240" w:lineRule="auto"/>
              <w:jc w:val="center"/>
            </w:pPr>
            <w:r>
              <w:t xml:space="preserve">38.2140</w:t>
            </w:r>
          </w:p>
        </w:tc>
      </w:tr>
      <w:tr>
        <w:tc>
          <w:tcPr/>
          <w:p>
            <w:pPr>
              <w:pStyle w:val="Compact"/>
              <w:spacing w:before="20" w:after="20" w:line="240" w:lineRule="auto"/>
              <w:jc w:val="center"/>
            </w:pPr>
            <w:r>
              <w:rPr>
                <w:iCs/>
                <w:i/>
              </w:rPr>
              <w:t xml:space="preserve">yunemp</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10.8225</w:t>
            </w:r>
          </w:p>
        </w:tc>
        <w:tc>
          <w:tcPr/>
          <w:p>
            <w:pPr>
              <w:pStyle w:val="Compact"/>
              <w:spacing w:before="20" w:after="20" w:line="240" w:lineRule="auto"/>
              <w:jc w:val="center"/>
            </w:pPr>
            <w:r>
              <w:t xml:space="preserve">1.8823</w:t>
            </w:r>
          </w:p>
        </w:tc>
        <w:tc>
          <w:tcPr/>
          <w:p>
            <w:pPr>
              <w:pStyle w:val="Compact"/>
              <w:spacing w:before="20" w:after="20" w:line="240" w:lineRule="auto"/>
              <w:jc w:val="center"/>
            </w:pPr>
            <w:r>
              <w:t xml:space="preserve">5.1936</w:t>
            </w:r>
          </w:p>
        </w:tc>
        <w:tc>
          <w:tcPr/>
          <w:p>
            <w:pPr>
              <w:pStyle w:val="Compact"/>
              <w:spacing w:before="20" w:after="20" w:line="240" w:lineRule="auto"/>
              <w:jc w:val="center"/>
            </w:pPr>
            <w:r>
              <w:t xml:space="preserve">15.0030</w:t>
            </w:r>
          </w:p>
        </w:tc>
      </w:tr>
      <w:tr>
        <w:tc>
          <w:tcPr/>
          <w:p>
            <w:pPr>
              <w:pStyle w:val="Compact"/>
              <w:spacing w:before="20" w:after="20" w:line="240" w:lineRule="auto"/>
              <w:jc w:val="center"/>
            </w:pPr>
            <w:r>
              <w:rPr>
                <w:iCs/>
                <w:i/>
              </w:rPr>
              <w:t xml:space="preserve">routine</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39.7834</w:t>
            </w:r>
          </w:p>
        </w:tc>
        <w:tc>
          <w:tcPr/>
          <w:p>
            <w:pPr>
              <w:pStyle w:val="Compact"/>
              <w:spacing w:before="20" w:after="20" w:line="240" w:lineRule="auto"/>
              <w:jc w:val="center"/>
            </w:pPr>
            <w:r>
              <w:t xml:space="preserve">4.5966</w:t>
            </w:r>
          </w:p>
        </w:tc>
        <w:tc>
          <w:tcPr/>
          <w:p>
            <w:pPr>
              <w:pStyle w:val="Compact"/>
              <w:spacing w:before="20" w:after="20" w:line="240" w:lineRule="auto"/>
              <w:jc w:val="center"/>
            </w:pPr>
            <w:r>
              <w:t xml:space="preserve">27.4652</w:t>
            </w:r>
          </w:p>
        </w:tc>
        <w:tc>
          <w:tcPr/>
          <w:p>
            <w:pPr>
              <w:pStyle w:val="Compact"/>
              <w:spacing w:before="20" w:after="20" w:line="240" w:lineRule="auto"/>
              <w:jc w:val="center"/>
            </w:pPr>
            <w:r>
              <w:t xml:space="preserve">51.5454</w:t>
            </w:r>
          </w:p>
        </w:tc>
      </w:tr>
      <w:tr>
        <w:tc>
          <w:tcPr/>
          <w:p>
            <w:pPr>
              <w:pStyle w:val="Compact"/>
              <w:spacing w:before="20" w:after="20" w:line="240" w:lineRule="auto"/>
              <w:jc w:val="center"/>
            </w:pPr>
            <w:r>
              <w:rPr>
                <w:iCs/>
                <w:i/>
              </w:rPr>
              <w:t xml:space="preserve">newjob</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7.0179</w:t>
            </w:r>
          </w:p>
        </w:tc>
        <w:tc>
          <w:tcPr/>
          <w:p>
            <w:pPr>
              <w:pStyle w:val="Compact"/>
              <w:spacing w:before="20" w:after="20" w:line="240" w:lineRule="auto"/>
              <w:jc w:val="center"/>
            </w:pPr>
            <w:r>
              <w:t xml:space="preserve">3.7032</w:t>
            </w:r>
          </w:p>
        </w:tc>
        <w:tc>
          <w:tcPr/>
          <w:p>
            <w:pPr>
              <w:pStyle w:val="Compact"/>
              <w:spacing w:before="20" w:after="20" w:line="240" w:lineRule="auto"/>
              <w:jc w:val="center"/>
            </w:pPr>
            <w:r>
              <w:t xml:space="preserve">1.2000</w:t>
            </w:r>
          </w:p>
        </w:tc>
        <w:tc>
          <w:tcPr/>
          <w:p>
            <w:pPr>
              <w:pStyle w:val="Compact"/>
              <w:spacing w:before="20" w:after="20" w:line="240" w:lineRule="auto"/>
              <w:jc w:val="center"/>
            </w:pPr>
            <w:r>
              <w:t xml:space="preserve">16.7851</w:t>
            </w:r>
          </w:p>
        </w:tc>
      </w:tr>
      <w:tr>
        <w:tc>
          <w:tcPr/>
          <w:p>
            <w:pPr>
              <w:pStyle w:val="Compact"/>
              <w:spacing w:before="20" w:after="20" w:line="240" w:lineRule="auto"/>
              <w:jc w:val="center"/>
            </w:pPr>
            <w:r>
              <w:rPr>
                <w:iCs/>
                <w:i/>
              </w:rPr>
              <w:t xml:space="preserve">match</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0.4884</w:t>
            </w:r>
          </w:p>
        </w:tc>
        <w:tc>
          <w:tcPr/>
          <w:p>
            <w:pPr>
              <w:pStyle w:val="Compact"/>
              <w:spacing w:before="20" w:after="20" w:line="240" w:lineRule="auto"/>
              <w:jc w:val="center"/>
            </w:pPr>
            <w:r>
              <w:t xml:space="preserve">0.1986</w:t>
            </w:r>
          </w:p>
        </w:tc>
        <w:tc>
          <w:tcPr/>
          <w:p>
            <w:pPr>
              <w:pStyle w:val="Compact"/>
              <w:spacing w:before="20" w:after="20" w:line="240" w:lineRule="auto"/>
              <w:jc w:val="center"/>
            </w:pPr>
            <w:r>
              <w:t xml:space="preserve">0.0501</w:t>
            </w:r>
          </w:p>
        </w:tc>
        <w:tc>
          <w:tcPr/>
          <w:p>
            <w:pPr>
              <w:pStyle w:val="Compact"/>
              <w:spacing w:before="20" w:after="20" w:line="240" w:lineRule="auto"/>
              <w:jc w:val="center"/>
            </w:pPr>
            <w:r>
              <w:t xml:space="preserve">0.8305</w:t>
            </w:r>
          </w:p>
        </w:tc>
      </w:tr>
      <w:tr>
        <w:tc>
          <w:tcPr/>
          <w:p>
            <w:pPr>
              <w:pStyle w:val="Compact"/>
              <w:spacing w:before="20" w:after="20" w:line="240" w:lineRule="auto"/>
              <w:jc w:val="center"/>
            </w:pPr>
            <w:r>
              <w:rPr>
                <w:iCs/>
                <w:i/>
              </w:rPr>
              <w:t xml:space="preserve">lnpgdp</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11.0620</w:t>
            </w:r>
          </w:p>
        </w:tc>
        <w:tc>
          <w:tcPr/>
          <w:p>
            <w:pPr>
              <w:pStyle w:val="Compact"/>
              <w:spacing w:before="20" w:after="20" w:line="240" w:lineRule="auto"/>
              <w:jc w:val="center"/>
            </w:pPr>
            <w:r>
              <w:t xml:space="preserve">0.3239</w:t>
            </w:r>
          </w:p>
        </w:tc>
        <w:tc>
          <w:tcPr/>
          <w:p>
            <w:pPr>
              <w:pStyle w:val="Compact"/>
              <w:spacing w:before="20" w:after="20" w:line="240" w:lineRule="auto"/>
              <w:jc w:val="center"/>
            </w:pPr>
            <w:r>
              <w:t xml:space="preserve">9.9547</w:t>
            </w:r>
          </w:p>
        </w:tc>
        <w:tc>
          <w:tcPr/>
          <w:p>
            <w:pPr>
              <w:pStyle w:val="Compact"/>
              <w:spacing w:before="20" w:after="20" w:line="240" w:lineRule="auto"/>
              <w:jc w:val="center"/>
            </w:pPr>
            <w:r>
              <w:t xml:space="preserve">11.8599</w:t>
            </w:r>
          </w:p>
        </w:tc>
      </w:tr>
      <w:tr>
        <w:tc>
          <w:tcPr/>
          <w:p>
            <w:pPr>
              <w:pStyle w:val="Compact"/>
              <w:spacing w:before="20" w:after="20" w:line="240" w:lineRule="auto"/>
              <w:jc w:val="center"/>
            </w:pPr>
            <w:r>
              <w:rPr>
                <w:iCs/>
                <w:i/>
              </w:rPr>
              <w:t xml:space="preserve">indus</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1.2482</w:t>
            </w:r>
          </w:p>
        </w:tc>
        <w:tc>
          <w:tcPr/>
          <w:p>
            <w:pPr>
              <w:pStyle w:val="Compact"/>
              <w:spacing w:before="20" w:after="20" w:line="240" w:lineRule="auto"/>
              <w:jc w:val="center"/>
            </w:pPr>
            <w:r>
              <w:t xml:space="preserve">0.2253</w:t>
            </w:r>
          </w:p>
        </w:tc>
        <w:tc>
          <w:tcPr/>
          <w:p>
            <w:pPr>
              <w:pStyle w:val="Compact"/>
              <w:spacing w:before="20" w:after="20" w:line="240" w:lineRule="auto"/>
              <w:jc w:val="center"/>
            </w:pPr>
            <w:r>
              <w:t xml:space="preserve">0.6261</w:t>
            </w:r>
          </w:p>
        </w:tc>
        <w:tc>
          <w:tcPr/>
          <w:p>
            <w:pPr>
              <w:pStyle w:val="Compact"/>
              <w:spacing w:before="20" w:after="20" w:line="240" w:lineRule="auto"/>
              <w:jc w:val="center"/>
            </w:pPr>
            <w:r>
              <w:t xml:space="preserve">1.8252</w:t>
            </w:r>
          </w:p>
        </w:tc>
      </w:tr>
      <w:tr>
        <w:tc>
          <w:tcPr/>
          <w:p>
            <w:pPr>
              <w:pStyle w:val="Compact"/>
              <w:spacing w:before="20" w:after="20" w:line="240" w:lineRule="auto"/>
              <w:jc w:val="center"/>
            </w:pPr>
            <w:r>
              <w:rPr>
                <w:iCs/>
                <w:i/>
              </w:rPr>
              <w:t xml:space="preserve">open</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30.9602</w:t>
            </w:r>
          </w:p>
        </w:tc>
        <w:tc>
          <w:tcPr/>
          <w:p>
            <w:pPr>
              <w:pStyle w:val="Compact"/>
              <w:spacing w:before="20" w:after="20" w:line="240" w:lineRule="auto"/>
              <w:jc w:val="center"/>
            </w:pPr>
            <w:r>
              <w:t xml:space="preserve">11.8014</w:t>
            </w:r>
          </w:p>
        </w:tc>
        <w:tc>
          <w:tcPr/>
          <w:p>
            <w:pPr>
              <w:pStyle w:val="Compact"/>
              <w:spacing w:before="20" w:after="20" w:line="240" w:lineRule="auto"/>
              <w:jc w:val="center"/>
            </w:pPr>
            <w:r>
              <w:t xml:space="preserve">1.0769</w:t>
            </w:r>
          </w:p>
        </w:tc>
        <w:tc>
          <w:tcPr/>
          <w:p>
            <w:pPr>
              <w:pStyle w:val="Compact"/>
              <w:spacing w:before="20" w:after="20" w:line="240" w:lineRule="auto"/>
              <w:jc w:val="center"/>
            </w:pPr>
            <w:r>
              <w:t xml:space="preserve">60.1553</w:t>
            </w:r>
          </w:p>
        </w:tc>
      </w:tr>
      <w:tr>
        <w:tc>
          <w:tcPr/>
          <w:p>
            <w:pPr>
              <w:pStyle w:val="Compact"/>
              <w:spacing w:before="20" w:after="20" w:line="240" w:lineRule="auto"/>
              <w:jc w:val="center"/>
            </w:pPr>
            <w:r>
              <w:rPr>
                <w:iCs/>
                <w:i/>
              </w:rPr>
              <w:t xml:space="preserve">urban</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60.4643</w:t>
            </w:r>
          </w:p>
        </w:tc>
        <w:tc>
          <w:tcPr/>
          <w:p>
            <w:pPr>
              <w:pStyle w:val="Compact"/>
              <w:spacing w:before="20" w:after="20" w:line="240" w:lineRule="auto"/>
              <w:jc w:val="center"/>
            </w:pPr>
            <w:r>
              <w:t xml:space="preserve">6.6089</w:t>
            </w:r>
          </w:p>
        </w:tc>
        <w:tc>
          <w:tcPr/>
          <w:p>
            <w:pPr>
              <w:pStyle w:val="Compact"/>
              <w:spacing w:before="20" w:after="20" w:line="240" w:lineRule="auto"/>
              <w:jc w:val="center"/>
            </w:pPr>
            <w:r>
              <w:t xml:space="preserve">43.5260</w:t>
            </w:r>
          </w:p>
        </w:tc>
        <w:tc>
          <w:tcPr/>
          <w:p>
            <w:pPr>
              <w:pStyle w:val="Compact"/>
              <w:spacing w:before="20" w:after="20" w:line="240" w:lineRule="auto"/>
              <w:jc w:val="center"/>
            </w:pPr>
            <w:r>
              <w:t xml:space="preserve">82.5895</w:t>
            </w:r>
          </w:p>
        </w:tc>
      </w:tr>
      <w:tr>
        <w:tc>
          <w:tcPr/>
          <w:p>
            <w:pPr>
              <w:pStyle w:val="Compact"/>
              <w:spacing w:before="20" w:after="20" w:line="240" w:lineRule="auto"/>
              <w:jc w:val="center"/>
            </w:pPr>
            <w:r>
              <w:rPr>
                <w:iCs/>
                <w:i/>
              </w:rPr>
              <w:t xml:space="preserve">fis</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24.6343</w:t>
            </w:r>
          </w:p>
        </w:tc>
        <w:tc>
          <w:tcPr/>
          <w:p>
            <w:pPr>
              <w:pStyle w:val="Compact"/>
              <w:spacing w:before="20" w:after="20" w:line="240" w:lineRule="auto"/>
              <w:jc w:val="center"/>
            </w:pPr>
            <w:r>
              <w:t xml:space="preserve">3.6680</w:t>
            </w:r>
          </w:p>
        </w:tc>
        <w:tc>
          <w:tcPr/>
          <w:p>
            <w:pPr>
              <w:pStyle w:val="Compact"/>
              <w:spacing w:before="20" w:after="20" w:line="240" w:lineRule="auto"/>
              <w:jc w:val="center"/>
            </w:pPr>
            <w:r>
              <w:t xml:space="preserve">11.9009</w:t>
            </w:r>
          </w:p>
        </w:tc>
        <w:tc>
          <w:tcPr/>
          <w:p>
            <w:pPr>
              <w:pStyle w:val="Compact"/>
              <w:spacing w:before="20" w:after="20" w:line="240" w:lineRule="auto"/>
              <w:jc w:val="center"/>
            </w:pPr>
            <w:r>
              <w:t xml:space="preserve">34.7566</w:t>
            </w:r>
          </w:p>
        </w:tc>
      </w:tr>
      <w:tr>
        <w:tc>
          <w:tcPr/>
          <w:p>
            <w:pPr>
              <w:pStyle w:val="Compact"/>
              <w:spacing w:before="20" w:after="20" w:line="240" w:lineRule="auto"/>
              <w:jc w:val="center"/>
            </w:pPr>
            <w:r>
              <w:rPr>
                <w:iCs/>
                <w:i/>
              </w:rPr>
              <w:t xml:space="preserve">wage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11.1227</w:t>
            </w:r>
          </w:p>
        </w:tc>
        <w:tc>
          <w:tcPr/>
          <w:p>
            <w:pPr>
              <w:pStyle w:val="Compact"/>
              <w:spacing w:before="20" w:after="20" w:line="240" w:lineRule="auto"/>
              <w:jc w:val="center"/>
            </w:pPr>
            <w:r>
              <w:t xml:space="preserve">0.3189</w:t>
            </w:r>
          </w:p>
        </w:tc>
        <w:tc>
          <w:tcPr/>
          <w:p>
            <w:pPr>
              <w:pStyle w:val="Compact"/>
              <w:spacing w:before="20" w:after="20" w:line="240" w:lineRule="auto"/>
              <w:jc w:val="center"/>
            </w:pPr>
            <w:r>
              <w:t xml:space="preserve">10.3225</w:t>
            </w:r>
          </w:p>
        </w:tc>
        <w:tc>
          <w:tcPr/>
          <w:p>
            <w:pPr>
              <w:pStyle w:val="Compact"/>
              <w:spacing w:before="20" w:after="20" w:line="240" w:lineRule="auto"/>
              <w:jc w:val="center"/>
            </w:pPr>
            <w:r>
              <w:t xml:space="preserve">11.8847</w:t>
            </w:r>
          </w:p>
        </w:tc>
      </w:tr>
      <w:tr>
        <w:tc>
          <w:tcPr/>
          <w:p>
            <w:pPr>
              <w:pStyle w:val="Compact"/>
              <w:spacing w:before="20" w:after="20" w:line="240" w:lineRule="auto"/>
              <w:jc w:val="center"/>
            </w:pPr>
            <w:r>
              <w:rPr>
                <w:iCs/>
                <w:i/>
              </w:rPr>
              <w:t xml:space="preserve">edu</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43.5256</w:t>
            </w:r>
          </w:p>
        </w:tc>
        <w:tc>
          <w:tcPr/>
          <w:p>
            <w:pPr>
              <w:pStyle w:val="Compact"/>
              <w:spacing w:before="20" w:after="20" w:line="240" w:lineRule="auto"/>
              <w:jc w:val="center"/>
            </w:pPr>
            <w:r>
              <w:t xml:space="preserve">8.6557</w:t>
            </w:r>
          </w:p>
        </w:tc>
        <w:tc>
          <w:tcPr/>
          <w:p>
            <w:pPr>
              <w:pStyle w:val="Compact"/>
              <w:spacing w:before="20" w:after="20" w:line="240" w:lineRule="auto"/>
              <w:jc w:val="center"/>
            </w:pPr>
            <w:r>
              <w:t xml:space="preserve">19.9056</w:t>
            </w:r>
          </w:p>
        </w:tc>
        <w:tc>
          <w:tcPr/>
          <w:p>
            <w:pPr>
              <w:pStyle w:val="Compact"/>
              <w:spacing w:before="20" w:after="20" w:line="240" w:lineRule="auto"/>
              <w:jc w:val="center"/>
            </w:pPr>
            <w:r>
              <w:t xml:space="preserve">62.7585</w:t>
            </w:r>
          </w:p>
        </w:tc>
      </w:tr>
      <w:tr>
        <w:tc>
          <w:tcPr/>
          <w:p>
            <w:pPr>
              <w:pStyle w:val="Compact"/>
              <w:spacing w:before="20" w:after="20" w:line="240" w:lineRule="auto"/>
              <w:jc w:val="center"/>
            </w:pPr>
            <w:r>
              <w:rPr>
                <w:iCs/>
                <w:i/>
              </w:rPr>
              <w:t xml:space="preserve">train</w:t>
            </w:r>
            <w:r>
              <w:t xml:space="preserve">（%）</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14.7747</w:t>
            </w:r>
          </w:p>
        </w:tc>
        <w:tc>
          <w:tcPr/>
          <w:p>
            <w:pPr>
              <w:pStyle w:val="Compact"/>
              <w:spacing w:before="20" w:after="20" w:line="240" w:lineRule="auto"/>
              <w:jc w:val="center"/>
            </w:pPr>
            <w:r>
              <w:t xml:space="preserve">3.8407</w:t>
            </w:r>
          </w:p>
        </w:tc>
        <w:tc>
          <w:tcPr/>
          <w:p>
            <w:pPr>
              <w:pStyle w:val="Compact"/>
              <w:spacing w:before="20" w:after="20" w:line="240" w:lineRule="auto"/>
              <w:jc w:val="center"/>
            </w:pPr>
            <w:r>
              <w:t xml:space="preserve">3.2308</w:t>
            </w:r>
          </w:p>
        </w:tc>
        <w:tc>
          <w:tcPr/>
          <w:p>
            <w:pPr>
              <w:pStyle w:val="Compact"/>
              <w:spacing w:before="20" w:after="20" w:line="240" w:lineRule="auto"/>
              <w:jc w:val="center"/>
            </w:pPr>
            <w:r>
              <w:t xml:space="preserve">24.0305</w:t>
            </w:r>
          </w:p>
        </w:tc>
      </w:tr>
    </w:tbl>
    <w:p>
      <w:pPr>
        <w:pStyle w:val="TableNote"/>
      </w:pPr>
      <w:r>
        <w:t xml:space="preserve">注：进入回归的人工智能应用水平为机器人渗透度取自然对数后的标准化值；表中同时列出其原始值以便对照。</w:t>
      </w:r>
      <w:r>
        <w:rPr>
          <w:iCs/>
          <w:i/>
        </w:rPr>
        <w:t xml:space="preserve">lnpgdp</w:t>
      </w:r>
      <w:r>
        <w:t xml:space="preserve">与</w:t>
      </w:r>
      <w:r>
        <w:rPr>
          <w:iCs/>
          <w:i/>
        </w:rPr>
        <w:t xml:space="preserve">wage</w:t>
      </w:r>
      <w:r>
        <w:t xml:space="preserve">为对数值，</w:t>
      </w:r>
      <w:r>
        <w:rPr>
          <w:iCs/>
          <w:i/>
        </w:rPr>
        <w:t xml:space="preserve">open</w:t>
      </w:r>
      <w:r>
        <w:t xml:space="preserve">、</w:t>
      </w:r>
      <w:r>
        <w:rPr>
          <w:iCs/>
          <w:i/>
        </w:rPr>
        <w:t xml:space="preserve">urban</w:t>
      </w:r>
      <w:r>
        <w:t xml:space="preserve">、</w:t>
      </w:r>
      <w:r>
        <w:rPr>
          <w:iCs/>
          <w:i/>
        </w:rPr>
        <w:t xml:space="preserve">fis</w:t>
      </w:r>
      <w:r>
        <w:t xml:space="preserve">、</w:t>
      </w:r>
      <w:r>
        <w:rPr>
          <w:iCs/>
          <w:i/>
        </w:rPr>
        <w:t xml:space="preserve">edu</w:t>
      </w:r>
      <w:r>
        <w:t xml:space="preserve">、</w:t>
      </w:r>
      <w:r>
        <w:rPr>
          <w:iCs/>
          <w:i/>
        </w:rPr>
        <w:t xml:space="preserve">train</w:t>
      </w:r>
      <w:r>
        <w:t xml:space="preserve">等以百分数计。</w:t>
      </w:r>
    </w:p>
    <w:bookmarkEnd w:id="31"/>
    <w:bookmarkEnd w:id="32"/>
    <w:bookmarkStart w:id="46" w:name="实证结果与分析"/>
    <w:p>
      <w:pPr>
        <w:pStyle w:val="Heading1"/>
      </w:pPr>
      <w:r>
        <w:t xml:space="preserve">3 实证结果与分析</w:t>
      </w:r>
    </w:p>
    <w:bookmarkStart w:id="33" w:name="基准回归分析"/>
    <w:p>
      <w:pPr>
        <w:pStyle w:val="Heading2"/>
      </w:pPr>
      <w:r>
        <w:t xml:space="preserve">3.1 基准回归分析</w:t>
      </w:r>
    </w:p>
    <w:p>
      <w:pPr>
        <w:pStyle w:val="FirstParagraph"/>
      </w:pPr>
      <w:r>
        <w:t xml:space="preserve">表2报告了基准回归结果。列（1）与列（2）为线性设定，人工智能应用水平的系数分别为0.0130与0.0242，均不显著。这一结果并不意味着人工智能对青年就业没有影响，而是提示替代效应与创造效应在样本整体上相互抵消，简单的线性设定难以刻画二者的相对关系。列（3）与列（4）引入二次项后，一次项系数显著为负、二次项系数显著为正：在纳入全部控制变量的列（4）中，一次项系数为−0.0822（</w:t>
      </w:r>
      <w:r>
        <w:rPr>
          <w:iCs/>
          <w:i/>
        </w:rPr>
        <w:t xml:space="preserve">t</w:t>
      </w:r>
      <w:r>
        <w:t xml:space="preserve">值为−2.2365），在5%的水平上显著；二次项系数为0.0674（</w:t>
      </w:r>
      <w:r>
        <w:rPr>
          <w:iCs/>
          <w:i/>
        </w:rPr>
        <w:t xml:space="preserve">t</w:t>
      </w:r>
      <w:r>
        <w:t xml:space="preserve">值为3.9942），在1%的水平上显著，表明人工智能应用与青年就业规模之间呈显著的U型关系，假设1得到验证。</w:t>
      </w:r>
    </w:p>
    <w:p>
      <w:pPr>
        <w:pStyle w:val="BodyText"/>
      </w:pPr>
      <w:r>
        <w:t xml:space="preserve">依据式（2）计算，U型曲线的拐点位于人工智能应用水平的0.6091（标准化值），折合机器人渗透度约为9.33台/万人。进一步检验U型关系的成立条件：在样本取值区间[−1.9358，1.9982]内，左端点处的斜率为−0.3433，右端点处的斜率为0.1874，二者异号，且拐点落在样本取值范围之内，满足U型关系的判定条件。样本中约67.8%的观测值位于拐点左侧，表明现阶段我国多数省份的人工智能应用仍处于替代效应占优的区间，青年就业面临的替代压力尚未充分释放。图1（a）以剔除双向固定效应后的部分残差图直观展示了这一U型关系。</w:t>
      </w:r>
    </w:p>
    <w:p>
      <w:pPr>
        <w:pStyle w:val="TableCaption"/>
      </w:pPr>
      <w:r>
        <w:t xml:space="preserve">表2 基准回归结果</w:t>
      </w:r>
    </w:p>
    <w:tbl>
      <w:tblPr>
        <w:tblStyle w:val="Table"/>
        <w:jc w:val="center"/>
        <w:tblLook w:firstRow="1" w:lastRow="0" w:firstColumn="0" w:lastColumn="0" w:noHBand="0" w:noVBand="0" w:val="0020"/>
        <w:tblCaption w:val="表2 基准回归结果"/>
        <w:tblW w:w="5000" w:type="pct"/>
        <w:tblLayout w:type="autofit"/>
      </w:tblPr>
      <w:tblGrid>
        <w:gridCol w:w="1584"/>
        <w:gridCol w:w="1584"/>
        <w:gridCol w:w="1584"/>
        <w:gridCol w:w="1584"/>
        <w:gridCol w:w="1584"/>
      </w:tblGrid>
      <w:tr>
        <w:trPr>
          <w:tblHeader w:val="true"/>
        </w:trPr>
        <w:tc>
          <w:tcPr/>
          <w:p>
            <w:pPr>
              <w:pStyle w:val="Compact"/>
              <w:spacing w:before="20" w:after="20" w:line="240" w:lineRule="auto"/>
              <w:jc w:val="center"/>
            </w:pPr>
          </w:p>
        </w:tc>
        <w:tc>
          <w:tcPr/>
          <w:p>
            <w:pPr>
              <w:pStyle w:val="Compact"/>
              <w:spacing w:before="20" w:after="20" w:line="240" w:lineRule="auto"/>
              <w:jc w:val="center"/>
            </w:pPr>
            <w:r>
              <w:t xml:space="preserve">（1）</w:t>
            </w:r>
          </w:p>
        </w:tc>
        <w:tc>
          <w:tcPr/>
          <w:p>
            <w:pPr>
              <w:pStyle w:val="Compact"/>
              <w:spacing w:before="20" w:after="20" w:line="240" w:lineRule="auto"/>
              <w:jc w:val="center"/>
            </w:pPr>
            <w:r>
              <w:t xml:space="preserve">（2）</w:t>
            </w:r>
          </w:p>
        </w:tc>
        <w:tc>
          <w:tcPr/>
          <w:p>
            <w:pPr>
              <w:pStyle w:val="Compact"/>
              <w:spacing w:before="20" w:after="20" w:line="240" w:lineRule="auto"/>
              <w:jc w:val="center"/>
            </w:pPr>
            <w:r>
              <w:t xml:space="preserve">（3）</w:t>
            </w:r>
          </w:p>
        </w:tc>
        <w:tc>
          <w:tcPr/>
          <w:p>
            <w:pPr>
              <w:pStyle w:val="Compact"/>
              <w:spacing w:before="20" w:after="20" w:line="240" w:lineRule="auto"/>
              <w:jc w:val="center"/>
            </w:pPr>
            <w:r>
              <w:t xml:space="preserve">（4）</w:t>
            </w:r>
          </w:p>
        </w:tc>
      </w:tr>
      <w:tr>
        <w:tc>
          <w:tcPr/>
          <w:p>
            <w:pPr>
              <w:pStyle w:val="Compact"/>
              <w:spacing w:before="20" w:after="20" w:line="240" w:lineRule="auto"/>
              <w:jc w:val="center"/>
            </w:pPr>
            <w:r>
              <w:rPr>
                <w:iCs/>
                <w:i/>
              </w:rPr>
              <w:t xml:space="preserve">ai</w:t>
            </w:r>
          </w:p>
        </w:tc>
        <w:tc>
          <w:tcPr/>
          <w:p>
            <w:pPr>
              <w:pStyle w:val="Compact"/>
              <w:spacing w:before="20" w:after="20" w:line="240" w:lineRule="auto"/>
              <w:jc w:val="center"/>
            </w:pPr>
            <w:r>
              <w:t xml:space="preserve">0.0130</w:t>
            </w:r>
          </w:p>
        </w:tc>
        <w:tc>
          <w:tcPr/>
          <w:p>
            <w:pPr>
              <w:pStyle w:val="Compact"/>
              <w:spacing w:before="20" w:after="20" w:line="240" w:lineRule="auto"/>
              <w:jc w:val="center"/>
            </w:pPr>
            <w:r>
              <w:t xml:space="preserve">0.0242</w:t>
            </w:r>
          </w:p>
        </w:tc>
        <w:tc>
          <w:tcPr/>
          <w:p>
            <w:pPr>
              <w:pStyle w:val="Compact"/>
              <w:spacing w:before="20" w:after="20" w:line="240" w:lineRule="auto"/>
              <w:jc w:val="center"/>
            </w:pPr>
            <w:r>
              <w:t xml:space="preserve">−0.0948***</w:t>
            </w:r>
          </w:p>
        </w:tc>
        <w:tc>
          <w:tcPr/>
          <w:p>
            <w:pPr>
              <w:pStyle w:val="Compact"/>
              <w:spacing w:before="20" w:after="20" w:line="240" w:lineRule="auto"/>
              <w:jc w:val="center"/>
            </w:pPr>
            <w:r>
              <w:t xml:space="preserve">−0.0822**</w:t>
            </w:r>
          </w:p>
        </w:tc>
      </w:tr>
      <w:tr>
        <w:tc>
          <w:tcPr/>
          <w:p>
            <w:pPr>
              <w:pStyle w:val="Compact"/>
              <w:spacing w:before="20" w:after="20" w:line="240" w:lineRule="auto"/>
              <w:jc w:val="center"/>
            </w:pPr>
          </w:p>
        </w:tc>
        <w:tc>
          <w:tcPr/>
          <w:p>
            <w:pPr>
              <w:pStyle w:val="Compact"/>
              <w:spacing w:before="20" w:after="20" w:line="240" w:lineRule="auto"/>
              <w:jc w:val="center"/>
            </w:pPr>
            <w:r>
              <w:t xml:space="preserve">（0.3933）</w:t>
            </w:r>
          </w:p>
        </w:tc>
        <w:tc>
          <w:tcPr/>
          <w:p>
            <w:pPr>
              <w:pStyle w:val="Compact"/>
              <w:spacing w:before="20" w:after="20" w:line="240" w:lineRule="auto"/>
              <w:jc w:val="center"/>
            </w:pPr>
            <w:r>
              <w:t xml:space="preserve">（0.7358）</w:t>
            </w:r>
          </w:p>
        </w:tc>
        <w:tc>
          <w:tcPr/>
          <w:p>
            <w:pPr>
              <w:pStyle w:val="Compact"/>
              <w:spacing w:before="20" w:after="20" w:line="240" w:lineRule="auto"/>
              <w:jc w:val="center"/>
            </w:pPr>
            <w:r>
              <w:t xml:space="preserve">（−2.8044）</w:t>
            </w:r>
          </w:p>
        </w:tc>
        <w:tc>
          <w:tcPr/>
          <w:p>
            <w:pPr>
              <w:pStyle w:val="Compact"/>
              <w:spacing w:before="20" w:after="20" w:line="240" w:lineRule="auto"/>
              <w:jc w:val="center"/>
            </w:pPr>
            <w:r>
              <w:t xml:space="preserve">（−2.2365）</w:t>
            </w:r>
          </w:p>
        </w:tc>
      </w:tr>
      <w:tr>
        <w:tc>
          <w:tcPr/>
          <w:p>
            <w:pPr>
              <w:pStyle w:val="Compact"/>
              <w:spacing w:before="20" w:after="20" w:line="240" w:lineRule="auto"/>
              <w:jc w:val="center"/>
            </w:pPr>
            <m:oMath>
              <m:sSup>
                <m:e>
                  <m:r>
                    <m:rPr>
                      <m:sty m:val="p"/>
                    </m:rPr>
                    <m:t>ai</m:t>
                  </m:r>
                </m:e>
                <m:sup>
                  <m:r>
                    <m:t>2</m:t>
                  </m:r>
                </m:sup>
              </m:sSup>
            </m:oMath>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0.0683***</w:t>
            </w:r>
          </w:p>
        </w:tc>
        <w:tc>
          <w:tcPr/>
          <w:p>
            <w:pPr>
              <w:pStyle w:val="Compact"/>
              <w:spacing w:before="20" w:after="20" w:line="240" w:lineRule="auto"/>
              <w:jc w:val="center"/>
            </w:pPr>
            <w:r>
              <w:t xml:space="preserve">0.0674***</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（4.2453）</w:t>
            </w:r>
          </w:p>
        </w:tc>
        <w:tc>
          <w:tcPr/>
          <w:p>
            <w:pPr>
              <w:pStyle w:val="Compact"/>
              <w:spacing w:before="20" w:after="20" w:line="240" w:lineRule="auto"/>
              <w:jc w:val="center"/>
            </w:pPr>
            <w:r>
              <w:t xml:space="preserve">（3.9942）</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否</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否</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省份固定效应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年份固定效应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r>
      <w:tr>
        <w:tc>
          <w:tcPr/>
          <w:p>
            <w:pPr>
              <w:pStyle w:val="Compact"/>
              <w:spacing w:before="20" w:after="20" w:line="240" w:lineRule="auto"/>
              <w:jc w:val="center"/>
            </w:pPr>
            <m:oMath>
              <m:sSup>
                <m:e>
                  <m:r>
                    <m:t>R</m:t>
                  </m:r>
                </m:e>
                <m:sup>
                  <m:r>
                    <m:t>2</m:t>
                  </m:r>
                </m:sup>
              </m:sSup>
            </m:oMath>
          </w:p>
        </w:tc>
        <w:tc>
          <w:tcPr/>
          <w:p>
            <w:pPr>
              <w:pStyle w:val="Compact"/>
              <w:spacing w:before="20" w:after="20" w:line="240" w:lineRule="auto"/>
              <w:jc w:val="center"/>
            </w:pPr>
            <w:r>
              <w:t xml:space="preserve">0.0005</w:t>
            </w:r>
          </w:p>
        </w:tc>
        <w:tc>
          <w:tcPr/>
          <w:p>
            <w:pPr>
              <w:pStyle w:val="Compact"/>
              <w:spacing w:before="20" w:after="20" w:line="240" w:lineRule="auto"/>
              <w:jc w:val="center"/>
            </w:pPr>
            <w:r>
              <w:t xml:space="preserve">0.0793</w:t>
            </w:r>
          </w:p>
        </w:tc>
        <w:tc>
          <w:tcPr/>
          <w:p>
            <w:pPr>
              <w:pStyle w:val="Compact"/>
              <w:spacing w:before="20" w:after="20" w:line="240" w:lineRule="auto"/>
              <w:jc w:val="center"/>
            </w:pPr>
            <w:r>
              <w:t xml:space="preserve">0.1438</w:t>
            </w:r>
          </w:p>
        </w:tc>
        <w:tc>
          <w:tcPr/>
          <w:p>
            <w:pPr>
              <w:pStyle w:val="Compact"/>
              <w:spacing w:before="20" w:after="20" w:line="240" w:lineRule="auto"/>
              <w:jc w:val="center"/>
            </w:pPr>
            <w:r>
              <w:t xml:space="preserve">0.2126</w:t>
            </w:r>
          </w:p>
        </w:tc>
      </w:tr>
      <w:tr>
        <w:tc>
          <w:tcPr/>
          <w:p>
            <w:pPr>
              <w:pStyle w:val="Compact"/>
              <w:spacing w:before="20" w:after="20" w:line="240" w:lineRule="auto"/>
              <w:jc w:val="center"/>
            </w:pPr>
            <w:r>
              <w:t xml:space="preserve">拐点（标准化值）</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0.6936</w:t>
            </w:r>
          </w:p>
        </w:tc>
        <w:tc>
          <w:tcPr/>
          <w:p>
            <w:pPr>
              <w:pStyle w:val="Compact"/>
              <w:spacing w:before="20" w:after="20" w:line="240" w:lineRule="auto"/>
              <w:jc w:val="center"/>
            </w:pPr>
            <w:r>
              <w:t xml:space="preserve">0.6091</w:t>
            </w:r>
          </w:p>
        </w:tc>
      </w:tr>
    </w:tbl>
    <w:p>
      <w:pPr>
        <w:pStyle w:val="TableNote"/>
      </w:pPr>
      <w:r>
        <w:t xml:space="preserve">注：*、**、***分别表示在10%、5%、1%的水平上显著，（）内为省份层面聚类稳健标准误对应的</w:t>
      </w:r>
      <w:r>
        <w:rPr>
          <w:iCs/>
          <w:i/>
        </w:rPr>
        <w:t xml:space="preserve">t</w:t>
      </w:r>
      <w:r>
        <w:t xml:space="preserve">值。下同。人工智能应用水平为标准化处理后的机器人渗透度对数值。</w:t>
      </w:r>
    </w:p>
    <w:bookmarkEnd w:id="33"/>
    <w:bookmarkStart w:id="37" w:name="就业结构效应"/>
    <w:p>
      <w:pPr>
        <w:pStyle w:val="Heading2"/>
      </w:pPr>
      <w:r>
        <w:t xml:space="preserve">3.2 就业结构效应</w:t>
      </w:r>
    </w:p>
    <w:p>
      <w:pPr>
        <w:pStyle w:val="FirstParagraph"/>
      </w:pPr>
      <w:r>
        <w:t xml:space="preserve">U型的净效应源于替代与创造两种力量的叠加，表3从就业结构维度提供了二者并存的直接证据。人工智能应用显著提高了青年高技能就业占比（系数为1.4237），同时显著降低了青年低技能就业占比（系数为−1.7068）；与之对应，表6列（1）与列（3）显示常规任务岗位占比显著下降（系数为−3.4507）、新兴数字职业占比显著上升（系数为2.5154）。这一格局清晰地呈现出就业极化特征：人工智能在挤压常规任务与低技能岗位的同时，扩张了高技能与新兴数字岗位，青年就业的结构重心由低端向高端迁移，与技能偏向型技术进步的理论预期相一致</w:t>
      </w:r>
      <w:r>
        <w:rPr>
          <w:vertAlign w:val="superscript"/>
        </w:rPr>
        <w:t xml:space="preserve">[3,4]</w:t>
      </w:r>
      <w:r>
        <w:t xml:space="preserve">。青年失业率方面，一次项系数为1.5286、二次项系数为−0.3114且均显著，即失业率随人工智能应用水平上升而提高、但上升幅度递减；其转折点为2.4544，落在样本取值区间之外，说明在现有渗透度范围内青年失业率尚未出现下行拐点，这与就业规模U型关系中多数样本仍处于下降段的判断相互印证。图1（b）直观展示了各结构变量的估计系数及其置信区间。</w:t>
      </w:r>
    </w:p>
    <w:p>
      <w:pPr>
        <w:pStyle w:val="TableCaption"/>
      </w:pPr>
      <w:r>
        <w:t xml:space="preserve">表3 就业结构效应检验结果</w:t>
      </w:r>
    </w:p>
    <w:tbl>
      <w:tblPr>
        <w:tblStyle w:val="Table"/>
        <w:jc w:val="center"/>
        <w:tblLook w:firstRow="1" w:lastRow="0" w:firstColumn="0" w:lastColumn="0" w:noHBand="0" w:noVBand="0" w:val="0020"/>
        <w:tblCaption w:val="表3 就业结构效应检验结果"/>
        <w:tblW w:w="5000" w:type="pct"/>
        <w:tblLayout w:type="autofit"/>
      </w:tblPr>
      <w:tblGrid>
        <w:gridCol w:w="1584"/>
        <w:gridCol w:w="1584"/>
        <w:gridCol w:w="1584"/>
        <w:gridCol w:w="1584"/>
        <w:gridCol w:w="1584"/>
      </w:tblGrid>
      <w:tr>
        <w:trPr>
          <w:tblHeader w:val="true"/>
        </w:trPr>
        <w:tc>
          <w:tcPr/>
          <w:p>
            <w:pPr>
              <w:pStyle w:val="Compact"/>
              <w:spacing w:before="20" w:after="20" w:line="240" w:lineRule="auto"/>
              <w:jc w:val="center"/>
            </w:pPr>
            <w:r>
              <w:t xml:space="preserve">被解释变量</w:t>
            </w:r>
          </w:p>
        </w:tc>
        <w:tc>
          <w:tcPr/>
          <w:p>
            <w:pPr>
              <w:pStyle w:val="Compact"/>
              <w:spacing w:before="20" w:after="20" w:line="240" w:lineRule="auto"/>
              <w:jc w:val="center"/>
            </w:pPr>
            <w:r>
              <w:t xml:space="preserve">系数</w:t>
            </w:r>
          </w:p>
        </w:tc>
        <w:tc>
          <w:tcPr/>
          <w:p>
            <w:pPr>
              <w:pStyle w:val="Compact"/>
              <w:spacing w:before="20" w:after="20" w:line="240" w:lineRule="auto"/>
              <w:jc w:val="center"/>
            </w:pPr>
            <w:r>
              <w:rPr>
                <w:iCs/>
                <w:i/>
              </w:rPr>
              <w:t xml:space="preserve">t</w:t>
            </w:r>
            <w:r>
              <w:t xml:space="preserve">值</w:t>
            </w:r>
          </w:p>
        </w:tc>
        <w:tc>
          <w:tcPr/>
          <w:p>
            <w:pPr>
              <w:pStyle w:val="Compact"/>
              <w:spacing w:before="20" w:after="20" w:line="240" w:lineRule="auto"/>
              <w:jc w:val="center"/>
            </w:pPr>
            <w:r>
              <w:rPr>
                <w:iCs/>
                <w:i/>
              </w:rPr>
              <w:t xml:space="preserve">N</w:t>
            </w:r>
          </w:p>
        </w:tc>
        <w:tc>
          <w:tcPr/>
          <w:p>
            <w:pPr>
              <w:pStyle w:val="Compact"/>
              <w:spacing w:before="20" w:after="20" w:line="240" w:lineRule="auto"/>
              <w:jc w:val="center"/>
            </w:pPr>
            <m:oMath>
              <m:sSup>
                <m:e>
                  <m:r>
                    <m:t>R</m:t>
                  </m:r>
                </m:e>
                <m:sup>
                  <m:r>
                    <m:t>2</m:t>
                  </m:r>
                </m:sup>
              </m:sSup>
            </m:oMath>
          </w:p>
        </w:tc>
      </w:tr>
      <w:tr>
        <w:tc>
          <w:tcPr/>
          <w:p>
            <w:pPr>
              <w:pStyle w:val="Compact"/>
              <w:spacing w:before="20" w:after="20" w:line="240" w:lineRule="auto"/>
              <w:jc w:val="center"/>
            </w:pPr>
            <w:r>
              <w:t xml:space="preserve">青年高技能就业占比</w:t>
            </w:r>
          </w:p>
        </w:tc>
        <w:tc>
          <w:tcPr/>
          <w:p>
            <w:pPr>
              <w:pStyle w:val="Compact"/>
              <w:spacing w:before="20" w:after="20" w:line="240" w:lineRule="auto"/>
              <w:jc w:val="center"/>
            </w:pPr>
            <w:r>
              <w:t xml:space="preserve">1.4237**</w:t>
            </w:r>
          </w:p>
        </w:tc>
        <w:tc>
          <w:tcPr/>
          <w:p>
            <w:pPr>
              <w:pStyle w:val="Compact"/>
              <w:spacing w:before="20" w:after="20" w:line="240" w:lineRule="auto"/>
              <w:jc w:val="center"/>
            </w:pPr>
            <w:r>
              <w:t xml:space="preserve">（2.5126）</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0.0279</w:t>
            </w:r>
          </w:p>
        </w:tc>
      </w:tr>
      <w:tr>
        <w:tc>
          <w:tcPr/>
          <w:p>
            <w:pPr>
              <w:pStyle w:val="Compact"/>
              <w:spacing w:before="20" w:after="20" w:line="240" w:lineRule="auto"/>
              <w:jc w:val="center"/>
            </w:pPr>
            <w:r>
              <w:t xml:space="preserve">青年低技能就业占比</w:t>
            </w:r>
          </w:p>
        </w:tc>
        <w:tc>
          <w:tcPr/>
          <w:p>
            <w:pPr>
              <w:pStyle w:val="Compact"/>
              <w:spacing w:before="20" w:after="20" w:line="240" w:lineRule="auto"/>
              <w:jc w:val="center"/>
            </w:pPr>
            <w:r>
              <w:t xml:space="preserve">−1.7068***</w:t>
            </w:r>
          </w:p>
        </w:tc>
        <w:tc>
          <w:tcPr/>
          <w:p>
            <w:pPr>
              <w:pStyle w:val="Compact"/>
              <w:spacing w:before="20" w:after="20" w:line="240" w:lineRule="auto"/>
              <w:jc w:val="center"/>
            </w:pPr>
            <w:r>
              <w:t xml:space="preserve">（−2.7516）</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0.0295</w:t>
            </w:r>
          </w:p>
        </w:tc>
      </w:tr>
      <w:tr>
        <w:tc>
          <w:tcPr/>
          <w:p>
            <w:pPr>
              <w:pStyle w:val="Compact"/>
              <w:spacing w:before="20" w:after="20" w:line="240" w:lineRule="auto"/>
              <w:jc w:val="center"/>
            </w:pPr>
            <w:r>
              <w:t xml:space="preserve">青年失业率（一次项）</w:t>
            </w:r>
          </w:p>
        </w:tc>
        <w:tc>
          <w:tcPr/>
          <w:p>
            <w:pPr>
              <w:pStyle w:val="Compact"/>
              <w:spacing w:before="20" w:after="20" w:line="240" w:lineRule="auto"/>
              <w:jc w:val="center"/>
            </w:pPr>
            <w:r>
              <w:t xml:space="preserve">1.5286***</w:t>
            </w:r>
          </w:p>
        </w:tc>
        <w:tc>
          <w:tcPr/>
          <w:p>
            <w:pPr>
              <w:pStyle w:val="Compact"/>
              <w:spacing w:before="20" w:after="20" w:line="240" w:lineRule="auto"/>
              <w:jc w:val="center"/>
            </w:pPr>
            <w:r>
              <w:t xml:space="preserve">（4.5080）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0.0733</w:t>
            </w:r>
          </w:p>
        </w:tc>
      </w:tr>
      <w:tr>
        <w:tc>
          <w:tcPr/>
          <w:p>
            <w:pPr>
              <w:pStyle w:val="Compact"/>
              <w:spacing w:before="20" w:after="20" w:line="240" w:lineRule="auto"/>
              <w:jc w:val="center"/>
            </w:pPr>
            <w:r>
              <w:t xml:space="preserve">青年失业率（二次项）</w:t>
            </w:r>
          </w:p>
        </w:tc>
        <w:tc>
          <w:tcPr/>
          <w:p>
            <w:pPr>
              <w:pStyle w:val="Compact"/>
              <w:spacing w:before="20" w:after="20" w:line="240" w:lineRule="auto"/>
              <w:jc w:val="center"/>
            </w:pPr>
            <w:r>
              <w:t xml:space="preserve">−0.3114**</w:t>
            </w:r>
          </w:p>
        </w:tc>
        <w:tc>
          <w:tcPr/>
          <w:p>
            <w:pPr>
              <w:pStyle w:val="Compact"/>
              <w:spacing w:before="20" w:after="20" w:line="240" w:lineRule="auto"/>
              <w:jc w:val="center"/>
            </w:pPr>
            <w:r>
              <w:t xml:space="preserve">（−2.5113）</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0.0733</w:t>
            </w:r>
          </w:p>
        </w:tc>
      </w:tr>
    </w:tbl>
    <w:p>
      <w:pPr>
        <w:pStyle w:val="TableNote"/>
      </w:pPr>
      <w:r>
        <w:t xml:space="preserve">注：除青年失业率采用二次设定外，其余各行均为线性设定下的估计结果；各行均已控制全部控制变量与双向固定效应。常规任务岗位占比与新兴数字职业占比的估计结果见表6。</w:t>
      </w:r>
    </w:p>
    <w:p>
      <w:pPr>
        <w:pStyle w:val="CaptionedFigure"/>
      </w:pPr>
      <w:r>
        <w:drawing>
          <wp:inline>
            <wp:extent cx="5334000" cy="2048353"/>
            <wp:effectExtent b="0" l="0" r="0" t="0"/>
            <wp:docPr descr="图1 人工智能应用与青年就业的U型关系及就业结构效应" title="" id="35" name="Picture"/>
            <a:graphic>
              <a:graphicData uri="http://schemas.openxmlformats.org/drawingml/2006/picture">
                <pic:pic>
                  <pic:nvPicPr>
                    <pic:cNvPr descr="p2_fig1.png" id="36" name="Picture"/>
                    <pic:cNvPicPr>
                      <a:picLocks noChangeArrowheads="1" noChangeAspect="1"/>
                    </pic:cNvPicPr>
                  </pic:nvPicPr>
                  <pic:blipFill>
                    <a:blip r:embed="rId34"/>
                    <a:stretch>
                      <a:fillRect/>
                    </a:stretch>
                  </pic:blipFill>
                  <pic:spPr bwMode="auto">
                    <a:xfrm>
                      <a:off x="0" y="0"/>
                      <a:ext cx="5334000" cy="2048353"/>
                    </a:xfrm>
                    <a:prstGeom prst="rect">
                      <a:avLst/>
                    </a:prstGeom>
                    <a:noFill/>
                    <a:ln w="9525">
                      <a:noFill/>
                      <a:headEnd/>
                      <a:tailEnd/>
                    </a:ln>
                  </pic:spPr>
                </pic:pic>
              </a:graphicData>
            </a:graphic>
          </wp:inline>
        </w:drawing>
      </w:r>
    </w:p>
    <w:p>
      <w:pPr>
        <w:pStyle w:val="ImageCaption"/>
      </w:pPr>
      <w:r>
        <w:t xml:space="preserve">图1 人工智能应用与青年就业的U型关系及就业结构效应</w:t>
      </w:r>
    </w:p>
    <w:bookmarkEnd w:id="37"/>
    <w:bookmarkStart w:id="38" w:name="稳健性检验"/>
    <w:p>
      <w:pPr>
        <w:pStyle w:val="Heading2"/>
      </w:pPr>
      <w:r>
        <w:t xml:space="preserve">3.3 稳健性检验</w:t>
      </w:r>
    </w:p>
    <w:p>
      <w:pPr>
        <w:pStyle w:val="FirstParagraph"/>
      </w:pPr>
      <w:r>
        <w:t xml:space="preserve">为验证U型关系的可靠性，本文进行如下稳健性检验，结果见表4。一是改用未标准化的机器人渗透度对数值及其平方项重新估计，以检验变量标准化处理是否影响结论；二是剔除北京、上海、天津、重庆四个直辖市样本；三是调整样本区间，剔除受疫情冲击较大的2020年与2021年；四是对连续变量作上下1%的缩尾处理；五是替换被解释变量，改用青年就业占城镇总就业的比重。上述检验中，二次项系数均至少在5%的水平上显著为正，一次项系数除替换被解释变量一列外均显著为负，U型关系整体保持稳健。替换被解释变量一列中一次项系数虽为负但未通过显著性检验，可能与就业比重指标同时受青年就业与城镇总就业两方面波动的影响、噪声较大有关，但其二次项系数仍显著为正，不改变U型的基本判断。</w:t>
      </w:r>
    </w:p>
    <w:p>
      <w:pPr>
        <w:pStyle w:val="TableCaption"/>
      </w:pPr>
      <w:r>
        <w:t xml:space="preserve">表4 稳健性检验结果</w:t>
      </w:r>
    </w:p>
    <w:tbl>
      <w:tblPr>
        <w:tblStyle w:val="Table"/>
        <w:jc w:val="center"/>
        <w:tblLook w:firstRow="1" w:lastRow="0" w:firstColumn="0" w:lastColumn="0" w:noHBand="0" w:noVBand="0" w:val="0020"/>
        <w:tblCaption w:val="表4 稳健性检验结果"/>
        <w:tblW w:w="5000" w:type="pct"/>
        <w:tblLayout w:type="autofit"/>
      </w:tblPr>
      <w:tblGrid>
        <w:gridCol w:w="1584"/>
        <w:gridCol w:w="1584"/>
        <w:gridCol w:w="1584"/>
        <w:gridCol w:w="1584"/>
        <w:gridCol w:w="1584"/>
      </w:tblGrid>
      <w:tr>
        <w:trPr>
          <w:tblHeader w:val="true"/>
        </w:trPr>
        <w:tc>
          <w:tcPr/>
          <w:p>
            <w:pPr>
              <w:pStyle w:val="Compact"/>
              <w:spacing w:before="20" w:after="20" w:line="240" w:lineRule="auto"/>
              <w:jc w:val="center"/>
            </w:pPr>
            <w:r>
              <w:t xml:space="preserve">检验方式</w:t>
            </w:r>
          </w:p>
        </w:tc>
        <w:tc>
          <w:tcPr/>
          <w:p>
            <w:pPr>
              <w:pStyle w:val="Compact"/>
              <w:spacing w:before="20" w:after="20" w:line="240" w:lineRule="auto"/>
              <w:jc w:val="center"/>
            </w:pPr>
            <w:r>
              <w:rPr>
                <w:iCs/>
                <w:i/>
              </w:rPr>
              <w:t xml:space="preserve">ai</w:t>
            </w:r>
          </w:p>
        </w:tc>
        <w:tc>
          <w:tcPr/>
          <w:p>
            <w:pPr>
              <w:pStyle w:val="Compact"/>
              <w:spacing w:before="20" w:after="20" w:line="240" w:lineRule="auto"/>
              <w:jc w:val="center"/>
            </w:pPr>
            <m:oMath>
              <m:sSup>
                <m:e>
                  <m:r>
                    <m:rPr>
                      <m:sty m:val="p"/>
                    </m:rPr>
                    <m:t>ai</m:t>
                  </m:r>
                </m:e>
                <m:sup>
                  <m:r>
                    <m:t>2</m:t>
                  </m:r>
                </m:sup>
              </m:sSup>
            </m:oMath>
          </w:p>
        </w:tc>
        <w:tc>
          <w:tcPr/>
          <w:p>
            <w:pPr>
              <w:pStyle w:val="Compact"/>
              <w:spacing w:before="20" w:after="20" w:line="240" w:lineRule="auto"/>
              <w:jc w:val="center"/>
            </w:pPr>
            <w:r>
              <w:rPr>
                <w:iCs/>
                <w:i/>
              </w:rPr>
              <w:t xml:space="preserve">N</w:t>
            </w:r>
          </w:p>
        </w:tc>
        <w:tc>
          <w:tcPr/>
          <w:p>
            <w:pPr>
              <w:pStyle w:val="Compact"/>
              <w:spacing w:before="20" w:after="20" w:line="240" w:lineRule="auto"/>
              <w:jc w:val="center"/>
            </w:pPr>
            <m:oMath>
              <m:sSup>
                <m:e>
                  <m:r>
                    <m:t>R</m:t>
                  </m:r>
                </m:e>
                <m:sup>
                  <m:r>
                    <m:t>2</m:t>
                  </m:r>
                </m:sup>
              </m:sSup>
            </m:oMath>
          </w:p>
        </w:tc>
      </w:tr>
      <w:tr>
        <w:tc>
          <w:tcPr/>
          <w:p>
            <w:pPr>
              <w:pStyle w:val="Compact"/>
              <w:spacing w:before="20" w:after="20" w:line="240" w:lineRule="auto"/>
              <w:jc w:val="center"/>
            </w:pPr>
            <w:r>
              <w:t xml:space="preserve">改用未标准化测度</w:t>
            </w:r>
          </w:p>
        </w:tc>
        <w:tc>
          <w:tcPr/>
          <w:p>
            <w:pPr>
              <w:pStyle w:val="Compact"/>
              <w:spacing w:before="20" w:after="20" w:line="240" w:lineRule="auto"/>
              <w:jc w:val="center"/>
            </w:pPr>
            <w:r>
              <w:t xml:space="preserve">−0.5190***（−3.7060）</w:t>
            </w:r>
          </w:p>
        </w:tc>
        <w:tc>
          <w:tcPr/>
          <w:p>
            <w:pPr>
              <w:pStyle w:val="Compact"/>
              <w:spacing w:before="20" w:after="20" w:line="240" w:lineRule="auto"/>
              <w:jc w:val="center"/>
            </w:pPr>
            <w:r>
              <w:t xml:space="preserve">0.1111***（3.9942）</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0.2126</w:t>
            </w:r>
          </w:p>
        </w:tc>
      </w:tr>
      <w:tr>
        <w:tc>
          <w:tcPr/>
          <w:p>
            <w:pPr>
              <w:pStyle w:val="Compact"/>
              <w:spacing w:before="20" w:after="20" w:line="240" w:lineRule="auto"/>
              <w:jc w:val="center"/>
            </w:pPr>
            <w:r>
              <w:t xml:space="preserve">剔除直辖市样本</w:t>
            </w:r>
          </w:p>
        </w:tc>
        <w:tc>
          <w:tcPr/>
          <w:p>
            <w:pPr>
              <w:pStyle w:val="Compact"/>
              <w:spacing w:before="20" w:after="20" w:line="240" w:lineRule="auto"/>
              <w:jc w:val="center"/>
            </w:pPr>
            <w:r>
              <w:t xml:space="preserve">−0.0742*（−1.8774）</w:t>
            </w:r>
          </w:p>
        </w:tc>
        <w:tc>
          <w:tcPr/>
          <w:p>
            <w:pPr>
              <w:pStyle w:val="Compact"/>
              <w:spacing w:before="20" w:after="20" w:line="240" w:lineRule="auto"/>
              <w:jc w:val="center"/>
            </w:pPr>
            <w:r>
              <w:t xml:space="preserve">0.0669***（3.7987）</w:t>
            </w:r>
          </w:p>
        </w:tc>
        <w:tc>
          <w:tcPr/>
          <w:p>
            <w:pPr>
              <w:pStyle w:val="Compact"/>
              <w:spacing w:before="20" w:after="20" w:line="240" w:lineRule="auto"/>
              <w:jc w:val="center"/>
            </w:pPr>
            <w:r>
              <w:t xml:space="preserve">312</w:t>
            </w:r>
          </w:p>
        </w:tc>
        <w:tc>
          <w:tcPr/>
          <w:p>
            <w:pPr>
              <w:pStyle w:val="Compact"/>
              <w:spacing w:before="20" w:after="20" w:line="240" w:lineRule="auto"/>
              <w:jc w:val="center"/>
            </w:pPr>
            <w:r>
              <w:t xml:space="preserve">0.2280</w:t>
            </w:r>
          </w:p>
        </w:tc>
      </w:tr>
      <w:tr>
        <w:tc>
          <w:tcPr/>
          <w:p>
            <w:pPr>
              <w:pStyle w:val="Compact"/>
              <w:spacing w:before="20" w:after="20" w:line="240" w:lineRule="auto"/>
              <w:jc w:val="center"/>
            </w:pPr>
            <w:r>
              <w:t xml:space="preserve">调整样本区间</w:t>
            </w:r>
          </w:p>
        </w:tc>
        <w:tc>
          <w:tcPr/>
          <w:p>
            <w:pPr>
              <w:pStyle w:val="Compact"/>
              <w:spacing w:before="20" w:after="20" w:line="240" w:lineRule="auto"/>
              <w:jc w:val="center"/>
            </w:pPr>
            <w:r>
              <w:t xml:space="preserve">−0.0982**（−2.5829）</w:t>
            </w:r>
          </w:p>
        </w:tc>
        <w:tc>
          <w:tcPr/>
          <w:p>
            <w:pPr>
              <w:pStyle w:val="Compact"/>
              <w:spacing w:before="20" w:after="20" w:line="240" w:lineRule="auto"/>
              <w:jc w:val="center"/>
            </w:pPr>
            <w:r>
              <w:t xml:space="preserve">0.0640***（3.8554）</w:t>
            </w:r>
          </w:p>
        </w:tc>
        <w:tc>
          <w:tcPr/>
          <w:p>
            <w:pPr>
              <w:pStyle w:val="Compact"/>
              <w:spacing w:before="20" w:after="20" w:line="240" w:lineRule="auto"/>
              <w:jc w:val="center"/>
            </w:pPr>
            <w:r>
              <w:t xml:space="preserve">300</w:t>
            </w:r>
          </w:p>
        </w:tc>
        <w:tc>
          <w:tcPr/>
          <w:p>
            <w:pPr>
              <w:pStyle w:val="Compact"/>
              <w:spacing w:before="20" w:after="20" w:line="240" w:lineRule="auto"/>
              <w:jc w:val="center"/>
            </w:pPr>
            <w:r>
              <w:t xml:space="preserve">0.2036</w:t>
            </w:r>
          </w:p>
        </w:tc>
      </w:tr>
      <w:tr>
        <w:tc>
          <w:tcPr/>
          <w:p>
            <w:pPr>
              <w:pStyle w:val="Compact"/>
              <w:spacing w:before="20" w:after="20" w:line="240" w:lineRule="auto"/>
              <w:jc w:val="center"/>
            </w:pPr>
            <w:r>
              <w:t xml:space="preserve">缩尾处理</w:t>
            </w:r>
          </w:p>
        </w:tc>
        <w:tc>
          <w:tcPr/>
          <w:p>
            <w:pPr>
              <w:pStyle w:val="Compact"/>
              <w:spacing w:before="20" w:after="20" w:line="240" w:lineRule="auto"/>
              <w:jc w:val="center"/>
            </w:pPr>
            <w:r>
              <w:t xml:space="preserve">−0.0818**（−2.1575）</w:t>
            </w:r>
          </w:p>
        </w:tc>
        <w:tc>
          <w:tcPr/>
          <w:p>
            <w:pPr>
              <w:pStyle w:val="Compact"/>
              <w:spacing w:before="20" w:after="20" w:line="240" w:lineRule="auto"/>
              <w:jc w:val="center"/>
            </w:pPr>
            <w:r>
              <w:t xml:space="preserve">0.0701***（4.2282）</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0.2197</w:t>
            </w:r>
          </w:p>
        </w:tc>
      </w:tr>
      <w:tr>
        <w:tc>
          <w:tcPr/>
          <w:p>
            <w:pPr>
              <w:pStyle w:val="Compact"/>
              <w:spacing w:before="20" w:after="20" w:line="240" w:lineRule="auto"/>
              <w:jc w:val="center"/>
            </w:pPr>
            <w:r>
              <w:t xml:space="preserve">替换被解释变量</w:t>
            </w:r>
          </w:p>
        </w:tc>
        <w:tc>
          <w:tcPr/>
          <w:p>
            <w:pPr>
              <w:pStyle w:val="Compact"/>
              <w:spacing w:before="20" w:after="20" w:line="240" w:lineRule="auto"/>
              <w:jc w:val="center"/>
            </w:pPr>
            <w:r>
              <w:t xml:space="preserve">−0.5448（−0.8804）</w:t>
            </w:r>
          </w:p>
        </w:tc>
        <w:tc>
          <w:tcPr/>
          <w:p>
            <w:pPr>
              <w:pStyle w:val="Compact"/>
              <w:spacing w:before="20" w:after="20" w:line="240" w:lineRule="auto"/>
              <w:jc w:val="center"/>
            </w:pPr>
            <w:r>
              <w:t xml:space="preserve">0.3643**（2.2603）</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0.0649</w:t>
            </w:r>
          </w:p>
        </w:tc>
      </w:tr>
    </w:tbl>
    <w:p>
      <w:pPr>
        <w:pStyle w:val="TableNote"/>
      </w:pPr>
      <w:r>
        <w:t xml:space="preserve">注：第一行为对同一模型的重新参数化，其拟合优度与基准设定一致，此处报告以说明变量标准化处理不影响系数的符号与显著性。</w:t>
      </w:r>
    </w:p>
    <w:bookmarkEnd w:id="38"/>
    <w:bookmarkStart w:id="39" w:name="内生性检验"/>
    <w:p>
      <w:pPr>
        <w:pStyle w:val="Heading2"/>
      </w:pPr>
      <w:r>
        <w:t xml:space="preserve">3.4 内生性检验</w:t>
      </w:r>
    </w:p>
    <w:p>
      <w:pPr>
        <w:pStyle w:val="FirstParagraph"/>
      </w:pPr>
      <w:r>
        <w:t xml:space="preserve">人工智能应用与青年就业之间可能存在双向因果：青年劳动力供给相对短缺的地区，企业采用机器人替代人工的动机更强。为此，本文构造两个工具变量：一是参照Bartik类工具变量的思路，以美国同期机器人渗透度与本省基期制造业就业份额的交乘项（</w:t>
      </w:r>
      <m:oMath>
        <m:r>
          <m:t>i</m:t>
        </m:r>
        <m:sSub>
          <m:e>
            <m:r>
              <m:t>v</m:t>
            </m:r>
          </m:e>
          <m:sub>
            <m:r>
              <m:t>1</m:t>
            </m:r>
          </m:sub>
        </m:sSub>
      </m:oMath>
      <w:r>
        <w:t xml:space="preserve">）作为外生的技术冲击；二是以基期装备制造业产值占比与全国机器人装机量的交乘项（</w:t>
      </w:r>
      <m:oMath>
        <m:r>
          <m:t>i</m:t>
        </m:r>
        <m:sSub>
          <m:e>
            <m:r>
              <m:t>v</m:t>
            </m:r>
          </m:e>
          <m:sub>
            <m:r>
              <m:t>2</m:t>
            </m:r>
          </m:sub>
        </m:sSub>
      </m:oMath>
      <w:r>
        <w:t xml:space="preserve">）度量技术采纳的产业基础。两个工具变量均通过影响技术采纳成本与产业适配性作用于本省机器人渗透度，而不直接影响当期青年就业。</w:t>
      </w:r>
    </w:p>
    <w:p>
      <w:pPr>
        <w:pStyle w:val="BodyText"/>
      </w:pPr>
      <w:r>
        <w:t xml:space="preserve">表5报告了内生性检验结果。列（1）为第一阶段回归，两个工具变量的系数均在1%的水平上显著为正，工具变量联合显著性的Wald统计量为33.4179，对应的</w:t>
      </w:r>
      <w:r>
        <w:rPr>
          <w:iCs/>
          <w:i/>
        </w:rPr>
        <w:t xml:space="preserve">F</w:t>
      </w:r>
      <w:r>
        <w:t xml:space="preserve">形式统计量为16.71，高于Stock-Yogo弱工具变量检验在两个工具变量情形下10%偏误水平的临界值，不存在明显的弱工具变量问题；Sargan过度识别检验的</w:t>
      </w:r>
      <w:r>
        <w:rPr>
          <w:iCs/>
          <w:i/>
        </w:rPr>
        <w:t xml:space="preserve">P</w:t>
      </w:r>
      <w:r>
        <w:t xml:space="preserve">值为0.8074，无法拒绝工具变量外生的原假设。列（2）为线性设定下的两阶段最小二乘估计，系数为0.0448且不显著，与线性设定的普通最小二乘结果一致，再次印证了线性设定下替代与创造效应相互抵消的判断。由于两阶段最小二乘法难以有效识别含二次项的非线性关系，列（3）进一步采用控制函数法：先将人工智能应用水平对工具变量与外生变量回归得到广义残差，再将其纳入含二次项的模型中，标准误由省份层面整群自助法（400次）校正。结果显示，广义残差项的系数在5%的水平上显著，表明确实存在内生性；一次项系数为−0.8008、二次项系数为0.1048，均在1%的水平上显著，U型关系在控制内生性后依然成立。需要说明的是，受工具变量在双向固定效应下解释力有限的影响，控制函数法估计的一次项绝对值明显放大，据此推算的拐点将超出样本取值范围，故本文关于拐点位置的判断仍以基准回归结果为准，控制函数法的价值在于确认U型的凸性特征不受内生性干扰。</w:t>
      </w:r>
    </w:p>
    <w:p>
      <w:pPr>
        <w:pStyle w:val="TableCaption"/>
      </w:pPr>
      <w:r>
        <w:t xml:space="preserve">表5 内生性检验结果</w:t>
      </w:r>
    </w:p>
    <w:tbl>
      <w:tblPr>
        <w:tblStyle w:val="Table"/>
        <w:jc w:val="center"/>
        <w:tblLook w:firstRow="1" w:lastRow="0" w:firstColumn="0" w:lastColumn="0" w:noHBand="0" w:noVBand="0" w:val="0020"/>
        <w:tblCaption w:val="表5 内生性检验结果"/>
        <w:tblW w:w="5000" w:type="pct"/>
        <w:tblLayout w:type="autofit"/>
      </w:tblPr>
      <w:tblGrid>
        <w:gridCol w:w="1980"/>
        <w:gridCol w:w="1980"/>
        <w:gridCol w:w="1980"/>
        <w:gridCol w:w="1980"/>
      </w:tblGrid>
      <w:tr>
        <w:trPr>
          <w:tblHeader w:val="true"/>
        </w:trPr>
        <w:tc>
          <w:tcPr/>
          <w:p>
            <w:pPr>
              <w:pStyle w:val="Compact"/>
              <w:spacing w:before="20" w:after="20" w:line="240" w:lineRule="auto"/>
              <w:jc w:val="center"/>
            </w:pPr>
            <w:r>
              <w:t xml:space="preserve">变量</w:t>
            </w:r>
          </w:p>
        </w:tc>
        <w:tc>
          <w:tcPr/>
          <w:p>
            <w:pPr>
              <w:pStyle w:val="Compact"/>
              <w:spacing w:before="20" w:after="20" w:line="240" w:lineRule="auto"/>
              <w:jc w:val="center"/>
            </w:pPr>
            <w:r>
              <w:t xml:space="preserve">（1）第一阶段：</w:t>
            </w:r>
            <w:r>
              <w:rPr>
                <w:iCs/>
                <w:i/>
              </w:rPr>
              <w:t xml:space="preserve">ai</w:t>
            </w:r>
          </w:p>
        </w:tc>
        <w:tc>
          <w:tcPr/>
          <w:p>
            <w:pPr>
              <w:pStyle w:val="Compact"/>
              <w:spacing w:before="20" w:after="20" w:line="240" w:lineRule="auto"/>
              <w:jc w:val="center"/>
            </w:pPr>
            <w:r>
              <w:t xml:space="preserve">（2）线性2SLS</w:t>
            </w:r>
          </w:p>
        </w:tc>
        <w:tc>
          <w:tcPr/>
          <w:p>
            <w:pPr>
              <w:pStyle w:val="Compact"/>
              <w:spacing w:before="20" w:after="20" w:line="240" w:lineRule="auto"/>
              <w:jc w:val="center"/>
            </w:pPr>
            <w:r>
              <w:t xml:space="preserve">（3）控制函数法</w:t>
            </w:r>
          </w:p>
        </w:tc>
      </w:tr>
      <w:tr>
        <w:tc>
          <w:tcPr/>
          <w:p>
            <w:pPr>
              <w:pStyle w:val="Compact"/>
              <w:spacing w:before="20" w:after="20" w:line="240" w:lineRule="auto"/>
              <w:jc w:val="center"/>
            </w:pPr>
            <m:oMath>
              <m:r>
                <m:t>i</m:t>
              </m:r>
              <m:sSub>
                <m:e>
                  <m:r>
                    <m:t>v</m:t>
                  </m:r>
                </m:e>
                <m:sub>
                  <m:r>
                    <m:t>1</m:t>
                  </m:r>
                </m:sub>
              </m:sSub>
            </m:oMath>
          </w:p>
        </w:tc>
        <w:tc>
          <w:tcPr/>
          <w:p>
            <w:pPr>
              <w:pStyle w:val="Compact"/>
              <w:spacing w:before="20" w:after="20" w:line="240" w:lineRule="auto"/>
              <w:jc w:val="center"/>
            </w:pPr>
            <w:r>
              <w:t xml:space="preserve">0.0157***（2.8214）</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m:oMath>
              <m:r>
                <m:t>i</m:t>
              </m:r>
              <m:sSub>
                <m:e>
                  <m:r>
                    <m:t>v</m:t>
                  </m:r>
                </m:e>
                <m:sub>
                  <m:r>
                    <m:t>2</m:t>
                  </m:r>
                </m:sub>
              </m:sSub>
            </m:oMath>
          </w:p>
        </w:tc>
        <w:tc>
          <w:tcPr/>
          <w:p>
            <w:pPr>
              <w:pStyle w:val="Compact"/>
              <w:spacing w:before="20" w:after="20" w:line="240" w:lineRule="auto"/>
              <w:jc w:val="center"/>
            </w:pPr>
            <w:r>
              <w:t xml:space="preserve">0.0713***（2.8858）</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ai</w:t>
            </w:r>
          </w:p>
        </w:tc>
        <w:tc>
          <w:tcPr/>
          <w:p>
            <w:pPr>
              <w:pStyle w:val="Compact"/>
              <w:spacing w:before="20" w:after="20" w:line="240" w:lineRule="auto"/>
              <w:jc w:val="center"/>
            </w:pPr>
          </w:p>
        </w:tc>
        <w:tc>
          <w:tcPr/>
          <w:p>
            <w:pPr>
              <w:pStyle w:val="Compact"/>
              <w:spacing w:before="20" w:after="20" w:line="240" w:lineRule="auto"/>
              <w:jc w:val="center"/>
            </w:pPr>
            <w:r>
              <w:t xml:space="preserve">0.0448（0.2416）</w:t>
            </w:r>
          </w:p>
        </w:tc>
        <w:tc>
          <w:tcPr/>
          <w:p>
            <w:pPr>
              <w:pStyle w:val="Compact"/>
              <w:spacing w:before="20" w:after="20" w:line="240" w:lineRule="auto"/>
              <w:jc w:val="center"/>
            </w:pPr>
            <w:r>
              <w:t xml:space="preserve">−0.8008***（−2.7127）</w:t>
            </w:r>
          </w:p>
        </w:tc>
      </w:tr>
      <w:tr>
        <w:tc>
          <w:tcPr/>
          <w:p>
            <w:pPr>
              <w:pStyle w:val="Compact"/>
              <w:spacing w:before="20" w:after="20" w:line="240" w:lineRule="auto"/>
              <w:jc w:val="center"/>
            </w:pPr>
            <m:oMath>
              <m:sSup>
                <m:e>
                  <m:r>
                    <m:rPr>
                      <m:sty m:val="p"/>
                    </m:rPr>
                    <m:t>ai</m:t>
                  </m:r>
                </m:e>
                <m:sup>
                  <m:r>
                    <m:t>2</m:t>
                  </m:r>
                </m:sup>
              </m:sSup>
            </m:oMath>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0.1048***（5.0088）</w:t>
            </w:r>
          </w:p>
        </w:tc>
      </w:tr>
      <w:tr>
        <w:tc>
          <w:tcPr/>
          <w:p>
            <w:pPr>
              <w:pStyle w:val="Compact"/>
              <w:spacing w:before="20" w:after="20" w:line="240" w:lineRule="auto"/>
              <w:jc w:val="center"/>
            </w:pPr>
            <w:r>
              <w:t xml:space="preserve">广义残差</w:t>
            </w:r>
            <m:oMath>
              <m:acc>
                <m:accPr>
                  <m:chr m:val="̂"/>
                </m:accPr>
                <m:e>
                  <m:r>
                    <m:t>v</m:t>
                  </m:r>
                </m:e>
              </m:acc>
            </m:oMath>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0.7172**（2.5687）</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双向固定效应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工具变量联合Wald统计量</w:t>
            </w:r>
          </w:p>
        </w:tc>
        <w:tc>
          <w:tcPr/>
          <w:p>
            <w:pPr>
              <w:pStyle w:val="Compact"/>
              <w:spacing w:before="20" w:after="20" w:line="240" w:lineRule="auto"/>
              <w:jc w:val="center"/>
            </w:pPr>
            <w:r>
              <w:t xml:space="preserve">33.4179</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r>
              <w:t xml:space="preserve">Sargan统计量［</w:t>
            </w:r>
            <w:r>
              <w:rPr>
                <w:iCs/>
                <w:i/>
              </w:rPr>
              <w:t xml:space="preserve">P</w:t>
            </w:r>
            <w:r>
              <w:t xml:space="preserve">值］</w:t>
            </w:r>
          </w:p>
        </w:tc>
        <w:tc>
          <w:tcPr/>
          <w:p>
            <w:pPr>
              <w:pStyle w:val="Compact"/>
              <w:spacing w:before="20" w:after="20" w:line="240" w:lineRule="auto"/>
              <w:jc w:val="center"/>
            </w:pPr>
          </w:p>
        </w:tc>
        <w:tc>
          <w:tcPr/>
          <w:p>
            <w:pPr>
              <w:pStyle w:val="Compact"/>
              <w:spacing w:before="20" w:after="20" w:line="240" w:lineRule="auto"/>
              <w:jc w:val="center"/>
            </w:pPr>
            <w:r>
              <w:t xml:space="preserve">0.0594［0.8074］</w:t>
            </w: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r>
    </w:tbl>
    <w:p>
      <w:pPr>
        <w:pStyle w:val="TableNote"/>
      </w:pPr>
      <w:r>
        <w:t xml:space="preserve">注：列（3）的标准误由省份层面整群自助法反复抽样400次校正后得到。</w:t>
      </w:r>
    </w:p>
    <w:bookmarkEnd w:id="39"/>
    <w:bookmarkStart w:id="40" w:name="作用机制检验"/>
    <w:p>
      <w:pPr>
        <w:pStyle w:val="Heading2"/>
      </w:pPr>
      <w:r>
        <w:t xml:space="preserve">3.5 作用机制检验</w:t>
      </w:r>
    </w:p>
    <w:p>
      <w:pPr>
        <w:pStyle w:val="FirstParagraph"/>
      </w:pPr>
      <w:r>
        <w:t xml:space="preserve">表6报告了三条渠道的机制检验结果。列（1）显示，人工智能应用使常规任务岗位占比显著下降3.4507个百分点；列（2）显示，常规任务岗位占比的系数为0.0083且在1%的水平上显著，说明常规任务岗位是青年就业的重要载体，其占比下降会相应减少青年就业。二者相乘得到的间接效应为−0.0287，方向为负，即人工智能通过替代常规任务岗位抑制青年就业，假设2得到验证。列（3）与列（4）显示，人工智能应用使新兴数字职业占比显著提高2.5154个百分点，而后者对青年就业规模的影响系数为0.0111且在1%的水平上显著，间接效应为+0.0280，创造渠道成立，假设3得到验证。列（5）与列（6）显示，人工智能应用显著改善了人岗技能匹配度，匹配度提升进而促进青年就业，间接效应为+0.0158，假设4得到验证。比较三条渠道可知，替代渠道的负向间接效应与创造渠道的正向间接效应量级相当，净效应的方向取决于二者的相对强弱，这为基准回归中U型关系的形成提供了机制层面的解释。需要说明的是，三条渠道系分别估计，中介变量之间存在相关性，各渠道的间接效应不宜直接加总。</w:t>
      </w:r>
    </w:p>
    <w:p>
      <w:pPr>
        <w:pStyle w:val="TableCaption"/>
      </w:pPr>
      <w:r>
        <w:t xml:space="preserve">表6 作用机制检验结果</w:t>
      </w:r>
    </w:p>
    <w:tbl>
      <w:tblPr>
        <w:tblStyle w:val="Table"/>
        <w:jc w:val="center"/>
        <w:tblLook w:firstRow="1" w:lastRow="0" w:firstColumn="0" w:lastColumn="0" w:noHBand="0" w:noVBand="0" w:val="0020"/>
        <w:tblCaption w:val="表6 作用机制检验结果"/>
        <w:tblW w:w="5000" w:type="pct"/>
        <w:tblLayout w:type="autofit"/>
      </w:tblPr>
      <w:tblGrid>
        <w:gridCol w:w="1131"/>
        <w:gridCol w:w="1131"/>
        <w:gridCol w:w="1131"/>
        <w:gridCol w:w="1131"/>
        <w:gridCol w:w="1131"/>
        <w:gridCol w:w="1131"/>
        <w:gridCol w:w="1131"/>
      </w:tblGrid>
      <w:tr>
        <w:trPr>
          <w:tblHeader w:val="true"/>
        </w:trPr>
        <w:tc>
          <w:tcPr/>
          <w:p>
            <w:pPr>
              <w:pStyle w:val="Compact"/>
              <w:spacing w:before="20" w:after="20" w:line="240" w:lineRule="auto"/>
              <w:jc w:val="center"/>
            </w:pPr>
          </w:p>
        </w:tc>
        <w:tc>
          <w:tcPr/>
          <w:p>
            <w:pPr>
              <w:pStyle w:val="Compact"/>
              <w:spacing w:before="20" w:after="20" w:line="240" w:lineRule="auto"/>
              <w:jc w:val="center"/>
            </w:pPr>
            <w:r>
              <w:t xml:space="preserve">（1）</w:t>
            </w:r>
            <w:r>
              <w:rPr>
                <w:iCs/>
                <w:i/>
              </w:rPr>
              <w:t xml:space="preserve">routine</w:t>
            </w:r>
          </w:p>
        </w:tc>
        <w:tc>
          <w:tcPr/>
          <w:p>
            <w:pPr>
              <w:pStyle w:val="Compact"/>
              <w:spacing w:before="20" w:after="20" w:line="240" w:lineRule="auto"/>
              <w:jc w:val="center"/>
            </w:pPr>
            <w:r>
              <w:t xml:space="preserve">（2）</w:t>
            </w:r>
            <w:r>
              <w:rPr>
                <w:iCs/>
                <w:i/>
              </w:rPr>
              <w:t xml:space="preserve">lnyemp</w:t>
            </w:r>
          </w:p>
        </w:tc>
        <w:tc>
          <w:tcPr/>
          <w:p>
            <w:pPr>
              <w:pStyle w:val="Compact"/>
              <w:spacing w:before="20" w:after="20" w:line="240" w:lineRule="auto"/>
              <w:jc w:val="center"/>
            </w:pPr>
            <w:r>
              <w:t xml:space="preserve">（3）</w:t>
            </w:r>
            <w:r>
              <w:rPr>
                <w:iCs/>
                <w:i/>
              </w:rPr>
              <w:t xml:space="preserve">newjob</w:t>
            </w:r>
          </w:p>
        </w:tc>
        <w:tc>
          <w:tcPr/>
          <w:p>
            <w:pPr>
              <w:pStyle w:val="Compact"/>
              <w:spacing w:before="20" w:after="20" w:line="240" w:lineRule="auto"/>
              <w:jc w:val="center"/>
            </w:pPr>
            <w:r>
              <w:t xml:space="preserve">（4）</w:t>
            </w:r>
            <w:r>
              <w:rPr>
                <w:iCs/>
                <w:i/>
              </w:rPr>
              <w:t xml:space="preserve">lnyemp</w:t>
            </w:r>
          </w:p>
        </w:tc>
        <w:tc>
          <w:tcPr/>
          <w:p>
            <w:pPr>
              <w:pStyle w:val="Compact"/>
              <w:spacing w:before="20" w:after="20" w:line="240" w:lineRule="auto"/>
              <w:jc w:val="center"/>
            </w:pPr>
            <w:r>
              <w:t xml:space="preserve">（5）</w:t>
            </w:r>
            <w:r>
              <w:rPr>
                <w:iCs/>
                <w:i/>
              </w:rPr>
              <w:t xml:space="preserve">match</w:t>
            </w:r>
          </w:p>
        </w:tc>
        <w:tc>
          <w:tcPr/>
          <w:p>
            <w:pPr>
              <w:pStyle w:val="Compact"/>
              <w:spacing w:before="20" w:after="20" w:line="240" w:lineRule="auto"/>
              <w:jc w:val="center"/>
            </w:pPr>
            <w:r>
              <w:t xml:space="preserve">（6）</w:t>
            </w:r>
            <w:r>
              <w:rPr>
                <w:iCs/>
                <w:i/>
              </w:rPr>
              <w:t xml:space="preserve">lnyemp</w:t>
            </w:r>
          </w:p>
        </w:tc>
      </w:tr>
      <w:tr>
        <w:tc>
          <w:tcPr/>
          <w:p>
            <w:pPr>
              <w:pStyle w:val="Compact"/>
              <w:spacing w:before="20" w:after="20" w:line="240" w:lineRule="auto"/>
              <w:jc w:val="center"/>
            </w:pPr>
            <w:r>
              <w:rPr>
                <w:iCs/>
                <w:i/>
              </w:rPr>
              <w:t xml:space="preserve">ai</w:t>
            </w:r>
          </w:p>
        </w:tc>
        <w:tc>
          <w:tcPr/>
          <w:p>
            <w:pPr>
              <w:pStyle w:val="Compact"/>
              <w:spacing w:before="20" w:after="20" w:line="240" w:lineRule="auto"/>
              <w:jc w:val="center"/>
            </w:pPr>
            <w:r>
              <w:t xml:space="preserve">−3.4507***</w:t>
            </w:r>
          </w:p>
        </w:tc>
        <w:tc>
          <w:tcPr/>
          <w:p>
            <w:pPr>
              <w:pStyle w:val="Compact"/>
              <w:spacing w:before="20" w:after="20" w:line="240" w:lineRule="auto"/>
              <w:jc w:val="center"/>
            </w:pPr>
            <w:r>
              <w:t xml:space="preserve">0.0528*</w:t>
            </w:r>
          </w:p>
        </w:tc>
        <w:tc>
          <w:tcPr/>
          <w:p>
            <w:pPr>
              <w:pStyle w:val="Compact"/>
              <w:spacing w:before="20" w:after="20" w:line="240" w:lineRule="auto"/>
              <w:jc w:val="center"/>
            </w:pPr>
            <w:r>
              <w:t xml:space="preserve">2.5154***</w:t>
            </w:r>
          </w:p>
        </w:tc>
        <w:tc>
          <w:tcPr/>
          <w:p>
            <w:pPr>
              <w:pStyle w:val="Compact"/>
              <w:spacing w:before="20" w:after="20" w:line="240" w:lineRule="auto"/>
              <w:jc w:val="center"/>
            </w:pPr>
            <w:r>
              <w:t xml:space="preserve">−0.0038</w:t>
            </w:r>
          </w:p>
        </w:tc>
        <w:tc>
          <w:tcPr/>
          <w:p>
            <w:pPr>
              <w:pStyle w:val="Compact"/>
              <w:spacing w:before="20" w:after="20" w:line="240" w:lineRule="auto"/>
              <w:jc w:val="center"/>
            </w:pPr>
            <w:r>
              <w:t xml:space="preserve">0.1062**</w:t>
            </w:r>
          </w:p>
        </w:tc>
        <w:tc>
          <w:tcPr/>
          <w:p>
            <w:pPr>
              <w:pStyle w:val="Compact"/>
              <w:spacing w:before="20" w:after="20" w:line="240" w:lineRule="auto"/>
              <w:jc w:val="center"/>
            </w:pPr>
            <w:r>
              <w:t xml:space="preserve">0.0084</w:t>
            </w:r>
          </w:p>
        </w:tc>
      </w:tr>
      <w:tr>
        <w:tc>
          <w:tcPr/>
          <w:p>
            <w:pPr>
              <w:pStyle w:val="Compact"/>
              <w:spacing w:before="20" w:after="20" w:line="240" w:lineRule="auto"/>
              <w:jc w:val="center"/>
            </w:pPr>
          </w:p>
        </w:tc>
        <w:tc>
          <w:tcPr/>
          <w:p>
            <w:pPr>
              <w:pStyle w:val="Compact"/>
              <w:spacing w:before="20" w:after="20" w:line="240" w:lineRule="auto"/>
              <w:jc w:val="center"/>
            </w:pPr>
            <w:r>
              <w:t xml:space="preserve">（−4.3554）</w:t>
            </w:r>
          </w:p>
        </w:tc>
        <w:tc>
          <w:tcPr/>
          <w:p>
            <w:pPr>
              <w:pStyle w:val="Compact"/>
              <w:spacing w:before="20" w:after="20" w:line="240" w:lineRule="auto"/>
              <w:jc w:val="center"/>
            </w:pPr>
            <w:r>
              <w:t xml:space="preserve">（1.7477）</w:t>
            </w:r>
          </w:p>
        </w:tc>
        <w:tc>
          <w:tcPr/>
          <w:p>
            <w:pPr>
              <w:pStyle w:val="Compact"/>
              <w:spacing w:before="20" w:after="20" w:line="240" w:lineRule="auto"/>
              <w:jc w:val="center"/>
            </w:pPr>
            <w:r>
              <w:t xml:space="preserve">（3.7972）</w:t>
            </w:r>
          </w:p>
        </w:tc>
        <w:tc>
          <w:tcPr/>
          <w:p>
            <w:pPr>
              <w:pStyle w:val="Compact"/>
              <w:spacing w:before="20" w:after="20" w:line="240" w:lineRule="auto"/>
              <w:jc w:val="center"/>
            </w:pPr>
            <w:r>
              <w:t xml:space="preserve">（−0.1141）</w:t>
            </w:r>
          </w:p>
        </w:tc>
        <w:tc>
          <w:tcPr/>
          <w:p>
            <w:pPr>
              <w:pStyle w:val="Compact"/>
              <w:spacing w:before="20" w:after="20" w:line="240" w:lineRule="auto"/>
              <w:jc w:val="center"/>
            </w:pPr>
            <w:r>
              <w:t xml:space="preserve">（2.3047）</w:t>
            </w:r>
          </w:p>
        </w:tc>
        <w:tc>
          <w:tcPr/>
          <w:p>
            <w:pPr>
              <w:pStyle w:val="Compact"/>
              <w:spacing w:before="20" w:after="20" w:line="240" w:lineRule="auto"/>
              <w:jc w:val="center"/>
            </w:pPr>
            <w:r>
              <w:t xml:space="preserve">（0.2259）</w:t>
            </w:r>
          </w:p>
        </w:tc>
      </w:tr>
      <w:tr>
        <w:tc>
          <w:tcPr/>
          <w:p>
            <w:pPr>
              <w:pStyle w:val="Compact"/>
              <w:spacing w:before="20" w:after="20" w:line="240" w:lineRule="auto"/>
              <w:jc w:val="center"/>
            </w:pPr>
            <w:r>
              <w:rPr>
                <w:iCs/>
                <w:i/>
              </w:rPr>
              <w:t xml:space="preserve">routine</w:t>
            </w:r>
          </w:p>
        </w:tc>
        <w:tc>
          <w:tcPr/>
          <w:p>
            <w:pPr>
              <w:pStyle w:val="Compact"/>
              <w:spacing w:before="20" w:after="20" w:line="240" w:lineRule="auto"/>
              <w:jc w:val="center"/>
            </w:pPr>
          </w:p>
        </w:tc>
        <w:tc>
          <w:tcPr/>
          <w:p>
            <w:pPr>
              <w:pStyle w:val="Compact"/>
              <w:spacing w:before="20" w:after="20" w:line="240" w:lineRule="auto"/>
              <w:jc w:val="center"/>
            </w:pPr>
            <w:r>
              <w:t xml:space="preserve">0.0083***</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（3.8113）</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newjob</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0.0111***</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（3.4758）</w:t>
            </w:r>
          </w:p>
        </w:tc>
        <w:tc>
          <w:tcPr/>
          <w:p>
            <w:pPr>
              <w:pStyle w:val="Compact"/>
              <w:spacing w:before="20" w:after="20" w:line="240" w:lineRule="auto"/>
              <w:jc w:val="center"/>
            </w:pPr>
          </w:p>
        </w:tc>
        <w:tc>
          <w:tcPr/>
          <w:p>
            <w:pPr>
              <w:pStyle w:val="Compact"/>
              <w:spacing w:before="20" w:after="20" w:line="240" w:lineRule="auto"/>
              <w:jc w:val="center"/>
            </w:pPr>
          </w:p>
        </w:tc>
      </w:tr>
      <w:tr>
        <w:tc>
          <w:tcPr/>
          <w:p>
            <w:pPr>
              <w:pStyle w:val="Compact"/>
              <w:spacing w:before="20" w:after="20" w:line="240" w:lineRule="auto"/>
              <w:jc w:val="center"/>
            </w:pPr>
            <w:r>
              <w:rPr>
                <w:iCs/>
                <w:i/>
              </w:rPr>
              <w:t xml:space="preserve">match</w:t>
            </w: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0.1484**</w:t>
            </w:r>
          </w:p>
        </w:tc>
      </w:tr>
      <w:tr>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p>
        </w:tc>
        <w:tc>
          <w:tcPr/>
          <w:p>
            <w:pPr>
              <w:pStyle w:val="Compact"/>
              <w:spacing w:before="20" w:after="20" w:line="240" w:lineRule="auto"/>
              <w:jc w:val="center"/>
            </w:pPr>
            <w:r>
              <w:t xml:space="preserve">（2.0847）</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双向固定效应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r>
      <w:tr>
        <w:tc>
          <w:tcPr/>
          <w:p>
            <w:pPr>
              <w:pStyle w:val="Compact"/>
              <w:spacing w:before="20" w:after="20" w:line="240" w:lineRule="auto"/>
              <w:jc w:val="center"/>
            </w:pPr>
            <m:oMath>
              <m:sSup>
                <m:e>
                  <m:r>
                    <m:t>R</m:t>
                  </m:r>
                </m:e>
                <m:sup>
                  <m:r>
                    <m:t>2</m:t>
                  </m:r>
                </m:sup>
              </m:sSup>
            </m:oMath>
          </w:p>
        </w:tc>
        <w:tc>
          <w:tcPr/>
          <w:p>
            <w:pPr>
              <w:pStyle w:val="Compact"/>
              <w:spacing w:before="20" w:after="20" w:line="240" w:lineRule="auto"/>
              <w:jc w:val="center"/>
            </w:pPr>
            <w:r>
              <w:t xml:space="preserve">0.0607</w:t>
            </w:r>
          </w:p>
        </w:tc>
        <w:tc>
          <w:tcPr/>
          <w:p>
            <w:pPr>
              <w:pStyle w:val="Compact"/>
              <w:spacing w:before="20" w:after="20" w:line="240" w:lineRule="auto"/>
              <w:jc w:val="center"/>
            </w:pPr>
            <w:r>
              <w:t xml:space="preserve">0.1260</w:t>
            </w:r>
          </w:p>
        </w:tc>
        <w:tc>
          <w:tcPr/>
          <w:p>
            <w:pPr>
              <w:pStyle w:val="Compact"/>
              <w:spacing w:before="20" w:after="20" w:line="240" w:lineRule="auto"/>
              <w:jc w:val="center"/>
            </w:pPr>
            <w:r>
              <w:t xml:space="preserve">0.0645</w:t>
            </w:r>
          </w:p>
        </w:tc>
        <w:tc>
          <w:tcPr/>
          <w:p>
            <w:pPr>
              <w:pStyle w:val="Compact"/>
              <w:spacing w:before="20" w:after="20" w:line="240" w:lineRule="auto"/>
              <w:jc w:val="center"/>
            </w:pPr>
            <w:r>
              <w:t xml:space="preserve">0.1297</w:t>
            </w:r>
          </w:p>
        </w:tc>
        <w:tc>
          <w:tcPr/>
          <w:p>
            <w:pPr>
              <w:pStyle w:val="Compact"/>
              <w:spacing w:before="20" w:after="20" w:line="240" w:lineRule="auto"/>
              <w:jc w:val="center"/>
            </w:pPr>
            <w:r>
              <w:t xml:space="preserve">0.0519</w:t>
            </w:r>
          </w:p>
        </w:tc>
        <w:tc>
          <w:tcPr/>
          <w:p>
            <w:pPr>
              <w:pStyle w:val="Compact"/>
              <w:spacing w:before="20" w:after="20" w:line="240" w:lineRule="auto"/>
              <w:jc w:val="center"/>
            </w:pPr>
            <w:r>
              <w:t xml:space="preserve">0.0976</w:t>
            </w:r>
          </w:p>
        </w:tc>
      </w:tr>
    </w:tbl>
    <w:p>
      <w:pPr>
        <w:pStyle w:val="TableNote"/>
      </w:pPr>
      <w:r>
        <w:t xml:space="preserve">注：列（2）、列（4）、列（6）中人工智能应用一次项的系数在纳入渠道变量后大幅收敛，说明三条渠道较为充分地解释了其对青年就业的传导路径。</w:t>
      </w:r>
    </w:p>
    <w:bookmarkEnd w:id="40"/>
    <w:bookmarkStart w:id="44" w:name="调节效应检验"/>
    <w:p>
      <w:pPr>
        <w:pStyle w:val="Heading2"/>
      </w:pPr>
      <w:r>
        <w:t xml:space="preserve">3.6 调节效应检验</w:t>
      </w:r>
    </w:p>
    <w:p>
      <w:pPr>
        <w:pStyle w:val="FirstParagraph"/>
      </w:pPr>
      <w:r>
        <w:t xml:space="preserve">表7报告了调节效应检验结果。列（1）显示，人工智能应用与教育发展水平交互项的系数为0.0556，在1%的水平上显著为正，表明教育发展水平越高，人工智能对青年就业的抑制作用越弱、促进作用越强。列（2）显示，人工智能应用与职业技能培训交互项的系数为0.0501，同样在1%的水平上显著为正。上述结果验证了假设5。图2（a）以教育发展水平的不同取值刻画了U型曲线形态的变化：在教育发展水平低于均值1个标准差的地区，曲线左半支下降更为陡峭，替代冲击更为剧烈；而在教育发展水平高于均值1个标准差的地区，下降段明显平缓且拐点相应左移，意味着这些地区能够更快地由替代主导阶段过渡至创造主导阶段。需要说明的是，由于模型仅纳入一次项与调节变量的交互项，上述结论针对的是曲线下降段斜率与拐点位置的变化，尚不足以识别调节变量对二次项即创造效应强度的影响。这一结果表明，人力资本积累与技能培训体系是青年抵御技术替代冲击、分享技术创造红利的关键缓冲机制。</w:t>
      </w:r>
    </w:p>
    <w:p>
      <w:pPr>
        <w:pStyle w:val="TableCaption"/>
      </w:pPr>
      <w:r>
        <w:t xml:space="preserve">表7 调节效应检验结果</w:t>
      </w:r>
    </w:p>
    <w:tbl>
      <w:tblPr>
        <w:tblStyle w:val="Table"/>
        <w:jc w:val="center"/>
        <w:tblLook w:firstRow="1" w:lastRow="0" w:firstColumn="0" w:lastColumn="0" w:noHBand="0" w:noVBand="0" w:val="0020"/>
        <w:tblCaption w:val="表7 调节效应检验结果"/>
        <w:tblW w:w="5000" w:type="pct"/>
        <w:tblLayout w:type="autofit"/>
      </w:tblPr>
      <w:tblGrid>
        <w:gridCol w:w="2640"/>
        <w:gridCol w:w="2640"/>
        <w:gridCol w:w="2640"/>
      </w:tblGrid>
      <w:tr>
        <w:trPr>
          <w:tblHeader w:val="true"/>
        </w:trPr>
        <w:tc>
          <w:tcPr/>
          <w:p>
            <w:pPr>
              <w:pStyle w:val="Compact"/>
              <w:spacing w:before="20" w:after="20" w:line="240" w:lineRule="auto"/>
              <w:jc w:val="center"/>
            </w:pPr>
          </w:p>
        </w:tc>
        <w:tc>
          <w:tcPr/>
          <w:p>
            <w:pPr>
              <w:pStyle w:val="Compact"/>
              <w:spacing w:before="20" w:after="20" w:line="240" w:lineRule="auto"/>
              <w:jc w:val="center"/>
            </w:pPr>
            <w:r>
              <w:t xml:space="preserve">（1）教育发展水平</w:t>
            </w:r>
          </w:p>
        </w:tc>
        <w:tc>
          <w:tcPr/>
          <w:p>
            <w:pPr>
              <w:pStyle w:val="Compact"/>
              <w:spacing w:before="20" w:after="20" w:line="240" w:lineRule="auto"/>
              <w:jc w:val="center"/>
            </w:pPr>
            <w:r>
              <w:t xml:space="preserve">（2）职业技能培训</w:t>
            </w:r>
          </w:p>
        </w:tc>
      </w:tr>
      <w:tr>
        <w:tc>
          <w:tcPr/>
          <w:p>
            <w:pPr>
              <w:pStyle w:val="Compact"/>
              <w:spacing w:before="20" w:after="20" w:line="240" w:lineRule="auto"/>
              <w:jc w:val="center"/>
            </w:pPr>
            <w:r>
              <w:rPr>
                <w:iCs/>
                <w:i/>
              </w:rPr>
              <w:t xml:space="preserve">ai</w:t>
            </w:r>
          </w:p>
        </w:tc>
        <w:tc>
          <w:tcPr/>
          <w:p>
            <w:pPr>
              <w:pStyle w:val="Compact"/>
              <w:spacing w:before="20" w:after="20" w:line="240" w:lineRule="auto"/>
              <w:jc w:val="center"/>
            </w:pPr>
            <w:r>
              <w:t xml:space="preserve">−0.0573**（−2.1348）</w:t>
            </w:r>
          </w:p>
        </w:tc>
        <w:tc>
          <w:tcPr/>
          <w:p>
            <w:pPr>
              <w:pStyle w:val="Compact"/>
              <w:spacing w:before="20" w:after="20" w:line="240" w:lineRule="auto"/>
              <w:jc w:val="center"/>
            </w:pPr>
            <w:r>
              <w:t xml:space="preserve">−0.0592**（−2.2845）</w:t>
            </w:r>
          </w:p>
        </w:tc>
      </w:tr>
      <w:tr>
        <w:tc>
          <w:tcPr/>
          <w:p>
            <w:pPr>
              <w:pStyle w:val="Compact"/>
              <w:spacing w:before="20" w:after="20" w:line="240" w:lineRule="auto"/>
              <w:jc w:val="center"/>
            </w:pPr>
            <m:oMath>
              <m:sSup>
                <m:e>
                  <m:r>
                    <m:rPr>
                      <m:sty m:val="p"/>
                    </m:rPr>
                    <m:t>ai</m:t>
                  </m:r>
                </m:e>
                <m:sup>
                  <m:r>
                    <m:t>2</m:t>
                  </m:r>
                </m:sup>
              </m:sSup>
            </m:oMath>
          </w:p>
        </w:tc>
        <w:tc>
          <w:tcPr/>
          <w:p>
            <w:pPr>
              <w:pStyle w:val="Compact"/>
              <w:spacing w:before="20" w:after="20" w:line="240" w:lineRule="auto"/>
              <w:jc w:val="center"/>
            </w:pPr>
            <w:r>
              <w:t xml:space="preserve">0.0340***（4.7019）</w:t>
            </w:r>
          </w:p>
        </w:tc>
        <w:tc>
          <w:tcPr/>
          <w:p>
            <w:pPr>
              <w:pStyle w:val="Compact"/>
              <w:spacing w:before="20" w:after="20" w:line="240" w:lineRule="auto"/>
              <w:jc w:val="center"/>
            </w:pPr>
            <w:r>
              <w:t xml:space="preserve">0.0439***（5.3087）</w:t>
            </w:r>
          </w:p>
        </w:tc>
      </w:tr>
      <w:tr>
        <w:tc>
          <w:tcPr/>
          <w:p>
            <w:pPr>
              <w:pStyle w:val="Compact"/>
              <w:spacing w:before="20" w:after="20" w:line="240" w:lineRule="auto"/>
              <w:jc w:val="center"/>
            </w:pPr>
            <w:r>
              <w:rPr>
                <w:iCs/>
                <w:i/>
              </w:rPr>
              <w:t xml:space="preserve">Z</w:t>
            </w:r>
          </w:p>
        </w:tc>
        <w:tc>
          <w:tcPr/>
          <w:p>
            <w:pPr>
              <w:pStyle w:val="Compact"/>
              <w:spacing w:before="20" w:after="20" w:line="240" w:lineRule="auto"/>
              <w:jc w:val="center"/>
            </w:pPr>
            <w:r>
              <w:t xml:space="preserve">0.0006（0.0482）</w:t>
            </w:r>
          </w:p>
        </w:tc>
        <w:tc>
          <w:tcPr/>
          <w:p>
            <w:pPr>
              <w:pStyle w:val="Compact"/>
              <w:spacing w:before="20" w:after="20" w:line="240" w:lineRule="auto"/>
              <w:jc w:val="center"/>
            </w:pPr>
            <w:r>
              <w:t xml:space="preserve">−0.0054（−0.6633）</w:t>
            </w:r>
          </w:p>
        </w:tc>
      </w:tr>
      <w:tr>
        <w:tc>
          <w:tcPr/>
          <w:p>
            <w:pPr>
              <w:pStyle w:val="Compact"/>
              <w:spacing w:before="20" w:after="20" w:line="240" w:lineRule="auto"/>
              <w:jc w:val="center"/>
            </w:pPr>
            <m:oMath>
              <m:r>
                <m:rPr>
                  <m:sty m:val="p"/>
                </m:rPr>
                <m:t>ai</m:t>
              </m:r>
              <m:r>
                <m:rPr>
                  <m:sty m:val="p"/>
                </m:rPr>
                <m:t>×</m:t>
              </m:r>
              <m:r>
                <m:t>Z</m:t>
              </m:r>
            </m:oMath>
          </w:p>
        </w:tc>
        <w:tc>
          <w:tcPr/>
          <w:p>
            <w:pPr>
              <w:pStyle w:val="Compact"/>
              <w:spacing w:before="20" w:after="20" w:line="240" w:lineRule="auto"/>
              <w:jc w:val="center"/>
            </w:pPr>
            <w:r>
              <w:t xml:space="preserve">0.0556***（14.6585）</w:t>
            </w:r>
          </w:p>
        </w:tc>
        <w:tc>
          <w:tcPr/>
          <w:p>
            <w:pPr>
              <w:pStyle w:val="Compact"/>
              <w:spacing w:before="20" w:after="20" w:line="240" w:lineRule="auto"/>
              <w:jc w:val="center"/>
            </w:pPr>
            <w:r>
              <w:t xml:space="preserve">0.0501***（12.9188）</w:t>
            </w:r>
          </w:p>
        </w:tc>
      </w:tr>
      <w:tr>
        <w:tc>
          <w:tcPr/>
          <w:p>
            <w:pPr>
              <w:pStyle w:val="Compact"/>
              <w:spacing w:before="20" w:after="20" w:line="240" w:lineRule="auto"/>
              <w:jc w:val="center"/>
            </w:pPr>
            <w:r>
              <w:t xml:space="preserve">控制变量</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t xml:space="preserve">双向固定效应</w:t>
            </w:r>
          </w:p>
        </w:tc>
        <w:tc>
          <w:tcPr/>
          <w:p>
            <w:pPr>
              <w:pStyle w:val="Compact"/>
              <w:spacing w:before="20" w:after="20" w:line="240" w:lineRule="auto"/>
              <w:jc w:val="center"/>
            </w:pPr>
            <w:r>
              <w:t xml:space="preserve">是</w:t>
            </w:r>
          </w:p>
        </w:tc>
        <w:tc>
          <w:tcPr/>
          <w:p>
            <w:pPr>
              <w:pStyle w:val="Compact"/>
              <w:spacing w:before="20" w:after="20" w:line="240" w:lineRule="auto"/>
              <w:jc w:val="center"/>
            </w:pPr>
            <w:r>
              <w:t xml:space="preserve">是</w:t>
            </w:r>
          </w:p>
        </w:tc>
      </w:tr>
      <w:tr>
        <w:tc>
          <w:tcPr/>
          <w:p>
            <w:pPr>
              <w:pStyle w:val="Compact"/>
              <w:spacing w:before="20" w:after="20" w:line="240" w:lineRule="auto"/>
              <w:jc w:val="center"/>
            </w:pPr>
            <w:r>
              <w:rPr>
                <w:iCs/>
                <w:i/>
              </w:rPr>
              <w:t xml:space="preserve">N</w:t>
            </w:r>
          </w:p>
        </w:tc>
        <w:tc>
          <w:tcPr/>
          <w:p>
            <w:pPr>
              <w:pStyle w:val="Compact"/>
              <w:spacing w:before="20" w:after="20" w:line="240" w:lineRule="auto"/>
              <w:jc w:val="center"/>
            </w:pPr>
            <w:r>
              <w:t xml:space="preserve">360</w:t>
            </w:r>
          </w:p>
        </w:tc>
        <w:tc>
          <w:tcPr/>
          <w:p>
            <w:pPr>
              <w:pStyle w:val="Compact"/>
              <w:spacing w:before="20" w:after="20" w:line="240" w:lineRule="auto"/>
              <w:jc w:val="center"/>
            </w:pPr>
            <w:r>
              <w:t xml:space="preserve">360</w:t>
            </w:r>
          </w:p>
        </w:tc>
      </w:tr>
      <w:tr>
        <w:tc>
          <w:tcPr/>
          <w:p>
            <w:pPr>
              <w:pStyle w:val="Compact"/>
              <w:spacing w:before="20" w:after="20" w:line="240" w:lineRule="auto"/>
              <w:jc w:val="center"/>
            </w:pPr>
            <m:oMath>
              <m:sSup>
                <m:e>
                  <m:r>
                    <m:t>R</m:t>
                  </m:r>
                </m:e>
                <m:sup>
                  <m:r>
                    <m:t>2</m:t>
                  </m:r>
                </m:sup>
              </m:sSup>
            </m:oMath>
          </w:p>
        </w:tc>
        <w:tc>
          <w:tcPr/>
          <w:p>
            <w:pPr>
              <w:pStyle w:val="Compact"/>
              <w:spacing w:before="20" w:after="20" w:line="240" w:lineRule="auto"/>
              <w:jc w:val="center"/>
            </w:pPr>
            <w:r>
              <w:t xml:space="preserve">0.4786</w:t>
            </w:r>
          </w:p>
        </w:tc>
        <w:tc>
          <w:tcPr/>
          <w:p>
            <w:pPr>
              <w:pStyle w:val="Compact"/>
              <w:spacing w:before="20" w:after="20" w:line="240" w:lineRule="auto"/>
              <w:jc w:val="center"/>
            </w:pPr>
            <w:r>
              <w:t xml:space="preserve">0.4862</w:t>
            </w:r>
          </w:p>
        </w:tc>
      </w:tr>
    </w:tbl>
    <w:p>
      <w:pPr>
        <w:pStyle w:val="TableNote"/>
      </w:pPr>
      <w:r>
        <w:t xml:space="preserve">注：</w:t>
      </w:r>
      <w:r>
        <w:rPr>
          <w:iCs/>
          <w:i/>
        </w:rPr>
        <w:t xml:space="preserve">Z</w:t>
      </w:r>
      <w:r>
        <w:t xml:space="preserve">表示调节变量，列（1）为教育发展水平，列（2）为职业技能培训，二者均已作中心化处理。</w:t>
      </w:r>
    </w:p>
    <w:p>
      <w:pPr>
        <w:pStyle w:val="CaptionedFigure"/>
      </w:pPr>
      <w:r>
        <w:drawing>
          <wp:inline>
            <wp:extent cx="5334000" cy="2053040"/>
            <wp:effectExtent b="0" l="0" r="0" t="0"/>
            <wp:docPr descr="图2 调节效应与分位数回归结果" title="" id="42" name="Picture"/>
            <a:graphic>
              <a:graphicData uri="http://schemas.openxmlformats.org/drawingml/2006/picture">
                <pic:pic>
                  <pic:nvPicPr>
                    <pic:cNvPr descr="p2_fig2.png" id="43" name="Picture"/>
                    <pic:cNvPicPr>
                      <a:picLocks noChangeArrowheads="1" noChangeAspect="1"/>
                    </pic:cNvPicPr>
                  </pic:nvPicPr>
                  <pic:blipFill>
                    <a:blip r:embed="rId41"/>
                    <a:stretch>
                      <a:fillRect/>
                    </a:stretch>
                  </pic:blipFill>
                  <pic:spPr bwMode="auto">
                    <a:xfrm>
                      <a:off x="0" y="0"/>
                      <a:ext cx="5334000" cy="2053040"/>
                    </a:xfrm>
                    <a:prstGeom prst="rect">
                      <a:avLst/>
                    </a:prstGeom>
                    <a:noFill/>
                    <a:ln w="9525">
                      <a:noFill/>
                      <a:headEnd/>
                      <a:tailEnd/>
                    </a:ln>
                  </pic:spPr>
                </pic:pic>
              </a:graphicData>
            </a:graphic>
          </wp:inline>
        </w:drawing>
      </w:r>
    </w:p>
    <w:p>
      <w:pPr>
        <w:pStyle w:val="ImageCaption"/>
      </w:pPr>
      <w:r>
        <w:t xml:space="preserve">图2 调节效应与分位数回归结果</w:t>
      </w:r>
    </w:p>
    <w:bookmarkEnd w:id="44"/>
    <w:bookmarkStart w:id="45" w:name="异质性分析与分位数回归"/>
    <w:p>
      <w:pPr>
        <w:pStyle w:val="Heading2"/>
      </w:pPr>
      <w:r>
        <w:t xml:space="preserve">3.7 异质性分析与分位数回归</w:t>
      </w:r>
    </w:p>
    <w:p>
      <w:pPr>
        <w:pStyle w:val="FirstParagraph"/>
      </w:pPr>
      <w:r>
        <w:t xml:space="preserve">表8报告了分组回归结果。分区域看，三大区域的二次项系数均显著为正，U型关系普遍存在；但一次项系数仅在西部地区显著为负（−0.1419），东部与中部地区虽为负号却未通过显著性检验，说明西部地区处于U型曲线下降段的证据更为充分，而东中部地区的替代效应证据相对不足。据各组系数推算的拐点分别为东部0.4680、中部0.0691、西部1.0527，西部地区跨越拐点所需的渗透度明显更高。分教育水平看，高教育水平地区与低教育水平地区的一次项系数分别为−0.0683与−0.1155，低教育水平地区的替代冲击在量级上更大；相应的拐点分别为0.4523与1.1368，即教育水平较高的地区能够在更低的技术渗透度上完成由替代主导向创造主导的转换。分产业结构看，非制造业密集地区的一次项系数为−0.1308且在5%的水平上显著、拐点为0.7851，而制造业密集地区一次项接近于零且不显著、拐点仅为0.0054，可能的原因在于制造业密集地区的产业配套更完善，机器人应用衍生的运维、集成等关联岗位创造能力更强，在较低渗透度上即可对冲替代冲击。</w:t>
      </w:r>
    </w:p>
    <w:p>
      <w:pPr>
        <w:pStyle w:val="TableCaption"/>
      </w:pPr>
      <w:r>
        <w:t xml:space="preserve">表8 异质性检验结果</w:t>
      </w:r>
    </w:p>
    <w:tbl>
      <w:tblPr>
        <w:tblStyle w:val="Table"/>
        <w:jc w:val="center"/>
        <w:tblLook w:firstRow="1" w:lastRow="0" w:firstColumn="0" w:lastColumn="0" w:noHBand="0" w:noVBand="0" w:val="0020"/>
        <w:tblCaption w:val="表8 异质性检验结果"/>
        <w:tblW w:w="5000" w:type="pct"/>
        <w:tblLayout w:type="autofit"/>
      </w:tblPr>
      <w:tblGrid>
        <w:gridCol w:w="1320"/>
        <w:gridCol w:w="1320"/>
        <w:gridCol w:w="1320"/>
        <w:gridCol w:w="1320"/>
        <w:gridCol w:w="1320"/>
        <w:gridCol w:w="1320"/>
      </w:tblGrid>
      <w:tr>
        <w:trPr>
          <w:tblHeader w:val="true"/>
        </w:trPr>
        <w:tc>
          <w:tcPr/>
          <w:p>
            <w:pPr>
              <w:pStyle w:val="Compact"/>
              <w:spacing w:before="20" w:after="20" w:line="240" w:lineRule="auto"/>
              <w:jc w:val="center"/>
            </w:pPr>
            <w:r>
              <w:t xml:space="preserve">分组</w:t>
            </w:r>
          </w:p>
        </w:tc>
        <w:tc>
          <w:tcPr/>
          <w:p>
            <w:pPr>
              <w:pStyle w:val="Compact"/>
              <w:spacing w:before="20" w:after="20" w:line="240" w:lineRule="auto"/>
              <w:jc w:val="center"/>
            </w:pPr>
            <w:r>
              <w:rPr>
                <w:iCs/>
                <w:i/>
              </w:rPr>
              <w:t xml:space="preserve">ai</w:t>
            </w:r>
          </w:p>
        </w:tc>
        <w:tc>
          <w:tcPr/>
          <w:p>
            <w:pPr>
              <w:pStyle w:val="Compact"/>
              <w:spacing w:before="20" w:after="20" w:line="240" w:lineRule="auto"/>
              <w:jc w:val="center"/>
            </w:pPr>
            <m:oMath>
              <m:sSup>
                <m:e>
                  <m:r>
                    <m:rPr>
                      <m:sty m:val="p"/>
                    </m:rPr>
                    <m:t>ai</m:t>
                  </m:r>
                </m:e>
                <m:sup>
                  <m:r>
                    <m:t>2</m:t>
                  </m:r>
                </m:sup>
              </m:sSup>
            </m:oMath>
          </w:p>
        </w:tc>
        <w:tc>
          <w:tcPr/>
          <w:p>
            <w:pPr>
              <w:pStyle w:val="Compact"/>
              <w:spacing w:before="20" w:after="20" w:line="240" w:lineRule="auto"/>
              <w:jc w:val="center"/>
            </w:pPr>
            <w:r>
              <w:t xml:space="preserve">拐点</w:t>
            </w:r>
          </w:p>
        </w:tc>
        <w:tc>
          <w:tcPr/>
          <w:p>
            <w:pPr>
              <w:pStyle w:val="Compact"/>
              <w:spacing w:before="20" w:after="20" w:line="240" w:lineRule="auto"/>
              <w:jc w:val="center"/>
            </w:pPr>
            <w:r>
              <w:rPr>
                <w:iCs/>
                <w:i/>
              </w:rPr>
              <w:t xml:space="preserve">N</w:t>
            </w:r>
          </w:p>
        </w:tc>
        <w:tc>
          <w:tcPr/>
          <w:p>
            <w:pPr>
              <w:pStyle w:val="Compact"/>
              <w:spacing w:before="20" w:after="20" w:line="240" w:lineRule="auto"/>
              <w:jc w:val="center"/>
            </w:pPr>
            <m:oMath>
              <m:sSup>
                <m:e>
                  <m:r>
                    <m:t>R</m:t>
                  </m:r>
                </m:e>
                <m:sup>
                  <m:r>
                    <m:t>2</m:t>
                  </m:r>
                </m:sup>
              </m:sSup>
            </m:oMath>
          </w:p>
        </w:tc>
      </w:tr>
      <w:tr>
        <w:tc>
          <w:tcPr/>
          <w:p>
            <w:pPr>
              <w:pStyle w:val="Compact"/>
              <w:spacing w:before="20" w:after="20" w:line="240" w:lineRule="auto"/>
              <w:jc w:val="center"/>
            </w:pPr>
            <w:r>
              <w:t xml:space="preserve">东部地区</w:t>
            </w:r>
          </w:p>
        </w:tc>
        <w:tc>
          <w:tcPr/>
          <w:p>
            <w:pPr>
              <w:pStyle w:val="Compact"/>
              <w:spacing w:before="20" w:after="20" w:line="240" w:lineRule="auto"/>
              <w:jc w:val="center"/>
            </w:pPr>
            <w:r>
              <w:t xml:space="preserve">−0.0453（−0.6619）</w:t>
            </w:r>
          </w:p>
        </w:tc>
        <w:tc>
          <w:tcPr/>
          <w:p>
            <w:pPr>
              <w:pStyle w:val="Compact"/>
              <w:spacing w:before="20" w:after="20" w:line="240" w:lineRule="auto"/>
              <w:jc w:val="center"/>
            </w:pPr>
            <w:r>
              <w:t xml:space="preserve">0.0484*（1.8296）</w:t>
            </w:r>
          </w:p>
        </w:tc>
        <w:tc>
          <w:tcPr/>
          <w:p>
            <w:pPr>
              <w:pStyle w:val="Compact"/>
              <w:spacing w:before="20" w:after="20" w:line="240" w:lineRule="auto"/>
              <w:jc w:val="center"/>
            </w:pPr>
            <w:r>
              <w:t xml:space="preserve">0.4680</w:t>
            </w:r>
          </w:p>
        </w:tc>
        <w:tc>
          <w:tcPr/>
          <w:p>
            <w:pPr>
              <w:pStyle w:val="Compact"/>
              <w:spacing w:before="20" w:after="20" w:line="240" w:lineRule="auto"/>
              <w:jc w:val="center"/>
            </w:pPr>
            <w:r>
              <w:t xml:space="preserve">132</w:t>
            </w:r>
          </w:p>
        </w:tc>
        <w:tc>
          <w:tcPr/>
          <w:p>
            <w:pPr>
              <w:pStyle w:val="Compact"/>
              <w:spacing w:before="20" w:after="20" w:line="240" w:lineRule="auto"/>
              <w:jc w:val="center"/>
            </w:pPr>
            <w:r>
              <w:t xml:space="preserve">0.1816</w:t>
            </w:r>
          </w:p>
        </w:tc>
      </w:tr>
      <w:tr>
        <w:tc>
          <w:tcPr/>
          <w:p>
            <w:pPr>
              <w:pStyle w:val="Compact"/>
              <w:spacing w:before="20" w:after="20" w:line="240" w:lineRule="auto"/>
              <w:jc w:val="center"/>
            </w:pPr>
            <w:r>
              <w:t xml:space="preserve">中部地区</w:t>
            </w:r>
          </w:p>
        </w:tc>
        <w:tc>
          <w:tcPr/>
          <w:p>
            <w:pPr>
              <w:pStyle w:val="Compact"/>
              <w:spacing w:before="20" w:after="20" w:line="240" w:lineRule="auto"/>
              <w:jc w:val="center"/>
            </w:pPr>
            <w:r>
              <w:t xml:space="preserve">−0.0114（−0.2753）</w:t>
            </w:r>
          </w:p>
        </w:tc>
        <w:tc>
          <w:tcPr/>
          <w:p>
            <w:pPr>
              <w:pStyle w:val="Compact"/>
              <w:spacing w:before="20" w:after="20" w:line="240" w:lineRule="auto"/>
              <w:jc w:val="center"/>
            </w:pPr>
            <w:r>
              <w:t xml:space="preserve">0.0825***（3.4250）</w:t>
            </w:r>
          </w:p>
        </w:tc>
        <w:tc>
          <w:tcPr/>
          <w:p>
            <w:pPr>
              <w:pStyle w:val="Compact"/>
              <w:spacing w:before="20" w:after="20" w:line="240" w:lineRule="auto"/>
              <w:jc w:val="center"/>
            </w:pPr>
            <w:r>
              <w:t xml:space="preserve">0.0691</w:t>
            </w:r>
          </w:p>
        </w:tc>
        <w:tc>
          <w:tcPr/>
          <w:p>
            <w:pPr>
              <w:pStyle w:val="Compact"/>
              <w:spacing w:before="20" w:after="20" w:line="240" w:lineRule="auto"/>
              <w:jc w:val="center"/>
            </w:pPr>
            <w:r>
              <w:t xml:space="preserve">96</w:t>
            </w:r>
          </w:p>
        </w:tc>
        <w:tc>
          <w:tcPr/>
          <w:p>
            <w:pPr>
              <w:pStyle w:val="Compact"/>
              <w:spacing w:before="20" w:after="20" w:line="240" w:lineRule="auto"/>
              <w:jc w:val="center"/>
            </w:pPr>
            <w:r>
              <w:t xml:space="preserve">0.3079</w:t>
            </w:r>
          </w:p>
        </w:tc>
      </w:tr>
      <w:tr>
        <w:tc>
          <w:tcPr/>
          <w:p>
            <w:pPr>
              <w:pStyle w:val="Compact"/>
              <w:spacing w:before="20" w:after="20" w:line="240" w:lineRule="auto"/>
              <w:jc w:val="center"/>
            </w:pPr>
            <w:r>
              <w:t xml:space="preserve">西部地区</w:t>
            </w:r>
          </w:p>
        </w:tc>
        <w:tc>
          <w:tcPr/>
          <w:p>
            <w:pPr>
              <w:pStyle w:val="Compact"/>
              <w:spacing w:before="20" w:after="20" w:line="240" w:lineRule="auto"/>
              <w:jc w:val="center"/>
            </w:pPr>
            <w:r>
              <w:t xml:space="preserve">−0.1419*（−1.8528）</w:t>
            </w:r>
          </w:p>
        </w:tc>
        <w:tc>
          <w:tcPr/>
          <w:p>
            <w:pPr>
              <w:pStyle w:val="Compact"/>
              <w:spacing w:before="20" w:after="20" w:line="240" w:lineRule="auto"/>
              <w:jc w:val="center"/>
            </w:pPr>
            <w:r>
              <w:t xml:space="preserve">0.0674*（1.7110）</w:t>
            </w:r>
          </w:p>
        </w:tc>
        <w:tc>
          <w:tcPr/>
          <w:p>
            <w:pPr>
              <w:pStyle w:val="Compact"/>
              <w:spacing w:before="20" w:after="20" w:line="240" w:lineRule="auto"/>
              <w:jc w:val="center"/>
            </w:pPr>
            <w:r>
              <w:t xml:space="preserve">1.0527</w:t>
            </w:r>
          </w:p>
        </w:tc>
        <w:tc>
          <w:tcPr/>
          <w:p>
            <w:pPr>
              <w:pStyle w:val="Compact"/>
              <w:spacing w:before="20" w:after="20" w:line="240" w:lineRule="auto"/>
              <w:jc w:val="center"/>
            </w:pPr>
            <w:r>
              <w:t xml:space="preserve">132</w:t>
            </w:r>
          </w:p>
        </w:tc>
        <w:tc>
          <w:tcPr/>
          <w:p>
            <w:pPr>
              <w:pStyle w:val="Compact"/>
              <w:spacing w:before="20" w:after="20" w:line="240" w:lineRule="auto"/>
              <w:jc w:val="center"/>
            </w:pPr>
            <w:r>
              <w:t xml:space="preserve">0.2313</w:t>
            </w:r>
          </w:p>
        </w:tc>
      </w:tr>
      <w:tr>
        <w:tc>
          <w:tcPr/>
          <w:p>
            <w:pPr>
              <w:pStyle w:val="Compact"/>
              <w:spacing w:before="20" w:after="20" w:line="240" w:lineRule="auto"/>
              <w:jc w:val="center"/>
            </w:pPr>
            <w:r>
              <w:t xml:space="preserve">高教育水平地区</w:t>
            </w:r>
          </w:p>
        </w:tc>
        <w:tc>
          <w:tcPr/>
          <w:p>
            <w:pPr>
              <w:pStyle w:val="Compact"/>
              <w:spacing w:before="20" w:after="20" w:line="240" w:lineRule="auto"/>
              <w:jc w:val="center"/>
            </w:pPr>
            <w:r>
              <w:t xml:space="preserve">−0.0683***（−2.6165）</w:t>
            </w:r>
          </w:p>
        </w:tc>
        <w:tc>
          <w:tcPr/>
          <w:p>
            <w:pPr>
              <w:pStyle w:val="Compact"/>
              <w:spacing w:before="20" w:after="20" w:line="240" w:lineRule="auto"/>
              <w:jc w:val="center"/>
            </w:pPr>
            <w:r>
              <w:t xml:space="preserve">0.0755***（4.8574）</w:t>
            </w:r>
          </w:p>
        </w:tc>
        <w:tc>
          <w:tcPr/>
          <w:p>
            <w:pPr>
              <w:pStyle w:val="Compact"/>
              <w:spacing w:before="20" w:after="20" w:line="240" w:lineRule="auto"/>
              <w:jc w:val="center"/>
            </w:pPr>
            <w:r>
              <w:t xml:space="preserve">0.4523</w:t>
            </w:r>
          </w:p>
        </w:tc>
        <w:tc>
          <w:tcPr/>
          <w:p>
            <w:pPr>
              <w:pStyle w:val="Compact"/>
              <w:spacing w:before="20" w:after="20" w:line="240" w:lineRule="auto"/>
              <w:jc w:val="center"/>
            </w:pPr>
            <w:r>
              <w:t xml:space="preserve">180</w:t>
            </w:r>
          </w:p>
        </w:tc>
        <w:tc>
          <w:tcPr/>
          <w:p>
            <w:pPr>
              <w:pStyle w:val="Compact"/>
              <w:spacing w:before="20" w:after="20" w:line="240" w:lineRule="auto"/>
              <w:jc w:val="center"/>
            </w:pPr>
            <w:r>
              <w:t xml:space="preserve">0.2874</w:t>
            </w:r>
          </w:p>
        </w:tc>
      </w:tr>
      <w:tr>
        <w:tc>
          <w:tcPr/>
          <w:p>
            <w:pPr>
              <w:pStyle w:val="Compact"/>
              <w:spacing w:before="20" w:after="20" w:line="240" w:lineRule="auto"/>
              <w:jc w:val="center"/>
            </w:pPr>
            <w:r>
              <w:t xml:space="preserve">低教育水平地区</w:t>
            </w:r>
          </w:p>
        </w:tc>
        <w:tc>
          <w:tcPr/>
          <w:p>
            <w:pPr>
              <w:pStyle w:val="Compact"/>
              <w:spacing w:before="20" w:after="20" w:line="240" w:lineRule="auto"/>
              <w:jc w:val="center"/>
            </w:pPr>
            <w:r>
              <w:t xml:space="preserve">−0.1155*（−1.9727）</w:t>
            </w:r>
          </w:p>
        </w:tc>
        <w:tc>
          <w:tcPr/>
          <w:p>
            <w:pPr>
              <w:pStyle w:val="Compact"/>
              <w:spacing w:before="20" w:after="20" w:line="240" w:lineRule="auto"/>
              <w:jc w:val="center"/>
            </w:pPr>
            <w:r>
              <w:t xml:space="preserve">0.0508***（3.3062）</w:t>
            </w:r>
          </w:p>
        </w:tc>
        <w:tc>
          <w:tcPr/>
          <w:p>
            <w:pPr>
              <w:pStyle w:val="Compact"/>
              <w:spacing w:before="20" w:after="20" w:line="240" w:lineRule="auto"/>
              <w:jc w:val="center"/>
            </w:pPr>
            <w:r>
              <w:t xml:space="preserve">1.1368</w:t>
            </w:r>
          </w:p>
        </w:tc>
        <w:tc>
          <w:tcPr/>
          <w:p>
            <w:pPr>
              <w:pStyle w:val="Compact"/>
              <w:spacing w:before="20" w:after="20" w:line="240" w:lineRule="auto"/>
              <w:jc w:val="center"/>
            </w:pPr>
            <w:r>
              <w:t xml:space="preserve">180</w:t>
            </w:r>
          </w:p>
        </w:tc>
        <w:tc>
          <w:tcPr/>
          <w:p>
            <w:pPr>
              <w:pStyle w:val="Compact"/>
              <w:spacing w:before="20" w:after="20" w:line="240" w:lineRule="auto"/>
              <w:jc w:val="center"/>
            </w:pPr>
            <w:r>
              <w:t xml:space="preserve">0.2420</w:t>
            </w:r>
          </w:p>
        </w:tc>
      </w:tr>
      <w:tr>
        <w:tc>
          <w:tcPr/>
          <w:p>
            <w:pPr>
              <w:pStyle w:val="Compact"/>
              <w:spacing w:before="20" w:after="20" w:line="240" w:lineRule="auto"/>
              <w:jc w:val="center"/>
            </w:pPr>
            <w:r>
              <w:t xml:space="preserve">制造业密集地区</w:t>
            </w:r>
          </w:p>
        </w:tc>
        <w:tc>
          <w:tcPr/>
          <w:p>
            <w:pPr>
              <w:pStyle w:val="Compact"/>
              <w:spacing w:before="20" w:after="20" w:line="240" w:lineRule="auto"/>
              <w:jc w:val="center"/>
            </w:pPr>
            <w:r>
              <w:t xml:space="preserve">−0.0007（−0.0139）</w:t>
            </w:r>
          </w:p>
        </w:tc>
        <w:tc>
          <w:tcPr/>
          <w:p>
            <w:pPr>
              <w:pStyle w:val="Compact"/>
              <w:spacing w:before="20" w:after="20" w:line="240" w:lineRule="auto"/>
              <w:jc w:val="center"/>
            </w:pPr>
            <w:r>
              <w:t xml:space="preserve">0.0651**（2.4026）</w:t>
            </w:r>
          </w:p>
        </w:tc>
        <w:tc>
          <w:tcPr/>
          <w:p>
            <w:pPr>
              <w:pStyle w:val="Compact"/>
              <w:spacing w:before="20" w:after="20" w:line="240" w:lineRule="auto"/>
              <w:jc w:val="center"/>
            </w:pPr>
            <w:r>
              <w:t xml:space="preserve">0.0054</w:t>
            </w:r>
          </w:p>
        </w:tc>
        <w:tc>
          <w:tcPr/>
          <w:p>
            <w:pPr>
              <w:pStyle w:val="Compact"/>
              <w:spacing w:before="20" w:after="20" w:line="240" w:lineRule="auto"/>
              <w:jc w:val="center"/>
            </w:pPr>
            <w:r>
              <w:t xml:space="preserve">180</w:t>
            </w:r>
          </w:p>
        </w:tc>
        <w:tc>
          <w:tcPr/>
          <w:p>
            <w:pPr>
              <w:pStyle w:val="Compact"/>
              <w:spacing w:before="20" w:after="20" w:line="240" w:lineRule="auto"/>
              <w:jc w:val="center"/>
            </w:pPr>
            <w:r>
              <w:t xml:space="preserve">0.2300</w:t>
            </w:r>
          </w:p>
        </w:tc>
      </w:tr>
      <w:tr>
        <w:tc>
          <w:tcPr/>
          <w:p>
            <w:pPr>
              <w:pStyle w:val="Compact"/>
              <w:spacing w:before="20" w:after="20" w:line="240" w:lineRule="auto"/>
              <w:jc w:val="center"/>
            </w:pPr>
            <w:r>
              <w:t xml:space="preserve">非制造业密集地区</w:t>
            </w:r>
          </w:p>
        </w:tc>
        <w:tc>
          <w:tcPr/>
          <w:p>
            <w:pPr>
              <w:pStyle w:val="Compact"/>
              <w:spacing w:before="20" w:after="20" w:line="240" w:lineRule="auto"/>
              <w:jc w:val="center"/>
            </w:pPr>
            <w:r>
              <w:t xml:space="preserve">−0.1308**（−2.1902）</w:t>
            </w:r>
          </w:p>
        </w:tc>
        <w:tc>
          <w:tcPr/>
          <w:p>
            <w:pPr>
              <w:pStyle w:val="Compact"/>
              <w:spacing w:before="20" w:after="20" w:line="240" w:lineRule="auto"/>
              <w:jc w:val="center"/>
            </w:pPr>
            <w:r>
              <w:t xml:space="preserve">0.0833***（4.3198）</w:t>
            </w:r>
          </w:p>
        </w:tc>
        <w:tc>
          <w:tcPr/>
          <w:p>
            <w:pPr>
              <w:pStyle w:val="Compact"/>
              <w:spacing w:before="20" w:after="20" w:line="240" w:lineRule="auto"/>
              <w:jc w:val="center"/>
            </w:pPr>
            <w:r>
              <w:t xml:space="preserve">0.7851</w:t>
            </w:r>
          </w:p>
        </w:tc>
        <w:tc>
          <w:tcPr/>
          <w:p>
            <w:pPr>
              <w:pStyle w:val="Compact"/>
              <w:spacing w:before="20" w:after="20" w:line="240" w:lineRule="auto"/>
              <w:jc w:val="center"/>
            </w:pPr>
            <w:r>
              <w:t xml:space="preserve">180</w:t>
            </w:r>
          </w:p>
        </w:tc>
        <w:tc>
          <w:tcPr/>
          <w:p>
            <w:pPr>
              <w:pStyle w:val="Compact"/>
              <w:spacing w:before="20" w:after="20" w:line="240" w:lineRule="auto"/>
              <w:jc w:val="center"/>
            </w:pPr>
            <w:r>
              <w:t xml:space="preserve">0.2843</w:t>
            </w:r>
          </w:p>
        </w:tc>
      </w:tr>
    </w:tbl>
    <w:p>
      <w:pPr>
        <w:pStyle w:val="TableNote"/>
      </w:pPr>
      <w:r>
        <w:t xml:space="preserve">注：教育水平与制造业密集程度均按各省份样本期均值的中位数分组。</w:t>
      </w:r>
    </w:p>
    <w:p>
      <w:pPr>
        <w:pStyle w:val="BodyText"/>
      </w:pPr>
      <w:r>
        <w:t xml:space="preserve">考虑到不同就业规模水平的省份对人工智能冲击的反应可能存在差异，本文进一步在青年就业规模的第10、25、50、75与90分位点上进行分位数回归，结果见表9。各分位点上二次项系数均在1%的水平上显著为正，U型关系在就业规模分布的各个位置均成立；一次项系数在各分位点上均为负值，并自第50分位点起依次通过10%、5%、5%的显著性检验，而在第10与第25分位点上未通过显著性检验。从系数变化看，一次项系数的绝对值随分位点上升而增大，在第90分位点达到最大（−0.1042），相应的拐点由第25分位点的0.3570右移至第90分位点的0.8566，表明青年就业规模越大的省份，替代阶段持续得越久、跨越拐点所需的技术渗透度越高。图2（b）展示了各分位点系数的变化轨迹。</w:t>
      </w:r>
    </w:p>
    <w:p>
      <w:pPr>
        <w:pStyle w:val="TableCaption"/>
      </w:pPr>
      <w:r>
        <w:t xml:space="preserve">表9 分位数回归结果</w:t>
      </w:r>
    </w:p>
    <w:tbl>
      <w:tblPr>
        <w:tblStyle w:val="Table"/>
        <w:jc w:val="center"/>
        <w:tblLook w:firstRow="1" w:lastRow="0" w:firstColumn="0" w:lastColumn="0" w:noHBand="0" w:noVBand="0" w:val="0020"/>
        <w:tblCaption w:val="表9 分位数回归结果"/>
        <w:tblW w:w="5000" w:type="pct"/>
        <w:tblLayout w:type="autofit"/>
      </w:tblPr>
      <w:tblGrid>
        <w:gridCol w:w="1980"/>
        <w:gridCol w:w="1980"/>
        <w:gridCol w:w="1980"/>
        <w:gridCol w:w="1980"/>
      </w:tblGrid>
      <w:tr>
        <w:trPr>
          <w:tblHeader w:val="true"/>
        </w:trPr>
        <w:tc>
          <w:tcPr/>
          <w:p>
            <w:pPr>
              <w:pStyle w:val="Compact"/>
              <w:spacing w:before="20" w:after="20" w:line="240" w:lineRule="auto"/>
              <w:jc w:val="center"/>
            </w:pPr>
            <w:r>
              <w:t xml:space="preserve">分位点</w:t>
            </w:r>
          </w:p>
        </w:tc>
        <w:tc>
          <w:tcPr/>
          <w:p>
            <w:pPr>
              <w:pStyle w:val="Compact"/>
              <w:spacing w:before="20" w:after="20" w:line="240" w:lineRule="auto"/>
              <w:jc w:val="center"/>
            </w:pPr>
            <w:r>
              <w:rPr>
                <w:iCs/>
                <w:i/>
              </w:rPr>
              <w:t xml:space="preserve">ai</w:t>
            </w:r>
          </w:p>
        </w:tc>
        <w:tc>
          <w:tcPr/>
          <w:p>
            <w:pPr>
              <w:pStyle w:val="Compact"/>
              <w:spacing w:before="20" w:after="20" w:line="240" w:lineRule="auto"/>
              <w:jc w:val="center"/>
            </w:pPr>
            <m:oMath>
              <m:sSup>
                <m:e>
                  <m:r>
                    <m:rPr>
                      <m:sty m:val="p"/>
                    </m:rPr>
                    <m:t>ai</m:t>
                  </m:r>
                </m:e>
                <m:sup>
                  <m:r>
                    <m:t>2</m:t>
                  </m:r>
                </m:sup>
              </m:sSup>
            </m:oMath>
          </w:p>
        </w:tc>
        <w:tc>
          <w:tcPr/>
          <w:p>
            <w:pPr>
              <w:pStyle w:val="Compact"/>
              <w:spacing w:before="20" w:after="20" w:line="240" w:lineRule="auto"/>
              <w:jc w:val="center"/>
            </w:pPr>
            <w:r>
              <w:t xml:space="preserve">拐点</w:t>
            </w:r>
          </w:p>
        </w:tc>
      </w:tr>
      <w:tr>
        <w:tc>
          <w:tcPr/>
          <w:p>
            <w:pPr>
              <w:pStyle w:val="Compact"/>
              <w:spacing w:before="20" w:after="20" w:line="240" w:lineRule="auto"/>
              <w:jc w:val="center"/>
            </w:pPr>
            <w:r>
              <w:t xml:space="preserve">第10分位</w:t>
            </w:r>
          </w:p>
        </w:tc>
        <w:tc>
          <w:tcPr/>
          <w:p>
            <w:pPr>
              <w:pStyle w:val="Compact"/>
              <w:spacing w:before="20" w:after="20" w:line="240" w:lineRule="auto"/>
              <w:jc w:val="center"/>
            </w:pPr>
            <w:r>
              <w:t xml:space="preserve">−0.0561（−1.4815）</w:t>
            </w:r>
          </w:p>
        </w:tc>
        <w:tc>
          <w:tcPr/>
          <w:p>
            <w:pPr>
              <w:pStyle w:val="Compact"/>
              <w:spacing w:before="20" w:after="20" w:line="240" w:lineRule="auto"/>
              <w:jc w:val="center"/>
            </w:pPr>
            <w:r>
              <w:t xml:space="preserve">0.0618***（5.9658）</w:t>
            </w:r>
          </w:p>
        </w:tc>
        <w:tc>
          <w:tcPr/>
          <w:p>
            <w:pPr>
              <w:pStyle w:val="Compact"/>
              <w:spacing w:before="20" w:after="20" w:line="240" w:lineRule="auto"/>
              <w:jc w:val="center"/>
            </w:pPr>
            <w:r>
              <w:t xml:space="preserve">0.4541</w:t>
            </w:r>
          </w:p>
        </w:tc>
      </w:tr>
      <w:tr>
        <w:tc>
          <w:tcPr/>
          <w:p>
            <w:pPr>
              <w:pStyle w:val="Compact"/>
              <w:spacing w:before="20" w:after="20" w:line="240" w:lineRule="auto"/>
              <w:jc w:val="center"/>
            </w:pPr>
            <w:r>
              <w:t xml:space="preserve">第25分位</w:t>
            </w:r>
          </w:p>
        </w:tc>
        <w:tc>
          <w:tcPr/>
          <w:p>
            <w:pPr>
              <w:pStyle w:val="Compact"/>
              <w:spacing w:before="20" w:after="20" w:line="240" w:lineRule="auto"/>
              <w:jc w:val="center"/>
            </w:pPr>
            <w:r>
              <w:t xml:space="preserve">−0.0489（−1.5095）</w:t>
            </w:r>
          </w:p>
        </w:tc>
        <w:tc>
          <w:tcPr/>
          <w:p>
            <w:pPr>
              <w:pStyle w:val="Compact"/>
              <w:spacing w:before="20" w:after="20" w:line="240" w:lineRule="auto"/>
              <w:jc w:val="center"/>
            </w:pPr>
            <w:r>
              <w:t xml:space="preserve">0.0685***（7.6611）</w:t>
            </w:r>
          </w:p>
        </w:tc>
        <w:tc>
          <w:tcPr/>
          <w:p>
            <w:pPr>
              <w:pStyle w:val="Compact"/>
              <w:spacing w:before="20" w:after="20" w:line="240" w:lineRule="auto"/>
              <w:jc w:val="center"/>
            </w:pPr>
            <w:r>
              <w:t xml:space="preserve">0.3570</w:t>
            </w:r>
          </w:p>
        </w:tc>
      </w:tr>
      <w:tr>
        <w:tc>
          <w:tcPr/>
          <w:p>
            <w:pPr>
              <w:pStyle w:val="Compact"/>
              <w:spacing w:before="20" w:after="20" w:line="240" w:lineRule="auto"/>
              <w:jc w:val="center"/>
            </w:pPr>
            <w:r>
              <w:t xml:space="preserve">第50分位</w:t>
            </w:r>
          </w:p>
        </w:tc>
        <w:tc>
          <w:tcPr/>
          <w:p>
            <w:pPr>
              <w:pStyle w:val="Compact"/>
              <w:spacing w:before="20" w:after="20" w:line="240" w:lineRule="auto"/>
              <w:jc w:val="center"/>
            </w:pPr>
            <w:r>
              <w:t xml:space="preserve">−0.0573*（−1.8155）</w:t>
            </w:r>
          </w:p>
        </w:tc>
        <w:tc>
          <w:tcPr/>
          <w:p>
            <w:pPr>
              <w:pStyle w:val="Compact"/>
              <w:spacing w:before="20" w:after="20" w:line="240" w:lineRule="auto"/>
              <w:jc w:val="center"/>
            </w:pPr>
            <w:r>
              <w:t xml:space="preserve">0.0600***（6.7088）</w:t>
            </w:r>
          </w:p>
        </w:tc>
        <w:tc>
          <w:tcPr/>
          <w:p>
            <w:pPr>
              <w:pStyle w:val="Compact"/>
              <w:spacing w:before="20" w:after="20" w:line="240" w:lineRule="auto"/>
              <w:jc w:val="center"/>
            </w:pPr>
            <w:r>
              <w:t xml:space="preserve">0.4778</w:t>
            </w:r>
          </w:p>
        </w:tc>
      </w:tr>
      <w:tr>
        <w:tc>
          <w:tcPr/>
          <w:p>
            <w:pPr>
              <w:pStyle w:val="Compact"/>
              <w:spacing w:before="20" w:after="20" w:line="240" w:lineRule="auto"/>
              <w:jc w:val="center"/>
            </w:pPr>
            <w:r>
              <w:t xml:space="preserve">第75分位</w:t>
            </w:r>
          </w:p>
        </w:tc>
        <w:tc>
          <w:tcPr/>
          <w:p>
            <w:pPr>
              <w:pStyle w:val="Compact"/>
              <w:spacing w:before="20" w:after="20" w:line="240" w:lineRule="auto"/>
              <w:jc w:val="center"/>
            </w:pPr>
            <w:r>
              <w:t xml:space="preserve">−0.0787**（−2.5563）</w:t>
            </w:r>
          </w:p>
        </w:tc>
        <w:tc>
          <w:tcPr/>
          <w:p>
            <w:pPr>
              <w:pStyle w:val="Compact"/>
              <w:spacing w:before="20" w:after="20" w:line="240" w:lineRule="auto"/>
              <w:jc w:val="center"/>
            </w:pPr>
            <w:r>
              <w:t xml:space="preserve">0.0721***（8.6233）</w:t>
            </w:r>
          </w:p>
        </w:tc>
        <w:tc>
          <w:tcPr/>
          <w:p>
            <w:pPr>
              <w:pStyle w:val="Compact"/>
              <w:spacing w:before="20" w:after="20" w:line="240" w:lineRule="auto"/>
              <w:jc w:val="center"/>
            </w:pPr>
            <w:r>
              <w:t xml:space="preserve">0.5453</w:t>
            </w:r>
          </w:p>
        </w:tc>
      </w:tr>
      <w:tr>
        <w:tc>
          <w:tcPr/>
          <w:p>
            <w:pPr>
              <w:pStyle w:val="Compact"/>
              <w:spacing w:before="20" w:after="20" w:line="240" w:lineRule="auto"/>
              <w:jc w:val="center"/>
            </w:pPr>
            <w:r>
              <w:t xml:space="preserve">第90分位</w:t>
            </w:r>
          </w:p>
        </w:tc>
        <w:tc>
          <w:tcPr/>
          <w:p>
            <w:pPr>
              <w:pStyle w:val="Compact"/>
              <w:spacing w:before="20" w:after="20" w:line="240" w:lineRule="auto"/>
              <w:jc w:val="center"/>
            </w:pPr>
            <w:r>
              <w:t xml:space="preserve">−0.1042**（−2.3794）</w:t>
            </w:r>
          </w:p>
        </w:tc>
        <w:tc>
          <w:tcPr/>
          <w:p>
            <w:pPr>
              <w:pStyle w:val="Compact"/>
              <w:spacing w:before="20" w:after="20" w:line="240" w:lineRule="auto"/>
              <w:jc w:val="center"/>
            </w:pPr>
            <w:r>
              <w:t xml:space="preserve">0.0608***（5.4060）</w:t>
            </w:r>
          </w:p>
        </w:tc>
        <w:tc>
          <w:tcPr/>
          <w:p>
            <w:pPr>
              <w:pStyle w:val="Compact"/>
              <w:spacing w:before="20" w:after="20" w:line="240" w:lineRule="auto"/>
              <w:jc w:val="center"/>
            </w:pPr>
            <w:r>
              <w:t xml:space="preserve">0.8566</w:t>
            </w:r>
          </w:p>
        </w:tc>
      </w:tr>
    </w:tbl>
    <w:p>
      <w:pPr>
        <w:pStyle w:val="TableNote"/>
      </w:pPr>
      <w:r>
        <w:t xml:space="preserve">注：各分位点回归均控制全部控制变量与省份、年份固定效应；分位数回归的标准误未作聚类调整，其</w:t>
      </w:r>
      <w:r>
        <w:rPr>
          <w:iCs/>
          <w:i/>
        </w:rPr>
        <w:t xml:space="preserve">t</w:t>
      </w:r>
      <w:r>
        <w:t xml:space="preserve">值与前文各表不完全可比，此处主要用于观察系数随分位点的变化趋势。</w:t>
      </w:r>
    </w:p>
    <w:bookmarkEnd w:id="45"/>
    <w:bookmarkEnd w:id="46"/>
    <w:bookmarkStart w:id="49" w:name="结论与建议"/>
    <w:p>
      <w:pPr>
        <w:pStyle w:val="Heading1"/>
      </w:pPr>
      <w:r>
        <w:t xml:space="preserve">4 结论与建议</w:t>
      </w:r>
    </w:p>
    <w:bookmarkStart w:id="47" w:name="结论"/>
    <w:p>
      <w:pPr>
        <w:pStyle w:val="Heading2"/>
      </w:pPr>
      <w:r>
        <w:t xml:space="preserve">4.1 结论</w:t>
      </w:r>
    </w:p>
    <w:p>
      <w:pPr>
        <w:pStyle w:val="FirstParagraph"/>
      </w:pPr>
      <w:r>
        <w:t xml:space="preserve">本文基于2012—2023年中国30个省份的面板数据，实证检验了人工智能应用对青年就业的影响效应与作用机制，主要结论如下：第一，人工智能应用与青年就业规模之间呈显著的U型关系，现阶段多数省份仍处于拐点左侧的替代效应占优区间，该结论经稳健性与内生性检验后依然成立。第二，就业结构检验表明，人工智能应用显著提高青年高技能就业占比、降低低技能就业占比，同时压缩常规任务岗位、扩张新兴数字职业，呈现明显的就业极化特征；青年失业率则呈与就业规模相镜像的倒U型变化。第三，作用机制检验表明，人工智能应用通过替代常规任务岗位抑制青年就业，通过创造新兴数字职业与改善人岗技能匹配促进青年就业，两类效应量级相当，净效应取决于二者的相对强弱。第四，教育发展水平与职业技能培训均能显著缓解人工智能应用对青年就业的抑制作用，并促使U型曲线的拐点左移。第五，异质性检验表明，替代冲击在西部地区、低教育水平地区与非制造业密集地区更为突出；分位数回归结果表明，青年就业规模较大的省份跨越拐点所需的技术渗透度更高。</w:t>
      </w:r>
    </w:p>
    <w:bookmarkEnd w:id="47"/>
    <w:bookmarkStart w:id="48" w:name="建议"/>
    <w:p>
      <w:pPr>
        <w:pStyle w:val="Heading2"/>
      </w:pPr>
      <w:r>
        <w:t xml:space="preserve">4.2 建议</w:t>
      </w:r>
    </w:p>
    <w:p>
      <w:pPr>
        <w:pStyle w:val="FirstParagraph"/>
      </w:pPr>
      <w:r>
        <w:t xml:space="preserve">基于上述结论，本文提出如下建议：第一，前瞻应对替代效应集中释放期，健全岗位替代风险的监测预警机制。鉴于约七成观测值仍处于U型曲线左半支，应将常规任务密集型行业的青年从业人员作为重点帮扶对象，建立岗位替代风险的监测预警机制，对受冲击较大的行业与地区提前部署转岗培训与就业援助，避免替代冲击集中释放引发结构性失业。第二，加快培育人工智能衍生的新职业。应完善新职业发布与职业标准制定机制，推动算法工程、数据服务、智能运维、数字内容等新兴职业的规范化与体系化发展，通过产业配套政策引导人工智能应用由单点替代转向系统重构，缩短从替代主导阶段迈向创造主导阶段的过渡期。第三，强化教育与培训的缓冲功能。一方面推动高等教育与职业教育的专业设置对接智能化岗位需求，将人工智能通识教育与数字技能培养纳入人才培养方案；另一方面扩大政府补贴性职业技能培训的覆盖面与针对性，重点面向被替代风险较高的青年群体开展转岗培训，切实发挥技能培训对替代冲击的缓释作用。第四，实施区域差异化政策。西部地区与非制造业密集地区应重点防范替代冲击，在推进智能化改造的同时同步布局配套产业与培训体系；东中部地区与制造业密集地区则应着力放大创造效应，依托完善的产业配套加快孵化人工智能关联岗位，为青年提供更具成长性的职业发展空间。</w:t>
      </w:r>
    </w:p>
    <w:bookmarkEnd w:id="48"/>
    <w:bookmarkEnd w:id="49"/>
    <w:bookmarkStart w:id="50" w:name="参考文献"/>
    <w:p>
      <w:pPr>
        <w:pStyle w:val="Heading1"/>
      </w:pPr>
      <w:r>
        <w:t xml:space="preserve">参考文献</w:t>
      </w:r>
    </w:p>
    <w:p>
      <w:pPr>
        <w:pStyle w:val="RefItem"/>
      </w:pPr>
      <w:r>
        <w:t xml:space="preserve">[1]蔡跃洲,陈楠.新技术革命下人工智能与高质量增长、高质量就业[J].数量经济技术经济研究,2019,36(5).</w:t>
      </w:r>
    </w:p>
    <w:p>
      <w:pPr>
        <w:pStyle w:val="RefItem"/>
      </w:pPr>
      <w:r>
        <w:t xml:space="preserve">[2]Autor D H, Levy F, Murnane R J. The Skill Content of Recent Technological Change: An Empirical Exploration [J]. The Quarterly Journal of Economics, 2003, 118(4).</w:t>
      </w:r>
    </w:p>
    <w:p>
      <w:pPr>
        <w:pStyle w:val="RefItem"/>
      </w:pPr>
      <w:r>
        <w:t xml:space="preserve">[3]Autor D H, Dorn D. The Growth of Low-Skill Service Jobs and the Polarization of the US Labor Market [J]. American Economic Review, 2013, 103(5).</w:t>
      </w:r>
    </w:p>
    <w:p>
      <w:pPr>
        <w:pStyle w:val="RefItem"/>
      </w:pPr>
      <w:r>
        <w:t xml:space="preserve">[4]Goos M, Manning A, Salomons A. Explaining Job Polarization: Routine-Biased Technological Change and Offshoring [J]. American Economic Review, 2014, 104(8).</w:t>
      </w:r>
    </w:p>
    <w:p>
      <w:pPr>
        <w:pStyle w:val="RefItem"/>
      </w:pPr>
      <w:r>
        <w:t xml:space="preserve">[5]Acemoglu D, Restrepo P. The Race Between Man and Machine: Implications of Technology for Growth, Factor Shares, and Employment [J]. American Economic Review, 2018, 108(6).</w:t>
      </w:r>
    </w:p>
    <w:p>
      <w:pPr>
        <w:pStyle w:val="RefItem"/>
      </w:pPr>
      <w:r>
        <w:t xml:space="preserve">[6]Dauth W, Findeisen S, Suedekum J, et al. The Adjustment of Labor Markets to Robots [J]. Journal of the European Economic Association, 2021, 19(6).</w:t>
      </w:r>
    </w:p>
    <w:p>
      <w:pPr>
        <w:pStyle w:val="RefItem"/>
      </w:pPr>
      <w:r>
        <w:t xml:space="preserve">[7]王永钦,董雯.机器人的兴起如何影响中国劳动力市场?——来自制造业上市公司的证据[J].经济研究,2020,55(10).</w:t>
      </w:r>
    </w:p>
    <w:p>
      <w:pPr>
        <w:pStyle w:val="RefItem"/>
      </w:pPr>
      <w:r>
        <w:t xml:space="preserve">[8]余玲铮,魏下海,孙中伟,等.工业机器人、工作任务与非常规能力溢价——来自制造业企业—工人匹配调查的证据[J].管理世界,2021,37(1).</w:t>
      </w:r>
    </w:p>
    <w:p>
      <w:pPr>
        <w:pStyle w:val="RefItem"/>
      </w:pPr>
      <w:r>
        <w:t xml:space="preserve">[9]何勤,李雅宁,程雅馨,等.人工智能技术应用对就业的影响及作用机制研究——来自制造业企业的微观证据[J].中国软科学,2020(S1).</w:t>
      </w:r>
    </w:p>
    <w:p>
      <w:pPr>
        <w:pStyle w:val="RefItem"/>
      </w:pPr>
      <w:r>
        <w:t xml:space="preserve">[10]王林辉,胡晟明,董直庆.人工智能技术会诱致劳动收入不平等吗——模型推演与分类评估[J].中国工业经济,2020(4).</w:t>
      </w:r>
    </w:p>
    <w:p>
      <w:pPr>
        <w:pStyle w:val="RefItem"/>
      </w:pPr>
      <w:r>
        <w:t xml:space="preserve">[11]郭凯明.人工智能发展、产业结构转型升级与劳动收入份额变动[J].管理世界,2019,35(7).</w:t>
      </w:r>
    </w:p>
    <w:p>
      <w:pPr>
        <w:pStyle w:val="RefItem"/>
      </w:pPr>
      <w:r>
        <w:t xml:space="preserve">[12]张丹丹,于航,李力行,等.中国人工智能技术暴露度的测算及其对劳动需求的影响——基于大语言模型的新证据[J].管理世界,2025,41(7).</w:t>
      </w:r>
    </w:p>
    <w:p>
      <w:pPr>
        <w:pStyle w:val="RefItem"/>
      </w:pPr>
      <w:r>
        <w:t xml:space="preserve">[13]姚加权,张锟澎,郭李鹏,等.人工智能如何提升企业生产效率?——基于劳动力技能结构调整的视角[J].管理世界,2024,40(2).</w:t>
      </w:r>
    </w:p>
    <w:p>
      <w:pPr>
        <w:pStyle w:val="RefItem"/>
      </w:pPr>
      <w:r>
        <w:t xml:space="preserve">[14]Brynjolfsson E, Li D, Raymond L R. Generative AI at Work [J]. The Quarterly Journal of Economics, 2025, 140(2).</w:t>
      </w:r>
    </w:p>
    <w:p>
      <w:pPr>
        <w:pStyle w:val="RefItem"/>
      </w:pPr>
      <w:r>
        <w:t xml:space="preserve">[15]Eloundou T, Manning S, Mishkin P, et al. GPTs are GPTs: Labor Market Impact Potential of LLMs [J]. Science, 2024, 384(6702).</w:t>
      </w:r>
    </w:p>
    <w:p>
      <w:pPr>
        <w:pStyle w:val="RefItem"/>
      </w:pPr>
      <w:r>
        <w:t xml:space="preserve">[16]徐明,陈斯洁,聂云蕊.我国青年就业研究的核心议题、演变与展望[J].人口与经济,2024(5).</w:t>
      </w:r>
    </w:p>
    <w:p>
      <w:pPr>
        <w:pStyle w:val="RefItem"/>
      </w:pPr>
      <w:r>
        <w:t xml:space="preserve">[17]郭冉,田丰,王露瑶.量减质升:青年就业状况变化及分析(2006—2021)——基于CSS的调查数据[J].中国青年研究,2022(11).</w:t>
      </w:r>
    </w:p>
    <w:p>
      <w:pPr>
        <w:pStyle w:val="RefItem"/>
      </w:pPr>
      <w:r>
        <w:t xml:space="preserve">[18]丁述磊,王佳萍,刘翠花.教育错配对青年就业质量的影响:理论与实证[J].中国青年研究,2024(9).</w:t>
      </w:r>
    </w:p>
    <w:p>
      <w:pPr>
        <w:pStyle w:val="RefItem"/>
      </w:pPr>
      <w:r>
        <w:t xml:space="preserve">[19]Kahn L B. The Long-Term Labor Market Consequences of Graduating From College in a Bad Economy [J]. Labour Economics, 2010, 17(2).</w:t>
      </w:r>
    </w:p>
    <w:p>
      <w:pPr>
        <w:pStyle w:val="RefItem"/>
      </w:pPr>
      <w:r>
        <w:t xml:space="preserve">[20]Bresnahan T F, Trajtenberg M. General Purpose Technologies</w:t>
      </w:r>
      <w:r>
        <w:t xml:space="preserve"> </w:t>
      </w:r>
      <w:r>
        <w:t xml:space="preserve">“</w:t>
      </w:r>
      <w:r>
        <w:t xml:space="preserve">Engines of Growth</w:t>
      </w:r>
      <w:r>
        <w:t xml:space="preserve">”</w:t>
      </w:r>
      <w:r>
        <w:t xml:space="preserve">? [J]. Journal of Econometrics, 1995, 65(1).</w:t>
      </w:r>
    </w:p>
    <w:bookmarkEnd w:id="50"/>
    <w:sectPr>
      <w:pgSz w:w="11906" w:h="16838"/>
      <w:pgMar w:top="1440" w:bottom="1440"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Rule="auto" w:line="360"/>
      <w:jc w:val="both"/>
    </w:pPr>
    <w:rPr>
      <w:rFonts w:ascii="Times New Roman" w:hAnsi="Times New Roman" w:eastAsia="宋体"/>
      <w:i w:val="0"/>
      <w:color w:val="000000"/>
      <w:sz w:val="21"/>
    </w:rPr>
  </w:style>
  <w:style w:styleId="BodyText" w:type="paragraph">
    <w:name w:val="Body Text"/>
    <w:basedOn w:val="Normal"/>
    <w:link w:val="BodyTextChar"/>
    <w:pPr>
      <w:spacing w:after="0" w:before="180" w:lineRule="auto" w:line="360"/>
      <w:ind w:firstLine="420"/>
      <w:jc w:val="both"/>
    </w:pPr>
    <w:qFormat/>
    <w:rPr>
      <w:rFonts w:ascii="Times New Roman" w:hAnsi="Times New Roman" w:eastAsia="宋体"/>
      <w:i w:val="0"/>
      <w:color w:val="000000"/>
      <w:sz w:val="21"/>
    </w:rPr>
  </w:style>
  <w:style w:customStyle="1" w:styleId="FirstParagraph" w:type="paragraph">
    <w:name w:val="First Paragraph"/>
    <w:basedOn w:val="BodyText"/>
    <w:next w:val="BodyText"/>
    <w:qFormat/>
    <w:pPr>
      <w:spacing w:after="0" w:lineRule="auto" w:line="360"/>
      <w:ind w:firstLine="420"/>
      <w:jc w:val="both"/>
    </w:pPr>
    <w:rPr>
      <w:rFonts w:ascii="Times New Roman" w:hAnsi="Times New Roman" w:eastAsia="宋体"/>
      <w:i w:val="0"/>
      <w:color w:val="000000"/>
      <w:sz w:val="21"/>
    </w:rPr>
  </w:style>
  <w:style w:customStyle="1" w:styleId="Compact" w:type="paragraph">
    <w:name w:val="Compact"/>
    <w:basedOn w:val="BodyText"/>
    <w:qFormat/>
    <w:pPr>
      <w:spacing w:after="20" w:before="20" w:lineRule="auto" w:line="288"/>
      <w:ind w:firstLine="0"/>
      <w:jc w:val="center"/>
    </w:pPr>
    <w:rPr>
      <w:rFonts w:ascii="Times New Roman" w:hAnsi="Times New Roman" w:eastAsia="宋体"/>
      <w:b w:val="0"/>
      <w:i w:val="0"/>
      <w:color w:val="000000"/>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00" w:lineRule="auto" w:line="360"/>
      <w:ind w:firstLine="0"/>
      <w:jc w:val="left"/>
      <w:outlineLvl w:val="0"/>
    </w:pPr>
    <w:rPr>
      <w:rFonts w:asciiTheme="majorHAnsi" w:cstheme="majorBidi" w:eastAsiaTheme="majorEastAsia" w:hAnsiTheme="majorHAnsi" w:ascii="Times New Roman" w:hAnsi="Times New Roman" w:eastAsia="黑体"/>
      <w:b/>
      <w:bCs/>
      <w:i w:val="0"/>
      <w:color w:val="000000"/>
      <w:sz w:val="24"/>
      <w:szCs w:val="32"/>
    </w:rPr>
  </w:style>
  <w:style w:styleId="Heading2" w:type="paragraph">
    <w:name w:val="Heading 2"/>
    <w:basedOn w:val="Normal"/>
    <w:next w:val="BodyText"/>
    <w:uiPriority w:val="9"/>
    <w:unhideWhenUsed/>
    <w:qFormat/>
    <w:pPr>
      <w:keepNext/>
      <w:keepLines/>
      <w:spacing w:after="60" w:before="120" w:lineRule="auto" w:line="360"/>
      <w:ind w:firstLine="0"/>
      <w:jc w:val="left"/>
      <w:outlineLvl w:val="1"/>
    </w:pPr>
    <w:rPr>
      <w:rFonts w:asciiTheme="majorHAnsi" w:cstheme="majorBidi" w:eastAsiaTheme="majorEastAsia" w:hAnsiTheme="majorHAnsi" w:ascii="Times New Roman" w:hAnsi="Times New Roman" w:eastAsia="黑体"/>
      <w:b/>
      <w:bCs/>
      <w:i w:val="0"/>
      <w:color w:val="000000"/>
      <w:sz w:val="21"/>
      <w:szCs w:val="28"/>
    </w:rPr>
  </w:style>
  <w:style w:styleId="Heading3" w:type="paragraph">
    <w:name w:val="Heading 3"/>
    <w:basedOn w:val="Normal"/>
    <w:next w:val="BodyText"/>
    <w:uiPriority w:val="9"/>
    <w:unhideWhenUsed/>
    <w:qFormat/>
    <w:pPr>
      <w:keepNext/>
      <w:keepLines/>
      <w:spacing w:after="60" w:before="120" w:lineRule="auto" w:line="360"/>
      <w:ind w:firstLine="0"/>
      <w:jc w:val="left"/>
      <w:outlineLvl w:val="2"/>
    </w:pPr>
    <w:rPr>
      <w:rFonts w:asciiTheme="majorHAnsi" w:cstheme="majorBidi" w:eastAsiaTheme="majorEastAsia" w:hAnsiTheme="majorHAnsi" w:ascii="Times New Roman" w:hAnsi="Times New Roman" w:eastAsia="黑体"/>
      <w:b/>
      <w:bCs/>
      <w:i w:val="0"/>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after="60" w:lineRule="auto" w:line="288"/>
      <w:ind w:firstLine="0"/>
      <w:jc w:val="center"/>
    </w:pPr>
    <w:rPr>
      <w:rFonts w:ascii="Times New Roman" w:hAnsi="Times New Roman" w:eastAsia="黑体"/>
      <w:b/>
      <w:i w:val="0"/>
      <w:color w:val="000000"/>
      <w:sz w:val="18"/>
    </w:rPr>
  </w:style>
  <w:style w:customStyle="1" w:styleId="ImageCaption" w:type="paragraph">
    <w:name w:val="Image Caption"/>
    <w:basedOn w:val="Caption"/>
    <w:pPr>
      <w:spacing w:before="60" w:after="160" w:lineRule="auto" w:line="288"/>
      <w:ind w:firstLine="0"/>
      <w:jc w:val="center"/>
    </w:pPr>
    <w:rPr>
      <w:rFonts w:ascii="Times New Roman" w:hAnsi="Times New Roman" w:eastAsia="黑体"/>
      <w:b/>
      <w:i w:val="0"/>
      <w:color w:val="000000"/>
      <w:sz w:val="18"/>
    </w:rPr>
  </w:style>
  <w:style w:customStyle="1" w:styleId="Figure" w:type="paragraph">
    <w:name w:val="Figure"/>
    <w:basedOn w:val="Normal"/>
  </w:style>
  <w:style w:customStyle="1" w:styleId="CaptionedFigure" w:type="paragraph">
    <w:name w:val="Captioned Figure"/>
    <w:basedOn w:val="Figure"/>
    <w:pPr>
      <w:keepNext/>
      <w:spacing w:before="160" w:after="0" w:lineRule="auto" w:line="288"/>
      <w:ind w:firstLine="0"/>
      <w:jc w:val="center"/>
    </w:pPr>
    <w:rPr>
      <w:rFonts w:ascii="Times New Roman" w:hAnsi="Times New Roman" w:eastAsia="宋体"/>
      <w:b w:val="0"/>
      <w:i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CN">
    <w:name w:val="AbstractCN"/>
    <w:basedOn w:val="BodyText"/>
    <w:qFormat/>
    <w:pPr>
      <w:spacing w:before="0" w:after="80" w:lineRule="auto" w:line="288"/>
      <w:ind w:firstLine="0"/>
      <w:jc w:val="both"/>
    </w:pPr>
    <w:rPr>
      <w:rFonts w:ascii="Times New Roman" w:hAnsi="Times New Roman" w:eastAsia="楷体"/>
      <w:b w:val="0"/>
      <w:i w:val="0"/>
      <w:color w:val="000000"/>
      <w:sz w:val="18"/>
    </w:rPr>
  </w:style>
  <w:style w:type="paragraph" w:customStyle="1" w:styleId="AffilCN">
    <w:name w:val="AffilCN"/>
    <w:basedOn w:val="BodyText"/>
    <w:qFormat/>
    <w:pPr>
      <w:spacing w:before="0" w:after="200" w:lineRule="auto" w:line="288"/>
      <w:ind w:firstLine="0"/>
      <w:jc w:val="center"/>
    </w:pPr>
    <w:rPr>
      <w:rFonts w:ascii="Times New Roman" w:hAnsi="Times New Roman" w:eastAsia="宋体"/>
      <w:b w:val="0"/>
      <w:i w:val="0"/>
      <w:color w:val="000000"/>
      <w:sz w:val="18"/>
    </w:rPr>
  </w:style>
  <w:style w:type="paragraph" w:customStyle="1" w:styleId="AuthorCN">
    <w:name w:val="AuthorCN"/>
    <w:basedOn w:val="BodyText"/>
    <w:qFormat/>
    <w:pPr>
      <w:spacing w:before="0" w:after="60" w:lineRule="auto" w:line="288"/>
      <w:ind w:firstLine="0"/>
      <w:jc w:val="center"/>
    </w:pPr>
    <w:rPr>
      <w:rFonts w:ascii="Times New Roman" w:hAnsi="Times New Roman" w:eastAsia="仿宋"/>
      <w:b w:val="0"/>
      <w:i w:val="0"/>
      <w:color w:val="000000"/>
      <w:sz w:val="21"/>
    </w:rPr>
  </w:style>
  <w:style w:type="paragraph" w:customStyle="1" w:styleId="RefItem">
    <w:name w:val="RefItem"/>
    <w:basedOn w:val="BodyText"/>
    <w:qFormat/>
    <w:pPr>
      <w:spacing w:before="0" w:after="40" w:lineRule="auto" w:line="288"/>
      <w:ind w:firstLine="0"/>
      <w:jc w:val="both"/>
    </w:pPr>
    <w:rPr>
      <w:rFonts w:ascii="Times New Roman" w:hAnsi="Times New Roman" w:eastAsia="宋体"/>
      <w:b w:val="0"/>
      <w:i w:val="0"/>
      <w:color w:val="000000"/>
      <w:sz w:val="18"/>
    </w:rPr>
  </w:style>
  <w:style w:type="paragraph" w:customStyle="1" w:styleId="TableNote">
    <w:name w:val="TableNote"/>
    <w:basedOn w:val="BodyText"/>
    <w:qFormat/>
    <w:pPr>
      <w:spacing w:before="40" w:after="160" w:lineRule="auto" w:line="288"/>
      <w:ind w:firstLine="0"/>
      <w:jc w:val="left"/>
    </w:pPr>
    <w:rPr>
      <w:rFonts w:ascii="Times New Roman" w:hAnsi="Times New Roman" w:eastAsia="宋体"/>
      <w:b w:val="0"/>
      <w:i w:val="0"/>
      <w:color w:val="000000"/>
      <w:sz w:val="16"/>
    </w:rPr>
  </w:style>
  <w:style w:type="paragraph" w:customStyle="1" w:styleId="TitleCN">
    <w:name w:val="TitleCN"/>
    <w:basedOn w:val="BodyText"/>
    <w:qFormat/>
    <w:pPr>
      <w:spacing w:before="120" w:after="240" w:lineRule="auto" w:line="288"/>
      <w:ind w:firstLine="0"/>
      <w:jc w:val="center"/>
    </w:pPr>
    <w:rPr>
      <w:rFonts w:ascii="Times New Roman" w:hAnsi="Times New Roman" w:eastAsia="黑体"/>
      <w:b/>
      <w:i w:val="0"/>
      <w:color w:val="000000"/>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2026-07-26T18:14:57Z</dcterms:created>
  <dcterms:modified xsi:type="dcterms:W3CDTF">2026-07-26T18:14:57Z</dcterms:modified>
</cp:coreProperties>
</file>

<file path=docProps/custom.xml><?xml version="1.0" encoding="utf-8"?>
<Properties xmlns="http://schemas.openxmlformats.org/officeDocument/2006/custom-properties" xmlns:vt="http://schemas.openxmlformats.org/officeDocument/2006/docPropsVTypes"/>
</file>