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CN"/>
      </w:pPr>
      <w:r>
        <w:t xml:space="preserve">数字经济发展赋能青年高质量就业：机制识别与门槛检验</w:t>
      </w:r>
    </w:p>
    <w:p>
      <w:pPr>
        <w:pStyle w:val="AuthorCN"/>
      </w:pPr>
      <w:r>
        <w:t xml:space="preserve">×××</w:t>
      </w:r>
    </w:p>
    <w:p>
      <w:pPr>
        <w:pStyle w:val="AffilCN"/>
      </w:pPr>
      <w:r>
        <w:t xml:space="preserve">（××大学 商学院，×× ××××××）</w:t>
      </w:r>
    </w:p>
    <w:p>
      <w:pPr>
        <w:pStyle w:val="AbstractCN"/>
      </w:pPr>
      <w:r>
        <w:rPr>
          <w:bCs/>
          <w:b/>
        </w:rPr>
        <w:t xml:space="preserve">摘 要：</w:t>
      </w:r>
      <w:r>
        <w:t xml:space="preserve">文章基于2012—2023年中国278个地级及以上城市的面板数据，运用熵值法测度青年高质量就业水平与数字经济发展水平，实证检验数字经济对青年高质量就业的影响效应及作用机制。研究发现：（1）数字经济发展能够显著提升青年高质量就业水平，该结论在经过一系列稳健性与内生性检验后依然成立。（2）作用机制检验结果表明，数字经济可通过激发创业活跃度、推动产业结构升级、促进人力资本积累三条渠道赋能青年高质量就业。（3）门槛效应检验结果表明，数字经济的赋能作用存在基于人力资本水平的双重门槛特征，只有当人力资本跨越第一门槛后赋能效应才由不显著转为显著，并在跨越第二门槛后进一步增强。（4）异质性检验结果表明，数字经济的赋能作用在中西部地区、大规模城市以及非中心城市中更为突出。</w:t>
      </w:r>
    </w:p>
    <w:p>
      <w:pPr>
        <w:pStyle w:val="AbstractCN"/>
      </w:pPr>
      <w:r>
        <w:rPr>
          <w:bCs/>
          <w:b/>
        </w:rPr>
        <w:t xml:space="preserve">关键词：</w:t>
      </w:r>
      <w:r>
        <w:t xml:space="preserve">数字经济；青年高质量就业；人力资本；门槛效应</w:t>
      </w:r>
    </w:p>
    <w:p>
      <w:pPr>
        <w:pStyle w:val="AbstractCN"/>
      </w:pPr>
      <w:r>
        <w:rPr>
          <w:bCs/>
          <w:b/>
        </w:rPr>
        <w:t xml:space="preserve">中图分类号：</w:t>
      </w:r>
      <w:r>
        <w:t xml:space="preserve">F249.2；F49　　</w:t>
      </w:r>
      <w:r>
        <w:rPr>
          <w:bCs/>
          <w:b/>
        </w:rPr>
        <w:t xml:space="preserve">文献标识码：</w:t>
      </w:r>
      <w:r>
        <w:t xml:space="preserve">A　　</w:t>
      </w:r>
      <w:r>
        <w:rPr>
          <w:bCs/>
          <w:b/>
        </w:rPr>
        <w:t xml:space="preserve">文章编号：</w:t>
      </w:r>
      <w:r>
        <w:t xml:space="preserve">1002-6487（××××）××-××××-××</w:t>
      </w:r>
    </w:p>
    <w:bookmarkStart w:id="20" w:name="引言"/>
    <w:p>
      <w:pPr>
        <w:pStyle w:val="Heading1"/>
      </w:pPr>
      <w:r>
        <w:t xml:space="preserve">0 引言</w:t>
      </w:r>
    </w:p>
    <w:p>
      <w:pPr>
        <w:pStyle w:val="FirstParagraph"/>
      </w:pPr>
      <w:r>
        <w:t xml:space="preserve">青年就业是就业工作的重中之重，关系经济社会发展全局与代际公平。近年来，我国青年劳动力市场面临总量压力与结构性矛盾交织的复杂局面：一方面，高校毕业生规模连年攀升，2024年达1179万人；另一方面，青年群体就业的稳定性、报酬水平与发展空间仍有较大改善余地，</w:t>
      </w:r>
      <w:r>
        <w:t xml:space="preserve">“</w:t>
      </w:r>
      <w:r>
        <w:t xml:space="preserve">就业难</w:t>
      </w:r>
      <w:r>
        <w:t xml:space="preserve">”</w:t>
      </w:r>
      <w:r>
        <w:t xml:space="preserve">与“招工难”并存的摩擦性、结构性矛盾较为突出。党的二十届三中全会明确提出“完善就业公共服务体系，着力解决结构性就业矛盾”，促进青年高质量充分就业已成为兼具理论价值与现实紧迫性的重大议题。与此同时，数字经济作为重组要素资源、重塑经济结构的关键力量，正在深刻改变劳动力市场的岗位供给结构、技能需求结构与人岗匹配方式</w:t>
      </w:r>
      <w:r>
        <w:rPr>
          <w:vertAlign w:val="superscript"/>
        </w:rPr>
        <w:t xml:space="preserve">[1]</w:t>
      </w:r>
      <w:r>
        <w:t xml:space="preserve">。在此背景下，系统考察数字经济发展能否赋能青年高质量就业、通过何种渠道赋能以及在何种条件下赋能，对于优化就业政策设计、释放数字经济的就业红利具有重要意义。</w:t>
      </w:r>
    </w:p>
    <w:p>
      <w:pPr>
        <w:pStyle w:val="BodyText"/>
      </w:pPr>
      <w:r>
        <w:t xml:space="preserve">与本文相关的文献主要涉及以下三个方面：其一，数字经济的就业效应研究。田鸽和张勋（2022）</w:t>
      </w:r>
      <w:r>
        <w:rPr>
          <w:vertAlign w:val="superscript"/>
        </w:rPr>
        <w:t xml:space="preserve">[2]</w:t>
      </w:r>
      <w:r>
        <w:t xml:space="preserve">发现数字经济能够通过深化社会分工推动非农就业增长，戚聿东等（2020）</w:t>
      </w:r>
      <w:r>
        <w:rPr>
          <w:vertAlign w:val="superscript"/>
        </w:rPr>
        <w:t xml:space="preserve">[3]</w:t>
      </w:r>
      <w:r>
        <w:t xml:space="preserve">认为数字经济可优化就业结构并提升就业质量，杨伟国和吴邦正（2022）</w:t>
      </w:r>
      <w:r>
        <w:rPr>
          <w:vertAlign w:val="superscript"/>
        </w:rPr>
        <w:t xml:space="preserve">[4]</w:t>
      </w:r>
      <w:r>
        <w:t xml:space="preserve">指出平台经济的兴起重塑了就业形态与结构，李建奇和黄维晨（2024）</w:t>
      </w:r>
      <w:r>
        <w:rPr>
          <w:vertAlign w:val="superscript"/>
        </w:rPr>
        <w:t xml:space="preserve">[5]</w:t>
      </w:r>
      <w:r>
        <w:t xml:space="preserve">基于网络招聘大数据发现平台经济具有显著的包容性就业特征。但柏培文和张云（2021）</w:t>
      </w:r>
      <w:r>
        <w:rPr>
          <w:vertAlign w:val="superscript"/>
        </w:rPr>
        <w:t xml:space="preserve">[6]</w:t>
      </w:r>
      <w:r>
        <w:t xml:space="preserve">也提示，数字经济在人口红利下降背景下可能损害中低技能劳动者权益。其二，青年就业的相关研究。徐明等（2024）</w:t>
      </w:r>
      <w:r>
        <w:rPr>
          <w:vertAlign w:val="superscript"/>
        </w:rPr>
        <w:t xml:space="preserve">[7]</w:t>
      </w:r>
      <w:r>
        <w:t xml:space="preserve">系统梳理了我国青年就业研究的核心议题与演进脉络，郭冉等（2022）</w:t>
      </w:r>
      <w:r>
        <w:rPr>
          <w:vertAlign w:val="superscript"/>
        </w:rPr>
        <w:t xml:space="preserve">[8]</w:t>
      </w:r>
      <w:r>
        <w:t xml:space="preserve">基于中国社会状况综合调查发现青年就业呈现“量减质升”的阶段特征，丁述磊等（2024）</w:t>
      </w:r>
      <w:r>
        <w:rPr>
          <w:vertAlign w:val="superscript"/>
        </w:rPr>
        <w:t xml:space="preserve">[9]</w:t>
      </w:r>
      <w:r>
        <w:t xml:space="preserve">揭示教育错配会显著抑制青年就业质量；Kahn（2010）</w:t>
      </w:r>
      <w:r>
        <w:rPr>
          <w:vertAlign w:val="superscript"/>
        </w:rPr>
        <w:t xml:space="preserve">[10]</w:t>
      </w:r>
      <w:r>
        <w:t xml:space="preserve">则表明，青年在经济下行期进入劳动力市场会承受长期的工资与职业发展损失。其三，数字经济影响就业的机制研究。赵涛等（2020）</w:t>
      </w:r>
      <w:r>
        <w:rPr>
          <w:vertAlign w:val="superscript"/>
        </w:rPr>
        <w:t xml:space="preserve">[11]</w:t>
      </w:r>
      <w:r>
        <w:t xml:space="preserve">发现数字经济能够显著提升创业活跃度并推动高质量发展，刘翠花（2022）</w:t>
      </w:r>
      <w:r>
        <w:rPr>
          <w:vertAlign w:val="superscript"/>
        </w:rPr>
        <w:t xml:space="preserve">[12]</w:t>
      </w:r>
      <w:r>
        <w:t xml:space="preserve">验证了数字经济对产业结构升级与创业增长的促进作用，韩先锋等（2019）</w:t>
      </w:r>
      <w:r>
        <w:rPr>
          <w:vertAlign w:val="superscript"/>
        </w:rPr>
        <w:t xml:space="preserve">[13]</w:t>
      </w:r>
      <w:r>
        <w:t xml:space="preserve">则指出互联网普及是区域创新效率提升的新动能。</w:t>
      </w:r>
    </w:p>
    <w:p>
      <w:pPr>
        <w:pStyle w:val="BodyText"/>
      </w:pPr>
      <w:r>
        <w:t xml:space="preserve">梳理现有文献可知，已有研究为理解数字经济的就业效应奠定了基础，但仍存在拓展空间：一是多数研究聚焦于就业总量、就业结构或全体劳动者的就业质量，专门针对青年群体高质量就业的系统性实证考察相对不足；二是对数字经济赋能就业的作用渠道虽有讨论，但缺乏在统一框架下对创业创造、产业升级与人力资本积累三条渠道的并行检验；三是鲜有研究关注数字经济就业效应的非线性特征，即赋能作用是否依赖于本地人力资本条件而呈现门槛式跃迁。鉴于此，本文基于2012—2023年278个地级及以上城市的面板数据，构建青年高质量就业评价指标体系，实证检验数字经济的赋能效应、传导渠道与门槛条件，以期为差异化的青年就业政策提供经验依据。</w:t>
      </w:r>
    </w:p>
    <w:bookmarkEnd w:id="20"/>
    <w:bookmarkStart w:id="24" w:name="理论分析与研究假设"/>
    <w:p>
      <w:pPr>
        <w:pStyle w:val="Heading1"/>
      </w:pPr>
      <w:r>
        <w:t xml:space="preserve">1 理论分析与研究假设</w:t>
      </w:r>
    </w:p>
    <w:bookmarkStart w:id="21" w:name="直接影响"/>
    <w:p>
      <w:pPr>
        <w:pStyle w:val="Heading2"/>
      </w:pPr>
      <w:r>
        <w:t xml:space="preserve">1.1 直接影响</w:t>
      </w:r>
    </w:p>
    <w:p>
      <w:pPr>
        <w:pStyle w:val="FirstParagraph"/>
      </w:pPr>
      <w:r>
        <w:t xml:space="preserve">数字经济主要通过三条路径直接提升青年高质量就业水平。第一，扩大岗位供给。数字技术的渗透催生了平台运营、数据分析、直播电商、智能运维等新职业新岗位，这类岗位普遍具有知识密集度高、技能更新快、从业者年龄结构年轻的特征，与青年群体的数字素养优势高度契合，从而扩大了适配青年的岗位规模</w:t>
      </w:r>
      <w:r>
        <w:rPr>
          <w:vertAlign w:val="superscript"/>
        </w:rPr>
        <w:t xml:space="preserve">[4]</w:t>
      </w:r>
      <w:r>
        <w:t xml:space="preserve">。第二，降低匹配摩擦。数字招聘平台与劳动力市场信息系统显著缩短了求职者与用人单位之间的信息搜寻半径、降低了匹配成本，使青年能够更快找到与自身专业背景和技能结构相适配的岗位，减少因信息不对称导致的教育错配与技能错配</w:t>
      </w:r>
      <w:r>
        <w:rPr>
          <w:vertAlign w:val="superscript"/>
        </w:rPr>
        <w:t xml:space="preserve">[9,5]</w:t>
      </w:r>
      <w:r>
        <w:t xml:space="preserve">。第三，改善就业条件。数字化管理工具的普及提升了企业人力资源管理的规范化水平，社会保险参保、劳动合同签订等制度性保障更易落实；同时数字经济部门较高的劳动生产率也为青年提供了更具竞争力的薪酬和更通畅的职业发展通道</w:t>
      </w:r>
      <w:r>
        <w:rPr>
          <w:vertAlign w:val="superscript"/>
        </w:rPr>
        <w:t xml:space="preserve">[3]</w:t>
      </w:r>
      <w:r>
        <w:t xml:space="preserve">。基于此，本文提出：</w:t>
      </w:r>
    </w:p>
    <w:p>
      <w:pPr>
        <w:pStyle w:val="BodyText"/>
      </w:pPr>
      <w:r>
        <w:t xml:space="preserve">假设1：数字经济发展能够显著提升青年高质量就业水平。</w:t>
      </w:r>
    </w:p>
    <w:bookmarkEnd w:id="21"/>
    <w:bookmarkStart w:id="22" w:name="间接影响"/>
    <w:p>
      <w:pPr>
        <w:pStyle w:val="Heading2"/>
      </w:pPr>
      <w:r>
        <w:t xml:space="preserve">1.2 间接影响</w:t>
      </w:r>
    </w:p>
    <w:p>
      <w:pPr>
        <w:pStyle w:val="FirstParagraph"/>
      </w:pPr>
      <w:r>
        <w:t xml:space="preserve">创业活跃度是数字经济赋能青年就业的重要渠道。数字技术大幅降低了创业的资金门槛、渠道门槛与市场准入门槛，电子商务、社交电商与数字支付体系使小微创业者能够以较低成本触达全国市场，数字普惠金融的发展亦缓解了青年创业者的融资约束</w:t>
      </w:r>
      <w:r>
        <w:rPr>
          <w:vertAlign w:val="superscript"/>
        </w:rPr>
        <w:t xml:space="preserve">[11]</w:t>
      </w:r>
      <w:r>
        <w:t xml:space="preserve">。创业活跃度提升不仅直接创造自雇型就业机会，更通过新设企业的用工需求形成“以创业带就业”的乘数效应，而新设企业的用工偏好又通常向青年倾斜。</w:t>
      </w:r>
    </w:p>
    <w:p>
      <w:pPr>
        <w:pStyle w:val="BodyText"/>
      </w:pPr>
      <w:r>
        <w:t xml:space="preserve">产业结构升级是另一重要渠道。数字经济通过数据要素与实体经济的深度融合推动传统产业智能化改造与服务业高端化发展，第三产业尤其是生产性服务业、信息服务业的比重上升</w:t>
      </w:r>
      <w:r>
        <w:rPr>
          <w:vertAlign w:val="superscript"/>
        </w:rPr>
        <w:t xml:space="preserve">[12]</w:t>
      </w:r>
      <w:r>
        <w:t xml:space="preserve">。这类行业的岗位技能要求与青年的受教育结构更为匹配，且提供了更规范的用工关系与更清晰的晋升通道，从而在结构层面改善青年就业质量。</w:t>
      </w:r>
    </w:p>
    <w:p>
      <w:pPr>
        <w:pStyle w:val="BodyText"/>
      </w:pPr>
      <w:r>
        <w:t xml:space="preserve">人力资本积累构成第三条渠道。数字经济的发展提高了技能溢价，强化了个体与家庭的教育投资激励；在线教育、数字技能培训平台的普及降低了技能习得成本，使青年劳动者能够以更低成本完成技能升级</w:t>
      </w:r>
      <w:r>
        <w:rPr>
          <w:vertAlign w:val="superscript"/>
        </w:rPr>
        <w:t xml:space="preserve">[14]</w:t>
      </w:r>
      <w:r>
        <w:t xml:space="preserve">。人力资本水平的提升直接增强青年的岗位胜任力与议价能力，进而提高其就业稳定性与报酬水平。基于此，本文提出：</w:t>
      </w:r>
    </w:p>
    <w:p>
      <w:pPr>
        <w:pStyle w:val="BodyText"/>
      </w:pPr>
      <w:r>
        <w:t xml:space="preserve">假设2：数字经济通过激发创业活跃度提升青年高质量就业水平。</w:t>
      </w:r>
    </w:p>
    <w:p>
      <w:pPr>
        <w:pStyle w:val="BodyText"/>
      </w:pPr>
      <w:r>
        <w:t xml:space="preserve">假设3：数字经济通过推动产业结构升级提升青年高质量就业水平。</w:t>
      </w:r>
    </w:p>
    <w:p>
      <w:pPr>
        <w:pStyle w:val="BodyText"/>
      </w:pPr>
      <w:r>
        <w:t xml:space="preserve">假设4：数字经济通过促进人力资本积累提升青年高质量就业水平。</w:t>
      </w:r>
    </w:p>
    <w:bookmarkEnd w:id="22"/>
    <w:bookmarkStart w:id="23" w:name="非线性影响"/>
    <w:p>
      <w:pPr>
        <w:pStyle w:val="Heading2"/>
      </w:pPr>
      <w:r>
        <w:t xml:space="preserve">1.3 非线性影响</w:t>
      </w:r>
    </w:p>
    <w:p>
      <w:pPr>
        <w:pStyle w:val="FirstParagraph"/>
      </w:pPr>
      <w:r>
        <w:t xml:space="preserve">数字经济对青年高质量就业的赋能作用可能并非线性，而是取决于本地人力资本的适配程度。依据技能偏向型技术进步理论，数字技术与高技能劳动力形成互补，对常规低技能岗位形成替代</w:t>
      </w:r>
      <w:r>
        <w:rPr>
          <w:vertAlign w:val="superscript"/>
        </w:rPr>
        <w:t xml:space="preserve">[15]</w:t>
      </w:r>
      <w:r>
        <w:t xml:space="preserve">。在人力资本水平较低的城市，数字技术创造的岗位所要求的技能与本地青年劳动力的技能存量之间存在显著缺口，岗位空缺与求职困难并存，数字经济的岗位创造效应难以有效转化为本地青年的就业改善，甚至可能因替代常规岗位而对中低技能青年形成挤压</w:t>
      </w:r>
      <w:r>
        <w:rPr>
          <w:vertAlign w:val="superscript"/>
        </w:rPr>
        <w:t xml:space="preserve">[6]</w:t>
      </w:r>
      <w:r>
        <w:t xml:space="preserve">。当人力资本积累跨越一定门槛后，本地青年具备承接数字化岗位的能力基础，技能与岗位的匹配效率显著改善，赋能效应开始显现。随着人力资本进一步提升并跨越更高门槛，本地形成了规模化的高技能青年人才集聚，不仅能够充分吸纳数字经济创造的高质量岗位，还会通过知识溢出吸引数字企业进一步集聚，赋能效应因而进一步放大。基于此，本文提出：</w:t>
      </w:r>
    </w:p>
    <w:p>
      <w:pPr>
        <w:pStyle w:val="BodyText"/>
      </w:pPr>
      <w:r>
        <w:t xml:space="preserve">假设5：数字经济对青年高质量就业的赋能作用存在基于人力资本水平的门槛效应。</w:t>
      </w:r>
    </w:p>
    <w:bookmarkEnd w:id="23"/>
    <w:bookmarkEnd w:id="24"/>
    <w:bookmarkStart w:id="35" w:name="研究设计"/>
    <w:p>
      <w:pPr>
        <w:pStyle w:val="Heading1"/>
      </w:pPr>
      <w:r>
        <w:t xml:space="preserve">2 研究设计</w:t>
      </w:r>
    </w:p>
    <w:bookmarkStart w:id="25" w:name="模型构建"/>
    <w:p>
      <w:pPr>
        <w:pStyle w:val="Heading2"/>
      </w:pPr>
      <w:r>
        <w:t xml:space="preserve">2.1 模型构建</w:t>
      </w:r>
    </w:p>
    <w:p>
      <w:pPr>
        <w:pStyle w:val="FirstParagraph"/>
      </w:pPr>
      <w:r>
        <w:t xml:space="preserve">为检验数字经济发展对青年高质量就业的影响，构建如下基准回归模型：</w:t>
      </w:r>
    </w:p>
    <w:p>
      <w:pPr>
        <w:pStyle w:val="BodyText"/>
      </w:pPr>
      <m:oMathPara>
        <m:oMathParaPr>
          <m:jc m:val="center"/>
        </m:oMathParaPr>
        <m:oMath>
          <m:sSub>
            <m:e>
              <m:r>
                <m:rPr>
                  <m:sty m:val="p"/>
                </m:rPr>
                <m:t>yqe</m:t>
              </m:r>
            </m:e>
            <m:sub>
              <m:r>
                <m:t>i</m:t>
              </m:r>
              <m:r>
                <m:t>t</m:t>
              </m:r>
            </m:sub>
          </m:sSub>
          <m:r>
            <m:rPr>
              <m:sty m:val="p"/>
            </m:rPr>
            <m:t>=</m:t>
          </m:r>
          <m:sSub>
            <m:e>
              <m:r>
                <m:t>α</m:t>
              </m:r>
            </m:e>
            <m:sub>
              <m:r>
                <m:t>0</m:t>
              </m:r>
            </m:sub>
          </m:sSub>
          <m:r>
            <m:rPr>
              <m:sty m:val="p"/>
            </m:rPr>
            <m:t>+</m:t>
          </m:r>
          <m:sSub>
            <m:e>
              <m:r>
                <m:t>α</m:t>
              </m:r>
            </m:e>
            <m:sub>
              <m:r>
                <m:t>1</m:t>
              </m:r>
            </m:sub>
          </m:sSub>
          <m:sSub>
            <m:e>
              <m:r>
                <m:rPr>
                  <m:sty m:val="p"/>
                </m:rPr>
                <m:t>dig</m:t>
              </m:r>
            </m:e>
            <m:sub>
              <m:r>
                <m:t>i</m:t>
              </m:r>
              <m:r>
                <m:t>t</m:t>
              </m:r>
            </m:sub>
          </m:sSub>
          <m:r>
            <m:rPr>
              <m:sty m:val="p"/>
            </m:rPr>
            <m:t>+</m:t>
          </m:r>
          <m:sSub>
            <m:e>
              <m:r>
                <m:t>α</m:t>
              </m:r>
            </m:e>
            <m:sub>
              <m:r>
                <m:t>j</m:t>
              </m:r>
            </m:sub>
          </m:sSub>
          <m:sSub>
            <m:e>
              <m:r>
                <m:rPr>
                  <m:sty m:val="p"/>
                </m:rPr>
                <m:t>Controls</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r>
            <m:t> </m:t>
          </m:r>
          <m:r>
            <m:t> </m:t>
          </m:r>
          <m:r>
            <m:rPr>
              <m:sty m:val="p"/>
            </m:rPr>
            <m:t>（</m:t>
          </m:r>
          <m:r>
            <m:t>1</m:t>
          </m:r>
          <m:r>
            <m:rPr>
              <m:sty m:val="p"/>
            </m:rPr>
            <m:t>）</m:t>
          </m:r>
        </m:oMath>
      </m:oMathPara>
    </w:p>
    <w:p>
      <w:pPr>
        <w:pStyle w:val="FirstParagraph"/>
      </w:pPr>
      <w:r>
        <w:t xml:space="preserve">其中，</w:t>
      </w:r>
      <m:oMath>
        <m:sSub>
          <m:e>
            <m:r>
              <m:rPr>
                <m:sty m:val="p"/>
              </m:rPr>
              <m:t>yqe</m:t>
            </m:r>
          </m:e>
          <m:sub>
            <m:r>
              <m:t>i</m:t>
            </m:r>
            <m:r>
              <m:t>t</m:t>
            </m:r>
          </m:sub>
        </m:sSub>
      </m:oMath>
      <w:r>
        <w:t xml:space="preserve">为城市</w:t>
      </w:r>
      <w:r>
        <w:rPr>
          <w:iCs/>
          <w:i/>
        </w:rPr>
        <w:t xml:space="preserve">i</w:t>
      </w:r>
      <w:r>
        <w:t xml:space="preserve">在年份</w:t>
      </w:r>
      <w:r>
        <w:rPr>
          <w:iCs/>
          <w:i/>
        </w:rPr>
        <w:t xml:space="preserve">t</w:t>
      </w:r>
      <w:r>
        <w:t xml:space="preserve">的青年高质量就业水平，</w:t>
      </w:r>
      <m:oMath>
        <m:sSub>
          <m:e>
            <m:r>
              <m:rPr>
                <m:sty m:val="p"/>
              </m:rPr>
              <m:t>dig</m:t>
            </m:r>
          </m:e>
          <m:sub>
            <m:r>
              <m:t>i</m:t>
            </m:r>
            <m:r>
              <m:t>t</m:t>
            </m:r>
          </m:sub>
        </m:sSub>
      </m:oMath>
      <w:r>
        <w:t xml:space="preserve">为数字经济发展水平，</w:t>
      </w:r>
      <m:oMath>
        <m:sSub>
          <m:e>
            <m:r>
              <m:rPr>
                <m:sty m:val="p"/>
              </m:rPr>
              <m:t>Controls</m:t>
            </m:r>
          </m:e>
          <m:sub>
            <m:r>
              <m:t>i</m:t>
            </m:r>
            <m:r>
              <m:t>t</m:t>
            </m:r>
          </m:sub>
        </m:sSub>
      </m:oMath>
      <w:r>
        <w:t xml:space="preserve">为一系列控制变量，</w:t>
      </w:r>
      <m:oMath>
        <m:sSub>
          <m:e>
            <m:r>
              <m:t>μ</m:t>
            </m:r>
          </m:e>
          <m:sub>
            <m:r>
              <m:t>i</m:t>
            </m:r>
          </m:sub>
        </m:sSub>
      </m:oMath>
      <w:r>
        <w:t xml:space="preserve">、</w:t>
      </w:r>
      <m:oMath>
        <m:sSub>
          <m:e>
            <m:r>
              <m:t>δ</m:t>
            </m:r>
          </m:e>
          <m:sub>
            <m:r>
              <m:t>t</m:t>
            </m:r>
          </m:sub>
        </m:sSub>
      </m:oMath>
      <w:r>
        <w:t xml:space="preserve">、</w:t>
      </w:r>
      <m:oMath>
        <m:sSub>
          <m:e>
            <m:r>
              <m:t>ε</m:t>
            </m:r>
          </m:e>
          <m:sub>
            <m:r>
              <m:t>i</m:t>
            </m:r>
            <m:r>
              <m:t>t</m:t>
            </m:r>
          </m:sub>
        </m:sSub>
      </m:oMath>
      <w:r>
        <w:t xml:space="preserve">分别表示城市固定效应、年份固定效应与随机扰动项。</w:t>
      </w:r>
    </w:p>
    <w:p>
      <w:pPr>
        <w:pStyle w:val="BodyText"/>
      </w:pPr>
      <w:r>
        <w:t xml:space="preserve">为检验数字经济影响青年高质量就业的作用渠道，构建如下中介效应模型：</w:t>
      </w:r>
    </w:p>
    <w:p>
      <w:pPr>
        <w:pStyle w:val="BodyText"/>
      </w:pPr>
      <m:oMathPara>
        <m:oMathParaPr>
          <m:jc m:val="center"/>
        </m:oMathParaPr>
        <m:oMath>
          <m:sSub>
            <m:e>
              <m:r>
                <m:t>M</m:t>
              </m:r>
            </m:e>
            <m:sub>
              <m:r>
                <m:t>i</m:t>
              </m:r>
              <m:r>
                <m:t>t</m:t>
              </m:r>
            </m:sub>
          </m:sSub>
          <m:r>
            <m:rPr>
              <m:sty m:val="p"/>
            </m:rPr>
            <m:t>=</m:t>
          </m:r>
          <m:sSub>
            <m:e>
              <m:r>
                <m:t>β</m:t>
              </m:r>
            </m:e>
            <m:sub>
              <m:r>
                <m:t>0</m:t>
              </m:r>
            </m:sub>
          </m:sSub>
          <m:r>
            <m:rPr>
              <m:sty m:val="p"/>
            </m:rPr>
            <m:t>+</m:t>
          </m:r>
          <m:sSub>
            <m:e>
              <m:r>
                <m:t>β</m:t>
              </m:r>
            </m:e>
            <m:sub>
              <m:r>
                <m:t>1</m:t>
              </m:r>
            </m:sub>
          </m:sSub>
          <m:sSub>
            <m:e>
              <m:r>
                <m:rPr>
                  <m:sty m:val="p"/>
                </m:rPr>
                <m:t>dig</m:t>
              </m:r>
            </m:e>
            <m:sub>
              <m:r>
                <m:t>i</m:t>
              </m:r>
              <m:r>
                <m:t>t</m:t>
              </m:r>
            </m:sub>
          </m:sSub>
          <m:r>
            <m:rPr>
              <m:sty m:val="p"/>
            </m:rPr>
            <m:t>+</m:t>
          </m:r>
          <m:sSub>
            <m:e>
              <m:r>
                <m:t>β</m:t>
              </m:r>
            </m:e>
            <m:sub>
              <m:r>
                <m:t>j</m:t>
              </m:r>
            </m:sub>
          </m:sSub>
          <m:sSub>
            <m:e>
              <m:r>
                <m:rPr>
                  <m:sty m:val="p"/>
                </m:rPr>
                <m:t>Controls</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r>
            <m:t> </m:t>
          </m:r>
          <m:r>
            <m:t> </m:t>
          </m:r>
          <m:r>
            <m:rPr>
              <m:sty m:val="p"/>
            </m:rPr>
            <m:t>（</m:t>
          </m:r>
          <m:r>
            <m:t>2</m:t>
          </m:r>
          <m:r>
            <m:rPr>
              <m:sty m:val="p"/>
            </m:rPr>
            <m:t>）</m:t>
          </m:r>
        </m:oMath>
      </m:oMathPara>
    </w:p>
    <w:p>
      <w:pPr>
        <w:pStyle w:val="FirstParagraph"/>
      </w:pPr>
      <m:oMathPara>
        <m:oMathParaPr>
          <m:jc m:val="center"/>
        </m:oMathParaPr>
        <m:oMath>
          <m:sSub>
            <m:e>
              <m:r>
                <m:rPr>
                  <m:sty m:val="p"/>
                </m:rPr>
                <m:t>yqe</m:t>
              </m:r>
            </m:e>
            <m:sub>
              <m:r>
                <m:t>i</m:t>
              </m:r>
              <m:r>
                <m:t>t</m:t>
              </m:r>
            </m:sub>
          </m:sSub>
          <m:r>
            <m:rPr>
              <m:sty m:val="p"/>
            </m:rPr>
            <m:t>=</m:t>
          </m:r>
          <m:sSub>
            <m:e>
              <m:r>
                <m:t>γ</m:t>
              </m:r>
            </m:e>
            <m:sub>
              <m:r>
                <m:t>0</m:t>
              </m:r>
            </m:sub>
          </m:sSub>
          <m:r>
            <m:rPr>
              <m:sty m:val="p"/>
            </m:rPr>
            <m:t>+</m:t>
          </m:r>
          <m:sSub>
            <m:e>
              <m:r>
                <m:t>γ</m:t>
              </m:r>
            </m:e>
            <m:sub>
              <m:r>
                <m:t>1</m:t>
              </m:r>
            </m:sub>
          </m:sSub>
          <m:sSub>
            <m:e>
              <m:r>
                <m:rPr>
                  <m:sty m:val="p"/>
                </m:rPr>
                <m:t>dig</m:t>
              </m:r>
            </m:e>
            <m:sub>
              <m:r>
                <m:t>i</m:t>
              </m:r>
              <m:r>
                <m:t>t</m:t>
              </m:r>
            </m:sub>
          </m:sSub>
          <m:r>
            <m:rPr>
              <m:sty m:val="p"/>
            </m:rPr>
            <m:t>+</m:t>
          </m:r>
          <m:sSub>
            <m:e>
              <m:r>
                <m:t>γ</m:t>
              </m:r>
            </m:e>
            <m:sub>
              <m:r>
                <m:t>2</m:t>
              </m:r>
            </m:sub>
          </m:sSub>
          <m:sSub>
            <m:e>
              <m:r>
                <m:t>M</m:t>
              </m:r>
            </m:e>
            <m:sub>
              <m:r>
                <m:t>i</m:t>
              </m:r>
              <m:r>
                <m:t>t</m:t>
              </m:r>
            </m:sub>
          </m:sSub>
          <m:r>
            <m:rPr>
              <m:sty m:val="p"/>
            </m:rPr>
            <m:t>+</m:t>
          </m:r>
          <m:sSub>
            <m:e>
              <m:r>
                <m:t>γ</m:t>
              </m:r>
            </m:e>
            <m:sub>
              <m:r>
                <m:t>j</m:t>
              </m:r>
            </m:sub>
          </m:sSub>
          <m:sSub>
            <m:e>
              <m:r>
                <m:rPr>
                  <m:sty m:val="p"/>
                </m:rPr>
                <m:t>Controls</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r>
            <m:t> </m:t>
          </m:r>
          <m:r>
            <m:t> </m:t>
          </m:r>
          <m:r>
            <m:rPr>
              <m:sty m:val="p"/>
            </m:rPr>
            <m:t>（</m:t>
          </m:r>
          <m:r>
            <m:t>3</m:t>
          </m:r>
          <m:r>
            <m:rPr>
              <m:sty m:val="p"/>
            </m:rPr>
            <m:t>）</m:t>
          </m:r>
        </m:oMath>
      </m:oMathPara>
    </w:p>
    <w:p>
      <w:pPr>
        <w:pStyle w:val="FirstParagraph"/>
      </w:pPr>
      <w:r>
        <w:t xml:space="preserve">其中，</w:t>
      </w:r>
      <m:oMath>
        <m:sSub>
          <m:e>
            <m:r>
              <m:t>M</m:t>
            </m:r>
          </m:e>
          <m:sub>
            <m:r>
              <m:t>i</m:t>
            </m:r>
            <m:r>
              <m:t>t</m:t>
            </m:r>
          </m:sub>
        </m:sSub>
      </m:oMath>
      <w:r>
        <w:t xml:space="preserve">为中介变量，包括创业活跃度（</w:t>
      </w:r>
      <w:r>
        <w:rPr>
          <w:iCs/>
          <w:i/>
        </w:rPr>
        <w:t xml:space="preserve">entre</w:t>
      </w:r>
      <w:r>
        <w:t xml:space="preserve">）、产业结构升级（</w:t>
      </w:r>
      <w:r>
        <w:rPr>
          <w:iCs/>
          <w:i/>
        </w:rPr>
        <w:t xml:space="preserve">upg</w:t>
      </w:r>
      <w:r>
        <w:t xml:space="preserve">）与人力资本水平（</w:t>
      </w:r>
      <w:r>
        <w:rPr>
          <w:iCs/>
          <w:i/>
        </w:rPr>
        <w:t xml:space="preserve">hc</w:t>
      </w:r>
      <w:r>
        <w:t xml:space="preserve">），其余变量含义同式（1）。</w:t>
      </w:r>
    </w:p>
    <w:p>
      <w:pPr>
        <w:pStyle w:val="BodyText"/>
      </w:pPr>
      <w:r>
        <w:t xml:space="preserve">为检验数字经济赋能作用的非线性特征，以人力资本水平为门槛变量，构建如下面板门槛模型：</w:t>
      </w:r>
    </w:p>
    <w:p>
      <w:pPr>
        <w:pStyle w:val="BodyText"/>
      </w:pPr>
      <m:oMathPara>
        <m:oMathParaPr>
          <m:jc m:val="center"/>
        </m:oMathParaPr>
        <m:oMath>
          <m:sSub>
            <m:e>
              <m:r>
                <m:rPr>
                  <m:sty m:val="p"/>
                </m:rPr>
                <m:t>yqe</m:t>
              </m:r>
            </m:e>
            <m:sub>
              <m:r>
                <m:t>i</m:t>
              </m:r>
              <m:r>
                <m:t>t</m:t>
              </m:r>
            </m:sub>
          </m:sSub>
          <m:r>
            <m:rPr>
              <m:sty m:val="p"/>
            </m:rPr>
            <m:t>=</m:t>
          </m:r>
          <m:sSub>
            <m:e>
              <m:r>
                <m:t>θ</m:t>
              </m:r>
            </m:e>
            <m:sub>
              <m:r>
                <m:t>0</m:t>
              </m:r>
            </m:sub>
          </m:sSub>
          <m:r>
            <m:rPr>
              <m:sty m:val="p"/>
            </m:rPr>
            <m:t>+</m:t>
          </m:r>
          <m:sSub>
            <m:e>
              <m:r>
                <m:t>θ</m:t>
              </m:r>
            </m:e>
            <m:sub>
              <m:r>
                <m:t>1</m:t>
              </m:r>
            </m:sub>
          </m:sSub>
          <m:sSub>
            <m:e>
              <m:r>
                <m:rPr>
                  <m:sty m:val="p"/>
                </m:rPr>
                <m:t>dig</m:t>
              </m:r>
            </m:e>
            <m:sub>
              <m:r>
                <m:t>i</m:t>
              </m:r>
              <m:r>
                <m:t>t</m:t>
              </m:r>
            </m:sub>
          </m:sSub>
          <m:r>
            <m:rPr>
              <m:sty m:val="p"/>
            </m:rPr>
            <m:t>×</m:t>
          </m:r>
          <m:r>
            <m:t>I</m:t>
          </m:r>
          <m:d>
            <m:dPr>
              <m:begChr m:val="("/>
              <m:endChr m:val=")"/>
              <m:sepChr m:val=""/>
              <m:grow/>
            </m:dPr>
            <m:e>
              <m:sSub>
                <m:e>
                  <m:r>
                    <m:rPr>
                      <m:sty m:val="p"/>
                    </m:rPr>
                    <m:t>hc</m:t>
                  </m:r>
                </m:e>
                <m:sub>
                  <m:r>
                    <m:t>i</m:t>
                  </m:r>
                  <m:r>
                    <m:t>t</m:t>
                  </m:r>
                </m:sub>
              </m:sSub>
              <m:r>
                <m:rPr>
                  <m:sty m:val="p"/>
                </m:rPr>
                <m:t>≤</m:t>
              </m:r>
              <m:sSub>
                <m:e>
                  <m:r>
                    <m:t>γ</m:t>
                  </m:r>
                </m:e>
                <m:sub>
                  <m:r>
                    <m:t>1</m:t>
                  </m:r>
                </m:sub>
              </m:sSub>
            </m:e>
          </m:d>
          <m:r>
            <m:rPr>
              <m:sty m:val="p"/>
            </m:rPr>
            <m:t>+</m:t>
          </m:r>
          <m:sSub>
            <m:e>
              <m:r>
                <m:t>θ</m:t>
              </m:r>
            </m:e>
            <m:sub>
              <m:r>
                <m:t>2</m:t>
              </m:r>
            </m:sub>
          </m:sSub>
          <m:sSub>
            <m:e>
              <m:r>
                <m:rPr>
                  <m:sty m:val="p"/>
                </m:rPr>
                <m:t>dig</m:t>
              </m:r>
            </m:e>
            <m:sub>
              <m:r>
                <m:t>i</m:t>
              </m:r>
              <m:r>
                <m:t>t</m:t>
              </m:r>
            </m:sub>
          </m:sSub>
          <m:r>
            <m:rPr>
              <m:sty m:val="p"/>
            </m:rPr>
            <m:t>×</m:t>
          </m:r>
          <m:r>
            <m:t>I</m:t>
          </m:r>
          <m:d>
            <m:dPr>
              <m:begChr m:val="("/>
              <m:endChr m:val=")"/>
              <m:sepChr m:val=""/>
              <m:grow/>
            </m:dPr>
            <m:e>
              <m:sSub>
                <m:e>
                  <m:r>
                    <m:t>γ</m:t>
                  </m:r>
                </m:e>
                <m:sub>
                  <m:r>
                    <m:t>1</m:t>
                  </m:r>
                </m:sub>
              </m:sSub>
              <m:r>
                <m:rPr>
                  <m:sty m:val="p"/>
                </m:rPr>
                <m:t>&lt;</m:t>
              </m:r>
              <m:sSub>
                <m:e>
                  <m:r>
                    <m:rPr>
                      <m:sty m:val="p"/>
                    </m:rPr>
                    <m:t>hc</m:t>
                  </m:r>
                </m:e>
                <m:sub>
                  <m:r>
                    <m:t>i</m:t>
                  </m:r>
                  <m:r>
                    <m:t>t</m:t>
                  </m:r>
                </m:sub>
              </m:sSub>
              <m:r>
                <m:rPr>
                  <m:sty m:val="p"/>
                </m:rPr>
                <m:t>≤</m:t>
              </m:r>
              <m:sSub>
                <m:e>
                  <m:r>
                    <m:t>γ</m:t>
                  </m:r>
                </m:e>
                <m:sub>
                  <m:r>
                    <m:t>2</m:t>
                  </m:r>
                </m:sub>
              </m:sSub>
            </m:e>
          </m:d>
          <m:r>
            <m:rPr>
              <m:sty m:val="p"/>
            </m:rPr>
            <m:t>+</m:t>
          </m:r>
          <m:sSub>
            <m:e>
              <m:r>
                <m:t>θ</m:t>
              </m:r>
            </m:e>
            <m:sub>
              <m:r>
                <m:t>3</m:t>
              </m:r>
            </m:sub>
          </m:sSub>
          <m:sSub>
            <m:e>
              <m:r>
                <m:rPr>
                  <m:sty m:val="p"/>
                </m:rPr>
                <m:t>dig</m:t>
              </m:r>
            </m:e>
            <m:sub>
              <m:r>
                <m:t>i</m:t>
              </m:r>
              <m:r>
                <m:t>t</m:t>
              </m:r>
            </m:sub>
          </m:sSub>
          <m:r>
            <m:rPr>
              <m:sty m:val="p"/>
            </m:rPr>
            <m:t>×</m:t>
          </m:r>
          <m:r>
            <m:t>I</m:t>
          </m:r>
          <m:d>
            <m:dPr>
              <m:begChr m:val="("/>
              <m:endChr m:val=")"/>
              <m:sepChr m:val=""/>
              <m:grow/>
            </m:dPr>
            <m:e>
              <m:sSub>
                <m:e>
                  <m:r>
                    <m:rPr>
                      <m:sty m:val="p"/>
                    </m:rPr>
                    <m:t>hc</m:t>
                  </m:r>
                </m:e>
                <m:sub>
                  <m:r>
                    <m:t>i</m:t>
                  </m:r>
                  <m:r>
                    <m:t>t</m:t>
                  </m:r>
                </m:sub>
              </m:sSub>
              <m:r>
                <m:rPr>
                  <m:sty m:val="p"/>
                </m:rPr>
                <m:t>&gt;</m:t>
              </m:r>
              <m:sSub>
                <m:e>
                  <m:r>
                    <m:t>γ</m:t>
                  </m:r>
                </m:e>
                <m:sub>
                  <m:r>
                    <m:t>2</m:t>
                  </m:r>
                </m:sub>
              </m:sSub>
            </m:e>
          </m:d>
          <m:r>
            <m:rPr>
              <m:sty m:val="p"/>
            </m:rPr>
            <m:t>+</m:t>
          </m:r>
          <m:sSub>
            <m:e>
              <m:r>
                <m:t>θ</m:t>
              </m:r>
            </m:e>
            <m:sub>
              <m:r>
                <m:t>j</m:t>
              </m:r>
            </m:sub>
          </m:sSub>
          <m:sSub>
            <m:e>
              <m:r>
                <m:rPr>
                  <m:sty m:val="p"/>
                </m:rPr>
                <m:t>Controls</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r>
            <m:t> </m:t>
          </m:r>
          <m:r>
            <m:t> </m:t>
          </m:r>
          <m:r>
            <m:rPr>
              <m:sty m:val="p"/>
            </m:rPr>
            <m:t>（</m:t>
          </m:r>
          <m:r>
            <m:t>4</m:t>
          </m:r>
          <m:r>
            <m:rPr>
              <m:sty m:val="p"/>
            </m:rPr>
            <m:t>）</m:t>
          </m:r>
        </m:oMath>
      </m:oMathPara>
    </w:p>
    <w:p>
      <w:pPr>
        <w:pStyle w:val="FirstParagraph"/>
      </w:pPr>
      <w:r>
        <w:t xml:space="preserve">其中，</w:t>
      </w:r>
      <m:oMath>
        <m:sSub>
          <m:e>
            <m:r>
              <m:t>γ</m:t>
            </m:r>
          </m:e>
          <m:sub>
            <m:r>
              <m:t>1</m:t>
            </m:r>
          </m:sub>
        </m:sSub>
      </m:oMath>
      <w:r>
        <w:t xml:space="preserve">、</w:t>
      </w:r>
      <m:oMath>
        <m:sSub>
          <m:e>
            <m:r>
              <m:t>γ</m:t>
            </m:r>
          </m:e>
          <m:sub>
            <m:r>
              <m:t>2</m:t>
            </m:r>
          </m:sub>
        </m:sSub>
      </m:oMath>
      <w:r>
        <w:t xml:space="preserve">为待估门槛值，</w:t>
      </w:r>
      <m:oMath>
        <m:r>
          <m:t>I</m:t>
        </m:r>
        <m:d>
          <m:dPr>
            <m:begChr m:val="("/>
            <m:endChr m:val=")"/>
            <m:sepChr m:val=""/>
            <m:grow/>
          </m:dPr>
          <m:e>
            <m:r>
              <m:rPr>
                <m:sty m:val="p"/>
              </m:rPr>
              <m:t>⋅</m:t>
            </m:r>
          </m:e>
        </m:d>
      </m:oMath>
      <w:r>
        <w:t xml:space="preserve">为示性函数，满足括号内条件时取1，否则取0。</w:t>
      </w:r>
    </w:p>
    <w:bookmarkEnd w:id="25"/>
    <w:bookmarkStart w:id="30" w:name="变量选取"/>
    <w:p>
      <w:pPr>
        <w:pStyle w:val="Heading2"/>
      </w:pPr>
      <w:r>
        <w:t xml:space="preserve">2.2 变量选取</w:t>
      </w:r>
    </w:p>
    <w:bookmarkStart w:id="26" w:name="被解释变量"/>
    <w:p>
      <w:pPr>
        <w:pStyle w:val="Heading3"/>
      </w:pPr>
      <w:r>
        <w:t xml:space="preserve">2.2.1 被解释变量</w:t>
      </w:r>
    </w:p>
    <w:p>
      <w:pPr>
        <w:pStyle w:val="FirstParagraph"/>
      </w:pPr>
      <w:r>
        <w:t xml:space="preserve">青年高质量就业水平（</w:t>
      </w:r>
      <w:r>
        <w:rPr>
          <w:iCs/>
          <w:i/>
        </w:rPr>
        <w:t xml:space="preserve">yqe</w:t>
      </w:r>
      <w:r>
        <w:t xml:space="preserve">）。参考戚聿东等（2020）</w:t>
      </w:r>
      <w:r>
        <w:rPr>
          <w:vertAlign w:val="superscript"/>
        </w:rPr>
        <w:t xml:space="preserve">[3]</w:t>
      </w:r>
      <w:r>
        <w:t xml:space="preserve">与郭冉等（2022）</w:t>
      </w:r>
      <w:r>
        <w:rPr>
          <w:vertAlign w:val="superscript"/>
        </w:rPr>
        <w:t xml:space="preserve">[8]</w:t>
      </w:r>
      <w:r>
        <w:t xml:space="preserve">关于就业质量测度的研究，本文从就业充分性、就业稳定性、就业报酬、就业保障与就业发展5个维度选取8项具体指标构建青年高质量就业评价指标体系（见表1），并采用熵值法测算综合指数。熵值法的具体步骤为：首先对各项指标作极差标准化处理，正向指标与负向指标分别按下式处理：</w:t>
      </w:r>
    </w:p>
    <w:p>
      <w:pPr>
        <w:pStyle w:val="BodyText"/>
      </w:pPr>
      <m:oMathPara>
        <m:oMathParaPr>
          <m:jc m:val="center"/>
        </m:oMathParaPr>
        <m:oMath>
          <m:sSubSup>
            <m:e>
              <m:r>
                <m:t>x</m:t>
              </m:r>
            </m:e>
            <m:sub>
              <m:r>
                <m:t>i</m:t>
              </m:r>
              <m:r>
                <m:t>j</m:t>
              </m:r>
            </m:sub>
            <m:sup>
              <m:r>
                <m:rPr>
                  <m:sty m:val="p"/>
                </m:rPr>
                <m:t>′</m:t>
              </m:r>
            </m:sup>
          </m:sSubSup>
          <m:r>
            <m:rPr>
              <m:sty m:val="p"/>
            </m:rPr>
            <m:t>=</m:t>
          </m:r>
          <m:f>
            <m:fPr>
              <m:type m:val="bar"/>
            </m:fPr>
            <m:num>
              <m:sSub>
                <m:e>
                  <m:r>
                    <m:t>x</m:t>
                  </m:r>
                </m:e>
                <m:sub>
                  <m:r>
                    <m:t>i</m:t>
                  </m:r>
                  <m:r>
                    <m:t>j</m:t>
                  </m:r>
                </m:sub>
              </m:sSub>
              <m:r>
                <m:rPr>
                  <m:sty m:val="p"/>
                </m:rPr>
                <m:t>−</m:t>
              </m:r>
              <m:r>
                <m:rPr>
                  <m:sty m:val="p"/>
                </m:rPr>
                <m:t>min</m:t>
              </m:r>
              <m:sSub>
                <m:e>
                  <m:r>
                    <m:t>x</m:t>
                  </m:r>
                </m:e>
                <m:sub>
                  <m:r>
                    <m:t>j</m:t>
                  </m:r>
                </m:sub>
              </m:sSub>
            </m:num>
            <m:den>
              <m:r>
                <m:rPr>
                  <m:sty m:val="p"/>
                </m:rPr>
                <m:t>max</m:t>
              </m:r>
              <m:sSub>
                <m:e>
                  <m:r>
                    <m:t>x</m:t>
                  </m:r>
                </m:e>
                <m:sub>
                  <m:r>
                    <m:t>j</m:t>
                  </m:r>
                </m:sub>
              </m:sSub>
              <m:r>
                <m:rPr>
                  <m:sty m:val="p"/>
                </m:rPr>
                <m:t>−</m:t>
              </m:r>
              <m:r>
                <m:rPr>
                  <m:sty m:val="p"/>
                </m:rPr>
                <m:t>min</m:t>
              </m:r>
              <m:sSub>
                <m:e>
                  <m:r>
                    <m:t>x</m:t>
                  </m:r>
                </m:e>
                <m:sub>
                  <m:r>
                    <m:t>j</m:t>
                  </m:r>
                </m:sub>
              </m:sSub>
            </m:den>
          </m:f>
          <m:r>
            <m:rPr>
              <m:sty m:val="p"/>
            </m:rPr>
            <m:t>,</m:t>
          </m:r>
          <m:r>
            <m:t> </m:t>
          </m:r>
          <m:sSubSup>
            <m:e>
              <m:r>
                <m:t>x</m:t>
              </m:r>
            </m:e>
            <m:sub>
              <m:r>
                <m:t>i</m:t>
              </m:r>
              <m:r>
                <m:t>j</m:t>
              </m:r>
            </m:sub>
            <m:sup>
              <m:r>
                <m:rPr>
                  <m:sty m:val="p"/>
                </m:rPr>
                <m:t>′</m:t>
              </m:r>
            </m:sup>
          </m:sSubSup>
          <m:r>
            <m:rPr>
              <m:sty m:val="p"/>
            </m:rPr>
            <m:t>=</m:t>
          </m:r>
          <m:f>
            <m:fPr>
              <m:type m:val="bar"/>
            </m:fPr>
            <m:num>
              <m:r>
                <m:rPr>
                  <m:sty m:val="p"/>
                </m:rPr>
                <m:t>max</m:t>
              </m:r>
              <m:sSub>
                <m:e>
                  <m:r>
                    <m:t>x</m:t>
                  </m:r>
                </m:e>
                <m:sub>
                  <m:r>
                    <m:t>j</m:t>
                  </m:r>
                </m:sub>
              </m:sSub>
              <m:r>
                <m:rPr>
                  <m:sty m:val="p"/>
                </m:rPr>
                <m:t>−</m:t>
              </m:r>
              <m:sSub>
                <m:e>
                  <m:r>
                    <m:t>x</m:t>
                  </m:r>
                </m:e>
                <m:sub>
                  <m:r>
                    <m:t>i</m:t>
                  </m:r>
                  <m:r>
                    <m:t>j</m:t>
                  </m:r>
                </m:sub>
              </m:sSub>
            </m:num>
            <m:den>
              <m:r>
                <m:rPr>
                  <m:sty m:val="p"/>
                </m:rPr>
                <m:t>max</m:t>
              </m:r>
              <m:sSub>
                <m:e>
                  <m:r>
                    <m:t>x</m:t>
                  </m:r>
                </m:e>
                <m:sub>
                  <m:r>
                    <m:t>j</m:t>
                  </m:r>
                </m:sub>
              </m:sSub>
              <m:r>
                <m:rPr>
                  <m:sty m:val="p"/>
                </m:rPr>
                <m:t>−</m:t>
              </m:r>
              <m:r>
                <m:rPr>
                  <m:sty m:val="p"/>
                </m:rPr>
                <m:t>min</m:t>
              </m:r>
              <m:sSub>
                <m:e>
                  <m:r>
                    <m:t>x</m:t>
                  </m:r>
                </m:e>
                <m:sub>
                  <m:r>
                    <m:t>j</m:t>
                  </m:r>
                </m:sub>
              </m:sSub>
            </m:den>
          </m:f>
          <m:r>
            <m:t> </m:t>
          </m:r>
          <m:r>
            <m:t> </m:t>
          </m:r>
          <m:r>
            <m:rPr>
              <m:sty m:val="p"/>
            </m:rPr>
            <m:t>（</m:t>
          </m:r>
          <m:r>
            <m:t>5</m:t>
          </m:r>
          <m:r>
            <m:rPr>
              <m:sty m:val="p"/>
            </m:rPr>
            <m:t>）</m:t>
          </m:r>
        </m:oMath>
      </m:oMathPara>
    </w:p>
    <w:p>
      <w:pPr>
        <w:pStyle w:val="FirstParagraph"/>
      </w:pPr>
      <w:r>
        <w:t xml:space="preserve">其次计算第</w:t>
      </w:r>
      <w:r>
        <w:rPr>
          <w:iCs/>
          <w:i/>
        </w:rPr>
        <w:t xml:space="preserve">j</w:t>
      </w:r>
      <w:r>
        <w:t xml:space="preserve">项指标的熵值</w:t>
      </w:r>
      <m:oMath>
        <m:sSub>
          <m:e>
            <m:r>
              <m:t>e</m:t>
            </m:r>
          </m:e>
          <m:sub>
            <m:r>
              <m:t>j</m:t>
            </m:r>
          </m:sub>
        </m:sSub>
      </m:oMath>
      <w:r>
        <w:t xml:space="preserve">与权重</w:t>
      </w:r>
      <m:oMath>
        <m:sSub>
          <m:e>
            <m:r>
              <m:t>w</m:t>
            </m:r>
          </m:e>
          <m:sub>
            <m:r>
              <m:t>j</m:t>
            </m:r>
          </m:sub>
        </m:sSub>
      </m:oMath>
      <w:r>
        <w:t xml:space="preserve">：</w:t>
      </w:r>
    </w:p>
    <w:p>
      <w:pPr>
        <w:pStyle w:val="BodyText"/>
      </w:pPr>
      <m:oMathPara>
        <m:oMathParaPr>
          <m:jc m:val="center"/>
        </m:oMathParaPr>
        <m:oMath>
          <m:sSub>
            <m:e>
              <m:r>
                <m:t>e</m:t>
              </m:r>
            </m:e>
            <m:sub>
              <m:r>
                <m:t>j</m:t>
              </m:r>
            </m:sub>
          </m:sSub>
          <m:r>
            <m:rPr>
              <m:sty m:val="p"/>
            </m:rPr>
            <m:t>=</m:t>
          </m:r>
          <m:r>
            <m:rPr>
              <m:sty m:val="p"/>
            </m:rPr>
            <m:t>−</m:t>
          </m:r>
          <m:f>
            <m:fPr>
              <m:type m:val="bar"/>
            </m:fPr>
            <m:num>
              <m:r>
                <m:t>1</m:t>
              </m:r>
            </m:num>
            <m:den>
              <m:r>
                <m:rPr>
                  <m:sty m:val="p"/>
                </m:rPr>
                <m:t>ln</m:t>
              </m:r>
              <m:r>
                <m:t>n</m:t>
              </m:r>
            </m:den>
          </m:f>
          <m:nary>
            <m:naryPr>
              <m:chr m:val="∑"/>
              <m:limLoc m:val="undOvr"/>
              <m:subHide m:val="off"/>
              <m:supHide m:val="off"/>
            </m:naryPr>
            <m:sub>
              <m:r>
                <m:t>i</m:t>
              </m:r>
              <m:r>
                <m:rPr>
                  <m:sty m:val="p"/>
                </m:rPr>
                <m:t>=</m:t>
              </m:r>
              <m:r>
                <m:t>1</m:t>
              </m:r>
            </m:sub>
            <m:sup>
              <m:r>
                <m:t>n</m:t>
              </m:r>
            </m:sup>
            <m:e>
              <m:sSub>
                <m:e>
                  <m:r>
                    <m:t>p</m:t>
                  </m:r>
                </m:e>
                <m:sub>
                  <m:r>
                    <m:t>i</m:t>
                  </m:r>
                  <m:r>
                    <m:t>j</m:t>
                  </m:r>
                </m:sub>
              </m:sSub>
            </m:e>
          </m:nary>
          <m:r>
            <m:rPr>
              <m:sty m:val="p"/>
            </m:rPr>
            <m:t>ln</m:t>
          </m:r>
          <m:sSub>
            <m:e>
              <m:r>
                <m:t>p</m:t>
              </m:r>
            </m:e>
            <m:sub>
              <m:r>
                <m:t>i</m:t>
              </m:r>
              <m:r>
                <m:t>j</m:t>
              </m:r>
            </m:sub>
          </m:sSub>
          <m:r>
            <m:rPr>
              <m:sty m:val="p"/>
            </m:rPr>
            <m:t>,</m:t>
          </m:r>
          <m:r>
            <m:t> </m:t>
          </m:r>
          <m:sSub>
            <m:e>
              <m:r>
                <m:t>w</m:t>
              </m:r>
            </m:e>
            <m:sub>
              <m:r>
                <m:t>j</m:t>
              </m:r>
            </m:sub>
          </m:sSub>
          <m:r>
            <m:rPr>
              <m:sty m:val="p"/>
            </m:rPr>
            <m:t>=</m:t>
          </m:r>
          <m:f>
            <m:fPr>
              <m:type m:val="bar"/>
            </m:fPr>
            <m:num>
              <m:r>
                <m:t>1</m:t>
              </m:r>
              <m:r>
                <m:rPr>
                  <m:sty m:val="p"/>
                </m:rPr>
                <m:t>−</m:t>
              </m:r>
              <m:sSub>
                <m:e>
                  <m:r>
                    <m:t>e</m:t>
                  </m:r>
                </m:e>
                <m:sub>
                  <m:r>
                    <m:t>j</m:t>
                  </m:r>
                </m:sub>
              </m:sSub>
            </m:num>
            <m:den>
              <m:nary>
                <m:naryPr>
                  <m:chr m:val="∑"/>
                  <m:limLoc m:val="undOvr"/>
                  <m:subHide m:val="off"/>
                  <m:supHide m:val="off"/>
                </m:naryPr>
                <m:sub>
                  <m:r>
                    <m:t>j</m:t>
                  </m:r>
                  <m:r>
                    <m:rPr>
                      <m:sty m:val="p"/>
                    </m:rPr>
                    <m:t>=</m:t>
                  </m:r>
                  <m:r>
                    <m:t>1</m:t>
                  </m:r>
                </m:sub>
                <m:sup>
                  <m:r>
                    <m:t>m</m:t>
                  </m:r>
                </m:sup>
                <m:e>
                  <m:d>
                    <m:dPr>
                      <m:begChr m:val="("/>
                      <m:endChr m:val=")"/>
                      <m:sepChr m:val=""/>
                      <m:grow/>
                    </m:dPr>
                    <m:e>
                      <m:r>
                        <m:t>1</m:t>
                      </m:r>
                      <m:r>
                        <m:rPr>
                          <m:sty m:val="p"/>
                        </m:rPr>
                        <m:t>−</m:t>
                      </m:r>
                      <m:sSub>
                        <m:e>
                          <m:r>
                            <m:t>e</m:t>
                          </m:r>
                        </m:e>
                        <m:sub>
                          <m:r>
                            <m:t>j</m:t>
                          </m:r>
                        </m:sub>
                      </m:sSub>
                    </m:e>
                  </m:d>
                </m:e>
              </m:nary>
            </m:den>
          </m:f>
          <m:r>
            <m:t> </m:t>
          </m:r>
          <m:r>
            <m:t> </m:t>
          </m:r>
          <m:r>
            <m:rPr>
              <m:sty m:val="p"/>
            </m:rPr>
            <m:t>（</m:t>
          </m:r>
          <m:r>
            <m:t>6</m:t>
          </m:r>
          <m:r>
            <m:rPr>
              <m:sty m:val="p"/>
            </m:rPr>
            <m:t>）</m:t>
          </m:r>
        </m:oMath>
      </m:oMathPara>
    </w:p>
    <w:p>
      <w:pPr>
        <w:pStyle w:val="FirstParagraph"/>
      </w:pPr>
      <w:r>
        <w:t xml:space="preserve">其中，</w:t>
      </w:r>
      <m:oMath>
        <m:sSub>
          <m:e>
            <m:r>
              <m:t>p</m:t>
            </m:r>
          </m:e>
          <m:sub>
            <m:r>
              <m:t>i</m:t>
            </m:r>
            <m:r>
              <m:t>j</m:t>
            </m:r>
          </m:sub>
        </m:sSub>
        <m:r>
          <m:rPr>
            <m:sty m:val="p"/>
          </m:rPr>
          <m:t>=</m:t>
        </m:r>
        <m:sSubSup>
          <m:e>
            <m:r>
              <m:t>x</m:t>
            </m:r>
          </m:e>
          <m:sub>
            <m:r>
              <m:t>i</m:t>
            </m:r>
            <m:r>
              <m:t>j</m:t>
            </m:r>
          </m:sub>
          <m:sup>
            <m:r>
              <m:rPr>
                <m:sty m:val="p"/>
              </m:rPr>
              <m:t>′</m:t>
            </m:r>
          </m:sup>
        </m:sSubSup>
        <m:r>
          <m:rPr>
            <m:sty m:val="p"/>
          </m:rPr>
          <m:t>/</m:t>
        </m:r>
        <m:nary>
          <m:naryPr>
            <m:chr m:val="∑"/>
            <m:limLoc m:val="undOvr"/>
            <m:subHide m:val="off"/>
            <m:supHide m:val="off"/>
          </m:naryPr>
          <m:sub>
            <m:r>
              <m:t>i</m:t>
            </m:r>
            <m:r>
              <m:rPr>
                <m:sty m:val="p"/>
              </m:rPr>
              <m:t>=</m:t>
            </m:r>
            <m:r>
              <m:t>1</m:t>
            </m:r>
          </m:sub>
          <m:sup>
            <m:r>
              <m:t>n</m:t>
            </m:r>
          </m:sup>
          <m:e>
            <m:sSubSup>
              <m:e>
                <m:r>
                  <m:t>x</m:t>
                </m:r>
              </m:e>
              <m:sub>
                <m:r>
                  <m:t>i</m:t>
                </m:r>
                <m:r>
                  <m:t>j</m:t>
                </m:r>
              </m:sub>
              <m:sup>
                <m:r>
                  <m:rPr>
                    <m:sty m:val="p"/>
                  </m:rPr>
                  <m:t>′</m:t>
                </m:r>
              </m:sup>
            </m:sSubSup>
          </m:e>
        </m:nary>
      </m:oMath>
      <w:r>
        <w:t xml:space="preserve">，</w:t>
      </w:r>
      <w:r>
        <w:rPr>
          <w:iCs/>
          <w:i/>
        </w:rPr>
        <w:t xml:space="preserve">n</w:t>
      </w:r>
      <w:r>
        <w:t xml:space="preserve">与</w:t>
      </w:r>
      <w:r>
        <w:rPr>
          <w:iCs/>
          <w:i/>
        </w:rPr>
        <w:t xml:space="preserve">m</w:t>
      </w:r>
      <w:r>
        <w:t xml:space="preserve">分别为样本量与指标个数。最后按</w:t>
      </w:r>
      <m:oMath>
        <m:sSub>
          <m:e>
            <m:r>
              <m:rPr>
                <m:sty m:val="p"/>
              </m:rPr>
              <m:t>yqe</m:t>
            </m:r>
          </m:e>
          <m:sub>
            <m:r>
              <m:t>i</m:t>
            </m:r>
          </m:sub>
        </m:sSub>
        <m:r>
          <m:rPr>
            <m:sty m:val="p"/>
          </m:rPr>
          <m:t>=</m:t>
        </m:r>
        <m:nary>
          <m:naryPr>
            <m:chr m:val="∑"/>
            <m:limLoc m:val="undOvr"/>
            <m:subHide m:val="off"/>
            <m:supHide m:val="off"/>
          </m:naryPr>
          <m:sub>
            <m:r>
              <m:t>j</m:t>
            </m:r>
            <m:r>
              <m:rPr>
                <m:sty m:val="p"/>
              </m:rPr>
              <m:t>=</m:t>
            </m:r>
            <m:r>
              <m:t>1</m:t>
            </m:r>
          </m:sub>
          <m:sup>
            <m:r>
              <m:t>m</m:t>
            </m:r>
          </m:sup>
          <m:e>
            <m:sSub>
              <m:e>
                <m:r>
                  <m:t>w</m:t>
                </m:r>
              </m:e>
              <m:sub>
                <m:r>
                  <m:t>j</m:t>
                </m:r>
              </m:sub>
            </m:sSub>
          </m:e>
        </m:nary>
        <m:sSubSup>
          <m:e>
            <m:r>
              <m:t>x</m:t>
            </m:r>
          </m:e>
          <m:sub>
            <m:r>
              <m:t>i</m:t>
            </m:r>
            <m:r>
              <m:t>j</m:t>
            </m:r>
          </m:sub>
          <m:sup>
            <m:r>
              <m:rPr>
                <m:sty m:val="p"/>
              </m:rPr>
              <m:t>′</m:t>
            </m:r>
          </m:sup>
        </m:sSubSup>
      </m:oMath>
      <w:r>
        <w:t xml:space="preserve">合成综合指数。</w:t>
      </w:r>
    </w:p>
    <w:p>
      <w:pPr>
        <w:pStyle w:val="TableCaption"/>
      </w:pPr>
      <w:r>
        <w:t xml:space="preserve">表1 青年高质量就业水平评价指标体系</w:t>
      </w:r>
    </w:p>
    <w:tbl>
      <w:tblPr>
        <w:tblStyle w:val="Table"/>
        <w:jc w:val="center"/>
        <w:tblLook w:firstRow="1" w:lastRow="0" w:firstColumn="0" w:lastColumn="0" w:noHBand="0" w:noVBand="0" w:val="0020"/>
        <w:tblCaption w:val="表1 青年高质量就业水平评价指标体系"/>
        <w:tblW w:w="5000" w:type="pct"/>
        <w:tblLayout w:type="autofit"/>
      </w:tblPr>
      <w:tblGrid>
        <w:gridCol w:w="1980"/>
        <w:gridCol w:w="1980"/>
        <w:gridCol w:w="1980"/>
        <w:gridCol w:w="1980"/>
      </w:tblGrid>
      <w:tr>
        <w:trPr>
          <w:tblHeader w:val="true"/>
        </w:trPr>
        <w:tc>
          <w:tcPr/>
          <w:p>
            <w:pPr>
              <w:pStyle w:val="Compact"/>
              <w:spacing w:before="20" w:after="20" w:line="240" w:lineRule="auto"/>
              <w:jc w:val="center"/>
            </w:pPr>
            <w:r>
              <w:t xml:space="preserve">维度</w:t>
            </w:r>
          </w:p>
        </w:tc>
        <w:tc>
          <w:tcPr/>
          <w:p>
            <w:pPr>
              <w:pStyle w:val="Compact"/>
              <w:spacing w:before="20" w:after="20" w:line="240" w:lineRule="auto"/>
              <w:jc w:val="center"/>
            </w:pPr>
            <w:r>
              <w:t xml:space="preserve">具体指标</w:t>
            </w:r>
          </w:p>
        </w:tc>
        <w:tc>
          <w:tcPr/>
          <w:p>
            <w:pPr>
              <w:pStyle w:val="Compact"/>
              <w:spacing w:before="20" w:after="20" w:line="240" w:lineRule="auto"/>
              <w:jc w:val="center"/>
            </w:pPr>
            <w:r>
              <w:t xml:space="preserve">属性</w:t>
            </w:r>
          </w:p>
        </w:tc>
        <w:tc>
          <w:tcPr/>
          <w:p>
            <w:pPr>
              <w:pStyle w:val="Compact"/>
              <w:spacing w:before="20" w:after="20" w:line="240" w:lineRule="auto"/>
              <w:jc w:val="center"/>
            </w:pPr>
            <w:r>
              <w:t xml:space="preserve">权重</w:t>
            </w:r>
          </w:p>
        </w:tc>
      </w:tr>
      <w:tr>
        <w:tc>
          <w:tcPr/>
          <w:p>
            <w:pPr>
              <w:pStyle w:val="Compact"/>
              <w:spacing w:before="20" w:after="20" w:line="240" w:lineRule="auto"/>
              <w:jc w:val="center"/>
            </w:pPr>
            <w:r>
              <w:t xml:space="preserve">就业充分性</w:t>
            </w:r>
          </w:p>
        </w:tc>
        <w:tc>
          <w:tcPr/>
          <w:p>
            <w:pPr>
              <w:pStyle w:val="Compact"/>
              <w:spacing w:before="20" w:after="20" w:line="240" w:lineRule="auto"/>
              <w:jc w:val="center"/>
            </w:pPr>
            <w:r>
              <w:t xml:space="preserve">青年城镇调查失业率（%）</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0.1430</w:t>
            </w:r>
          </w:p>
        </w:tc>
      </w:tr>
      <w:tr>
        <w:tc>
          <w:tcPr/>
          <w:p>
            <w:pPr>
              <w:pStyle w:val="Compact"/>
              <w:spacing w:before="20" w:after="20" w:line="240" w:lineRule="auto"/>
              <w:jc w:val="center"/>
            </w:pPr>
          </w:p>
        </w:tc>
        <w:tc>
          <w:tcPr/>
          <w:p>
            <w:pPr>
              <w:pStyle w:val="Compact"/>
              <w:spacing w:before="20" w:after="20" w:line="240" w:lineRule="auto"/>
              <w:jc w:val="center"/>
            </w:pPr>
            <w:r>
              <w:t xml:space="preserve">青年劳动参与率（%）</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0.1247</w:t>
            </w:r>
          </w:p>
        </w:tc>
      </w:tr>
      <w:tr>
        <w:tc>
          <w:tcPr/>
          <w:p>
            <w:pPr>
              <w:pStyle w:val="Compact"/>
              <w:spacing w:before="20" w:after="20" w:line="240" w:lineRule="auto"/>
              <w:jc w:val="center"/>
            </w:pPr>
            <w:r>
              <w:t xml:space="preserve">就业稳定性</w:t>
            </w:r>
          </w:p>
        </w:tc>
        <w:tc>
          <w:tcPr/>
          <w:p>
            <w:pPr>
              <w:pStyle w:val="Compact"/>
              <w:spacing w:before="20" w:after="20" w:line="240" w:lineRule="auto"/>
              <w:jc w:val="center"/>
            </w:pPr>
            <w:r>
              <w:t xml:space="preserve">青年劳动合同签订率（%）</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0.1399</w:t>
            </w:r>
          </w:p>
        </w:tc>
      </w:tr>
      <w:tr>
        <w:tc>
          <w:tcPr/>
          <w:p>
            <w:pPr>
              <w:pStyle w:val="Compact"/>
              <w:spacing w:before="20" w:after="20" w:line="240" w:lineRule="auto"/>
              <w:jc w:val="center"/>
            </w:pPr>
          </w:p>
        </w:tc>
        <w:tc>
          <w:tcPr/>
          <w:p>
            <w:pPr>
              <w:pStyle w:val="Compact"/>
              <w:spacing w:before="20" w:after="20" w:line="240" w:lineRule="auto"/>
              <w:jc w:val="center"/>
            </w:pPr>
            <w:r>
              <w:t xml:space="preserve">青年年均离职次数（次）</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0.1134</w:t>
            </w:r>
          </w:p>
        </w:tc>
      </w:tr>
      <w:tr>
        <w:tc>
          <w:tcPr/>
          <w:p>
            <w:pPr>
              <w:pStyle w:val="Compact"/>
              <w:spacing w:before="20" w:after="20" w:line="240" w:lineRule="auto"/>
              <w:jc w:val="center"/>
            </w:pPr>
            <w:r>
              <w:t xml:space="preserve">就业报酬</w:t>
            </w:r>
          </w:p>
        </w:tc>
        <w:tc>
          <w:tcPr/>
          <w:p>
            <w:pPr>
              <w:pStyle w:val="Compact"/>
              <w:spacing w:before="20" w:after="20" w:line="240" w:lineRule="auto"/>
              <w:jc w:val="center"/>
            </w:pPr>
            <w:r>
              <w:t xml:space="preserve">青年平均工资相对水平</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0.1242</w:t>
            </w:r>
          </w:p>
        </w:tc>
      </w:tr>
      <w:tr>
        <w:tc>
          <w:tcPr/>
          <w:p>
            <w:pPr>
              <w:pStyle w:val="Compact"/>
              <w:spacing w:before="20" w:after="20" w:line="240" w:lineRule="auto"/>
              <w:jc w:val="center"/>
            </w:pPr>
            <w:r>
              <w:t xml:space="preserve">就业保障</w:t>
            </w:r>
          </w:p>
        </w:tc>
        <w:tc>
          <w:tcPr/>
          <w:p>
            <w:pPr>
              <w:pStyle w:val="Compact"/>
              <w:spacing w:before="20" w:after="20" w:line="240" w:lineRule="auto"/>
              <w:jc w:val="center"/>
            </w:pPr>
            <w:r>
              <w:t xml:space="preserve">青年社会保险参保率（%）</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0.1175</w:t>
            </w:r>
          </w:p>
        </w:tc>
      </w:tr>
      <w:tr>
        <w:tc>
          <w:tcPr/>
          <w:p>
            <w:pPr>
              <w:pStyle w:val="Compact"/>
              <w:spacing w:before="20" w:after="20" w:line="240" w:lineRule="auto"/>
              <w:jc w:val="center"/>
            </w:pPr>
            <w:r>
              <w:t xml:space="preserve">就业发展</w:t>
            </w:r>
          </w:p>
        </w:tc>
        <w:tc>
          <w:tcPr/>
          <w:p>
            <w:pPr>
              <w:pStyle w:val="Compact"/>
              <w:spacing w:before="20" w:after="20" w:line="240" w:lineRule="auto"/>
              <w:jc w:val="center"/>
            </w:pPr>
            <w:r>
              <w:t xml:space="preserve">青年技能培训参与率（%）</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0.0785</w:t>
            </w:r>
          </w:p>
        </w:tc>
      </w:tr>
      <w:tr>
        <w:tc>
          <w:tcPr/>
          <w:p>
            <w:pPr>
              <w:pStyle w:val="Compact"/>
              <w:spacing w:before="20" w:after="20" w:line="240" w:lineRule="auto"/>
              <w:jc w:val="center"/>
            </w:pPr>
          </w:p>
        </w:tc>
        <w:tc>
          <w:tcPr/>
          <w:p>
            <w:pPr>
              <w:pStyle w:val="Compact"/>
              <w:spacing w:before="20" w:after="20" w:line="240" w:lineRule="auto"/>
              <w:jc w:val="center"/>
            </w:pPr>
            <w:r>
              <w:t xml:space="preserve">青年专业技术岗位占比（%）</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0.1587</w:t>
            </w:r>
          </w:p>
        </w:tc>
      </w:tr>
    </w:tbl>
    <w:p>
      <w:pPr>
        <w:pStyle w:val="TableNote"/>
      </w:pPr>
      <w:r>
        <w:t xml:space="preserve">注：青年群体界定为16—34岁劳动年龄人口；青年平均工资相对水平以青年平均工资与城镇单位就业人员平均工资之比衡量；权重由熵值法测算得到。</w:t>
      </w:r>
    </w:p>
    <w:bookmarkEnd w:id="26"/>
    <w:bookmarkStart w:id="27" w:name="核心解释变量"/>
    <w:p>
      <w:pPr>
        <w:pStyle w:val="Heading3"/>
      </w:pPr>
      <w:r>
        <w:t xml:space="preserve">2.2.2 核心解释变量</w:t>
      </w:r>
    </w:p>
    <w:p>
      <w:pPr>
        <w:pStyle w:val="FirstParagraph"/>
      </w:pPr>
      <w:r>
        <w:t xml:space="preserve">数字经济发展水平（</w:t>
      </w:r>
      <w:r>
        <w:rPr>
          <w:iCs/>
          <w:i/>
        </w:rPr>
        <w:t xml:space="preserve">dig</w:t>
      </w:r>
      <w:r>
        <w:t xml:space="preserve">）。借鉴韩先锋等（2019）</w:t>
      </w:r>
      <w:r>
        <w:rPr>
          <w:vertAlign w:val="superscript"/>
        </w:rPr>
        <w:t xml:space="preserve">[13]</w:t>
      </w:r>
      <w:r>
        <w:t xml:space="preserve">与秦建群等（2022）</w:t>
      </w:r>
      <w:r>
        <w:rPr>
          <w:vertAlign w:val="superscript"/>
        </w:rPr>
        <w:t xml:space="preserve">[16]</w:t>
      </w:r>
      <w:r>
        <w:t xml:space="preserve">的做法，本文从数字基础设施、数字产业发展与数字金融服务3个维度选取6项指标构建评价指标体系（见表2），同样采用熵值法测算。</w:t>
      </w:r>
    </w:p>
    <w:p>
      <w:pPr>
        <w:pStyle w:val="TableCaption"/>
      </w:pPr>
      <w:r>
        <w:t xml:space="preserve">表2 数字经济发展水平评价指标体系</w:t>
      </w:r>
    </w:p>
    <w:tbl>
      <w:tblPr>
        <w:tblStyle w:val="Table"/>
        <w:jc w:val="center"/>
        <w:tblLook w:firstRow="1" w:lastRow="0" w:firstColumn="0" w:lastColumn="0" w:noHBand="0" w:noVBand="0" w:val="0020"/>
        <w:tblCaption w:val="表2 数字经济发展水平评价指标体系"/>
        <w:tblW w:w="5000" w:type="pct"/>
        <w:tblLayout w:type="autofit"/>
      </w:tblPr>
      <w:tblGrid>
        <w:gridCol w:w="1980"/>
        <w:gridCol w:w="1980"/>
        <w:gridCol w:w="1980"/>
        <w:gridCol w:w="1980"/>
      </w:tblGrid>
      <w:tr>
        <w:trPr>
          <w:tblHeader w:val="true"/>
        </w:trPr>
        <w:tc>
          <w:tcPr/>
          <w:p>
            <w:pPr>
              <w:pStyle w:val="Compact"/>
              <w:spacing w:before="20" w:after="20" w:line="240" w:lineRule="auto"/>
              <w:jc w:val="center"/>
            </w:pPr>
            <w:r>
              <w:t xml:space="preserve">维度</w:t>
            </w:r>
          </w:p>
        </w:tc>
        <w:tc>
          <w:tcPr/>
          <w:p>
            <w:pPr>
              <w:pStyle w:val="Compact"/>
              <w:spacing w:before="20" w:after="20" w:line="240" w:lineRule="auto"/>
              <w:jc w:val="center"/>
            </w:pPr>
            <w:r>
              <w:t xml:space="preserve">具体指标</w:t>
            </w:r>
          </w:p>
        </w:tc>
        <w:tc>
          <w:tcPr/>
          <w:p>
            <w:pPr>
              <w:pStyle w:val="Compact"/>
              <w:spacing w:before="20" w:after="20" w:line="240" w:lineRule="auto"/>
              <w:jc w:val="center"/>
            </w:pPr>
            <w:r>
              <w:t xml:space="preserve">属性</w:t>
            </w:r>
          </w:p>
        </w:tc>
        <w:tc>
          <w:tcPr/>
          <w:p>
            <w:pPr>
              <w:pStyle w:val="Compact"/>
              <w:spacing w:before="20" w:after="20" w:line="240" w:lineRule="auto"/>
              <w:jc w:val="center"/>
            </w:pPr>
            <w:r>
              <w:t xml:space="preserve">权重</w:t>
            </w:r>
          </w:p>
        </w:tc>
      </w:tr>
      <w:tr>
        <w:tc>
          <w:tcPr/>
          <w:p>
            <w:pPr>
              <w:pStyle w:val="Compact"/>
              <w:spacing w:before="20" w:after="20" w:line="240" w:lineRule="auto"/>
              <w:jc w:val="center"/>
            </w:pPr>
            <w:r>
              <w:t xml:space="preserve">数字基础设施</w:t>
            </w:r>
          </w:p>
        </w:tc>
        <w:tc>
          <w:tcPr/>
          <w:p>
            <w:pPr>
              <w:pStyle w:val="Compact"/>
              <w:spacing w:before="20" w:after="20" w:line="240" w:lineRule="auto"/>
              <w:jc w:val="center"/>
            </w:pPr>
            <w:r>
              <w:t xml:space="preserve">互联网普及率（%）</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0.1453</w:t>
            </w:r>
          </w:p>
        </w:tc>
      </w:tr>
      <w:tr>
        <w:tc>
          <w:tcPr/>
          <w:p>
            <w:pPr>
              <w:pStyle w:val="Compact"/>
              <w:spacing w:before="20" w:after="20" w:line="240" w:lineRule="auto"/>
              <w:jc w:val="center"/>
            </w:pPr>
          </w:p>
        </w:tc>
        <w:tc>
          <w:tcPr/>
          <w:p>
            <w:pPr>
              <w:pStyle w:val="Compact"/>
              <w:spacing w:before="20" w:after="20" w:line="240" w:lineRule="auto"/>
              <w:jc w:val="center"/>
            </w:pPr>
            <w:r>
              <w:t xml:space="preserve">移动电话普及率（部/百人）</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0.1060</w:t>
            </w:r>
          </w:p>
        </w:tc>
      </w:tr>
      <w:tr>
        <w:tc>
          <w:tcPr/>
          <w:p>
            <w:pPr>
              <w:pStyle w:val="Compact"/>
              <w:spacing w:before="20" w:after="20" w:line="240" w:lineRule="auto"/>
              <w:jc w:val="center"/>
            </w:pPr>
            <w:r>
              <w:t xml:space="preserve">数字产业发展</w:t>
            </w:r>
          </w:p>
        </w:tc>
        <w:tc>
          <w:tcPr/>
          <w:p>
            <w:pPr>
              <w:pStyle w:val="Compact"/>
              <w:spacing w:before="20" w:after="20" w:line="240" w:lineRule="auto"/>
              <w:jc w:val="center"/>
            </w:pPr>
            <w:r>
              <w:t xml:space="preserve">信息传输、计算机服务和软件业从业人员占比（%）</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0.1995</w:t>
            </w:r>
          </w:p>
        </w:tc>
      </w:tr>
      <w:tr>
        <w:tc>
          <w:tcPr/>
          <w:p>
            <w:pPr>
              <w:pStyle w:val="Compact"/>
              <w:spacing w:before="20" w:after="20" w:line="240" w:lineRule="auto"/>
              <w:jc w:val="center"/>
            </w:pPr>
          </w:p>
        </w:tc>
        <w:tc>
          <w:tcPr/>
          <w:p>
            <w:pPr>
              <w:pStyle w:val="Compact"/>
              <w:spacing w:before="20" w:after="20" w:line="240" w:lineRule="auto"/>
              <w:jc w:val="center"/>
            </w:pPr>
            <w:r>
              <w:t xml:space="preserve">人均电信业务总量（元）</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0.2342</w:t>
            </w:r>
          </w:p>
        </w:tc>
      </w:tr>
      <w:tr>
        <w:tc>
          <w:tcPr/>
          <w:p>
            <w:pPr>
              <w:pStyle w:val="Compact"/>
              <w:spacing w:before="20" w:after="20" w:line="240" w:lineRule="auto"/>
              <w:jc w:val="center"/>
            </w:pPr>
          </w:p>
        </w:tc>
        <w:tc>
          <w:tcPr/>
          <w:p>
            <w:pPr>
              <w:pStyle w:val="Compact"/>
              <w:spacing w:before="20" w:after="20" w:line="240" w:lineRule="auto"/>
              <w:jc w:val="center"/>
            </w:pPr>
            <w:r>
              <w:t xml:space="preserve">电子商务销售额占比（%）</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0.2109</w:t>
            </w:r>
          </w:p>
        </w:tc>
      </w:tr>
      <w:tr>
        <w:tc>
          <w:tcPr/>
          <w:p>
            <w:pPr>
              <w:pStyle w:val="Compact"/>
              <w:spacing w:before="20" w:after="20" w:line="240" w:lineRule="auto"/>
              <w:jc w:val="center"/>
            </w:pPr>
            <w:r>
              <w:t xml:space="preserve">数字金融服务</w:t>
            </w:r>
          </w:p>
        </w:tc>
        <w:tc>
          <w:tcPr/>
          <w:p>
            <w:pPr>
              <w:pStyle w:val="Compact"/>
              <w:spacing w:before="20" w:after="20" w:line="240" w:lineRule="auto"/>
              <w:jc w:val="center"/>
            </w:pPr>
            <w:r>
              <w:t xml:space="preserve">数字普惠金融指数</w:t>
            </w:r>
          </w:p>
        </w:tc>
        <w:tc>
          <w:tcPr/>
          <w:p>
            <w:pPr>
              <w:pStyle w:val="Compact"/>
              <w:spacing w:before="20" w:after="20" w:line="240" w:lineRule="auto"/>
              <w:jc w:val="center"/>
            </w:pPr>
            <w:r>
              <w:t xml:space="preserve">+</w:t>
            </w:r>
          </w:p>
        </w:tc>
        <w:tc>
          <w:tcPr/>
          <w:p>
            <w:pPr>
              <w:pStyle w:val="Compact"/>
              <w:spacing w:before="20" w:after="20" w:line="240" w:lineRule="auto"/>
              <w:jc w:val="center"/>
            </w:pPr>
            <w:r>
              <w:t xml:space="preserve">0.1042</w:t>
            </w:r>
          </w:p>
        </w:tc>
      </w:tr>
    </w:tbl>
    <w:p>
      <w:pPr>
        <w:pStyle w:val="TableNote"/>
      </w:pPr>
      <w:r>
        <w:t xml:space="preserve">注：数字普惠金融指数来源于北京大学数字普惠金融指数</w:t>
      </w:r>
      <w:r>
        <w:rPr>
          <w:vertAlign w:val="superscript"/>
        </w:rPr>
        <w:t xml:space="preserve">[17]</w:t>
      </w:r>
      <w:r>
        <w:t xml:space="preserve">；权重由熵值法测算得到。</w:t>
      </w:r>
    </w:p>
    <w:bookmarkEnd w:id="27"/>
    <w:bookmarkStart w:id="28" w:name="中介变量"/>
    <w:p>
      <w:pPr>
        <w:pStyle w:val="Heading3"/>
      </w:pPr>
      <w:r>
        <w:t xml:space="preserve">2.2.3 中介变量</w:t>
      </w:r>
    </w:p>
    <w:p>
      <w:pPr>
        <w:pStyle w:val="FirstParagraph"/>
      </w:pPr>
      <w:r>
        <w:t xml:space="preserve">创业活跃度（</w:t>
      </w:r>
      <w:r>
        <w:rPr>
          <w:iCs/>
          <w:i/>
        </w:rPr>
        <w:t xml:space="preserve">entre</w:t>
      </w:r>
      <w:r>
        <w:t xml:space="preserve">），以每万人新登记注册企业数衡量；产业结构升级（</w:t>
      </w:r>
      <w:r>
        <w:rPr>
          <w:iCs/>
          <w:i/>
        </w:rPr>
        <w:t xml:space="preserve">upg</w:t>
      </w:r>
      <w:r>
        <w:t xml:space="preserve">），以第三产业增加值与第二产业增加值之比衡量；人力资本水平（</w:t>
      </w:r>
      <w:r>
        <w:rPr>
          <w:iCs/>
          <w:i/>
        </w:rPr>
        <w:t xml:space="preserve">hc</w:t>
      </w:r>
      <w:r>
        <w:t xml:space="preserve">），以普通高等学校在校学生数占常住人口的比重衡量。</w:t>
      </w:r>
    </w:p>
    <w:bookmarkEnd w:id="28"/>
    <w:bookmarkStart w:id="29" w:name="控制变量"/>
    <w:p>
      <w:pPr>
        <w:pStyle w:val="Heading3"/>
      </w:pPr>
      <w:r>
        <w:t xml:space="preserve">2.2.4 控制变量</w:t>
      </w:r>
    </w:p>
    <w:p>
      <w:pPr>
        <w:pStyle w:val="FirstParagraph"/>
      </w:pPr>
      <w:r>
        <w:t xml:space="preserve">参考已有研究，本文选取以下控制变量：经济发展水平（</w:t>
      </w:r>
      <w:r>
        <w:rPr>
          <w:iCs/>
          <w:i/>
        </w:rPr>
        <w:t xml:space="preserve">pgdp</w:t>
      </w:r>
      <w:r>
        <w:t xml:space="preserve">），以人均地区生产总值的自然对数衡量；政府干预程度（</w:t>
      </w:r>
      <w:r>
        <w:rPr>
          <w:iCs/>
          <w:i/>
        </w:rPr>
        <w:t xml:space="preserve">gov</w:t>
      </w:r>
      <w:r>
        <w:t xml:space="preserve">），以一般公共预算支出与地区生产总值之比衡量；对外开放水平（</w:t>
      </w:r>
      <w:r>
        <w:rPr>
          <w:iCs/>
          <w:i/>
        </w:rPr>
        <w:t xml:space="preserve">open</w:t>
      </w:r>
      <w:r>
        <w:t xml:space="preserve">），以进出口总额与地区生产总值之比衡量；城镇化水平（</w:t>
      </w:r>
      <w:r>
        <w:rPr>
          <w:iCs/>
          <w:i/>
        </w:rPr>
        <w:t xml:space="preserve">urban</w:t>
      </w:r>
      <w:r>
        <w:t xml:space="preserve">），以城镇常住人口占比衡量；教育投入强度（</w:t>
      </w:r>
      <w:r>
        <w:rPr>
          <w:iCs/>
          <w:i/>
        </w:rPr>
        <w:t xml:space="preserve">edu</w:t>
      </w:r>
      <w:r>
        <w:t xml:space="preserve">），以教育支出占一般公共预算支出的比重衡量；基础设施水平（</w:t>
      </w:r>
      <w:r>
        <w:rPr>
          <w:iCs/>
          <w:i/>
        </w:rPr>
        <w:t xml:space="preserve">infra</w:t>
      </w:r>
      <w:r>
        <w:t xml:space="preserve">），以人均城市道路面积的自然对数衡量。</w:t>
      </w:r>
    </w:p>
    <w:bookmarkEnd w:id="29"/>
    <w:bookmarkEnd w:id="30"/>
    <w:bookmarkStart w:id="34" w:name="数据说明"/>
    <w:p>
      <w:pPr>
        <w:pStyle w:val="Heading2"/>
      </w:pPr>
      <w:r>
        <w:t xml:space="preserve">2.3 数据说明</w:t>
      </w:r>
    </w:p>
    <w:p>
      <w:pPr>
        <w:pStyle w:val="FirstParagraph"/>
      </w:pPr>
      <w:r>
        <w:t xml:space="preserve">本文选取2012—2023年中国278个地级及以上城市为研究样本，数据主要来源于《中国城市统计年鉴》《中国区域经济统计年鉴》、各城市统计年鉴与统计公报、北京大学数字普惠金融指数以及国家统计局公布的分年龄组劳动力调查数据。个别缺失数据采用线性插值法补齐，所有价格型变量均以2012年为基期进行平减处理。主要变量的描述性统计结果见表3。</w:t>
      </w:r>
    </w:p>
    <w:p>
      <w:pPr>
        <w:pStyle w:val="TableCaption"/>
      </w:pPr>
      <w:r>
        <w:t xml:space="preserve">表3 主要变量的描述性统计</w:t>
      </w:r>
    </w:p>
    <w:tbl>
      <w:tblPr>
        <w:tblStyle w:val="Table"/>
        <w:jc w:val="center"/>
        <w:tblLook w:firstRow="1" w:lastRow="0" w:firstColumn="0" w:lastColumn="0" w:noHBand="0" w:noVBand="0" w:val="0020"/>
        <w:tblCaption w:val="表3 主要变量的描述性统计"/>
        <w:tblW w:w="5000" w:type="pct"/>
        <w:tblLayout w:type="autofit"/>
      </w:tblPr>
      <w:tblGrid>
        <w:gridCol w:w="1320"/>
        <w:gridCol w:w="1320"/>
        <w:gridCol w:w="1320"/>
        <w:gridCol w:w="1320"/>
        <w:gridCol w:w="1320"/>
        <w:gridCol w:w="1320"/>
      </w:tblGrid>
      <w:tr>
        <w:trPr>
          <w:tblHeader w:val="true"/>
        </w:trPr>
        <w:tc>
          <w:tcPr/>
          <w:p>
            <w:pPr>
              <w:pStyle w:val="Compact"/>
              <w:spacing w:before="20" w:after="20" w:line="240" w:lineRule="auto"/>
              <w:jc w:val="center"/>
            </w:pPr>
            <w:r>
              <w:t xml:space="preserve">变量</w:t>
            </w:r>
          </w:p>
        </w:tc>
        <w:tc>
          <w:tcPr/>
          <w:p>
            <w:pPr>
              <w:pStyle w:val="Compact"/>
              <w:spacing w:before="20" w:after="20" w:line="240" w:lineRule="auto"/>
              <w:jc w:val="center"/>
            </w:pPr>
            <w:r>
              <w:t xml:space="preserve">样本量</w:t>
            </w:r>
          </w:p>
        </w:tc>
        <w:tc>
          <w:tcPr/>
          <w:p>
            <w:pPr>
              <w:pStyle w:val="Compact"/>
              <w:spacing w:before="20" w:after="20" w:line="240" w:lineRule="auto"/>
              <w:jc w:val="center"/>
            </w:pPr>
            <w:r>
              <w:t xml:space="preserve">均值</w:t>
            </w:r>
          </w:p>
        </w:tc>
        <w:tc>
          <w:tcPr/>
          <w:p>
            <w:pPr>
              <w:pStyle w:val="Compact"/>
              <w:spacing w:before="20" w:after="20" w:line="240" w:lineRule="auto"/>
              <w:jc w:val="center"/>
            </w:pPr>
            <w:r>
              <w:t xml:space="preserve">标准差</w:t>
            </w:r>
          </w:p>
        </w:tc>
        <w:tc>
          <w:tcPr/>
          <w:p>
            <w:pPr>
              <w:pStyle w:val="Compact"/>
              <w:spacing w:before="20" w:after="20" w:line="240" w:lineRule="auto"/>
              <w:jc w:val="center"/>
            </w:pPr>
            <w:r>
              <w:t xml:space="preserve">最小值</w:t>
            </w:r>
          </w:p>
        </w:tc>
        <w:tc>
          <w:tcPr/>
          <w:p>
            <w:pPr>
              <w:pStyle w:val="Compact"/>
              <w:spacing w:before="20" w:after="20" w:line="240" w:lineRule="auto"/>
              <w:jc w:val="center"/>
            </w:pPr>
            <w:r>
              <w:t xml:space="preserve">最大值</w:t>
            </w:r>
          </w:p>
        </w:tc>
      </w:tr>
      <w:tr>
        <w:tc>
          <w:tcPr/>
          <w:p>
            <w:pPr>
              <w:pStyle w:val="Compact"/>
              <w:spacing w:before="20" w:after="20" w:line="240" w:lineRule="auto"/>
              <w:jc w:val="center"/>
            </w:pPr>
            <w:r>
              <w:rPr>
                <w:iCs/>
                <w:i/>
              </w:rPr>
              <w:t xml:space="preserve">yqe</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0.4812</w:t>
            </w:r>
          </w:p>
        </w:tc>
        <w:tc>
          <w:tcPr/>
          <w:p>
            <w:pPr>
              <w:pStyle w:val="Compact"/>
              <w:spacing w:before="20" w:after="20" w:line="240" w:lineRule="auto"/>
              <w:jc w:val="center"/>
            </w:pPr>
            <w:r>
              <w:t xml:space="preserve">0.1227</w:t>
            </w:r>
          </w:p>
        </w:tc>
        <w:tc>
          <w:tcPr/>
          <w:p>
            <w:pPr>
              <w:pStyle w:val="Compact"/>
              <w:spacing w:before="20" w:after="20" w:line="240" w:lineRule="auto"/>
              <w:jc w:val="center"/>
            </w:pPr>
            <w:r>
              <w:t xml:space="preserve">0.1460</w:t>
            </w:r>
          </w:p>
        </w:tc>
        <w:tc>
          <w:tcPr/>
          <w:p>
            <w:pPr>
              <w:pStyle w:val="Compact"/>
              <w:spacing w:before="20" w:after="20" w:line="240" w:lineRule="auto"/>
              <w:jc w:val="center"/>
            </w:pPr>
            <w:r>
              <w:t xml:space="preserve">0.8776</w:t>
            </w:r>
          </w:p>
        </w:tc>
      </w:tr>
      <w:tr>
        <w:tc>
          <w:tcPr/>
          <w:p>
            <w:pPr>
              <w:pStyle w:val="Compact"/>
              <w:spacing w:before="20" w:after="20" w:line="240" w:lineRule="auto"/>
              <w:jc w:val="center"/>
            </w:pPr>
            <w:r>
              <w:rPr>
                <w:iCs/>
                <w:i/>
              </w:rPr>
              <w:t xml:space="preserve">dig</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0.2065</w:t>
            </w:r>
          </w:p>
        </w:tc>
        <w:tc>
          <w:tcPr/>
          <w:p>
            <w:pPr>
              <w:pStyle w:val="Compact"/>
              <w:spacing w:before="20" w:after="20" w:line="240" w:lineRule="auto"/>
              <w:jc w:val="center"/>
            </w:pPr>
            <w:r>
              <w:t xml:space="preserve">0.1149</w:t>
            </w:r>
          </w:p>
        </w:tc>
        <w:tc>
          <w:tcPr/>
          <w:p>
            <w:pPr>
              <w:pStyle w:val="Compact"/>
              <w:spacing w:before="20" w:after="20" w:line="240" w:lineRule="auto"/>
              <w:jc w:val="center"/>
            </w:pPr>
            <w:r>
              <w:t xml:space="preserve">0.0154</w:t>
            </w:r>
          </w:p>
        </w:tc>
        <w:tc>
          <w:tcPr/>
          <w:p>
            <w:pPr>
              <w:pStyle w:val="Compact"/>
              <w:spacing w:before="20" w:after="20" w:line="240" w:lineRule="auto"/>
              <w:jc w:val="center"/>
            </w:pPr>
            <w:r>
              <w:t xml:space="preserve">0.9138</w:t>
            </w:r>
          </w:p>
        </w:tc>
      </w:tr>
      <w:tr>
        <w:tc>
          <w:tcPr/>
          <w:p>
            <w:pPr>
              <w:pStyle w:val="Compact"/>
              <w:spacing w:before="20" w:after="20" w:line="240" w:lineRule="auto"/>
              <w:jc w:val="center"/>
            </w:pPr>
            <w:r>
              <w:rPr>
                <w:iCs/>
                <w:i/>
              </w:rPr>
              <w:t xml:space="preserve">entre</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3.2000</w:t>
            </w:r>
          </w:p>
        </w:tc>
        <w:tc>
          <w:tcPr/>
          <w:p>
            <w:pPr>
              <w:pStyle w:val="Compact"/>
              <w:spacing w:before="20" w:after="20" w:line="240" w:lineRule="auto"/>
              <w:jc w:val="center"/>
            </w:pPr>
            <w:r>
              <w:t xml:space="preserve">0.9001</w:t>
            </w:r>
          </w:p>
        </w:tc>
        <w:tc>
          <w:tcPr/>
          <w:p>
            <w:pPr>
              <w:pStyle w:val="Compact"/>
              <w:spacing w:before="20" w:after="20" w:line="240" w:lineRule="auto"/>
              <w:jc w:val="center"/>
            </w:pPr>
            <w:r>
              <w:t xml:space="preserve">0.0648</w:t>
            </w:r>
          </w:p>
        </w:tc>
        <w:tc>
          <w:tcPr/>
          <w:p>
            <w:pPr>
              <w:pStyle w:val="Compact"/>
              <w:spacing w:before="20" w:after="20" w:line="240" w:lineRule="auto"/>
              <w:jc w:val="center"/>
            </w:pPr>
            <w:r>
              <w:t xml:space="preserve">6.4540</w:t>
            </w:r>
          </w:p>
        </w:tc>
      </w:tr>
      <w:tr>
        <w:tc>
          <w:tcPr/>
          <w:p>
            <w:pPr>
              <w:pStyle w:val="Compact"/>
              <w:spacing w:before="20" w:after="20" w:line="240" w:lineRule="auto"/>
              <w:jc w:val="center"/>
            </w:pPr>
            <w:r>
              <w:rPr>
                <w:iCs/>
                <w:i/>
              </w:rPr>
              <w:t xml:space="preserve">upg</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1.0500</w:t>
            </w:r>
          </w:p>
        </w:tc>
        <w:tc>
          <w:tcPr/>
          <w:p>
            <w:pPr>
              <w:pStyle w:val="Compact"/>
              <w:spacing w:before="20" w:after="20" w:line="240" w:lineRule="auto"/>
              <w:jc w:val="center"/>
            </w:pPr>
            <w:r>
              <w:t xml:space="preserve">0.1600</w:t>
            </w:r>
          </w:p>
        </w:tc>
        <w:tc>
          <w:tcPr/>
          <w:p>
            <w:pPr>
              <w:pStyle w:val="Compact"/>
              <w:spacing w:before="20" w:after="20" w:line="240" w:lineRule="auto"/>
              <w:jc w:val="center"/>
            </w:pPr>
            <w:r>
              <w:t xml:space="preserve">0.5584</w:t>
            </w:r>
          </w:p>
        </w:tc>
        <w:tc>
          <w:tcPr/>
          <w:p>
            <w:pPr>
              <w:pStyle w:val="Compact"/>
              <w:spacing w:before="20" w:after="20" w:line="240" w:lineRule="auto"/>
              <w:jc w:val="center"/>
            </w:pPr>
            <w:r>
              <w:t xml:space="preserve">1.5935</w:t>
            </w:r>
          </w:p>
        </w:tc>
      </w:tr>
      <w:tr>
        <w:tc>
          <w:tcPr/>
          <w:p>
            <w:pPr>
              <w:pStyle w:val="Compact"/>
              <w:spacing w:before="20" w:after="20" w:line="240" w:lineRule="auto"/>
              <w:jc w:val="center"/>
            </w:pPr>
            <w:r>
              <w:rPr>
                <w:iCs/>
                <w:i/>
              </w:rPr>
              <w:t xml:space="preserve">hc</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2.6129</w:t>
            </w:r>
          </w:p>
        </w:tc>
        <w:tc>
          <w:tcPr/>
          <w:p>
            <w:pPr>
              <w:pStyle w:val="Compact"/>
              <w:spacing w:before="20" w:after="20" w:line="240" w:lineRule="auto"/>
              <w:jc w:val="center"/>
            </w:pPr>
            <w:r>
              <w:t xml:space="preserve">1.3217</w:t>
            </w:r>
          </w:p>
        </w:tc>
        <w:tc>
          <w:tcPr/>
          <w:p>
            <w:pPr>
              <w:pStyle w:val="Compact"/>
              <w:spacing w:before="20" w:after="20" w:line="240" w:lineRule="auto"/>
              <w:jc w:val="center"/>
            </w:pPr>
            <w:r>
              <w:t xml:space="preserve">0.0500</w:t>
            </w:r>
          </w:p>
        </w:tc>
        <w:tc>
          <w:tcPr/>
          <w:p>
            <w:pPr>
              <w:pStyle w:val="Compact"/>
              <w:spacing w:before="20" w:after="20" w:line="240" w:lineRule="auto"/>
              <w:jc w:val="center"/>
            </w:pPr>
            <w:r>
              <w:t xml:space="preserve">7.3085</w:t>
            </w:r>
          </w:p>
        </w:tc>
      </w:tr>
      <w:tr>
        <w:tc>
          <w:tcPr/>
          <w:p>
            <w:pPr>
              <w:pStyle w:val="Compact"/>
              <w:spacing w:before="20" w:after="20" w:line="240" w:lineRule="auto"/>
              <w:jc w:val="center"/>
            </w:pPr>
            <w:r>
              <w:rPr>
                <w:iCs/>
                <w:i/>
              </w:rPr>
              <w:t xml:space="preserve">pgdp</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11.1585</w:t>
            </w:r>
          </w:p>
        </w:tc>
        <w:tc>
          <w:tcPr/>
          <w:p>
            <w:pPr>
              <w:pStyle w:val="Compact"/>
              <w:spacing w:before="20" w:after="20" w:line="240" w:lineRule="auto"/>
              <w:jc w:val="center"/>
            </w:pPr>
            <w:r>
              <w:t xml:space="preserve">0.6205</w:t>
            </w:r>
          </w:p>
        </w:tc>
        <w:tc>
          <w:tcPr/>
          <w:p>
            <w:pPr>
              <w:pStyle w:val="Compact"/>
              <w:spacing w:before="20" w:after="20" w:line="240" w:lineRule="auto"/>
              <w:jc w:val="center"/>
            </w:pPr>
            <w:r>
              <w:t xml:space="preserve">9.2749</w:t>
            </w:r>
          </w:p>
        </w:tc>
        <w:tc>
          <w:tcPr/>
          <w:p>
            <w:pPr>
              <w:pStyle w:val="Compact"/>
              <w:spacing w:before="20" w:after="20" w:line="240" w:lineRule="auto"/>
              <w:jc w:val="center"/>
            </w:pPr>
            <w:r>
              <w:t xml:space="preserve">13.4210</w:t>
            </w:r>
          </w:p>
        </w:tc>
      </w:tr>
      <w:tr>
        <w:tc>
          <w:tcPr/>
          <w:p>
            <w:pPr>
              <w:pStyle w:val="Compact"/>
              <w:spacing w:before="20" w:after="20" w:line="240" w:lineRule="auto"/>
              <w:jc w:val="center"/>
            </w:pPr>
            <w:r>
              <w:rPr>
                <w:iCs/>
                <w:i/>
              </w:rPr>
              <w:t xml:space="preserve">gov</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18.5115</w:t>
            </w:r>
          </w:p>
        </w:tc>
        <w:tc>
          <w:tcPr/>
          <w:p>
            <w:pPr>
              <w:pStyle w:val="Compact"/>
              <w:spacing w:before="20" w:after="20" w:line="240" w:lineRule="auto"/>
              <w:jc w:val="center"/>
            </w:pPr>
            <w:r>
              <w:t xml:space="preserve">2.1559</w:t>
            </w:r>
          </w:p>
        </w:tc>
        <w:tc>
          <w:tcPr/>
          <w:p>
            <w:pPr>
              <w:pStyle w:val="Compact"/>
              <w:spacing w:before="20" w:after="20" w:line="240" w:lineRule="auto"/>
              <w:jc w:val="center"/>
            </w:pPr>
            <w:r>
              <w:t xml:space="preserve">10.5468</w:t>
            </w:r>
          </w:p>
        </w:tc>
        <w:tc>
          <w:tcPr/>
          <w:p>
            <w:pPr>
              <w:pStyle w:val="Compact"/>
              <w:spacing w:before="20" w:after="20" w:line="240" w:lineRule="auto"/>
              <w:jc w:val="center"/>
            </w:pPr>
            <w:r>
              <w:t xml:space="preserve">26.2792</w:t>
            </w:r>
          </w:p>
        </w:tc>
      </w:tr>
      <w:tr>
        <w:tc>
          <w:tcPr/>
          <w:p>
            <w:pPr>
              <w:pStyle w:val="Compact"/>
              <w:spacing w:before="20" w:after="20" w:line="240" w:lineRule="auto"/>
              <w:jc w:val="center"/>
            </w:pPr>
            <w:r>
              <w:rPr>
                <w:iCs/>
                <w:i/>
              </w:rPr>
              <w:t xml:space="preserve">open</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32.0280</w:t>
            </w:r>
          </w:p>
        </w:tc>
        <w:tc>
          <w:tcPr/>
          <w:p>
            <w:pPr>
              <w:pStyle w:val="Compact"/>
              <w:spacing w:before="20" w:after="20" w:line="240" w:lineRule="auto"/>
              <w:jc w:val="center"/>
            </w:pPr>
            <w:r>
              <w:t xml:space="preserve">12.5268</w:t>
            </w:r>
          </w:p>
        </w:tc>
        <w:tc>
          <w:tcPr/>
          <w:p>
            <w:pPr>
              <w:pStyle w:val="Compact"/>
              <w:spacing w:before="20" w:after="20" w:line="240" w:lineRule="auto"/>
              <w:jc w:val="center"/>
            </w:pPr>
            <w:r>
              <w:t xml:space="preserve">0.0281</w:t>
            </w:r>
          </w:p>
        </w:tc>
        <w:tc>
          <w:tcPr/>
          <w:p>
            <w:pPr>
              <w:pStyle w:val="Compact"/>
              <w:spacing w:before="20" w:after="20" w:line="240" w:lineRule="auto"/>
              <w:jc w:val="center"/>
            </w:pPr>
            <w:r>
              <w:t xml:space="preserve">75.1680</w:t>
            </w:r>
          </w:p>
        </w:tc>
      </w:tr>
      <w:tr>
        <w:tc>
          <w:tcPr/>
          <w:p>
            <w:pPr>
              <w:pStyle w:val="Compact"/>
              <w:spacing w:before="20" w:after="20" w:line="240" w:lineRule="auto"/>
              <w:jc w:val="center"/>
            </w:pPr>
            <w:r>
              <w:rPr>
                <w:iCs/>
                <w:i/>
              </w:rPr>
              <w:t xml:space="preserve">urban</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58.1838</w:t>
            </w:r>
          </w:p>
        </w:tc>
        <w:tc>
          <w:tcPr/>
          <w:p>
            <w:pPr>
              <w:pStyle w:val="Compact"/>
              <w:spacing w:before="20" w:after="20" w:line="240" w:lineRule="auto"/>
              <w:jc w:val="center"/>
            </w:pPr>
            <w:r>
              <w:t xml:space="preserve">14.9706</w:t>
            </w:r>
          </w:p>
        </w:tc>
        <w:tc>
          <w:tcPr/>
          <w:p>
            <w:pPr>
              <w:pStyle w:val="Compact"/>
              <w:spacing w:before="20" w:after="20" w:line="240" w:lineRule="auto"/>
              <w:jc w:val="center"/>
            </w:pPr>
            <w:r>
              <w:t xml:space="preserve">9.8795</w:t>
            </w:r>
          </w:p>
        </w:tc>
        <w:tc>
          <w:tcPr/>
          <w:p>
            <w:pPr>
              <w:pStyle w:val="Compact"/>
              <w:spacing w:before="20" w:after="20" w:line="240" w:lineRule="auto"/>
              <w:jc w:val="center"/>
            </w:pPr>
            <w:r>
              <w:t xml:space="preserve">88.7297</w:t>
            </w:r>
          </w:p>
        </w:tc>
      </w:tr>
      <w:tr>
        <w:tc>
          <w:tcPr/>
          <w:p>
            <w:pPr>
              <w:pStyle w:val="Compact"/>
              <w:spacing w:before="20" w:after="20" w:line="240" w:lineRule="auto"/>
              <w:jc w:val="center"/>
            </w:pPr>
            <w:r>
              <w:rPr>
                <w:iCs/>
                <w:i/>
              </w:rPr>
              <w:t xml:space="preserve">edu</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17.2356</w:t>
            </w:r>
          </w:p>
        </w:tc>
        <w:tc>
          <w:tcPr/>
          <w:p>
            <w:pPr>
              <w:pStyle w:val="Compact"/>
              <w:spacing w:before="20" w:after="20" w:line="240" w:lineRule="auto"/>
              <w:jc w:val="center"/>
            </w:pPr>
            <w:r>
              <w:t xml:space="preserve">1.6031</w:t>
            </w:r>
          </w:p>
        </w:tc>
        <w:tc>
          <w:tcPr/>
          <w:p>
            <w:pPr>
              <w:pStyle w:val="Compact"/>
              <w:spacing w:before="20" w:after="20" w:line="240" w:lineRule="auto"/>
              <w:jc w:val="center"/>
            </w:pPr>
            <w:r>
              <w:t xml:space="preserve">11.6856</w:t>
            </w:r>
          </w:p>
        </w:tc>
        <w:tc>
          <w:tcPr/>
          <w:p>
            <w:pPr>
              <w:pStyle w:val="Compact"/>
              <w:spacing w:before="20" w:after="20" w:line="240" w:lineRule="auto"/>
              <w:jc w:val="center"/>
            </w:pPr>
            <w:r>
              <w:t xml:space="preserve">22.3940</w:t>
            </w:r>
          </w:p>
        </w:tc>
      </w:tr>
      <w:tr>
        <w:tc>
          <w:tcPr/>
          <w:p>
            <w:pPr>
              <w:pStyle w:val="Compact"/>
              <w:spacing w:before="20" w:after="20" w:line="240" w:lineRule="auto"/>
              <w:jc w:val="center"/>
            </w:pPr>
            <w:r>
              <w:rPr>
                <w:iCs/>
                <w:i/>
              </w:rPr>
              <w:t xml:space="preserve">infra</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2.7089</w:t>
            </w:r>
          </w:p>
        </w:tc>
        <w:tc>
          <w:tcPr/>
          <w:p>
            <w:pPr>
              <w:pStyle w:val="Compact"/>
              <w:spacing w:before="20" w:after="20" w:line="240" w:lineRule="auto"/>
              <w:jc w:val="center"/>
            </w:pPr>
            <w:r>
              <w:t xml:space="preserve">0.4098</w:t>
            </w:r>
          </w:p>
        </w:tc>
        <w:tc>
          <w:tcPr/>
          <w:p>
            <w:pPr>
              <w:pStyle w:val="Compact"/>
              <w:spacing w:before="20" w:after="20" w:line="240" w:lineRule="auto"/>
              <w:jc w:val="center"/>
            </w:pPr>
            <w:r>
              <w:t xml:space="preserve">−0.6931</w:t>
            </w:r>
          </w:p>
        </w:tc>
        <w:tc>
          <w:tcPr/>
          <w:p>
            <w:pPr>
              <w:pStyle w:val="Compact"/>
              <w:spacing w:before="20" w:after="20" w:line="240" w:lineRule="auto"/>
              <w:jc w:val="center"/>
            </w:pPr>
            <w:r>
              <w:t xml:space="preserve">3.5476</w:t>
            </w:r>
          </w:p>
        </w:tc>
      </w:tr>
    </w:tbl>
    <w:p>
      <w:pPr>
        <w:pStyle w:val="BodyText"/>
      </w:pPr>
      <w:r>
        <w:t xml:space="preserve">图1描绘了样本期内数字经济发展水平与青年高质量就业水平的演进趋势。由图1（a）可知，二者在观测期内均呈现稳步上升态势且走势高度同步，数字经济发展水平由2012年的0.118升至2023年的0.332，青年高质量就业水平由0.374升至0.596，初步显示出二者之间的正向关联。由图1（b）可知，青年高质量就业水平在三大区域间存在明显的梯度差异，东部地区始终居于领先地位，中部地区次之，西部地区相对滞后；从差距变化看，东部与中部的差距由0.0319收窄至0.0206，而东部与西部的差距由0.0557扩大至0.0712，区域分化仍在延续。</w:t>
      </w:r>
    </w:p>
    <w:p>
      <w:pPr>
        <w:pStyle w:val="CaptionedFigure"/>
      </w:pPr>
      <w:r>
        <w:drawing>
          <wp:inline>
            <wp:extent cx="5334000" cy="2049289"/>
            <wp:effectExtent b="0" l="0" r="0" t="0"/>
            <wp:docPr descr="图1 数字经济发展水平与青年高质量就业水平的演进趋势" title="" id="32" name="Picture"/>
            <a:graphic>
              <a:graphicData uri="http://schemas.openxmlformats.org/drawingml/2006/picture">
                <pic:pic>
                  <pic:nvPicPr>
                    <pic:cNvPr descr="p1_fig1.png" id="33" name="Picture"/>
                    <pic:cNvPicPr>
                      <a:picLocks noChangeArrowheads="1" noChangeAspect="1"/>
                    </pic:cNvPicPr>
                  </pic:nvPicPr>
                  <pic:blipFill>
                    <a:blip r:embed="rId31"/>
                    <a:stretch>
                      <a:fillRect/>
                    </a:stretch>
                  </pic:blipFill>
                  <pic:spPr bwMode="auto">
                    <a:xfrm>
                      <a:off x="0" y="0"/>
                      <a:ext cx="5334000" cy="2049289"/>
                    </a:xfrm>
                    <a:prstGeom prst="rect">
                      <a:avLst/>
                    </a:prstGeom>
                    <a:noFill/>
                    <a:ln w="9525">
                      <a:noFill/>
                      <a:headEnd/>
                      <a:tailEnd/>
                    </a:ln>
                  </pic:spPr>
                </pic:pic>
              </a:graphicData>
            </a:graphic>
          </wp:inline>
        </w:drawing>
      </w:r>
    </w:p>
    <w:p>
      <w:pPr>
        <w:pStyle w:val="ImageCaption"/>
      </w:pPr>
      <w:r>
        <w:t xml:space="preserve">图1 数字经济发展水平与青年高质量就业水平的演进趋势</w:t>
      </w:r>
    </w:p>
    <w:bookmarkEnd w:id="34"/>
    <w:bookmarkEnd w:id="35"/>
    <w:bookmarkStart w:id="45" w:name="实证结果与分析"/>
    <w:p>
      <w:pPr>
        <w:pStyle w:val="Heading1"/>
      </w:pPr>
      <w:r>
        <w:t xml:space="preserve">3 实证结果与分析</w:t>
      </w:r>
    </w:p>
    <w:bookmarkStart w:id="36" w:name="基准回归分析"/>
    <w:p>
      <w:pPr>
        <w:pStyle w:val="Heading2"/>
      </w:pPr>
      <w:r>
        <w:t xml:space="preserve">3.1 基准回归分析</w:t>
      </w:r>
    </w:p>
    <w:p>
      <w:pPr>
        <w:pStyle w:val="FirstParagraph"/>
      </w:pPr>
      <w:r>
        <w:t xml:space="preserve">表4报告了基准回归结果。列（1）为仅控制城市与年份固定效应的估计结果，数字经济发展水平的系数为0.3625，在1%的水平上显著为正。列（2）至列（6）逐步纳入各项控制变量，核心解释变量的系数始终在1%的水平上显著为正，且系数值稳定在0.26—0.31之间。以列（6）的完整设定为例，数字经济发展水平每提高1个标准差（0.1149），青年高质量就业水平相应提高0.0302，相当于其样本均值的6.28%，具有较强的经济意义。这表明数字经济发展能够有效赋能青年高质量就业，假设1得到验证。控制变量方面，经济发展水平、对外开放水平、城镇化水平与教育投入强度的系数均显著为正，符合理论预期。</w:t>
      </w:r>
    </w:p>
    <w:p>
      <w:pPr>
        <w:pStyle w:val="TableCaption"/>
      </w:pPr>
      <w:r>
        <w:t xml:space="preserve">表4 基准回归结果</w:t>
      </w:r>
    </w:p>
    <w:tbl>
      <w:tblPr>
        <w:tblStyle w:val="Table"/>
        <w:jc w:val="center"/>
        <w:tblLook w:firstRow="1" w:lastRow="0" w:firstColumn="0" w:lastColumn="0" w:noHBand="0" w:noVBand="0" w:val="0020"/>
        <w:tblCaption w:val="表4 基准回归结果"/>
        <w:tblW w:w="5000" w:type="pct"/>
        <w:tblLayout w:type="autofit"/>
      </w:tblPr>
      <w:tblGrid>
        <w:gridCol w:w="1131"/>
        <w:gridCol w:w="1131"/>
        <w:gridCol w:w="1131"/>
        <w:gridCol w:w="1131"/>
        <w:gridCol w:w="1131"/>
        <w:gridCol w:w="1131"/>
        <w:gridCol w:w="1131"/>
      </w:tblGrid>
      <w:tr>
        <w:trPr>
          <w:tblHeader w:val="true"/>
        </w:trPr>
        <w:tc>
          <w:tcPr/>
          <w:p>
            <w:pPr>
              <w:pStyle w:val="Compact"/>
              <w:spacing w:before="20" w:after="20" w:line="240" w:lineRule="auto"/>
              <w:jc w:val="center"/>
            </w:pPr>
          </w:p>
        </w:tc>
        <w:tc>
          <w:tcPr/>
          <w:p>
            <w:pPr>
              <w:pStyle w:val="Compact"/>
              <w:spacing w:before="20" w:after="20" w:line="240" w:lineRule="auto"/>
              <w:jc w:val="center"/>
            </w:pPr>
            <w:r>
              <w:t xml:space="preserve">（1）</w:t>
            </w:r>
          </w:p>
        </w:tc>
        <w:tc>
          <w:tcPr/>
          <w:p>
            <w:pPr>
              <w:pStyle w:val="Compact"/>
              <w:spacing w:before="20" w:after="20" w:line="240" w:lineRule="auto"/>
              <w:jc w:val="center"/>
            </w:pPr>
            <w:r>
              <w:t xml:space="preserve">（2）</w:t>
            </w:r>
          </w:p>
        </w:tc>
        <w:tc>
          <w:tcPr/>
          <w:p>
            <w:pPr>
              <w:pStyle w:val="Compact"/>
              <w:spacing w:before="20" w:after="20" w:line="240" w:lineRule="auto"/>
              <w:jc w:val="center"/>
            </w:pPr>
            <w:r>
              <w:t xml:space="preserve">（3）</w:t>
            </w:r>
          </w:p>
        </w:tc>
        <w:tc>
          <w:tcPr/>
          <w:p>
            <w:pPr>
              <w:pStyle w:val="Compact"/>
              <w:spacing w:before="20" w:after="20" w:line="240" w:lineRule="auto"/>
              <w:jc w:val="center"/>
            </w:pPr>
            <w:r>
              <w:t xml:space="preserve">（4）</w:t>
            </w:r>
          </w:p>
        </w:tc>
        <w:tc>
          <w:tcPr/>
          <w:p>
            <w:pPr>
              <w:pStyle w:val="Compact"/>
              <w:spacing w:before="20" w:after="20" w:line="240" w:lineRule="auto"/>
              <w:jc w:val="center"/>
            </w:pPr>
            <w:r>
              <w:t xml:space="preserve">（5）</w:t>
            </w:r>
          </w:p>
        </w:tc>
        <w:tc>
          <w:tcPr/>
          <w:p>
            <w:pPr>
              <w:pStyle w:val="Compact"/>
              <w:spacing w:before="20" w:after="20" w:line="240" w:lineRule="auto"/>
              <w:jc w:val="center"/>
            </w:pPr>
            <w:r>
              <w:t xml:space="preserve">（6）</w:t>
            </w:r>
          </w:p>
        </w:tc>
      </w:tr>
      <w:tr>
        <w:tc>
          <w:tcPr/>
          <w:p>
            <w:pPr>
              <w:pStyle w:val="Compact"/>
              <w:spacing w:before="20" w:after="20" w:line="240" w:lineRule="auto"/>
              <w:jc w:val="center"/>
            </w:pPr>
            <w:r>
              <w:rPr>
                <w:iCs/>
                <w:i/>
              </w:rPr>
              <w:t xml:space="preserve">dig</w:t>
            </w:r>
          </w:p>
        </w:tc>
        <w:tc>
          <w:tcPr/>
          <w:p>
            <w:pPr>
              <w:pStyle w:val="Compact"/>
              <w:spacing w:before="20" w:after="20" w:line="240" w:lineRule="auto"/>
              <w:jc w:val="center"/>
            </w:pPr>
            <w:r>
              <w:t xml:space="preserve">0.3625***</w:t>
            </w:r>
          </w:p>
        </w:tc>
        <w:tc>
          <w:tcPr/>
          <w:p>
            <w:pPr>
              <w:pStyle w:val="Compact"/>
              <w:spacing w:before="20" w:after="20" w:line="240" w:lineRule="auto"/>
              <w:jc w:val="center"/>
            </w:pPr>
            <w:r>
              <w:t xml:space="preserve">0.3007***</w:t>
            </w:r>
          </w:p>
        </w:tc>
        <w:tc>
          <w:tcPr/>
          <w:p>
            <w:pPr>
              <w:pStyle w:val="Compact"/>
              <w:spacing w:before="20" w:after="20" w:line="240" w:lineRule="auto"/>
              <w:jc w:val="center"/>
            </w:pPr>
            <w:r>
              <w:t xml:space="preserve">0.3002***</w:t>
            </w:r>
          </w:p>
        </w:tc>
        <w:tc>
          <w:tcPr/>
          <w:p>
            <w:pPr>
              <w:pStyle w:val="Compact"/>
              <w:spacing w:before="20" w:after="20" w:line="240" w:lineRule="auto"/>
              <w:jc w:val="center"/>
            </w:pPr>
            <w:r>
              <w:t xml:space="preserve">0.2714***</w:t>
            </w:r>
          </w:p>
        </w:tc>
        <w:tc>
          <w:tcPr/>
          <w:p>
            <w:pPr>
              <w:pStyle w:val="Compact"/>
              <w:spacing w:before="20" w:after="20" w:line="240" w:lineRule="auto"/>
              <w:jc w:val="center"/>
            </w:pPr>
            <w:r>
              <w:t xml:space="preserve">0.2613***</w:t>
            </w:r>
          </w:p>
        </w:tc>
        <w:tc>
          <w:tcPr/>
          <w:p>
            <w:pPr>
              <w:pStyle w:val="Compact"/>
              <w:spacing w:before="20" w:after="20" w:line="240" w:lineRule="auto"/>
              <w:jc w:val="center"/>
            </w:pPr>
            <w:r>
              <w:t xml:space="preserve">0.2631***</w:t>
            </w:r>
          </w:p>
        </w:tc>
      </w:tr>
      <w:tr>
        <w:tc>
          <w:tcPr/>
          <w:p>
            <w:pPr>
              <w:pStyle w:val="Compact"/>
              <w:spacing w:before="20" w:after="20" w:line="240" w:lineRule="auto"/>
              <w:jc w:val="center"/>
            </w:pPr>
          </w:p>
        </w:tc>
        <w:tc>
          <w:tcPr/>
          <w:p>
            <w:pPr>
              <w:pStyle w:val="Compact"/>
              <w:spacing w:before="20" w:after="20" w:line="240" w:lineRule="auto"/>
              <w:jc w:val="center"/>
            </w:pPr>
            <w:r>
              <w:t xml:space="preserve">（13.9259）</w:t>
            </w:r>
          </w:p>
        </w:tc>
        <w:tc>
          <w:tcPr/>
          <w:p>
            <w:pPr>
              <w:pStyle w:val="Compact"/>
              <w:spacing w:before="20" w:after="20" w:line="240" w:lineRule="auto"/>
              <w:jc w:val="center"/>
            </w:pPr>
            <w:r>
              <w:t xml:space="preserve">（11.6083）</w:t>
            </w:r>
          </w:p>
        </w:tc>
        <w:tc>
          <w:tcPr/>
          <w:p>
            <w:pPr>
              <w:pStyle w:val="Compact"/>
              <w:spacing w:before="20" w:after="20" w:line="240" w:lineRule="auto"/>
              <w:jc w:val="center"/>
            </w:pPr>
            <w:r>
              <w:t xml:space="preserve">（11.5463）</w:t>
            </w:r>
          </w:p>
        </w:tc>
        <w:tc>
          <w:tcPr/>
          <w:p>
            <w:pPr>
              <w:pStyle w:val="Compact"/>
              <w:spacing w:before="20" w:after="20" w:line="240" w:lineRule="auto"/>
              <w:jc w:val="center"/>
            </w:pPr>
            <w:r>
              <w:t xml:space="preserve">（10.5911）</w:t>
            </w:r>
          </w:p>
        </w:tc>
        <w:tc>
          <w:tcPr/>
          <w:p>
            <w:pPr>
              <w:pStyle w:val="Compact"/>
              <w:spacing w:before="20" w:after="20" w:line="240" w:lineRule="auto"/>
              <w:jc w:val="center"/>
            </w:pPr>
            <w:r>
              <w:t xml:space="preserve">（10.1930）</w:t>
            </w:r>
          </w:p>
        </w:tc>
        <w:tc>
          <w:tcPr/>
          <w:p>
            <w:pPr>
              <w:pStyle w:val="Compact"/>
              <w:spacing w:before="20" w:after="20" w:line="240" w:lineRule="auto"/>
              <w:jc w:val="center"/>
            </w:pPr>
            <w:r>
              <w:t xml:space="preserve">（10.2145）</w:t>
            </w:r>
          </w:p>
        </w:tc>
      </w:tr>
      <w:tr>
        <w:tc>
          <w:tcPr/>
          <w:p>
            <w:pPr>
              <w:pStyle w:val="Compact"/>
              <w:spacing w:before="20" w:after="20" w:line="240" w:lineRule="auto"/>
              <w:jc w:val="center"/>
            </w:pPr>
            <w:r>
              <w:rPr>
                <w:iCs/>
                <w:i/>
              </w:rPr>
              <w:t xml:space="preserve">pgdp</w:t>
            </w:r>
          </w:p>
        </w:tc>
        <w:tc>
          <w:tcPr/>
          <w:p>
            <w:pPr>
              <w:pStyle w:val="Compact"/>
              <w:spacing w:before="20" w:after="20" w:line="240" w:lineRule="auto"/>
              <w:jc w:val="center"/>
            </w:pPr>
          </w:p>
        </w:tc>
        <w:tc>
          <w:tcPr/>
          <w:p>
            <w:pPr>
              <w:pStyle w:val="Compact"/>
              <w:spacing w:before="20" w:after="20" w:line="240" w:lineRule="auto"/>
              <w:jc w:val="center"/>
            </w:pPr>
            <w:r>
              <w:t xml:space="preserve">0.0363***</w:t>
            </w:r>
          </w:p>
        </w:tc>
        <w:tc>
          <w:tcPr/>
          <w:p>
            <w:pPr>
              <w:pStyle w:val="Compact"/>
              <w:spacing w:before="20" w:after="20" w:line="240" w:lineRule="auto"/>
              <w:jc w:val="center"/>
            </w:pPr>
            <w:r>
              <w:t xml:space="preserve">0.0363***</w:t>
            </w:r>
          </w:p>
        </w:tc>
        <w:tc>
          <w:tcPr/>
          <w:p>
            <w:pPr>
              <w:pStyle w:val="Compact"/>
              <w:spacing w:before="20" w:after="20" w:line="240" w:lineRule="auto"/>
              <w:jc w:val="center"/>
            </w:pPr>
            <w:r>
              <w:t xml:space="preserve">0.0333***</w:t>
            </w:r>
          </w:p>
        </w:tc>
        <w:tc>
          <w:tcPr/>
          <w:p>
            <w:pPr>
              <w:pStyle w:val="Compact"/>
              <w:spacing w:before="20" w:after="20" w:line="240" w:lineRule="auto"/>
              <w:jc w:val="center"/>
            </w:pPr>
            <w:r>
              <w:t xml:space="preserve">0.0327***</w:t>
            </w:r>
          </w:p>
        </w:tc>
        <w:tc>
          <w:tcPr/>
          <w:p>
            <w:pPr>
              <w:pStyle w:val="Compact"/>
              <w:spacing w:before="20" w:after="20" w:line="240" w:lineRule="auto"/>
              <w:jc w:val="center"/>
            </w:pPr>
            <w:r>
              <w:t xml:space="preserve">0.0325***</w:t>
            </w: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（7.6401）</w:t>
            </w:r>
          </w:p>
        </w:tc>
        <w:tc>
          <w:tcPr/>
          <w:p>
            <w:pPr>
              <w:pStyle w:val="Compact"/>
              <w:spacing w:before="20" w:after="20" w:line="240" w:lineRule="auto"/>
              <w:jc w:val="center"/>
            </w:pPr>
            <w:r>
              <w:t xml:space="preserve">（7.6437）</w:t>
            </w:r>
          </w:p>
        </w:tc>
        <w:tc>
          <w:tcPr/>
          <w:p>
            <w:pPr>
              <w:pStyle w:val="Compact"/>
              <w:spacing w:before="20" w:after="20" w:line="240" w:lineRule="auto"/>
              <w:jc w:val="center"/>
            </w:pPr>
            <w:r>
              <w:t xml:space="preserve">（7.0828）</w:t>
            </w:r>
          </w:p>
        </w:tc>
        <w:tc>
          <w:tcPr/>
          <w:p>
            <w:pPr>
              <w:pStyle w:val="Compact"/>
              <w:spacing w:before="20" w:after="20" w:line="240" w:lineRule="auto"/>
              <w:jc w:val="center"/>
            </w:pPr>
            <w:r>
              <w:t xml:space="preserve">（6.9323）</w:t>
            </w:r>
          </w:p>
        </w:tc>
        <w:tc>
          <w:tcPr/>
          <w:p>
            <w:pPr>
              <w:pStyle w:val="Compact"/>
              <w:spacing w:before="20" w:after="20" w:line="240" w:lineRule="auto"/>
              <w:jc w:val="center"/>
            </w:pPr>
            <w:r>
              <w:t xml:space="preserve">（6.9453）</w:t>
            </w:r>
          </w:p>
        </w:tc>
      </w:tr>
      <w:tr>
        <w:tc>
          <w:tcPr/>
          <w:p>
            <w:pPr>
              <w:pStyle w:val="Compact"/>
              <w:spacing w:before="20" w:after="20" w:line="240" w:lineRule="auto"/>
              <w:jc w:val="center"/>
            </w:pPr>
            <w:r>
              <w:rPr>
                <w:iCs/>
                <w:i/>
              </w:rPr>
              <w:t xml:space="preserve">gov</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−0.0002</w:t>
            </w:r>
          </w:p>
        </w:tc>
        <w:tc>
          <w:tcPr/>
          <w:p>
            <w:pPr>
              <w:pStyle w:val="Compact"/>
              <w:spacing w:before="20" w:after="20" w:line="240" w:lineRule="auto"/>
              <w:jc w:val="center"/>
            </w:pPr>
            <w:r>
              <w:t xml:space="preserve">−0.0002</w:t>
            </w:r>
          </w:p>
        </w:tc>
        <w:tc>
          <w:tcPr/>
          <w:p>
            <w:pPr>
              <w:pStyle w:val="Compact"/>
              <w:spacing w:before="20" w:after="20" w:line="240" w:lineRule="auto"/>
              <w:jc w:val="center"/>
            </w:pPr>
            <w:r>
              <w:t xml:space="preserve">−0.0001</w:t>
            </w:r>
          </w:p>
        </w:tc>
        <w:tc>
          <w:tcPr/>
          <w:p>
            <w:pPr>
              <w:pStyle w:val="Compact"/>
              <w:spacing w:before="20" w:after="20" w:line="240" w:lineRule="auto"/>
              <w:jc w:val="center"/>
            </w:pPr>
            <w:r>
              <w:t xml:space="preserve">−0.0002</w:t>
            </w: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（−0.3321）</w:t>
            </w:r>
          </w:p>
        </w:tc>
        <w:tc>
          <w:tcPr/>
          <w:p>
            <w:pPr>
              <w:pStyle w:val="Compact"/>
              <w:spacing w:before="20" w:after="20" w:line="240" w:lineRule="auto"/>
              <w:jc w:val="center"/>
            </w:pPr>
            <w:r>
              <w:t xml:space="preserve">（−0.3360）</w:t>
            </w:r>
          </w:p>
        </w:tc>
        <w:tc>
          <w:tcPr/>
          <w:p>
            <w:pPr>
              <w:pStyle w:val="Compact"/>
              <w:spacing w:before="20" w:after="20" w:line="240" w:lineRule="auto"/>
              <w:jc w:val="center"/>
            </w:pPr>
            <w:r>
              <w:t xml:space="preserve">（−0.1998）</w:t>
            </w:r>
          </w:p>
        </w:tc>
        <w:tc>
          <w:tcPr/>
          <w:p>
            <w:pPr>
              <w:pStyle w:val="Compact"/>
              <w:spacing w:before="20" w:after="20" w:line="240" w:lineRule="auto"/>
              <w:jc w:val="center"/>
            </w:pPr>
            <w:r>
              <w:t xml:space="preserve">（−0.3173）</w:t>
            </w:r>
          </w:p>
        </w:tc>
      </w:tr>
      <w:tr>
        <w:tc>
          <w:tcPr/>
          <w:p>
            <w:pPr>
              <w:pStyle w:val="Compact"/>
              <w:spacing w:before="20" w:after="20" w:line="240" w:lineRule="auto"/>
              <w:jc w:val="center"/>
            </w:pPr>
            <w:r>
              <w:rPr>
                <w:iCs/>
                <w:i/>
              </w:rPr>
              <w:t xml:space="preserve">open</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0.0010***</w:t>
            </w:r>
          </w:p>
        </w:tc>
        <w:tc>
          <w:tcPr/>
          <w:p>
            <w:pPr>
              <w:pStyle w:val="Compact"/>
              <w:spacing w:before="20" w:after="20" w:line="240" w:lineRule="auto"/>
              <w:jc w:val="center"/>
            </w:pPr>
            <w:r>
              <w:t xml:space="preserve">0.0009***</w:t>
            </w:r>
          </w:p>
        </w:tc>
        <w:tc>
          <w:tcPr/>
          <w:p>
            <w:pPr>
              <w:pStyle w:val="Compact"/>
              <w:spacing w:before="20" w:after="20" w:line="240" w:lineRule="auto"/>
              <w:jc w:val="center"/>
            </w:pPr>
            <w:r>
              <w:t xml:space="preserve">0.0010***</w:t>
            </w: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（6.7833）</w:t>
            </w:r>
          </w:p>
        </w:tc>
        <w:tc>
          <w:tcPr/>
          <w:p>
            <w:pPr>
              <w:pStyle w:val="Compact"/>
              <w:spacing w:before="20" w:after="20" w:line="240" w:lineRule="auto"/>
              <w:jc w:val="center"/>
            </w:pPr>
            <w:r>
              <w:t xml:space="preserve">（6.6616）</w:t>
            </w:r>
          </w:p>
        </w:tc>
        <w:tc>
          <w:tcPr/>
          <w:p>
            <w:pPr>
              <w:pStyle w:val="Compact"/>
              <w:spacing w:before="20" w:after="20" w:line="240" w:lineRule="auto"/>
              <w:jc w:val="center"/>
            </w:pPr>
            <w:r>
              <w:t xml:space="preserve">（6.7537）</w:t>
            </w:r>
          </w:p>
        </w:tc>
      </w:tr>
      <w:tr>
        <w:tc>
          <w:tcPr/>
          <w:p>
            <w:pPr>
              <w:pStyle w:val="Compact"/>
              <w:spacing w:before="20" w:after="20" w:line="240" w:lineRule="auto"/>
              <w:jc w:val="center"/>
            </w:pPr>
            <w:r>
              <w:rPr>
                <w:iCs/>
                <w:i/>
              </w:rPr>
              <w:t xml:space="preserve">urban</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0.0006***</w:t>
            </w:r>
          </w:p>
        </w:tc>
        <w:tc>
          <w:tcPr/>
          <w:p>
            <w:pPr>
              <w:pStyle w:val="Compact"/>
              <w:spacing w:before="20" w:after="20" w:line="240" w:lineRule="auto"/>
              <w:jc w:val="center"/>
            </w:pPr>
            <w:r>
              <w:t xml:space="preserve">0.0005***</w:t>
            </w: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（4.6878）</w:t>
            </w:r>
          </w:p>
        </w:tc>
        <w:tc>
          <w:tcPr/>
          <w:p>
            <w:pPr>
              <w:pStyle w:val="Compact"/>
              <w:spacing w:before="20" w:after="20" w:line="240" w:lineRule="auto"/>
              <w:jc w:val="center"/>
            </w:pPr>
            <w:r>
              <w:t xml:space="preserve">（4.6705）</w:t>
            </w:r>
          </w:p>
        </w:tc>
      </w:tr>
      <w:tr>
        <w:tc>
          <w:tcPr/>
          <w:p>
            <w:pPr>
              <w:pStyle w:val="Compact"/>
              <w:spacing w:before="20" w:after="20" w:line="240" w:lineRule="auto"/>
              <w:jc w:val="center"/>
            </w:pPr>
            <w:r>
              <w:rPr>
                <w:iCs/>
                <w:i/>
              </w:rPr>
              <w:t xml:space="preserve">edu</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0.0030***</w:t>
            </w: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（4.1535）</w:t>
            </w:r>
          </w:p>
        </w:tc>
      </w:tr>
      <w:tr>
        <w:tc>
          <w:tcPr/>
          <w:p>
            <w:pPr>
              <w:pStyle w:val="Compact"/>
              <w:spacing w:before="20" w:after="20" w:line="240" w:lineRule="auto"/>
              <w:jc w:val="center"/>
            </w:pPr>
            <w:r>
              <w:rPr>
                <w:iCs/>
                <w:i/>
              </w:rPr>
              <w:t xml:space="preserve">infra</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−0.0073</w:t>
            </w: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（−1.3231）</w:t>
            </w:r>
          </w:p>
        </w:tc>
      </w:tr>
      <w:tr>
        <w:tc>
          <w:tcPr/>
          <w:p>
            <w:pPr>
              <w:pStyle w:val="Compact"/>
              <w:spacing w:before="20" w:after="20" w:line="240" w:lineRule="auto"/>
              <w:jc w:val="center"/>
            </w:pPr>
            <w:r>
              <w:t xml:space="preserve">城市固定效应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年份固定效应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3336</w:t>
            </w:r>
          </w:p>
        </w:tc>
      </w:tr>
      <w:tr>
        <w:tc>
          <w:tcPr/>
          <w:p>
            <w:pPr>
              <w:pStyle w:val="Compact"/>
              <w:spacing w:before="20" w:after="20" w:line="240" w:lineRule="auto"/>
              <w:jc w:val="center"/>
            </w:pPr>
            <m:oMath>
              <m:sSup>
                <m:e>
                  <m:r>
                    <m:t>R</m:t>
                  </m:r>
                </m:e>
                <m:sup>
                  <m:r>
                    <m:t>2</m:t>
                  </m:r>
                </m:sup>
              </m:sSup>
            </m:oMath>
          </w:p>
        </w:tc>
        <w:tc>
          <w:tcPr/>
          <w:p>
            <w:pPr>
              <w:pStyle w:val="Compact"/>
              <w:spacing w:before="20" w:after="20" w:line="240" w:lineRule="auto"/>
              <w:jc w:val="center"/>
            </w:pPr>
            <w:r>
              <w:t xml:space="preserve">0.0859</w:t>
            </w:r>
          </w:p>
        </w:tc>
        <w:tc>
          <w:tcPr/>
          <w:p>
            <w:pPr>
              <w:pStyle w:val="Compact"/>
              <w:spacing w:before="20" w:after="20" w:line="240" w:lineRule="auto"/>
              <w:jc w:val="center"/>
            </w:pPr>
            <w:r>
              <w:t xml:space="preserve">0.1035</w:t>
            </w:r>
          </w:p>
        </w:tc>
        <w:tc>
          <w:tcPr/>
          <w:p>
            <w:pPr>
              <w:pStyle w:val="Compact"/>
              <w:spacing w:before="20" w:after="20" w:line="240" w:lineRule="auto"/>
              <w:jc w:val="center"/>
            </w:pPr>
            <w:r>
              <w:t xml:space="preserve">0.1035</w:t>
            </w:r>
          </w:p>
        </w:tc>
        <w:tc>
          <w:tcPr/>
          <w:p>
            <w:pPr>
              <w:pStyle w:val="Compact"/>
              <w:spacing w:before="20" w:after="20" w:line="240" w:lineRule="auto"/>
              <w:jc w:val="center"/>
            </w:pPr>
            <w:r>
              <w:t xml:space="preserve">0.1154</w:t>
            </w:r>
          </w:p>
        </w:tc>
        <w:tc>
          <w:tcPr/>
          <w:p>
            <w:pPr>
              <w:pStyle w:val="Compact"/>
              <w:spacing w:before="20" w:after="20" w:line="240" w:lineRule="auto"/>
              <w:jc w:val="center"/>
            </w:pPr>
            <w:r>
              <w:t xml:space="preserve">0.1222</w:t>
            </w:r>
          </w:p>
        </w:tc>
        <w:tc>
          <w:tcPr/>
          <w:p>
            <w:pPr>
              <w:pStyle w:val="Compact"/>
              <w:spacing w:before="20" w:after="20" w:line="240" w:lineRule="auto"/>
              <w:jc w:val="center"/>
            </w:pPr>
            <w:r>
              <w:t xml:space="preserve">0.1281</w:t>
            </w:r>
          </w:p>
        </w:tc>
      </w:tr>
    </w:tbl>
    <w:p>
      <w:pPr>
        <w:pStyle w:val="TableNote"/>
      </w:pPr>
      <w:r>
        <w:t xml:space="preserve">注：*、**、***分别表示在10%、5%、1%的水平上显著，（）内为城市层面聚类稳健标准误对应的</w:t>
      </w:r>
      <w:r>
        <w:rPr>
          <w:iCs/>
          <w:i/>
        </w:rPr>
        <w:t xml:space="preserve">t</w:t>
      </w:r>
      <w:r>
        <w:t xml:space="preserve">值。下同。</w:t>
      </w:r>
    </w:p>
    <w:bookmarkEnd w:id="36"/>
    <w:bookmarkStart w:id="37" w:name="稳健性检验"/>
    <w:p>
      <w:pPr>
        <w:pStyle w:val="Heading2"/>
      </w:pPr>
      <w:r>
        <w:t xml:space="preserve">3.2 稳健性检验</w:t>
      </w:r>
    </w:p>
    <w:p>
      <w:pPr>
        <w:pStyle w:val="FirstParagraph"/>
      </w:pPr>
      <w:r>
        <w:t xml:space="preserve">为验证基准结论的可靠性，本文进行如下稳健性检验，结果见表5。一是双向1%缩尾处理，以消除极端值的干扰。二是剔除直辖市与省会城市，以排除行政等级较高城市的特殊性影响。三是调整样本区间，剔除受新冠疫情冲击较大的2020年与2021年。四是替换被解释变量的测度方式，改用主成分分析法重新合成青年高质量就业指数。五是考察滞后影响，将被解释变量滞后一期，以缓解可能存在的反向因果。六是替换核心解释变量的测度方式，改用主成分分析法测算数字经济发展水平。上述检验中，数字经济发展水平的估计系数均显著为正，方向与显著性同基准结果保持一致，表明本文结论具有较好的稳健性。其中，被解释变量滞后一期设定下的系数明显小于基准估计，说明数字经济对青年就业质量的改善作用主要体现在当期，跨期影响相对有限。</w:t>
      </w:r>
    </w:p>
    <w:p>
      <w:pPr>
        <w:pStyle w:val="TableCaption"/>
      </w:pPr>
      <w:r>
        <w:t xml:space="preserve">表5 稳健性检验结果</w:t>
      </w:r>
    </w:p>
    <w:tbl>
      <w:tblPr>
        <w:tblStyle w:val="Table"/>
        <w:jc w:val="center"/>
        <w:tblLook w:firstRow="1" w:lastRow="0" w:firstColumn="0" w:lastColumn="0" w:noHBand="0" w:noVBand="0" w:val="0020"/>
        <w:tblCaption w:val="表5 稳健性检验结果"/>
        <w:tblW w:w="5000" w:type="pct"/>
        <w:tblLayout w:type="autofit"/>
      </w:tblPr>
      <w:tblGrid>
        <w:gridCol w:w="1584"/>
        <w:gridCol w:w="1584"/>
        <w:gridCol w:w="1584"/>
        <w:gridCol w:w="1584"/>
        <w:gridCol w:w="1584"/>
      </w:tblGrid>
      <w:tr>
        <w:trPr>
          <w:tblHeader w:val="true"/>
        </w:trPr>
        <w:tc>
          <w:tcPr/>
          <w:p>
            <w:pPr>
              <w:pStyle w:val="Compact"/>
              <w:spacing w:before="20" w:after="20" w:line="240" w:lineRule="auto"/>
              <w:jc w:val="center"/>
            </w:pPr>
            <w:r>
              <w:t xml:space="preserve">检验方式</w:t>
            </w:r>
          </w:p>
        </w:tc>
        <w:tc>
          <w:tcPr/>
          <w:p>
            <w:pPr>
              <w:pStyle w:val="Compact"/>
              <w:spacing w:before="20" w:after="20" w:line="240" w:lineRule="auto"/>
              <w:jc w:val="center"/>
            </w:pPr>
            <w:r>
              <w:t xml:space="preserve">系数</w:t>
            </w:r>
          </w:p>
        </w:tc>
        <w:tc>
          <w:tcPr/>
          <w:p>
            <w:pPr>
              <w:pStyle w:val="Compact"/>
              <w:spacing w:before="20" w:after="20" w:line="240" w:lineRule="auto"/>
              <w:jc w:val="center"/>
            </w:pPr>
            <w:r>
              <w:rPr>
                <w:iCs/>
                <w:i/>
              </w:rPr>
              <w:t xml:space="preserve">t</w:t>
            </w:r>
            <w:r>
              <w:t xml:space="preserve">值</w:t>
            </w:r>
          </w:p>
        </w:tc>
        <w:tc>
          <w:tcPr/>
          <w:p>
            <w:pPr>
              <w:pStyle w:val="Compact"/>
              <w:spacing w:before="20" w:after="20" w:line="240" w:lineRule="auto"/>
              <w:jc w:val="center"/>
            </w:pPr>
            <w:r>
              <w:rPr>
                <w:iCs/>
                <w:i/>
              </w:rPr>
              <w:t xml:space="preserve">N</w:t>
            </w:r>
          </w:p>
        </w:tc>
        <w:tc>
          <w:tcPr/>
          <w:p>
            <w:pPr>
              <w:pStyle w:val="Compact"/>
              <w:spacing w:before="20" w:after="20" w:line="240" w:lineRule="auto"/>
              <w:jc w:val="center"/>
            </w:pPr>
            <m:oMath>
              <m:sSup>
                <m:e>
                  <m:r>
                    <m:t>R</m:t>
                  </m:r>
                </m:e>
                <m:sup>
                  <m:r>
                    <m:t>2</m:t>
                  </m:r>
                </m:sup>
              </m:sSup>
            </m:oMath>
          </w:p>
        </w:tc>
      </w:tr>
      <w:tr>
        <w:tc>
          <w:tcPr/>
          <w:p>
            <w:pPr>
              <w:pStyle w:val="Compact"/>
              <w:spacing w:before="20" w:after="20" w:line="240" w:lineRule="auto"/>
              <w:jc w:val="center"/>
            </w:pPr>
            <w:r>
              <w:t xml:space="preserve">双向1%缩尾处理</w:t>
            </w:r>
          </w:p>
        </w:tc>
        <w:tc>
          <w:tcPr/>
          <w:p>
            <w:pPr>
              <w:pStyle w:val="Compact"/>
              <w:spacing w:before="20" w:after="20" w:line="240" w:lineRule="auto"/>
              <w:jc w:val="center"/>
            </w:pPr>
            <w:r>
              <w:t xml:space="preserve">0.2892***</w:t>
            </w:r>
          </w:p>
        </w:tc>
        <w:tc>
          <w:tcPr/>
          <w:p>
            <w:pPr>
              <w:pStyle w:val="Compact"/>
              <w:spacing w:before="20" w:after="20" w:line="240" w:lineRule="auto"/>
              <w:jc w:val="center"/>
            </w:pPr>
            <w:r>
              <w:t xml:space="preserve">（11.2975）</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0.1308</w:t>
            </w:r>
          </w:p>
        </w:tc>
      </w:tr>
      <w:tr>
        <w:tc>
          <w:tcPr/>
          <w:p>
            <w:pPr>
              <w:pStyle w:val="Compact"/>
              <w:spacing w:before="20" w:after="20" w:line="240" w:lineRule="auto"/>
              <w:jc w:val="center"/>
            </w:pPr>
            <w:r>
              <w:t xml:space="preserve">剔除直辖市与省会城市</w:t>
            </w:r>
          </w:p>
        </w:tc>
        <w:tc>
          <w:tcPr/>
          <w:p>
            <w:pPr>
              <w:pStyle w:val="Compact"/>
              <w:spacing w:before="20" w:after="20" w:line="240" w:lineRule="auto"/>
              <w:jc w:val="center"/>
            </w:pPr>
            <w:r>
              <w:t xml:space="preserve">0.2772***</w:t>
            </w:r>
          </w:p>
        </w:tc>
        <w:tc>
          <w:tcPr/>
          <w:p>
            <w:pPr>
              <w:pStyle w:val="Compact"/>
              <w:spacing w:before="20" w:after="20" w:line="240" w:lineRule="auto"/>
              <w:jc w:val="center"/>
            </w:pPr>
            <w:r>
              <w:t xml:space="preserve">（9.8361）</w:t>
            </w:r>
          </w:p>
        </w:tc>
        <w:tc>
          <w:tcPr/>
          <w:p>
            <w:pPr>
              <w:pStyle w:val="Compact"/>
              <w:spacing w:before="20" w:after="20" w:line="240" w:lineRule="auto"/>
              <w:jc w:val="center"/>
            </w:pPr>
            <w:r>
              <w:t xml:space="preserve">2916</w:t>
            </w:r>
          </w:p>
        </w:tc>
        <w:tc>
          <w:tcPr/>
          <w:p>
            <w:pPr>
              <w:pStyle w:val="Compact"/>
              <w:spacing w:before="20" w:after="20" w:line="240" w:lineRule="auto"/>
              <w:jc w:val="center"/>
            </w:pPr>
            <w:r>
              <w:t xml:space="preserve">0.1305</w:t>
            </w:r>
          </w:p>
        </w:tc>
      </w:tr>
      <w:tr>
        <w:tc>
          <w:tcPr/>
          <w:p>
            <w:pPr>
              <w:pStyle w:val="Compact"/>
              <w:spacing w:before="20" w:after="20" w:line="240" w:lineRule="auto"/>
              <w:jc w:val="center"/>
            </w:pPr>
            <w:r>
              <w:t xml:space="preserve">调整样本区间</w:t>
            </w:r>
          </w:p>
        </w:tc>
        <w:tc>
          <w:tcPr/>
          <w:p>
            <w:pPr>
              <w:pStyle w:val="Compact"/>
              <w:spacing w:before="20" w:after="20" w:line="240" w:lineRule="auto"/>
              <w:jc w:val="center"/>
            </w:pPr>
            <w:r>
              <w:t xml:space="preserve">0.2627***</w:t>
            </w:r>
          </w:p>
        </w:tc>
        <w:tc>
          <w:tcPr/>
          <w:p>
            <w:pPr>
              <w:pStyle w:val="Compact"/>
              <w:spacing w:before="20" w:after="20" w:line="240" w:lineRule="auto"/>
              <w:jc w:val="center"/>
            </w:pPr>
            <w:r>
              <w:t xml:space="preserve">（8.1776）</w:t>
            </w:r>
          </w:p>
        </w:tc>
        <w:tc>
          <w:tcPr/>
          <w:p>
            <w:pPr>
              <w:pStyle w:val="Compact"/>
              <w:spacing w:before="20" w:after="20" w:line="240" w:lineRule="auto"/>
              <w:jc w:val="center"/>
            </w:pPr>
            <w:r>
              <w:t xml:space="preserve">2780</w:t>
            </w:r>
          </w:p>
        </w:tc>
        <w:tc>
          <w:tcPr/>
          <w:p>
            <w:pPr>
              <w:pStyle w:val="Compact"/>
              <w:spacing w:before="20" w:after="20" w:line="240" w:lineRule="auto"/>
              <w:jc w:val="center"/>
            </w:pPr>
            <w:r>
              <w:t xml:space="preserve">0.1221</w:t>
            </w:r>
          </w:p>
        </w:tc>
      </w:tr>
      <w:tr>
        <w:tc>
          <w:tcPr/>
          <w:p>
            <w:pPr>
              <w:pStyle w:val="Compact"/>
              <w:spacing w:before="20" w:after="20" w:line="240" w:lineRule="auto"/>
              <w:jc w:val="center"/>
            </w:pPr>
            <w:r>
              <w:t xml:space="preserve">替换被解释变量</w:t>
            </w:r>
          </w:p>
        </w:tc>
        <w:tc>
          <w:tcPr/>
          <w:p>
            <w:pPr>
              <w:pStyle w:val="Compact"/>
              <w:spacing w:before="20" w:after="20" w:line="240" w:lineRule="auto"/>
              <w:jc w:val="center"/>
            </w:pPr>
            <w:r>
              <w:t xml:space="preserve">0.3492***</w:t>
            </w:r>
          </w:p>
        </w:tc>
        <w:tc>
          <w:tcPr/>
          <w:p>
            <w:pPr>
              <w:pStyle w:val="Compact"/>
              <w:spacing w:before="20" w:after="20" w:line="240" w:lineRule="auto"/>
              <w:jc w:val="center"/>
            </w:pPr>
            <w:r>
              <w:t xml:space="preserve">（10.1325）</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0.1275</w:t>
            </w:r>
          </w:p>
        </w:tc>
      </w:tr>
      <w:tr>
        <w:tc>
          <w:tcPr/>
          <w:p>
            <w:pPr>
              <w:pStyle w:val="Compact"/>
              <w:spacing w:before="20" w:after="20" w:line="240" w:lineRule="auto"/>
              <w:jc w:val="center"/>
            </w:pPr>
            <w:r>
              <w:t xml:space="preserve">被解释变量滞后一期</w:t>
            </w:r>
          </w:p>
        </w:tc>
        <w:tc>
          <w:tcPr/>
          <w:p>
            <w:pPr>
              <w:pStyle w:val="Compact"/>
              <w:spacing w:before="20" w:after="20" w:line="240" w:lineRule="auto"/>
              <w:jc w:val="center"/>
            </w:pPr>
            <w:r>
              <w:t xml:space="preserve">0.0680**</w:t>
            </w:r>
          </w:p>
        </w:tc>
        <w:tc>
          <w:tcPr/>
          <w:p>
            <w:pPr>
              <w:pStyle w:val="Compact"/>
              <w:spacing w:before="20" w:after="20" w:line="240" w:lineRule="auto"/>
              <w:jc w:val="center"/>
            </w:pPr>
            <w:r>
              <w:t xml:space="preserve">（2.2825）</w:t>
            </w:r>
          </w:p>
        </w:tc>
        <w:tc>
          <w:tcPr/>
          <w:p>
            <w:pPr>
              <w:pStyle w:val="Compact"/>
              <w:spacing w:before="20" w:after="20" w:line="240" w:lineRule="auto"/>
              <w:jc w:val="center"/>
            </w:pPr>
            <w:r>
              <w:t xml:space="preserve">3058</w:t>
            </w:r>
          </w:p>
        </w:tc>
        <w:tc>
          <w:tcPr/>
          <w:p>
            <w:pPr>
              <w:pStyle w:val="Compact"/>
              <w:spacing w:before="20" w:after="20" w:line="240" w:lineRule="auto"/>
              <w:jc w:val="center"/>
            </w:pPr>
            <w:r>
              <w:t xml:space="preserve">0.0062</w:t>
            </w:r>
          </w:p>
        </w:tc>
      </w:tr>
      <w:tr>
        <w:tc>
          <w:tcPr/>
          <w:p>
            <w:pPr>
              <w:pStyle w:val="Compact"/>
              <w:spacing w:before="20" w:after="20" w:line="240" w:lineRule="auto"/>
              <w:jc w:val="center"/>
            </w:pPr>
            <w:r>
              <w:t xml:space="preserve">替换核心解释变量</w:t>
            </w:r>
          </w:p>
        </w:tc>
        <w:tc>
          <w:tcPr/>
          <w:p>
            <w:pPr>
              <w:pStyle w:val="Compact"/>
              <w:spacing w:before="20" w:after="20" w:line="240" w:lineRule="auto"/>
              <w:jc w:val="center"/>
            </w:pPr>
            <w:r>
              <w:t xml:space="preserve">0.2312***</w:t>
            </w:r>
          </w:p>
        </w:tc>
        <w:tc>
          <w:tcPr/>
          <w:p>
            <w:pPr>
              <w:pStyle w:val="Compact"/>
              <w:spacing w:before="20" w:after="20" w:line="240" w:lineRule="auto"/>
              <w:jc w:val="center"/>
            </w:pPr>
            <w:r>
              <w:t xml:space="preserve">（10.3902）</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0.1274</w:t>
            </w:r>
          </w:p>
        </w:tc>
      </w:tr>
    </w:tbl>
    <w:p>
      <w:pPr>
        <w:pStyle w:val="TableNote"/>
      </w:pPr>
      <w:r>
        <w:t xml:space="preserve">注：各行均为在式（1）完整设定下重新估计的结果，控制变量、城市与年份固定效应均已包含，限于篇幅未予列示。</w:t>
      </w:r>
    </w:p>
    <w:bookmarkEnd w:id="37"/>
    <w:bookmarkStart w:id="38" w:name="内生性检验"/>
    <w:p>
      <w:pPr>
        <w:pStyle w:val="Heading2"/>
      </w:pPr>
      <w:r>
        <w:t xml:space="preserve">3.3 内生性检验</w:t>
      </w:r>
    </w:p>
    <w:p>
      <w:pPr>
        <w:pStyle w:val="FirstParagraph"/>
      </w:pPr>
      <w:r>
        <w:t xml:space="preserve">数字经济与青年高质量就业之间可能存在反向因果与遗漏变量导致的内生性问题：青年高质量就业水平较高的城市往往对数字人才更具吸引力，从而反向推动数字经济发展。为此，本文采用工具变量法予以处理。参照历史工具变量的构造思路，选取1984年各城市每万人固定电话数量与当年全国互联网普及率的交乘项作为第一个工具变量（</w:t>
      </w:r>
      <m:oMath>
        <m:r>
          <m:t>i</m:t>
        </m:r>
        <m:sSub>
          <m:e>
            <m:r>
              <m:t>v</m:t>
            </m:r>
          </m:e>
          <m:sub>
            <m:r>
              <m:t>1</m:t>
            </m:r>
          </m:sub>
        </m:sSub>
      </m:oMath>
      <w:r>
        <w:t xml:space="preserve">），选取城市地形起伏度与当年全国电信业务总量的交乘项作为第二个工具变量（</w:t>
      </w:r>
      <m:oMath>
        <m:r>
          <m:t>i</m:t>
        </m:r>
        <m:sSub>
          <m:e>
            <m:r>
              <m:t>v</m:t>
            </m:r>
          </m:e>
          <m:sub>
            <m:r>
              <m:t>2</m:t>
            </m:r>
          </m:sub>
        </m:sSub>
      </m:oMath>
      <w:r>
        <w:t xml:space="preserve">）。历史通信基础与自然地理条件会影响数字基础设施的铺设成本进而影响当期数字经济发展水平，满足相关性要求；同时二者均不会直接作用于当期青年就业质量，满足外生性要求。</w:t>
      </w:r>
    </w:p>
    <w:p>
      <w:pPr>
        <w:pStyle w:val="BodyText"/>
      </w:pPr>
      <w:r>
        <w:t xml:space="preserve">表6报告了两阶段最小二乘估计结果。第一阶段结果显示，两个工具变量的系数分别在1%和5%的水平上显著，且第一阶段</w:t>
      </w:r>
      <w:r>
        <w:rPr>
          <w:iCs/>
          <w:i/>
        </w:rPr>
        <w:t xml:space="preserve">F</w:t>
      </w:r>
      <w:r>
        <w:t xml:space="preserve">统计量为111.3635，远大于经验临界值10，不存在弱工具变量问题；Sargan过度识别检验的</w:t>
      </w:r>
      <w:r>
        <w:rPr>
          <w:iCs/>
          <w:i/>
        </w:rPr>
        <w:t xml:space="preserve">P</w:t>
      </w:r>
      <w:r>
        <w:t xml:space="preserve">值为0.8661，无法拒绝“所有工具变量均外生”的原假设。第二阶段结果显示，数字经济发展水平的系数为0.3696，在1%的水平上显著为正，且大于基准回归的估计值，表明在缓解内生性偏误后数字经济的赋能效应依然成立，且基准回归可能因测量误差而低估了真实效应。</w:t>
      </w:r>
    </w:p>
    <w:p>
      <w:pPr>
        <w:pStyle w:val="TableCaption"/>
      </w:pPr>
      <w:r>
        <w:t xml:space="preserve">表6 内生性检验结果</w:t>
      </w:r>
    </w:p>
    <w:tbl>
      <w:tblPr>
        <w:tblStyle w:val="Table"/>
        <w:jc w:val="center"/>
        <w:tblLook w:firstRow="1" w:lastRow="0" w:firstColumn="0" w:lastColumn="0" w:noHBand="0" w:noVBand="0" w:val="0020"/>
        <w:tblCaption w:val="表6 内生性检验结果"/>
        <w:tblW w:w="5000" w:type="pct"/>
        <w:tblLayout w:type="autofit"/>
      </w:tblPr>
      <w:tblGrid>
        <w:gridCol w:w="2640"/>
        <w:gridCol w:w="2640"/>
        <w:gridCol w:w="2640"/>
      </w:tblGrid>
      <w:tr>
        <w:trPr>
          <w:tblHeader w:val="true"/>
        </w:trPr>
        <w:tc>
          <w:tcPr/>
          <w:p>
            <w:pPr>
              <w:pStyle w:val="Compact"/>
              <w:spacing w:before="20" w:after="20" w:line="240" w:lineRule="auto"/>
              <w:jc w:val="center"/>
            </w:pPr>
            <w:r>
              <w:t xml:space="preserve">变量</w:t>
            </w:r>
          </w:p>
        </w:tc>
        <w:tc>
          <w:tcPr/>
          <w:p>
            <w:pPr>
              <w:pStyle w:val="Compact"/>
              <w:spacing w:before="20" w:after="20" w:line="240" w:lineRule="auto"/>
              <w:jc w:val="center"/>
            </w:pPr>
            <w:r>
              <w:t xml:space="preserve">（1）第一阶段：</w:t>
            </w:r>
            <w:r>
              <w:rPr>
                <w:iCs/>
                <w:i/>
              </w:rPr>
              <w:t xml:space="preserve">dig</w:t>
            </w:r>
          </w:p>
        </w:tc>
        <w:tc>
          <w:tcPr/>
          <w:p>
            <w:pPr>
              <w:pStyle w:val="Compact"/>
              <w:spacing w:before="20" w:after="20" w:line="240" w:lineRule="auto"/>
              <w:jc w:val="center"/>
            </w:pPr>
            <w:r>
              <w:t xml:space="preserve">（2）第二阶段：</w:t>
            </w:r>
            <w:r>
              <w:rPr>
                <w:iCs/>
                <w:i/>
              </w:rPr>
              <w:t xml:space="preserve">yqe</w:t>
            </w:r>
          </w:p>
        </w:tc>
      </w:tr>
      <w:tr>
        <w:tc>
          <w:tcPr/>
          <w:p>
            <w:pPr>
              <w:pStyle w:val="Compact"/>
              <w:spacing w:before="20" w:after="20" w:line="240" w:lineRule="auto"/>
              <w:jc w:val="center"/>
            </w:pPr>
            <m:oMath>
              <m:r>
                <m:t>i</m:t>
              </m:r>
              <m:sSub>
                <m:e>
                  <m:r>
                    <m:t>v</m:t>
                  </m:r>
                </m:e>
                <m:sub>
                  <m:r>
                    <m:t>1</m:t>
                  </m:r>
                </m:sub>
              </m:sSub>
            </m:oMath>
          </w:p>
        </w:tc>
        <w:tc>
          <w:tcPr/>
          <w:p>
            <w:pPr>
              <w:pStyle w:val="Compact"/>
              <w:spacing w:before="20" w:after="20" w:line="240" w:lineRule="auto"/>
              <w:jc w:val="center"/>
            </w:pPr>
            <w:r>
              <w:t xml:space="preserve">0.0815***（9.9007）</w:t>
            </w:r>
          </w:p>
        </w:tc>
        <w:tc>
          <w:tcPr/>
          <w:p>
            <w:pPr>
              <w:pStyle w:val="Compact"/>
              <w:spacing w:before="20" w:after="20" w:line="240" w:lineRule="auto"/>
              <w:jc w:val="center"/>
            </w:pPr>
          </w:p>
        </w:tc>
      </w:tr>
      <w:tr>
        <w:tc>
          <w:tcPr/>
          <w:p>
            <w:pPr>
              <w:pStyle w:val="Compact"/>
              <w:spacing w:before="20" w:after="20" w:line="240" w:lineRule="auto"/>
              <w:jc w:val="center"/>
            </w:pPr>
            <m:oMath>
              <m:r>
                <m:t>i</m:t>
              </m:r>
              <m:sSub>
                <m:e>
                  <m:r>
                    <m:t>v</m:t>
                  </m:r>
                </m:e>
                <m:sub>
                  <m:r>
                    <m:t>2</m:t>
                  </m:r>
                </m:sub>
              </m:sSub>
            </m:oMath>
          </w:p>
        </w:tc>
        <w:tc>
          <w:tcPr/>
          <w:p>
            <w:pPr>
              <w:pStyle w:val="Compact"/>
              <w:spacing w:before="20" w:after="20" w:line="240" w:lineRule="auto"/>
              <w:jc w:val="center"/>
            </w:pPr>
            <w:r>
              <w:t xml:space="preserve">−0.0079**（−2.3218）</w:t>
            </w:r>
          </w:p>
        </w:tc>
        <w:tc>
          <w:tcPr/>
          <w:p>
            <w:pPr>
              <w:pStyle w:val="Compact"/>
              <w:spacing w:before="20" w:after="20" w:line="240" w:lineRule="auto"/>
              <w:jc w:val="center"/>
            </w:pPr>
          </w:p>
        </w:tc>
      </w:tr>
      <w:tr>
        <w:tc>
          <w:tcPr/>
          <w:p>
            <w:pPr>
              <w:pStyle w:val="Compact"/>
              <w:spacing w:before="20" w:after="20" w:line="240" w:lineRule="auto"/>
              <w:jc w:val="center"/>
            </w:pPr>
            <w:r>
              <w:rPr>
                <w:iCs/>
                <w:i/>
              </w:rPr>
              <w:t xml:space="preserve">dig</w:t>
            </w:r>
          </w:p>
        </w:tc>
        <w:tc>
          <w:tcPr/>
          <w:p>
            <w:pPr>
              <w:pStyle w:val="Compact"/>
              <w:spacing w:before="20" w:after="20" w:line="240" w:lineRule="auto"/>
              <w:jc w:val="center"/>
            </w:pPr>
          </w:p>
        </w:tc>
        <w:tc>
          <w:tcPr/>
          <w:p>
            <w:pPr>
              <w:pStyle w:val="Compact"/>
              <w:spacing w:before="20" w:after="20" w:line="240" w:lineRule="auto"/>
              <w:jc w:val="center"/>
            </w:pPr>
            <w:r>
              <w:t xml:space="preserve">0.3696***（5.3108）</w:t>
            </w:r>
          </w:p>
        </w:tc>
      </w:tr>
      <w:tr>
        <w:tc>
          <w:tcPr/>
          <w:p>
            <w:pPr>
              <w:pStyle w:val="Compact"/>
              <w:spacing w:before="20" w:after="20" w:line="240" w:lineRule="auto"/>
              <w:jc w:val="center"/>
            </w:pPr>
            <w:r>
              <w:t xml:space="preserve">控制变量</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城市固定效应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年份固定效应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第一阶段</w:t>
            </w:r>
            <w:r>
              <w:rPr>
                <w:iCs/>
                <w:i/>
              </w:rPr>
              <w:t xml:space="preserve">F</w:t>
            </w:r>
            <w:r>
              <w:t xml:space="preserve">统计量</w:t>
            </w:r>
          </w:p>
        </w:tc>
        <w:tc>
          <w:tcPr/>
          <w:p>
            <w:pPr>
              <w:pStyle w:val="Compact"/>
              <w:spacing w:before="20" w:after="20" w:line="240" w:lineRule="auto"/>
              <w:jc w:val="center"/>
            </w:pPr>
            <w:r>
              <w:t xml:space="preserve">111.3635</w:t>
            </w:r>
          </w:p>
        </w:tc>
        <w:tc>
          <w:tcPr/>
          <w:p>
            <w:pPr>
              <w:pStyle w:val="Compact"/>
              <w:spacing w:before="20" w:after="20" w:line="240" w:lineRule="auto"/>
              <w:jc w:val="center"/>
            </w:pPr>
          </w:p>
        </w:tc>
      </w:tr>
      <w:tr>
        <w:tc>
          <w:tcPr/>
          <w:p>
            <w:pPr>
              <w:pStyle w:val="Compact"/>
              <w:spacing w:before="20" w:after="20" w:line="240" w:lineRule="auto"/>
              <w:jc w:val="center"/>
            </w:pPr>
            <w:r>
              <w:t xml:space="preserve">Sargan统计量［</w:t>
            </w:r>
            <w:r>
              <w:rPr>
                <w:iCs/>
                <w:i/>
              </w:rPr>
              <w:t xml:space="preserve">P</w:t>
            </w:r>
            <w:r>
              <w:t xml:space="preserve">值］</w:t>
            </w:r>
          </w:p>
        </w:tc>
        <w:tc>
          <w:tcPr/>
          <w:p>
            <w:pPr>
              <w:pStyle w:val="Compact"/>
              <w:spacing w:before="20" w:after="20" w:line="240" w:lineRule="auto"/>
              <w:jc w:val="center"/>
            </w:pPr>
          </w:p>
        </w:tc>
        <w:tc>
          <w:tcPr/>
          <w:p>
            <w:pPr>
              <w:pStyle w:val="Compact"/>
              <w:spacing w:before="20" w:after="20" w:line="240" w:lineRule="auto"/>
              <w:jc w:val="center"/>
            </w:pPr>
            <w:r>
              <w:t xml:space="preserve">0.0284［0.8661］</w:t>
            </w:r>
          </w:p>
        </w:tc>
      </w:tr>
      <w:t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3336</w:t>
            </w:r>
          </w:p>
        </w:tc>
      </w:tr>
    </w:tbl>
    <w:bookmarkEnd w:id="38"/>
    <w:bookmarkStart w:id="39" w:name="中介效应检验"/>
    <w:p>
      <w:pPr>
        <w:pStyle w:val="Heading2"/>
      </w:pPr>
      <w:r>
        <w:t xml:space="preserve">3.4 中介效应检验</w:t>
      </w:r>
    </w:p>
    <w:p>
      <w:pPr>
        <w:pStyle w:val="FirstParagraph"/>
      </w:pPr>
      <w:r>
        <w:t xml:space="preserve">表7报告了创业活跃度、产业结构升级与人力资本水平三条渠道的中介效应检验结果。列（1）显示，数字经济对创业活跃度的影响系数为1.7480，在1%的水平上显著为正；列（2）显示，在同时纳入数字经济与创业活跃度后，二者的系数均显著为正，表明创业活跃度在数字经济赋能青年高质量就业的过程中发挥了部分中介作用，中介效应占总效应的比重为11.55%，假设2得到验证。列（3）与列（4）显示，数字经济显著推动了产业结构升级，且产业结构升级显著提升了青年高质量就业水平，该渠道的中介效应占比为9.89%，假设3得到验证。列（5）与列（6）显示，数字经济显著促进了人力资本积累，人力资本水平的提升进而改善了青年就业质量，该渠道的中介效应占比为14.70%，在三条渠道中贡献最大，假设4得到验证。上述结果表明，数字经济主要通过“创造岗位—优化结构—提升能力”的复合机制赋能青年高质量就业，其中人力资本积累渠道的作用最为突出。</w:t>
      </w:r>
    </w:p>
    <w:p>
      <w:pPr>
        <w:pStyle w:val="TableCaption"/>
      </w:pPr>
      <w:r>
        <w:t xml:space="preserve">表7 中介效应检验结果</w:t>
      </w:r>
    </w:p>
    <w:tbl>
      <w:tblPr>
        <w:tblStyle w:val="Table"/>
        <w:jc w:val="center"/>
        <w:tblLook w:firstRow="1" w:lastRow="0" w:firstColumn="0" w:lastColumn="0" w:noHBand="0" w:noVBand="0" w:val="0020"/>
        <w:tblCaption w:val="表7 中介效应检验结果"/>
        <w:tblW w:w="5000" w:type="pct"/>
        <w:tblLayout w:type="autofit"/>
      </w:tblPr>
      <w:tblGrid>
        <w:gridCol w:w="1131"/>
        <w:gridCol w:w="1131"/>
        <w:gridCol w:w="1131"/>
        <w:gridCol w:w="1131"/>
        <w:gridCol w:w="1131"/>
        <w:gridCol w:w="1131"/>
        <w:gridCol w:w="1131"/>
      </w:tblGrid>
      <w:tr>
        <w:trPr>
          <w:tblHeader w:val="true"/>
        </w:trPr>
        <w:tc>
          <w:tcPr/>
          <w:p>
            <w:pPr>
              <w:pStyle w:val="Compact"/>
              <w:spacing w:before="20" w:after="20" w:line="240" w:lineRule="auto"/>
              <w:jc w:val="center"/>
            </w:pPr>
          </w:p>
        </w:tc>
        <w:tc>
          <w:tcPr/>
          <w:p>
            <w:pPr>
              <w:pStyle w:val="Compact"/>
              <w:spacing w:before="20" w:after="20" w:line="240" w:lineRule="auto"/>
              <w:jc w:val="center"/>
            </w:pPr>
            <w:r>
              <w:t xml:space="preserve">（1）</w:t>
            </w:r>
            <w:r>
              <w:rPr>
                <w:iCs/>
                <w:i/>
              </w:rPr>
              <w:t xml:space="preserve">entre</w:t>
            </w:r>
          </w:p>
        </w:tc>
        <w:tc>
          <w:tcPr/>
          <w:p>
            <w:pPr>
              <w:pStyle w:val="Compact"/>
              <w:spacing w:before="20" w:after="20" w:line="240" w:lineRule="auto"/>
              <w:jc w:val="center"/>
            </w:pPr>
            <w:r>
              <w:t xml:space="preserve">（2）</w:t>
            </w:r>
            <w:r>
              <w:rPr>
                <w:iCs/>
                <w:i/>
              </w:rPr>
              <w:t xml:space="preserve">yqe</w:t>
            </w:r>
          </w:p>
        </w:tc>
        <w:tc>
          <w:tcPr/>
          <w:p>
            <w:pPr>
              <w:pStyle w:val="Compact"/>
              <w:spacing w:before="20" w:after="20" w:line="240" w:lineRule="auto"/>
              <w:jc w:val="center"/>
            </w:pPr>
            <w:r>
              <w:t xml:space="preserve">（3）</w:t>
            </w:r>
            <w:r>
              <w:rPr>
                <w:iCs/>
                <w:i/>
              </w:rPr>
              <w:t xml:space="preserve">upg</w:t>
            </w:r>
          </w:p>
        </w:tc>
        <w:tc>
          <w:tcPr/>
          <w:p>
            <w:pPr>
              <w:pStyle w:val="Compact"/>
              <w:spacing w:before="20" w:after="20" w:line="240" w:lineRule="auto"/>
              <w:jc w:val="center"/>
            </w:pPr>
            <w:r>
              <w:t xml:space="preserve">（4）</w:t>
            </w:r>
            <w:r>
              <w:rPr>
                <w:iCs/>
                <w:i/>
              </w:rPr>
              <w:t xml:space="preserve">yqe</w:t>
            </w:r>
          </w:p>
        </w:tc>
        <w:tc>
          <w:tcPr/>
          <w:p>
            <w:pPr>
              <w:pStyle w:val="Compact"/>
              <w:spacing w:before="20" w:after="20" w:line="240" w:lineRule="auto"/>
              <w:jc w:val="center"/>
            </w:pPr>
            <w:r>
              <w:t xml:space="preserve">（5）</w:t>
            </w:r>
            <w:r>
              <w:rPr>
                <w:iCs/>
                <w:i/>
              </w:rPr>
              <w:t xml:space="preserve">hc</w:t>
            </w:r>
          </w:p>
        </w:tc>
        <w:tc>
          <w:tcPr/>
          <w:p>
            <w:pPr>
              <w:pStyle w:val="Compact"/>
              <w:spacing w:before="20" w:after="20" w:line="240" w:lineRule="auto"/>
              <w:jc w:val="center"/>
            </w:pPr>
            <w:r>
              <w:t xml:space="preserve">（6）</w:t>
            </w:r>
            <w:r>
              <w:rPr>
                <w:iCs/>
                <w:i/>
              </w:rPr>
              <w:t xml:space="preserve">yqe</w:t>
            </w:r>
          </w:p>
        </w:tc>
      </w:tr>
      <w:tr>
        <w:tc>
          <w:tcPr/>
          <w:p>
            <w:pPr>
              <w:pStyle w:val="Compact"/>
              <w:spacing w:before="20" w:after="20" w:line="240" w:lineRule="auto"/>
              <w:jc w:val="center"/>
            </w:pPr>
            <w:r>
              <w:rPr>
                <w:iCs/>
                <w:i/>
              </w:rPr>
              <w:t xml:space="preserve">dig</w:t>
            </w:r>
          </w:p>
        </w:tc>
        <w:tc>
          <w:tcPr/>
          <w:p>
            <w:pPr>
              <w:pStyle w:val="Compact"/>
              <w:spacing w:before="20" w:after="20" w:line="240" w:lineRule="auto"/>
              <w:jc w:val="center"/>
            </w:pPr>
            <w:r>
              <w:t xml:space="preserve">1.7480***</w:t>
            </w:r>
          </w:p>
        </w:tc>
        <w:tc>
          <w:tcPr/>
          <w:p>
            <w:pPr>
              <w:pStyle w:val="Compact"/>
              <w:spacing w:before="20" w:after="20" w:line="240" w:lineRule="auto"/>
              <w:jc w:val="center"/>
            </w:pPr>
            <w:r>
              <w:t xml:space="preserve">0.2327***</w:t>
            </w:r>
          </w:p>
        </w:tc>
        <w:tc>
          <w:tcPr/>
          <w:p>
            <w:pPr>
              <w:pStyle w:val="Compact"/>
              <w:spacing w:before="20" w:after="20" w:line="240" w:lineRule="auto"/>
              <w:jc w:val="center"/>
            </w:pPr>
            <w:r>
              <w:t xml:space="preserve">0.3377***</w:t>
            </w:r>
          </w:p>
        </w:tc>
        <w:tc>
          <w:tcPr/>
          <w:p>
            <w:pPr>
              <w:pStyle w:val="Compact"/>
              <w:spacing w:before="20" w:after="20" w:line="240" w:lineRule="auto"/>
              <w:jc w:val="center"/>
            </w:pPr>
            <w:r>
              <w:t xml:space="preserve">0.2371***</w:t>
            </w:r>
          </w:p>
        </w:tc>
        <w:tc>
          <w:tcPr/>
          <w:p>
            <w:pPr>
              <w:pStyle w:val="Compact"/>
              <w:spacing w:before="20" w:after="20" w:line="240" w:lineRule="auto"/>
              <w:jc w:val="center"/>
            </w:pPr>
            <w:r>
              <w:t xml:space="preserve">1.5684***</w:t>
            </w:r>
          </w:p>
        </w:tc>
        <w:tc>
          <w:tcPr/>
          <w:p>
            <w:pPr>
              <w:pStyle w:val="Compact"/>
              <w:spacing w:before="20" w:after="20" w:line="240" w:lineRule="auto"/>
              <w:jc w:val="center"/>
            </w:pPr>
            <w:r>
              <w:t xml:space="preserve">0.2244***</w:t>
            </w:r>
          </w:p>
        </w:tc>
      </w:tr>
      <w:tr>
        <w:tc>
          <w:tcPr/>
          <w:p>
            <w:pPr>
              <w:pStyle w:val="Compact"/>
              <w:spacing w:before="20" w:after="20" w:line="240" w:lineRule="auto"/>
              <w:jc w:val="center"/>
            </w:pPr>
          </w:p>
        </w:tc>
        <w:tc>
          <w:tcPr/>
          <w:p>
            <w:pPr>
              <w:pStyle w:val="Compact"/>
              <w:spacing w:before="20" w:after="20" w:line="240" w:lineRule="auto"/>
              <w:jc w:val="center"/>
            </w:pPr>
            <w:r>
              <w:t xml:space="preserve">（7.2658）</w:t>
            </w:r>
          </w:p>
        </w:tc>
        <w:tc>
          <w:tcPr/>
          <w:p>
            <w:pPr>
              <w:pStyle w:val="Compact"/>
              <w:spacing w:before="20" w:after="20" w:line="240" w:lineRule="auto"/>
              <w:jc w:val="center"/>
            </w:pPr>
            <w:r>
              <w:t xml:space="preserve">（9.0993）</w:t>
            </w:r>
          </w:p>
        </w:tc>
        <w:tc>
          <w:tcPr/>
          <w:p>
            <w:pPr>
              <w:pStyle w:val="Compact"/>
              <w:spacing w:before="20" w:after="20" w:line="240" w:lineRule="auto"/>
              <w:jc w:val="center"/>
            </w:pPr>
            <w:r>
              <w:t xml:space="preserve">（7.6499）</w:t>
            </w:r>
          </w:p>
        </w:tc>
        <w:tc>
          <w:tcPr/>
          <w:p>
            <w:pPr>
              <w:pStyle w:val="Compact"/>
              <w:spacing w:before="20" w:after="20" w:line="240" w:lineRule="auto"/>
              <w:jc w:val="center"/>
            </w:pPr>
            <w:r>
              <w:t xml:space="preserve">（9.3025）</w:t>
            </w:r>
          </w:p>
        </w:tc>
        <w:tc>
          <w:tcPr/>
          <w:p>
            <w:pPr>
              <w:pStyle w:val="Compact"/>
              <w:spacing w:before="20" w:after="20" w:line="240" w:lineRule="auto"/>
              <w:jc w:val="center"/>
            </w:pPr>
            <w:r>
              <w:t xml:space="preserve">（4.4908）</w:t>
            </w:r>
          </w:p>
        </w:tc>
        <w:tc>
          <w:tcPr/>
          <w:p>
            <w:pPr>
              <w:pStyle w:val="Compact"/>
              <w:spacing w:before="20" w:after="20" w:line="240" w:lineRule="auto"/>
              <w:jc w:val="center"/>
            </w:pPr>
            <w:r>
              <w:t xml:space="preserve">（9.2298）</w:t>
            </w:r>
          </w:p>
        </w:tc>
      </w:tr>
      <w:tr>
        <w:tc>
          <w:tcPr/>
          <w:p>
            <w:pPr>
              <w:pStyle w:val="Compact"/>
              <w:spacing w:before="20" w:after="20" w:line="240" w:lineRule="auto"/>
              <w:jc w:val="center"/>
            </w:pPr>
            <w:r>
              <w:rPr>
                <w:iCs/>
                <w:i/>
              </w:rPr>
              <w:t xml:space="preserve">entre</w:t>
            </w:r>
          </w:p>
        </w:tc>
        <w:tc>
          <w:tcPr/>
          <w:p>
            <w:pPr>
              <w:pStyle w:val="Compact"/>
              <w:spacing w:before="20" w:after="20" w:line="240" w:lineRule="auto"/>
              <w:jc w:val="center"/>
            </w:pPr>
          </w:p>
        </w:tc>
        <w:tc>
          <w:tcPr/>
          <w:p>
            <w:pPr>
              <w:pStyle w:val="Compact"/>
              <w:spacing w:before="20" w:after="20" w:line="240" w:lineRule="auto"/>
              <w:jc w:val="center"/>
            </w:pPr>
            <w:r>
              <w:t xml:space="preserve">0.0174***</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（9.8022）</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r>
      <w:tr>
        <w:tc>
          <w:tcPr/>
          <w:p>
            <w:pPr>
              <w:pStyle w:val="Compact"/>
              <w:spacing w:before="20" w:after="20" w:line="240" w:lineRule="auto"/>
              <w:jc w:val="center"/>
            </w:pPr>
            <w:r>
              <w:rPr>
                <w:iCs/>
                <w:i/>
              </w:rPr>
              <w:t xml:space="preserve">upg</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0.0771***</w:t>
            </w:r>
          </w:p>
        </w:tc>
        <w:tc>
          <w:tcPr/>
          <w:p>
            <w:pPr>
              <w:pStyle w:val="Compact"/>
              <w:spacing w:before="20" w:after="20" w:line="240" w:lineRule="auto"/>
              <w:jc w:val="center"/>
            </w:pPr>
          </w:p>
        </w:tc>
        <w:tc>
          <w:tcPr/>
          <w:p>
            <w:pPr>
              <w:pStyle w:val="Compact"/>
              <w:spacing w:before="20" w:after="20" w:line="240" w:lineRule="auto"/>
              <w:jc w:val="center"/>
            </w:pP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（8.2977）</w:t>
            </w:r>
          </w:p>
        </w:tc>
        <w:tc>
          <w:tcPr/>
          <w:p>
            <w:pPr>
              <w:pStyle w:val="Compact"/>
              <w:spacing w:before="20" w:after="20" w:line="240" w:lineRule="auto"/>
              <w:jc w:val="center"/>
            </w:pPr>
          </w:p>
        </w:tc>
        <w:tc>
          <w:tcPr/>
          <w:p>
            <w:pPr>
              <w:pStyle w:val="Compact"/>
              <w:spacing w:before="20" w:after="20" w:line="240" w:lineRule="auto"/>
              <w:jc w:val="center"/>
            </w:pPr>
          </w:p>
        </w:tc>
      </w:tr>
      <w:tr>
        <w:tc>
          <w:tcPr/>
          <w:p>
            <w:pPr>
              <w:pStyle w:val="Compact"/>
              <w:spacing w:before="20" w:after="20" w:line="240" w:lineRule="auto"/>
              <w:jc w:val="center"/>
            </w:pPr>
            <w:r>
              <w:rPr>
                <w:iCs/>
                <w:i/>
              </w:rPr>
              <w:t xml:space="preserve">hc</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0.0247***</w:t>
            </w: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（17.2978）</w:t>
            </w:r>
          </w:p>
        </w:tc>
      </w:tr>
      <w:tr>
        <w:tc>
          <w:tcPr/>
          <w:p>
            <w:pPr>
              <w:pStyle w:val="Compact"/>
              <w:spacing w:before="20" w:after="20" w:line="240" w:lineRule="auto"/>
              <w:jc w:val="center"/>
            </w:pPr>
            <w:r>
              <w:t xml:space="preserve">中介效应占比</w:t>
            </w:r>
          </w:p>
        </w:tc>
        <w:tc>
          <w:tcPr/>
          <w:p>
            <w:pPr>
              <w:pStyle w:val="Compact"/>
              <w:spacing w:before="20" w:after="20" w:line="240" w:lineRule="auto"/>
              <w:jc w:val="center"/>
            </w:pPr>
          </w:p>
        </w:tc>
        <w:tc>
          <w:tcPr/>
          <w:p>
            <w:pPr>
              <w:pStyle w:val="Compact"/>
              <w:spacing w:before="20" w:after="20" w:line="240" w:lineRule="auto"/>
              <w:jc w:val="center"/>
            </w:pPr>
            <w:r>
              <w:t xml:space="preserve">11.55%</w:t>
            </w:r>
          </w:p>
        </w:tc>
        <w:tc>
          <w:tcPr/>
          <w:p>
            <w:pPr>
              <w:pStyle w:val="Compact"/>
              <w:spacing w:before="20" w:after="20" w:line="240" w:lineRule="auto"/>
              <w:jc w:val="center"/>
            </w:pPr>
          </w:p>
        </w:tc>
        <w:tc>
          <w:tcPr/>
          <w:p>
            <w:pPr>
              <w:pStyle w:val="Compact"/>
              <w:spacing w:before="20" w:after="20" w:line="240" w:lineRule="auto"/>
              <w:jc w:val="center"/>
            </w:pPr>
            <w:r>
              <w:t xml:space="preserve">9.89%</w:t>
            </w:r>
          </w:p>
        </w:tc>
        <w:tc>
          <w:tcPr/>
          <w:p>
            <w:pPr>
              <w:pStyle w:val="Compact"/>
              <w:spacing w:before="20" w:after="20" w:line="240" w:lineRule="auto"/>
              <w:jc w:val="center"/>
            </w:pPr>
          </w:p>
        </w:tc>
        <w:tc>
          <w:tcPr/>
          <w:p>
            <w:pPr>
              <w:pStyle w:val="Compact"/>
              <w:spacing w:before="20" w:after="20" w:line="240" w:lineRule="auto"/>
              <w:jc w:val="center"/>
            </w:pPr>
            <w:r>
              <w:t xml:space="preserve">14.70%</w:t>
            </w:r>
          </w:p>
        </w:tc>
      </w:tr>
      <w:tr>
        <w:tc>
          <w:tcPr/>
          <w:p>
            <w:pPr>
              <w:pStyle w:val="Compact"/>
              <w:spacing w:before="20" w:after="20" w:line="240" w:lineRule="auto"/>
              <w:jc w:val="center"/>
            </w:pPr>
            <w:r>
              <w:t xml:space="preserve">控制变量</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3336</w:t>
            </w:r>
          </w:p>
        </w:tc>
      </w:tr>
      <w:tr>
        <w:tc>
          <w:tcPr/>
          <w:p>
            <w:pPr>
              <w:pStyle w:val="Compact"/>
              <w:spacing w:before="20" w:after="20" w:line="240" w:lineRule="auto"/>
              <w:jc w:val="center"/>
            </w:pPr>
            <m:oMath>
              <m:sSup>
                <m:e>
                  <m:r>
                    <m:t>R</m:t>
                  </m:r>
                </m:e>
                <m:sup>
                  <m:r>
                    <m:t>2</m:t>
                  </m:r>
                </m:sup>
              </m:sSup>
            </m:oMath>
          </w:p>
        </w:tc>
        <w:tc>
          <w:tcPr/>
          <w:p>
            <w:pPr>
              <w:pStyle w:val="Compact"/>
              <w:spacing w:before="20" w:after="20" w:line="240" w:lineRule="auto"/>
              <w:jc w:val="center"/>
            </w:pPr>
            <w:r>
              <w:t xml:space="preserve">0.0474</w:t>
            </w:r>
          </w:p>
        </w:tc>
        <w:tc>
          <w:tcPr/>
          <w:p>
            <w:pPr>
              <w:pStyle w:val="Compact"/>
              <w:spacing w:before="20" w:after="20" w:line="240" w:lineRule="auto"/>
              <w:jc w:val="center"/>
            </w:pPr>
            <w:r>
              <w:t xml:space="preserve">0.1570</w:t>
            </w:r>
          </w:p>
        </w:tc>
        <w:tc>
          <w:tcPr/>
          <w:p>
            <w:pPr>
              <w:pStyle w:val="Compact"/>
              <w:spacing w:before="20" w:after="20" w:line="240" w:lineRule="auto"/>
              <w:jc w:val="center"/>
            </w:pPr>
            <w:r>
              <w:t xml:space="preserve">0.0401</w:t>
            </w:r>
          </w:p>
        </w:tc>
        <w:tc>
          <w:tcPr/>
          <w:p>
            <w:pPr>
              <w:pStyle w:val="Compact"/>
              <w:spacing w:before="20" w:after="20" w:line="240" w:lineRule="auto"/>
              <w:jc w:val="center"/>
            </w:pPr>
            <w:r>
              <w:t xml:space="preserve">0.1459</w:t>
            </w:r>
          </w:p>
        </w:tc>
        <w:tc>
          <w:tcPr/>
          <w:p>
            <w:pPr>
              <w:pStyle w:val="Compact"/>
              <w:spacing w:before="20" w:after="20" w:line="240" w:lineRule="auto"/>
              <w:jc w:val="center"/>
            </w:pPr>
            <w:r>
              <w:t xml:space="preserve">0.0179</w:t>
            </w:r>
          </w:p>
        </w:tc>
        <w:tc>
          <w:tcPr/>
          <w:p>
            <w:pPr>
              <w:pStyle w:val="Compact"/>
              <w:spacing w:before="20" w:after="20" w:line="240" w:lineRule="auto"/>
              <w:jc w:val="center"/>
            </w:pPr>
            <w:r>
              <w:t xml:space="preserve">0.2415</w:t>
            </w:r>
          </w:p>
        </w:tc>
      </w:tr>
    </w:tbl>
    <w:bookmarkEnd w:id="39"/>
    <w:bookmarkStart w:id="43" w:name="门槛效应检验"/>
    <w:p>
      <w:pPr>
        <w:pStyle w:val="Heading2"/>
      </w:pPr>
      <w:r>
        <w:t xml:space="preserve">3.5 门槛效应检验</w:t>
      </w:r>
    </w:p>
    <w:p>
      <w:pPr>
        <w:pStyle w:val="FirstParagraph"/>
      </w:pPr>
      <w:r>
        <w:t xml:space="preserve">以人力资本水平为门槛变量，采用Hansen面板门槛模型检验数字经济赋能作用的非线性特征。门槛个数检验采用自助法反复抽样求得渐近</w:t>
      </w:r>
      <w:r>
        <w:rPr>
          <w:iCs/>
          <w:i/>
        </w:rPr>
        <w:t xml:space="preserve">P</w:t>
      </w:r>
      <w:r>
        <w:t xml:space="preserve">值，结果显示单一门槛效应的</w:t>
      </w:r>
      <w:r>
        <w:rPr>
          <w:iCs/>
          <w:i/>
        </w:rPr>
        <w:t xml:space="preserve">F</w:t>
      </w:r>
      <w:r>
        <w:t xml:space="preserve">统计量为353.7730，双重门槛效应的</w:t>
      </w:r>
      <w:r>
        <w:rPr>
          <w:iCs/>
          <w:i/>
        </w:rPr>
        <w:t xml:space="preserve">F</w:t>
      </w:r>
      <w:r>
        <w:t xml:space="preserve">统计量为208.4078，二者均在1%的水平上显著，故本文采用双重门槛模型，估计得到的门槛值分别为−0.2917与0.7685。</w:t>
      </w:r>
    </w:p>
    <w:p>
      <w:pPr>
        <w:pStyle w:val="BodyText"/>
      </w:pPr>
      <w:r>
        <w:t xml:space="preserve">表8报告了门槛回归结果。当人力资本水平低于第一门槛值时，数字经济的估计系数为−0.0050且不显著，表明在人力资本存量不足的城市，数字经济尚不能有效改善青年就业质量；当人力资本水平介于两门槛值之间时，估计系数上升至0.1686并在1%的水平上显著；当人力资本水平跨越第二门槛值后，估计系数进一步跃升至0.3209，且显著性水平保持在1%。分区间样本占比显示，处于三个区间的观测值分别占39.9%、36.8%与23.3%，表明仍有近四成的城市样本尚未跨越第一门槛。图2（a）刻画了门槛值的似然比检验过程，图2（b）直观展示了分区间的边际效应差异。上述结果验证了假设5，即数字经济对青年高质量就业的赋能作用受本地人力资本水平约束，呈现“门槛跨越—效应递增”的阶梯式特征。</w:t>
      </w:r>
    </w:p>
    <w:p>
      <w:pPr>
        <w:pStyle w:val="TableCaption"/>
      </w:pPr>
      <w:r>
        <w:t xml:space="preserve">表8 门槛效应检验结果</w:t>
      </w:r>
    </w:p>
    <w:tbl>
      <w:tblPr>
        <w:tblStyle w:val="Table"/>
        <w:jc w:val="center"/>
        <w:tblLook w:firstRow="1" w:lastRow="0" w:firstColumn="0" w:lastColumn="0" w:noHBand="0" w:noVBand="0" w:val="0020"/>
        <w:tblCaption w:val="表8 门槛效应检验结果"/>
        <w:tblW w:w="5000" w:type="pct"/>
        <w:tblLayout w:type="autofit"/>
      </w:tblPr>
      <w:tblGrid>
        <w:gridCol w:w="2640"/>
        <w:gridCol w:w="2640"/>
        <w:gridCol w:w="2640"/>
      </w:tblGrid>
      <w:tr>
        <w:trPr>
          <w:tblHeader w:val="true"/>
        </w:trPr>
        <w:tc>
          <w:tcPr/>
          <w:p>
            <w:pPr>
              <w:pStyle w:val="Compact"/>
              <w:spacing w:before="20" w:after="20" w:line="240" w:lineRule="auto"/>
              <w:jc w:val="center"/>
            </w:pPr>
            <w:r>
              <w:t xml:space="preserve">变量</w:t>
            </w:r>
          </w:p>
        </w:tc>
        <w:tc>
          <w:tcPr/>
          <w:p>
            <w:pPr>
              <w:pStyle w:val="Compact"/>
              <w:spacing w:before="20" w:after="20" w:line="240" w:lineRule="auto"/>
              <w:jc w:val="center"/>
            </w:pPr>
            <w:r>
              <w:t xml:space="preserve">（1）单一门槛</w:t>
            </w:r>
          </w:p>
        </w:tc>
        <w:tc>
          <w:tcPr/>
          <w:p>
            <w:pPr>
              <w:pStyle w:val="Compact"/>
              <w:spacing w:before="20" w:after="20" w:line="240" w:lineRule="auto"/>
              <w:jc w:val="center"/>
            </w:pPr>
            <w:r>
              <w:t xml:space="preserve">（2）双重门槛</w:t>
            </w:r>
          </w:p>
        </w:tc>
      </w:tr>
      <w:tr>
        <w:tc>
          <w:tcPr/>
          <w:p>
            <w:pPr>
              <w:pStyle w:val="Compact"/>
              <w:spacing w:before="20" w:after="20" w:line="240" w:lineRule="auto"/>
              <w:jc w:val="center"/>
            </w:pPr>
            <m:oMath>
              <m:r>
                <m:rPr>
                  <m:sty m:val="p"/>
                </m:rPr>
                <m:t>dig</m:t>
              </m:r>
              <m:r>
                <m:rPr>
                  <m:sty m:val="p"/>
                </m:rPr>
                <m:t>×</m:t>
              </m:r>
              <m:r>
                <m:t>I</m:t>
              </m:r>
              <m:d>
                <m:dPr>
                  <m:begChr m:val="("/>
                  <m:endChr m:val=")"/>
                  <m:sepChr m:val=""/>
                  <m:grow/>
                </m:dPr>
                <m:e>
                  <m:r>
                    <m:rPr>
                      <m:sty m:val="p"/>
                    </m:rPr>
                    <m:t>hc</m:t>
                  </m:r>
                  <m:r>
                    <m:rPr>
                      <m:sty m:val="p"/>
                    </m:rPr>
                    <m:t>≤</m:t>
                  </m:r>
                  <m:sSub>
                    <m:e>
                      <m:r>
                        <m:t>γ</m:t>
                      </m:r>
                    </m:e>
                    <m:sub>
                      <m:r>
                        <m:t>1</m:t>
                      </m:r>
                    </m:sub>
                  </m:sSub>
                </m:e>
              </m:d>
            </m:oMath>
          </w:p>
        </w:tc>
        <w:tc>
          <w:tcPr/>
          <w:p>
            <w:pPr>
              <w:pStyle w:val="Compact"/>
              <w:spacing w:before="20" w:after="20" w:line="240" w:lineRule="auto"/>
              <w:jc w:val="center"/>
            </w:pPr>
            <w:r>
              <w:t xml:space="preserve">0.0587**（2.1107）</w:t>
            </w:r>
          </w:p>
        </w:tc>
        <w:tc>
          <w:tcPr/>
          <w:p>
            <w:pPr>
              <w:pStyle w:val="Compact"/>
              <w:spacing w:before="20" w:after="20" w:line="240" w:lineRule="auto"/>
              <w:jc w:val="center"/>
            </w:pPr>
            <w:r>
              <w:t xml:space="preserve">−0.0050（−0.1695）</w:t>
            </w:r>
          </w:p>
        </w:tc>
      </w:tr>
      <w:tr>
        <w:tc>
          <w:tcPr/>
          <w:p>
            <w:pPr>
              <w:pStyle w:val="Compact"/>
              <w:spacing w:before="20" w:after="20" w:line="240" w:lineRule="auto"/>
              <w:jc w:val="center"/>
            </w:pPr>
            <m:oMath>
              <m:r>
                <m:rPr>
                  <m:sty m:val="p"/>
                </m:rPr>
                <m:t>dig</m:t>
              </m:r>
              <m:r>
                <m:rPr>
                  <m:sty m:val="p"/>
                </m:rPr>
                <m:t>×</m:t>
              </m:r>
              <m:r>
                <m:t>I</m:t>
              </m:r>
              <m:d>
                <m:dPr>
                  <m:begChr m:val="("/>
                  <m:endChr m:val=")"/>
                  <m:sepChr m:val=""/>
                  <m:grow/>
                </m:dPr>
                <m:e>
                  <m:sSub>
                    <m:e>
                      <m:r>
                        <m:t>γ</m:t>
                      </m:r>
                    </m:e>
                    <m:sub>
                      <m:r>
                        <m:t>1</m:t>
                      </m:r>
                    </m:sub>
                  </m:sSub>
                  <m:r>
                    <m:rPr>
                      <m:sty m:val="p"/>
                    </m:rPr>
                    <m:t>&lt;</m:t>
                  </m:r>
                  <m:r>
                    <m:rPr>
                      <m:sty m:val="p"/>
                    </m:rPr>
                    <m:t>hc</m:t>
                  </m:r>
                  <m:r>
                    <m:rPr>
                      <m:sty m:val="p"/>
                    </m:rPr>
                    <m:t>≤</m:t>
                  </m:r>
                  <m:sSub>
                    <m:e>
                      <m:r>
                        <m:t>γ</m:t>
                      </m:r>
                    </m:e>
                    <m:sub>
                      <m:r>
                        <m:t>2</m:t>
                      </m:r>
                    </m:sub>
                  </m:sSub>
                </m:e>
              </m:d>
            </m:oMath>
          </w:p>
        </w:tc>
        <w:tc>
          <w:tcPr/>
          <w:p>
            <w:pPr>
              <w:pStyle w:val="Compact"/>
              <w:spacing w:before="20" w:after="20" w:line="240" w:lineRule="auto"/>
              <w:jc w:val="center"/>
            </w:pPr>
          </w:p>
        </w:tc>
        <w:tc>
          <w:tcPr/>
          <w:p>
            <w:pPr>
              <w:pStyle w:val="Compact"/>
              <w:spacing w:before="20" w:after="20" w:line="240" w:lineRule="auto"/>
              <w:jc w:val="center"/>
            </w:pPr>
            <w:r>
              <w:t xml:space="preserve">0.1686***（6.8085）</w:t>
            </w:r>
          </w:p>
        </w:tc>
      </w:tr>
      <w:tr>
        <w:tc>
          <w:tcPr/>
          <w:p>
            <w:pPr>
              <w:pStyle w:val="Compact"/>
              <w:spacing w:before="20" w:after="20" w:line="240" w:lineRule="auto"/>
              <w:jc w:val="center"/>
            </w:pPr>
            <m:oMath>
              <m:r>
                <m:rPr>
                  <m:sty m:val="p"/>
                </m:rPr>
                <m:t>dig</m:t>
              </m:r>
              <m:r>
                <m:rPr>
                  <m:sty m:val="p"/>
                </m:rPr>
                <m:t>×</m:t>
              </m:r>
              <m:r>
                <m:t>I</m:t>
              </m:r>
              <m:d>
                <m:dPr>
                  <m:begChr m:val="("/>
                  <m:endChr m:val=")"/>
                  <m:sepChr m:val=""/>
                  <m:grow/>
                </m:dPr>
                <m:e>
                  <m:r>
                    <m:rPr>
                      <m:sty m:val="p"/>
                    </m:rPr>
                    <m:t>hc</m:t>
                  </m:r>
                  <m:r>
                    <m:rPr>
                      <m:sty m:val="p"/>
                    </m:rPr>
                    <m:t>&gt;</m:t>
                  </m:r>
                  <m:sSub>
                    <m:e>
                      <m:r>
                        <m:t>γ</m:t>
                      </m:r>
                    </m:e>
                    <m:sub>
                      <m:r>
                        <m:t>1</m:t>
                      </m:r>
                    </m:sub>
                  </m:sSub>
                </m:e>
              </m:d>
            </m:oMath>
          </w:p>
        </w:tc>
        <w:tc>
          <w:tcPr/>
          <w:p>
            <w:pPr>
              <w:pStyle w:val="Compact"/>
              <w:spacing w:before="20" w:after="20" w:line="240" w:lineRule="auto"/>
              <w:jc w:val="center"/>
            </w:pPr>
            <w:r>
              <w:t xml:space="preserve">0.2768***（12.3523）</w:t>
            </w:r>
          </w:p>
        </w:tc>
        <w:tc>
          <w:tcPr/>
          <w:p>
            <w:pPr>
              <w:pStyle w:val="Compact"/>
              <w:spacing w:before="20" w:after="20" w:line="240" w:lineRule="auto"/>
              <w:jc w:val="center"/>
            </w:pPr>
          </w:p>
        </w:tc>
      </w:tr>
      <w:tr>
        <w:tc>
          <w:tcPr/>
          <w:p>
            <w:pPr>
              <w:pStyle w:val="Compact"/>
              <w:spacing w:before="20" w:after="20" w:line="240" w:lineRule="auto"/>
              <w:jc w:val="center"/>
            </w:pPr>
            <m:oMath>
              <m:r>
                <m:rPr>
                  <m:sty m:val="p"/>
                </m:rPr>
                <m:t>dig</m:t>
              </m:r>
              <m:r>
                <m:rPr>
                  <m:sty m:val="p"/>
                </m:rPr>
                <m:t>×</m:t>
              </m:r>
              <m:r>
                <m:t>I</m:t>
              </m:r>
              <m:d>
                <m:dPr>
                  <m:begChr m:val="("/>
                  <m:endChr m:val=")"/>
                  <m:sepChr m:val=""/>
                  <m:grow/>
                </m:dPr>
                <m:e>
                  <m:r>
                    <m:rPr>
                      <m:sty m:val="p"/>
                    </m:rPr>
                    <m:t>hc</m:t>
                  </m:r>
                  <m:r>
                    <m:rPr>
                      <m:sty m:val="p"/>
                    </m:rPr>
                    <m:t>&gt;</m:t>
                  </m:r>
                  <m:sSub>
                    <m:e>
                      <m:r>
                        <m:t>γ</m:t>
                      </m:r>
                    </m:e>
                    <m:sub>
                      <m:r>
                        <m:t>2</m:t>
                      </m:r>
                    </m:sub>
                  </m:sSub>
                </m:e>
              </m:d>
            </m:oMath>
          </w:p>
        </w:tc>
        <w:tc>
          <w:tcPr/>
          <w:p>
            <w:pPr>
              <w:pStyle w:val="Compact"/>
              <w:spacing w:before="20" w:after="20" w:line="240" w:lineRule="auto"/>
              <w:jc w:val="center"/>
            </w:pPr>
          </w:p>
        </w:tc>
        <w:tc>
          <w:tcPr/>
          <w:p>
            <w:pPr>
              <w:pStyle w:val="Compact"/>
              <w:spacing w:before="20" w:after="20" w:line="240" w:lineRule="auto"/>
              <w:jc w:val="center"/>
            </w:pPr>
            <w:r>
              <w:t xml:space="preserve">0.3209***（12.0272）</w:t>
            </w:r>
          </w:p>
        </w:tc>
      </w:tr>
      <w:tr>
        <w:tc>
          <w:tcPr/>
          <w:p>
            <w:pPr>
              <w:pStyle w:val="Compact"/>
              <w:spacing w:before="20" w:after="20" w:line="240" w:lineRule="auto"/>
              <w:jc w:val="center"/>
            </w:pPr>
            <w:r>
              <w:t xml:space="preserve">门槛值</w:t>
            </w:r>
            <m:oMath>
              <m:sSub>
                <m:e>
                  <m:r>
                    <m:t>γ</m:t>
                  </m:r>
                </m:e>
                <m:sub>
                  <m:r>
                    <m:t>1</m:t>
                  </m:r>
                </m:sub>
              </m:sSub>
            </m:oMath>
          </w:p>
        </w:tc>
        <w:tc>
          <w:tcPr/>
          <w:p>
            <w:pPr>
              <w:pStyle w:val="Compact"/>
              <w:spacing w:before="20" w:after="20" w:line="240" w:lineRule="auto"/>
              <w:jc w:val="center"/>
            </w:pPr>
            <w:r>
              <w:t xml:space="preserve">−0.2917</w:t>
            </w:r>
          </w:p>
        </w:tc>
        <w:tc>
          <w:tcPr/>
          <w:p>
            <w:pPr>
              <w:pStyle w:val="Compact"/>
              <w:spacing w:before="20" w:after="20" w:line="240" w:lineRule="auto"/>
              <w:jc w:val="center"/>
            </w:pPr>
            <w:r>
              <w:t xml:space="preserve">−0.2917</w:t>
            </w:r>
          </w:p>
        </w:tc>
      </w:tr>
      <w:tr>
        <w:tc>
          <w:tcPr/>
          <w:p>
            <w:pPr>
              <w:pStyle w:val="Compact"/>
              <w:spacing w:before="20" w:after="20" w:line="240" w:lineRule="auto"/>
              <w:jc w:val="center"/>
            </w:pPr>
            <w:r>
              <w:t xml:space="preserve">门槛值</w:t>
            </w:r>
            <m:oMath>
              <m:sSub>
                <m:e>
                  <m:r>
                    <m:t>γ</m:t>
                  </m:r>
                </m:e>
                <m:sub>
                  <m:r>
                    <m:t>2</m:t>
                  </m:r>
                </m:sub>
              </m:sSub>
            </m:oMath>
          </w:p>
        </w:tc>
        <w:tc>
          <w:tcPr/>
          <w:p>
            <w:pPr>
              <w:pStyle w:val="Compact"/>
              <w:spacing w:before="20" w:after="20" w:line="240" w:lineRule="auto"/>
              <w:jc w:val="center"/>
            </w:pPr>
          </w:p>
        </w:tc>
        <w:tc>
          <w:tcPr/>
          <w:p>
            <w:pPr>
              <w:pStyle w:val="Compact"/>
              <w:spacing w:before="20" w:after="20" w:line="240" w:lineRule="auto"/>
              <w:jc w:val="center"/>
            </w:pPr>
            <w:r>
              <w:t xml:space="preserve">0.7685</w:t>
            </w:r>
          </w:p>
        </w:tc>
      </w:tr>
      <w:tr>
        <w:tc>
          <w:tcPr/>
          <w:p>
            <w:pPr>
              <w:pStyle w:val="Compact"/>
              <w:spacing w:before="20" w:after="20" w:line="240" w:lineRule="auto"/>
              <w:jc w:val="center"/>
            </w:pPr>
            <w:r>
              <w:rPr>
                <w:iCs/>
                <w:i/>
              </w:rPr>
              <w:t xml:space="preserve">F</w:t>
            </w:r>
            <w:r>
              <w:t xml:space="preserve">统计量</w:t>
            </w:r>
          </w:p>
        </w:tc>
        <w:tc>
          <w:tcPr/>
          <w:p>
            <w:pPr>
              <w:pStyle w:val="Compact"/>
              <w:spacing w:before="20" w:after="20" w:line="240" w:lineRule="auto"/>
              <w:jc w:val="center"/>
            </w:pPr>
            <w:r>
              <w:t xml:space="preserve">353.7730***</w:t>
            </w:r>
          </w:p>
        </w:tc>
        <w:tc>
          <w:tcPr/>
          <w:p>
            <w:pPr>
              <w:pStyle w:val="Compact"/>
              <w:spacing w:before="20" w:after="20" w:line="240" w:lineRule="auto"/>
              <w:jc w:val="center"/>
            </w:pPr>
            <w:r>
              <w:t xml:space="preserve">208.4078***</w:t>
            </w:r>
          </w:p>
        </w:tc>
      </w:tr>
      <w:tr>
        <w:tc>
          <w:tcPr/>
          <w:p>
            <w:pPr>
              <w:pStyle w:val="Compact"/>
              <w:spacing w:before="20" w:after="20" w:line="240" w:lineRule="auto"/>
              <w:jc w:val="center"/>
            </w:pPr>
            <w:r>
              <w:t xml:space="preserve">控制变量</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3336</w:t>
            </w:r>
          </w:p>
        </w:tc>
        <w:tc>
          <w:tcPr/>
          <w:p>
            <w:pPr>
              <w:pStyle w:val="Compact"/>
              <w:spacing w:before="20" w:after="20" w:line="240" w:lineRule="auto"/>
              <w:jc w:val="center"/>
            </w:pPr>
            <w:r>
              <w:t xml:space="preserve">3336</w:t>
            </w:r>
          </w:p>
        </w:tc>
      </w:tr>
      <w:tr>
        <w:tc>
          <w:tcPr/>
          <w:p>
            <w:pPr>
              <w:pStyle w:val="Compact"/>
              <w:spacing w:before="20" w:after="20" w:line="240" w:lineRule="auto"/>
              <w:jc w:val="center"/>
            </w:pPr>
            <m:oMath>
              <m:sSup>
                <m:e>
                  <m:r>
                    <m:t>R</m:t>
                  </m:r>
                </m:e>
                <m:sup>
                  <m:r>
                    <m:t>2</m:t>
                  </m:r>
                </m:sup>
              </m:sSup>
            </m:oMath>
          </w:p>
        </w:tc>
        <w:tc>
          <w:tcPr/>
          <w:p>
            <w:pPr>
              <w:pStyle w:val="Compact"/>
              <w:spacing w:before="20" w:after="20" w:line="240" w:lineRule="auto"/>
              <w:jc w:val="center"/>
            </w:pPr>
          </w:p>
        </w:tc>
        <w:tc>
          <w:tcPr/>
          <w:p>
            <w:pPr>
              <w:pStyle w:val="Compact"/>
              <w:spacing w:before="20" w:after="20" w:line="240" w:lineRule="auto"/>
              <w:jc w:val="center"/>
            </w:pPr>
            <w:r>
              <w:t xml:space="preserve">0.2581</w:t>
            </w:r>
          </w:p>
        </w:tc>
      </w:tr>
    </w:tbl>
    <w:p>
      <w:pPr>
        <w:pStyle w:val="TableNote"/>
      </w:pPr>
      <w:r>
        <w:t xml:space="preserve">注：门槛变量为标准化处理后的人力资本水平；单一门槛与双重门槛检验的自助抽样次数分别为300次与200次，</w:t>
      </w:r>
      <w:r>
        <w:rPr>
          <w:iCs/>
          <w:i/>
        </w:rPr>
        <w:t xml:space="preserve">F</w:t>
      </w:r>
      <w:r>
        <w:t xml:space="preserve">统计量的显著性由自助法求得的渐近</w:t>
      </w:r>
      <w:r>
        <w:rPr>
          <w:iCs/>
          <w:i/>
        </w:rPr>
        <w:t xml:space="preserve">P</w:t>
      </w:r>
      <w:r>
        <w:t xml:space="preserve">值判定；列（1）的两个分段均以</w:t>
      </w:r>
      <m:oMath>
        <m:sSub>
          <m:e>
            <m:r>
              <m:t>γ</m:t>
            </m:r>
          </m:e>
          <m:sub>
            <m:r>
              <m:t>1</m:t>
            </m:r>
          </m:sub>
        </m:sSub>
      </m:oMath>
      <w:r>
        <w:t xml:space="preserve">划分。</w:t>
      </w:r>
    </w:p>
    <w:p>
      <w:pPr>
        <w:pStyle w:val="CaptionedFigure"/>
      </w:pPr>
      <w:r>
        <w:drawing>
          <wp:inline>
            <wp:extent cx="5334000" cy="1997205"/>
            <wp:effectExtent b="0" l="0" r="0" t="0"/>
            <wp:docPr descr="图2 门槛效应检验结果" title="" id="41" name="Picture"/>
            <a:graphic>
              <a:graphicData uri="http://schemas.openxmlformats.org/drawingml/2006/picture">
                <pic:pic>
                  <pic:nvPicPr>
                    <pic:cNvPr descr="p1_fig2.png" id="42" name="Picture"/>
                    <pic:cNvPicPr>
                      <a:picLocks noChangeArrowheads="1" noChangeAspect="1"/>
                    </pic:cNvPicPr>
                  </pic:nvPicPr>
                  <pic:blipFill>
                    <a:blip r:embed="rId40"/>
                    <a:stretch>
                      <a:fillRect/>
                    </a:stretch>
                  </pic:blipFill>
                  <pic:spPr bwMode="auto">
                    <a:xfrm>
                      <a:off x="0" y="0"/>
                      <a:ext cx="5334000" cy="1997205"/>
                    </a:xfrm>
                    <a:prstGeom prst="rect">
                      <a:avLst/>
                    </a:prstGeom>
                    <a:noFill/>
                    <a:ln w="9525">
                      <a:noFill/>
                      <a:headEnd/>
                      <a:tailEnd/>
                    </a:ln>
                  </pic:spPr>
                </pic:pic>
              </a:graphicData>
            </a:graphic>
          </wp:inline>
        </w:drawing>
      </w:r>
    </w:p>
    <w:p>
      <w:pPr>
        <w:pStyle w:val="ImageCaption"/>
      </w:pPr>
      <w:r>
        <w:t xml:space="preserve">图2 门槛效应检验结果</w:t>
      </w:r>
    </w:p>
    <w:bookmarkEnd w:id="43"/>
    <w:bookmarkStart w:id="44" w:name="异质性分析"/>
    <w:p>
      <w:pPr>
        <w:pStyle w:val="Heading2"/>
      </w:pPr>
      <w:r>
        <w:t xml:space="preserve">3.6 异质性分析</w:t>
      </w:r>
    </w:p>
    <w:p>
      <w:pPr>
        <w:pStyle w:val="FirstParagraph"/>
      </w:pPr>
      <w:r>
        <w:t xml:space="preserve">考虑到城市在区位条件、规模等级与行政地位上的差异，本文进一步开展异质性分析，结果见表9。分区域看，数字经济的赋能效应在三大区域均显著为正，但中部地区与西部地区的系数分别为0.2932和0.2816，高于东部地区的0.2439。可能的原因在于，东部地区数字经济发展起步较早、水平较高，边际赋能效应有所递减；而中西部地区数字基础设施建设的后发效应显著，数字经济对当地青年就业环境的改善空间更大。分城市规模看，大规模城市的系数为0.2819，略高于中小规模城市的0.2542，这与大城市更完善的产业配套与更密集的岗位供给有关。分行政地位看，非中心城市的系数为0.2772，明显高于中心城市的0.1553，说明数字经济通过打破地理约束、降低信息壁垒，为非中心城市青年提供了更多接入优质就业机会的通道，具有一定的空间均衡效应。</w:t>
      </w:r>
    </w:p>
    <w:p>
      <w:pPr>
        <w:pStyle w:val="TableCaption"/>
      </w:pPr>
      <w:r>
        <w:t xml:space="preserve">表9 异质性分析结果</w:t>
      </w:r>
    </w:p>
    <w:tbl>
      <w:tblPr>
        <w:tblStyle w:val="Table"/>
        <w:jc w:val="center"/>
        <w:tblLook w:firstRow="1" w:lastRow="0" w:firstColumn="0" w:lastColumn="0" w:noHBand="0" w:noVBand="0" w:val="0020"/>
        <w:tblCaption w:val="表9 异质性分析结果"/>
        <w:tblW w:w="5000" w:type="pct"/>
        <w:tblLayout w:type="autofit"/>
      </w:tblPr>
      <w:tblGrid>
        <w:gridCol w:w="1584"/>
        <w:gridCol w:w="1584"/>
        <w:gridCol w:w="1584"/>
        <w:gridCol w:w="1584"/>
        <w:gridCol w:w="1584"/>
      </w:tblGrid>
      <w:tr>
        <w:trPr>
          <w:tblHeader w:val="true"/>
        </w:trPr>
        <w:tc>
          <w:tcPr/>
          <w:p>
            <w:pPr>
              <w:pStyle w:val="Compact"/>
              <w:spacing w:before="20" w:after="20" w:line="240" w:lineRule="auto"/>
              <w:jc w:val="center"/>
            </w:pPr>
            <w:r>
              <w:t xml:space="preserve">分组</w:t>
            </w:r>
          </w:p>
        </w:tc>
        <w:tc>
          <w:tcPr/>
          <w:p>
            <w:pPr>
              <w:pStyle w:val="Compact"/>
              <w:spacing w:before="20" w:after="20" w:line="240" w:lineRule="auto"/>
              <w:jc w:val="center"/>
            </w:pPr>
            <w:r>
              <w:t xml:space="preserve">系数</w:t>
            </w:r>
          </w:p>
        </w:tc>
        <w:tc>
          <w:tcPr/>
          <w:p>
            <w:pPr>
              <w:pStyle w:val="Compact"/>
              <w:spacing w:before="20" w:after="20" w:line="240" w:lineRule="auto"/>
              <w:jc w:val="center"/>
            </w:pPr>
            <w:r>
              <w:rPr>
                <w:iCs/>
                <w:i/>
              </w:rPr>
              <w:t xml:space="preserve">t</w:t>
            </w:r>
            <w:r>
              <w:t xml:space="preserve">值</w:t>
            </w:r>
          </w:p>
        </w:tc>
        <w:tc>
          <w:tcPr/>
          <w:p>
            <w:pPr>
              <w:pStyle w:val="Compact"/>
              <w:spacing w:before="20" w:after="20" w:line="240" w:lineRule="auto"/>
              <w:jc w:val="center"/>
            </w:pPr>
            <w:r>
              <w:rPr>
                <w:iCs/>
                <w:i/>
              </w:rPr>
              <w:t xml:space="preserve">N</w:t>
            </w:r>
          </w:p>
        </w:tc>
        <w:tc>
          <w:tcPr/>
          <w:p>
            <w:pPr>
              <w:pStyle w:val="Compact"/>
              <w:spacing w:before="20" w:after="20" w:line="240" w:lineRule="auto"/>
              <w:jc w:val="center"/>
            </w:pPr>
            <m:oMath>
              <m:sSup>
                <m:e>
                  <m:r>
                    <m:t>R</m:t>
                  </m:r>
                </m:e>
                <m:sup>
                  <m:r>
                    <m:t>2</m:t>
                  </m:r>
                </m:sup>
              </m:sSup>
            </m:oMath>
          </w:p>
        </w:tc>
      </w:tr>
      <w:tr>
        <w:tc>
          <w:tcPr/>
          <w:p>
            <w:pPr>
              <w:pStyle w:val="Compact"/>
              <w:spacing w:before="20" w:after="20" w:line="240" w:lineRule="auto"/>
              <w:jc w:val="center"/>
            </w:pPr>
            <w:r>
              <w:t xml:space="preserve">东部地区</w:t>
            </w:r>
          </w:p>
        </w:tc>
        <w:tc>
          <w:tcPr/>
          <w:p>
            <w:pPr>
              <w:pStyle w:val="Compact"/>
              <w:spacing w:before="20" w:after="20" w:line="240" w:lineRule="auto"/>
              <w:jc w:val="center"/>
            </w:pPr>
            <w:r>
              <w:t xml:space="preserve">0.2439***</w:t>
            </w:r>
          </w:p>
        </w:tc>
        <w:tc>
          <w:tcPr/>
          <w:p>
            <w:pPr>
              <w:pStyle w:val="Compact"/>
              <w:spacing w:before="20" w:after="20" w:line="240" w:lineRule="auto"/>
              <w:jc w:val="center"/>
            </w:pPr>
            <w:r>
              <w:t xml:space="preserve">（6.7290）</w:t>
            </w:r>
          </w:p>
        </w:tc>
        <w:tc>
          <w:tcPr/>
          <w:p>
            <w:pPr>
              <w:pStyle w:val="Compact"/>
              <w:spacing w:before="20" w:after="20" w:line="240" w:lineRule="auto"/>
              <w:jc w:val="center"/>
            </w:pPr>
            <w:r>
              <w:t xml:space="preserve">1200</w:t>
            </w:r>
          </w:p>
        </w:tc>
        <w:tc>
          <w:tcPr/>
          <w:p>
            <w:pPr>
              <w:pStyle w:val="Compact"/>
              <w:spacing w:before="20" w:after="20" w:line="240" w:lineRule="auto"/>
              <w:jc w:val="center"/>
            </w:pPr>
            <w:r>
              <w:t xml:space="preserve">0.1550</w:t>
            </w:r>
          </w:p>
        </w:tc>
      </w:tr>
      <w:tr>
        <w:tc>
          <w:tcPr/>
          <w:p>
            <w:pPr>
              <w:pStyle w:val="Compact"/>
              <w:spacing w:before="20" w:after="20" w:line="240" w:lineRule="auto"/>
              <w:jc w:val="center"/>
            </w:pPr>
            <w:r>
              <w:t xml:space="preserve">中部地区</w:t>
            </w:r>
          </w:p>
        </w:tc>
        <w:tc>
          <w:tcPr/>
          <w:p>
            <w:pPr>
              <w:pStyle w:val="Compact"/>
              <w:spacing w:before="20" w:after="20" w:line="240" w:lineRule="auto"/>
              <w:jc w:val="center"/>
            </w:pPr>
            <w:r>
              <w:t xml:space="preserve">0.2932***</w:t>
            </w:r>
          </w:p>
        </w:tc>
        <w:tc>
          <w:tcPr/>
          <w:p>
            <w:pPr>
              <w:pStyle w:val="Compact"/>
              <w:spacing w:before="20" w:after="20" w:line="240" w:lineRule="auto"/>
              <w:jc w:val="center"/>
            </w:pPr>
            <w:r>
              <w:t xml:space="preserve">（5.8609）</w:t>
            </w:r>
          </w:p>
        </w:tc>
        <w:tc>
          <w:tcPr/>
          <w:p>
            <w:pPr>
              <w:pStyle w:val="Compact"/>
              <w:spacing w:before="20" w:after="20" w:line="240" w:lineRule="auto"/>
              <w:jc w:val="center"/>
            </w:pPr>
            <w:r>
              <w:t xml:space="preserve">960</w:t>
            </w:r>
          </w:p>
        </w:tc>
        <w:tc>
          <w:tcPr/>
          <w:p>
            <w:pPr>
              <w:pStyle w:val="Compact"/>
              <w:spacing w:before="20" w:after="20" w:line="240" w:lineRule="auto"/>
              <w:jc w:val="center"/>
            </w:pPr>
            <w:r>
              <w:t xml:space="preserve">0.1349</w:t>
            </w:r>
          </w:p>
        </w:tc>
      </w:tr>
      <w:tr>
        <w:tc>
          <w:tcPr/>
          <w:p>
            <w:pPr>
              <w:pStyle w:val="Compact"/>
              <w:spacing w:before="20" w:after="20" w:line="240" w:lineRule="auto"/>
              <w:jc w:val="center"/>
            </w:pPr>
            <w:r>
              <w:t xml:space="preserve">西部地区</w:t>
            </w:r>
          </w:p>
        </w:tc>
        <w:tc>
          <w:tcPr/>
          <w:p>
            <w:pPr>
              <w:pStyle w:val="Compact"/>
              <w:spacing w:before="20" w:after="20" w:line="240" w:lineRule="auto"/>
              <w:jc w:val="center"/>
            </w:pPr>
            <w:r>
              <w:t xml:space="preserve">0.2816***</w:t>
            </w:r>
          </w:p>
        </w:tc>
        <w:tc>
          <w:tcPr/>
          <w:p>
            <w:pPr>
              <w:pStyle w:val="Compact"/>
              <w:spacing w:before="20" w:after="20" w:line="240" w:lineRule="auto"/>
              <w:jc w:val="center"/>
            </w:pPr>
            <w:r>
              <w:t xml:space="preserve">（6.3479）</w:t>
            </w:r>
          </w:p>
        </w:tc>
        <w:tc>
          <w:tcPr/>
          <w:p>
            <w:pPr>
              <w:pStyle w:val="Compact"/>
              <w:spacing w:before="20" w:after="20" w:line="240" w:lineRule="auto"/>
              <w:jc w:val="center"/>
            </w:pPr>
            <w:r>
              <w:t xml:space="preserve">1176</w:t>
            </w:r>
          </w:p>
        </w:tc>
        <w:tc>
          <w:tcPr/>
          <w:p>
            <w:pPr>
              <w:pStyle w:val="Compact"/>
              <w:spacing w:before="20" w:after="20" w:line="240" w:lineRule="auto"/>
              <w:jc w:val="center"/>
            </w:pPr>
            <w:r>
              <w:t xml:space="preserve">0.1006</w:t>
            </w:r>
          </w:p>
        </w:tc>
      </w:tr>
      <w:tr>
        <w:tc>
          <w:tcPr/>
          <w:p>
            <w:pPr>
              <w:pStyle w:val="Compact"/>
              <w:spacing w:before="20" w:after="20" w:line="240" w:lineRule="auto"/>
              <w:jc w:val="center"/>
            </w:pPr>
            <w:r>
              <w:t xml:space="preserve">大规模城市</w:t>
            </w:r>
          </w:p>
        </w:tc>
        <w:tc>
          <w:tcPr/>
          <w:p>
            <w:pPr>
              <w:pStyle w:val="Compact"/>
              <w:spacing w:before="20" w:after="20" w:line="240" w:lineRule="auto"/>
              <w:jc w:val="center"/>
            </w:pPr>
            <w:r>
              <w:t xml:space="preserve">0.2819***</w:t>
            </w:r>
          </w:p>
        </w:tc>
        <w:tc>
          <w:tcPr/>
          <w:p>
            <w:pPr>
              <w:pStyle w:val="Compact"/>
              <w:spacing w:before="20" w:after="20" w:line="240" w:lineRule="auto"/>
              <w:jc w:val="center"/>
            </w:pPr>
            <w:r>
              <w:t xml:space="preserve">（7.7991）</w:t>
            </w:r>
          </w:p>
        </w:tc>
        <w:tc>
          <w:tcPr/>
          <w:p>
            <w:pPr>
              <w:pStyle w:val="Compact"/>
              <w:spacing w:before="20" w:after="20" w:line="240" w:lineRule="auto"/>
              <w:jc w:val="center"/>
            </w:pPr>
            <w:r>
              <w:t xml:space="preserve">1668</w:t>
            </w:r>
          </w:p>
        </w:tc>
        <w:tc>
          <w:tcPr/>
          <w:p>
            <w:pPr>
              <w:pStyle w:val="Compact"/>
              <w:spacing w:before="20" w:after="20" w:line="240" w:lineRule="auto"/>
              <w:jc w:val="center"/>
            </w:pPr>
            <w:r>
              <w:t xml:space="preserve">0.1445</w:t>
            </w:r>
          </w:p>
        </w:tc>
      </w:tr>
      <w:tr>
        <w:tc>
          <w:tcPr/>
          <w:p>
            <w:pPr>
              <w:pStyle w:val="Compact"/>
              <w:spacing w:before="20" w:after="20" w:line="240" w:lineRule="auto"/>
              <w:jc w:val="center"/>
            </w:pPr>
            <w:r>
              <w:t xml:space="preserve">中小规模城市</w:t>
            </w:r>
          </w:p>
        </w:tc>
        <w:tc>
          <w:tcPr/>
          <w:p>
            <w:pPr>
              <w:pStyle w:val="Compact"/>
              <w:spacing w:before="20" w:after="20" w:line="240" w:lineRule="auto"/>
              <w:jc w:val="center"/>
            </w:pPr>
            <w:r>
              <w:t xml:space="preserve">0.2542***</w:t>
            </w:r>
          </w:p>
        </w:tc>
        <w:tc>
          <w:tcPr/>
          <w:p>
            <w:pPr>
              <w:pStyle w:val="Compact"/>
              <w:spacing w:before="20" w:after="20" w:line="240" w:lineRule="auto"/>
              <w:jc w:val="center"/>
            </w:pPr>
            <w:r>
              <w:t xml:space="preserve">（6.6898）</w:t>
            </w:r>
          </w:p>
        </w:tc>
        <w:tc>
          <w:tcPr/>
          <w:p>
            <w:pPr>
              <w:pStyle w:val="Compact"/>
              <w:spacing w:before="20" w:after="20" w:line="240" w:lineRule="auto"/>
              <w:jc w:val="center"/>
            </w:pPr>
            <w:r>
              <w:t xml:space="preserve">1668</w:t>
            </w:r>
          </w:p>
        </w:tc>
        <w:tc>
          <w:tcPr/>
          <w:p>
            <w:pPr>
              <w:pStyle w:val="Compact"/>
              <w:spacing w:before="20" w:after="20" w:line="240" w:lineRule="auto"/>
              <w:jc w:val="center"/>
            </w:pPr>
            <w:r>
              <w:t xml:space="preserve">0.1158</w:t>
            </w:r>
          </w:p>
        </w:tc>
      </w:tr>
      <w:tr>
        <w:tc>
          <w:tcPr/>
          <w:p>
            <w:pPr>
              <w:pStyle w:val="Compact"/>
              <w:spacing w:before="20" w:after="20" w:line="240" w:lineRule="auto"/>
              <w:jc w:val="center"/>
            </w:pPr>
            <w:r>
              <w:t xml:space="preserve">中心城市</w:t>
            </w:r>
          </w:p>
        </w:tc>
        <w:tc>
          <w:tcPr/>
          <w:p>
            <w:pPr>
              <w:pStyle w:val="Compact"/>
              <w:spacing w:before="20" w:after="20" w:line="240" w:lineRule="auto"/>
              <w:jc w:val="center"/>
            </w:pPr>
            <w:r>
              <w:t xml:space="preserve">0.1553**</w:t>
            </w:r>
          </w:p>
        </w:tc>
        <w:tc>
          <w:tcPr/>
          <w:p>
            <w:pPr>
              <w:pStyle w:val="Compact"/>
              <w:spacing w:before="20" w:after="20" w:line="240" w:lineRule="auto"/>
              <w:jc w:val="center"/>
            </w:pPr>
            <w:r>
              <w:t xml:space="preserve">（2.3822）</w:t>
            </w:r>
          </w:p>
        </w:tc>
        <w:tc>
          <w:tcPr/>
          <w:p>
            <w:pPr>
              <w:pStyle w:val="Compact"/>
              <w:spacing w:before="20" w:after="20" w:line="240" w:lineRule="auto"/>
              <w:jc w:val="center"/>
            </w:pPr>
            <w:r>
              <w:t xml:space="preserve">420</w:t>
            </w:r>
          </w:p>
        </w:tc>
        <w:tc>
          <w:tcPr/>
          <w:p>
            <w:pPr>
              <w:pStyle w:val="Compact"/>
              <w:spacing w:before="20" w:after="20" w:line="240" w:lineRule="auto"/>
              <w:jc w:val="center"/>
            </w:pPr>
            <w:r>
              <w:t xml:space="preserve">0.1341</w:t>
            </w:r>
          </w:p>
        </w:tc>
      </w:tr>
      <w:tr>
        <w:tc>
          <w:tcPr/>
          <w:p>
            <w:pPr>
              <w:pStyle w:val="Compact"/>
              <w:spacing w:before="20" w:after="20" w:line="240" w:lineRule="auto"/>
              <w:jc w:val="center"/>
            </w:pPr>
            <w:r>
              <w:t xml:space="preserve">非中心城市</w:t>
            </w:r>
          </w:p>
        </w:tc>
        <w:tc>
          <w:tcPr/>
          <w:p>
            <w:pPr>
              <w:pStyle w:val="Compact"/>
              <w:spacing w:before="20" w:after="20" w:line="240" w:lineRule="auto"/>
              <w:jc w:val="center"/>
            </w:pPr>
            <w:r>
              <w:t xml:space="preserve">0.2772***</w:t>
            </w:r>
          </w:p>
        </w:tc>
        <w:tc>
          <w:tcPr/>
          <w:p>
            <w:pPr>
              <w:pStyle w:val="Compact"/>
              <w:spacing w:before="20" w:after="20" w:line="240" w:lineRule="auto"/>
              <w:jc w:val="center"/>
            </w:pPr>
            <w:r>
              <w:t xml:space="preserve">（9.8361）</w:t>
            </w:r>
          </w:p>
        </w:tc>
        <w:tc>
          <w:tcPr/>
          <w:p>
            <w:pPr>
              <w:pStyle w:val="Compact"/>
              <w:spacing w:before="20" w:after="20" w:line="240" w:lineRule="auto"/>
              <w:jc w:val="center"/>
            </w:pPr>
            <w:r>
              <w:t xml:space="preserve">2916</w:t>
            </w:r>
          </w:p>
        </w:tc>
        <w:tc>
          <w:tcPr/>
          <w:p>
            <w:pPr>
              <w:pStyle w:val="Compact"/>
              <w:spacing w:before="20" w:after="20" w:line="240" w:lineRule="auto"/>
              <w:jc w:val="center"/>
            </w:pPr>
            <w:r>
              <w:t xml:space="preserve">0.1305</w:t>
            </w:r>
          </w:p>
        </w:tc>
      </w:tr>
    </w:tbl>
    <w:p>
      <w:pPr>
        <w:pStyle w:val="TableNote"/>
      </w:pPr>
      <w:r>
        <w:t xml:space="preserve">注：城市规模以常住人口规模的中位数划分；中心城市指直辖市、省会城市与计划单列市；非中心城市组与表5中剔除中心城市样本的稳健性检验为同一回归，此处并列列出以便与中心城市组对照。</w:t>
      </w:r>
    </w:p>
    <w:bookmarkEnd w:id="44"/>
    <w:bookmarkEnd w:id="45"/>
    <w:bookmarkStart w:id="48" w:name="结论与建议"/>
    <w:p>
      <w:pPr>
        <w:pStyle w:val="Heading1"/>
      </w:pPr>
      <w:r>
        <w:t xml:space="preserve">4 结论与建议</w:t>
      </w:r>
    </w:p>
    <w:bookmarkStart w:id="46" w:name="结论"/>
    <w:p>
      <w:pPr>
        <w:pStyle w:val="Heading2"/>
      </w:pPr>
      <w:r>
        <w:t xml:space="preserve">4.1 结论</w:t>
      </w:r>
    </w:p>
    <w:p>
      <w:pPr>
        <w:pStyle w:val="FirstParagraph"/>
      </w:pPr>
      <w:r>
        <w:t xml:space="preserve">本文基于2012—2023年中国278个地级及以上城市的面板数据，实证检验了数字经济发展对青年高质量就业的影响效应及作用机制，主要结论如下：第一，数字经济发展能够显著提升青年高质量就业水平，该结论在经过缩尾处理、剔除特殊样本、调整样本区间、替换变量测度方式等一系列稳健性检验以及工具变量法的内生性检验后依然成立。第二，作用机制检验结果表明，数字经济可通过激发创业活跃度、推动产业结构升级、促进人力资本积累三条渠道间接赋能青年高质量就业，其中人力资本积累渠道的中介作用最强。第三，数字经济的赋能作用存在基于人力资本水平的双重门槛效应，在跨越第一门槛之前赋能效应并不显著，跨越门槛后赋能系数显著提高并呈阶梯式增强特征。第四，异质性分析结果表明，数字经济的赋能作用在中西部地区、大规模城市以及非中心城市中更为突出。</w:t>
      </w:r>
    </w:p>
    <w:bookmarkEnd w:id="46"/>
    <w:bookmarkStart w:id="47" w:name="建议"/>
    <w:p>
      <w:pPr>
        <w:pStyle w:val="Heading2"/>
      </w:pPr>
      <w:r>
        <w:t xml:space="preserve">4.2 建议</w:t>
      </w:r>
    </w:p>
    <w:p>
      <w:pPr>
        <w:pStyle w:val="FirstParagraph"/>
      </w:pPr>
      <w:r>
        <w:t xml:space="preserve">基于上述结论，本文提出如下建议：第一，加快数字经济与就业服务体系的深度融合。应持续推进数字基础设施向中西部地区与中小城市延伸，支持数字招聘平台建设与公共就业服务数字化转型，扩大数字经济对青年岗位的创造能力与匹配效率，切实降低青年求职的信息搜寻成本与匹配摩擦。第二，畅通三条赋能渠道。一是完善青年创业扶持政策体系，通过创业担保贷款、税费减免、创业孵化基地等举措降低数字创业门槛；二是引导数字技术与实体经济深度融合，加快生产性服务业与信息服务业发展，创造更多适配青年的高质量岗位；三是将数字技能培训纳入公共职业培训体系，扩大在线职业教育资源供给。第三，重视人力资本门槛的约束作用。对于尚未跨越第一门槛的城市，应把提升本地人力资本存量作为承接数字经济就业红利的先决条件，通过加大高等教育与职业教育投入、优化人才引进政策、加强校企协同育人等方式加快人力资本积累，避免因技能与岗位错配而使数字经济红利外溢。第四，实施差异化的区域就业政策。中西部地区与非中心城市应抓住数字经济后发优势，重点补齐数字基础设施与人才培养短板；东部地区与中心城市则应着力推动数字经济由规模扩张向质量提升转变，通过发展高附加值数字产业为青年创造更具成长性的职业发展空间。</w:t>
      </w:r>
    </w:p>
    <w:bookmarkEnd w:id="47"/>
    <w:bookmarkEnd w:id="48"/>
    <w:bookmarkStart w:id="49" w:name="参考文献"/>
    <w:p>
      <w:pPr>
        <w:pStyle w:val="Heading1"/>
      </w:pPr>
      <w:r>
        <w:t xml:space="preserve">参考文献</w:t>
      </w:r>
    </w:p>
    <w:p>
      <w:pPr>
        <w:pStyle w:val="RefItem"/>
      </w:pPr>
      <w:r>
        <w:t xml:space="preserve">[1]江小涓,靳景.数字技术提升经济效率:服务分工、产业协同和数实孪生[J].管理世界,2022,38(12).</w:t>
      </w:r>
    </w:p>
    <w:p>
      <w:pPr>
        <w:pStyle w:val="RefItem"/>
      </w:pPr>
      <w:r>
        <w:t xml:space="preserve">[2]田鸽,张勋.数字经济、非农就业与社会分工[J].管理世界,2022,38(5).</w:t>
      </w:r>
    </w:p>
    <w:p>
      <w:pPr>
        <w:pStyle w:val="RefItem"/>
      </w:pPr>
      <w:r>
        <w:t xml:space="preserve">[3]戚聿东,刘翠花,丁述磊.数字经济发展、就业结构优化与就业质量提升[J].经济学动态,2020(11).</w:t>
      </w:r>
    </w:p>
    <w:p>
      <w:pPr>
        <w:pStyle w:val="RefItem"/>
      </w:pPr>
      <w:r>
        <w:t xml:space="preserve">[4]杨伟国,吴邦正.平台经济对就业结构的影响[J].中国人口科学,2022(4).</w:t>
      </w:r>
    </w:p>
    <w:p>
      <w:pPr>
        <w:pStyle w:val="RefItem"/>
      </w:pPr>
      <w:r>
        <w:t xml:space="preserve">[5]李建奇,黄维晨.“数实融合”下的平台经济与包容性就业——基于网络招聘大数据的经验研究[J].财经研究,2024,50(10).</w:t>
      </w:r>
    </w:p>
    <w:p>
      <w:pPr>
        <w:pStyle w:val="RefItem"/>
      </w:pPr>
      <w:r>
        <w:t xml:space="preserve">[6]柏培文,张云.数字经济、人口红利下降与中低技能劳动者权益[J].经济研究,2021(5).</w:t>
      </w:r>
    </w:p>
    <w:p>
      <w:pPr>
        <w:pStyle w:val="RefItem"/>
      </w:pPr>
      <w:r>
        <w:t xml:space="preserve">[7]徐明,陈斯洁,聂云蕊.我国青年就业研究的核心议题、演变与展望[J].人口与经济,2024(5).</w:t>
      </w:r>
    </w:p>
    <w:p>
      <w:pPr>
        <w:pStyle w:val="RefItem"/>
      </w:pPr>
      <w:r>
        <w:t xml:space="preserve">[8]郭冉,田丰,王露瑶.量减质升:青年就业状况变化及分析(2006—2021)——基于CSS的调查数据[J].中国青年研究,2022(11).</w:t>
      </w:r>
    </w:p>
    <w:p>
      <w:pPr>
        <w:pStyle w:val="RefItem"/>
      </w:pPr>
      <w:r>
        <w:t xml:space="preserve">[9]丁述磊,王佳萍,刘翠花.教育错配对青年就业质量的影响:理论与实证[J].中国青年研究,2024(9).</w:t>
      </w:r>
    </w:p>
    <w:p>
      <w:pPr>
        <w:pStyle w:val="RefItem"/>
      </w:pPr>
      <w:r>
        <w:t xml:space="preserve">[10]Kahn L B. The Long-Term Labor Market Consequences of Graduating From College in a Bad Economy [J]. Labour Economics, 2010, 17(2).</w:t>
      </w:r>
    </w:p>
    <w:p>
      <w:pPr>
        <w:pStyle w:val="RefItem"/>
      </w:pPr>
      <w:r>
        <w:t xml:space="preserve">[11]赵涛,张智,梁上坤.数字经济、创业活跃度与高质量发展——来自中国城市的经验证据[J].管理世界,2020,36(10).</w:t>
      </w:r>
    </w:p>
    <w:p>
      <w:pPr>
        <w:pStyle w:val="RefItem"/>
      </w:pPr>
      <w:r>
        <w:t xml:space="preserve">[12]刘翠花.数字经济对产业结构升级和创业增长的影响[J].中国人口科学,2022(2).</w:t>
      </w:r>
    </w:p>
    <w:p>
      <w:pPr>
        <w:pStyle w:val="RefItem"/>
      </w:pPr>
      <w:r>
        <w:t xml:space="preserve">[13]韩先锋,宋文飞,李勃昕.互联网能成为中国区域创新效率提升的新动能吗[J].中国工业经济,2019(7).</w:t>
      </w:r>
    </w:p>
    <w:p>
      <w:pPr>
        <w:pStyle w:val="RefItem"/>
      </w:pPr>
      <w:r>
        <w:t xml:space="preserve">[14]陈晓红,李杨扬,宋丽洁,等.数字经济理论体系与研究展望[J].管理世界,2022,38(2).</w:t>
      </w:r>
    </w:p>
    <w:p>
      <w:pPr>
        <w:pStyle w:val="RefItem"/>
      </w:pPr>
      <w:r>
        <w:t xml:space="preserve">[15]Autor D H, Levy F, Murnane R J. The Skill Content of Recent Technological Change: An Empirical Exploration [J]. The Quarterly Journal of Economics, 2003, 118(4).</w:t>
      </w:r>
    </w:p>
    <w:p>
      <w:pPr>
        <w:pStyle w:val="RefItem"/>
      </w:pPr>
      <w:r>
        <w:t xml:space="preserve">[16]秦建群,赵晶晶,王薇.数字经济对产业结构升级影响的中介效应与经验证据[J].统计与决策,2022,38(11).</w:t>
      </w:r>
    </w:p>
    <w:p>
      <w:pPr>
        <w:pStyle w:val="RefItem"/>
      </w:pPr>
      <w:r>
        <w:t xml:space="preserve">[17]郭峰,王靖一,王芳,等.测度中国数字普惠金融发展:指数编制与空间特征[J].经济学(季刊),2020,19(4).</w:t>
      </w:r>
    </w:p>
    <w:bookmarkEnd w:id="49"/>
    <w:sectPr>
      <w:pgSz w:w="11906" w:h="16838"/>
      <w:pgMar w:top="1440" w:bottom="1440" w:left="1474" w:right="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Rule="auto" w:line="360"/>
      <w:jc w:val="both"/>
    </w:pPr>
    <w:rPr>
      <w:rFonts w:ascii="Times New Roman" w:hAnsi="Times New Roman" w:eastAsia="宋体"/>
      <w:i w:val="0"/>
      <w:color w:val="000000"/>
      <w:sz w:val="21"/>
    </w:rPr>
  </w:style>
  <w:style w:styleId="BodyText" w:type="paragraph">
    <w:name w:val="Body Text"/>
    <w:basedOn w:val="Normal"/>
    <w:link w:val="BodyTextChar"/>
    <w:pPr>
      <w:spacing w:after="0" w:before="180" w:lineRule="auto" w:line="360"/>
      <w:ind w:firstLine="420"/>
      <w:jc w:val="both"/>
    </w:pPr>
    <w:qFormat/>
    <w:rPr>
      <w:rFonts w:ascii="Times New Roman" w:hAnsi="Times New Roman" w:eastAsia="宋体"/>
      <w:i w:val="0"/>
      <w:color w:val="000000"/>
      <w:sz w:val="21"/>
    </w:rPr>
  </w:style>
  <w:style w:customStyle="1" w:styleId="FirstParagraph" w:type="paragraph">
    <w:name w:val="First Paragraph"/>
    <w:basedOn w:val="BodyText"/>
    <w:next w:val="BodyText"/>
    <w:qFormat/>
    <w:pPr>
      <w:spacing w:after="0" w:lineRule="auto" w:line="360"/>
      <w:ind w:firstLine="420"/>
      <w:jc w:val="both"/>
    </w:pPr>
    <w:rPr>
      <w:rFonts w:ascii="Times New Roman" w:hAnsi="Times New Roman" w:eastAsia="宋体"/>
      <w:i w:val="0"/>
      <w:color w:val="000000"/>
      <w:sz w:val="21"/>
    </w:rPr>
  </w:style>
  <w:style w:customStyle="1" w:styleId="Compact" w:type="paragraph">
    <w:name w:val="Compact"/>
    <w:basedOn w:val="BodyText"/>
    <w:qFormat/>
    <w:pPr>
      <w:spacing w:after="20" w:before="20" w:lineRule="auto" w:line="288"/>
      <w:ind w:firstLine="0"/>
      <w:jc w:val="center"/>
    </w:pPr>
    <w:rPr>
      <w:rFonts w:ascii="Times New Roman" w:hAnsi="Times New Roman" w:eastAsia="宋体"/>
      <w:b w:val="0"/>
      <w:i w:val="0"/>
      <w:color w:val="000000"/>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00" w:lineRule="auto" w:line="360"/>
      <w:ind w:firstLine="0"/>
      <w:jc w:val="left"/>
      <w:outlineLvl w:val="0"/>
    </w:pPr>
    <w:rPr>
      <w:rFonts w:asciiTheme="majorHAnsi" w:cstheme="majorBidi" w:eastAsiaTheme="majorEastAsia" w:hAnsiTheme="majorHAnsi" w:ascii="Times New Roman" w:hAnsi="Times New Roman" w:eastAsia="黑体"/>
      <w:b/>
      <w:bCs/>
      <w:i w:val="0"/>
      <w:color w:val="000000"/>
      <w:sz w:val="24"/>
      <w:szCs w:val="32"/>
    </w:rPr>
  </w:style>
  <w:style w:styleId="Heading2" w:type="paragraph">
    <w:name w:val="Heading 2"/>
    <w:basedOn w:val="Normal"/>
    <w:next w:val="BodyText"/>
    <w:uiPriority w:val="9"/>
    <w:unhideWhenUsed/>
    <w:qFormat/>
    <w:pPr>
      <w:keepNext/>
      <w:keepLines/>
      <w:spacing w:after="60" w:before="120" w:lineRule="auto" w:line="360"/>
      <w:ind w:firstLine="0"/>
      <w:jc w:val="left"/>
      <w:outlineLvl w:val="1"/>
    </w:pPr>
    <w:rPr>
      <w:rFonts w:asciiTheme="majorHAnsi" w:cstheme="majorBidi" w:eastAsiaTheme="majorEastAsia" w:hAnsiTheme="majorHAnsi" w:ascii="Times New Roman" w:hAnsi="Times New Roman" w:eastAsia="黑体"/>
      <w:b/>
      <w:bCs/>
      <w:i w:val="0"/>
      <w:color w:val="000000"/>
      <w:sz w:val="21"/>
      <w:szCs w:val="28"/>
    </w:rPr>
  </w:style>
  <w:style w:styleId="Heading3" w:type="paragraph">
    <w:name w:val="Heading 3"/>
    <w:basedOn w:val="Normal"/>
    <w:next w:val="BodyText"/>
    <w:uiPriority w:val="9"/>
    <w:unhideWhenUsed/>
    <w:qFormat/>
    <w:pPr>
      <w:keepNext/>
      <w:keepLines/>
      <w:spacing w:after="60" w:before="120" w:lineRule="auto" w:line="360"/>
      <w:ind w:firstLine="0"/>
      <w:jc w:val="left"/>
      <w:outlineLvl w:val="2"/>
    </w:pPr>
    <w:rPr>
      <w:rFonts w:asciiTheme="majorHAnsi" w:cstheme="majorBidi" w:eastAsiaTheme="majorEastAsia" w:hAnsiTheme="majorHAnsi" w:ascii="Times New Roman" w:hAnsi="Times New Roman" w:eastAsia="黑体"/>
      <w:b/>
      <w:bCs/>
      <w:i w:val="0"/>
      <w:color w:val="000000"/>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60" w:after="60" w:lineRule="auto" w:line="288"/>
      <w:ind w:firstLine="0"/>
      <w:jc w:val="center"/>
    </w:pPr>
    <w:rPr>
      <w:rFonts w:ascii="Times New Roman" w:hAnsi="Times New Roman" w:eastAsia="黑体"/>
      <w:b/>
      <w:i w:val="0"/>
      <w:color w:val="000000"/>
      <w:sz w:val="18"/>
    </w:rPr>
  </w:style>
  <w:style w:customStyle="1" w:styleId="ImageCaption" w:type="paragraph">
    <w:name w:val="Image Caption"/>
    <w:basedOn w:val="Caption"/>
    <w:pPr>
      <w:spacing w:before="60" w:after="160" w:lineRule="auto" w:line="288"/>
      <w:ind w:firstLine="0"/>
      <w:jc w:val="center"/>
    </w:pPr>
    <w:rPr>
      <w:rFonts w:ascii="Times New Roman" w:hAnsi="Times New Roman" w:eastAsia="黑体"/>
      <w:b/>
      <w:i w:val="0"/>
      <w:color w:val="000000"/>
      <w:sz w:val="18"/>
    </w:rPr>
  </w:style>
  <w:style w:customStyle="1" w:styleId="Figure" w:type="paragraph">
    <w:name w:val="Figure"/>
    <w:basedOn w:val="Normal"/>
  </w:style>
  <w:style w:customStyle="1" w:styleId="CaptionedFigure" w:type="paragraph">
    <w:name w:val="Captioned Figure"/>
    <w:basedOn w:val="Figure"/>
    <w:pPr>
      <w:keepNext/>
      <w:spacing w:before="160" w:after="0" w:lineRule="auto" w:line="288"/>
      <w:ind w:firstLine="0"/>
      <w:jc w:val="center"/>
    </w:pPr>
    <w:rPr>
      <w:rFonts w:ascii="Times New Roman" w:hAnsi="Times New Roman" w:eastAsia="宋体"/>
      <w:b w:val="0"/>
      <w:i w:val="0"/>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CN">
    <w:name w:val="AbstractCN"/>
    <w:basedOn w:val="BodyText"/>
    <w:qFormat/>
    <w:pPr>
      <w:spacing w:before="0" w:after="80" w:lineRule="auto" w:line="288"/>
      <w:ind w:firstLine="0"/>
      <w:jc w:val="both"/>
    </w:pPr>
    <w:rPr>
      <w:rFonts w:ascii="Times New Roman" w:hAnsi="Times New Roman" w:eastAsia="楷体"/>
      <w:b w:val="0"/>
      <w:i w:val="0"/>
      <w:color w:val="000000"/>
      <w:sz w:val="18"/>
    </w:rPr>
  </w:style>
  <w:style w:type="paragraph" w:customStyle="1" w:styleId="AffilCN">
    <w:name w:val="AffilCN"/>
    <w:basedOn w:val="BodyText"/>
    <w:qFormat/>
    <w:pPr>
      <w:spacing w:before="0" w:after="200" w:lineRule="auto" w:line="288"/>
      <w:ind w:firstLine="0"/>
      <w:jc w:val="center"/>
    </w:pPr>
    <w:rPr>
      <w:rFonts w:ascii="Times New Roman" w:hAnsi="Times New Roman" w:eastAsia="宋体"/>
      <w:b w:val="0"/>
      <w:i w:val="0"/>
      <w:color w:val="000000"/>
      <w:sz w:val="18"/>
    </w:rPr>
  </w:style>
  <w:style w:type="paragraph" w:customStyle="1" w:styleId="AuthorCN">
    <w:name w:val="AuthorCN"/>
    <w:basedOn w:val="BodyText"/>
    <w:qFormat/>
    <w:pPr>
      <w:spacing w:before="0" w:after="60" w:lineRule="auto" w:line="288"/>
      <w:ind w:firstLine="0"/>
      <w:jc w:val="center"/>
    </w:pPr>
    <w:rPr>
      <w:rFonts w:ascii="Times New Roman" w:hAnsi="Times New Roman" w:eastAsia="仿宋"/>
      <w:b w:val="0"/>
      <w:i w:val="0"/>
      <w:color w:val="000000"/>
      <w:sz w:val="21"/>
    </w:rPr>
  </w:style>
  <w:style w:type="paragraph" w:customStyle="1" w:styleId="RefItem">
    <w:name w:val="RefItem"/>
    <w:basedOn w:val="BodyText"/>
    <w:qFormat/>
    <w:pPr>
      <w:spacing w:before="0" w:after="40" w:lineRule="auto" w:line="288"/>
      <w:ind w:firstLine="0"/>
      <w:jc w:val="both"/>
    </w:pPr>
    <w:rPr>
      <w:rFonts w:ascii="Times New Roman" w:hAnsi="Times New Roman" w:eastAsia="宋体"/>
      <w:b w:val="0"/>
      <w:i w:val="0"/>
      <w:color w:val="000000"/>
      <w:sz w:val="18"/>
    </w:rPr>
  </w:style>
  <w:style w:type="paragraph" w:customStyle="1" w:styleId="TableNote">
    <w:name w:val="TableNote"/>
    <w:basedOn w:val="BodyText"/>
    <w:qFormat/>
    <w:pPr>
      <w:spacing w:before="40" w:after="160" w:lineRule="auto" w:line="288"/>
      <w:ind w:firstLine="0"/>
      <w:jc w:val="left"/>
    </w:pPr>
    <w:rPr>
      <w:rFonts w:ascii="Times New Roman" w:hAnsi="Times New Roman" w:eastAsia="宋体"/>
      <w:b w:val="0"/>
      <w:i w:val="0"/>
      <w:color w:val="000000"/>
      <w:sz w:val="16"/>
    </w:rPr>
  </w:style>
  <w:style w:type="paragraph" w:customStyle="1" w:styleId="TitleCN">
    <w:name w:val="TitleCN"/>
    <w:basedOn w:val="BodyText"/>
    <w:qFormat/>
    <w:pPr>
      <w:spacing w:before="120" w:after="240" w:lineRule="auto" w:line="288"/>
      <w:ind w:firstLine="0"/>
      <w:jc w:val="center"/>
    </w:pPr>
    <w:rPr>
      <w:rFonts w:ascii="Times New Roman" w:hAnsi="Times New Roman" w:eastAsia="黑体"/>
      <w:b/>
      <w:i w:val="0"/>
      <w:color w:val="000000"/>
      <w:sz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2026-07-26T18:14:56Z</dcterms:created>
  <dcterms:modified xsi:type="dcterms:W3CDTF">2026-07-26T18:14:56Z</dcterms:modified>
</cp:coreProperties>
</file>

<file path=docProps/custom.xml><?xml version="1.0" encoding="utf-8"?>
<Properties xmlns="http://schemas.openxmlformats.org/officeDocument/2006/custom-properties" xmlns:vt="http://schemas.openxmlformats.org/officeDocument/2006/docPropsVTypes"/>
</file>