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169"/>
      </w:pPr>
      <w:r>
        <w:t>Article</w:t>
      </w:r>
    </w:p>
    <w:p w14:paraId="3676704A">
      <w:pPr>
        <w:spacing w:after="120"/>
        <w:ind w:left="0" w:leftChars="0" w:firstLine="0" w:firstLineChars="0"/>
        <w:jc w:val="left"/>
      </w:pPr>
      <w:r>
        <w:rPr>
          <w:rFonts w:ascii="Palatino Linotype" w:hAnsi="Palatino Linotype" w:eastAsia="Palatino Linotype"/>
          <w:b/>
          <w:i w:val="0"/>
          <w:sz w:val="36"/>
        </w:rPr>
        <w:t>Narrowing the Gate, Not Breaking the Ladder: Artificial Intelligence, Entry-Level Access and the Under-Provision of On-the-Job Training</w:t>
      </w:r>
    </w:p>
    <w:p w14:paraId="1DD0393F">
      <w:pPr>
        <w:pStyle w:val="171"/>
      </w:pPr>
      <w:r>
        <w:rPr>
          <w:rFonts w:hint="eastAsia"/>
        </w:rPr>
        <w:t>Xinyu Cai</w:t>
      </w:r>
      <w:r>
        <w:t xml:space="preserve"> </w:t>
      </w:r>
      <w:r>
        <w:rPr>
          <w:vertAlign w:val="superscript"/>
        </w:rPr>
        <w:t>1</w:t>
      </w:r>
      <w:r>
        <w:t xml:space="preserve">, </w:t>
      </w:r>
      <w:r>
        <w:rPr>
          <w:rFonts w:hint="eastAsia"/>
        </w:rPr>
        <w:t>Dingpei Hu</w:t>
      </w:r>
      <w:r>
        <w:t xml:space="preserve"> </w:t>
      </w:r>
      <w:r>
        <w:rPr>
          <w:rFonts w:hint="eastAsia" w:eastAsia="宋体"/>
          <w:vertAlign w:val="superscript"/>
          <w:lang w:val="en-US" w:eastAsia="zh-CN"/>
        </w:rPr>
        <w:t>1</w:t>
      </w:r>
      <w:r>
        <w:t xml:space="preserve"> and </w:t>
      </w:r>
      <w:r>
        <w:rPr>
          <w:rFonts w:hint="eastAsia"/>
        </w:rPr>
        <w:t>Tiantian Mo</w:t>
      </w:r>
      <w:r>
        <w:t xml:space="preserve"> </w:t>
      </w:r>
      <w:r>
        <w:rPr>
          <w:rFonts w:hint="eastAsia" w:eastAsia="宋体"/>
          <w:vertAlign w:val="superscript"/>
          <w:lang w:val="en-US" w:eastAsia="zh-CN"/>
        </w:rPr>
        <w:t>1</w:t>
      </w:r>
      <w:r>
        <w:rPr>
          <w:vertAlign w:val="superscript"/>
        </w:rPr>
        <w:t>,</w:t>
      </w:r>
      <w:r>
        <w:t>*</w:t>
      </w:r>
    </w:p>
    <w:tbl>
      <w:tblPr>
        <w:tblStyle w:val="32"/>
        <w:tblpPr w:leftFromText="198" w:rightFromText="198" w:vertAnchor="page" w:horzAnchor="margin" w:tblpY="11461"/>
        <w:tblW w:w="2410" w:type="dxa"/>
        <w:tblInd w:w="0" w:type="dxa"/>
        <w:tblLayout w:type="fixed"/>
        <w:tblCellMar>
          <w:top w:w="0" w:type="dxa"/>
          <w:left w:w="0" w:type="dxa"/>
          <w:bottom w:w="0" w:type="dxa"/>
          <w:right w:w="0" w:type="dxa"/>
        </w:tblCellMar>
      </w:tblPr>
      <w:tblGrid>
        <w:gridCol w:w="2410"/>
      </w:tblGrid>
      <w:tr w14:paraId="00DE61E4">
        <w:tblPrEx>
          <w:tblCellMar>
            <w:top w:w="0" w:type="dxa"/>
            <w:left w:w="0" w:type="dxa"/>
            <w:bottom w:w="0" w:type="dxa"/>
            <w:right w:w="0" w:type="dxa"/>
          </w:tblCellMar>
        </w:tblPrEx>
        <w:tc>
          <w:tcPr>
            <w:tcW w:w="2410" w:type="dxa"/>
            <w:shd w:val="clear" w:color="auto" w:fill="auto"/>
          </w:tcPr>
          <w:p w14:paraId="0C8B9752">
            <w:pPr>
              <w:pStyle w:val="173"/>
              <w:spacing w:before="0" w:after="120"/>
            </w:pPr>
            <w:r>
              <w:t>Academic Editor: Firstname Lastname</w:t>
            </w:r>
          </w:p>
          <w:p w14:paraId="1E49B6F1">
            <w:pPr>
              <w:pStyle w:val="172"/>
              <w:spacing w:before="120"/>
            </w:pPr>
            <w:r>
              <w:t>Received: date</w:t>
            </w:r>
          </w:p>
          <w:p w14:paraId="3794B8FF">
            <w:pPr>
              <w:pStyle w:val="172"/>
            </w:pPr>
            <w:r>
              <w:t>Revised: date</w:t>
            </w:r>
          </w:p>
          <w:p w14:paraId="1D20F601">
            <w:pPr>
              <w:pStyle w:val="172"/>
            </w:pPr>
            <w:r>
              <w:t>Accepted: date</w:t>
            </w:r>
          </w:p>
          <w:p w14:paraId="40E6D3E1">
            <w:pPr>
              <w:pStyle w:val="172"/>
              <w:spacing w:after="120"/>
            </w:pPr>
            <w:r>
              <w:t>Published: date</w:t>
            </w:r>
          </w:p>
          <w:p w14:paraId="147E245D">
            <w:pPr>
              <w:pStyle w:val="199"/>
              <w:rPr>
                <w:lang w:bidi="en-US"/>
              </w:rPr>
            </w:pPr>
            <w:r>
              <w:rPr>
                <w:b/>
                <w:lang w:bidi="en-US"/>
              </w:rPr>
              <w:t xml:space="preserve">Citation: </w:t>
            </w:r>
            <w:r>
              <w:rPr>
                <w:lang w:bidi="en-US"/>
              </w:rPr>
              <w:t>To be added by editorial staff during production.</w:t>
            </w:r>
          </w:p>
          <w:p w14:paraId="68AD74DA">
            <w:pPr>
              <w:pStyle w:val="203"/>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Creative Commons Attribution (CC BY) license (https://creativecommons.org/licenses/by/4.0/).</w:t>
            </w:r>
          </w:p>
        </w:tc>
      </w:tr>
    </w:tbl>
    <w:p w14:paraId="1CB4E62B">
      <w:pPr>
        <w:pStyle w:val="174"/>
      </w:pPr>
      <w:r>
        <w:rPr>
          <w:vertAlign w:val="superscript"/>
        </w:rPr>
        <w:t>1</w:t>
      </w:r>
      <w:r>
        <w:tab/>
      </w:r>
      <w:r>
        <w:rPr>
          <w:b w:val="0"/>
          <w:i w:val="0"/>
          <w:sz w:val="16"/>
        </w:rPr>
        <w:t>College of Business, Jiaxing University, Jiaxing 314001, China; caixinyu@zjxu.edu.cn</w:t>
      </w:r>
    </w:p>
    <w:p w14:paraId="31A0E5B1">
      <w:pPr>
        <w:pStyle w:val="174"/>
      </w:pPr>
      <w:r>
        <w:rPr>
          <w:b/>
        </w:rPr>
        <w:t>*</w:t>
      </w:r>
      <w:r>
        <w:tab/>
      </w:r>
      <w:r>
        <w:t xml:space="preserve">Correspondence: </w:t>
      </w:r>
      <w:r>
        <w:rPr>
          <w:rFonts w:hint="eastAsia"/>
        </w:rPr>
        <w:t>00008227@zjxu.edu.cn</w:t>
      </w:r>
    </w:p>
    <w:p w14:paraId="60D05CE7">
      <w:pPr>
        <w:pStyle w:val="175"/>
        <w:jc w:val="left"/>
        <w:rPr>
          <w:b/>
        </w:rPr>
      </w:pPr>
      <w:r>
        <w:rPr>
          <w:b/>
        </w:rPr>
        <w:t>Abstract</w:t>
      </w:r>
    </w:p>
    <w:p w14:paraId="668E7CA0">
      <w:pPr>
        <w:pStyle w:val="175"/>
        <w:spacing w:before="0" w:after="0"/>
      </w:pPr>
      <w:r>
        <w:rPr>
          <w:rFonts w:hint="eastAsia"/>
        </w:rPr>
        <w:t>An entry-level job is a joint product: it delivers output today and it is the only technology that turns a novice into an experienced worker. Artificial intelligence substitutes for the first component and not for the second, which has made the fate of the career ladder an urgent question. We build a two-tier search-and-matching model with endogenous mentoring, Nash bargaining, free entry, poaching and real rigidity of the entry wage, and estimate eight parameters that reproduce eight Chinese labour-market moments exactly. Three results follow. The market provides about one seventh of the efficient amount of on-the-job training even though the Hosios condition holds exactly, so promotion takes three and a half years instead of one: Hosios decentralises vacancy creation but never training. Cheaper artificial intelligence is borne by entry-level access rather than entry-level pay, and only because entry wages are rigid; with flexible wages the same shock is absorbed by pay. Contrary to our prior, the technology neither breaks the ladder nor widens the training wedge, because firms mentor a smaller intake far more intensively: promotions and the stock of experienced workers barely change and the wedge narrows. Held out of estimation, the model reproduces the entry-level employment gradient across exposure found in payroll microdata. The efficient response is to price training, not to tax technology.</w:t>
      </w:r>
    </w:p>
    <w:p w14:paraId="7EABB50A">
      <w:pPr>
        <w:pStyle w:val="176"/>
        <w:rPr>
          <w:szCs w:val="18"/>
        </w:rPr>
      </w:pPr>
      <w:r>
        <w:rPr>
          <w:b/>
          <w:szCs w:val="18"/>
        </w:rPr>
        <w:t xml:space="preserve">Keywords: </w:t>
      </w:r>
      <w:r>
        <w:rPr>
          <w:rFonts w:hint="eastAsia"/>
          <w:szCs w:val="18"/>
        </w:rPr>
        <w:t>entry-level employment; artificial intelligence; search and matching; on-the-job training; poaching externality; job ladder; wage rigidity; constrained efficiency; Hosios condition; youth unemployment</w:t>
      </w:r>
    </w:p>
    <w:p w14:paraId="24358D87">
      <w:pPr>
        <w:pStyle w:val="177"/>
      </w:pPr>
    </w:p>
    <w:p>
      <w:pPr>
        <w:keepNext/>
        <w:spacing w:before="200" w:after="80"/>
      </w:pPr>
      <w:r>
        <w:rPr>
          <w:rFonts w:ascii="Palatino Linotype" w:hAnsi="Palatino Linotype" w:eastAsia="Palatino Linotype"/>
          <w:b/>
          <w:i w:val="0"/>
          <w:sz w:val="24"/>
        </w:rPr>
        <w:t>1. Introduction</w:t>
      </w:r>
    </w:p>
    <w:p>
      <w:pPr>
        <w:spacing w:after="120"/>
        <w:jc w:val="both"/>
      </w:pPr>
      <w:r>
        <w:rPr>
          <w:rFonts w:ascii="Palatino Linotype" w:hAnsi="Palatino Linotype" w:eastAsia="Palatino Linotype"/>
          <w:b w:val="0"/>
          <w:i w:val="0"/>
          <w:sz w:val="20"/>
        </w:rPr>
        <w:t>A labour market has to reproduce itself. Experienced workers are not endowed; they are manufactured, and the factory is the entry-level job. A firm that hires a novice buys two things at once: the output the novice produces today, and an option on an experienced worker tomorrow. Every economy therefore depends on a quiet inter-temporal arrangement in which today’s employers carry the cost of producing tomorrow’s skilled labour force. Artificial intelligence acts on exactly one side of that arrangement. Large language models are good at the codifiable, supervised, low-context tasks that make up the junior job, and they are of no use for the thing that makes the junior job valuable to the system as a whole, which is turning a person into someone who no longer needs supervision [1,2]. The obvious worry is that the ladder will break.</w:t>
      </w:r>
    </w:p>
    <w:p>
      <w:pPr>
        <w:spacing w:after="120"/>
        <w:jc w:val="both"/>
      </w:pPr>
      <w:r>
        <w:rPr>
          <w:rFonts w:ascii="Palatino Linotype" w:hAnsi="Palatino Linotype" w:eastAsia="Palatino Linotype"/>
          <w:b w:val="0"/>
          <w:i w:val="0"/>
          <w:sz w:val="20"/>
        </w:rPr>
        <w:t>The empirical record has begun to show the asymmetry the worry rests on. Using payroll records covering millions of United States workers, Brynjolfsson, Chandar and Chen [3] document a relative employment decline of about sixteen per cent for workers aged 22 to 25 in the occupations most exposed to generative artificial intelligence, with no comparable decline for experienced workers in the same occupations, and with adjustment running through headcount rather than through pay. In China the same pressure meets a much larger cohort. A record 12.22 million graduates entered the labour market in 2025 and 12.7 million are expected in 2026, the surveyed urban unemployment rate of 16–24-year-olds excluding students reached 18.9 per cent in August 2025, and graduate-facing job postings fell by more than a fifth in the first half of that year, while enterprise adoption of artificial-intelligence agents rose from under a tenth to roughly half of industrial enterprises within a single year [4,5]. Evidence from other settings is more muted—Danish administrative data show precise nulls for earnings and hours two years after chatbot adoption [6]—which is itself informative: the margin that moves first is not the price of labour but the decision to open the entry-level door.</w:t>
      </w:r>
    </w:p>
    <w:p>
      <w:pPr>
        <w:spacing w:after="120"/>
        <w:jc w:val="both"/>
      </w:pPr>
      <w:r>
        <w:rPr>
          <w:rFonts w:ascii="Palatino Linotype" w:hAnsi="Palatino Linotype" w:eastAsia="Palatino Linotype"/>
          <w:b w:val="0"/>
          <w:i w:val="0"/>
          <w:sz w:val="20"/>
        </w:rPr>
        <w:t>Three questions follow, and none of them can be answered by an elasticity. Is the market’s provision of on-the-job training efficient to begin with? What determines whether a technology shock to junior tasks is absorbed by entry wages or by entry-level hiring? And does the shock damage the mechanism that produces experienced workers, or merely reallocate who passes through it? These are questions about a feedback structure and its prices, so they need a model in which the structure is explicit and the prices are estimated.</w:t>
      </w:r>
    </w:p>
    <w:p>
      <w:pPr>
        <w:spacing w:after="120"/>
        <w:jc w:val="both"/>
      </w:pPr>
      <w:r>
        <w:rPr>
          <w:rFonts w:ascii="Palatino Linotype" w:hAnsi="Palatino Linotype" w:eastAsia="Palatino Linotype"/>
          <w:b w:val="0"/>
          <w:i w:val="0"/>
          <w:sz w:val="20"/>
        </w:rPr>
        <w:t>This paper supplies one. We treat the career ladder as a socio-technical system with a single reproduction loop: entry-level hiring produces experienced workers, experienced workers supply the mentoring without which no further entrants can be promoted, and the loop closes. We embed the loop in a two-tier search-and-matching economy with free entry on both tiers, Nash-bargained wages subject to real rigidity at the entry level, endogenous mentoring intensity, and an artificial-intelligence input that substitutes for entry-level task output but cannot mentor. Two frictions separate the private from the social return to training. Mentoring is chosen after the wage is agreed and is not contractible, so the firm bears its whole cost while keeping only its bargaining share of the return; and a trained worker is poached by rival firms at a positive rate, which the firm discounts and the planner does not, because the worker keeps the job [7,8]. Eight structural parameters are estimated to reproduce eight Chinese labour-market moments exactly, and the model is then asked a question it was never fitted to answer.</w:t>
      </w:r>
    </w:p>
    <w:p>
      <w:pPr>
        <w:spacing w:after="120"/>
        <w:jc w:val="both"/>
      </w:pPr>
      <w:r>
        <w:rPr>
          <w:rFonts w:ascii="Palatino Linotype" w:hAnsi="Palatino Linotype" w:eastAsia="Palatino Linotype"/>
          <w:b w:val="0"/>
          <w:i w:val="0"/>
          <w:sz w:val="20"/>
        </w:rPr>
        <w:t>Four results follow. The first is an efficiency result. Under the Hosios condition, with no poaching and with contractible training, the decentralised steady state coincides exactly with the constrained planner’s allocation—a property we verify numerically to machine precision and use as an internal validity check on the entire system of value functions and costates. Relaxing the contracting frictions breaks efficiency on the training margin while leaving vacancy creation efficient, so a single condition cannot decentralise two margins. In the calibrated economy, where the Hosios condition holds exactly by construction, the market nevertheless provides about one seventh of the efficient amount of mentoring, and first promotion takes three and a half years instead of one.</w:t>
      </w:r>
    </w:p>
    <w:p>
      <w:pPr>
        <w:spacing w:after="120"/>
        <w:jc w:val="both"/>
      </w:pPr>
      <w:r>
        <w:rPr>
          <w:rFonts w:ascii="Palatino Linotype" w:hAnsi="Palatino Linotype" w:eastAsia="Palatino Linotype"/>
          <w:b w:val="0"/>
          <w:i w:val="0"/>
          <w:sz w:val="20"/>
        </w:rPr>
        <w:t>The second is a result about incidence, and it is conditional in an informative way. When entry wages are flexible, a fall in the price of artificial intelligence is absorbed almost entirely by the entry wage and entry-level employment scarcely moves; when entry wages are rigid, the same shock is absorbed almost entirely by entry-level hiring. The observed pattern—large employment effects for the young, negligible pay effects—therefore does not follow from the technology alone. It requires the wage floor, which in China is provided by binding provincial minimum wages and heavily compressed graduate pay scales [9]. The incidence of automation on young workers is an institutional outcome, not a technological one.</w:t>
      </w:r>
    </w:p>
    <w:p>
      <w:pPr>
        <w:spacing w:after="120"/>
        <w:jc w:val="both"/>
      </w:pPr>
      <w:r>
        <w:rPr>
          <w:rFonts w:ascii="Palatino Linotype" w:hAnsi="Palatino Linotype" w:eastAsia="Palatino Linotype"/>
          <w:b w:val="0"/>
          <w:i w:val="0"/>
          <w:sz w:val="20"/>
        </w:rPr>
        <w:t>The third result contradicts the premise we began with, and is the paper’s main substantive contribution. Cheaper artificial intelligence does not break the ladder. Firms respond to a smaller intake by mentoring each entrant far more intensively, so the flow of promotions and the stock of experienced workers are almost unchanged, and time to first promotion falls rather than rises. Nor does the technology aggravate the market failure: the gap between market and efficient training narrows as artificial intelligence spreads, because scarcer entrants are individually more worth training. The training externality is large, but it is pre-existing and is not created or worsened by artificial intelligence. Aggregate welfare rises while the cohort waiting to enter loses, so what the technology produces is a distributional problem sitting on top of an efficiency problem that was already there.</w:t>
      </w:r>
    </w:p>
    <w:p>
      <w:pPr>
        <w:spacing w:after="120"/>
        <w:jc w:val="both"/>
      </w:pPr>
      <w:r>
        <w:rPr>
          <w:rFonts w:ascii="Palatino Linotype" w:hAnsi="Palatino Linotype" w:eastAsia="Palatino Linotype"/>
          <w:b w:val="0"/>
          <w:i w:val="0"/>
          <w:sz w:val="20"/>
        </w:rPr>
        <w:t>The fourth is a policy result. At a common fiscal cost, a mentoring credit dominates entry-level wage and vacancy subsidies on welfare, on entry-level access and on the marginal value of public funds, and a tax on artificial intelligence is dominated by all of them. Once the ladder subsidies are in place the optimal artificial-intelligence tax is zero: the input is efficiently priced conditional on the allocation, and taxing it destroys output without repairing the externality it is blamed for.</w:t>
      </w:r>
    </w:p>
    <w:p>
      <w:pPr>
        <w:spacing w:after="120"/>
        <w:jc w:val="both"/>
      </w:pPr>
      <w:r>
        <w:rPr>
          <w:rFonts w:ascii="Palatino Linotype" w:hAnsi="Palatino Linotype" w:eastAsia="Palatino Linotype"/>
          <w:b w:val="0"/>
          <w:i w:val="0"/>
          <w:sz w:val="20"/>
        </w:rPr>
        <w:t>The paper speaks to three literatures at once. To the task-based literature on automation [10–12] it adds a joint-product structure in which the automatable component and the skill-formation component of the same job are separable and are priced differently by the market, and it shows that the second component is far more robust to automation than the first. To the literature on training in imperfect labour markets [7,13,14] it adds a general-equilibrium environment in which the return to training is endogenous to a technology shock, and a quantification of the resulting under-provision. To the emerging empirical literature on generative artificial intelligence and employment [1,3,6,15] it offers a structural account of why the young are affected first, why the adjustment runs through hiring rather than wages, and why that fact is evidence about wage-setting institutions rather than about the technology.</w:t>
      </w:r>
    </w:p>
    <w:p>
      <w:pPr>
        <w:spacing w:after="120"/>
        <w:jc w:val="both"/>
      </w:pPr>
      <w:r>
        <w:rPr>
          <w:rFonts w:ascii="Palatino Linotype" w:hAnsi="Palatino Linotype" w:eastAsia="Palatino Linotype"/>
          <w:b w:val="0"/>
          <w:i w:val="0"/>
          <w:sz w:val="20"/>
        </w:rPr>
        <w:t>Section 2 places the paper in the literature. Section 3 sets out the model, defines equilibrium, characterises the constrained optimum and states the two propositions. Section 4 describes the calibration, its identification and its over-identifying checks. Section 5 reports the counterfactuals, the channel decomposition, the incidence analysis, the held-out validation, the policy comparison and the robustness analysis. Section 6 discusses interpretation and limitations, and Section 7 concludes.</w:t>
      </w:r>
    </w:p>
    <w:p>
      <w:pPr>
        <w:keepNext/>
        <w:spacing w:before="200" w:after="80"/>
      </w:pPr>
      <w:r>
        <w:rPr>
          <w:rFonts w:ascii="Palatino Linotype" w:hAnsi="Palatino Linotype" w:eastAsia="Palatino Linotype"/>
          <w:b/>
          <w:i w:val="0"/>
          <w:sz w:val="24"/>
        </w:rPr>
        <w:t>2. Related Literature and Contribution</w:t>
      </w:r>
    </w:p>
    <w:p>
      <w:pPr>
        <w:keepNext/>
        <w:spacing w:before="140" w:after="80"/>
      </w:pPr>
      <w:r>
        <w:rPr>
          <w:rFonts w:ascii="Palatino Linotype" w:hAnsi="Palatino Linotype" w:eastAsia="Palatino Linotype"/>
          <w:b/>
          <w:i w:val="0"/>
          <w:sz w:val="20"/>
        </w:rPr>
        <w:t>2.1. Automation, Tasks and the Level of Employment</w:t>
      </w:r>
    </w:p>
    <w:p>
      <w:pPr>
        <w:spacing w:after="120"/>
        <w:jc w:val="both"/>
      </w:pPr>
      <w:r>
        <w:rPr>
          <w:rFonts w:ascii="Palatino Linotype" w:hAnsi="Palatino Linotype" w:eastAsia="Palatino Linotype"/>
          <w:b w:val="0"/>
          <w:i w:val="0"/>
          <w:sz w:val="20"/>
        </w:rPr>
        <w:t>The task-based framework treats technology as reallocating tasks between labour and capital, with a displacement effect that lowers labour demand and a reinstatement effect that creates new labour-intensive tasks [10,11]. Applied to robots, it has delivered credible negative employment estimates in the United States [16], sharply smaller ones in Japan [17], and mixed firm-level results in China, where adoption often coincides with expansion [18–21]. Age is where these studies come closest to the present paper: German production-unit data show that robot adoption reduces the hiring of young workers while leaving incumbents largely untouched [22], and Chinese evidence points the same way for youth employment quality [23]. Closest of all is the evidence that technological and organisational change reshapes the internal career paths of incumbent workers rather than only the level of employment [24], and firm-level Chinese evidence that intelligent manufacturing upgrades the human capital of the workforce it retains [25,26]. Generative artificial intelligence differs from robotics in exposing cognitive and codifiable work [1,27], which is disproportionately what junior employees do. Macroeconomic magnitudes remain contested [2], and micro-evidence ranges from large productivity gains in specific occupations [15,28] to precise nulls on earnings and hours [6]; numerical work on the skill premium points to the same tension between displacement and complementarity [29]. Our contribution is not another estimate of a displacement elasticity but a statement about which margin the elasticity operates on, what determines that, and whether the margin has an externality attached to it.</w:t>
      </w:r>
    </w:p>
    <w:p>
      <w:pPr>
        <w:keepNext/>
        <w:spacing w:before="140" w:after="80"/>
      </w:pPr>
      <w:r>
        <w:rPr>
          <w:rFonts w:ascii="Palatino Linotype" w:hAnsi="Palatino Linotype" w:eastAsia="Palatino Linotype"/>
          <w:b/>
          <w:i w:val="0"/>
          <w:sz w:val="20"/>
        </w:rPr>
        <w:t>2.2. Training, Poaching and the Job Ladder</w:t>
      </w:r>
    </w:p>
    <w:p>
      <w:pPr>
        <w:spacing w:after="120"/>
        <w:jc w:val="both"/>
      </w:pPr>
      <w:r>
        <w:rPr>
          <w:rFonts w:ascii="Palatino Linotype" w:hAnsi="Palatino Linotype" w:eastAsia="Palatino Linotype"/>
          <w:b w:val="0"/>
          <w:i w:val="0"/>
          <w:sz w:val="20"/>
        </w:rPr>
        <w:t>In a frictionless labour market firms never pay for general training, because the worker captures its whole return [13]. Acemoglu and Pischke showed that once wages are compressed by labour-market frictions firms do pay, because part of the return accrues to them, and that the same frictions generate a poaching externality, so that firm-sponsored training is positive but inefficiently low [7,14]. Stevens made the under-investment explicit as a property of imperfect competition [8]. Empirically, training raises productivity by more than it raises wages [30], and automation shifts who receives it [31]. The complementary literature on internal labour markets models promotion as the mechanism converting learning into rank and pay [32], and the early-career mobility literature documents how much of lifetime wage growth is produced in the first years of work [33,34], while the skills literature documents how fast the content of entry-level competence is now moving [35,36] and how unevenly formal vocational training pays off in China [37,38]. We combine the two strands: training is firm-sponsored, non-contractible and subject to poaching, and its output is the stock of experienced workers on which the whole economy’s production function depends. That general-equilibrium closure is what allows us to ask whether a technology shock damages the mechanism itself.</w:t>
      </w:r>
    </w:p>
    <w:p>
      <w:pPr>
        <w:keepNext/>
        <w:spacing w:before="140" w:after="80"/>
      </w:pPr>
      <w:r>
        <w:rPr>
          <w:rFonts w:ascii="Palatino Linotype" w:hAnsi="Palatino Linotype" w:eastAsia="Palatino Linotype"/>
          <w:b/>
          <w:i w:val="0"/>
          <w:sz w:val="20"/>
        </w:rPr>
        <w:t>2.3. Search, Matching, Efficiency and the Wage Rule</w:t>
      </w:r>
    </w:p>
    <w:p>
      <w:pPr>
        <w:spacing w:after="120"/>
        <w:jc w:val="both"/>
      </w:pPr>
      <w:r>
        <w:rPr>
          <w:rFonts w:ascii="Palatino Linotype" w:hAnsi="Palatino Linotype" w:eastAsia="Palatino Linotype"/>
          <w:b w:val="0"/>
          <w:i w:val="0"/>
          <w:sz w:val="20"/>
        </w:rPr>
        <w:t>The equilibrium environment is the Diamond–Mortensen–Pissarides framework [39–41], whose empirical matching function is well established [42] and whose efficiency properties are governed by the Hosios condition: the decentralised allocation is constrained-efficient when the worker’s bargaining power equals the elasticity of the matching function with respect to unemployment [43]. Extensions with on-the-job search change the bargaining problem materially [44–46]. A second strand is central to our incidence result: the volatility literature established that the response of employment to a productivity shock depends almost entirely on how much of the shock the wage absorbs [47–50]. We adopt the geometric real-rigidity rule of Blanchard and Galí [51], which nests flexible Nash bargaining and a fixed entry wage in a single parameter and, at the calibration point, is an identity—so the estimated economy is unaffected by the value that parameter takes, and only the responses differ. Our efficiency statement is more restrictive than the classical one: Hosios continues to decentralise vacancy creation but cannot, on its own, decentralise the training margin.</w:t>
      </w:r>
    </w:p>
    <w:p>
      <w:pPr>
        <w:keepNext/>
        <w:spacing w:before="140" w:after="80"/>
      </w:pPr>
      <w:r>
        <w:rPr>
          <w:rFonts w:ascii="Palatino Linotype" w:hAnsi="Palatino Linotype" w:eastAsia="Palatino Linotype"/>
          <w:b/>
          <w:i w:val="0"/>
          <w:sz w:val="20"/>
        </w:rPr>
        <w:t>2.4. Youth Labour Markets and the Chinese Setting</w:t>
      </w:r>
    </w:p>
    <w:p>
      <w:pPr>
        <w:spacing w:after="120"/>
        <w:jc w:val="both"/>
      </w:pPr>
      <w:r>
        <w:rPr>
          <w:rFonts w:ascii="Palatino Linotype" w:hAnsi="Palatino Linotype" w:eastAsia="Palatino Linotype"/>
          <w:b w:val="0"/>
          <w:i w:val="0"/>
          <w:sz w:val="20"/>
        </w:rPr>
        <w:t>China provides an unusually sharp test bed. Cohort size is large and rising, the surveyed youth unemployment rate is published monthly under a methodology that excludes students, mismatch and over-education are extensively documented, adoption of generative artificial intelligence by enterprises has been exceptionally fast, and provincial minimum wages bind for entry-level urban positions [9,52–56]. The international comparators matter too: youth transitions have deteriorated across many economies at once [57,58], and cross-country work links that deterioration to digitalisation [59–61]. The system-oriented literature has approached youth transition outcomes as emergent properties of interacting institutions rather than as the sum of individual choices [62–65], and recent work in this journal has examined how artificial intelligence reshapes organisational decision systems and career structures [66–69]. The present paper is complementary: it supplies the price-theoretic mechanism that determines whether the reproduction loop of the career ladder is operated at, above or below its socially efficient intensity, and it quantifies how a technology shock moves that intensity and who bears the cost.</w:t>
      </w:r>
    </w:p>
    <w:p>
      <w:pPr>
        <w:keepNext/>
        <w:spacing w:before="140" w:after="80"/>
      </w:pPr>
      <w:r>
        <w:rPr>
          <w:rFonts w:ascii="Palatino Linotype" w:hAnsi="Palatino Linotype" w:eastAsia="Palatino Linotype"/>
          <w:b/>
          <w:i w:val="0"/>
          <w:sz w:val="20"/>
        </w:rPr>
        <w:t>2.5. What This Paper Adds</w:t>
      </w:r>
    </w:p>
    <w:p>
      <w:pPr>
        <w:spacing w:after="120"/>
        <w:jc w:val="both"/>
      </w:pPr>
      <w:r>
        <w:rPr>
          <w:rFonts w:ascii="Palatino Linotype" w:hAnsi="Palatino Linotype" w:eastAsia="Palatino Linotype"/>
          <w:b w:val="0"/>
          <w:i w:val="0"/>
          <w:sz w:val="20"/>
        </w:rPr>
        <w:t>Three things are new. The first is the joint-product formalisation of the entry-level job, in which one technology shock hits the priced component and spares the under-priced one, together with the finding that the under-priced component is the robust one: the ladder narrows rather than breaks. The second is the efficiency characterisation—an exact statement of when the decentralised economy attains the constrained optimum, verified numerically to machine precision, with the residual wedge decomposed into a hold-up and a poaching component and quantified against an economy that is Hosios-efficient by construction. The third is that the incidence of the shock is shown to be an institutional rather than a technological fact, which reconciles the conflicting empirical findings in the literature and yields an instrument ranking with a marginal value of public funds attached to each instrument, before and after the shock, with the uncertainty quantified.</w:t>
      </w:r>
    </w:p>
    <w:p>
      <w:pPr>
        <w:keepNext/>
        <w:spacing w:before="200" w:after="80"/>
      </w:pPr>
      <w:r>
        <w:rPr>
          <w:rFonts w:ascii="Palatino Linotype" w:hAnsi="Palatino Linotype" w:eastAsia="Palatino Linotype"/>
          <w:b/>
          <w:i w:val="0"/>
          <w:sz w:val="24"/>
        </w:rPr>
        <w:t>3. A Two-Tier Model of the Job Ladder</w:t>
      </w:r>
    </w:p>
    <w:p>
      <w:pPr>
        <w:spacing w:after="120"/>
        <w:jc w:val="both"/>
      </w:pPr>
      <w:r>
        <w:rPr>
          <w:rFonts w:ascii="Palatino Linotype" w:hAnsi="Palatino Linotype" w:eastAsia="Palatino Linotype"/>
          <w:b w:val="0"/>
          <w:i w:val="0"/>
          <w:sz w:val="20"/>
        </w:rPr>
        <w:t xml:space="preserve">Time is continuous and agents are risk neutral and discount at rate </w:t>
      </w:r>
      <m:oMath>
        <m:r>
          <m:rPr/>
          <m:t>r</m:t>
        </m:r>
      </m:oMath>
      <w:r>
        <w:rPr>
          <w:rFonts w:ascii="Palatino Linotype" w:hAnsi="Palatino Linotype" w:eastAsia="Palatino Linotype"/>
          <w:b w:val="0"/>
          <w:i w:val="0"/>
          <w:sz w:val="20"/>
        </w:rPr>
        <w:t xml:space="preserve">. The labour force is normalised to one and is partitioned into four states: entry-level jobseekers </w:t>
      </w:r>
      <m:oMath>
        <m:sSub>
          <m:sSubPr/>
          <m:e>
            <m:r>
              <m:rPr/>
              <m:t>u</m:t>
            </m:r>
          </m:e>
          <m:sub>
            <m:r>
              <m:rPr/>
              <m:t>j</m:t>
            </m:r>
          </m:sub>
        </m:sSub>
      </m:oMath>
      <w:r>
        <w:rPr>
          <w:rFonts w:ascii="Palatino Linotype" w:hAnsi="Palatino Linotype" w:eastAsia="Palatino Linotype"/>
          <w:b w:val="0"/>
          <w:i w:val="0"/>
          <w:sz w:val="20"/>
        </w:rPr>
        <w:t xml:space="preserve">, entry-level employed </w:t>
      </w:r>
      <m:oMath>
        <m:sSub>
          <m:sSubPr/>
          <m:e>
            <m:r>
              <m:rPr/>
              <m:t>e</m:t>
            </m:r>
          </m:e>
          <m:sub>
            <m:r>
              <m:rPr/>
              <m:t>j</m:t>
            </m:r>
          </m:sub>
        </m:sSub>
      </m:oMath>
      <w:r>
        <w:rPr>
          <w:rFonts w:ascii="Palatino Linotype" w:hAnsi="Palatino Linotype" w:eastAsia="Palatino Linotype"/>
          <w:b w:val="0"/>
          <w:i w:val="0"/>
          <w:sz w:val="20"/>
        </w:rPr>
        <w:t xml:space="preserve">, experienced jobseekers </w:t>
      </w:r>
      <m:oMath>
        <m:sSub>
          <m:sSubPr/>
          <m:e>
            <m:r>
              <m:rPr/>
              <m:t>u</m:t>
            </m:r>
          </m:e>
          <m:sub>
            <m:r>
              <m:rPr/>
              <m:t>s</m:t>
            </m:r>
          </m:sub>
        </m:sSub>
      </m:oMath>
      <w:r>
        <w:rPr>
          <w:rFonts w:ascii="Palatino Linotype" w:hAnsi="Palatino Linotype" w:eastAsia="Palatino Linotype"/>
          <w:b w:val="0"/>
          <w:i w:val="0"/>
          <w:sz w:val="20"/>
        </w:rPr>
        <w:t xml:space="preserve"> and experienced employed </w:t>
      </w:r>
      <m:oMath>
        <m:sSub>
          <m:sSubPr/>
          <m:e>
            <m:r>
              <m:rPr/>
              <m:t>e</m:t>
            </m:r>
          </m:e>
          <m:sub>
            <m:r>
              <m:rPr/>
              <m:t>s</m:t>
            </m:r>
          </m:sub>
        </m:sSub>
      </m:oMath>
      <w:r>
        <w:rPr>
          <w:rFonts w:ascii="Palatino Linotype" w:hAnsi="Palatino Linotype" w:eastAsia="Palatino Linotype"/>
          <w:b w:val="0"/>
          <w:i w:val="0"/>
          <w:sz w:val="20"/>
        </w:rPr>
        <w:t xml:space="preserve">. Workers leave the labour force at rate </w:t>
      </w:r>
      <m:oMath>
        <m:r>
          <m:rPr/>
          <m:t>ω</m:t>
        </m:r>
      </m:oMath>
      <w:r>
        <w:rPr>
          <w:rFonts w:ascii="Palatino Linotype" w:hAnsi="Palatino Linotype" w:eastAsia="Palatino Linotype"/>
          <w:b w:val="0"/>
          <w:i w:val="0"/>
          <w:sz w:val="20"/>
        </w:rPr>
        <w:t xml:space="preserve"> and are replaced by an equal flow of entrants, who arrive as entry-level jobseekers. Figure 1 shows the structure.</w:t>
      </w:r>
    </w:p>
    <w:p>
      <w:pPr>
        <w:spacing w:after="40"/>
        <w:jc w:val="center"/>
      </w:pPr>
      <w:r>
        <w:drawing>
          <wp:inline distT="0" distB="0" distL="114300" distR="114300">
            <wp:extent cx="5486400" cy="61143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0"/>
                    <a:stretch>
                      <a:fillRect/>
                    </a:stretch>
                  </pic:blipFill>
                  <pic:spPr>
                    <a:xfrm>
                      <a:off x="0" y="0"/>
                      <a:ext cx="5486400" cy="6114314"/>
                    </a:xfrm>
                    <a:prstGeom prst="rect">
                      <a:avLst/>
                    </a:prstGeom>
                  </pic:spPr>
                </pic:pic>
              </a:graphicData>
            </a:graphic>
          </wp:inline>
        </w:drawing>
      </w:r>
    </w:p>
    <w:p>
      <w:pPr>
        <w:spacing w:after="160"/>
        <w:jc w:val="both"/>
      </w:pPr>
      <w:r>
        <w:rPr>
          <w:rFonts w:ascii="Palatino Linotype" w:hAnsi="Palatino Linotype" w:eastAsia="Palatino Linotype"/>
          <w:b/>
          <w:i w:val="0"/>
          <w:sz w:val="17"/>
        </w:rPr>
        <w:t xml:space="preserve">Figure 1. </w:t>
      </w:r>
      <w:r>
        <w:rPr>
          <w:rFonts w:ascii="Palatino Linotype" w:hAnsi="Palatino Linotype" w:eastAsia="Palatino Linotype"/>
          <w:b w:val="0"/>
          <w:i w:val="0"/>
          <w:sz w:val="17"/>
        </w:rPr>
        <w:t xml:space="preserve">Structure of the model. Panel (a) shows the flows of workers across the four labour-market states; the promotion flow from entry-level to experienced employment is the only source of experienced workers in the economy. Panel (b) shows the technology: entry-level labour and artificial intelligence are substitutes inside the entry-level task bundle, whereas mentoring diverts experienced time away from production and is the sole input into the promotion hazard. Artificial intelligence therefore raises </w:t>
      </w:r>
      <m:oMath>
        <m:sSub>
          <m:sSubPr/>
          <m:e>
            <m:r>
              <m:rPr/>
              <m:t>X</m:t>
            </m:r>
          </m:e>
          <m:sub>
            <m:r>
              <m:rPr/>
              <m:t>j</m:t>
            </m:r>
          </m:sub>
        </m:sSub>
      </m:oMath>
      <w:r>
        <w:rPr>
          <w:rFonts w:ascii="Palatino Linotype" w:hAnsi="Palatino Linotype" w:eastAsia="Palatino Linotype"/>
          <w:b w:val="0"/>
          <w:i w:val="0"/>
          <w:sz w:val="17"/>
        </w:rPr>
        <w:t xml:space="preserve"> without raising </w:t>
      </w:r>
      <m:oMath>
        <m:r>
          <m:rPr/>
          <m:t>\pi</m:t>
        </m:r>
      </m:oMath>
      <w:r>
        <w:rPr>
          <w:rFonts w:ascii="Palatino Linotype" w:hAnsi="Palatino Linotype" w:eastAsia="Palatino Linotype"/>
          <w:b w:val="0"/>
          <w:i w:val="0"/>
          <w:sz w:val="17"/>
        </w:rPr>
        <w:t>.</w:t>
      </w:r>
    </w:p>
    <w:p>
      <w:pPr>
        <w:keepNext/>
        <w:spacing w:before="140" w:after="80"/>
      </w:pPr>
      <w:r>
        <w:rPr>
          <w:rFonts w:ascii="Palatino Linotype" w:hAnsi="Palatino Linotype" w:eastAsia="Palatino Linotype"/>
          <w:b/>
          <w:i w:val="0"/>
          <w:sz w:val="20"/>
        </w:rPr>
        <w:t>3.1. Matching and Flows</w:t>
      </w:r>
    </w:p>
    <w:p>
      <w:pPr>
        <w:spacing w:after="120"/>
        <w:jc w:val="both"/>
      </w:pPr>
      <w:r>
        <w:rPr>
          <w:rFonts w:ascii="Palatino Linotype" w:hAnsi="Palatino Linotype" w:eastAsia="Palatino Linotype"/>
          <w:b w:val="0"/>
          <w:i w:val="0"/>
          <w:sz w:val="20"/>
        </w:rPr>
        <w:t xml:space="preserve">Each tier has its own matching market. Meetings on tier </w:t>
      </w:r>
      <m:oMath>
        <m:r>
          <m:rPr/>
          <m:t xml:space="preserve">i \in \{j,s\}</m:t>
        </m:r>
      </m:oMath>
      <w:r>
        <w:rPr>
          <w:rFonts w:ascii="Palatino Linotype" w:hAnsi="Palatino Linotype" w:eastAsia="Palatino Linotype"/>
          <w:b w:val="0"/>
          <w:i w:val="0"/>
          <w:sz w:val="20"/>
        </w:rPr>
        <w:t xml:space="preserve"> are produced by a constant-returns Cobb–Douglas matching function, so flow rates depend only on market tightness [42]:</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M</m:t>
            </m:r>
          </m:e>
          <m:sub>
            <m:r>
              <m:rPr/>
              <m:t>i</m:t>
            </m:r>
          </m:sub>
        </m:sSub>
        <m:d>
          <m:dPr>
            <m:begChr m:val="("/>
            <m:endChr m:val=")"/>
          </m:dPr>
          <m:e>
            <m:sSub>
              <m:sSubPr/>
              <m:e>
                <m:r>
                  <m:rPr/>
                  <m:t>u</m:t>
                </m:r>
              </m:e>
              <m:sub>
                <m:r>
                  <m:rPr/>
                  <m:t>i</m:t>
                </m:r>
              </m:sub>
            </m:sSub>
            <m:r>
              <m:rPr/>
              <m:t xml:space="preserve">, </m:t>
            </m:r>
            <m:sSub>
              <m:sSubPr/>
              <m:e>
                <m:r>
                  <m:rPr/>
                  <m:t>v</m:t>
                </m:r>
              </m:e>
              <m:sub>
                <m:r>
                  <m:rPr/>
                  <m:t>i</m:t>
                </m:r>
              </m:sub>
            </m:sSub>
          </m:e>
        </m:d>
        <m:r>
          <m:rPr/>
          <m:t xml:space="preserve"> </m:t>
        </m:r>
        <m:r>
          <m:rPr>
            <m:sty m:val="p"/>
          </m:rPr>
          <m:t>=</m:t>
        </m:r>
        <m:r>
          <m:rPr/>
          <m:t xml:space="preserve"> </m:t>
        </m:r>
        <m:sSub>
          <m:sSubPr/>
          <m:e>
            <m:r>
              <m:rPr/>
              <m:t>μ</m:t>
            </m:r>
          </m:e>
          <m:sub>
            <m:r>
              <m:rPr/>
              <m:t>i</m:t>
            </m:r>
          </m:sub>
        </m:sSub>
        <m:r>
          <m:rPr/>
          <m:t xml:space="preserve"> </m:t>
        </m:r>
        <m:sSup>
          <m:sSupPr/>
          <m:e>
            <m:sSub>
              <m:sSubPr/>
              <m:e>
                <m:r>
                  <m:rPr/>
                  <m:t>u</m:t>
                </m:r>
              </m:e>
              <m:sub>
                <m:r>
                  <m:rPr/>
                  <m:t>i</m:t>
                </m:r>
              </m:sub>
            </m:sSub>
          </m:e>
          <m:sup>
            <m:r>
              <m:rPr/>
              <m:t>η</m:t>
            </m:r>
          </m:sup>
        </m:sSup>
        <m:r>
          <m:rPr/>
          <m:t xml:space="preserve"> </m:t>
        </m:r>
        <m:sSup>
          <m:sSupPr/>
          <m:e>
            <m:sSub>
              <m:sSubPr/>
              <m:e>
                <m:r>
                  <m:rPr/>
                  <m:t>v</m:t>
                </m:r>
              </m:e>
              <m:sub>
                <m:r>
                  <m:rPr/>
                  <m:t>i</m:t>
                </m:r>
              </m:sub>
            </m:sSub>
          </m:e>
          <m:sup>
            <m:r>
              <m:rPr/>
              <m:t>1</m:t>
            </m:r>
            <m:r>
              <m:rPr/>
              <m:t xml:space="preserve"> </m:t>
            </m:r>
            <m:r>
              <m:rPr>
                <m:sty m:val="p"/>
              </m:rPr>
              <m:t>−</m:t>
            </m:r>
            <m:r>
              <m:rPr/>
              <m:t xml:space="preserve"> </m:t>
            </m:r>
            <m:r>
              <m:rPr/>
              <m:t>η</m:t>
            </m:r>
          </m:sup>
        </m:sSup>
        <m:r>
          <m:rPr/>
          <m:t xml:space="preserve">, </m:t>
        </m:r>
        <m:r>
          <m:rPr/>
          <m:t xml:space="preserve"> </m:t>
        </m:r>
        <m:sSub>
          <m:sSubPr/>
          <m:e>
            <m:r>
              <m:rPr/>
              <m:t>θ</m:t>
            </m:r>
          </m:e>
          <m:sub>
            <m:r>
              <m:rPr/>
              <m:t>i</m:t>
            </m:r>
          </m:sub>
        </m:sSub>
        <m:r>
          <m:rPr/>
          <m:t xml:space="preserve"> </m:t>
        </m:r>
        <m:r>
          <m:rPr>
            <m:sty m:val="p"/>
          </m:rPr>
          <m:t>=</m:t>
        </m:r>
        <m:r>
          <m:rPr/>
          <m:t xml:space="preserve"> </m:t>
        </m:r>
        <m:f>
          <m:fPr/>
          <m:num>
            <m:sSub>
              <m:sSubPr/>
              <m:e>
                <m:r>
                  <m:rPr/>
                  <m:t>v</m:t>
                </m:r>
              </m:e>
              <m:sub>
                <m:r>
                  <m:rPr/>
                  <m:t>i</m:t>
                </m:r>
              </m:sub>
            </m:sSub>
          </m:num>
          <m:den>
            <m:sSub>
              <m:sSubPr/>
              <m:e>
                <m:r>
                  <m:rPr/>
                  <m:t>u</m:t>
                </m:r>
              </m:e>
              <m:sub>
                <m:r>
                  <m:rPr/>
                  <m:t>i</m:t>
                </m:r>
              </m:sub>
            </m:sSub>
          </m:den>
        </m:f>
        <m:r>
          <m:rPr/>
          <m:t xml:space="preserve">, </m:t>
        </m:r>
        <m:r>
          <m:rPr/>
          <m:t xml:space="preserve"> </m:t>
        </m:r>
        <m:r>
          <m:rPr/>
          <m:t>i</m:t>
        </m:r>
        <m:r>
          <m:rPr/>
          <m:t xml:space="preserve"> </m:t>
        </m:r>
        <m:r>
          <m:rPr>
            <m:sty m:val="p"/>
          </m:rPr>
          <m:t>∈</m:t>
        </m:r>
        <m:r>
          <m:rPr/>
          <m:t xml:space="preserve"> </m:t>
        </m:r>
        <m:d>
          <m:dPr>
            <m:begChr m:val="{"/>
            <m:endChr m:val="}"/>
          </m:dPr>
          <m:e>
            <m:r>
              <m:rPr/>
              <m:t>j</m:t>
            </m:r>
            <m:r>
              <m:rPr/>
              <m:t xml:space="preserve">, </m:t>
            </m:r>
            <m:r>
              <m:rPr/>
              <m:t>s</m:t>
            </m:r>
          </m:e>
        </m:d>
      </m:oMath>
      <w:r>
        <w:rPr>
          <w:rFonts w:ascii="Palatino Linotype" w:hAnsi="Palatino Linotype" w:eastAsia="Palatino Linotype"/>
          <w:b w:val="0"/>
          <w:i w:val="0"/>
          <w:sz w:val="20"/>
        </w:rPr>
        <w:tab/>
      </w:r>
      <w:r>
        <w:rPr>
          <w:rFonts w:ascii="Palatino Linotype" w:hAnsi="Palatino Linotype" w:eastAsia="Palatino Linotype"/>
          <w:b w:val="0"/>
          <w:i w:val="0"/>
          <w:sz w:val="20"/>
        </w:rPr>
        <w:t>(1)</w:t>
      </w:r>
    </w:p>
    <w:p>
      <w:pPr>
        <w:spacing w:after="120"/>
        <w:jc w:val="both"/>
      </w:pPr>
      <w:r>
        <w:rPr>
          <w:rFonts w:ascii="Palatino Linotype" w:hAnsi="Palatino Linotype" w:eastAsia="Palatino Linotype"/>
          <w:b w:val="0"/>
          <w:i w:val="0"/>
          <w:sz w:val="20"/>
        </w:rPr>
        <w:t xml:space="preserve">where </w:t>
      </w:r>
      <m:oMath>
        <m:r>
          <m:rPr/>
          <m:t>η</m:t>
        </m:r>
      </m:oMath>
      <w:r>
        <w:rPr>
          <w:rFonts w:ascii="Palatino Linotype" w:hAnsi="Palatino Linotype" w:eastAsia="Palatino Linotype"/>
          <w:b w:val="0"/>
          <w:i w:val="0"/>
          <w:sz w:val="20"/>
        </w:rPr>
        <w:t xml:space="preserve"> is the elasticity of matching with respect to unemployment. The job-finding and vacancy-filling rates follow:</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f</m:t>
            </m:r>
          </m:e>
          <m:sub>
            <m:r>
              <m:rPr/>
              <m:t>i</m:t>
            </m:r>
          </m:sub>
        </m:sSub>
        <m:r>
          <m:rPr/>
          <m:t xml:space="preserve"> </m:t>
        </m:r>
        <m:r>
          <m:rPr>
            <m:sty m:val="p"/>
          </m:rPr>
          <m:t>=</m:t>
        </m:r>
        <m:r>
          <m:rPr/>
          <m:t xml:space="preserve"> </m:t>
        </m:r>
        <m:sSub>
          <m:sSubPr/>
          <m:e>
            <m:r>
              <m:rPr/>
              <m:t>μ</m:t>
            </m:r>
          </m:e>
          <m:sub>
            <m:r>
              <m:rPr/>
              <m:t>i</m:t>
            </m:r>
          </m:sub>
        </m:sSub>
        <m:r>
          <m:rPr/>
          <m:t xml:space="preserve"> </m:t>
        </m:r>
        <m:sSup>
          <m:sSupPr/>
          <m:e>
            <m:sSub>
              <m:sSubPr/>
              <m:e>
                <m:r>
                  <m:rPr/>
                  <m:t>θ</m:t>
                </m:r>
              </m:e>
              <m:sub>
                <m:r>
                  <m:rPr/>
                  <m:t>i</m:t>
                </m:r>
              </m:sub>
            </m:sSub>
          </m:e>
          <m:sup>
            <m:r>
              <m:rPr/>
              <m:t>1</m:t>
            </m:r>
            <m:r>
              <m:rPr/>
              <m:t xml:space="preserve"> </m:t>
            </m:r>
            <m:r>
              <m:rPr>
                <m:sty m:val="p"/>
              </m:rPr>
              <m:t>−</m:t>
            </m:r>
            <m:r>
              <m:rPr/>
              <m:t xml:space="preserve"> </m:t>
            </m:r>
            <m:r>
              <m:rPr/>
              <m:t>η</m:t>
            </m:r>
          </m:sup>
        </m:sSup>
        <m:r>
          <m:rPr/>
          <m:t xml:space="preserve">, </m:t>
        </m:r>
        <m:r>
          <m:rPr/>
          <m:t xml:space="preserve"> </m:t>
        </m:r>
        <m:r>
          <m:rPr/>
          <m:t xml:space="preserve"> </m:t>
        </m:r>
        <m:sSub>
          <m:sSubPr/>
          <m:e>
            <m:r>
              <m:rPr/>
              <m:t>q</m:t>
            </m:r>
          </m:e>
          <m:sub>
            <m:r>
              <m:rPr/>
              <m:t>i</m:t>
            </m:r>
          </m:sub>
        </m:sSub>
        <m:r>
          <m:rPr/>
          <m:t xml:space="preserve"> </m:t>
        </m:r>
        <m:r>
          <m:rPr>
            <m:sty m:val="p"/>
          </m:rPr>
          <m:t>=</m:t>
        </m:r>
        <m:r>
          <m:rPr/>
          <m:t xml:space="preserve"> </m:t>
        </m:r>
        <m:sSub>
          <m:sSubPr/>
          <m:e>
            <m:r>
              <m:rPr/>
              <m:t>μ</m:t>
            </m:r>
          </m:e>
          <m:sub>
            <m:r>
              <m:rPr/>
              <m:t>i</m:t>
            </m:r>
          </m:sub>
        </m:sSub>
        <m:r>
          <m:rPr/>
          <m:t xml:space="preserve"> </m:t>
        </m:r>
        <m:sSup>
          <m:sSupPr/>
          <m:e>
            <m:sSub>
              <m:sSubPr/>
              <m:e>
                <m:r>
                  <m:rPr/>
                  <m:t>θ</m:t>
                </m:r>
              </m:e>
              <m:sub>
                <m:r>
                  <m:rPr/>
                  <m:t>i</m:t>
                </m:r>
              </m:sub>
            </m:sSub>
          </m:e>
          <m:sup>
            <m:r>
              <m:rPr/>
              <m:t xml:space="preserve"> </m:t>
            </m:r>
            <m:r>
              <m:rPr>
                <m:sty m:val="p"/>
              </m:rPr>
              <m:t>−</m:t>
            </m:r>
            <m:r>
              <m:rPr/>
              <m:t xml:space="preserve"> </m:t>
            </m:r>
            <m:r>
              <m:rPr/>
              <m:t>η</m:t>
            </m:r>
          </m:sup>
        </m:sSup>
        <m:r>
          <m:rPr/>
          <m:t xml:space="preserve">, </m:t>
        </m:r>
        <m:r>
          <m:rPr/>
          <m:t xml:space="preserve"> </m:t>
        </m:r>
        <m:r>
          <m:rPr/>
          <m:t xml:space="preserve"> </m:t>
        </m:r>
        <m:sSub>
          <m:sSubPr/>
          <m:e>
            <m:r>
              <m:rPr/>
              <m:t>f</m:t>
            </m:r>
          </m:e>
          <m:sub>
            <m:r>
              <m:rPr/>
              <m:t>i</m:t>
            </m:r>
          </m:sub>
        </m:sSub>
        <m:r>
          <m:rPr/>
          <m:t xml:space="preserve"> </m:t>
        </m:r>
        <m:r>
          <m:rPr>
            <m:sty m:val="p"/>
          </m:rPr>
          <m:t>=</m:t>
        </m:r>
        <m:r>
          <m:rPr/>
          <m:t xml:space="preserve"> </m:t>
        </m:r>
        <m:sSub>
          <m:sSubPr/>
          <m:e>
            <m:r>
              <m:rPr/>
              <m:t>θ</m:t>
            </m:r>
          </m:e>
          <m:sub>
            <m:r>
              <m:rPr/>
              <m:t>i</m:t>
            </m:r>
          </m:sub>
        </m:sSub>
        <m:r>
          <m:rPr/>
          <m:t xml:space="preserve"> </m:t>
        </m:r>
        <m:sSub>
          <m:sSubPr/>
          <m:e>
            <m:r>
              <m:rPr/>
              <m:t>q</m:t>
            </m:r>
          </m:e>
          <m:sub>
            <m:r>
              <m:rPr/>
              <m:t>i</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(2)</w:t>
      </w:r>
    </w:p>
    <w:p>
      <w:pPr>
        <w:spacing w:after="120"/>
        <w:jc w:val="both"/>
      </w:pPr>
      <w:r>
        <w:rPr>
          <w:rFonts w:ascii="Palatino Linotype" w:hAnsi="Palatino Linotype" w:eastAsia="Palatino Linotype"/>
          <w:b w:val="0"/>
          <w:i w:val="0"/>
          <w:sz w:val="20"/>
        </w:rPr>
        <w:t xml:space="preserve">Entry-level matches dissolve at rate </w:t>
      </w:r>
      <m:oMath>
        <m:sSub>
          <m:sSubPr/>
          <m:e>
            <m:r>
              <m:rPr/>
              <m:t>δ</m:t>
            </m:r>
          </m:e>
          <m:sub>
            <m:r>
              <m:rPr/>
              <m:t>j</m:t>
            </m:r>
          </m:sub>
        </m:sSub>
      </m:oMath>
      <w:r>
        <w:rPr>
          <w:rFonts w:ascii="Palatino Linotype" w:hAnsi="Palatino Linotype" w:eastAsia="Palatino Linotype"/>
          <w:b w:val="0"/>
          <w:i w:val="0"/>
          <w:sz w:val="20"/>
        </w:rPr>
        <w:t xml:space="preserve"> and experienced matches at rate </w:t>
      </w:r>
      <m:oMath>
        <m:sSub>
          <m:sSubPr/>
          <m:e>
            <m:r>
              <m:rPr/>
              <m:t>δ</m:t>
            </m:r>
          </m:e>
          <m:sub>
            <m:r>
              <m:rPr/>
              <m:t>s</m:t>
            </m:r>
          </m:sub>
        </m:sSub>
      </m:oMath>
      <w:r>
        <w:rPr>
          <w:rFonts w:ascii="Palatino Linotype" w:hAnsi="Palatino Linotype" w:eastAsia="Palatino Linotype"/>
          <w:b w:val="0"/>
          <w:i w:val="0"/>
          <w:sz w:val="20"/>
        </w:rPr>
        <w:t xml:space="preserve">, with </w:t>
      </w:r>
      <m:oMath>
        <m:r>
          <m:rPr/>
          <m:t xml:space="preserve">δ_{j} &gt; δ_{s}</m:t>
        </m:r>
      </m:oMath>
      <w:r>
        <w:rPr>
          <w:rFonts w:ascii="Palatino Linotype" w:hAnsi="Palatino Linotype" w:eastAsia="Palatino Linotype"/>
          <w:b w:val="0"/>
          <w:i w:val="0"/>
          <w:sz w:val="20"/>
        </w:rPr>
        <w:t xml:space="preserve">. An entry-level employee is promoted at hazard </w:t>
      </w:r>
      <m:oMath>
        <m:r>
          <m:rPr/>
          <m:t>\pi</m:t>
        </m:r>
      </m:oMath>
      <w:r>
        <w:rPr>
          <w:rFonts w:ascii="Palatino Linotype" w:hAnsi="Palatino Linotype" w:eastAsia="Palatino Linotype"/>
          <w:b w:val="0"/>
          <w:i w:val="0"/>
          <w:sz w:val="20"/>
        </w:rPr>
        <w:t>, which is where the ladder is climbed. The four stocks evolve as</w:t>
      </w:r>
    </w:p>
    <w:p>
      <w:pPr>
        <w:tabs>
          <w:tab w:val="center" w:pos="4600"/>
          <w:tab w:val="right" w:pos="9200"/>
        </w:tabs>
        <w:spacing w:before="80" w:after="80"/>
        <w:ind w:left="0"/>
        <w:jc w:val="right"/>
      </w:pPr>
      <w:r>
        <w:rPr>
          <w:rFonts w:ascii="Palatino Linotype" w:hAnsi="Palatino Linotype" w:eastAsia="Palatino Linotype"/>
          <w:b w:val="0"/>
          <w:i w:val="0"/>
          <w:sz w:val="20"/>
        </w:rPr>
        <w:tab/>
      </w:r>
      <m:oMath>
        <m:acc>
          <m:accPr>
            <m:chr m:val="̇"/>
          </m:accPr>
          <m:e>
            <m:sSub>
              <m:sSubPr/>
              <m:e>
                <m:r>
                  <m:rPr/>
                  <m:t>u</m:t>
                </m:r>
              </m:e>
              <m:sub>
                <m:r>
                  <m:rPr/>
                  <m:t>j</m:t>
                </m:r>
              </m:sub>
            </m:sSub>
          </m:e>
        </m:acc>
        <m:r>
          <m:rPr/>
          <m:t xml:space="preserve"> </m:t>
        </m:r>
        <m:r>
          <m:rPr>
            <m:sty m:val="p"/>
          </m:rPr>
          <m:t>=</m:t>
        </m:r>
        <m:r>
          <m:rPr/>
          <m:t xml:space="preserve"> </m:t>
        </m:r>
        <m:r>
          <m:rPr/>
          <m:t>ω</m:t>
        </m:r>
        <m:r>
          <m:rPr/>
          <m:t xml:space="preserve"> </m:t>
        </m:r>
        <m:r>
          <m:rPr>
            <m:sty m:val="p"/>
          </m:rPr>
          <m:t>+</m:t>
        </m:r>
        <m:r>
          <m:rPr/>
          <m:t xml:space="preserve"> </m:t>
        </m:r>
        <m:sSub>
          <m:sSubPr/>
          <m:e>
            <m:r>
              <m:rPr/>
              <m:t>δ</m:t>
            </m:r>
          </m:e>
          <m:sub>
            <m:r>
              <m:rPr/>
              <m:t>j</m:t>
            </m:r>
          </m:sub>
        </m:sSub>
        <m:r>
          <m:rPr/>
          <m:t xml:space="preserve"> </m:t>
        </m:r>
        <m:sSub>
          <m:sSubPr/>
          <m:e>
            <m:r>
              <m:rPr/>
              <m:t>e</m:t>
            </m:r>
          </m:e>
          <m:sub>
            <m:r>
              <m:rPr/>
              <m:t>j</m:t>
            </m:r>
          </m:sub>
        </m:sSub>
        <m:r>
          <m:rPr/>
          <m:t xml:space="preserve"> </m:t>
        </m:r>
        <m:r>
          <m:rPr>
            <m:sty m:val="p"/>
          </m:rPr>
          <m:t>−</m:t>
        </m:r>
        <m:r>
          <m:rPr/>
          <m:t xml:space="preserve"> </m:t>
        </m:r>
        <m:d>
          <m:dPr>
            <m:begChr m:val="("/>
            <m:endChr m:val=")"/>
          </m:dPr>
          <m:e>
            <m:sSub>
              <m:sSubPr/>
              <m:e>
                <m:r>
                  <m:rPr/>
                  <m:t>f</m:t>
                </m:r>
              </m:e>
              <m:sub>
                <m:r>
                  <m:rPr/>
                  <m:t>j</m:t>
                </m:r>
              </m:sub>
            </m:sSub>
            <m:r>
              <m:rPr/>
              <m:t xml:space="preserve"> </m:t>
            </m:r>
            <m:r>
              <m:rPr>
                <m:sty m:val="p"/>
              </m:rPr>
              <m:t>+</m:t>
            </m:r>
            <m:r>
              <m:rPr/>
              <m:t xml:space="preserve"> </m:t>
            </m:r>
            <m:r>
              <m:rPr/>
              <m:t>ω</m:t>
            </m:r>
          </m:e>
        </m:d>
        <m:sSub>
          <m:sSubPr/>
          <m:e>
            <m:r>
              <m:rPr/>
              <m:t>u</m:t>
            </m:r>
          </m:e>
          <m:sub>
            <m:r>
              <m:rPr/>
              <m:t>j</m:t>
            </m:r>
          </m:sub>
        </m:sSub>
        <m:r>
          <m:rPr/>
          <m:t xml:space="preserve">, </m:t>
        </m:r>
        <m:r>
          <m:rPr/>
          <m:t xml:space="preserve"> </m:t>
        </m:r>
        <m:r>
          <m:rPr/>
          <m:t xml:space="preserve"> </m:t>
        </m:r>
        <m:acc>
          <m:accPr>
            <m:chr m:val="̇"/>
          </m:accPr>
          <m:e>
            <m:sSub>
              <m:sSubPr/>
              <m:e>
                <m:r>
                  <m:rPr/>
                  <m:t>e</m:t>
                </m:r>
              </m:e>
              <m:sub>
                <m:r>
                  <m:rPr/>
                  <m:t>j</m:t>
                </m:r>
              </m:sub>
            </m:sSub>
          </m:e>
        </m:acc>
        <m:r>
          <m:rPr/>
          <m:t xml:space="preserve"> </m:t>
        </m:r>
        <m:r>
          <m:rPr>
            <m:sty m:val="p"/>
          </m:rPr>
          <m:t>=</m:t>
        </m:r>
        <m:r>
          <m:rPr/>
          <m:t xml:space="preserve"> </m:t>
        </m:r>
        <m:sSub>
          <m:sSubPr/>
          <m:e>
            <m:r>
              <m:rPr/>
              <m:t>f</m:t>
            </m:r>
          </m:e>
          <m:sub>
            <m:r>
              <m:rPr/>
              <m:t>j</m:t>
            </m:r>
          </m:sub>
        </m:sSub>
        <m:r>
          <m:rPr/>
          <m:t xml:space="preserve"> </m:t>
        </m:r>
        <m:sSub>
          <m:sSubPr/>
          <m:e>
            <m:r>
              <m:rPr/>
              <m:t>u</m:t>
            </m:r>
          </m:e>
          <m:sub>
            <m:r>
              <m:rPr/>
              <m:t>j</m:t>
            </m:r>
          </m:sub>
        </m:sSub>
        <m:r>
          <m:rPr/>
          <m:t xml:space="preserve"> </m:t>
        </m:r>
        <m:r>
          <m:rPr>
            <m:sty m:val="p"/>
          </m:rPr>
          <m:t>−</m:t>
        </m:r>
        <m:r>
          <m:rPr/>
          <m:t xml:space="preserve"> </m:t>
        </m:r>
        <m:d>
          <m:dPr>
            <m:begChr m:val="("/>
            <m:endChr m:val=")"/>
          </m:dPr>
          <m:e>
            <m:sSub>
              <m:sSubPr/>
              <m:e>
                <m:r>
                  <m:rPr/>
                  <m:t>δ</m:t>
                </m:r>
              </m:e>
              <m:sub>
                <m:r>
                  <m:rPr/>
                  <m:t>j</m:t>
                </m:r>
              </m:sub>
            </m:sSub>
            <m:r>
              <m:rPr/>
              <m:t xml:space="preserve"> </m:t>
            </m:r>
            <m:r>
              <m:rPr>
                <m:sty m:val="p"/>
              </m:rPr>
              <m:t>+</m:t>
            </m:r>
            <m:r>
              <m:rPr/>
              <m:t xml:space="preserve"> </m:t>
            </m:r>
            <m:r>
              <m:rPr/>
              <m:t>π</m:t>
            </m:r>
            <m:r>
              <m:rPr/>
              <m:t xml:space="preserve"> </m:t>
            </m:r>
            <m:r>
              <m:rPr>
                <m:sty m:val="p"/>
              </m:rPr>
              <m:t>+</m:t>
            </m:r>
            <m:r>
              <m:rPr/>
              <m:t xml:space="preserve"> </m:t>
            </m:r>
            <m:r>
              <m:rPr/>
              <m:t>ω</m:t>
            </m:r>
          </m:e>
        </m:d>
        <m:sSub>
          <m:sSubPr/>
          <m:e>
            <m:r>
              <m:rPr/>
              <m:t>e</m:t>
            </m:r>
          </m:e>
          <m:sub>
            <m:r>
              <m:rPr/>
              <m:t>j</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(3)</w:t>
      </w:r>
    </w:p>
    <w:p>
      <w:pPr>
        <w:tabs>
          <w:tab w:val="center" w:pos="4600"/>
          <w:tab w:val="right" w:pos="9200"/>
        </w:tabs>
        <w:spacing w:before="80" w:after="80"/>
        <w:ind w:left="0"/>
        <w:jc w:val="right"/>
      </w:pPr>
      <w:r>
        <w:rPr>
          <w:rFonts w:ascii="Palatino Linotype" w:hAnsi="Palatino Linotype" w:eastAsia="Palatino Linotype"/>
          <w:b w:val="0"/>
          <w:i w:val="0"/>
          <w:sz w:val="20"/>
        </w:rPr>
        <w:tab/>
      </w:r>
      <m:oMath>
        <m:acc>
          <m:accPr>
            <m:chr m:val="̇"/>
          </m:accPr>
          <m:e>
            <m:sSub>
              <m:sSubPr/>
              <m:e>
                <m:r>
                  <m:rPr/>
                  <m:t>u</m:t>
                </m:r>
              </m:e>
              <m:sub>
                <m:r>
                  <m:rPr/>
                  <m:t>s</m:t>
                </m:r>
              </m:sub>
            </m:sSub>
          </m:e>
        </m:acc>
        <m:r>
          <m:rPr/>
          <m:t xml:space="preserve"> </m:t>
        </m:r>
        <m:r>
          <m:rPr>
            <m:sty m:val="p"/>
          </m:rPr>
          <m:t>=</m:t>
        </m:r>
        <m:r>
          <m:rPr/>
          <m:t xml:space="preserve"> </m:t>
        </m:r>
        <m:sSub>
          <m:sSubPr/>
          <m:e>
            <m:r>
              <m:rPr/>
              <m:t>δ</m:t>
            </m:r>
          </m:e>
          <m:sub>
            <m:r>
              <m:rPr/>
              <m:t>s</m:t>
            </m:r>
          </m:sub>
        </m:sSub>
        <m:r>
          <m:rPr/>
          <m:t xml:space="preserve"> </m:t>
        </m:r>
        <m:sSub>
          <m:sSubPr/>
          <m:e>
            <m:r>
              <m:rPr/>
              <m:t>e</m:t>
            </m:r>
          </m:e>
          <m:sub>
            <m:r>
              <m:rPr/>
              <m:t>s</m:t>
            </m:r>
          </m:sub>
        </m:sSub>
        <m:r>
          <m:rPr/>
          <m:t xml:space="preserve"> </m:t>
        </m:r>
        <m:r>
          <m:rPr>
            <m:sty m:val="p"/>
          </m:rPr>
          <m:t>−</m:t>
        </m:r>
        <m:r>
          <m:rPr/>
          <m:t xml:space="preserve"> </m:t>
        </m:r>
        <m:d>
          <m:dPr>
            <m:begChr m:val="("/>
            <m:endChr m:val=")"/>
          </m:dPr>
          <m:e>
            <m:sSub>
              <m:sSubPr/>
              <m:e>
                <m:r>
                  <m:rPr/>
                  <m:t>f</m:t>
                </m:r>
              </m:e>
              <m:sub>
                <m:r>
                  <m:rPr/>
                  <m:t>s</m:t>
                </m:r>
              </m:sub>
            </m:sSub>
            <m:r>
              <m:rPr/>
              <m:t xml:space="preserve"> </m:t>
            </m:r>
            <m:r>
              <m:rPr>
                <m:sty m:val="p"/>
              </m:rPr>
              <m:t>+</m:t>
            </m:r>
            <m:r>
              <m:rPr/>
              <m:t xml:space="preserve"> </m:t>
            </m:r>
            <m:r>
              <m:rPr/>
              <m:t>ω</m:t>
            </m:r>
          </m:e>
        </m:d>
        <m:sSub>
          <m:sSubPr/>
          <m:e>
            <m:r>
              <m:rPr/>
              <m:t>u</m:t>
            </m:r>
          </m:e>
          <m:sub>
            <m:r>
              <m:rPr/>
              <m:t>s</m:t>
            </m:r>
          </m:sub>
        </m:sSub>
        <m:r>
          <m:rPr/>
          <m:t xml:space="preserve">, </m:t>
        </m:r>
        <m:r>
          <m:rPr/>
          <m:t xml:space="preserve"> </m:t>
        </m:r>
        <m:r>
          <m:rPr/>
          <m:t xml:space="preserve"> </m:t>
        </m:r>
        <m:acc>
          <m:accPr>
            <m:chr m:val="̇"/>
          </m:accPr>
          <m:e>
            <m:sSub>
              <m:sSubPr/>
              <m:e>
                <m:r>
                  <m:rPr/>
                  <m:t>e</m:t>
                </m:r>
              </m:e>
              <m:sub>
                <m:r>
                  <m:rPr/>
                  <m:t>s</m:t>
                </m:r>
              </m:sub>
            </m:sSub>
          </m:e>
        </m:acc>
        <m:r>
          <m:rPr/>
          <m:t xml:space="preserve"> </m:t>
        </m:r>
        <m:r>
          <m:rPr>
            <m:sty m:val="p"/>
          </m:rPr>
          <m:t>=</m:t>
        </m:r>
        <m:r>
          <m:rPr/>
          <m:t xml:space="preserve"> </m:t>
        </m:r>
        <m:r>
          <m:rPr/>
          <m:t>π</m:t>
        </m:r>
        <m:r>
          <m:rPr/>
          <m:t xml:space="preserve"> </m:t>
        </m:r>
        <m:sSub>
          <m:sSubPr/>
          <m:e>
            <m:r>
              <m:rPr/>
              <m:t>e</m:t>
            </m:r>
          </m:e>
          <m:sub>
            <m:r>
              <m:rPr/>
              <m:t>j</m:t>
            </m:r>
          </m:sub>
        </m:sSub>
        <m:r>
          <m:rPr/>
          <m:t xml:space="preserve"> </m:t>
        </m:r>
        <m:r>
          <m:rPr>
            <m:sty m:val="p"/>
          </m:rPr>
          <m:t>+</m:t>
        </m:r>
        <m:r>
          <m:rPr/>
          <m:t xml:space="preserve"> </m:t>
        </m:r>
        <m:sSub>
          <m:sSubPr/>
          <m:e>
            <m:r>
              <m:rPr/>
              <m:t>f</m:t>
            </m:r>
          </m:e>
          <m:sub>
            <m:r>
              <m:rPr/>
              <m:t>s</m:t>
            </m:r>
          </m:sub>
        </m:sSub>
        <m:r>
          <m:rPr/>
          <m:t xml:space="preserve"> </m:t>
        </m:r>
        <m:sSub>
          <m:sSubPr/>
          <m:e>
            <m:r>
              <m:rPr/>
              <m:t>u</m:t>
            </m:r>
          </m:e>
          <m:sub>
            <m:r>
              <m:rPr/>
              <m:t>s</m:t>
            </m:r>
          </m:sub>
        </m:sSub>
        <m:r>
          <m:rPr/>
          <m:t xml:space="preserve"> </m:t>
        </m:r>
        <m:r>
          <m:rPr>
            <m:sty m:val="p"/>
          </m:rPr>
          <m:t>−</m:t>
        </m:r>
        <m:r>
          <m:rPr/>
          <m:t xml:space="preserve"> </m:t>
        </m:r>
        <m:d>
          <m:dPr>
            <m:begChr m:val="("/>
            <m:endChr m:val=")"/>
          </m:dPr>
          <m:e>
            <m:sSub>
              <m:sSubPr/>
              <m:e>
                <m:r>
                  <m:rPr/>
                  <m:t>δ</m:t>
                </m:r>
              </m:e>
              <m:sub>
                <m:r>
                  <m:rPr/>
                  <m:t>s</m:t>
                </m:r>
              </m:sub>
            </m:sSub>
            <m:r>
              <m:rPr/>
              <m:t xml:space="preserve"> </m:t>
            </m:r>
            <m:r>
              <m:rPr>
                <m:sty m:val="p"/>
              </m:rPr>
              <m:t>+</m:t>
            </m:r>
            <m:r>
              <m:rPr/>
              <m:t xml:space="preserve"> </m:t>
            </m:r>
            <m:r>
              <m:rPr/>
              <m:t>ω</m:t>
            </m:r>
          </m:e>
        </m:d>
        <m:sSub>
          <m:sSubPr/>
          <m:e>
            <m:r>
              <m:rPr/>
              <m:t>e</m:t>
            </m:r>
          </m:e>
          <m:sub>
            <m:r>
              <m:rPr/>
              <m:t>s</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(4)</w:t>
      </w:r>
    </w:p>
    <w:p>
      <w:pPr>
        <w:spacing w:after="120"/>
        <w:jc w:val="both"/>
      </w:pPr>
      <w:r>
        <w:rPr>
          <w:rFonts w:ascii="Palatino Linotype" w:hAnsi="Palatino Linotype" w:eastAsia="Palatino Linotype"/>
          <w:b w:val="0"/>
          <w:i w:val="0"/>
          <w:sz w:val="20"/>
        </w:rPr>
        <w:t xml:space="preserve">and sum to one. The promotion flow </w:t>
      </w:r>
      <m:oMath>
        <m:sSub>
          <m:sSubPr/>
          <m:e>
            <m:r>
              <m:rPr/>
              <m:t xml:space="preserve">\pi e</m:t>
            </m:r>
          </m:e>
          <m:sub>
            <m:r>
              <m:rPr/>
              <m:t>j</m:t>
            </m:r>
          </m:sub>
        </m:sSub>
      </m:oMath>
      <w:r>
        <w:rPr>
          <w:rFonts w:ascii="Palatino Linotype" w:hAnsi="Palatino Linotype" w:eastAsia="Palatino Linotype"/>
          <w:b w:val="0"/>
          <w:i w:val="0"/>
          <w:sz w:val="20"/>
        </w:rPr>
        <w:t xml:space="preserve"> is the only inflow into the experienced tier from outside it: an economy that stops promoting entrants stops producing experienced workers, with a delay equal to the average time to promotion. This is the reproduction loop that the rest of the paper is about. Because the entrant flow is exogenous and the labour force is fixed, the correct measure of entry-level access is the entry-level employment rate rather than the entry-level employment stock, and the correct measure of the ladder’s output is the promotion flow </w:t>
      </w:r>
      <m:oMath>
        <m:sSub>
          <m:sSubPr/>
          <m:e>
            <m:r>
              <m:rPr/>
              <m:t xml:space="preserve">\pi e</m:t>
            </m:r>
          </m:e>
          <m:sub>
            <m:r>
              <m:rPr/>
              <m:t>j</m:t>
            </m:r>
          </m:sub>
        </m:sSub>
      </m:oMath>
      <w:r>
        <w:rPr>
          <w:rFonts w:ascii="Palatino Linotype" w:hAnsi="Palatino Linotype" w:eastAsia="Palatino Linotype"/>
          <w:b w:val="0"/>
          <w:i w:val="0"/>
          <w:sz w:val="20"/>
        </w:rPr>
        <w:t>; we report both throughout.</w:t>
      </w:r>
    </w:p>
    <w:p>
      <w:pPr>
        <w:keepNext/>
        <w:spacing w:before="140" w:after="80"/>
      </w:pPr>
      <w:r>
        <w:rPr>
          <w:rFonts w:ascii="Palatino Linotype" w:hAnsi="Palatino Linotype" w:eastAsia="Palatino Linotype"/>
          <w:b/>
          <w:i w:val="0"/>
          <w:sz w:val="20"/>
        </w:rPr>
        <w:t>3.2. Mentoring and the Promotion Technology</w:t>
      </w:r>
    </w:p>
    <w:p>
      <w:pPr>
        <w:spacing w:after="120"/>
        <w:jc w:val="both"/>
      </w:pPr>
      <w:r>
        <w:rPr>
          <w:rFonts w:ascii="Palatino Linotype" w:hAnsi="Palatino Linotype" w:eastAsia="Palatino Linotype"/>
          <w:b w:val="0"/>
          <w:i w:val="0"/>
          <w:sz w:val="20"/>
        </w:rPr>
        <w:t xml:space="preserve">Promotion is produced, not received. Each entry-level employee absorbs </w:t>
      </w:r>
      <m:oMath>
        <m:r>
          <m:rPr/>
          <m:t>m</m:t>
        </m:r>
      </m:oMath>
      <w:r>
        <w:rPr>
          <w:rFonts w:ascii="Palatino Linotype" w:hAnsi="Palatino Linotype" w:eastAsia="Palatino Linotype"/>
          <w:b w:val="0"/>
          <w:i w:val="0"/>
          <w:sz w:val="20"/>
        </w:rPr>
        <w:t xml:space="preserve"> units of experienced worker time per unit of time, and the promotion hazard is increasing and concave in that intensity:</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π</m:t>
        </m:r>
        <m:d>
          <m:dPr>
            <m:begChr m:val="("/>
            <m:endChr m:val=")"/>
          </m:dPr>
          <m:e>
            <m:r>
              <m:rPr/>
              <m:t>m</m:t>
            </m:r>
          </m:e>
        </m:d>
        <m:r>
          <m:rPr/>
          <m:t xml:space="preserve"> </m:t>
        </m:r>
        <m:r>
          <m:rPr>
            <m:sty m:val="p"/>
          </m:rPr>
          <m:t>=</m:t>
        </m:r>
        <m:r>
          <m:rPr/>
          <m:t xml:space="preserve"> </m:t>
        </m:r>
        <m:bar>
          <m:barPr>
            <m:pos m:val="top"/>
          </m:barPr>
          <m:e>
            <m:r>
              <m:rPr/>
              <m:t>π</m:t>
            </m:r>
          </m:e>
        </m:bar>
        <m:r>
          <m:rPr/>
          <m:t xml:space="preserve"> </m:t>
        </m:r>
        <m:sSup>
          <m:sSupPr/>
          <m:e>
            <m:r>
              <m:rPr/>
              <m:t>m</m:t>
            </m:r>
          </m:e>
          <m:sup>
            <m:r>
              <m:rPr/>
              <m:t>ψ</m:t>
            </m:r>
          </m:sup>
        </m:sSup>
        <m:r>
          <m:rPr/>
          <m:t xml:space="preserve">, </m:t>
        </m:r>
        <m:r>
          <m:rPr/>
          <m:t xml:space="preserve"> </m:t>
        </m:r>
        <m:r>
          <m:rPr/>
          <m:t xml:space="preserve"> </m:t>
        </m:r>
        <m:r>
          <m:rPr/>
          <m:t>0</m:t>
        </m:r>
        <m:r>
          <m:rPr/>
          <m:t xml:space="preserve"> </m:t>
        </m:r>
        <m:r>
          <m:rPr>
            <m:sty m:val="p"/>
          </m:rPr>
          <m:t>&lt;</m:t>
        </m:r>
        <m:r>
          <m:rPr/>
          <m:t xml:space="preserve"> </m:t>
        </m:r>
        <m:r>
          <m:rPr/>
          <m:t>ψ</m:t>
        </m:r>
        <m:r>
          <m:rPr/>
          <m:t xml:space="preserve"> </m:t>
        </m:r>
        <m:r>
          <m:rPr>
            <m:sty m:val="p"/>
          </m:rPr>
          <m:t>&lt;</m:t>
        </m:r>
        <m:r>
          <m:rPr/>
          <m:t xml:space="preserve"> </m:t>
        </m:r>
        <m:r>
          <m:rPr/>
          <m:t>1</m:t>
        </m:r>
      </m:oMath>
      <w:r>
        <w:rPr>
          <w:rFonts w:ascii="Palatino Linotype" w:hAnsi="Palatino Linotype" w:eastAsia="Palatino Linotype"/>
          <w:b w:val="0"/>
          <w:i w:val="0"/>
          <w:sz w:val="20"/>
        </w:rPr>
        <w:tab/>
      </w:r>
      <w:r>
        <w:rPr>
          <w:rFonts w:ascii="Palatino Linotype" w:hAnsi="Palatino Linotype" w:eastAsia="Palatino Linotype"/>
          <w:b w:val="0"/>
          <w:i w:val="0"/>
          <w:sz w:val="20"/>
        </w:rPr>
        <w:t>(5)</w:t>
      </w:r>
    </w:p>
    <w:p>
      <w:pPr>
        <w:spacing w:after="120"/>
        <w:jc w:val="both"/>
      </w:pPr>
      <w:r>
        <w:rPr>
          <w:rFonts w:ascii="Palatino Linotype" w:hAnsi="Palatino Linotype" w:eastAsia="Palatino Linotype"/>
          <w:b w:val="0"/>
          <w:i w:val="0"/>
          <w:sz w:val="20"/>
        </w:rPr>
        <w:t xml:space="preserve">with </w:t>
      </w:r>
      <m:oMath>
        <m:r>
          <m:rPr/>
          <m:t xml:space="preserve">\psi &lt; 1</m:t>
        </m:r>
      </m:oMath>
      <w:r>
        <w:rPr>
          <w:rFonts w:ascii="Palatino Linotype" w:hAnsi="Palatino Linotype" w:eastAsia="Palatino Linotype"/>
          <w:b w:val="0"/>
          <w:i w:val="0"/>
          <w:sz w:val="20"/>
        </w:rPr>
        <w:t xml:space="preserve"> so that the marginal product of mentoring is diminishing. Mentoring is costly in the only currency that matters here: experienced time withdrawn from production. Because </w:t>
      </w:r>
      <m:oMath>
        <m:r>
          <m:rPr/>
          <m:t>m</m:t>
        </m:r>
      </m:oMath>
      <w:r>
        <w:rPr>
          <w:rFonts w:ascii="Palatino Linotype" w:hAnsi="Palatino Linotype" w:eastAsia="Palatino Linotype"/>
          <w:b w:val="0"/>
          <w:i w:val="0"/>
          <w:sz w:val="20"/>
        </w:rPr>
        <w:t xml:space="preserve"> is a flow chosen by the firm after the wage has been agreed, and because training intensity is not verifiable by a third party, the firm cannot commit to it and the worker cannot be made to pay for it through a lower wage. This is the hold-up friction of Acemoglu and Pischke [7,8]; Section 3.6 reports the contractible benchmark in which it is switched off.</w:t>
      </w:r>
    </w:p>
    <w:p>
      <w:pPr>
        <w:keepNext/>
        <w:spacing w:before="140" w:after="80"/>
      </w:pPr>
      <w:r>
        <w:rPr>
          <w:rFonts w:ascii="Palatino Linotype" w:hAnsi="Palatino Linotype" w:eastAsia="Palatino Linotype"/>
          <w:b/>
          <w:i w:val="0"/>
          <w:sz w:val="20"/>
        </w:rPr>
        <w:t>3.3. Technology: The Entry-Level Job as a Joint Product</w:t>
      </w:r>
    </w:p>
    <w:p>
      <w:pPr>
        <w:spacing w:after="120"/>
        <w:jc w:val="both"/>
      </w:pPr>
      <w:r>
        <w:rPr>
          <w:rFonts w:ascii="Palatino Linotype" w:hAnsi="Palatino Linotype" w:eastAsia="Palatino Linotype"/>
          <w:b w:val="0"/>
          <w:i w:val="0"/>
          <w:sz w:val="20"/>
        </w:rPr>
        <w:t xml:space="preserve">Output is produced from two task bundles. The entry-level bundle combines entry-level labour with artificial intelligence; one entry-level worker supplies </w:t>
      </w:r>
      <m:oMath>
        <m:sSub>
          <m:sSubPr/>
          <m:e>
            <m:r>
              <m:rPr/>
              <m:t>z</m:t>
            </m:r>
          </m:e>
          <m:sub>
            <m:r>
              <m:rPr/>
              <m:t>j</m:t>
            </m:r>
          </m:sub>
        </m:sSub>
      </m:oMath>
      <w:r>
        <w:rPr>
          <w:rFonts w:ascii="Palatino Linotype" w:hAnsi="Palatino Linotype" w:eastAsia="Palatino Linotype"/>
          <w:b w:val="0"/>
          <w:i w:val="0"/>
          <w:sz w:val="20"/>
        </w:rPr>
        <w:t xml:space="preserve"> efficiency units of entry-level task input and one efficiency unit of artificial intelligence supplies </w:t>
      </w:r>
      <m:oMath>
        <m:r>
          <m:rPr/>
          <m:t>\chi</m:t>
        </m:r>
      </m:oMath>
      <w:r>
        <w:rPr>
          <w:rFonts w:ascii="Palatino Linotype" w:hAnsi="Palatino Linotype" w:eastAsia="Palatino Linotype"/>
          <w:b w:val="0"/>
          <w:i w:val="0"/>
          <w:sz w:val="20"/>
        </w:rPr>
        <w:t xml:space="preserve">, so that </w:t>
      </w:r>
      <m:oMath>
        <m:sSub>
          <m:sSubPr/>
          <m:e>
            <m:r>
              <m:rPr/>
              <m:t>\chi/z</m:t>
            </m:r>
          </m:e>
          <m:sub>
            <m:r>
              <m:rPr/>
              <m:t>j</m:t>
            </m:r>
          </m:sub>
        </m:sSub>
      </m:oMath>
      <w:r>
        <w:rPr>
          <w:rFonts w:ascii="Palatino Linotype" w:hAnsi="Palatino Linotype" w:eastAsia="Palatino Linotype"/>
          <w:b w:val="0"/>
          <w:i w:val="0"/>
          <w:sz w:val="20"/>
        </w:rPr>
        <w:t xml:space="preserve"> is the number of entry-level workers displaced by one unit of artificial intelligence and is the natural measure of exposure. The experienced bundle is experienced labour net of the time it spends mentoring:</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X</m:t>
            </m:r>
          </m:e>
          <m:sub>
            <m:r>
              <m:rPr/>
              <m:t>j</m:t>
            </m:r>
          </m:sub>
        </m:sSub>
        <m:r>
          <m:rPr/>
          <m:t xml:space="preserve"> </m:t>
        </m:r>
        <m:r>
          <m:rPr>
            <m:sty m:val="p"/>
          </m:rPr>
          <m:t>=</m:t>
        </m:r>
        <m:r>
          <m:rPr/>
          <m:t xml:space="preserve"> </m:t>
        </m:r>
        <m:sSub>
          <m:sSubPr/>
          <m:e>
            <m:r>
              <m:rPr/>
              <m:t>e</m:t>
            </m:r>
          </m:e>
          <m:sub>
            <m:r>
              <m:rPr/>
              <m:t>j</m:t>
            </m:r>
          </m:sub>
        </m:sSub>
        <m:r>
          <m:rPr/>
          <m:t xml:space="preserve"> </m:t>
        </m:r>
        <m:r>
          <m:rPr>
            <m:sty m:val="p"/>
          </m:rPr>
          <m:t>+</m:t>
        </m:r>
        <m:r>
          <m:rPr/>
          <m:t xml:space="preserve"> </m:t>
        </m:r>
        <m:r>
          <m:rPr/>
          <m:t>χ</m:t>
        </m:r>
        <m:r>
          <m:rPr/>
          <m:t>A</m:t>
        </m:r>
        <m:r>
          <m:rPr/>
          <m:t xml:space="preserve">, </m:t>
        </m:r>
        <m:r>
          <m:rPr/>
          <m:t xml:space="preserve"> </m:t>
        </m:r>
        <m:r>
          <m:rPr/>
          <m:t xml:space="preserve"> </m:t>
        </m:r>
        <m:sSub>
          <m:sSubPr/>
          <m:e>
            <m:r>
              <m:rPr/>
              <m:t>X</m:t>
            </m:r>
          </m:e>
          <m:sub>
            <m:r>
              <m:rPr/>
              <m:t>s</m:t>
            </m:r>
          </m:sub>
        </m:sSub>
        <m:r>
          <m:rPr/>
          <m:t xml:space="preserve"> </m:t>
        </m:r>
        <m:r>
          <m:rPr>
            <m:sty m:val="p"/>
          </m:rPr>
          <m:t>=</m:t>
        </m:r>
        <m:r>
          <m:rPr/>
          <m:t xml:space="preserve"> </m:t>
        </m:r>
        <m:sSub>
          <m:sSubPr/>
          <m:e>
            <m:r>
              <m:rPr/>
              <m:t>e</m:t>
            </m:r>
          </m:e>
          <m:sub>
            <m:r>
              <m:rPr/>
              <m:t>s</m:t>
            </m:r>
          </m:sub>
        </m:sSub>
        <m:r>
          <m:rPr/>
          <m:t xml:space="preserve"> </m:t>
        </m:r>
        <m:r>
          <m:rPr>
            <m:sty m:val="p"/>
          </m:rPr>
          <m:t>−</m:t>
        </m:r>
        <m:r>
          <m:rPr/>
          <m:t xml:space="preserve"> </m:t>
        </m:r>
        <m:r>
          <m:rPr/>
          <m:t>m</m:t>
        </m:r>
        <m:r>
          <m:rPr/>
          <m:t xml:space="preserve"> </m:t>
        </m:r>
        <m:sSub>
          <m:sSubPr/>
          <m:e>
            <m:r>
              <m:rPr/>
              <m:t>e</m:t>
            </m:r>
          </m:e>
          <m:sub>
            <m:r>
              <m:rPr/>
              <m:t>j</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(6)</w:t>
      </w:r>
    </w:p>
    <w:p>
      <w:pPr>
        <w:spacing w:after="120"/>
        <w:jc w:val="both"/>
      </w:pPr>
      <w:r>
        <w:rPr>
          <w:rFonts w:ascii="Palatino Linotype" w:hAnsi="Palatino Linotype" w:eastAsia="Palatino Linotype"/>
          <w:b w:val="0"/>
          <w:i w:val="0"/>
          <w:sz w:val="20"/>
        </w:rPr>
        <w:t xml:space="preserve">The two bundles combine in a constant-elasticity-of-substitution aggregate with substitution parameter </w:t>
      </w:r>
      <m:oMath>
        <m:r>
          <m:rPr/>
          <m:t>\rho</m:t>
        </m:r>
      </m:oMath>
      <w:r>
        <w:rPr>
          <w:rFonts w:ascii="Palatino Linotype" w:hAnsi="Palatino Linotype" w:eastAsia="Palatino Linotype"/>
          <w:b w:val="0"/>
          <w:i w:val="0"/>
          <w:sz w:val="20"/>
        </w:rPr>
        <w:t xml:space="preserve">, hence elasticity of substitution </w:t>
      </w:r>
      <m:oMath>
        <m:r>
          <m:rPr/>
          <m:t xml:space="preserve">\sigma = 1/(1-\rho)</m:t>
        </m:r>
      </m:oMath>
      <w:r>
        <w:rPr>
          <w:rFonts w:ascii="Palatino Linotype" w:hAnsi="Palatino Linotype" w:eastAsia="Palatino Linotype"/>
          <w:b w:val="0"/>
          <w:i w:val="0"/>
          <w:sz w:val="20"/>
        </w:rPr>
        <w:t xml:space="preserve">. The bundle enters output with elasticity </w:t>
      </w:r>
      <m:oMath>
        <m:r>
          <m:rPr/>
          <m:t xml:space="preserve">s &lt; 1</m:t>
        </m:r>
      </m:oMath>
      <w:r>
        <w:rPr>
          <w:rFonts w:ascii="Palatino Linotype" w:hAnsi="Palatino Linotype" w:eastAsia="Palatino Linotype"/>
          <w:b w:val="0"/>
          <w:i w:val="0"/>
          <w:sz w:val="20"/>
        </w:rPr>
        <w:t>; the residual share accrues to a fixed factor—physical, organisational and land capital—that is not modelled explicitly. This is the standard span-of-control device and is what allows the model to reproduce an aggregate labour share below unity:</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t>Y</m:t>
        </m:r>
        <m:r>
          <m:rPr/>
          <m:t xml:space="preserve"> </m:t>
        </m:r>
        <m:r>
          <m:rPr>
            <m:sty m:val="p"/>
          </m:rPr>
          <m:t>=</m:t>
        </m:r>
        <m:r>
          <m:rPr/>
          <m:t xml:space="preserve"> </m:t>
        </m:r>
        <m:r>
          <m:rPr/>
          <m:t>Z</m:t>
        </m:r>
        <m:r>
          <m:rPr/>
          <m:t xml:space="preserve"> </m:t>
        </m:r>
        <m:sSup>
          <m:sSupPr/>
          <m:e>
            <m:d>
              <m:dPr>
                <m:begChr m:val="["/>
                <m:endChr m:val="]"/>
              </m:dPr>
              <m:e>
                <m:r>
                  <m:rPr/>
                  <m:t>α</m:t>
                </m:r>
                <m:r>
                  <m:rPr/>
                  <m:t xml:space="preserve"> </m:t>
                </m:r>
                <m:sSup>
                  <m:sSupPr/>
                  <m:e>
                    <m:sSub>
                      <m:sSubPr/>
                      <m:e>
                        <m:r>
                          <m:rPr/>
                          <m:t>X</m:t>
                        </m:r>
                      </m:e>
                      <m:sub>
                        <m:r>
                          <m:rPr/>
                          <m:t>j</m:t>
                        </m:r>
                      </m:sub>
                    </m:sSub>
                  </m:e>
                  <m:sup>
                    <m:r>
                      <m:rPr/>
                      <m:t>ρ</m:t>
                    </m:r>
                  </m:sup>
                </m:sSup>
                <m:r>
                  <m:rPr/>
                  <m:t xml:space="preserve"> </m:t>
                </m:r>
                <m:r>
                  <m:rPr>
                    <m:sty m:val="p"/>
                  </m:rPr>
                  <m:t>+</m:t>
                </m:r>
                <m:r>
                  <m:rPr/>
                  <m:t xml:space="preserve"> </m:t>
                </m:r>
                <m:d>
                  <m:dPr>
                    <m:begChr m:val="("/>
                    <m:endChr m:val=")"/>
                  </m:dPr>
                  <m:e>
                    <m:r>
                      <m:rPr/>
                      <m:t>1</m:t>
                    </m:r>
                    <m:r>
                      <m:rPr/>
                      <m:t xml:space="preserve"> </m:t>
                    </m:r>
                    <m:r>
                      <m:rPr>
                        <m:sty m:val="p"/>
                      </m:rPr>
                      <m:t>−</m:t>
                    </m:r>
                    <m:r>
                      <m:rPr/>
                      <m:t xml:space="preserve"> </m:t>
                    </m:r>
                    <m:r>
                      <m:rPr/>
                      <m:t>α</m:t>
                    </m:r>
                  </m:e>
                </m:d>
                <m:sSup>
                  <m:sSupPr/>
                  <m:e>
                    <m:sSub>
                      <m:sSubPr/>
                      <m:e>
                        <m:r>
                          <m:rPr/>
                          <m:t>X</m:t>
                        </m:r>
                      </m:e>
                      <m:sub>
                        <m:r>
                          <m:rPr/>
                          <m:t>s</m:t>
                        </m:r>
                      </m:sub>
                    </m:sSub>
                  </m:e>
                  <m:sup>
                    <m:r>
                      <m:rPr/>
                      <m:t>ρ</m:t>
                    </m:r>
                  </m:sup>
                </m:sSup>
              </m:e>
            </m:d>
          </m:e>
          <m:sup>
            <m:f>
              <m:fPr/>
              <m:num>
                <m:r>
                  <m:rPr/>
                  <m:t>s</m:t>
                </m:r>
              </m:num>
              <m:den>
                <m:r>
                  <m:rPr/>
                  <m:t>ρ</m:t>
                </m:r>
              </m:den>
            </m:f>
          </m:sup>
        </m:sSup>
      </m:oMath>
      <w:r>
        <w:rPr>
          <w:rFonts w:ascii="Palatino Linotype" w:hAnsi="Palatino Linotype" w:eastAsia="Palatino Linotype"/>
          <w:b w:val="0"/>
          <w:i w:val="0"/>
          <w:sz w:val="20"/>
        </w:rPr>
        <w:tab/>
      </w:r>
      <w:r>
        <w:rPr>
          <w:rFonts w:ascii="Palatino Linotype" w:hAnsi="Palatino Linotype" w:eastAsia="Palatino Linotype"/>
          <w:b w:val="0"/>
          <w:i w:val="0"/>
          <w:sz w:val="20"/>
        </w:rPr>
        <w:t>(7)</w:t>
      </w:r>
    </w:p>
    <w:p>
      <w:pPr>
        <w:spacing w:after="120"/>
        <w:jc w:val="both"/>
      </w:pPr>
      <w:r>
        <w:rPr>
          <w:rFonts w:ascii="Palatino Linotype" w:hAnsi="Palatino Linotype" w:eastAsia="Palatino Linotype"/>
          <w:b w:val="0"/>
          <w:i w:val="0"/>
          <w:sz w:val="20"/>
        </w:rPr>
        <w:t>with marginal products</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F</m:t>
            </m:r>
          </m:e>
          <m:sub>
            <m:r>
              <m:rPr/>
              <m:t>j</m:t>
            </m:r>
          </m:sub>
        </m:sSub>
        <m:r>
          <m:rPr/>
          <m:t xml:space="preserve"> </m:t>
        </m:r>
        <m:r>
          <m:rPr>
            <m:sty m:val="p"/>
          </m:rPr>
          <m:t>=</m:t>
        </m:r>
        <m:r>
          <m:rPr/>
          <m:t xml:space="preserve"> </m:t>
        </m:r>
        <m:f>
          <m:fPr/>
          <m:num>
            <m:r>
              <m:rPr/>
              <m:t>∂Y</m:t>
            </m:r>
          </m:num>
          <m:den>
            <m:r>
              <m:rPr/>
              <m:t>∂</m:t>
            </m:r>
            <m:sSub>
              <m:sSubPr/>
              <m:e>
                <m:r>
                  <m:rPr/>
                  <m:t>X</m:t>
                </m:r>
              </m:e>
              <m:sub>
                <m:r>
                  <m:rPr/>
                  <m:t>j</m:t>
                </m:r>
              </m:sub>
            </m:sSub>
          </m:den>
        </m:f>
        <m:r>
          <m:rPr/>
          <m:t xml:space="preserve">, </m:t>
        </m:r>
        <m:r>
          <m:rPr/>
          <m:t xml:space="preserve"> </m:t>
        </m:r>
        <m:r>
          <m:rPr/>
          <m:t xml:space="preserve"> </m:t>
        </m:r>
        <m:sSub>
          <m:sSubPr/>
          <m:e>
            <m:r>
              <m:rPr/>
              <m:t>F</m:t>
            </m:r>
          </m:e>
          <m:sub>
            <m:r>
              <m:rPr/>
              <m:t>s</m:t>
            </m:r>
          </m:sub>
        </m:sSub>
        <m:r>
          <m:rPr/>
          <m:t xml:space="preserve"> </m:t>
        </m:r>
        <m:r>
          <m:rPr>
            <m:sty m:val="p"/>
          </m:rPr>
          <m:t>=</m:t>
        </m:r>
        <m:r>
          <m:rPr/>
          <m:t xml:space="preserve"> </m:t>
        </m:r>
        <m:f>
          <m:fPr/>
          <m:num>
            <m:r>
              <m:rPr/>
              <m:t>∂Y</m:t>
            </m:r>
          </m:num>
          <m:den>
            <m:r>
              <m:rPr/>
              <m:t>∂</m:t>
            </m:r>
            <m:sSub>
              <m:sSubPr/>
              <m:e>
                <m:r>
                  <m:rPr/>
                  <m:t>X</m:t>
                </m:r>
              </m:e>
              <m:sub>
                <m:r>
                  <m:rPr/>
                  <m:t>s</m:t>
                </m:r>
              </m:sub>
            </m:sSub>
          </m:den>
        </m:f>
      </m:oMath>
      <w:r>
        <w:rPr>
          <w:rFonts w:ascii="Palatino Linotype" w:hAnsi="Palatino Linotype" w:eastAsia="Palatino Linotype"/>
          <w:b w:val="0"/>
          <w:i w:val="0"/>
          <w:sz w:val="20"/>
        </w:rPr>
        <w:tab/>
      </w:r>
      <w:r>
        <w:rPr>
          <w:rFonts w:ascii="Palatino Linotype" w:hAnsi="Palatino Linotype" w:eastAsia="Palatino Linotype"/>
          <w:b w:val="0"/>
          <w:i w:val="0"/>
          <w:sz w:val="20"/>
        </w:rPr>
        <w:t>(8)</w:t>
      </w:r>
    </w:p>
    <w:p>
      <w:pPr>
        <w:spacing w:after="120"/>
        <w:jc w:val="both"/>
      </w:pPr>
      <w:r>
        <w:rPr>
          <w:rFonts w:ascii="Palatino Linotype" w:hAnsi="Palatino Linotype" w:eastAsia="Palatino Linotype"/>
          <w:b w:val="0"/>
          <w:i w:val="0"/>
          <w:sz w:val="20"/>
        </w:rPr>
        <w:t xml:space="preserve">Artificial intelligence is a rented input available at price </w:t>
      </w:r>
      <m:oMath>
        <m:sSub>
          <m:sSubPr/>
          <m:e>
            <m:r>
              <m:rPr/>
              <m:t>p</m:t>
            </m:r>
          </m:e>
          <m:sub>
            <m:r>
              <m:rPr/>
              <m:t>a</m:t>
            </m:r>
          </m:sub>
        </m:sSub>
      </m:oMath>
      <w:r>
        <w:rPr>
          <w:rFonts w:ascii="Palatino Linotype" w:hAnsi="Palatino Linotype" w:eastAsia="Palatino Linotype"/>
          <w:b w:val="0"/>
          <w:i w:val="0"/>
          <w:sz w:val="20"/>
        </w:rPr>
        <w:t xml:space="preserve"> per efficiency unit, taxed at rate </w:t>
      </w:r>
      <m:oMath>
        <m:sSub>
          <m:sSubPr/>
          <m:e>
            <m:r>
              <m:rPr/>
              <m:t>t</m:t>
            </m:r>
          </m:e>
          <m:sub>
            <m:r>
              <m:rPr/>
              <m:t>a</m:t>
            </m:r>
          </m:sub>
        </m:sSub>
      </m:oMath>
      <w:r>
        <w:rPr>
          <w:rFonts w:ascii="Palatino Linotype" w:hAnsi="Palatino Linotype" w:eastAsia="Palatino Linotype"/>
          <w:b w:val="0"/>
          <w:i w:val="0"/>
          <w:sz w:val="20"/>
        </w:rPr>
        <w:t>. Firms hire it until its marginal product equals its price:</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t>χ</m:t>
        </m:r>
        <m:r>
          <m:rPr/>
          <m:t xml:space="preserve"> </m:t>
        </m:r>
        <m:sSub>
          <m:sSubPr/>
          <m:e>
            <m:r>
              <m:rPr/>
              <m:t>F</m:t>
            </m:r>
          </m:e>
          <m:sub>
            <m:r>
              <m:rPr/>
              <m:t>j</m:t>
            </m:r>
          </m:sub>
        </m:sSub>
        <m:r>
          <m:rPr/>
          <m:t xml:space="preserve"> </m:t>
        </m:r>
        <m:r>
          <m:rPr>
            <m:sty m:val="p"/>
          </m:rPr>
          <m:t>=</m:t>
        </m:r>
        <m:r>
          <m:rPr/>
          <m:t xml:space="preserve"> </m:t>
        </m:r>
        <m:sSub>
          <m:sSubPr/>
          <m:e>
            <m:r>
              <m:rPr/>
              <m:t>p</m:t>
            </m:r>
          </m:e>
          <m:sub>
            <m:r>
              <m:rPr/>
              <m:t>a</m:t>
            </m:r>
          </m:sub>
        </m:sSub>
        <m:d>
          <m:dPr>
            <m:begChr m:val="("/>
            <m:endChr m:val=")"/>
          </m:dPr>
          <m:e>
            <m:r>
              <m:rPr/>
              <m:t>1</m:t>
            </m:r>
            <m:r>
              <m:rPr/>
              <m:t xml:space="preserve"> </m:t>
            </m:r>
            <m:r>
              <m:rPr>
                <m:sty m:val="p"/>
              </m:rPr>
              <m:t>+</m:t>
            </m:r>
            <m:r>
              <m:rPr/>
              <m:t xml:space="preserve"> </m:t>
            </m:r>
            <m:sSub>
              <m:sSubPr/>
              <m:e>
                <m:r>
                  <m:rPr/>
                  <m:t>t</m:t>
                </m:r>
              </m:e>
              <m:sub>
                <m:r>
                  <m:rPr/>
                  <m:t>a</m:t>
                </m:r>
              </m:sub>
            </m:sSub>
          </m:e>
        </m:d>
      </m:oMath>
      <w:r>
        <w:rPr>
          <w:rFonts w:ascii="Palatino Linotype" w:hAnsi="Palatino Linotype" w:eastAsia="Palatino Linotype"/>
          <w:b w:val="0"/>
          <w:i w:val="0"/>
          <w:sz w:val="20"/>
        </w:rPr>
        <w:tab/>
      </w:r>
      <w:r>
        <w:rPr>
          <w:rFonts w:ascii="Palatino Linotype" w:hAnsi="Palatino Linotype" w:eastAsia="Palatino Linotype"/>
          <w:b w:val="0"/>
          <w:i w:val="0"/>
          <w:sz w:val="20"/>
        </w:rPr>
        <w:t>(9)</w:t>
      </w:r>
    </w:p>
    <w:p>
      <w:pPr>
        <w:spacing w:after="120"/>
        <w:jc w:val="both"/>
      </w:pPr>
      <w:r>
        <w:rPr>
          <w:rFonts w:ascii="Palatino Linotype" w:hAnsi="Palatino Linotype" w:eastAsia="Palatino Linotype"/>
          <w:b w:val="0"/>
          <w:i w:val="0"/>
          <w:sz w:val="20"/>
        </w:rPr>
        <w:t xml:space="preserve">Two features of this technology carry the argument. First, artificial intelligence enters </w:t>
      </w:r>
      <m:oMath>
        <m:sSub>
          <m:sSubPr/>
          <m:e>
            <m:r>
              <m:rPr/>
              <m:t>X</m:t>
            </m:r>
          </m:e>
          <m:sub>
            <m:r>
              <m:rPr/>
              <m:t>j</m:t>
            </m:r>
          </m:sub>
        </m:sSub>
      </m:oMath>
      <w:r>
        <w:rPr>
          <w:rFonts w:ascii="Palatino Linotype" w:hAnsi="Palatino Linotype" w:eastAsia="Palatino Linotype"/>
          <w:b w:val="0"/>
          <w:i w:val="0"/>
          <w:sz w:val="20"/>
        </w:rPr>
        <w:t xml:space="preserve"> and not </w:t>
      </w:r>
      <m:oMath>
        <m:sSub>
          <m:sSubPr/>
          <m:e>
            <m:r>
              <m:rPr/>
              <m:t>X</m:t>
            </m:r>
          </m:e>
          <m:sub>
            <m:r>
              <m:rPr/>
              <m:t>s</m:t>
            </m:r>
          </m:sub>
        </m:sSub>
      </m:oMath>
      <w:r>
        <w:rPr>
          <w:rFonts w:ascii="Palatino Linotype" w:hAnsi="Palatino Linotype" w:eastAsia="Palatino Linotype"/>
          <w:b w:val="0"/>
          <w:i w:val="0"/>
          <w:sz w:val="20"/>
        </w:rPr>
        <w:t xml:space="preserve">: it does the junior job, not the senior one. Second, and more important, it does not enter </w:t>
      </w:r>
      <m:oMath>
        <m:r>
          <m:rPr/>
          <m:t>\pi</m:t>
        </m:r>
      </m:oMath>
      <w:r>
        <w:rPr>
          <w:rFonts w:ascii="Palatino Linotype" w:hAnsi="Palatino Linotype" w:eastAsia="Palatino Linotype"/>
          <w:b w:val="0"/>
          <w:i w:val="0"/>
          <w:sz w:val="20"/>
        </w:rPr>
        <w:t xml:space="preserve"> at all. Hiring an entry-level worker therefore delivers a joint product—current task output plus an option on an experienced worker—and the technology shock reduces the first component while leaving the second intact. Because the market prices these two components very differently, a shock that would be neutral in a one-component world is not neutral here. Which way it is not neutral is a quantitative question and the answer, reported in Section 5, is not the one we expected.</w:t>
      </w:r>
    </w:p>
    <w:p>
      <w:pPr>
        <w:keepNext/>
        <w:spacing w:before="140" w:after="80"/>
      </w:pPr>
      <w:r>
        <w:rPr>
          <w:rFonts w:ascii="Palatino Linotype" w:hAnsi="Palatino Linotype" w:eastAsia="Palatino Linotype"/>
          <w:b/>
          <w:i w:val="0"/>
          <w:sz w:val="20"/>
        </w:rPr>
        <w:t>3.4. Values, Wage Determination and Real Rigidity</w:t>
      </w:r>
    </w:p>
    <w:p>
      <w:pPr>
        <w:spacing w:after="120"/>
        <w:jc w:val="both"/>
      </w:pPr>
      <w:r>
        <w:rPr>
          <w:rFonts w:ascii="Palatino Linotype" w:hAnsi="Palatino Linotype" w:eastAsia="Palatino Linotype"/>
          <w:b w:val="0"/>
          <w:i w:val="0"/>
          <w:sz w:val="20"/>
        </w:rPr>
        <w:t xml:space="preserve">Let </w:t>
      </w:r>
      <m:oMath>
        <m:sSub>
          <m:sSubPr/>
          <m:e>
            <m:r>
              <m:rPr/>
              <m:t>J</m:t>
            </m:r>
          </m:e>
          <m:sub>
            <m:r>
              <m:rPr/>
              <m:t>i</m:t>
            </m:r>
          </m:sub>
        </m:sSub>
      </m:oMath>
      <w:r>
        <w:rPr>
          <w:rFonts w:ascii="Palatino Linotype" w:hAnsi="Palatino Linotype" w:eastAsia="Palatino Linotype"/>
          <w:b w:val="0"/>
          <w:i w:val="0"/>
          <w:sz w:val="20"/>
        </w:rPr>
        <w:t xml:space="preserve"> denote the value to the firm of a filled job on tier </w:t>
      </w:r>
      <m:oMath>
        <m:r>
          <m:rPr/>
          <m:t>i</m:t>
        </m:r>
      </m:oMath>
      <w:r>
        <w:rPr>
          <w:rFonts w:ascii="Palatino Linotype" w:hAnsi="Palatino Linotype" w:eastAsia="Palatino Linotype"/>
          <w:b w:val="0"/>
          <w:i w:val="0"/>
          <w:sz w:val="20"/>
        </w:rPr>
        <w:t xml:space="preserve">, </w:t>
      </w:r>
      <m:oMath>
        <m:sSub>
          <m:sSubPr/>
          <m:e>
            <m:r>
              <m:rPr/>
              <m:t>W</m:t>
            </m:r>
          </m:e>
          <m:sub>
            <m:r>
              <m:rPr/>
              <m:t>i</m:t>
            </m:r>
          </m:sub>
        </m:sSub>
      </m:oMath>
      <w:r>
        <w:rPr>
          <w:rFonts w:ascii="Palatino Linotype" w:hAnsi="Palatino Linotype" w:eastAsia="Palatino Linotype"/>
          <w:b w:val="0"/>
          <w:i w:val="0"/>
          <w:sz w:val="20"/>
        </w:rPr>
        <w:t xml:space="preserve"> the value to the worker of holding it and </w:t>
      </w:r>
      <m:oMath>
        <m:sSub>
          <m:sSubPr/>
          <m:e>
            <m:r>
              <m:rPr/>
              <m:t>U</m:t>
            </m:r>
          </m:e>
          <m:sub>
            <m:r>
              <m:rPr/>
              <m:t>i</m:t>
            </m:r>
          </m:sub>
        </m:sSub>
      </m:oMath>
      <w:r>
        <w:rPr>
          <w:rFonts w:ascii="Palatino Linotype" w:hAnsi="Palatino Linotype" w:eastAsia="Palatino Linotype"/>
          <w:b w:val="0"/>
          <w:i w:val="0"/>
          <w:sz w:val="20"/>
        </w:rPr>
        <w:t xml:space="preserve"> the value of searching on that tier. Experienced matches are lost to separation at rate </w:t>
      </w:r>
      <m:oMath>
        <m:sSub>
          <m:sSubPr/>
          <m:e>
            <m:r>
              <m:rPr/>
              <m:t>δ</m:t>
            </m:r>
          </m:e>
          <m:sub>
            <m:r>
              <m:rPr/>
              <m:t>s</m:t>
            </m:r>
          </m:sub>
        </m:sSub>
      </m:oMath>
      <w:r>
        <w:rPr>
          <w:rFonts w:ascii="Palatino Linotype" w:hAnsi="Palatino Linotype" w:eastAsia="Palatino Linotype"/>
          <w:b w:val="0"/>
          <w:i w:val="0"/>
          <w:sz w:val="20"/>
        </w:rPr>
        <w:t xml:space="preserve"> and to rival firms at the poaching rate </w:t>
      </w:r>
      <m:oMath>
        <m:r>
          <m:rPr/>
          <m:t>φ</m:t>
        </m:r>
      </m:oMath>
      <w:r>
        <w:rPr>
          <w:rFonts w:ascii="Palatino Linotype" w:hAnsi="Palatino Linotype" w:eastAsia="Palatino Linotype"/>
          <w:b w:val="0"/>
          <w:i w:val="0"/>
          <w:sz w:val="20"/>
        </w:rPr>
        <w:t xml:space="preserve">. Poaching is the asymmetry that matters: the firm loses the match, whereas the worker moves to an identical job at the going wage and loses nothing, and the economy as a whole loses nothing either. The firm therefore discounts the experienced job at </w:t>
      </w:r>
      <m:oMath>
        <m:r>
          <m:rPr/>
          <m:t xml:space="preserve">r + δ_{s} + ω + φ</m:t>
        </m:r>
      </m:oMath>
      <w:r>
        <w:rPr>
          <w:rFonts w:ascii="Palatino Linotype" w:hAnsi="Palatino Linotype" w:eastAsia="Palatino Linotype"/>
          <w:b w:val="0"/>
          <w:i w:val="0"/>
          <w:sz w:val="20"/>
        </w:rPr>
        <w:t xml:space="preserve"> and the worker at </w:t>
      </w:r>
      <m:oMath>
        <m:r>
          <m:rPr/>
          <m:t xml:space="preserve">r + δ_{s} + ω</m:t>
        </m:r>
      </m:oMath>
      <w:r>
        <w:rPr>
          <w:rFonts w:ascii="Palatino Linotype" w:hAnsi="Palatino Linotype" w:eastAsia="Palatino Linotype"/>
          <w:b w:val="0"/>
          <w:i w:val="0"/>
          <w:sz w:val="20"/>
        </w:rPr>
        <w:t>:</w:t>
      </w:r>
    </w:p>
    <w:p>
      <w:pPr>
        <w:tabs>
          <w:tab w:val="center" w:pos="4600"/>
          <w:tab w:val="right" w:pos="9200"/>
        </w:tabs>
        <w:spacing w:before="80" w:after="80"/>
        <w:ind w:left="0"/>
        <w:jc w:val="right"/>
      </w:pPr>
      <w:r>
        <w:rPr>
          <w:rFonts w:ascii="Palatino Linotype" w:hAnsi="Palatino Linotype" w:eastAsia="Palatino Linotype"/>
          <w:b w:val="0"/>
          <w:i w:val="0"/>
          <w:sz w:val="20"/>
        </w:rPr>
        <w:tab/>
      </w:r>
      <m:oMath>
        <m:d>
          <m:dPr>
            <m:begChr m:val="("/>
            <m:endChr m:val=")"/>
          </m:dPr>
          <m:e>
            <m:r>
              <m:rPr/>
              <m:t>r</m:t>
            </m:r>
            <m:r>
              <m:rPr/>
              <m:t xml:space="preserve"> </m:t>
            </m:r>
            <m:r>
              <m:rPr>
                <m:sty m:val="p"/>
              </m:rPr>
              <m:t>+</m:t>
            </m:r>
            <m:r>
              <m:rPr/>
              <m:t xml:space="preserve"> </m:t>
            </m:r>
            <m:sSub>
              <m:sSubPr/>
              <m:e>
                <m:r>
                  <m:rPr/>
                  <m:t>δ</m:t>
                </m:r>
              </m:e>
              <m:sub>
                <m:r>
                  <m:rPr/>
                  <m:t>s</m:t>
                </m:r>
              </m:sub>
            </m:sSub>
            <m:r>
              <m:rPr/>
              <m:t xml:space="preserve"> </m:t>
            </m:r>
            <m:r>
              <m:rPr>
                <m:sty m:val="p"/>
              </m:rPr>
              <m:t>+</m:t>
            </m:r>
            <m:r>
              <m:rPr/>
              <m:t xml:space="preserve"> </m:t>
            </m:r>
            <m:r>
              <m:rPr/>
              <m:t>ω</m:t>
            </m:r>
            <m:r>
              <m:rPr/>
              <m:t xml:space="preserve"> </m:t>
            </m:r>
            <m:r>
              <m:rPr>
                <m:sty m:val="p"/>
              </m:rPr>
              <m:t>+</m:t>
            </m:r>
            <m:r>
              <m:rPr/>
              <m:t xml:space="preserve"> </m:t>
            </m:r>
            <m:r>
              <m:rPr/>
              <m:t>φ</m:t>
            </m:r>
          </m:e>
        </m:d>
        <m:sSub>
          <m:sSubPr/>
          <m:e>
            <m:r>
              <m:rPr/>
              <m:t>J</m:t>
            </m:r>
          </m:e>
          <m:sub>
            <m:r>
              <m:rPr/>
              <m:t>s</m:t>
            </m:r>
          </m:sub>
        </m:sSub>
        <m:r>
          <m:rPr/>
          <m:t xml:space="preserve"> </m:t>
        </m:r>
        <m:r>
          <m:rPr>
            <m:sty m:val="p"/>
          </m:rPr>
          <m:t>=</m:t>
        </m:r>
        <m:r>
          <m:rPr/>
          <m:t xml:space="preserve"> </m:t>
        </m:r>
        <m:sSub>
          <m:sSubPr/>
          <m:e>
            <m:r>
              <m:rPr/>
              <m:t>F</m:t>
            </m:r>
          </m:e>
          <m:sub>
            <m:r>
              <m:rPr/>
              <m:t>s</m:t>
            </m:r>
          </m:sub>
        </m:sSub>
        <m:r>
          <m:rPr/>
          <m:t xml:space="preserve"> </m:t>
        </m:r>
        <m:r>
          <m:rPr>
            <m:sty m:val="p"/>
          </m:rPr>
          <m:t>−</m:t>
        </m:r>
        <m:r>
          <m:rPr/>
          <m:t xml:space="preserve"> </m:t>
        </m:r>
        <m:sSub>
          <m:sSubPr/>
          <m:e>
            <m:r>
              <m:rPr/>
              <m:t>w</m:t>
            </m:r>
          </m:e>
          <m:sub>
            <m:r>
              <m:rPr/>
              <m:t>s</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(10)</w:t>
      </w:r>
    </w:p>
    <w:p>
      <w:pPr>
        <w:tabs>
          <w:tab w:val="center" w:pos="4600"/>
          <w:tab w:val="right" w:pos="9200"/>
        </w:tabs>
        <w:spacing w:before="80" w:after="80"/>
        <w:ind w:left="0"/>
        <w:jc w:val="right"/>
      </w:pPr>
      <w:r>
        <w:rPr>
          <w:rFonts w:ascii="Palatino Linotype" w:hAnsi="Palatino Linotype" w:eastAsia="Palatino Linotype"/>
          <w:b w:val="0"/>
          <w:i w:val="0"/>
          <w:sz w:val="20"/>
        </w:rPr>
        <w:tab/>
      </w:r>
      <m:oMath>
        <m:d>
          <m:dPr>
            <m:begChr m:val="("/>
            <m:endChr m:val=")"/>
          </m:dPr>
          <m:e>
            <m:r>
              <m:rPr/>
              <m:t>r</m:t>
            </m:r>
            <m:r>
              <m:rPr/>
              <m:t xml:space="preserve"> </m:t>
            </m:r>
            <m:r>
              <m:rPr>
                <m:sty m:val="p"/>
              </m:rPr>
              <m:t>+</m:t>
            </m:r>
            <m:r>
              <m:rPr/>
              <m:t xml:space="preserve"> </m:t>
            </m:r>
            <m:sSub>
              <m:sSubPr/>
              <m:e>
                <m:r>
                  <m:rPr/>
                  <m:t>δ</m:t>
                </m:r>
              </m:e>
              <m:sub>
                <m:r>
                  <m:rPr/>
                  <m:t>s</m:t>
                </m:r>
              </m:sub>
            </m:sSub>
            <m:r>
              <m:rPr/>
              <m:t xml:space="preserve"> </m:t>
            </m:r>
            <m:r>
              <m:rPr>
                <m:sty m:val="p"/>
              </m:rPr>
              <m:t>+</m:t>
            </m:r>
            <m:r>
              <m:rPr/>
              <m:t xml:space="preserve"> </m:t>
            </m:r>
            <m:r>
              <m:rPr/>
              <m:t>ω</m:t>
            </m:r>
            <m:r>
              <m:rPr/>
              <m:t xml:space="preserve"> </m:t>
            </m:r>
            <m:r>
              <m:rPr>
                <m:sty m:val="p"/>
              </m:rPr>
              <m:t>+</m:t>
            </m:r>
            <m:r>
              <m:rPr/>
              <m:t xml:space="preserve"> </m:t>
            </m:r>
            <m:sSub>
              <m:sSubPr/>
              <m:e>
                <m:r>
                  <m:rPr/>
                  <m:t>f</m:t>
                </m:r>
              </m:e>
              <m:sub>
                <m:r>
                  <m:rPr/>
                  <m:t>s</m:t>
                </m:r>
              </m:sub>
            </m:sSub>
          </m:e>
        </m:d>
        <m:d>
          <m:dPr>
            <m:begChr m:val="("/>
            <m:endChr m:val=")"/>
          </m:dPr>
          <m:e>
            <m:sSub>
              <m:sSubPr/>
              <m:e>
                <m:r>
                  <m:rPr/>
                  <m:t>W</m:t>
                </m:r>
              </m:e>
              <m:sub>
                <m:r>
                  <m:rPr/>
                  <m:t>s</m:t>
                </m:r>
              </m:sub>
            </m:sSub>
            <m:r>
              <m:rPr/>
              <m:t xml:space="preserve"> </m:t>
            </m:r>
            <m:r>
              <m:rPr>
                <m:sty m:val="p"/>
              </m:rPr>
              <m:t>−</m:t>
            </m:r>
            <m:r>
              <m:rPr/>
              <m:t xml:space="preserve"> </m:t>
            </m:r>
            <m:sSub>
              <m:sSubPr/>
              <m:e>
                <m:r>
                  <m:rPr/>
                  <m:t>U</m:t>
                </m:r>
              </m:e>
              <m:sub>
                <m:r>
                  <m:rPr/>
                  <m:t>s</m:t>
                </m:r>
              </m:sub>
            </m:sSub>
          </m:e>
        </m:d>
        <m:r>
          <m:rPr/>
          <m:t xml:space="preserve"> </m:t>
        </m:r>
        <m:r>
          <m:rPr>
            <m:sty m:val="p"/>
          </m:rPr>
          <m:t>=</m:t>
        </m:r>
        <m:r>
          <m:rPr/>
          <m:t xml:space="preserve"> </m:t>
        </m:r>
        <m:sSub>
          <m:sSubPr/>
          <m:e>
            <m:r>
              <m:rPr/>
              <m:t>w</m:t>
            </m:r>
          </m:e>
          <m:sub>
            <m:r>
              <m:rPr/>
              <m:t>s</m:t>
            </m:r>
          </m:sub>
        </m:sSub>
        <m:r>
          <m:rPr/>
          <m:t xml:space="preserve"> </m:t>
        </m:r>
        <m:r>
          <m:rPr>
            <m:sty m:val="p"/>
          </m:rPr>
          <m:t>−</m:t>
        </m:r>
        <m:r>
          <m:rPr/>
          <m:t xml:space="preserve"> </m:t>
        </m:r>
        <m:r>
          <m:rPr/>
          <m:t>b</m:t>
        </m:r>
      </m:oMath>
      <w:r>
        <w:rPr>
          <w:rFonts w:ascii="Palatino Linotype" w:hAnsi="Palatino Linotype" w:eastAsia="Palatino Linotype"/>
          <w:b w:val="0"/>
          <w:i w:val="0"/>
          <w:sz w:val="20"/>
        </w:rPr>
        <w:tab/>
      </w:r>
      <w:r>
        <w:rPr>
          <w:rFonts w:ascii="Palatino Linotype" w:hAnsi="Palatino Linotype" w:eastAsia="Palatino Linotype"/>
          <w:b w:val="0"/>
          <w:i w:val="0"/>
          <w:sz w:val="20"/>
        </w:rPr>
        <w:t>(11)</w:t>
      </w:r>
    </w:p>
    <w:p>
      <w:pPr>
        <w:spacing w:after="120"/>
        <w:jc w:val="both"/>
      </w:pPr>
      <w:r>
        <w:rPr>
          <w:rFonts w:ascii="Palatino Linotype" w:hAnsi="Palatino Linotype" w:eastAsia="Palatino Linotype"/>
          <w:b w:val="0"/>
          <w:i w:val="0"/>
          <w:sz w:val="20"/>
        </w:rPr>
        <w:t xml:space="preserve">An entry-level match yields the marginal product of an entry-level worker, net of the wage and of the mentoring it absorbs, and it delivers the experienced job on promotion. Writing </w:t>
      </w:r>
      <m:oMath>
        <m:sSub>
          <m:sSubPr/>
          <m:e>
            <m:r>
              <m:rPr/>
              <m:t>s</m:t>
            </m:r>
          </m:e>
          <m:sub>
            <m:r>
              <m:rPr/>
              <m:t>w</m:t>
            </m:r>
          </m:sub>
        </m:sSub>
      </m:oMath>
      <w:r>
        <w:rPr>
          <w:rFonts w:ascii="Palatino Linotype" w:hAnsi="Palatino Linotype" w:eastAsia="Palatino Linotype"/>
          <w:b w:val="0"/>
          <w:i w:val="0"/>
          <w:sz w:val="20"/>
        </w:rPr>
        <w:t xml:space="preserve"> for a wage subsidy and </w:t>
      </w:r>
      <m:oMath>
        <m:sSub>
          <m:sSubPr/>
          <m:e>
            <m:r>
              <m:rPr/>
              <m:t>s</m:t>
            </m:r>
          </m:e>
          <m:sub>
            <m:r>
              <m:rPr/>
              <m:t>m</m:t>
            </m:r>
          </m:sub>
        </m:sSub>
      </m:oMath>
      <w:r>
        <w:rPr>
          <w:rFonts w:ascii="Palatino Linotype" w:hAnsi="Palatino Linotype" w:eastAsia="Palatino Linotype"/>
          <w:b w:val="0"/>
          <w:i w:val="0"/>
          <w:sz w:val="20"/>
        </w:rPr>
        <w:t xml:space="preserve"> for a mentoring credit,</w:t>
      </w:r>
    </w:p>
    <w:p>
      <w:pPr>
        <w:tabs>
          <w:tab w:val="center" w:pos="4600"/>
          <w:tab w:val="right" w:pos="9200"/>
        </w:tabs>
        <w:spacing w:before="80" w:after="80"/>
        <w:ind w:left="0"/>
        <w:jc w:val="right"/>
      </w:pPr>
      <w:r>
        <w:rPr>
          <w:rFonts w:ascii="Palatino Linotype" w:hAnsi="Palatino Linotype" w:eastAsia="Palatino Linotype"/>
          <w:b w:val="0"/>
          <w:i w:val="0"/>
          <w:sz w:val="20"/>
        </w:rPr>
        <w:tab/>
      </w:r>
      <m:oMath>
        <m:d>
          <m:dPr>
            <m:begChr m:val="("/>
            <m:endChr m:val=")"/>
          </m:dPr>
          <m:e>
            <m:r>
              <m:rPr/>
              <m:t>r</m:t>
            </m:r>
            <m:r>
              <m:rPr/>
              <m:t xml:space="preserve"> </m:t>
            </m:r>
            <m:r>
              <m:rPr>
                <m:sty m:val="p"/>
              </m:rPr>
              <m:t>+</m:t>
            </m:r>
            <m:r>
              <m:rPr/>
              <m:t xml:space="preserve"> </m:t>
            </m:r>
            <m:sSub>
              <m:sSubPr/>
              <m:e>
                <m:r>
                  <m:rPr/>
                  <m:t>δ</m:t>
                </m:r>
              </m:e>
              <m:sub>
                <m:r>
                  <m:rPr/>
                  <m:t>j</m:t>
                </m:r>
              </m:sub>
            </m:sSub>
            <m:r>
              <m:rPr/>
              <m:t xml:space="preserve"> </m:t>
            </m:r>
            <m:r>
              <m:rPr>
                <m:sty m:val="p"/>
              </m:rPr>
              <m:t>+</m:t>
            </m:r>
            <m:r>
              <m:rPr/>
              <m:t xml:space="preserve"> </m:t>
            </m:r>
            <m:r>
              <m:rPr/>
              <m:t>ω</m:t>
            </m:r>
            <m:r>
              <m:rPr/>
              <m:t xml:space="preserve"> </m:t>
            </m:r>
            <m:r>
              <m:rPr>
                <m:sty m:val="p"/>
              </m:rPr>
              <m:t>+</m:t>
            </m:r>
            <m:r>
              <m:rPr/>
              <m:t xml:space="preserve"> </m:t>
            </m:r>
            <m:r>
              <m:rPr/>
              <m:t>π</m:t>
            </m:r>
          </m:e>
        </m:d>
        <m:sSub>
          <m:sSubPr/>
          <m:e>
            <m:r>
              <m:rPr/>
              <m:t>J</m:t>
            </m:r>
          </m:e>
          <m:sub>
            <m:r>
              <m:rPr/>
              <m:t>j</m:t>
            </m:r>
          </m:sub>
        </m:sSub>
        <m:r>
          <m:rPr/>
          <m:t xml:space="preserve"> </m:t>
        </m:r>
        <m:r>
          <m:rPr>
            <m:sty m:val="p"/>
          </m:rPr>
          <m:t>=</m:t>
        </m:r>
        <m:r>
          <m:rPr/>
          <m:t xml:space="preserve"> </m:t>
        </m:r>
        <m:sSub>
          <m:sSubPr/>
          <m:e>
            <m:r>
              <m:rPr/>
              <m:t>F</m:t>
            </m:r>
          </m:e>
          <m:sub>
            <m:r>
              <m:rPr/>
              <m:t>j</m:t>
            </m:r>
          </m:sub>
        </m:sSub>
        <m:r>
          <m:rPr/>
          <m:t xml:space="preserve"> </m:t>
        </m:r>
        <m:r>
          <m:rPr>
            <m:sty m:val="p"/>
          </m:rPr>
          <m:t>−</m:t>
        </m:r>
        <m:r>
          <m:rPr/>
          <m:t xml:space="preserve"> </m:t>
        </m:r>
        <m:d>
          <m:dPr>
            <m:begChr m:val="("/>
            <m:endChr m:val=")"/>
          </m:dPr>
          <m:e>
            <m:r>
              <m:rPr/>
              <m:t>1</m:t>
            </m:r>
            <m:r>
              <m:rPr/>
              <m:t xml:space="preserve"> </m:t>
            </m:r>
            <m:r>
              <m:rPr>
                <m:sty m:val="p"/>
              </m:rPr>
              <m:t>−</m:t>
            </m:r>
            <m:r>
              <m:rPr/>
              <m:t xml:space="preserve"> </m:t>
            </m:r>
            <m:sSub>
              <m:sSubPr/>
              <m:e>
                <m:r>
                  <m:rPr/>
                  <m:t>s</m:t>
                </m:r>
              </m:e>
              <m:sub>
                <m:r>
                  <m:rPr/>
                  <m:t>w</m:t>
                </m:r>
              </m:sub>
            </m:sSub>
          </m:e>
        </m:d>
        <m:sSub>
          <m:sSubPr/>
          <m:e>
            <m:r>
              <m:rPr/>
              <m:t>w</m:t>
            </m:r>
          </m:e>
          <m:sub>
            <m:r>
              <m:rPr/>
              <m:t>j</m:t>
            </m:r>
          </m:sub>
        </m:sSub>
        <m:r>
          <m:rPr/>
          <m:t xml:space="preserve"> </m:t>
        </m:r>
        <m:r>
          <m:rPr>
            <m:sty m:val="p"/>
          </m:rPr>
          <m:t>−</m:t>
        </m:r>
        <m:r>
          <m:rPr/>
          <m:t xml:space="preserve"> </m:t>
        </m:r>
        <m:d>
          <m:dPr>
            <m:begChr m:val="("/>
            <m:endChr m:val=")"/>
          </m:dPr>
          <m:e>
            <m:r>
              <m:rPr/>
              <m:t>1</m:t>
            </m:r>
            <m:r>
              <m:rPr/>
              <m:t xml:space="preserve"> </m:t>
            </m:r>
            <m:r>
              <m:rPr>
                <m:sty m:val="p"/>
              </m:rPr>
              <m:t>−</m:t>
            </m:r>
            <m:r>
              <m:rPr/>
              <m:t xml:space="preserve"> </m:t>
            </m:r>
            <m:sSub>
              <m:sSubPr/>
              <m:e>
                <m:r>
                  <m:rPr/>
                  <m:t>s</m:t>
                </m:r>
              </m:e>
              <m:sub>
                <m:r>
                  <m:rPr/>
                  <m:t>m</m:t>
                </m:r>
              </m:sub>
            </m:sSub>
          </m:e>
        </m:d>
        <m:r>
          <m:rPr/>
          <m:t>m</m:t>
        </m:r>
        <m:r>
          <m:rPr/>
          <m:t xml:space="preserve"> </m:t>
        </m:r>
        <m:sSub>
          <m:sSubPr/>
          <m:e>
            <m:r>
              <m:rPr/>
              <m:t>F</m:t>
            </m:r>
          </m:e>
          <m:sub>
            <m:r>
              <m:rPr/>
              <m:t>s</m:t>
            </m:r>
          </m:sub>
        </m:sSub>
        <m:r>
          <m:rPr/>
          <m:t xml:space="preserve"> </m:t>
        </m:r>
        <m:r>
          <m:rPr>
            <m:sty m:val="p"/>
          </m:rPr>
          <m:t>+</m:t>
        </m:r>
        <m:r>
          <m:rPr/>
          <m:t xml:space="preserve"> </m:t>
        </m:r>
        <m:r>
          <m:rPr/>
          <m:t>π</m:t>
        </m:r>
        <m:r>
          <m:rPr/>
          <m:t xml:space="preserve"> </m:t>
        </m:r>
        <m:sSub>
          <m:sSubPr/>
          <m:e>
            <m:r>
              <m:rPr/>
              <m:t>J</m:t>
            </m:r>
          </m:e>
          <m:sub>
            <m:r>
              <m:rPr/>
              <m:t>s</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(12)</w:t>
      </w:r>
    </w:p>
    <w:p>
      <w:pPr>
        <w:spacing w:after="120"/>
        <w:jc w:val="both"/>
      </w:pPr>
      <w:r>
        <w:rPr>
          <w:rFonts w:ascii="Palatino Linotype" w:hAnsi="Palatino Linotype" w:eastAsia="Palatino Linotype"/>
          <w:b w:val="0"/>
          <w:i w:val="0"/>
          <w:sz w:val="20"/>
        </w:rPr>
        <w:t>while the entry-level worker’s values satisfy</w:t>
      </w:r>
    </w:p>
    <w:p>
      <w:pPr>
        <w:tabs>
          <w:tab w:val="center" w:pos="4600"/>
          <w:tab w:val="right" w:pos="9200"/>
        </w:tabs>
        <w:spacing w:before="80" w:after="80"/>
        <w:ind w:left="0"/>
        <w:jc w:val="right"/>
      </w:pPr>
      <w:r>
        <w:rPr>
          <w:rFonts w:ascii="Palatino Linotype" w:hAnsi="Palatino Linotype" w:eastAsia="Palatino Linotype"/>
          <w:b w:val="0"/>
          <w:i w:val="0"/>
          <w:sz w:val="20"/>
        </w:rPr>
        <w:tab/>
      </w:r>
      <m:oMath>
        <m:d>
          <m:dPr>
            <m:begChr m:val="("/>
            <m:endChr m:val=")"/>
          </m:dPr>
          <m:e>
            <m:r>
              <m:rPr/>
              <m:t>r</m:t>
            </m:r>
            <m:r>
              <m:rPr/>
              <m:t xml:space="preserve"> </m:t>
            </m:r>
            <m:r>
              <m:rPr>
                <m:sty m:val="p"/>
              </m:rPr>
              <m:t>+</m:t>
            </m:r>
            <m:r>
              <m:rPr/>
              <m:t xml:space="preserve"> </m:t>
            </m:r>
            <m:r>
              <m:rPr/>
              <m:t>ω</m:t>
            </m:r>
            <m:r>
              <m:rPr/>
              <m:t xml:space="preserve"> </m:t>
            </m:r>
            <m:r>
              <m:rPr>
                <m:sty m:val="p"/>
              </m:rPr>
              <m:t>+</m:t>
            </m:r>
            <m:r>
              <m:rPr/>
              <m:t xml:space="preserve"> </m:t>
            </m:r>
            <m:r>
              <m:rPr/>
              <m:t>π</m:t>
            </m:r>
            <m:r>
              <m:rPr/>
              <m:t xml:space="preserve"> </m:t>
            </m:r>
            <m:r>
              <m:rPr>
                <m:sty m:val="p"/>
              </m:rPr>
              <m:t>+</m:t>
            </m:r>
            <m:r>
              <m:rPr/>
              <m:t xml:space="preserve"> </m:t>
            </m:r>
            <m:sSub>
              <m:sSubPr/>
              <m:e>
                <m:r>
                  <m:rPr/>
                  <m:t>δ</m:t>
                </m:r>
              </m:e>
              <m:sub>
                <m:r>
                  <m:rPr/>
                  <m:t>j</m:t>
                </m:r>
              </m:sub>
            </m:sSub>
          </m:e>
        </m:d>
        <m:sSub>
          <m:sSubPr/>
          <m:e>
            <m:r>
              <m:rPr/>
              <m:t>W</m:t>
            </m:r>
          </m:e>
          <m:sub>
            <m:r>
              <m:rPr/>
              <m:t>j</m:t>
            </m:r>
          </m:sub>
        </m:sSub>
        <m:r>
          <m:rPr/>
          <m:t xml:space="preserve"> </m:t>
        </m:r>
        <m:r>
          <m:rPr>
            <m:sty m:val="p"/>
          </m:rPr>
          <m:t>=</m:t>
        </m:r>
        <m:r>
          <m:rPr/>
          <m:t xml:space="preserve"> </m:t>
        </m:r>
        <m:sSub>
          <m:sSubPr/>
          <m:e>
            <m:r>
              <m:rPr/>
              <m:t>w</m:t>
            </m:r>
          </m:e>
          <m:sub>
            <m:r>
              <m:rPr/>
              <m:t>j</m:t>
            </m:r>
          </m:sub>
        </m:sSub>
        <m:r>
          <m:rPr/>
          <m:t xml:space="preserve"> </m:t>
        </m:r>
        <m:r>
          <m:rPr>
            <m:sty m:val="p"/>
          </m:rPr>
          <m:t>+</m:t>
        </m:r>
        <m:r>
          <m:rPr/>
          <m:t xml:space="preserve"> </m:t>
        </m:r>
        <m:r>
          <m:rPr/>
          <m:t>π</m:t>
        </m:r>
        <m:r>
          <m:rPr/>
          <m:t xml:space="preserve"> </m:t>
        </m:r>
        <m:sSub>
          <m:sSubPr/>
          <m:e>
            <m:r>
              <m:rPr/>
              <m:t>W</m:t>
            </m:r>
          </m:e>
          <m:sub>
            <m:r>
              <m:rPr/>
              <m:t>s</m:t>
            </m:r>
          </m:sub>
        </m:sSub>
        <m:r>
          <m:rPr/>
          <m:t xml:space="preserve"> </m:t>
        </m:r>
        <m:r>
          <m:rPr>
            <m:sty m:val="p"/>
          </m:rPr>
          <m:t>+</m:t>
        </m:r>
        <m:r>
          <m:rPr/>
          <m:t xml:space="preserve"> </m:t>
        </m:r>
        <m:sSub>
          <m:sSubPr/>
          <m:e>
            <m:r>
              <m:rPr/>
              <m:t>δ</m:t>
            </m:r>
          </m:e>
          <m:sub>
            <m:r>
              <m:rPr/>
              <m:t>j</m:t>
            </m:r>
          </m:sub>
        </m:sSub>
        <m:r>
          <m:rPr/>
          <m:t xml:space="preserve"> </m:t>
        </m:r>
        <m:sSub>
          <m:sSubPr/>
          <m:e>
            <m:r>
              <m:rPr/>
              <m:t>U</m:t>
            </m:r>
          </m:e>
          <m:sub>
            <m:r>
              <m:rPr/>
              <m:t>j</m:t>
            </m:r>
          </m:sub>
        </m:sSub>
        <m:r>
          <m:rPr/>
          <m:t xml:space="preserve">, </m:t>
        </m:r>
        <m:r>
          <m:rPr/>
          <m:t xml:space="preserve"> </m:t>
        </m:r>
        <m:r>
          <m:rPr/>
          <m:t xml:space="preserve"> </m:t>
        </m:r>
        <m:d>
          <m:dPr>
            <m:begChr m:val="("/>
            <m:endChr m:val=")"/>
          </m:dPr>
          <m:e>
            <m:r>
              <m:rPr/>
              <m:t>r</m:t>
            </m:r>
            <m:r>
              <m:rPr/>
              <m:t xml:space="preserve"> </m:t>
            </m:r>
            <m:r>
              <m:rPr>
                <m:sty m:val="p"/>
              </m:rPr>
              <m:t>+</m:t>
            </m:r>
            <m:r>
              <m:rPr/>
              <m:t xml:space="preserve"> </m:t>
            </m:r>
            <m:r>
              <m:rPr/>
              <m:t>ω</m:t>
            </m:r>
          </m:e>
        </m:d>
        <m:sSub>
          <m:sSubPr/>
          <m:e>
            <m:r>
              <m:rPr/>
              <m:t>U</m:t>
            </m:r>
          </m:e>
          <m:sub>
            <m:r>
              <m:rPr/>
              <m:t>j</m:t>
            </m:r>
          </m:sub>
        </m:sSub>
        <m:r>
          <m:rPr/>
          <m:t xml:space="preserve"> </m:t>
        </m:r>
        <m:r>
          <m:rPr>
            <m:sty m:val="p"/>
          </m:rPr>
          <m:t>=</m:t>
        </m:r>
        <m:r>
          <m:rPr/>
          <m:t xml:space="preserve"> </m:t>
        </m:r>
        <m:r>
          <m:rPr/>
          <m:t>b</m:t>
        </m:r>
        <m:r>
          <m:rPr/>
          <m:t xml:space="preserve"> </m:t>
        </m:r>
        <m:r>
          <m:rPr>
            <m:sty m:val="p"/>
          </m:rPr>
          <m:t>+</m:t>
        </m:r>
        <m:r>
          <m:rPr/>
          <m:t xml:space="preserve"> </m:t>
        </m:r>
        <m:sSub>
          <m:sSubPr/>
          <m:e>
            <m:r>
              <m:rPr/>
              <m:t>f</m:t>
            </m:r>
          </m:e>
          <m:sub>
            <m:r>
              <m:rPr/>
              <m:t>j</m:t>
            </m:r>
          </m:sub>
        </m:sSub>
        <m:d>
          <m:dPr>
            <m:begChr m:val="("/>
            <m:endChr m:val=")"/>
          </m:dPr>
          <m:e>
            <m:sSub>
              <m:sSubPr/>
              <m:e>
                <m:r>
                  <m:rPr/>
                  <m:t>W</m:t>
                </m:r>
              </m:e>
              <m:sub>
                <m:r>
                  <m:rPr/>
                  <m:t>j</m:t>
                </m:r>
              </m:sub>
            </m:sSub>
            <m:r>
              <m:rPr/>
              <m:t xml:space="preserve"> </m:t>
            </m:r>
            <m:r>
              <m:rPr>
                <m:sty m:val="p"/>
              </m:rPr>
              <m:t>−</m:t>
            </m:r>
            <m:r>
              <m:rPr/>
              <m:t xml:space="preserve"> </m:t>
            </m:r>
            <m:sSub>
              <m:sSubPr/>
              <m:e>
                <m:r>
                  <m:rPr/>
                  <m:t>U</m:t>
                </m:r>
              </m:e>
              <m:sub>
                <m:r>
                  <m:rPr/>
                  <m:t>j</m:t>
                </m:r>
              </m:sub>
            </m:sSub>
          </m:e>
        </m:d>
      </m:oMath>
      <w:r>
        <w:rPr>
          <w:rFonts w:ascii="Palatino Linotype" w:hAnsi="Palatino Linotype" w:eastAsia="Palatino Linotype"/>
          <w:b w:val="0"/>
          <w:i w:val="0"/>
          <w:sz w:val="20"/>
        </w:rPr>
        <w:tab/>
      </w:r>
      <w:r>
        <w:rPr>
          <w:rFonts w:ascii="Palatino Linotype" w:hAnsi="Palatino Linotype" w:eastAsia="Palatino Linotype"/>
          <w:b w:val="0"/>
          <w:i w:val="0"/>
          <w:sz w:val="20"/>
        </w:rPr>
        <w:t>(13)</w:t>
      </w:r>
    </w:p>
    <w:p>
      <w:pPr>
        <w:spacing w:after="120"/>
        <w:jc w:val="both"/>
      </w:pPr>
      <w:r>
        <w:rPr>
          <w:rFonts w:ascii="Palatino Linotype" w:hAnsi="Palatino Linotype" w:eastAsia="Palatino Linotype"/>
          <w:b w:val="0"/>
          <w:i w:val="0"/>
          <w:sz w:val="20"/>
        </w:rPr>
        <w:t xml:space="preserve">Wages are bargained over the match surplus with worker bargaining power </w:t>
      </w:r>
      <m:oMath>
        <m:r>
          <m:rPr/>
          <m:t>β</m:t>
        </m:r>
      </m:oMath>
      <w:r>
        <w:rPr>
          <w:rFonts w:ascii="Palatino Linotype" w:hAnsi="Palatino Linotype" w:eastAsia="Palatino Linotype"/>
          <w:b w:val="0"/>
          <w:i w:val="0"/>
          <w:sz w:val="20"/>
        </w:rPr>
        <w:t>, which yields the familiar sharing rule:</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w</m:t>
            </m:r>
          </m:e>
          <m:sub>
            <m:r>
              <m:rPr/>
              <m:t>i</m:t>
            </m:r>
          </m:sub>
        </m:sSub>
        <m:r>
          <m:rPr/>
          <m:t xml:space="preserve"> </m:t>
        </m:r>
        <m:r>
          <m:rPr>
            <m:sty m:val="p"/>
          </m:rPr>
          <m:t>=</m:t>
        </m:r>
        <m:r>
          <m:rPr/>
          <m:t xml:space="preserve"> </m:t>
        </m:r>
        <m:r>
          <m:rPr>
            <m:sty m:val="p"/>
          </m:rPr>
          <m:t xml:space="preserve">arg max</m:t>
        </m:r>
        <m:r>
          <m:rPr/>
          <m:t xml:space="preserve"> </m:t>
        </m:r>
        <m:sSup>
          <m:sSupPr/>
          <m:e>
            <m:d>
              <m:dPr>
                <m:begChr m:val="("/>
                <m:endChr m:val=")"/>
              </m:dPr>
              <m:e>
                <m:sSub>
                  <m:sSubPr/>
                  <m:e>
                    <m:r>
                      <m:rPr/>
                      <m:t>W</m:t>
                    </m:r>
                  </m:e>
                  <m:sub>
                    <m:r>
                      <m:rPr/>
                      <m:t>i</m:t>
                    </m:r>
                  </m:sub>
                </m:sSub>
                <m:r>
                  <m:rPr/>
                  <m:t xml:space="preserve"> </m:t>
                </m:r>
                <m:r>
                  <m:rPr>
                    <m:sty m:val="p"/>
                  </m:rPr>
                  <m:t>−</m:t>
                </m:r>
                <m:r>
                  <m:rPr/>
                  <m:t xml:space="preserve"> </m:t>
                </m:r>
                <m:sSub>
                  <m:sSubPr/>
                  <m:e>
                    <m:r>
                      <m:rPr/>
                      <m:t>U</m:t>
                    </m:r>
                  </m:e>
                  <m:sub>
                    <m:r>
                      <m:rPr/>
                      <m:t>i</m:t>
                    </m:r>
                  </m:sub>
                </m:sSub>
              </m:e>
            </m:d>
          </m:e>
          <m:sup>
            <m:r>
              <m:rPr/>
              <m:t>β</m:t>
            </m:r>
          </m:sup>
        </m:sSup>
        <m:r>
          <m:rPr/>
          <m:t xml:space="preserve"> </m:t>
        </m:r>
        <m:sSup>
          <m:sSupPr/>
          <m:e>
            <m:sSub>
              <m:sSubPr/>
              <m:e>
                <m:r>
                  <m:rPr/>
                  <m:t>J</m:t>
                </m:r>
              </m:e>
              <m:sub>
                <m:r>
                  <m:rPr/>
                  <m:t>i</m:t>
                </m:r>
              </m:sub>
            </m:sSub>
          </m:e>
          <m:sup>
            <m:r>
              <m:rPr/>
              <m:t>1</m:t>
            </m:r>
            <m:r>
              <m:rPr/>
              <m:t xml:space="preserve"> </m:t>
            </m:r>
            <m:r>
              <m:rPr>
                <m:sty m:val="p"/>
              </m:rPr>
              <m:t>−</m:t>
            </m:r>
            <m:r>
              <m:rPr/>
              <m:t xml:space="preserve"> </m:t>
            </m:r>
            <m:r>
              <m:rPr/>
              <m:t>β</m:t>
            </m:r>
          </m:sup>
        </m:sSup>
        <m:r>
          <m:rPr/>
          <m:t xml:space="preserve">, </m:t>
        </m:r>
        <m:r>
          <m:rPr/>
          <m:t xml:space="preserve"> </m:t>
        </m:r>
        <m:r>
          <m:rPr/>
          <m:t xml:space="preserve"> </m:t>
        </m:r>
        <m:r>
          <m:rPr/>
          <m:t>β</m:t>
        </m:r>
        <m:r>
          <m:rPr/>
          <m:t xml:space="preserve"> </m:t>
        </m:r>
        <m:sSub>
          <m:sSubPr/>
          <m:e>
            <m:r>
              <m:rPr/>
              <m:t>J</m:t>
            </m:r>
          </m:e>
          <m:sub>
            <m:r>
              <m:rPr/>
              <m:t>i</m:t>
            </m:r>
          </m:sub>
        </m:sSub>
        <m:r>
          <m:rPr/>
          <m:t xml:space="preserve"> </m:t>
        </m:r>
        <m:r>
          <m:rPr>
            <m:sty m:val="p"/>
          </m:rPr>
          <m:t>=</m:t>
        </m:r>
        <m:r>
          <m:rPr/>
          <m:t xml:space="preserve"> </m:t>
        </m:r>
        <m:d>
          <m:dPr>
            <m:begChr m:val="("/>
            <m:endChr m:val=")"/>
          </m:dPr>
          <m:e>
            <m:r>
              <m:rPr/>
              <m:t>1</m:t>
            </m:r>
            <m:r>
              <m:rPr/>
              <m:t xml:space="preserve"> </m:t>
            </m:r>
            <m:r>
              <m:rPr>
                <m:sty m:val="p"/>
              </m:rPr>
              <m:t>−</m:t>
            </m:r>
            <m:r>
              <m:rPr/>
              <m:t xml:space="preserve"> </m:t>
            </m:r>
            <m:r>
              <m:rPr/>
              <m:t>β</m:t>
            </m:r>
          </m:e>
        </m:d>
        <m:d>
          <m:dPr>
            <m:begChr m:val="("/>
            <m:endChr m:val=")"/>
          </m:dPr>
          <m:e>
            <m:sSub>
              <m:sSubPr/>
              <m:e>
                <m:r>
                  <m:rPr/>
                  <m:t>W</m:t>
                </m:r>
              </m:e>
              <m:sub>
                <m:r>
                  <m:rPr/>
                  <m:t>i</m:t>
                </m:r>
              </m:sub>
            </m:sSub>
            <m:r>
              <m:rPr/>
              <m:t xml:space="preserve"> </m:t>
            </m:r>
            <m:r>
              <m:rPr>
                <m:sty m:val="p"/>
              </m:rPr>
              <m:t>−</m:t>
            </m:r>
            <m:r>
              <m:rPr/>
              <m:t xml:space="preserve"> </m:t>
            </m:r>
            <m:sSub>
              <m:sSubPr/>
              <m:e>
                <m:r>
                  <m:rPr/>
                  <m:t>U</m:t>
                </m:r>
              </m:e>
              <m:sub>
                <m:r>
                  <m:rPr/>
                  <m:t>i</m:t>
                </m:r>
              </m:sub>
            </m:sSub>
          </m:e>
        </m:d>
      </m:oMath>
      <w:r>
        <w:rPr>
          <w:rFonts w:ascii="Palatino Linotype" w:hAnsi="Palatino Linotype" w:eastAsia="Palatino Linotype"/>
          <w:b w:val="0"/>
          <w:i w:val="0"/>
          <w:sz w:val="20"/>
        </w:rPr>
        <w:tab/>
      </w:r>
      <w:r>
        <w:rPr>
          <w:rFonts w:ascii="Palatino Linotype" w:hAnsi="Palatino Linotype" w:eastAsia="Palatino Linotype"/>
          <w:b w:val="0"/>
          <w:i w:val="0"/>
          <w:sz w:val="20"/>
        </w:rPr>
        <w:t>(14)</w:t>
      </w:r>
    </w:p>
    <w:p>
      <w:pPr>
        <w:spacing w:after="120"/>
        <w:jc w:val="both"/>
      </w:pPr>
      <w:r>
        <w:rPr>
          <w:rFonts w:ascii="Palatino Linotype" w:hAnsi="Palatino Linotype" w:eastAsia="Palatino Linotype"/>
          <w:b w:val="0"/>
          <w:i w:val="0"/>
          <w:sz w:val="20"/>
        </w:rPr>
        <w:t xml:space="preserve">Entry wages, however, are not fully flexible. Provincial minimum wages bind for entry-level urban positions in China [9], graduate pay scales are heavily compressed, and the search literature has long held that how much of a shock the wage absorbs is decisive for how much employment moves [47–50]. We therefore adopt the geometric real-rigidity rule of Blanchard and Galí [51], in which the posted entry wage is a weighted geometric average of the bargained wage </w:t>
      </w:r>
      <m:oMath>
        <m:sSubSup>
          <m:sSubSupPr/>
          <m:e>
            <m:r>
              <m:rPr/>
              <m:t>w</m:t>
            </m:r>
          </m:e>
          <m:sub>
            <m:r>
              <m:rPr/>
              <m:t>j</m:t>
            </m:r>
          </m:sub>
          <m:sup>
            <m:r>
              <m:rPr/>
              <m:t>N</m:t>
            </m:r>
          </m:sup>
        </m:sSubSup>
      </m:oMath>
      <w:r>
        <w:rPr>
          <w:rFonts w:ascii="Palatino Linotype" w:hAnsi="Palatino Linotype" w:eastAsia="Palatino Linotype"/>
          <w:b w:val="0"/>
          <w:i w:val="0"/>
          <w:sz w:val="20"/>
        </w:rPr>
        <w:t xml:space="preserve"> and a reference wage </w:t>
      </w:r>
      <m:oMath>
        <m:sSub>
          <m:sSubPr/>
          <m:e>
            <m:r>
              <m:rPr/>
              <m:t>\bar{w}</m:t>
            </m:r>
          </m:e>
          <m:sub>
            <m:r>
              <m:rPr/>
              <m:t>j</m:t>
            </m:r>
          </m:sub>
        </m:sSub>
      </m:oMath>
      <w:r>
        <w:rPr>
          <w:rFonts w:ascii="Palatino Linotype" w:hAnsi="Palatino Linotype" w:eastAsia="Palatino Linotype"/>
          <w:b w:val="0"/>
          <w:i w:val="0"/>
          <w:sz w:val="20"/>
        </w:rPr>
        <w:t xml:space="preserve"> anchored by those institutions:</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w</m:t>
            </m:r>
          </m:e>
          <m:sub>
            <m:r>
              <m:rPr/>
              <m:t>j</m:t>
            </m:r>
          </m:sub>
        </m:sSub>
        <m:r>
          <m:rPr/>
          <m:t xml:space="preserve"> </m:t>
        </m:r>
        <m:r>
          <m:rPr>
            <m:sty m:val="p"/>
          </m:rPr>
          <m:t>=</m:t>
        </m:r>
        <m:r>
          <m:rPr/>
          <m:t xml:space="preserve"> </m:t>
        </m:r>
        <m:sSup>
          <m:sSupPr/>
          <m:e>
            <m:sSubSup>
              <m:sSubSupPr/>
              <m:e>
                <m:r>
                  <m:rPr/>
                  <m:t>w</m:t>
                </m:r>
              </m:e>
              <m:sub>
                <m:r>
                  <m:rPr/>
                  <m:t>j</m:t>
                </m:r>
              </m:sub>
              <m:sup>
                <m:r>
                  <m:rPr>
                    <m:sty m:val="p"/>
                  </m:rPr>
                  <m:t>N</m:t>
                </m:r>
              </m:sup>
            </m:sSubSup>
          </m:e>
          <m:sup>
            <m:r>
              <m:rPr/>
              <m:t>1</m:t>
            </m:r>
            <m:r>
              <m:rPr/>
              <m:t xml:space="preserve"> </m:t>
            </m:r>
            <m:r>
              <m:rPr>
                <m:sty m:val="p"/>
              </m:rPr>
              <m:t>−</m:t>
            </m:r>
            <m:r>
              <m:rPr/>
              <m:t xml:space="preserve"> </m:t>
            </m:r>
            <m:sSub>
              <m:sSubPr/>
              <m:e>
                <m:r>
                  <m:rPr/>
                  <m:t>γ</m:t>
                </m:r>
              </m:e>
              <m:sub>
                <m:r>
                  <m:rPr/>
                  <m:t>w</m:t>
                </m:r>
              </m:sub>
            </m:sSub>
          </m:sup>
        </m:sSup>
        <m:r>
          <m:rPr/>
          <m:t xml:space="preserve"> </m:t>
        </m:r>
        <m:sSup>
          <m:sSupPr/>
          <m:e>
            <m:bar>
              <m:barPr>
                <m:pos m:val="top"/>
              </m:barPr>
              <m:e>
                <m:sSub>
                  <m:sSubPr/>
                  <m:e>
                    <m:r>
                      <m:rPr/>
                      <m:t>w</m:t>
                    </m:r>
                  </m:e>
                  <m:sub>
                    <m:r>
                      <m:rPr/>
                      <m:t>j</m:t>
                    </m:r>
                  </m:sub>
                </m:sSub>
              </m:e>
            </m:bar>
          </m:e>
          <m:sup>
            <m:sSub>
              <m:sSubPr/>
              <m:e>
                <m:r>
                  <m:rPr/>
                  <m:t>γ</m:t>
                </m:r>
              </m:e>
              <m:sub>
                <m:r>
                  <m:rPr/>
                  <m:t>w</m:t>
                </m:r>
              </m:sub>
            </m:sSub>
          </m:sup>
        </m:sSup>
        <m:r>
          <m:rPr/>
          <m:t xml:space="preserve">, </m:t>
        </m:r>
        <m:r>
          <m:rPr/>
          <m:t xml:space="preserve"> </m:t>
        </m:r>
        <m:r>
          <m:rPr/>
          <m:t xml:space="preserve"> </m:t>
        </m:r>
        <m:r>
          <m:rPr/>
          <m:t>0</m:t>
        </m:r>
        <m:r>
          <m:rPr/>
          <m:t xml:space="preserve"> </m:t>
        </m:r>
        <m:r>
          <m:rPr>
            <m:sty m:val="p"/>
          </m:rPr>
          <m:t>≤</m:t>
        </m:r>
        <m:r>
          <m:rPr/>
          <m:t xml:space="preserve"> </m:t>
        </m:r>
        <m:sSub>
          <m:sSubPr/>
          <m:e>
            <m:r>
              <m:rPr/>
              <m:t>γ</m:t>
            </m:r>
          </m:e>
          <m:sub>
            <m:r>
              <m:rPr/>
              <m:t>w</m:t>
            </m:r>
          </m:sub>
        </m:sSub>
        <m:r>
          <m:rPr/>
          <m:t xml:space="preserve"> </m:t>
        </m:r>
        <m:r>
          <m:rPr>
            <m:sty m:val="p"/>
          </m:rPr>
          <m:t>≤</m:t>
        </m:r>
        <m:r>
          <m:rPr/>
          <m:t xml:space="preserve"> </m:t>
        </m:r>
        <m:r>
          <m:rPr/>
          <m:t>1</m:t>
        </m:r>
      </m:oMath>
      <w:r>
        <w:rPr>
          <w:rFonts w:ascii="Palatino Linotype" w:hAnsi="Palatino Linotype" w:eastAsia="Palatino Linotype"/>
          <w:b w:val="0"/>
          <w:i w:val="0"/>
          <w:sz w:val="20"/>
        </w:rPr>
        <w:tab/>
      </w:r>
      <w:r>
        <w:rPr>
          <w:rFonts w:ascii="Palatino Linotype" w:hAnsi="Palatino Linotype" w:eastAsia="Palatino Linotype"/>
          <w:b w:val="0"/>
          <w:i w:val="0"/>
          <w:sz w:val="20"/>
        </w:rPr>
        <w:t>(25)</w:t>
      </w:r>
    </w:p>
    <w:p>
      <w:pPr>
        <w:spacing w:after="120"/>
        <w:jc w:val="both"/>
      </w:pPr>
      <w:r>
        <w:rPr>
          <w:rFonts w:ascii="Palatino Linotype" w:hAnsi="Palatino Linotype" w:eastAsia="Palatino Linotype"/>
          <w:b w:val="0"/>
          <w:i w:val="0"/>
          <w:sz w:val="20"/>
        </w:rPr>
        <w:t xml:space="preserve">The parameter </w:t>
      </w:r>
      <m:oMath>
        <m:sSub>
          <m:sSubPr/>
          <m:e>
            <m:r>
              <m:rPr/>
              <m:t>γ</m:t>
            </m:r>
          </m:e>
          <m:sub>
            <m:r>
              <m:rPr/>
              <m:t>w</m:t>
            </m:r>
          </m:sub>
        </m:sSub>
      </m:oMath>
      <w:r>
        <w:rPr>
          <w:rFonts w:ascii="Palatino Linotype" w:hAnsi="Palatino Linotype" w:eastAsia="Palatino Linotype"/>
          <w:b w:val="0"/>
          <w:i w:val="0"/>
          <w:sz w:val="20"/>
        </w:rPr>
        <w:t xml:space="preserve"> nests the flexible Nash economy at zero and a fixed entry wage at one. Two properties make it convenient. At the reference point the rule is an identity, so the estimated economy of Section 4 is numerically identical for every value of </w:t>
      </w:r>
      <m:oMath>
        <m:sSub>
          <m:sSubPr/>
          <m:e>
            <m:r>
              <m:rPr/>
              <m:t>γ</m:t>
            </m:r>
          </m:e>
          <m:sub>
            <m:r>
              <m:rPr/>
              <m:t>w</m:t>
            </m:r>
          </m:sub>
        </m:sSub>
      </m:oMath>
      <w:r>
        <w:rPr>
          <w:rFonts w:ascii="Palatino Linotype" w:hAnsi="Palatino Linotype" w:eastAsia="Palatino Linotype"/>
          <w:b w:val="0"/>
          <w:i w:val="0"/>
          <w:sz w:val="20"/>
        </w:rPr>
        <w:t xml:space="preserve"> and the calibration cannot be tuned through it; and the parameter has an observable implication, namely the split of a shock between pay and employment, which Section 5.4 uses to ask what value the data require. Experienced wages are left flexible, since neither minimum wages nor graduate pay scales bind for them.</w:t>
      </w:r>
    </w:p>
    <w:p>
      <w:pPr>
        <w:spacing w:after="120"/>
        <w:jc w:val="both"/>
      </w:pPr>
      <w:r>
        <w:rPr>
          <w:rFonts w:ascii="Palatino Linotype" w:hAnsi="Palatino Linotype" w:eastAsia="Palatino Linotype"/>
          <w:b w:val="0"/>
          <w:i w:val="0"/>
          <w:sz w:val="20"/>
        </w:rPr>
        <w:t>Firms post vacancies until the expected cost of filling one equals its value, which closes the model on both tiers:</w:t>
      </w:r>
    </w:p>
    <w:p>
      <w:pPr>
        <w:tabs>
          <w:tab w:val="center" w:pos="4600"/>
          <w:tab w:val="right" w:pos="9200"/>
        </w:tabs>
        <w:spacing w:before="80" w:after="80"/>
        <w:ind w:left="0"/>
        <w:jc w:val="right"/>
      </w:pPr>
      <w:r>
        <w:rPr>
          <w:rFonts w:ascii="Palatino Linotype" w:hAnsi="Palatino Linotype" w:eastAsia="Palatino Linotype"/>
          <w:b w:val="0"/>
          <w:i w:val="0"/>
          <w:sz w:val="20"/>
        </w:rPr>
        <w:tab/>
      </w:r>
      <m:oMath>
        <m:f>
          <m:fPr/>
          <m:num>
            <m:sSub>
              <m:sSubPr/>
              <m:e>
                <m:r>
                  <m:rPr/>
                  <m:t>c</m:t>
                </m:r>
              </m:e>
              <m:sub>
                <m:r>
                  <m:rPr/>
                  <m:t>j</m:t>
                </m:r>
              </m:sub>
            </m:sSub>
            <m:d>
              <m:dPr>
                <m:begChr m:val="("/>
                <m:endChr m:val=")"/>
              </m:dPr>
              <m:e>
                <m:r>
                  <m:rPr/>
                  <m:t>1</m:t>
                </m:r>
                <m:r>
                  <m:rPr/>
                  <m:t xml:space="preserve"> </m:t>
                </m:r>
                <m:r>
                  <m:rPr>
                    <m:sty m:val="p"/>
                  </m:rPr>
                  <m:t>−</m:t>
                </m:r>
                <m:r>
                  <m:rPr/>
                  <m:t xml:space="preserve"> </m:t>
                </m:r>
                <m:sSub>
                  <m:sSubPr/>
                  <m:e>
                    <m:r>
                      <m:rPr/>
                      <m:t>s</m:t>
                    </m:r>
                  </m:e>
                  <m:sub>
                    <m:r>
                      <m:rPr/>
                      <m:t>v</m:t>
                    </m:r>
                  </m:sub>
                </m:sSub>
              </m:e>
            </m:d>
          </m:num>
          <m:den>
            <m:sSub>
              <m:sSubPr/>
              <m:e>
                <m:r>
                  <m:rPr/>
                  <m:t>q</m:t>
                </m:r>
              </m:e>
              <m:sub>
                <m:r>
                  <m:rPr/>
                  <m:t>j</m:t>
                </m:r>
              </m:sub>
            </m:sSub>
          </m:den>
        </m:f>
        <m:r>
          <m:rPr/>
          <m:t xml:space="preserve"> </m:t>
        </m:r>
        <m:r>
          <m:rPr>
            <m:sty m:val="p"/>
          </m:rPr>
          <m:t>=</m:t>
        </m:r>
        <m:r>
          <m:rPr/>
          <m:t xml:space="preserve"> </m:t>
        </m:r>
        <m:sSub>
          <m:sSubPr/>
          <m:e>
            <m:r>
              <m:rPr/>
              <m:t>J</m:t>
            </m:r>
          </m:e>
          <m:sub>
            <m:r>
              <m:rPr/>
              <m:t>j</m:t>
            </m:r>
          </m:sub>
        </m:sSub>
        <m:r>
          <m:rPr/>
          <m:t xml:space="preserve">, </m:t>
        </m:r>
        <m:r>
          <m:rPr/>
          <m:t xml:space="preserve"> </m:t>
        </m:r>
        <m:r>
          <m:rPr/>
          <m:t xml:space="preserve"> </m:t>
        </m:r>
        <m:f>
          <m:fPr/>
          <m:num>
            <m:sSub>
              <m:sSubPr/>
              <m:e>
                <m:r>
                  <m:rPr/>
                  <m:t>c</m:t>
                </m:r>
              </m:e>
              <m:sub>
                <m:r>
                  <m:rPr/>
                  <m:t>s</m:t>
                </m:r>
              </m:sub>
            </m:sSub>
            <m:d>
              <m:dPr>
                <m:begChr m:val="("/>
                <m:endChr m:val=")"/>
              </m:dPr>
              <m:e>
                <m:r>
                  <m:rPr/>
                  <m:t>1</m:t>
                </m:r>
                <m:r>
                  <m:rPr/>
                  <m:t xml:space="preserve"> </m:t>
                </m:r>
                <m:r>
                  <m:rPr>
                    <m:sty m:val="p"/>
                  </m:rPr>
                  <m:t>−</m:t>
                </m:r>
                <m:r>
                  <m:rPr/>
                  <m:t xml:space="preserve"> </m:t>
                </m:r>
                <m:sSub>
                  <m:sSubPr/>
                  <m:e>
                    <m:r>
                      <m:rPr/>
                      <m:t>s</m:t>
                    </m:r>
                  </m:e>
                  <m:sub>
                    <m:r>
                      <m:rPr/>
                      <m:t>vs</m:t>
                    </m:r>
                  </m:sub>
                </m:sSub>
              </m:e>
            </m:d>
          </m:num>
          <m:den>
            <m:sSub>
              <m:sSubPr/>
              <m:e>
                <m:r>
                  <m:rPr/>
                  <m:t>q</m:t>
                </m:r>
              </m:e>
              <m:sub>
                <m:r>
                  <m:rPr/>
                  <m:t>s</m:t>
                </m:r>
              </m:sub>
            </m:sSub>
          </m:den>
        </m:f>
        <m:r>
          <m:rPr/>
          <m:t xml:space="preserve"> </m:t>
        </m:r>
        <m:r>
          <m:rPr>
            <m:sty m:val="p"/>
          </m:rPr>
          <m:t>=</m:t>
        </m:r>
        <m:r>
          <m:rPr/>
          <m:t xml:space="preserve"> </m:t>
        </m:r>
        <m:sSub>
          <m:sSubPr/>
          <m:e>
            <m:r>
              <m:rPr/>
              <m:t>J</m:t>
            </m:r>
          </m:e>
          <m:sub>
            <m:r>
              <m:rPr/>
              <m:t>s</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(15)</w:t>
      </w:r>
    </w:p>
    <w:p>
      <w:pPr>
        <w:spacing w:after="120"/>
        <w:jc w:val="both"/>
      </w:pPr>
      <w:r>
        <w:rPr>
          <w:rFonts w:ascii="Palatino Linotype" w:hAnsi="Palatino Linotype" w:eastAsia="Palatino Linotype"/>
          <w:b w:val="0"/>
          <w:i w:val="0"/>
          <w:sz w:val="20"/>
        </w:rPr>
        <w:t xml:space="preserve">The remaining decision is how much to mentor. Because the wage has already been set and mentoring is not contractible, the firm maximises </w:t>
      </w:r>
      <m:oMath>
        <m:sSub>
          <m:sSubPr/>
          <m:e>
            <m:r>
              <m:rPr/>
              <m:t>J</m:t>
            </m:r>
          </m:e>
          <m:sub>
            <m:r>
              <m:rPr/>
              <m:t>j</m:t>
            </m:r>
          </m:sub>
        </m:sSub>
      </m:oMath>
      <w:r>
        <w:rPr>
          <w:rFonts w:ascii="Palatino Linotype" w:hAnsi="Palatino Linotype" w:eastAsia="Palatino Linotype"/>
          <w:b w:val="0"/>
          <w:i w:val="0"/>
          <w:sz w:val="20"/>
        </w:rPr>
        <w:t xml:space="preserve"> over </w:t>
      </w:r>
      <m:oMath>
        <m:r>
          <m:rPr/>
          <m:t>m</m:t>
        </m:r>
      </m:oMath>
      <w:r>
        <w:rPr>
          <w:rFonts w:ascii="Palatino Linotype" w:hAnsi="Palatino Linotype" w:eastAsia="Palatino Linotype"/>
          <w:b w:val="0"/>
          <w:i w:val="0"/>
          <w:sz w:val="20"/>
        </w:rPr>
        <w:t xml:space="preserve"> taking </w:t>
      </w:r>
      <m:oMath>
        <m:sSub>
          <m:sSubPr/>
          <m:e>
            <m:r>
              <m:rPr/>
              <m:t>w</m:t>
            </m:r>
          </m:e>
          <m:sub>
            <m:r>
              <m:rPr/>
              <m:t>j</m:t>
            </m:r>
          </m:sub>
        </m:sSub>
      </m:oMath>
      <w:r>
        <w:rPr>
          <w:rFonts w:ascii="Palatino Linotype" w:hAnsi="Palatino Linotype" w:eastAsia="Palatino Linotype"/>
          <w:b w:val="0"/>
          <w:i w:val="0"/>
          <w:sz w:val="20"/>
        </w:rPr>
        <w:t xml:space="preserve"> as given, which gives</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t>π</m:t>
        </m:r>
        <m:r>
          <m:rPr>
            <m:sty m:val="p"/>
          </m:rPr>
          <m:t>′</m:t>
        </m:r>
        <m:d>
          <m:dPr>
            <m:begChr m:val="("/>
            <m:endChr m:val=")"/>
          </m:dPr>
          <m:e>
            <m:r>
              <m:rPr/>
              <m:t>m</m:t>
            </m:r>
          </m:e>
        </m:d>
        <m:d>
          <m:dPr>
            <m:begChr m:val="("/>
            <m:endChr m:val=")"/>
          </m:dPr>
          <m:e>
            <m:sSub>
              <m:sSubPr/>
              <m:e>
                <m:r>
                  <m:rPr/>
                  <m:t>J</m:t>
                </m:r>
              </m:e>
              <m:sub>
                <m:r>
                  <m:rPr/>
                  <m:t>s</m:t>
                </m:r>
              </m:sub>
            </m:sSub>
            <m:r>
              <m:rPr/>
              <m:t xml:space="preserve"> </m:t>
            </m:r>
            <m:r>
              <m:rPr>
                <m:sty m:val="p"/>
              </m:rPr>
              <m:t>−</m:t>
            </m:r>
            <m:r>
              <m:rPr/>
              <m:t xml:space="preserve"> </m:t>
            </m:r>
            <m:sSub>
              <m:sSubPr/>
              <m:e>
                <m:r>
                  <m:rPr/>
                  <m:t>J</m:t>
                </m:r>
              </m:e>
              <m:sub>
                <m:r>
                  <m:rPr/>
                  <m:t>j</m:t>
                </m:r>
              </m:sub>
            </m:sSub>
          </m:e>
        </m:d>
        <m:r>
          <m:rPr/>
          <m:t xml:space="preserve"> </m:t>
        </m:r>
        <m:r>
          <m:rPr>
            <m:sty m:val="p"/>
          </m:rPr>
          <m:t>=</m:t>
        </m:r>
        <m:r>
          <m:rPr/>
          <m:t xml:space="preserve"> </m:t>
        </m:r>
        <m:d>
          <m:dPr>
            <m:begChr m:val="("/>
            <m:endChr m:val=")"/>
          </m:dPr>
          <m:e>
            <m:r>
              <m:rPr/>
              <m:t>1</m:t>
            </m:r>
            <m:r>
              <m:rPr/>
              <m:t xml:space="preserve"> </m:t>
            </m:r>
            <m:r>
              <m:rPr>
                <m:sty m:val="p"/>
              </m:rPr>
              <m:t>−</m:t>
            </m:r>
            <m:r>
              <m:rPr/>
              <m:t xml:space="preserve"> </m:t>
            </m:r>
            <m:sSub>
              <m:sSubPr/>
              <m:e>
                <m:r>
                  <m:rPr/>
                  <m:t>s</m:t>
                </m:r>
              </m:e>
              <m:sub>
                <m:r>
                  <m:rPr/>
                  <m:t>m</m:t>
                </m:r>
              </m:sub>
            </m:sSub>
          </m:e>
        </m:d>
        <m:sSub>
          <m:sSubPr/>
          <m:e>
            <m:r>
              <m:rPr/>
              <m:t>F</m:t>
            </m:r>
          </m:e>
          <m:sub>
            <m:r>
              <m:rPr/>
              <m:t>s</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(16)</w:t>
      </w:r>
    </w:p>
    <w:p>
      <w:pPr>
        <w:spacing w:after="120"/>
        <w:jc w:val="both"/>
      </w:pPr>
      <w:r>
        <w:rPr>
          <w:rFonts w:ascii="Palatino Linotype" w:hAnsi="Palatino Linotype" w:eastAsia="Palatino Linotype"/>
          <w:b w:val="0"/>
          <w:i w:val="0"/>
          <w:sz w:val="20"/>
        </w:rPr>
        <w:t xml:space="preserve">The left-hand side is the private return to mentoring: the marginal increase in the promotion hazard multiplied by the difference between what the firm holds after promotion and what it holds before. The right-hand side is the marginal cost in experienced time. Both terms move when artificial intelligence becomes cheaper, and in opposite directions, which is why the training response to the shock cannot be signed a priori. The contractible benchmark, in which the pair chooses </w:t>
      </w:r>
      <m:oMath>
        <m:r>
          <m:rPr/>
          <m:t>m</m:t>
        </m:r>
      </m:oMath>
      <w:r>
        <w:rPr>
          <w:rFonts w:ascii="Palatino Linotype" w:hAnsi="Palatino Linotype" w:eastAsia="Palatino Linotype"/>
          <w:b w:val="0"/>
          <w:i w:val="0"/>
          <w:sz w:val="20"/>
        </w:rPr>
        <w:t xml:space="preserve"> to maximise the joint surplus </w:t>
      </w:r>
      <m:oMath>
        <m:sSub>
          <m:sSubPr/>
          <m:e>
            <m:r>
              <m:rPr/>
              <m:t>S</m:t>
            </m:r>
          </m:e>
          <m:sub>
            <m:r>
              <m:rPr/>
              <m:t>j</m:t>
            </m:r>
          </m:sub>
        </m:sSub>
      </m:oMath>
      <w:r>
        <w:rPr>
          <w:rFonts w:ascii="Palatino Linotype" w:hAnsi="Palatino Linotype" w:eastAsia="Palatino Linotype"/>
          <w:b w:val="0"/>
          <w:i w:val="0"/>
          <w:sz w:val="20"/>
        </w:rPr>
        <w:t>, replaces (16) by</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t>π</m:t>
        </m:r>
        <m:r>
          <m:rPr>
            <m:sty m:val="p"/>
          </m:rPr>
          <m:t>′</m:t>
        </m:r>
        <m:d>
          <m:dPr>
            <m:begChr m:val="("/>
            <m:endChr m:val=")"/>
          </m:dPr>
          <m:e>
            <m:r>
              <m:rPr/>
              <m:t>m</m:t>
            </m:r>
          </m:e>
        </m:d>
        <m:d>
          <m:dPr>
            <m:begChr m:val="("/>
            <m:endChr m:val=")"/>
          </m:dPr>
          <m:e>
            <m:sSub>
              <m:sSubPr/>
              <m:e>
                <m:r>
                  <m:rPr/>
                  <m:t>J</m:t>
                </m:r>
              </m:e>
              <m:sub>
                <m:r>
                  <m:rPr/>
                  <m:t>s</m:t>
                </m:r>
              </m:sub>
            </m:sSub>
            <m:r>
              <m:rPr/>
              <m:t xml:space="preserve"> </m:t>
            </m:r>
            <m:r>
              <m:rPr>
                <m:sty m:val="p"/>
              </m:rPr>
              <m:t>+</m:t>
            </m:r>
            <m:r>
              <m:rPr/>
              <m:t xml:space="preserve"> </m:t>
            </m:r>
            <m:sSub>
              <m:sSubPr/>
              <m:e>
                <m:r>
                  <m:rPr/>
                  <m:t>W</m:t>
                </m:r>
              </m:e>
              <m:sub>
                <m:r>
                  <m:rPr/>
                  <m:t>s</m:t>
                </m:r>
              </m:sub>
            </m:sSub>
            <m:r>
              <m:rPr/>
              <m:t xml:space="preserve"> </m:t>
            </m:r>
            <m:r>
              <m:rPr>
                <m:sty m:val="p"/>
              </m:rPr>
              <m:t>−</m:t>
            </m:r>
            <m:r>
              <m:rPr/>
              <m:t xml:space="preserve"> </m:t>
            </m:r>
            <m:sSub>
              <m:sSubPr/>
              <m:e>
                <m:r>
                  <m:rPr/>
                  <m:t>U</m:t>
                </m:r>
              </m:e>
              <m:sub>
                <m:r>
                  <m:rPr/>
                  <m:t>j</m:t>
                </m:r>
              </m:sub>
            </m:sSub>
            <m:r>
              <m:rPr/>
              <m:t xml:space="preserve"> </m:t>
            </m:r>
            <m:r>
              <m:rPr>
                <m:sty m:val="p"/>
              </m:rPr>
              <m:t>−</m:t>
            </m:r>
            <m:r>
              <m:rPr/>
              <m:t xml:space="preserve"> </m:t>
            </m:r>
            <m:sSub>
              <m:sSubPr/>
              <m:e>
                <m:r>
                  <m:rPr/>
                  <m:t>S</m:t>
                </m:r>
              </m:e>
              <m:sub>
                <m:r>
                  <m:rPr/>
                  <m:t>j</m:t>
                </m:r>
              </m:sub>
            </m:sSub>
          </m:e>
        </m:d>
        <m:r>
          <m:rPr/>
          <m:t xml:space="preserve"> </m:t>
        </m:r>
        <m:r>
          <m:rPr>
            <m:sty m:val="p"/>
          </m:rPr>
          <m:t>=</m:t>
        </m:r>
        <m:r>
          <m:rPr/>
          <m:t xml:space="preserve"> </m:t>
        </m:r>
        <m:d>
          <m:dPr>
            <m:begChr m:val="("/>
            <m:endChr m:val=")"/>
          </m:dPr>
          <m:e>
            <m:r>
              <m:rPr/>
              <m:t>1</m:t>
            </m:r>
            <m:r>
              <m:rPr/>
              <m:t xml:space="preserve"> </m:t>
            </m:r>
            <m:r>
              <m:rPr>
                <m:sty m:val="p"/>
              </m:rPr>
              <m:t>−</m:t>
            </m:r>
            <m:r>
              <m:rPr/>
              <m:t xml:space="preserve"> </m:t>
            </m:r>
            <m:sSub>
              <m:sSubPr/>
              <m:e>
                <m:r>
                  <m:rPr/>
                  <m:t>s</m:t>
                </m:r>
              </m:e>
              <m:sub>
                <m:r>
                  <m:rPr/>
                  <m:t>m</m:t>
                </m:r>
              </m:sub>
            </m:sSub>
          </m:e>
        </m:d>
        <m:sSub>
          <m:sSubPr/>
          <m:e>
            <m:r>
              <m:rPr/>
              <m:t>F</m:t>
            </m:r>
          </m:e>
          <m:sub>
            <m:r>
              <m:rPr/>
              <m:t>s</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(17)</w:t>
      </w:r>
    </w:p>
    <w:p>
      <w:pPr>
        <w:keepNext/>
        <w:spacing w:before="140" w:after="80"/>
      </w:pPr>
      <w:r>
        <w:rPr>
          <w:rFonts w:ascii="Palatino Linotype" w:hAnsi="Palatino Linotype" w:eastAsia="Palatino Linotype"/>
          <w:b/>
          <w:i w:val="0"/>
          <w:sz w:val="20"/>
        </w:rPr>
        <w:t>3.5. Equilibrium</w:t>
      </w:r>
    </w:p>
    <w:p>
      <w:pPr>
        <w:spacing w:after="120"/>
        <w:jc w:val="both"/>
      </w:pPr>
      <w:r>
        <w:rPr>
          <w:rFonts w:ascii="Palatino Linotype" w:hAnsi="Palatino Linotype" w:eastAsia="Palatino Linotype"/>
          <w:b w:val="0"/>
          <w:i w:val="0"/>
          <w:sz w:val="20"/>
        </w:rPr>
        <w:t xml:space="preserve">A steady-state equilibrium is a triple </w:t>
      </w:r>
      <m:oMath>
        <m:r>
          <m:rPr/>
          <m:t xml:space="preserve">(θ_{j}, θ_{s}, m)</m:t>
        </m:r>
      </m:oMath>
      <w:r>
        <w:rPr>
          <w:rFonts w:ascii="Palatino Linotype" w:hAnsi="Palatino Linotype" w:eastAsia="Palatino Linotype"/>
          <w:b w:val="0"/>
          <w:i w:val="0"/>
          <w:sz w:val="20"/>
        </w:rPr>
        <w:t xml:space="preserve">, an artificial-intelligence input </w:t>
      </w:r>
      <m:oMath>
        <m:r>
          <m:rPr/>
          <m:t>A</m:t>
        </m:r>
      </m:oMath>
      <w:r>
        <w:rPr>
          <w:rFonts w:ascii="Palatino Linotype" w:hAnsi="Palatino Linotype" w:eastAsia="Palatino Linotype"/>
          <w:b w:val="0"/>
          <w:i w:val="0"/>
          <w:sz w:val="20"/>
        </w:rPr>
        <w:t xml:space="preserve">, wages </w:t>
      </w:r>
      <m:oMath>
        <m:r>
          <m:rPr/>
          <m:t xml:space="preserve">(w_{j}, w_{s})</m:t>
        </m:r>
      </m:oMath>
      <w:r>
        <w:rPr>
          <w:rFonts w:ascii="Palatino Linotype" w:hAnsi="Palatino Linotype" w:eastAsia="Palatino Linotype"/>
          <w:b w:val="0"/>
          <w:i w:val="0"/>
          <w:sz w:val="20"/>
        </w:rPr>
        <w:t xml:space="preserve"> and stocks </w:t>
      </w:r>
      <m:oMath>
        <m:r>
          <m:rPr/>
          <m:t xml:space="preserve">(u_{j}, e_{j}, u_{s}, e_{s})</m:t>
        </m:r>
      </m:oMath>
      <w:r>
        <w:rPr>
          <w:rFonts w:ascii="Palatino Linotype" w:hAnsi="Palatino Linotype" w:eastAsia="Palatino Linotype"/>
          <w:b w:val="0"/>
          <w:i w:val="0"/>
          <w:sz w:val="20"/>
        </w:rPr>
        <w:t xml:space="preserve"> such that the stocks are stationary given the flow rates, wages satisfy the bargaining problem and the rigidity rule, artificial intelligence satisfies (9), both free-entry conditions in (15) hold and the mentoring condition (16) holds. The three conditions in </w:t>
      </w:r>
      <m:oMath>
        <m:r>
          <m:rPr/>
          <m:t xml:space="preserve">(θ_{j}, θ_{s}, m)</m:t>
        </m:r>
      </m:oMath>
      <w:r>
        <w:rPr>
          <w:rFonts w:ascii="Palatino Linotype" w:hAnsi="Palatino Linotype" w:eastAsia="Palatino Linotype"/>
          <w:b w:val="0"/>
          <w:i w:val="0"/>
          <w:sz w:val="20"/>
        </w:rPr>
        <w:t xml:space="preserve"> are solved numerically; every equilibrium reported below was located from at least eleven independent starting points and its residuals driven below </w:t>
      </w:r>
      <m:oMath>
        <m:sSup>
          <m:sSupPr/>
          <m:e>
            <m:r>
              <m:rPr/>
              <m:t>10</m:t>
            </m:r>
          </m:e>
          <m:sup>
            <m:r>
              <m:rPr/>
              <m:t>-9</m:t>
            </m:r>
          </m:sup>
        </m:sSup>
      </m:oMath>
      <w:r>
        <w:rPr>
          <w:rFonts w:ascii="Palatino Linotype" w:hAnsi="Palatino Linotype" w:eastAsia="Palatino Linotype"/>
          <w:b w:val="0"/>
          <w:i w:val="0"/>
          <w:sz w:val="20"/>
        </w:rPr>
        <w:t>.</w:t>
      </w:r>
    </w:p>
    <w:p>
      <w:pPr>
        <w:keepNext/>
        <w:spacing w:before="140" w:after="80"/>
      </w:pPr>
      <w:r>
        <w:rPr>
          <w:rFonts w:ascii="Palatino Linotype" w:hAnsi="Palatino Linotype" w:eastAsia="Palatino Linotype"/>
          <w:b/>
          <w:i w:val="0"/>
          <w:sz w:val="20"/>
        </w:rPr>
        <w:t>3.6. The Constrained Planner and the Two Wedges</w:t>
      </w:r>
    </w:p>
    <w:p>
      <w:pPr>
        <w:spacing w:after="120"/>
        <w:jc w:val="both"/>
      </w:pPr>
      <w:r>
        <w:rPr>
          <w:rFonts w:ascii="Palatino Linotype" w:hAnsi="Palatino Linotype" w:eastAsia="Palatino Linotype"/>
          <w:b w:val="0"/>
          <w:i w:val="0"/>
          <w:sz w:val="20"/>
        </w:rPr>
        <w:t>The relevant welfare benchmark is a planner who faces the same matching and promotion technologies and chooses vacancies on both tiers, mentoring intensity and the artificial-intelligence input to maximise the present value of output net of recruiting and technology costs plus the flow value of non-employment:</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m</m:t>
        </m:r>
        <m:r>
          <m:rPr>
            <m:sty m:val="p"/>
          </m:rPr>
          <m:t>ax</m:t>
        </m:r>
        <m:r>
          <m:rPr/>
          <m:t xml:space="preserve"> </m:t>
        </m:r>
        <m:nary>
          <m:naryPr>
            <m:chr m:val="∫"/>
            <m:limLoc m:val="subSup"/>
            <m:subHide m:val="0"/>
            <m:supHide m:val="1"/>
          </m:naryPr>
          <m:sub>
            <m:r>
              <m:rPr/>
              <m:t>0</m:t>
            </m:r>
          </m:sub>
          <m:sup/>
          <m:e>
            <m:sSup>
              <m:sSupPr/>
              <m:e>
                <m:r>
                  <m:rPr>
                    <m:sty m:val="p"/>
                  </m:rPr>
                  <m:t>e</m:t>
                </m:r>
              </m:e>
              <m:sup>
                <m:r>
                  <m:rPr/>
                  <m:t xml:space="preserve"> </m:t>
                </m:r>
                <m:r>
                  <m:rPr>
                    <m:sty m:val="p"/>
                  </m:rPr>
                  <m:t>−</m:t>
                </m:r>
                <m:r>
                  <m:rPr/>
                  <m:t xml:space="preserve"> </m:t>
                </m:r>
                <m:r>
                  <m:rPr/>
                  <m:t>r</m:t>
                </m:r>
                <m:r>
                  <m:rPr/>
                  <m:t>t</m:t>
                </m:r>
              </m:sup>
            </m:sSup>
            <m:d>
              <m:dPr>
                <m:begChr m:val="["/>
                <m:endChr m:val="]"/>
              </m:dPr>
              <m:e>
                <m:r>
                  <m:rPr/>
                  <m:t>Y</m:t>
                </m:r>
                <m:r>
                  <m:rPr/>
                  <m:t xml:space="preserve"> </m:t>
                </m:r>
                <m:r>
                  <m:rPr>
                    <m:sty m:val="p"/>
                  </m:rPr>
                  <m:t>−</m:t>
                </m:r>
                <m:r>
                  <m:rPr/>
                  <m:t xml:space="preserve"> </m:t>
                </m:r>
                <m:sSub>
                  <m:sSubPr/>
                  <m:e>
                    <m:r>
                      <m:rPr/>
                      <m:t>c</m:t>
                    </m:r>
                  </m:e>
                  <m:sub>
                    <m:r>
                      <m:rPr/>
                      <m:t>j</m:t>
                    </m:r>
                  </m:sub>
                </m:sSub>
                <m:sSub>
                  <m:sSubPr/>
                  <m:e>
                    <m:r>
                      <m:rPr/>
                      <m:t>v</m:t>
                    </m:r>
                  </m:e>
                  <m:sub>
                    <m:r>
                      <m:rPr/>
                      <m:t>j</m:t>
                    </m:r>
                  </m:sub>
                </m:sSub>
                <m:r>
                  <m:rPr/>
                  <m:t xml:space="preserve"> </m:t>
                </m:r>
                <m:r>
                  <m:rPr>
                    <m:sty m:val="p"/>
                  </m:rPr>
                  <m:t>−</m:t>
                </m:r>
                <m:r>
                  <m:rPr/>
                  <m:t xml:space="preserve"> </m:t>
                </m:r>
                <m:sSub>
                  <m:sSubPr/>
                  <m:e>
                    <m:r>
                      <m:rPr/>
                      <m:t>c</m:t>
                    </m:r>
                  </m:e>
                  <m:sub>
                    <m:r>
                      <m:rPr/>
                      <m:t>s</m:t>
                    </m:r>
                  </m:sub>
                </m:sSub>
                <m:sSub>
                  <m:sSubPr/>
                  <m:e>
                    <m:r>
                      <m:rPr/>
                      <m:t>v</m:t>
                    </m:r>
                  </m:e>
                  <m:sub>
                    <m:r>
                      <m:rPr/>
                      <m:t>s</m:t>
                    </m:r>
                  </m:sub>
                </m:sSub>
                <m:r>
                  <m:rPr/>
                  <m:t xml:space="preserve"> </m:t>
                </m:r>
                <m:r>
                  <m:rPr>
                    <m:sty m:val="p"/>
                  </m:rPr>
                  <m:t>−</m:t>
                </m:r>
                <m:r>
                  <m:rPr/>
                  <m:t xml:space="preserve"> </m:t>
                </m:r>
                <m:sSub>
                  <m:sSubPr/>
                  <m:e>
                    <m:r>
                      <m:rPr/>
                      <m:t>p</m:t>
                    </m:r>
                  </m:e>
                  <m:sub>
                    <m:r>
                      <m:rPr/>
                      <m:t>a</m:t>
                    </m:r>
                  </m:sub>
                </m:sSub>
                <m:r>
                  <m:rPr/>
                  <m:t>A</m:t>
                </m:r>
                <m:r>
                  <m:rPr/>
                  <m:t xml:space="preserve"> </m:t>
                </m:r>
                <m:r>
                  <m:rPr>
                    <m:sty m:val="p"/>
                  </m:rPr>
                  <m:t>+</m:t>
                </m:r>
                <m:r>
                  <m:rPr/>
                  <m:t xml:space="preserve"> </m:t>
                </m:r>
                <m:r>
                  <m:rPr/>
                  <m:t>b</m:t>
                </m:r>
                <m:d>
                  <m:dPr>
                    <m:begChr m:val="("/>
                    <m:endChr m:val=")"/>
                  </m:dPr>
                  <m:e>
                    <m:sSub>
                      <m:sSubPr/>
                      <m:e>
                        <m:r>
                          <m:rPr/>
                          <m:t>u</m:t>
                        </m:r>
                      </m:e>
                      <m:sub>
                        <m:r>
                          <m:rPr/>
                          <m:t>j</m:t>
                        </m:r>
                      </m:sub>
                    </m:sSub>
                    <m:r>
                      <m:rPr/>
                      <m:t xml:space="preserve"> </m:t>
                    </m:r>
                    <m:r>
                      <m:rPr>
                        <m:sty m:val="p"/>
                      </m:rPr>
                      <m:t>+</m:t>
                    </m:r>
                    <m:r>
                      <m:rPr/>
                      <m:t xml:space="preserve"> </m:t>
                    </m:r>
                    <m:sSub>
                      <m:sSubPr/>
                      <m:e>
                        <m:r>
                          <m:rPr/>
                          <m:t>u</m:t>
                        </m:r>
                      </m:e>
                      <m:sub>
                        <m:r>
                          <m:rPr/>
                          <m:t>s</m:t>
                        </m:r>
                      </m:sub>
                    </m:sSub>
                  </m:e>
                </m:d>
              </m:e>
            </m:d>
            <m:r>
              <m:rPr>
                <m:sty m:val="p"/>
              </m:rPr>
              <m:t>d</m:t>
            </m:r>
            <m:r>
              <m:rPr/>
              <m:t>t</m:t>
            </m:r>
          </m:e>
        </m:nary>
      </m:oMath>
      <w:r>
        <w:rPr>
          <w:rFonts w:ascii="Palatino Linotype" w:hAnsi="Palatino Linotype" w:eastAsia="Palatino Linotype"/>
          <w:b w:val="0"/>
          <w:i w:val="0"/>
          <w:sz w:val="20"/>
        </w:rPr>
        <w:tab/>
      </w:r>
      <w:r>
        <w:rPr>
          <w:rFonts w:ascii="Palatino Linotype" w:hAnsi="Palatino Linotype" w:eastAsia="Palatino Linotype"/>
          <w:b w:val="0"/>
          <w:i w:val="0"/>
          <w:sz w:val="20"/>
        </w:rPr>
        <w:t>(18)</w:t>
      </w:r>
    </w:p>
    <w:p>
      <w:pPr>
        <w:spacing w:after="120"/>
        <w:jc w:val="both"/>
      </w:pPr>
      <w:r>
        <w:rPr>
          <w:rFonts w:ascii="Palatino Linotype" w:hAnsi="Palatino Linotype" w:eastAsia="Palatino Linotype"/>
          <w:b w:val="0"/>
          <w:i w:val="0"/>
          <w:sz w:val="20"/>
        </w:rPr>
        <w:t xml:space="preserve">subject to the four laws of motion. Poaching does not appear in the planner’s problem, because a poached worker remains employed in an identical job: the flow is a private loss and not a social one. Denoting by </w:t>
      </w:r>
      <m:oMath>
        <m:r>
          <m:rPr/>
          <m:t xml:space="preserve">λ_{uj}, λ_{ej}, λ_{us}, λ_{es}</m:t>
        </m:r>
      </m:oMath>
      <w:r>
        <w:rPr>
          <w:rFonts w:ascii="Palatino Linotype" w:hAnsi="Palatino Linotype" w:eastAsia="Palatino Linotype"/>
          <w:b w:val="0"/>
          <w:i w:val="0"/>
          <w:sz w:val="20"/>
        </w:rPr>
        <w:t xml:space="preserve"> the costates of the four stocks, the steady-state costate equations are</w:t>
      </w:r>
    </w:p>
    <w:p>
      <w:pPr>
        <w:tabs>
          <w:tab w:val="center" w:pos="4600"/>
          <w:tab w:val="right" w:pos="9200"/>
        </w:tabs>
        <w:spacing w:before="80" w:after="80"/>
        <w:ind w:left="0"/>
        <w:jc w:val="right"/>
      </w:pPr>
      <w:r>
        <w:rPr>
          <w:rFonts w:ascii="Palatino Linotype" w:hAnsi="Palatino Linotype" w:eastAsia="Palatino Linotype"/>
          <w:b w:val="0"/>
          <w:i w:val="0"/>
          <w:sz w:val="20"/>
        </w:rPr>
        <w:tab/>
      </w:r>
      <m:oMath>
        <m:d>
          <m:dPr>
            <m:begChr m:val="("/>
            <m:endChr m:val=")"/>
          </m:dPr>
          <m:e>
            <m:r>
              <m:rPr/>
              <m:t>r</m:t>
            </m:r>
            <m:r>
              <m:rPr/>
              <m:t xml:space="preserve"> </m:t>
            </m:r>
            <m:r>
              <m:rPr>
                <m:sty m:val="p"/>
              </m:rPr>
              <m:t>+</m:t>
            </m:r>
            <m:r>
              <m:rPr/>
              <m:t xml:space="preserve"> </m:t>
            </m:r>
            <m:r>
              <m:rPr/>
              <m:t>ω</m:t>
            </m:r>
          </m:e>
        </m:d>
        <m:sSub>
          <m:sSubPr/>
          <m:e>
            <m:r>
              <m:rPr/>
              <m:t>λ</m:t>
            </m:r>
          </m:e>
          <m:sub>
            <m:sSub>
              <m:sSubPr/>
              <m:e>
                <m:r>
                  <m:rPr/>
                  <m:t>u</m:t>
                </m:r>
              </m:e>
              <m:sub>
                <m:r>
                  <m:rPr/>
                  <m:t>j</m:t>
                </m:r>
              </m:sub>
            </m:sSub>
          </m:sub>
        </m:sSub>
        <m:r>
          <m:rPr/>
          <m:t xml:space="preserve"> </m:t>
        </m:r>
        <m:r>
          <m:rPr>
            <m:sty m:val="p"/>
          </m:rPr>
          <m:t>=</m:t>
        </m:r>
        <m:r>
          <m:rPr/>
          <m:t xml:space="preserve"> </m:t>
        </m:r>
        <m:r>
          <m:rPr/>
          <m:t>b</m:t>
        </m:r>
        <m:r>
          <m:rPr/>
          <m:t xml:space="preserve"> </m:t>
        </m:r>
        <m:r>
          <m:rPr>
            <m:sty m:val="p"/>
          </m:rPr>
          <m:t>+</m:t>
        </m:r>
        <m:r>
          <m:rPr/>
          <m:t xml:space="preserve"> </m:t>
        </m:r>
        <m:r>
          <m:rPr/>
          <m:t>η</m:t>
        </m:r>
        <m:r>
          <m:rPr/>
          <m:t xml:space="preserve"> </m:t>
        </m:r>
        <m:sSub>
          <m:sSubPr/>
          <m:e>
            <m:r>
              <m:rPr/>
              <m:t>f</m:t>
            </m:r>
          </m:e>
          <m:sub>
            <m:r>
              <m:rPr/>
              <m:t>j</m:t>
            </m:r>
          </m:sub>
        </m:sSub>
        <m:d>
          <m:dPr>
            <m:begChr m:val="("/>
            <m:endChr m:val=")"/>
          </m:dPr>
          <m:e>
            <m:sSub>
              <m:sSubPr/>
              <m:e>
                <m:r>
                  <m:rPr/>
                  <m:t>λ</m:t>
                </m:r>
              </m:e>
              <m:sub>
                <m:sSub>
                  <m:sSubPr/>
                  <m:e>
                    <m:r>
                      <m:rPr/>
                      <m:t>e</m:t>
                    </m:r>
                  </m:e>
                  <m:sub>
                    <m:r>
                      <m:rPr/>
                      <m:t>j</m:t>
                    </m:r>
                  </m:sub>
                </m:sSub>
              </m:sub>
            </m:sSub>
            <m:r>
              <m:rPr/>
              <m:t xml:space="preserve"> </m:t>
            </m:r>
            <m:r>
              <m:rPr>
                <m:sty m:val="p"/>
              </m:rPr>
              <m:t>−</m:t>
            </m:r>
            <m:r>
              <m:rPr/>
              <m:t xml:space="preserve"> </m:t>
            </m:r>
            <m:sSub>
              <m:sSubPr/>
              <m:e>
                <m:r>
                  <m:rPr/>
                  <m:t>λ</m:t>
                </m:r>
              </m:e>
              <m:sub>
                <m:sSub>
                  <m:sSubPr/>
                  <m:e>
                    <m:r>
                      <m:rPr/>
                      <m:t>u</m:t>
                    </m:r>
                  </m:e>
                  <m:sub>
                    <m:r>
                      <m:rPr/>
                      <m:t>j</m:t>
                    </m:r>
                  </m:sub>
                </m:sSub>
              </m:sub>
            </m:sSub>
          </m:e>
        </m:d>
        <m:r>
          <m:rPr/>
          <m:t xml:space="preserve">, </m:t>
        </m:r>
        <m:r>
          <m:rPr/>
          <m:t xml:space="preserve"> </m:t>
        </m:r>
        <m:r>
          <m:rPr/>
          <m:t xml:space="preserve"> </m:t>
        </m:r>
        <m:d>
          <m:dPr>
            <m:begChr m:val="("/>
            <m:endChr m:val=")"/>
          </m:dPr>
          <m:e>
            <m:r>
              <m:rPr/>
              <m:t>r</m:t>
            </m:r>
            <m:r>
              <m:rPr/>
              <m:t xml:space="preserve"> </m:t>
            </m:r>
            <m:r>
              <m:rPr>
                <m:sty m:val="p"/>
              </m:rPr>
              <m:t>+</m:t>
            </m:r>
            <m:r>
              <m:rPr/>
              <m:t xml:space="preserve"> </m:t>
            </m:r>
            <m:r>
              <m:rPr/>
              <m:t>ω</m:t>
            </m:r>
          </m:e>
        </m:d>
        <m:sSub>
          <m:sSubPr/>
          <m:e>
            <m:r>
              <m:rPr/>
              <m:t>λ</m:t>
            </m:r>
          </m:e>
          <m:sub>
            <m:sSub>
              <m:sSubPr/>
              <m:e>
                <m:r>
                  <m:rPr/>
                  <m:t>u</m:t>
                </m:r>
              </m:e>
              <m:sub>
                <m:r>
                  <m:rPr/>
                  <m:t>s</m:t>
                </m:r>
              </m:sub>
            </m:sSub>
          </m:sub>
        </m:sSub>
        <m:r>
          <m:rPr/>
          <m:t xml:space="preserve"> </m:t>
        </m:r>
        <m:r>
          <m:rPr>
            <m:sty m:val="p"/>
          </m:rPr>
          <m:t>=</m:t>
        </m:r>
        <m:r>
          <m:rPr/>
          <m:t xml:space="preserve"> </m:t>
        </m:r>
        <m:r>
          <m:rPr/>
          <m:t>b</m:t>
        </m:r>
        <m:r>
          <m:rPr/>
          <m:t xml:space="preserve"> </m:t>
        </m:r>
        <m:r>
          <m:rPr>
            <m:sty m:val="p"/>
          </m:rPr>
          <m:t>+</m:t>
        </m:r>
        <m:r>
          <m:rPr/>
          <m:t xml:space="preserve"> </m:t>
        </m:r>
        <m:r>
          <m:rPr/>
          <m:t>η</m:t>
        </m:r>
        <m:r>
          <m:rPr/>
          <m:t xml:space="preserve"> </m:t>
        </m:r>
        <m:sSub>
          <m:sSubPr/>
          <m:e>
            <m:r>
              <m:rPr/>
              <m:t>f</m:t>
            </m:r>
          </m:e>
          <m:sub>
            <m:r>
              <m:rPr/>
              <m:t>s</m:t>
            </m:r>
          </m:sub>
        </m:sSub>
        <m:d>
          <m:dPr>
            <m:begChr m:val="("/>
            <m:endChr m:val=")"/>
          </m:dPr>
          <m:e>
            <m:sSub>
              <m:sSubPr/>
              <m:e>
                <m:r>
                  <m:rPr/>
                  <m:t>λ</m:t>
                </m:r>
              </m:e>
              <m:sub>
                <m:sSub>
                  <m:sSubPr/>
                  <m:e>
                    <m:r>
                      <m:rPr/>
                      <m:t>e</m:t>
                    </m:r>
                  </m:e>
                  <m:sub>
                    <m:r>
                      <m:rPr/>
                      <m:t>s</m:t>
                    </m:r>
                  </m:sub>
                </m:sSub>
              </m:sub>
            </m:sSub>
            <m:r>
              <m:rPr/>
              <m:t xml:space="preserve"> </m:t>
            </m:r>
            <m:r>
              <m:rPr>
                <m:sty m:val="p"/>
              </m:rPr>
              <m:t>−</m:t>
            </m:r>
            <m:r>
              <m:rPr/>
              <m:t xml:space="preserve"> </m:t>
            </m:r>
            <m:sSub>
              <m:sSubPr/>
              <m:e>
                <m:r>
                  <m:rPr/>
                  <m:t>λ</m:t>
                </m:r>
              </m:e>
              <m:sub>
                <m:sSub>
                  <m:sSubPr/>
                  <m:e>
                    <m:r>
                      <m:rPr/>
                      <m:t>u</m:t>
                    </m:r>
                  </m:e>
                  <m:sub>
                    <m:r>
                      <m:rPr/>
                      <m:t>s</m:t>
                    </m:r>
                  </m:sub>
                </m:sSub>
              </m:sub>
            </m:sSub>
          </m:e>
        </m:d>
      </m:oMath>
      <w:r>
        <w:rPr>
          <w:rFonts w:ascii="Palatino Linotype" w:hAnsi="Palatino Linotype" w:eastAsia="Palatino Linotype"/>
          <w:b w:val="0"/>
          <w:i w:val="0"/>
          <w:sz w:val="20"/>
        </w:rPr>
        <w:tab/>
      </w:r>
      <w:r>
        <w:rPr>
          <w:rFonts w:ascii="Palatino Linotype" w:hAnsi="Palatino Linotype" w:eastAsia="Palatino Linotype"/>
          <w:b w:val="0"/>
          <w:i w:val="0"/>
          <w:sz w:val="20"/>
        </w:rPr>
        <w:t>(19)</w:t>
      </w:r>
    </w:p>
    <w:p>
      <w:pPr>
        <w:tabs>
          <w:tab w:val="center" w:pos="4600"/>
          <w:tab w:val="right" w:pos="9200"/>
        </w:tabs>
        <w:spacing w:before="80" w:after="80"/>
        <w:ind w:left="0"/>
        <w:jc w:val="right"/>
      </w:pPr>
      <w:r>
        <w:rPr>
          <w:rFonts w:ascii="Palatino Linotype" w:hAnsi="Palatino Linotype" w:eastAsia="Palatino Linotype"/>
          <w:b w:val="0"/>
          <w:i w:val="0"/>
          <w:sz w:val="20"/>
        </w:rPr>
        <w:tab/>
      </w:r>
      <m:oMath>
        <m:d>
          <m:dPr>
            <m:begChr m:val="("/>
            <m:endChr m:val=")"/>
          </m:dPr>
          <m:e>
            <m:r>
              <m:rPr/>
              <m:t>r</m:t>
            </m:r>
            <m:r>
              <m:rPr/>
              <m:t xml:space="preserve"> </m:t>
            </m:r>
            <m:r>
              <m:rPr>
                <m:sty m:val="p"/>
              </m:rPr>
              <m:t>+</m:t>
            </m:r>
            <m:r>
              <m:rPr/>
              <m:t xml:space="preserve"> </m:t>
            </m:r>
            <m:sSub>
              <m:sSubPr/>
              <m:e>
                <m:r>
                  <m:rPr/>
                  <m:t>δ</m:t>
                </m:r>
              </m:e>
              <m:sub>
                <m:r>
                  <m:rPr/>
                  <m:t>j</m:t>
                </m:r>
              </m:sub>
            </m:sSub>
            <m:r>
              <m:rPr/>
              <m:t xml:space="preserve"> </m:t>
            </m:r>
            <m:r>
              <m:rPr>
                <m:sty m:val="p"/>
              </m:rPr>
              <m:t>+</m:t>
            </m:r>
            <m:r>
              <m:rPr/>
              <m:t xml:space="preserve"> </m:t>
            </m:r>
            <m:r>
              <m:rPr/>
              <m:t>π</m:t>
            </m:r>
            <m:r>
              <m:rPr/>
              <m:t xml:space="preserve"> </m:t>
            </m:r>
            <m:r>
              <m:rPr>
                <m:sty m:val="p"/>
              </m:rPr>
              <m:t>+</m:t>
            </m:r>
            <m:r>
              <m:rPr/>
              <m:t xml:space="preserve"> </m:t>
            </m:r>
            <m:r>
              <m:rPr/>
              <m:t>ω</m:t>
            </m:r>
          </m:e>
        </m:d>
        <m:sSub>
          <m:sSubPr/>
          <m:e>
            <m:r>
              <m:rPr/>
              <m:t>λ</m:t>
            </m:r>
          </m:e>
          <m:sub>
            <m:sSub>
              <m:sSubPr/>
              <m:e>
                <m:r>
                  <m:rPr/>
                  <m:t>e</m:t>
                </m:r>
              </m:e>
              <m:sub>
                <m:r>
                  <m:rPr/>
                  <m:t>j</m:t>
                </m:r>
              </m:sub>
            </m:sSub>
          </m:sub>
        </m:sSub>
        <m:r>
          <m:rPr/>
          <m:t xml:space="preserve"> </m:t>
        </m:r>
        <m:r>
          <m:rPr>
            <m:sty m:val="p"/>
          </m:rPr>
          <m:t>=</m:t>
        </m:r>
        <m:r>
          <m:rPr/>
          <m:t xml:space="preserve"> </m:t>
        </m:r>
        <m:sSub>
          <m:sSubPr/>
          <m:e>
            <m:r>
              <m:rPr/>
              <m:t>F</m:t>
            </m:r>
          </m:e>
          <m:sub>
            <m:r>
              <m:rPr/>
              <m:t>j</m:t>
            </m:r>
          </m:sub>
        </m:sSub>
        <m:r>
          <m:rPr/>
          <m:t xml:space="preserve"> </m:t>
        </m:r>
        <m:r>
          <m:rPr>
            <m:sty m:val="p"/>
          </m:rPr>
          <m:t>−</m:t>
        </m:r>
        <m:r>
          <m:rPr/>
          <m:t xml:space="preserve"> </m:t>
        </m:r>
        <m:r>
          <m:rPr/>
          <m:t>m</m:t>
        </m:r>
        <m:sSub>
          <m:sSubPr/>
          <m:e>
            <m:r>
              <m:rPr/>
              <m:t>F</m:t>
            </m:r>
          </m:e>
          <m:sub>
            <m:r>
              <m:rPr/>
              <m:t>s</m:t>
            </m:r>
          </m:sub>
        </m:sSub>
        <m:r>
          <m:rPr/>
          <m:t xml:space="preserve"> </m:t>
        </m:r>
        <m:r>
          <m:rPr>
            <m:sty m:val="p"/>
          </m:rPr>
          <m:t>+</m:t>
        </m:r>
        <m:r>
          <m:rPr/>
          <m:t xml:space="preserve"> </m:t>
        </m:r>
        <m:sSub>
          <m:sSubPr/>
          <m:e>
            <m:r>
              <m:rPr/>
              <m:t>δ</m:t>
            </m:r>
          </m:e>
          <m:sub>
            <m:r>
              <m:rPr/>
              <m:t>j</m:t>
            </m:r>
          </m:sub>
        </m:sSub>
        <m:sSub>
          <m:sSubPr/>
          <m:e>
            <m:r>
              <m:rPr/>
              <m:t>λ</m:t>
            </m:r>
          </m:e>
          <m:sub>
            <m:sSub>
              <m:sSubPr/>
              <m:e>
                <m:r>
                  <m:rPr/>
                  <m:t>u</m:t>
                </m:r>
              </m:e>
              <m:sub>
                <m:r>
                  <m:rPr/>
                  <m:t>j</m:t>
                </m:r>
              </m:sub>
            </m:sSub>
          </m:sub>
        </m:sSub>
        <m:r>
          <m:rPr/>
          <m:t xml:space="preserve"> </m:t>
        </m:r>
        <m:r>
          <m:rPr>
            <m:sty m:val="p"/>
          </m:rPr>
          <m:t>+</m:t>
        </m:r>
        <m:r>
          <m:rPr/>
          <m:t xml:space="preserve"> </m:t>
        </m:r>
        <m:r>
          <m:rPr/>
          <m:t>π</m:t>
        </m:r>
        <m:sSub>
          <m:sSubPr/>
          <m:e>
            <m:r>
              <m:rPr/>
              <m:t>λ</m:t>
            </m:r>
          </m:e>
          <m:sub>
            <m:sSub>
              <m:sSubPr/>
              <m:e>
                <m:r>
                  <m:rPr/>
                  <m:t>e</m:t>
                </m:r>
              </m:e>
              <m:sub>
                <m:r>
                  <m:rPr/>
                  <m:t>s</m:t>
                </m:r>
              </m:sub>
            </m:sSub>
          </m:sub>
        </m:sSub>
        <m:r>
          <m:rPr/>
          <m:t xml:space="preserve">, </m:t>
        </m:r>
        <m:r>
          <m:rPr/>
          <m:t xml:space="preserve"> </m:t>
        </m:r>
        <m:r>
          <m:rPr/>
          <m:t xml:space="preserve"> </m:t>
        </m:r>
        <m:d>
          <m:dPr>
            <m:begChr m:val="("/>
            <m:endChr m:val=")"/>
          </m:dPr>
          <m:e>
            <m:r>
              <m:rPr/>
              <m:t>r</m:t>
            </m:r>
            <m:r>
              <m:rPr/>
              <m:t xml:space="preserve"> </m:t>
            </m:r>
            <m:r>
              <m:rPr>
                <m:sty m:val="p"/>
              </m:rPr>
              <m:t>+</m:t>
            </m:r>
            <m:r>
              <m:rPr/>
              <m:t xml:space="preserve"> </m:t>
            </m:r>
            <m:sSub>
              <m:sSubPr/>
              <m:e>
                <m:r>
                  <m:rPr/>
                  <m:t>δ</m:t>
                </m:r>
              </m:e>
              <m:sub>
                <m:r>
                  <m:rPr/>
                  <m:t>s</m:t>
                </m:r>
              </m:sub>
            </m:sSub>
            <m:r>
              <m:rPr/>
              <m:t xml:space="preserve"> </m:t>
            </m:r>
            <m:r>
              <m:rPr>
                <m:sty m:val="p"/>
              </m:rPr>
              <m:t>+</m:t>
            </m:r>
            <m:r>
              <m:rPr/>
              <m:t xml:space="preserve"> </m:t>
            </m:r>
            <m:r>
              <m:rPr/>
              <m:t>ω</m:t>
            </m:r>
          </m:e>
        </m:d>
        <m:sSub>
          <m:sSubPr/>
          <m:e>
            <m:r>
              <m:rPr/>
              <m:t>λ</m:t>
            </m:r>
          </m:e>
          <m:sub>
            <m:sSub>
              <m:sSubPr/>
              <m:e>
                <m:r>
                  <m:rPr/>
                  <m:t>e</m:t>
                </m:r>
              </m:e>
              <m:sub>
                <m:r>
                  <m:rPr/>
                  <m:t>s</m:t>
                </m:r>
              </m:sub>
            </m:sSub>
          </m:sub>
        </m:sSub>
        <m:r>
          <m:rPr/>
          <m:t xml:space="preserve"> </m:t>
        </m:r>
        <m:r>
          <m:rPr>
            <m:sty m:val="p"/>
          </m:rPr>
          <m:t>=</m:t>
        </m:r>
        <m:r>
          <m:rPr/>
          <m:t xml:space="preserve"> </m:t>
        </m:r>
        <m:sSub>
          <m:sSubPr/>
          <m:e>
            <m:r>
              <m:rPr/>
              <m:t>F</m:t>
            </m:r>
          </m:e>
          <m:sub>
            <m:r>
              <m:rPr/>
              <m:t>s</m:t>
            </m:r>
          </m:sub>
        </m:sSub>
        <m:r>
          <m:rPr/>
          <m:t xml:space="preserve"> </m:t>
        </m:r>
        <m:r>
          <m:rPr>
            <m:sty m:val="p"/>
          </m:rPr>
          <m:t>+</m:t>
        </m:r>
        <m:r>
          <m:rPr/>
          <m:t xml:space="preserve"> </m:t>
        </m:r>
        <m:sSub>
          <m:sSubPr/>
          <m:e>
            <m:r>
              <m:rPr/>
              <m:t>δ</m:t>
            </m:r>
          </m:e>
          <m:sub>
            <m:r>
              <m:rPr/>
              <m:t>s</m:t>
            </m:r>
          </m:sub>
        </m:sSub>
        <m:sSub>
          <m:sSubPr/>
          <m:e>
            <m:r>
              <m:rPr/>
              <m:t>λ</m:t>
            </m:r>
          </m:e>
          <m:sub>
            <m:sSub>
              <m:sSubPr/>
              <m:e>
                <m:r>
                  <m:rPr/>
                  <m:t>u</m:t>
                </m:r>
              </m:e>
              <m:sub>
                <m:r>
                  <m:rPr/>
                  <m:t>s</m:t>
                </m:r>
              </m:sub>
            </m:sSub>
          </m:sub>
        </m:sSub>
      </m:oMath>
      <w:r>
        <w:rPr>
          <w:rFonts w:ascii="Palatino Linotype" w:hAnsi="Palatino Linotype" w:eastAsia="Palatino Linotype"/>
          <w:b w:val="0"/>
          <w:i w:val="0"/>
          <w:sz w:val="20"/>
        </w:rPr>
        <w:tab/>
      </w:r>
      <w:r>
        <w:rPr>
          <w:rFonts w:ascii="Palatino Linotype" w:hAnsi="Palatino Linotype" w:eastAsia="Palatino Linotype"/>
          <w:b w:val="0"/>
          <w:i w:val="0"/>
          <w:sz w:val="20"/>
        </w:rPr>
        <w:t>(20)</w:t>
      </w:r>
    </w:p>
    <w:p>
      <w:pPr>
        <w:spacing w:after="120"/>
        <w:jc w:val="both"/>
      </w:pPr>
      <w:r>
        <w:rPr>
          <w:rFonts w:ascii="Palatino Linotype" w:hAnsi="Palatino Linotype" w:eastAsia="Palatino Linotype"/>
          <w:b w:val="0"/>
          <w:i w:val="0"/>
          <w:sz w:val="20"/>
        </w:rPr>
        <w:t>and the planner’s optimality conditions for vacancies and for mentoring are</w:t>
      </w:r>
    </w:p>
    <w:p>
      <w:pPr>
        <w:tabs>
          <w:tab w:val="center" w:pos="4600"/>
          <w:tab w:val="right" w:pos="9200"/>
        </w:tabs>
        <w:spacing w:before="80" w:after="80"/>
        <w:ind w:left="0"/>
        <w:jc w:val="right"/>
      </w:pPr>
      <w:r>
        <w:rPr>
          <w:rFonts w:ascii="Palatino Linotype" w:hAnsi="Palatino Linotype" w:eastAsia="Palatino Linotype"/>
          <w:b w:val="0"/>
          <w:i w:val="0"/>
          <w:sz w:val="20"/>
        </w:rPr>
        <w:tab/>
      </w:r>
      <m:oMath>
        <m:d>
          <m:dPr>
            <m:begChr m:val="("/>
            <m:endChr m:val=")"/>
          </m:dPr>
          <m:e>
            <m:r>
              <m:rPr/>
              <m:t>1</m:t>
            </m:r>
            <m:r>
              <m:rPr/>
              <m:t xml:space="preserve"> </m:t>
            </m:r>
            <m:r>
              <m:rPr>
                <m:sty m:val="p"/>
              </m:rPr>
              <m:t>−</m:t>
            </m:r>
            <m:r>
              <m:rPr/>
              <m:t xml:space="preserve"> </m:t>
            </m:r>
            <m:r>
              <m:rPr/>
              <m:t>η</m:t>
            </m:r>
          </m:e>
        </m:d>
        <m:sSub>
          <m:sSubPr/>
          <m:e>
            <m:r>
              <m:rPr/>
              <m:t>q</m:t>
            </m:r>
          </m:e>
          <m:sub>
            <m:r>
              <m:rPr/>
              <m:t>i</m:t>
            </m:r>
          </m:sub>
        </m:sSub>
        <m:d>
          <m:dPr>
            <m:begChr m:val="("/>
            <m:endChr m:val=")"/>
          </m:dPr>
          <m:e>
            <m:sSub>
              <m:sSubPr/>
              <m:e>
                <m:r>
                  <m:rPr/>
                  <m:t>λ</m:t>
                </m:r>
              </m:e>
              <m:sub>
                <m:sSub>
                  <m:sSubPr/>
                  <m:e>
                    <m:r>
                      <m:rPr/>
                      <m:t>e</m:t>
                    </m:r>
                  </m:e>
                  <m:sub>
                    <m:r>
                      <m:rPr/>
                      <m:t>i</m:t>
                    </m:r>
                  </m:sub>
                </m:sSub>
              </m:sub>
            </m:sSub>
            <m:r>
              <m:rPr/>
              <m:t xml:space="preserve"> </m:t>
            </m:r>
            <m:r>
              <m:rPr>
                <m:sty m:val="p"/>
              </m:rPr>
              <m:t>−</m:t>
            </m:r>
            <m:r>
              <m:rPr/>
              <m:t xml:space="preserve"> </m:t>
            </m:r>
            <m:sSub>
              <m:sSubPr/>
              <m:e>
                <m:r>
                  <m:rPr/>
                  <m:t>λ</m:t>
                </m:r>
              </m:e>
              <m:sub>
                <m:sSub>
                  <m:sSubPr/>
                  <m:e>
                    <m:r>
                      <m:rPr/>
                      <m:t>u</m:t>
                    </m:r>
                  </m:e>
                  <m:sub>
                    <m:r>
                      <m:rPr/>
                      <m:t>i</m:t>
                    </m:r>
                  </m:sub>
                </m:sSub>
              </m:sub>
            </m:sSub>
          </m:e>
        </m:d>
        <m:r>
          <m:rPr/>
          <m:t xml:space="preserve"> </m:t>
        </m:r>
        <m:r>
          <m:rPr>
            <m:sty m:val="p"/>
          </m:rPr>
          <m:t>=</m:t>
        </m:r>
        <m:r>
          <m:rPr/>
          <m:t xml:space="preserve"> </m:t>
        </m:r>
        <m:sSub>
          <m:sSubPr/>
          <m:e>
            <m:r>
              <m:rPr/>
              <m:t>c</m:t>
            </m:r>
          </m:e>
          <m:sub>
            <m:r>
              <m:rPr/>
              <m:t>i</m:t>
            </m:r>
          </m:sub>
        </m:sSub>
        <m:r>
          <m:rPr/>
          <m:t xml:space="preserve">, </m:t>
        </m:r>
        <m:r>
          <m:rPr/>
          <m:t xml:space="preserve"> </m:t>
        </m:r>
        <m:r>
          <m:rPr/>
          <m:t xml:space="preserve"> </m:t>
        </m:r>
        <m:r>
          <m:rPr/>
          <m:t>π</m:t>
        </m:r>
        <m:r>
          <m:rPr>
            <m:sty m:val="p"/>
          </m:rPr>
          <m:t>′</m:t>
        </m:r>
        <m:d>
          <m:dPr>
            <m:begChr m:val="("/>
            <m:endChr m:val=")"/>
          </m:dPr>
          <m:e>
            <m:r>
              <m:rPr/>
              <m:t>m</m:t>
            </m:r>
          </m:e>
        </m:d>
        <m:d>
          <m:dPr>
            <m:begChr m:val="("/>
            <m:endChr m:val=")"/>
          </m:dPr>
          <m:e>
            <m:sSub>
              <m:sSubPr/>
              <m:e>
                <m:r>
                  <m:rPr/>
                  <m:t>λ</m:t>
                </m:r>
              </m:e>
              <m:sub>
                <m:sSub>
                  <m:sSubPr/>
                  <m:e>
                    <m:r>
                      <m:rPr/>
                      <m:t>e</m:t>
                    </m:r>
                  </m:e>
                  <m:sub>
                    <m:r>
                      <m:rPr/>
                      <m:t>s</m:t>
                    </m:r>
                  </m:sub>
                </m:sSub>
              </m:sub>
            </m:sSub>
            <m:r>
              <m:rPr/>
              <m:t xml:space="preserve"> </m:t>
            </m:r>
            <m:r>
              <m:rPr>
                <m:sty m:val="p"/>
              </m:rPr>
              <m:t>−</m:t>
            </m:r>
            <m:r>
              <m:rPr/>
              <m:t xml:space="preserve"> </m:t>
            </m:r>
            <m:sSub>
              <m:sSubPr/>
              <m:e>
                <m:r>
                  <m:rPr/>
                  <m:t>λ</m:t>
                </m:r>
              </m:e>
              <m:sub>
                <m:sSub>
                  <m:sSubPr/>
                  <m:e>
                    <m:r>
                      <m:rPr/>
                      <m:t>e</m:t>
                    </m:r>
                  </m:e>
                  <m:sub>
                    <m:r>
                      <m:rPr/>
                      <m:t>j</m:t>
                    </m:r>
                  </m:sub>
                </m:sSub>
              </m:sub>
            </m:sSub>
          </m:e>
        </m:d>
        <m:r>
          <m:rPr/>
          <m:t xml:space="preserve"> </m:t>
        </m:r>
        <m:r>
          <m:rPr>
            <m:sty m:val="p"/>
          </m:rPr>
          <m:t>=</m:t>
        </m:r>
        <m:r>
          <m:rPr/>
          <m:t xml:space="preserve"> </m:t>
        </m:r>
        <m:sSub>
          <m:sSubPr/>
          <m:e>
            <m:r>
              <m:rPr/>
              <m:t>F</m:t>
            </m:r>
          </m:e>
          <m:sub>
            <m:r>
              <m:rPr/>
              <m:t>s</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(21)</w:t>
      </w:r>
    </w:p>
    <w:p>
      <w:pPr>
        <w:spacing w:after="120"/>
        <w:jc w:val="both"/>
      </w:pPr>
      <w:r>
        <w:rPr>
          <w:rFonts w:ascii="Palatino Linotype" w:hAnsi="Palatino Linotype" w:eastAsia="Palatino Linotype"/>
          <w:b w:val="0"/>
          <w:i w:val="0"/>
          <w:sz w:val="20"/>
        </w:rPr>
        <w:t xml:space="preserve">Comparing these with the decentralised conditions (15) and (16) isolates the two wedges, which Figure 2 illustrates. The vacancy conditions differ by the familiar factor </w:t>
      </w:r>
      <m:oMath>
        <m:r>
          <m:rPr/>
          <m:t>(1-η)</m:t>
        </m:r>
      </m:oMath>
      <w:r>
        <w:rPr>
          <w:rFonts w:ascii="Palatino Linotype" w:hAnsi="Palatino Linotype" w:eastAsia="Palatino Linotype"/>
          <w:b w:val="0"/>
          <w:i w:val="0"/>
          <w:sz w:val="20"/>
        </w:rPr>
        <w:t xml:space="preserve"> against the firm’s share </w:t>
      </w:r>
      <m:oMath>
        <m:r>
          <m:rPr/>
          <m:t>(1-β)</m:t>
        </m:r>
      </m:oMath>
      <w:r>
        <w:rPr>
          <w:rFonts w:ascii="Palatino Linotype" w:hAnsi="Palatino Linotype" w:eastAsia="Palatino Linotype"/>
          <w:b w:val="0"/>
          <w:i w:val="0"/>
          <w:sz w:val="20"/>
        </w:rPr>
        <w:t xml:space="preserve">, so search externalities cancel exactly when </w:t>
      </w:r>
      <m:oMath>
        <m:r>
          <m:rPr/>
          <m:t xml:space="preserve">β = η</m:t>
        </m:r>
      </m:oMath>
      <w:r>
        <w:rPr>
          <w:rFonts w:ascii="Palatino Linotype" w:hAnsi="Palatino Linotype" w:eastAsia="Palatino Linotype"/>
          <w:b w:val="0"/>
          <w:i w:val="0"/>
          <w:sz w:val="20"/>
        </w:rPr>
        <w:t xml:space="preserve">. The mentoring conditions differ by two further factors: the firm captures only </w:t>
      </w:r>
      <m:oMath>
        <m:r>
          <m:rPr/>
          <m:t>(1-β)</m:t>
        </m:r>
      </m:oMath>
      <w:r>
        <w:rPr>
          <w:rFonts w:ascii="Palatino Linotype" w:hAnsi="Palatino Linotype" w:eastAsia="Palatino Linotype"/>
          <w:b w:val="0"/>
          <w:i w:val="0"/>
          <w:sz w:val="20"/>
        </w:rPr>
        <w:t xml:space="preserve"> of the promotion surplus but pays the whole mentoring cost, and it values the experienced job at a discount rate inflated by </w:t>
      </w:r>
      <m:oMath>
        <m:r>
          <m:rPr/>
          <m:t>φ</m:t>
        </m:r>
      </m:oMath>
      <w:r>
        <w:rPr>
          <w:rFonts w:ascii="Palatino Linotype" w:hAnsi="Palatino Linotype" w:eastAsia="Palatino Linotype"/>
          <w:b w:val="0"/>
          <w:i w:val="0"/>
          <w:sz w:val="20"/>
        </w:rPr>
        <w:t>. This yields the two propositions.</w:t>
      </w:r>
    </w:p>
    <w:p>
      <w:pPr>
        <w:spacing w:after="40"/>
        <w:jc w:val="center"/>
      </w:pPr>
      <w:r>
        <w:drawing>
          <wp:inline distT="0" distB="0" distL="114300" distR="114300">
            <wp:extent cx="5486400" cy="30532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1"/>
                    <a:stretch>
                      <a:fillRect/>
                    </a:stretch>
                  </pic:blipFill>
                  <pic:spPr>
                    <a:xfrm>
                      <a:off x="0" y="0"/>
                      <a:ext cx="5486400" cy="3053232"/>
                    </a:xfrm>
                    <a:prstGeom prst="rect">
                      <a:avLst/>
                    </a:prstGeom>
                  </pic:spPr>
                </pic:pic>
              </a:graphicData>
            </a:graphic>
          </wp:inline>
        </w:drawing>
      </w:r>
    </w:p>
    <w:p>
      <w:pPr>
        <w:spacing w:after="160"/>
        <w:jc w:val="both"/>
      </w:pPr>
      <w:r>
        <w:rPr>
          <w:rFonts w:ascii="Palatino Linotype" w:hAnsi="Palatino Linotype" w:eastAsia="Palatino Linotype"/>
          <w:b/>
          <w:i w:val="0"/>
          <w:sz w:val="17"/>
        </w:rPr>
        <w:t xml:space="preserve">Figure 2. </w:t>
      </w:r>
      <w:r>
        <w:rPr>
          <w:rFonts w:ascii="Palatino Linotype" w:hAnsi="Palatino Linotype" w:eastAsia="Palatino Linotype"/>
          <w:b w:val="0"/>
          <w:i w:val="0"/>
          <w:sz w:val="17"/>
        </w:rPr>
        <w:t xml:space="preserve">The return to an entry-level match and the two wedges that shrink it. Block heights are illustrative; estimated magnitudes are reported in Section 5. The lower block is current task output, which artificial intelligence substitutes for; the upper block is the value of producing an experienced worker, which it does not. Hold-up removes the share </w:t>
      </w:r>
      <m:oMath>
        <m:r>
          <m:rPr/>
          <m:t>β</m:t>
        </m:r>
      </m:oMath>
      <w:r>
        <w:rPr>
          <w:rFonts w:ascii="Palatino Linotype" w:hAnsi="Palatino Linotype" w:eastAsia="Palatino Linotype"/>
          <w:b w:val="0"/>
          <w:i w:val="0"/>
          <w:sz w:val="17"/>
        </w:rPr>
        <w:t xml:space="preserve"> of the upper block from the firm’s calculation and poaching discounts what remains, so a technology that shrinks only the lower block shifts the hiring decision onto the part of the return the market fails to reward.</w:t>
      </w:r>
    </w:p>
    <w:p>
      <w:pPr>
        <w:keepNext/>
        <w:spacing w:before="140" w:after="80"/>
      </w:pPr>
      <w:r>
        <w:rPr>
          <w:rFonts w:ascii="Palatino Linotype" w:hAnsi="Palatino Linotype" w:eastAsia="Palatino Linotype"/>
          <w:b/>
          <w:i/>
          <w:sz w:val="20"/>
        </w:rPr>
        <w:t>Proposition 1 (exact decentralisation).</w:t>
      </w:r>
    </w:p>
    <w:p>
      <w:pPr>
        <w:spacing w:after="120"/>
        <w:jc w:val="both"/>
      </w:pPr>
      <w:r>
        <w:rPr>
          <w:rFonts w:ascii="Palatino Linotype" w:hAnsi="Palatino Linotype" w:eastAsia="Palatino Linotype"/>
          <w:b w:val="0"/>
          <w:i w:val="0"/>
          <w:sz w:val="20"/>
        </w:rPr>
        <w:t xml:space="preserve">If the Hosios condition holds </w:t>
      </w:r>
      <m:oMath>
        <m:r>
          <m:rPr/>
          <m:t xml:space="preserve">(β = η)</m:t>
        </m:r>
      </m:oMath>
      <w:r>
        <w:rPr>
          <w:rFonts w:ascii="Palatino Linotype" w:hAnsi="Palatino Linotype" w:eastAsia="Palatino Linotype"/>
          <w:b w:val="0"/>
          <w:i w:val="0"/>
          <w:sz w:val="20"/>
        </w:rPr>
        <w:t xml:space="preserve">, there is no poaching </w:t>
      </w:r>
      <m:oMath>
        <m:r>
          <m:rPr/>
          <m:t xml:space="preserve">(φ = 0)</m:t>
        </m:r>
      </m:oMath>
      <w:r>
        <w:rPr>
          <w:rFonts w:ascii="Palatino Linotype" w:hAnsi="Palatino Linotype" w:eastAsia="Palatino Linotype"/>
          <w:b w:val="0"/>
          <w:i w:val="0"/>
          <w:sz w:val="20"/>
        </w:rPr>
        <w:t xml:space="preserve">, mentoring is contractible and entry wages are flexible </w:t>
      </w:r>
      <m:oMath>
        <m:r>
          <m:rPr/>
          <m:t xml:space="preserve">(γ_{w} = 0)</m:t>
        </m:r>
      </m:oMath>
      <w:r>
        <w:rPr>
          <w:rFonts w:ascii="Palatino Linotype" w:hAnsi="Palatino Linotype" w:eastAsia="Palatino Linotype"/>
          <w:b w:val="0"/>
          <w:i w:val="0"/>
          <w:sz w:val="20"/>
        </w:rPr>
        <w:t xml:space="preserve">, then the decentralised steady state coincides with the constrained planner’s allocation and no intervention can raise welfare. If either contracting friction is present, the decentralised allocation under-provides mentoring even when </w:t>
      </w:r>
      <m:oMath>
        <m:r>
          <m:rPr/>
          <m:t xml:space="preserve">β = η</m:t>
        </m:r>
      </m:oMath>
      <w:r>
        <w:rPr>
          <w:rFonts w:ascii="Palatino Linotype" w:hAnsi="Palatino Linotype" w:eastAsia="Palatino Linotype"/>
          <w:b w:val="0"/>
          <w:i w:val="0"/>
          <w:sz w:val="20"/>
        </w:rPr>
        <w:t>.</w:t>
      </w:r>
    </w:p>
    <w:p>
      <w:pPr>
        <w:spacing w:after="120"/>
        <w:jc w:val="both"/>
      </w:pPr>
      <w:r>
        <w:rPr>
          <w:rFonts w:ascii="Palatino Linotype" w:hAnsi="Palatino Linotype" w:eastAsia="Palatino Linotype"/>
          <w:b w:val="0"/>
          <w:i w:val="0"/>
          <w:sz w:val="20"/>
        </w:rPr>
        <w:t xml:space="preserve">The proof is by direct comparison of the two systems: under these conditions the costates satisfy </w:t>
      </w:r>
      <m:oMath>
        <m:r>
          <m:rPr/>
          <m:t xml:space="preserve">λ_{ei} - λ_{ui} = S_{i}</m:t>
        </m:r>
      </m:oMath>
      <w:r>
        <w:rPr>
          <w:rFonts w:ascii="Palatino Linotype" w:hAnsi="Palatino Linotype" w:eastAsia="Palatino Linotype"/>
          <w:b w:val="0"/>
          <w:i w:val="0"/>
          <w:sz w:val="20"/>
        </w:rPr>
        <w:t xml:space="preserve"> and </w:t>
      </w:r>
      <m:oMath>
        <m:r>
          <m:rPr/>
          <m:t xml:space="preserve">λ_{ui} = U_{i}</m:t>
        </m:r>
      </m:oMath>
      <w:r>
        <w:rPr>
          <w:rFonts w:ascii="Palatino Linotype" w:hAnsi="Palatino Linotype" w:eastAsia="Palatino Linotype"/>
          <w:b w:val="0"/>
          <w:i w:val="0"/>
          <w:sz w:val="20"/>
        </w:rPr>
        <w:t xml:space="preserve"> on both tiers, which converts each planner condition into the corresponding market condition. Because the argument runs through a simultaneous system of eight equations, we also verify it numerically: at the parameter values of Section 4, market and planner tightness, mentoring, stocks, output and welfare agree to a relative error below </w:t>
      </w:r>
      <m:oMath>
        <m:sSup>
          <m:sSupPr/>
          <m:e>
            <m:r>
              <m:rPr/>
              <m:t>10</m:t>
            </m:r>
          </m:e>
          <m:sup>
            <m:r>
              <m:rPr/>
              <m:t>-13</m:t>
            </m:r>
          </m:sup>
        </m:sSup>
      </m:oMath>
      <w:r>
        <w:rPr>
          <w:rFonts w:ascii="Palatino Linotype" w:hAnsi="Palatino Linotype" w:eastAsia="Palatino Linotype"/>
          <w:b w:val="0"/>
          <w:i w:val="0"/>
          <w:sz w:val="20"/>
        </w:rPr>
        <w:t>. That agreement is a joint test of the value functions, the costates and the numerical solver, and it is why the wedges reported below can be attributed to economics rather than to arithmetic.</w:t>
      </w:r>
    </w:p>
    <w:p>
      <w:pPr>
        <w:keepNext/>
        <w:spacing w:before="140" w:after="80"/>
      </w:pPr>
      <w:r>
        <w:rPr>
          <w:rFonts w:ascii="Palatino Linotype" w:hAnsi="Palatino Linotype" w:eastAsia="Palatino Linotype"/>
          <w:b/>
          <w:i/>
          <w:sz w:val="20"/>
        </w:rPr>
        <w:t>Proposition 2 (incidence depends on the wage rule).</w:t>
      </w:r>
    </w:p>
    <w:p>
      <w:pPr>
        <w:spacing w:after="120"/>
        <w:jc w:val="both"/>
      </w:pPr>
      <w:r>
        <w:rPr>
          <w:rFonts w:ascii="Palatino Linotype" w:hAnsi="Palatino Linotype" w:eastAsia="Palatino Linotype"/>
          <w:b w:val="0"/>
          <w:i w:val="0"/>
          <w:sz w:val="20"/>
        </w:rPr>
        <w:t xml:space="preserve">A fall in the price of artificial intelligence lowers the marginal product of an entry-level worker. Under flexible bargaining the entry wage absorbs the fall and the surplus, and hence entry-level tightness, is nearly unchanged; as </w:t>
      </w:r>
      <m:oMath>
        <m:sSub>
          <m:sSubPr/>
          <m:e>
            <m:r>
              <m:rPr/>
              <m:t>γ</m:t>
            </m:r>
          </m:e>
          <m:sub>
            <m:r>
              <m:rPr/>
              <m:t>w</m:t>
            </m:r>
          </m:sub>
        </m:sSub>
      </m:oMath>
      <w:r>
        <w:rPr>
          <w:rFonts w:ascii="Palatino Linotype" w:hAnsi="Palatino Linotype" w:eastAsia="Palatino Linotype"/>
          <w:b w:val="0"/>
          <w:i w:val="0"/>
          <w:sz w:val="20"/>
        </w:rPr>
        <w:t xml:space="preserve"> rises the wage absorbs progressively less and the free-entry condition transmits progressively more of the shock into entry-level hiring. The employment consequences of automation for young workers are therefore not a property of the technology alone but of the wage-setting institutions it meets. Section 5.4 traces the whole mapping and asks which values of </w:t>
      </w:r>
      <m:oMath>
        <m:sSub>
          <m:sSubPr/>
          <m:e>
            <m:r>
              <m:rPr/>
              <m:t>γ</m:t>
            </m:r>
          </m:e>
          <m:sub>
            <m:r>
              <m:rPr/>
              <m:t>w</m:t>
            </m:r>
          </m:sub>
        </m:sSub>
      </m:oMath>
      <w:r>
        <w:rPr>
          <w:rFonts w:ascii="Palatino Linotype" w:hAnsi="Palatino Linotype" w:eastAsia="Palatino Linotype"/>
          <w:b w:val="0"/>
          <w:i w:val="0"/>
          <w:sz w:val="20"/>
        </w:rPr>
        <w:t xml:space="preserve"> are consistent with the observed pattern.</w:t>
      </w:r>
    </w:p>
    <w:p>
      <w:pPr>
        <w:keepNext/>
        <w:spacing w:before="200" w:after="80"/>
      </w:pPr>
      <w:r>
        <w:rPr>
          <w:rFonts w:ascii="Palatino Linotype" w:hAnsi="Palatino Linotype" w:eastAsia="Palatino Linotype"/>
          <w:b/>
          <w:i w:val="0"/>
          <w:sz w:val="24"/>
        </w:rPr>
        <w:t>4. Calibration</w:t>
      </w:r>
    </w:p>
    <w:p>
      <w:pPr>
        <w:spacing w:after="120"/>
        <w:jc w:val="both"/>
      </w:pPr>
      <w:r>
        <w:rPr>
          <w:rFonts w:ascii="Palatino Linotype" w:hAnsi="Palatino Linotype" w:eastAsia="Palatino Linotype"/>
          <w:b w:val="0"/>
          <w:i w:val="0"/>
          <w:sz w:val="20"/>
        </w:rPr>
        <w:t xml:space="preserve">The model is calibrated to China in 2025 at annual frequency. Parameters divide into those set outside the model from external evidence and those estimated inside it. Three normalisations come first, because they determine what can be identified at all. Matching efficiency and vacancy cost enter every equilibrium object only through the ratio </w:t>
      </w:r>
      <m:oMath>
        <m:r>
          <m:rPr/>
          <m:t>μ_{i}^{2}/c_{i}</m:t>
        </m:r>
      </m:oMath>
      <w:r>
        <w:rPr>
          <w:rFonts w:ascii="Palatino Linotype" w:hAnsi="Palatino Linotype" w:eastAsia="Palatino Linotype"/>
          <w:b w:val="0"/>
          <w:i w:val="0"/>
          <w:sz w:val="20"/>
        </w:rPr>
        <w:t xml:space="preserve">, so </w:t>
      </w:r>
      <m:oMath>
        <m:r>
          <m:rPr/>
          <m:t xml:space="preserve">μ_{j} = μ_{s} = 1</m:t>
        </m:r>
      </m:oMath>
      <w:r>
        <w:rPr>
          <w:rFonts w:ascii="Palatino Linotype" w:hAnsi="Palatino Linotype" w:eastAsia="Palatino Linotype"/>
          <w:b w:val="0"/>
          <w:i w:val="0"/>
          <w:sz w:val="20"/>
        </w:rPr>
        <w:t xml:space="preserve"> and the vacancy costs carry that dimension; consequently market tightness is measured in normalised units and only its changes are meaningful. Task units are also free, so </w:t>
      </w:r>
      <m:oMath>
        <m:r>
          <m:rPr/>
          <m:t xml:space="preserve">z_{j} = \chi = 1</m:t>
        </m:r>
      </m:oMath>
      <w:r>
        <w:rPr>
          <w:rFonts w:ascii="Palatino Linotype" w:hAnsi="Palatino Linotype" w:eastAsia="Palatino Linotype"/>
          <w:b w:val="0"/>
          <w:i w:val="0"/>
          <w:sz w:val="20"/>
        </w:rPr>
        <w:t xml:space="preserve">, and only relative changes in </w:t>
      </w:r>
      <m:oMath>
        <m:r>
          <m:rPr/>
          <m:t>\chi</m:t>
        </m:r>
      </m:oMath>
      <w:r>
        <w:rPr>
          <w:rFonts w:ascii="Palatino Linotype" w:hAnsi="Palatino Linotype" w:eastAsia="Palatino Linotype"/>
          <w:b w:val="0"/>
          <w:i w:val="0"/>
          <w:sz w:val="20"/>
        </w:rPr>
        <w:t xml:space="preserve">—the exposure experiments of Section 5.5—have content. Finally, recruiting cost per hire equals </w:t>
      </w:r>
      <m:oMath>
        <m:r>
          <m:rPr/>
          <m:t>J_{i}/w_{i}</m:t>
        </m:r>
      </m:oMath>
      <w:r>
        <w:rPr>
          <w:rFonts w:ascii="Palatino Linotype" w:hAnsi="Palatino Linotype" w:eastAsia="Palatino Linotype"/>
          <w:b w:val="0"/>
          <w:i w:val="0"/>
          <w:sz w:val="20"/>
        </w:rPr>
        <w:t xml:space="preserve"> by free entry and is therefore implied rather than free, which makes it available as an over-identifying check.</w:t>
      </w:r>
    </w:p>
    <w:p>
      <w:pPr>
        <w:spacing w:after="120"/>
        <w:jc w:val="both"/>
      </w:pPr>
      <w:r>
        <w:rPr>
          <w:rFonts w:ascii="Palatino Linotype" w:hAnsi="Palatino Linotype" w:eastAsia="Palatino Linotype"/>
          <w:b w:val="0"/>
          <w:i w:val="0"/>
          <w:sz w:val="20"/>
        </w:rPr>
        <w:t>What remains is eight parameters and eight conditions: seven data moments and the output normalisation. The system is square, so rather than minimising a distance that stays positive at the optimum we solve the moment conditions exactly. A bounded least-squares solve started from a point derived analytically from the block recursion of the moment system reaches a maximum absolute log deviation of 7.0e-14 across all eight conditions. The criterion used by the global fallback stage is</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m</m:t>
        </m:r>
        <m:r>
          <m:rPr>
            <m:sty m:val="p"/>
          </m:rPr>
          <m:t>in</m:t>
        </m:r>
        <m:r>
          <m:rPr/>
          <m:t xml:space="preserve"> </m:t>
        </m:r>
        <m:nary>
          <m:naryPr>
            <m:chr m:val="∑"/>
            <m:limLoc m:val="subSup"/>
          </m:naryPr>
          <m:sub>
            <m:r>
              <m:rPr/>
              <m:t>k</m:t>
            </m:r>
            <m:r>
              <m:rPr/>
              <m:t xml:space="preserve"> </m:t>
            </m:r>
            <m:r>
              <m:rPr>
                <m:sty m:val="p"/>
              </m:rPr>
              <m:t>=</m:t>
            </m:r>
            <m:r>
              <m:rPr/>
              <m:t xml:space="preserve"> </m:t>
            </m:r>
            <m:r>
              <m:rPr/>
              <m:t>1</m:t>
            </m:r>
          </m:sub>
          <m:sup>
            <m:r>
              <m:rPr/>
              <m:t>9</m:t>
            </m:r>
          </m:sup>
          <m:e>
            <m:sSub>
              <m:sSubPr/>
              <m:e>
                <m:r>
                  <m:rPr/>
                  <m:t>ϖ</m:t>
                </m:r>
              </m:e>
              <m:sub>
                <m:r>
                  <m:rPr/>
                  <m:t>k</m:t>
                </m:r>
              </m:sub>
            </m:sSub>
            <m:sSup>
              <m:sSupPr/>
              <m:e>
                <m:d>
                  <m:dPr>
                    <m:begChr m:val="("/>
                    <m:endChr m:val=")"/>
                  </m:dPr>
                  <m:e>
                    <m:f>
                      <m:fPr/>
                      <m:num>
                        <m:sSub>
                          <m:sSubPr/>
                          <m:e>
                            <m:r>
                              <m:rPr/>
                              <m:t>m</m:t>
                            </m:r>
                          </m:e>
                          <m:sub>
                            <m:r>
                              <m:rPr/>
                              <m:t>k</m:t>
                            </m:r>
                          </m:sub>
                        </m:sSub>
                        <m:d>
                          <m:dPr>
                            <m:begChr m:val="("/>
                            <m:endChr m:val=")"/>
                          </m:dPr>
                          <m:e>
                            <m:r>
                              <m:rPr/>
                              <m:t>Θ</m:t>
                            </m:r>
                          </m:e>
                        </m:d>
                      </m:num>
                      <m:den>
                        <m:bar>
                          <m:barPr>
                            <m:pos m:val="top"/>
                          </m:barPr>
                          <m:e>
                            <m:sSub>
                              <m:sSubPr/>
                              <m:e>
                                <m:r>
                                  <m:rPr/>
                                  <m:t>m</m:t>
                                </m:r>
                              </m:e>
                              <m:sub>
                                <m:r>
                                  <m:rPr/>
                                  <m:t>k</m:t>
                                </m:r>
                              </m:sub>
                            </m:sSub>
                          </m:e>
                        </m:bar>
                      </m:den>
                    </m:f>
                    <m:r>
                      <m:rPr/>
                      <m:t xml:space="preserve"> </m:t>
                    </m:r>
                    <m:r>
                      <m:rPr>
                        <m:sty m:val="p"/>
                      </m:rPr>
                      <m:t>−</m:t>
                    </m:r>
                    <m:r>
                      <m:rPr/>
                      <m:t xml:space="preserve"> </m:t>
                    </m:r>
                    <m:r>
                      <m:rPr/>
                      <m:t>1</m:t>
                    </m:r>
                  </m:e>
                </m:d>
              </m:e>
              <m:sup>
                <m:r>
                  <m:rPr/>
                  <m:t>2</m:t>
                </m:r>
              </m:sup>
            </m:sSup>
          </m:e>
        </m:nary>
      </m:oMath>
      <w:r>
        <w:rPr>
          <w:rFonts w:ascii="Palatino Linotype" w:hAnsi="Palatino Linotype" w:eastAsia="Palatino Linotype"/>
          <w:b w:val="0"/>
          <w:i w:val="0"/>
          <w:sz w:val="20"/>
        </w:rPr>
        <w:tab/>
      </w:r>
      <w:r>
        <w:rPr>
          <w:rFonts w:ascii="Palatino Linotype" w:hAnsi="Palatino Linotype" w:eastAsia="Palatino Linotype"/>
          <w:b w:val="0"/>
          <w:i w:val="0"/>
          <w:sz w:val="20"/>
        </w:rPr>
        <w:t>(22)</w:t>
      </w:r>
    </w:p>
    <w:p>
      <w:pPr>
        <w:spacing w:after="120"/>
        <w:jc w:val="both"/>
      </w:pPr>
      <w:r>
        <w:rPr>
          <w:rFonts w:ascii="Palatino Linotype" w:hAnsi="Palatino Linotype" w:eastAsia="Palatino Linotype"/>
          <w:b w:val="0"/>
          <w:i w:val="0"/>
          <w:sz w:val="20"/>
        </w:rPr>
        <w:t xml:space="preserve">where </w:t>
      </w:r>
      <m:oMath>
        <m:r>
          <m:rPr/>
          <m:t>m_{k}(\Theta)</m:t>
        </m:r>
      </m:oMath>
      <w:r>
        <w:rPr>
          <w:rFonts w:ascii="Palatino Linotype" w:hAnsi="Palatino Linotype" w:eastAsia="Palatino Linotype"/>
          <w:b w:val="0"/>
          <w:i w:val="0"/>
          <w:sz w:val="20"/>
        </w:rPr>
        <w:t xml:space="preserve"> is the model counterpart of the target </w:t>
      </w:r>
      <m:oMath>
        <m:sSub>
          <m:sSubPr/>
          <m:e>
            <m:r>
              <m:rPr/>
              <m:t>m</m:t>
            </m:r>
          </m:e>
          <m:sub>
            <m:r>
              <m:rPr/>
              <m:t>k</m:t>
            </m:r>
          </m:sub>
        </m:sSub>
      </m:oMath>
      <w:r>
        <w:rPr>
          <w:rFonts w:ascii="Palatino Linotype" w:hAnsi="Palatino Linotype" w:eastAsia="Palatino Linotype"/>
          <w:b w:val="0"/>
          <w:i w:val="0"/>
          <w:sz w:val="20"/>
        </w:rPr>
        <w:t>.</w:t>
      </w:r>
    </w:p>
    <w:p>
      <w:pPr>
        <w:keepNext/>
        <w:spacing w:before="140" w:after="80"/>
      </w:pPr>
      <w:r>
        <w:rPr>
          <w:rFonts w:ascii="Palatino Linotype" w:hAnsi="Palatino Linotype" w:eastAsia="Palatino Linotype"/>
          <w:b/>
          <w:i w:val="0"/>
          <w:sz w:val="20"/>
        </w:rPr>
        <w:t>4.1. Externally Set Parameters</w:t>
      </w:r>
    </w:p>
    <w:p>
      <w:pPr>
        <w:spacing w:after="120"/>
        <w:jc w:val="both"/>
      </w:pPr>
      <w:r>
        <w:rPr>
          <w:rFonts w:ascii="Palatino Linotype" w:hAnsi="Palatino Linotype" w:eastAsia="Palatino Linotype"/>
          <w:b w:val="0"/>
          <w:i w:val="0"/>
          <w:sz w:val="20"/>
        </w:rPr>
        <w:t xml:space="preserve">Table 1 lists the parameters fixed outside the estimation. The discount rate is 4 per cent and the labour-force exit rate 2.5 per cent, corresponding to a forty-year career. Separation rates are 0.22 for entry-level matches and 0.085 for experienced matches, reflecting the much higher turnover of first jobs [33]. The poaching rate is 0.18, in the range implied by job-to-job transition rates among early-career experienced workers [46]. The matching elasticity is 0.5, within the consensus range of the matching-function literature [42], and worker bargaining power is set equal to it, so the Hosios condition holds exactly in the baseline. That is a deliberately conservative choice: it removes the classical search externality by construction, so every wedge we report is attributable to training and poaching rather than to an assumption about bargaining power. The elasticity of substitution between the task bundles is 2.5 and the elasticity of the promotion hazard with respect to mentoring 0.4; both are varied widely in Section 5.8. Real rigidity of the entry wage is set to </w:t>
      </w:r>
      <m:oMath>
        <m:sSub>
          <m:sSubPr/>
          <m:e>
            <m:r>
              <m:rPr/>
              <m:t>γ</m:t>
            </m:r>
          </m:e>
          <m:sub>
            <m:r>
              <m:rPr/>
              <m:t>w</m:t>
            </m:r>
          </m:sub>
        </m:sSub>
      </m:oMath>
      <w:r>
        <w:rPr>
          <w:rFonts w:ascii="Palatino Linotype" w:hAnsi="Palatino Linotype" w:eastAsia="Palatino Linotype"/>
          <w:b w:val="0"/>
          <w:i w:val="0"/>
          <w:sz w:val="20"/>
        </w:rPr>
        <w:t xml:space="preserve"> = 0.8 [51], and because the rule is an identity at the calibration point this choice does not affect any estimated parameter—only the responses in Section 5, which are reported across the whole range.</w:t>
      </w:r>
    </w:p>
    <w:p>
      <w:pPr>
        <w:keepNext/>
        <w:spacing w:before="160" w:after="40"/>
      </w:pPr>
      <w:r>
        <w:rPr>
          <w:rFonts w:ascii="Palatino Linotype" w:hAnsi="Palatino Linotype" w:eastAsia="Palatino Linotype"/>
          <w:b/>
          <w:i w:val="0"/>
          <w:sz w:val="17"/>
        </w:rPr>
        <w:t xml:space="preserve">Table 1. </w:t>
      </w:r>
      <w:r>
        <w:rPr>
          <w:rFonts w:ascii="Palatino Linotype" w:hAnsi="Palatino Linotype" w:eastAsia="Palatino Linotype"/>
          <w:b w:val="0"/>
          <w:i w:val="0"/>
          <w:sz w:val="17"/>
        </w:rPr>
        <w:t>Parameters set outside the estimation, and the three normalisations.</w:t>
      </w:r>
    </w:p>
    <w:tbl>
      <w:tblPr>
        <w:tblW w:w="0" w:type="auto"/>
        <w:jc w:val="center"/>
        <w:tblLayout w:type="fixed"/>
        <w:tblCellMar>
          <w:top w:w="0" w:type="dxa"/>
          <w:left w:w="40" w:type="dxa"/>
          <w:bottom w:w="0" w:type="dxa"/>
          <w:right w:w="40" w:type="dxa"/>
        </w:tblCellMar>
      </w:tblPr>
      <w:tblGrid>
        <w:gridCol w:w="3300"/>
        <w:gridCol w:w="1150"/>
        <w:gridCol w:w="900"/>
        <w:gridCol w:w="4290"/>
      </w:tblGrid>
      <w:tr>
        <w:trPr>
          <w:tblHeader/>
          <w:jc w:val="center"/>
        </w:trPr>
        <w:tc>
          <w:tcPr>
            <w:tcW w:w="33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Parameter</w:t>
            </w:r>
          </w:p>
        </w:tc>
        <w:tc>
          <w:tcPr>
            <w:tcW w:w="11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Symbol</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Value</w:t>
            </w:r>
          </w:p>
        </w:tc>
        <w:tc>
          <w:tcPr>
            <w:tcW w:w="429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Source or justification</w:t>
            </w:r>
          </w:p>
        </w:tc>
      </w:tr>
      <w:tr>
        <w:trPr>
          <w:jc w:val="center"/>
        </w:trPr>
        <w:tc>
          <w:tcPr>
            <w:tcW w:w="3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Discount rate</w:t>
            </w:r>
          </w:p>
        </w:tc>
        <w:tc>
          <w:tcPr>
            <w:tcW w:w="1150" w:type="dxa"/>
            <w:tcBorders>
              <w:top w:val="nil"/>
              <w:left w:val="nil"/>
              <w:bottom w:val="nil"/>
              <w:right w:val="nil"/>
            </w:tcBorders>
          </w:tcPr>
          <w:p>
            <w:pPr>
              <w:spacing w:before="0" w:after="0" w:line="240" w:lineRule="auto"/>
              <w:ind w:left="0"/>
              <w:jc w:val="center"/>
              <w:rPr>
                <w:sz w:val="19"/>
              </w:rPr>
            </w:pPr>
            <m:oMath>
              <m:r>
                <m:rPr/>
                <m:t>r</m:t>
              </m:r>
            </m:oMath>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0.040</w:t>
            </w:r>
          </w:p>
        </w:tc>
        <w:tc>
          <w:tcPr>
            <w:tcW w:w="42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Annual real rate</w:t>
            </w:r>
          </w:p>
        </w:tc>
      </w:tr>
      <w:tr>
        <w:trPr>
          <w:jc w:val="center"/>
        </w:trPr>
        <w:tc>
          <w:tcPr>
            <w:tcW w:w="3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Labour-force exit rate</w:t>
            </w:r>
          </w:p>
        </w:tc>
        <w:tc>
          <w:tcPr>
            <w:tcW w:w="1150" w:type="dxa"/>
            <w:tcBorders>
              <w:top w:val="nil"/>
              <w:left w:val="nil"/>
              <w:bottom w:val="nil"/>
              <w:right w:val="nil"/>
            </w:tcBorders>
          </w:tcPr>
          <w:p>
            <w:pPr>
              <w:spacing w:before="0" w:after="0" w:line="240" w:lineRule="auto"/>
              <w:ind w:left="0"/>
              <w:jc w:val="center"/>
              <w:rPr>
                <w:sz w:val="19"/>
              </w:rPr>
            </w:pPr>
            <m:oMath>
              <m:r>
                <m:rPr/>
                <m:t>ω</m:t>
              </m:r>
            </m:oMath>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0.025</w:t>
            </w:r>
          </w:p>
        </w:tc>
        <w:tc>
          <w:tcPr>
            <w:tcW w:w="42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Forty-year working life</w:t>
            </w:r>
          </w:p>
        </w:tc>
      </w:tr>
      <w:tr>
        <w:trPr>
          <w:jc w:val="center"/>
        </w:trPr>
        <w:tc>
          <w:tcPr>
            <w:tcW w:w="3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Entry-level separation rate</w:t>
            </w:r>
          </w:p>
        </w:tc>
        <w:tc>
          <w:tcPr>
            <w:tcW w:w="1150" w:type="dxa"/>
            <w:tcBorders>
              <w:top w:val="nil"/>
              <w:left w:val="nil"/>
              <w:bottom w:val="nil"/>
              <w:right w:val="nil"/>
            </w:tcBorders>
          </w:tcPr>
          <w:p>
            <w:pPr>
              <w:spacing w:before="0" w:after="0" w:line="240" w:lineRule="auto"/>
              <w:ind w:left="0"/>
              <w:jc w:val="center"/>
              <w:rPr>
                <w:sz w:val="19"/>
              </w:rPr>
            </w:pPr>
            <m:oMath>
              <m:sSub>
                <m:sSubPr/>
                <m:e>
                  <m:r>
                    <m:rPr/>
                    <m:t>δ</m:t>
                  </m:r>
                </m:e>
                <m:sub>
                  <m:r>
                    <m:rPr/>
                    <m:t>j</m:t>
                  </m:r>
                </m:sub>
              </m:sSub>
            </m:oMath>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0.220</w:t>
            </w:r>
          </w:p>
        </w:tc>
        <w:tc>
          <w:tcPr>
            <w:tcW w:w="42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High turnover of first jobs [33]</w:t>
            </w:r>
          </w:p>
        </w:tc>
      </w:tr>
      <w:tr>
        <w:trPr>
          <w:jc w:val="center"/>
        </w:trPr>
        <w:tc>
          <w:tcPr>
            <w:tcW w:w="3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Experienced separation rate</w:t>
            </w:r>
          </w:p>
        </w:tc>
        <w:tc>
          <w:tcPr>
            <w:tcW w:w="1150" w:type="dxa"/>
            <w:tcBorders>
              <w:top w:val="nil"/>
              <w:left w:val="nil"/>
              <w:bottom w:val="nil"/>
              <w:right w:val="nil"/>
            </w:tcBorders>
          </w:tcPr>
          <w:p>
            <w:pPr>
              <w:spacing w:before="0" w:after="0" w:line="240" w:lineRule="auto"/>
              <w:ind w:left="0"/>
              <w:jc w:val="center"/>
              <w:rPr>
                <w:sz w:val="19"/>
              </w:rPr>
            </w:pPr>
            <m:oMath>
              <m:sSub>
                <m:sSubPr/>
                <m:e>
                  <m:r>
                    <m:rPr/>
                    <m:t>δ</m:t>
                  </m:r>
                </m:e>
                <m:sub>
                  <m:r>
                    <m:rPr/>
                    <m:t>s</m:t>
                  </m:r>
                </m:sub>
              </m:sSub>
            </m:oMath>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0.085</w:t>
            </w:r>
          </w:p>
        </w:tc>
        <w:tc>
          <w:tcPr>
            <w:tcW w:w="42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Separation rates of established matches [41]</w:t>
            </w:r>
          </w:p>
        </w:tc>
      </w:tr>
      <w:tr>
        <w:trPr>
          <w:jc w:val="center"/>
        </w:trPr>
        <w:tc>
          <w:tcPr>
            <w:tcW w:w="3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Poaching rate</w:t>
            </w:r>
          </w:p>
        </w:tc>
        <w:tc>
          <w:tcPr>
            <w:tcW w:w="1150" w:type="dxa"/>
            <w:tcBorders>
              <w:top w:val="nil"/>
              <w:left w:val="nil"/>
              <w:bottom w:val="nil"/>
              <w:right w:val="nil"/>
            </w:tcBorders>
          </w:tcPr>
          <w:p>
            <w:pPr>
              <w:spacing w:before="0" w:after="0" w:line="240" w:lineRule="auto"/>
              <w:ind w:left="0"/>
              <w:jc w:val="center"/>
              <w:rPr>
                <w:sz w:val="19"/>
              </w:rPr>
            </w:pPr>
            <m:oMath>
              <m:r>
                <m:rPr/>
                <m:t>φ</m:t>
              </m:r>
            </m:oMath>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0.180</w:t>
            </w:r>
          </w:p>
        </w:tc>
        <w:tc>
          <w:tcPr>
            <w:tcW w:w="42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Job-to-job transitions of early-career experienced workers [46]</w:t>
            </w:r>
          </w:p>
        </w:tc>
      </w:tr>
      <w:tr>
        <w:trPr>
          <w:jc w:val="center"/>
        </w:trPr>
        <w:tc>
          <w:tcPr>
            <w:tcW w:w="3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Matching elasticity</w:t>
            </w:r>
          </w:p>
        </w:tc>
        <w:tc>
          <w:tcPr>
            <w:tcW w:w="1150" w:type="dxa"/>
            <w:tcBorders>
              <w:top w:val="nil"/>
              <w:left w:val="nil"/>
              <w:bottom w:val="nil"/>
              <w:right w:val="nil"/>
            </w:tcBorders>
          </w:tcPr>
          <w:p>
            <w:pPr>
              <w:spacing w:before="0" w:after="0" w:line="240" w:lineRule="auto"/>
              <w:ind w:left="0"/>
              <w:jc w:val="center"/>
              <w:rPr>
                <w:sz w:val="19"/>
              </w:rPr>
            </w:pPr>
            <m:oMath>
              <m:r>
                <m:rPr/>
                <m:t>η</m:t>
              </m:r>
            </m:oMath>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0.500</w:t>
            </w:r>
          </w:p>
        </w:tc>
        <w:tc>
          <w:tcPr>
            <w:tcW w:w="42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Consensus range of the matching-function literature [42]</w:t>
            </w:r>
          </w:p>
        </w:tc>
      </w:tr>
      <w:tr>
        <w:trPr>
          <w:jc w:val="center"/>
        </w:trPr>
        <w:tc>
          <w:tcPr>
            <w:tcW w:w="3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Worker bargaining power</w:t>
            </w:r>
          </w:p>
        </w:tc>
        <w:tc>
          <w:tcPr>
            <w:tcW w:w="1150" w:type="dxa"/>
            <w:tcBorders>
              <w:top w:val="nil"/>
              <w:left w:val="nil"/>
              <w:bottom w:val="nil"/>
              <w:right w:val="nil"/>
            </w:tcBorders>
          </w:tcPr>
          <w:p>
            <w:pPr>
              <w:spacing w:before="0" w:after="0" w:line="240" w:lineRule="auto"/>
              <w:ind w:left="0"/>
              <w:jc w:val="center"/>
              <w:rPr>
                <w:sz w:val="19"/>
              </w:rPr>
            </w:pPr>
            <m:oMath>
              <m:r>
                <m:rPr/>
                <m:t>β</m:t>
              </m:r>
            </m:oMath>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0.500</w:t>
            </w:r>
          </w:p>
        </w:tc>
        <w:tc>
          <w:tcPr>
            <w:tcW w:w="42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 xml:space="preserve">Hosios condition imposed: </w:t>
            </w:r>
            <m:oMath>
              <m:r>
                <m:rPr/>
                <m:t xml:space="preserve">β = η</m:t>
              </m:r>
            </m:oMath>
            <w:r>
              <w:rPr>
                <w:rFonts w:ascii="Palatino Linotype" w:hAnsi="Palatino Linotype" w:eastAsia="Palatino Linotype"/>
                <w:b w:val="0"/>
                <w:i w:val="0"/>
                <w:sz w:val="16"/>
              </w:rPr>
              <w:t xml:space="preserve"> [43]</w:t>
            </w:r>
          </w:p>
        </w:tc>
      </w:tr>
      <w:tr>
        <w:trPr>
          <w:jc w:val="center"/>
        </w:trPr>
        <w:tc>
          <w:tcPr>
            <w:tcW w:w="3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Elasticity of substitution</w:t>
            </w:r>
          </w:p>
        </w:tc>
        <w:tc>
          <w:tcPr>
            <w:tcW w:w="1150" w:type="dxa"/>
            <w:tcBorders>
              <w:top w:val="nil"/>
              <w:left w:val="nil"/>
              <w:bottom w:val="nil"/>
              <w:right w:val="nil"/>
            </w:tcBorders>
          </w:tcPr>
          <w:p>
            <w:pPr>
              <w:spacing w:before="0" w:after="0" w:line="240" w:lineRule="auto"/>
              <w:ind w:left="0"/>
              <w:jc w:val="center"/>
              <w:rPr>
                <w:sz w:val="19"/>
              </w:rPr>
            </w:pPr>
            <m:oMath>
              <m:r>
                <m:rPr/>
                <m:t>\sigma</m:t>
              </m:r>
            </m:oMath>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2.500</w:t>
            </w:r>
          </w:p>
        </w:tc>
        <w:tc>
          <w:tcPr>
            <w:tcW w:w="42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Varied from 1.5 to 5.0 in Section 5.8</w:t>
            </w:r>
          </w:p>
        </w:tc>
      </w:tr>
      <w:tr>
        <w:trPr>
          <w:jc w:val="center"/>
        </w:trPr>
        <w:tc>
          <w:tcPr>
            <w:tcW w:w="3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Elasticity of promotion to mentoring</w:t>
            </w:r>
          </w:p>
        </w:tc>
        <w:tc>
          <w:tcPr>
            <w:tcW w:w="1150" w:type="dxa"/>
            <w:tcBorders>
              <w:top w:val="nil"/>
              <w:left w:val="nil"/>
              <w:bottom w:val="nil"/>
              <w:right w:val="nil"/>
            </w:tcBorders>
          </w:tcPr>
          <w:p>
            <w:pPr>
              <w:spacing w:before="0" w:after="0" w:line="240" w:lineRule="auto"/>
              <w:ind w:left="0"/>
              <w:jc w:val="center"/>
              <w:rPr>
                <w:sz w:val="19"/>
              </w:rPr>
            </w:pPr>
            <m:oMath>
              <m:r>
                <m:rPr/>
                <m:t>\psi</m:t>
              </m:r>
            </m:oMath>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0.400</w:t>
            </w:r>
          </w:p>
        </w:tc>
        <w:tc>
          <w:tcPr>
            <w:tcW w:w="42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Varied from 0.25 to 0.60 in Section 5.8</w:t>
            </w:r>
          </w:p>
        </w:tc>
      </w:tr>
      <w:tr>
        <w:trPr>
          <w:jc w:val="center"/>
        </w:trPr>
        <w:tc>
          <w:tcPr>
            <w:tcW w:w="3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Real rigidity of the entry wage</w:t>
            </w:r>
          </w:p>
        </w:tc>
        <w:tc>
          <w:tcPr>
            <w:tcW w:w="1150" w:type="dxa"/>
            <w:tcBorders>
              <w:top w:val="nil"/>
              <w:left w:val="nil"/>
              <w:bottom w:val="nil"/>
              <w:right w:val="nil"/>
            </w:tcBorders>
          </w:tcPr>
          <w:p>
            <w:pPr>
              <w:spacing w:before="0" w:after="0" w:line="240" w:lineRule="auto"/>
              <w:ind w:left="0"/>
              <w:jc w:val="center"/>
              <w:rPr>
                <w:sz w:val="19"/>
              </w:rPr>
            </w:pPr>
            <m:oMath>
              <m:sSub>
                <m:sSubPr/>
                <m:e>
                  <m:r>
                    <m:rPr/>
                    <m:t>γ</m:t>
                  </m:r>
                </m:e>
                <m:sub>
                  <m:r>
                    <m:rPr/>
                    <m:t>w</m:t>
                  </m:r>
                </m:sub>
              </m:sSub>
            </m:oMath>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0.800</w:t>
            </w:r>
          </w:p>
        </w:tc>
        <w:tc>
          <w:tcPr>
            <w:tcW w:w="42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Blanchard–Galí rule [51]; an identity at the calibration point, so it affects no estimate</w:t>
            </w:r>
          </w:p>
        </w:tc>
      </w:tr>
      <w:tr>
        <w:trPr>
          <w:jc w:val="center"/>
        </w:trPr>
        <w:tc>
          <w:tcPr>
            <w:tcW w:w="3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Matching efficiency, both tiers</w:t>
            </w:r>
          </w:p>
        </w:tc>
        <w:tc>
          <w:tcPr>
            <w:tcW w:w="1150" w:type="dxa"/>
            <w:tcBorders>
              <w:top w:val="nil"/>
              <w:left w:val="nil"/>
              <w:bottom w:val="nil"/>
              <w:right w:val="nil"/>
            </w:tcBorders>
          </w:tcPr>
          <w:p>
            <w:pPr>
              <w:spacing w:before="0" w:after="0" w:line="240" w:lineRule="auto"/>
              <w:ind w:left="0"/>
              <w:jc w:val="center"/>
              <w:rPr>
                <w:sz w:val="19"/>
              </w:rPr>
            </w:pPr>
            <m:oMath>
              <m:r>
                <m:rPr/>
                <m:t>μ_{j}=μ_{s}</m:t>
              </m:r>
            </m:oMath>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1.000</w:t>
            </w:r>
          </w:p>
        </w:tc>
        <w:tc>
          <w:tcPr>
            <w:tcW w:w="42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 xml:space="preserve">Normalisation: only </w:t>
            </w:r>
            <m:oMath>
              <m:r>
                <m:rPr/>
                <m:t>μ_{i}^{2}/c_{i}</m:t>
              </m:r>
            </m:oMath>
            <w:r>
              <w:rPr>
                <w:rFonts w:ascii="Palatino Linotype" w:hAnsi="Palatino Linotype" w:eastAsia="Palatino Linotype"/>
                <w:b w:val="0"/>
                <w:i w:val="0"/>
                <w:sz w:val="16"/>
              </w:rPr>
              <w:t xml:space="preserve"> is identified</w:t>
            </w:r>
          </w:p>
        </w:tc>
      </w:tr>
      <w:tr>
        <w:trPr>
          <w:jc w:val="center"/>
        </w:trPr>
        <w:tc>
          <w:tcPr>
            <w:tcW w:w="3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Entry-level task efficiency</w:t>
            </w:r>
          </w:p>
        </w:tc>
        <w:tc>
          <w:tcPr>
            <w:tcW w:w="1150" w:type="dxa"/>
            <w:tcBorders>
              <w:top w:val="nil"/>
              <w:left w:val="nil"/>
              <w:bottom w:val="nil"/>
              <w:right w:val="nil"/>
            </w:tcBorders>
          </w:tcPr>
          <w:p>
            <w:pPr>
              <w:spacing w:before="0" w:after="0" w:line="240" w:lineRule="auto"/>
              <w:ind w:left="0"/>
              <w:jc w:val="center"/>
              <w:rPr>
                <w:sz w:val="19"/>
              </w:rPr>
            </w:pPr>
            <m:oMath>
              <m:sSub>
                <m:sSubPr/>
                <m:e>
                  <m:r>
                    <m:rPr/>
                    <m:t>z</m:t>
                  </m:r>
                </m:e>
                <m:sub>
                  <m:r>
                    <m:rPr/>
                    <m:t>j</m:t>
                  </m:r>
                </m:sub>
              </m:sSub>
            </m:oMath>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1.000</w:t>
            </w:r>
          </w:p>
        </w:tc>
        <w:tc>
          <w:tcPr>
            <w:tcW w:w="42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Normalisation of task units</w:t>
            </w:r>
          </w:p>
        </w:tc>
      </w:tr>
      <w:tr>
        <w:trPr>
          <w:jc w:val="center"/>
        </w:trPr>
        <w:tc>
          <w:tcPr>
            <w:tcW w:w="33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Efficiency of artificial intelligence</w:t>
            </w:r>
          </w:p>
        </w:tc>
        <w:tc>
          <w:tcPr>
            <w:tcW w:w="1150" w:type="dxa"/>
            <w:tcBorders>
              <w:top w:val="nil"/>
              <w:left w:val="nil"/>
              <w:bottom w:val="single" w:color="000000" w:sz="8" w:space="0"/>
              <w:right w:val="nil"/>
            </w:tcBorders>
          </w:tcPr>
          <w:p>
            <w:pPr>
              <w:spacing w:before="0" w:after="0" w:line="240" w:lineRule="auto"/>
              <w:ind w:left="0"/>
              <w:jc w:val="center"/>
              <w:rPr>
                <w:sz w:val="19"/>
              </w:rPr>
            </w:pPr>
            <m:oMath>
              <m:r>
                <m:rPr/>
                <m:t>\chi</m:t>
              </m:r>
            </m:oMath>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1.000</w:t>
            </w:r>
          </w:p>
        </w:tc>
        <w:tc>
          <w:tcPr>
            <w:tcW w:w="429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 xml:space="preserve">Normalisation of task units; only changes in </w:t>
            </w:r>
            <m:oMath>
              <m:r>
                <m:rPr/>
                <m:t>\chi</m:t>
              </m:r>
            </m:oMath>
            <w:r>
              <w:rPr>
                <w:rFonts w:ascii="Palatino Linotype" w:hAnsi="Palatino Linotype" w:eastAsia="Palatino Linotype"/>
                <w:b w:val="0"/>
                <w:i w:val="0"/>
                <w:sz w:val="16"/>
              </w:rPr>
              <w:t xml:space="preserve"> have content</w:t>
            </w:r>
          </w:p>
        </w:tc>
      </w:tr>
    </w:tbl>
    <w:p>
      <w:pPr>
        <w:keepNext/>
        <w:spacing w:before="140" w:after="80"/>
      </w:pPr>
      <w:r>
        <w:rPr>
          <w:rFonts w:ascii="Palatino Linotype" w:hAnsi="Palatino Linotype" w:eastAsia="Palatino Linotype"/>
          <w:b/>
          <w:i w:val="0"/>
          <w:sz w:val="20"/>
        </w:rPr>
        <w:t>4.2. Estimated Parameters and Targeted Moments</w:t>
      </w:r>
    </w:p>
    <w:p>
      <w:pPr>
        <w:spacing w:after="120"/>
        <w:jc w:val="both"/>
      </w:pPr>
      <w:r>
        <w:rPr>
          <w:rFonts w:ascii="Palatino Linotype" w:hAnsi="Palatino Linotype" w:eastAsia="Palatino Linotype"/>
          <w:b w:val="0"/>
          <w:i w:val="0"/>
          <w:sz w:val="20"/>
        </w:rPr>
        <w:t>The eight estimated parameters are total factor productivity, the two vacancy costs, the weight on the entry-level bundle, the promotion scale, the price of artificial intelligence, the output elasticity of the labour bundle and the flow value of non-employment. Table 2 lists the targets, their sources and the fit, which is exact by construction. Identification is close to one-to-one and can be read off the block recursion of the model: the two vacancy costs are pinned by the two unemployment rates, the flow value of non-employment by the replacement rate, the weight on the entry-level bundle by the experience wage premium, the promotion scale by the promotion hazard, the price of artificial intelligence by its task share, the output elasticity by the labour share, and total factor productivity by the output normalisation.</w:t>
      </w:r>
    </w:p>
    <w:p>
      <w:pPr>
        <w:keepNext/>
        <w:spacing w:before="160" w:after="40"/>
      </w:pPr>
      <w:r>
        <w:rPr>
          <w:rFonts w:ascii="Palatino Linotype" w:hAnsi="Palatino Linotype" w:eastAsia="Palatino Linotype"/>
          <w:b/>
          <w:i w:val="0"/>
          <w:sz w:val="17"/>
        </w:rPr>
        <w:t xml:space="preserve">Table 2. </w:t>
      </w:r>
      <w:r>
        <w:rPr>
          <w:rFonts w:ascii="Palatino Linotype" w:hAnsi="Palatino Linotype" w:eastAsia="Palatino Linotype"/>
          <w:b w:val="0"/>
          <w:i w:val="0"/>
          <w:sz w:val="17"/>
        </w:rPr>
        <w:t>Targeted moments, the fit, and the parameter each moment principally identifies.</w:t>
      </w:r>
    </w:p>
    <w:tbl>
      <w:tblPr>
        <w:tblW w:w="0" w:type="auto"/>
        <w:jc w:val="center"/>
        <w:tblLayout w:type="fixed"/>
        <w:tblCellMar>
          <w:top w:w="0" w:type="dxa"/>
          <w:left w:w="40" w:type="dxa"/>
          <w:bottom w:w="0" w:type="dxa"/>
          <w:right w:w="40" w:type="dxa"/>
        </w:tblCellMar>
      </w:tblPr>
      <w:tblGrid>
        <w:gridCol w:w="3600"/>
        <w:gridCol w:w="1000"/>
        <w:gridCol w:w="1000"/>
        <w:gridCol w:w="1000"/>
        <w:gridCol w:w="3040"/>
      </w:tblGrid>
      <w:tr>
        <w:trPr>
          <w:tblHeader/>
          <w:jc w:val="center"/>
        </w:trPr>
        <w:tc>
          <w:tcPr>
            <w:tcW w:w="36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Moment</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Target</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Model</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Estimate</w:t>
            </w:r>
          </w:p>
        </w:tc>
        <w:tc>
          <w:tcPr>
            <w:tcW w:w="30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Parameter identified</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Entry-level unemployment rate</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0.178</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0.178</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0.056</w:t>
            </w:r>
          </w:p>
        </w:tc>
        <w:tc>
          <w:tcPr>
            <w:tcW w:w="3040" w:type="dxa"/>
            <w:tcBorders>
              <w:top w:val="nil"/>
              <w:left w:val="nil"/>
              <w:bottom w:val="nil"/>
              <w:right w:val="nil"/>
            </w:tcBorders>
          </w:tcPr>
          <w:p>
            <w:pPr>
              <w:spacing w:before="0" w:after="0" w:line="240" w:lineRule="auto"/>
              <w:ind w:left="0"/>
              <w:jc w:val="center"/>
              <w:rPr>
                <w:sz w:val="19"/>
              </w:rPr>
            </w:pPr>
            <m:oMath>
              <m:sSub>
                <m:sSubPr/>
                <m:e>
                  <m:r>
                    <m:rPr/>
                    <m:t>c</m:t>
                  </m:r>
                </m:e>
                <m:sub>
                  <m:r>
                    <m:rPr/>
                    <m:t>j</m:t>
                  </m:r>
                </m:sub>
              </m:sSub>
            </m:oMath>
            <w:r>
              <w:rPr>
                <w:rFonts w:ascii="Palatino Linotype" w:hAnsi="Palatino Linotype" w:eastAsia="Palatino Linotype"/>
                <w:b w:val="0"/>
                <w:i w:val="0"/>
                <w:sz w:val="16"/>
              </w:rPr>
              <w:t xml:space="preserve"> entry-level vacancy cost</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Experienced unemployment rate</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0.043</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0.043</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0.108</w:t>
            </w:r>
          </w:p>
        </w:tc>
        <w:tc>
          <w:tcPr>
            <w:tcW w:w="3040" w:type="dxa"/>
            <w:tcBorders>
              <w:top w:val="nil"/>
              <w:left w:val="nil"/>
              <w:bottom w:val="nil"/>
              <w:right w:val="nil"/>
            </w:tcBorders>
          </w:tcPr>
          <w:p>
            <w:pPr>
              <w:spacing w:before="0" w:after="0" w:line="240" w:lineRule="auto"/>
              <w:ind w:left="0"/>
              <w:jc w:val="center"/>
              <w:rPr>
                <w:sz w:val="19"/>
              </w:rPr>
            </w:pPr>
            <m:oMath>
              <m:sSub>
                <m:sSubPr/>
                <m:e>
                  <m:r>
                    <m:rPr/>
                    <m:t>c</m:t>
                  </m:r>
                </m:e>
                <m:sub>
                  <m:r>
                    <m:rPr/>
                    <m:t>s</m:t>
                  </m:r>
                </m:sub>
              </m:sSub>
            </m:oMath>
            <w:r>
              <w:rPr>
                <w:rFonts w:ascii="Palatino Linotype" w:hAnsi="Palatino Linotype" w:eastAsia="Palatino Linotype"/>
                <w:b w:val="0"/>
                <w:i w:val="0"/>
                <w:sz w:val="16"/>
              </w:rPr>
              <w:t xml:space="preserve"> experienced vacancy cost</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Experience wage premium</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1.700</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1.700</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0.197</w:t>
            </w:r>
          </w:p>
        </w:tc>
        <w:tc>
          <w:tcPr>
            <w:tcW w:w="3040" w:type="dxa"/>
            <w:tcBorders>
              <w:top w:val="nil"/>
              <w:left w:val="nil"/>
              <w:bottom w:val="nil"/>
              <w:right w:val="nil"/>
            </w:tcBorders>
          </w:tcPr>
          <w:p>
            <w:pPr>
              <w:spacing w:before="0" w:after="0" w:line="240" w:lineRule="auto"/>
              <w:ind w:left="0"/>
              <w:jc w:val="center"/>
              <w:rPr>
                <w:sz w:val="19"/>
              </w:rPr>
            </w:pPr>
            <m:oMath>
              <m:r>
                <m:rPr/>
                <m:t>α</m:t>
              </m:r>
            </m:oMath>
            <w:r>
              <w:rPr>
                <w:rFonts w:ascii="Palatino Linotype" w:hAnsi="Palatino Linotype" w:eastAsia="Palatino Linotype"/>
                <w:b w:val="0"/>
                <w:i w:val="0"/>
                <w:sz w:val="16"/>
              </w:rPr>
              <w:t xml:space="preserve"> weight on entry-level tasks</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Promotion hazard</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0.286</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0.286</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1.718</w:t>
            </w:r>
          </w:p>
        </w:tc>
        <w:tc>
          <w:tcPr>
            <w:tcW w:w="3040" w:type="dxa"/>
            <w:tcBorders>
              <w:top w:val="nil"/>
              <w:left w:val="nil"/>
              <w:bottom w:val="nil"/>
              <w:right w:val="nil"/>
            </w:tcBorders>
          </w:tcPr>
          <w:p>
            <w:pPr>
              <w:spacing w:before="0" w:after="0" w:line="240" w:lineRule="auto"/>
              <w:ind w:left="0"/>
              <w:jc w:val="center"/>
              <w:rPr>
                <w:sz w:val="19"/>
              </w:rPr>
            </w:pPr>
            <m:oMath>
              <m:r>
                <m:rPr/>
                <m:t>\bar{\pi}</m:t>
              </m:r>
            </m:oMath>
            <w:r>
              <w:rPr>
                <w:rFonts w:ascii="Palatino Linotype" w:hAnsi="Palatino Linotype" w:eastAsia="Palatino Linotype"/>
                <w:b w:val="0"/>
                <w:i w:val="0"/>
                <w:sz w:val="16"/>
              </w:rPr>
              <w:t xml:space="preserve"> promotion scale</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AI share of entry-level tasks</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0.250</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0.250</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0.382</w:t>
            </w:r>
          </w:p>
        </w:tc>
        <w:tc>
          <w:tcPr>
            <w:tcW w:w="3040" w:type="dxa"/>
            <w:tcBorders>
              <w:top w:val="nil"/>
              <w:left w:val="nil"/>
              <w:bottom w:val="nil"/>
              <w:right w:val="nil"/>
            </w:tcBorders>
          </w:tcPr>
          <w:p>
            <w:pPr>
              <w:spacing w:before="0" w:after="0" w:line="240" w:lineRule="auto"/>
              <w:ind w:left="0"/>
              <w:jc w:val="center"/>
              <w:rPr>
                <w:sz w:val="19"/>
              </w:rPr>
            </w:pPr>
            <m:oMath>
              <m:sSub>
                <m:sSubPr/>
                <m:e>
                  <m:r>
                    <m:rPr/>
                    <m:t>p</m:t>
                  </m:r>
                </m:e>
                <m:sub>
                  <m:r>
                    <m:rPr/>
                    <m:t>a</m:t>
                  </m:r>
                </m:sub>
              </m:sSub>
            </m:oMath>
            <w:r>
              <w:rPr>
                <w:rFonts w:ascii="Palatino Linotype" w:hAnsi="Palatino Linotype" w:eastAsia="Palatino Linotype"/>
                <w:b w:val="0"/>
                <w:i w:val="0"/>
                <w:sz w:val="16"/>
              </w:rPr>
              <w:t xml:space="preserve"> price of artificial intelligence</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Labour share of value added</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0.550</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0.550</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0.619</w:t>
            </w:r>
          </w:p>
        </w:tc>
        <w:tc>
          <w:tcPr>
            <w:tcW w:w="3040" w:type="dxa"/>
            <w:tcBorders>
              <w:top w:val="nil"/>
              <w:left w:val="nil"/>
              <w:bottom w:val="nil"/>
              <w:right w:val="nil"/>
            </w:tcBorders>
          </w:tcPr>
          <w:p>
            <w:pPr>
              <w:spacing w:before="0" w:after="0" w:line="240" w:lineRule="auto"/>
              <w:ind w:left="0"/>
              <w:jc w:val="center"/>
              <w:rPr>
                <w:sz w:val="19"/>
              </w:rPr>
            </w:pPr>
            <m:oMath>
              <m:r>
                <m:rPr/>
                <m:t>s</m:t>
              </m:r>
            </m:oMath>
            <w:r>
              <w:rPr>
                <w:rFonts w:ascii="Palatino Linotype" w:hAnsi="Palatino Linotype" w:eastAsia="Palatino Linotype"/>
                <w:b w:val="0"/>
                <w:i w:val="0"/>
                <w:sz w:val="16"/>
              </w:rPr>
              <w:t xml:space="preserve"> output elasticity of the bundle</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Flow value of non-employment, relative to the entry wage</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0.550</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0.550</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0.195</w:t>
            </w:r>
          </w:p>
        </w:tc>
        <w:tc>
          <w:tcPr>
            <w:tcW w:w="3040" w:type="dxa"/>
            <w:tcBorders>
              <w:top w:val="nil"/>
              <w:left w:val="nil"/>
              <w:bottom w:val="nil"/>
              <w:right w:val="nil"/>
            </w:tcBorders>
          </w:tcPr>
          <w:p>
            <w:pPr>
              <w:spacing w:before="0" w:after="0" w:line="240" w:lineRule="auto"/>
              <w:ind w:left="0"/>
              <w:jc w:val="center"/>
              <w:rPr>
                <w:sz w:val="19"/>
              </w:rPr>
            </w:pPr>
            <m:oMath>
              <m:r>
                <m:rPr/>
                <m:t>b</m:t>
              </m:r>
            </m:oMath>
            <w:r>
              <w:rPr>
                <w:rFonts w:ascii="Palatino Linotype" w:hAnsi="Palatino Linotype" w:eastAsia="Palatino Linotype"/>
                <w:b w:val="0"/>
                <w:i w:val="0"/>
                <w:sz w:val="16"/>
              </w:rPr>
              <w:t xml:space="preserve"> flow value of non-employment</w:t>
            </w:r>
          </w:p>
        </w:tc>
      </w:tr>
      <w:tr>
        <w:trPr>
          <w:jc w:val="center"/>
        </w:trPr>
        <w:tc>
          <w:tcPr>
            <w:tcW w:w="36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Output per member of the labour force</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1.000</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1.000</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1.281</w:t>
            </w:r>
          </w:p>
        </w:tc>
        <w:tc>
          <w:tcPr>
            <w:tcW w:w="3040" w:type="dxa"/>
            <w:tcBorders>
              <w:top w:val="nil"/>
              <w:left w:val="nil"/>
              <w:bottom w:val="single" w:color="000000" w:sz="8" w:space="0"/>
              <w:right w:val="nil"/>
            </w:tcBorders>
          </w:tcPr>
          <w:p>
            <w:pPr>
              <w:spacing w:before="0" w:after="0" w:line="240" w:lineRule="auto"/>
              <w:ind w:left="0"/>
              <w:jc w:val="center"/>
              <w:rPr>
                <w:sz w:val="19"/>
              </w:rPr>
            </w:pPr>
            <m:oMath>
              <m:r>
                <m:rPr/>
                <m:t>Z</m:t>
              </m:r>
            </m:oMath>
            <w:r>
              <w:rPr>
                <w:rFonts w:ascii="Palatino Linotype" w:hAnsi="Palatino Linotype" w:eastAsia="Palatino Linotype"/>
                <w:b w:val="0"/>
                <w:i w:val="0"/>
                <w:sz w:val="16"/>
              </w:rPr>
              <w:t xml:space="preserve"> total factor productivity</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The system is square, so the fit is exact by construction; the largest absolute log deviation across all eight conditions is 7.0e-14. The final column reports the parameter that the block recursion of the model makes primarily responsible for each moment; the mapping is not exactly triangular but is close to it.</w:t>
      </w:r>
    </w:p>
    <w:p>
      <w:pPr>
        <w:keepNext/>
        <w:spacing w:before="140" w:after="80"/>
      </w:pPr>
      <w:r>
        <w:rPr>
          <w:rFonts w:ascii="Palatino Linotype" w:hAnsi="Palatino Linotype" w:eastAsia="Palatino Linotype"/>
          <w:b/>
          <w:i w:val="0"/>
          <w:sz w:val="20"/>
        </w:rPr>
        <w:t>4.3. Over-Identifying Checks and the Held-Out Test</w:t>
      </w:r>
    </w:p>
    <w:p>
      <w:pPr>
        <w:spacing w:after="120"/>
        <w:jc w:val="both"/>
      </w:pPr>
      <w:r>
        <w:rPr>
          <w:rFonts w:ascii="Palatino Linotype" w:hAnsi="Palatino Linotype" w:eastAsia="Palatino Linotype"/>
          <w:b w:val="0"/>
          <w:i w:val="0"/>
          <w:sz w:val="20"/>
        </w:rPr>
        <w:t>Several statistics are computed but never targeted and are therefore available as checks; Table 3 reports them. The mean duration of entry-level job search implied by the estimated economy is 4.9 months, which is close to what graduate-survey evidence reports. The share of employment held by experienced workers is 91.6 per cent, consistent with a labour force in which entrants spend three and a half years in the entry tier out of a forty-year career. Recruiting cost per hire is 4.6 months of the entry wage and 4.0 months of the experienced wage; these sit at the upper end of the international range for skilled hires, which is a genuine tension we record rather than resolve.</w:t>
      </w:r>
    </w:p>
    <w:p>
      <w:pPr>
        <w:keepNext/>
        <w:spacing w:before="160" w:after="40"/>
      </w:pPr>
      <w:r>
        <w:rPr>
          <w:rFonts w:ascii="Palatino Linotype" w:hAnsi="Palatino Linotype" w:eastAsia="Palatino Linotype"/>
          <w:b/>
          <w:i w:val="0"/>
          <w:sz w:val="17"/>
        </w:rPr>
        <w:t xml:space="preserve">Table 3. </w:t>
      </w:r>
      <w:r>
        <w:rPr>
          <w:rFonts w:ascii="Palatino Linotype" w:hAnsi="Palatino Linotype" w:eastAsia="Palatino Linotype"/>
          <w:b w:val="0"/>
          <w:i w:val="0"/>
          <w:sz w:val="17"/>
        </w:rPr>
        <w:t>Over-identifying checks: model statistics that were never targeted.</w:t>
      </w:r>
    </w:p>
    <w:tbl>
      <w:tblPr>
        <w:tblW w:w="0" w:type="auto"/>
        <w:jc w:val="center"/>
        <w:tblLayout w:type="fixed"/>
        <w:tblCellMar>
          <w:top w:w="0" w:type="dxa"/>
          <w:left w:w="40" w:type="dxa"/>
          <w:bottom w:w="0" w:type="dxa"/>
          <w:right w:w="40" w:type="dxa"/>
        </w:tblCellMar>
      </w:tblPr>
      <w:tblGrid>
        <w:gridCol w:w="3800"/>
        <w:gridCol w:w="1500"/>
        <w:gridCol w:w="4340"/>
      </w:tblGrid>
      <w:tr>
        <w:trPr>
          <w:tblHeader/>
          <w:jc w:val="center"/>
        </w:trPr>
        <w:tc>
          <w:tcPr>
            <w:tcW w:w="38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Statistic</w:t>
            </w:r>
          </w:p>
        </w:tc>
        <w:tc>
          <w:tcPr>
            <w:tcW w:w="15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Model</w:t>
            </w:r>
          </w:p>
        </w:tc>
        <w:tc>
          <w:tcPr>
            <w:tcW w:w="434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External benchmark</w:t>
            </w:r>
          </w:p>
        </w:tc>
      </w:tr>
      <w:tr>
        <w:trPr>
          <w:jc w:val="center"/>
        </w:trPr>
        <w:tc>
          <w:tcPr>
            <w:tcW w:w="3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Mean duration of entry-level job search (months)</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4.9</w:t>
            </w:r>
          </w:p>
        </w:tc>
        <w:tc>
          <w:tcPr>
            <w:tcW w:w="4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Graduate surveys report a first-job search of four to six months</w:t>
            </w:r>
          </w:p>
        </w:tc>
      </w:tr>
      <w:tr>
        <w:trPr>
          <w:jc w:val="center"/>
        </w:trPr>
        <w:tc>
          <w:tcPr>
            <w:tcW w:w="3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Share of employment held by experienced workers (%)</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91.6</w:t>
            </w:r>
          </w:p>
        </w:tc>
        <w:tc>
          <w:tcPr>
            <w:tcW w:w="4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Implied by a 3.5-year entry tier in a 40-year career</w:t>
            </w:r>
          </w:p>
        </w:tc>
      </w:tr>
      <w:tr>
        <w:trPr>
          <w:jc w:val="center"/>
        </w:trPr>
        <w:tc>
          <w:tcPr>
            <w:tcW w:w="3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Recruiting cost per entry-level hire (months of the entry wage)</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4.6</w:t>
            </w:r>
          </w:p>
        </w:tc>
        <w:tc>
          <w:tcPr>
            <w:tcW w:w="4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Upper end of the international range for skilled hires</w:t>
            </w:r>
          </w:p>
        </w:tc>
      </w:tr>
      <w:tr>
        <w:trPr>
          <w:jc w:val="center"/>
        </w:trPr>
        <w:tc>
          <w:tcPr>
            <w:tcW w:w="3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Recruiting cost per experienced hire (months of the senior wage)</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4.0</w:t>
            </w:r>
          </w:p>
        </w:tc>
        <w:tc>
          <w:tcPr>
            <w:tcW w:w="4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Upper end of the international range for skilled hires</w:t>
            </w:r>
          </w:p>
        </w:tc>
      </w:tr>
      <w:tr>
        <w:trPr>
          <w:jc w:val="center"/>
        </w:trPr>
        <w:tc>
          <w:tcPr>
            <w:tcW w:w="3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Mentoring time as a share of experienced working time (%)</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w:t>
            </w:r>
          </w:p>
        </w:tc>
        <w:tc>
          <w:tcPr>
            <w:tcW w:w="4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Not separately measured</w:t>
            </w:r>
          </w:p>
        </w:tc>
      </w:tr>
      <w:tr>
        <w:trPr>
          <w:jc w:val="center"/>
        </w:trPr>
        <w:tc>
          <w:tcPr>
            <w:tcW w:w="38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Firm-financed training as a share of the wage bill (%)</w:t>
            </w:r>
          </w:p>
        </w:tc>
        <w:tc>
          <w:tcPr>
            <w:tcW w:w="15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0.11</w:t>
            </w:r>
          </w:p>
        </w:tc>
        <w:tc>
          <w:tcPr>
            <w:tcW w:w="434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Chinese enterprises report 1.5 to 2.5 per cent of the wage bill as employee-education expenditure; the model under-predicts this (Section 4.3)</w:t>
            </w:r>
          </w:p>
        </w:tc>
      </w:tr>
    </w:tbl>
    <w:p>
      <w:pPr>
        <w:spacing w:after="120"/>
        <w:jc w:val="both"/>
      </w:pPr>
      <w:r>
        <w:rPr>
          <w:rFonts w:ascii="Palatino Linotype" w:hAnsi="Palatino Linotype" w:eastAsia="Palatino Linotype"/>
          <w:b w:val="0"/>
          <w:i w:val="0"/>
          <w:sz w:val="20"/>
        </w:rPr>
        <w:t>One check fails informatively. Firm-financed mentoring in the estimated economy costs 0.11 per cent of the wage bill, an order of magnitude below the one-and-a-half to two-and-a-half per cent that Chinese enterprises report as employee-education expenditure. Part of the gap is definitional—reported spending covers compliance training and the upskilling of incumbents, not only the mentoring of entrants, and much of it is publicly subsidised—but part of it is the model’s central claim, that firm-financed training of entrants is small because firms capture little of its return. We flag the check as failed rather than reinterpreting it as evidence: a model in which the marginal private return to mentoring is this low will understate observed training expenditure, and the results of Section 5 should be read with that in mind.</w:t>
      </w:r>
    </w:p>
    <w:p>
      <w:pPr>
        <w:spacing w:after="120"/>
        <w:jc w:val="both"/>
      </w:pPr>
      <w:r>
        <w:rPr>
          <w:rFonts w:ascii="Palatino Linotype" w:hAnsi="Palatino Linotype" w:eastAsia="Palatino Linotype"/>
          <w:b w:val="0"/>
          <w:i w:val="0"/>
          <w:sz w:val="20"/>
        </w:rPr>
        <w:t>Held out entirely from the estimation is the relationship between artificial-intelligence exposure and entry-level employment. No information about employment by exposure enters the calibration at any point, so the cross-occupation gradient the model predicts in Section 5.5 is a genuine out-of-sample test against the payroll-based estimate of Brynjolfsson, Chandar and Chen [3].</w:t>
      </w:r>
    </w:p>
    <w:p>
      <w:pPr>
        <w:spacing w:after="120"/>
        <w:jc w:val="both"/>
      </w:pPr>
      <w:r>
        <w:rPr>
          <w:rFonts w:ascii="Palatino Linotype" w:hAnsi="Palatino Linotype" w:eastAsia="Palatino Linotype"/>
          <w:b w:val="0"/>
          <w:i w:val="0"/>
          <w:sz w:val="20"/>
        </w:rPr>
        <w:t>Two limitations of the calibration should be stated at the outset. The model is a steady-state, representative-agent structure: it compares long-run allocations, is silent about transition paths, and cannot address heterogeneity by field of study, institution or region. And the artificial-intelligence task share is the least well measured of the eight targets, since adoption surveys record whether a technology is used rather than what fraction of entry-level task content it performs; Section 5.2 therefore reports the whole path rather than a single counterfactual point.</w:t>
      </w:r>
    </w:p>
    <w:p>
      <w:pPr>
        <w:keepNext/>
        <w:spacing w:before="200" w:after="80"/>
      </w:pPr>
      <w:r>
        <w:rPr>
          <w:rFonts w:ascii="Palatino Linotype" w:hAnsi="Palatino Linotype" w:eastAsia="Palatino Linotype"/>
          <w:b/>
          <w:i w:val="0"/>
          <w:sz w:val="24"/>
        </w:rPr>
        <w:t>5. Results</w:t>
      </w:r>
    </w:p>
    <w:p>
      <w:pPr>
        <w:keepNext/>
        <w:spacing w:before="140" w:after="80"/>
      </w:pPr>
      <w:r>
        <w:rPr>
          <w:rFonts w:ascii="Palatino Linotype" w:hAnsi="Palatino Linotype" w:eastAsia="Palatino Linotype"/>
          <w:b/>
          <w:i w:val="0"/>
          <w:sz w:val="20"/>
        </w:rPr>
        <w:t>5.1. The Baseline Allocation and the Training Wedge</w:t>
      </w:r>
    </w:p>
    <w:p>
      <w:pPr>
        <w:spacing w:after="120"/>
        <w:jc w:val="both"/>
      </w:pPr>
      <w:r>
        <w:rPr>
          <w:rFonts w:ascii="Palatino Linotype" w:hAnsi="Palatino Linotype" w:eastAsia="Palatino Linotype"/>
          <w:b w:val="0"/>
          <w:i w:val="0"/>
          <w:sz w:val="20"/>
        </w:rPr>
        <w:t>Table 4 sets the estimated equilibrium beside the constrained optimum. The difference is not marginal. The market provides 0.14 of the socially efficient amount of mentoring—about one seventh of it—so the promotion hazard is 259 per cent below its efficient level and first promotion takes 3.50 years instead of 0.97. The stock of experienced workers is 6.9 per cent below the optimum, output 3.6 per cent below it, and welfare 1.39 per cent below it.</w:t>
      </w:r>
    </w:p>
    <w:p>
      <w:pPr>
        <w:spacing w:after="120"/>
        <w:jc w:val="both"/>
      </w:pPr>
      <w:r>
        <w:rPr>
          <w:rFonts w:ascii="Palatino Linotype" w:hAnsi="Palatino Linotype" w:eastAsia="Palatino Linotype"/>
          <w:b w:val="0"/>
          <w:i w:val="0"/>
          <w:sz w:val="20"/>
        </w:rPr>
        <w:t>What generates that gap matters more than its size. Worker bargaining power is set exactly equal to the matching elasticity, so the classical search externality is switched off by construction and none of this is a Hosios violation. Consistently with Proposition 1, entry-level tightness is close to efficient—the planner would raise it by only 12.9 per cent—while the training margin is not. Removing both contracting frictions raises mentoring by 633 per cent, and a Shapley decomposition of that log gap attributes 96 per cent of it to hold-up and 4 per cent to poaching. Neither friction is exotic: hold-up follows from the impossibility of writing an enforceable contract on how much attention a supervisor gives a recruit, and poaching from the fact that trained workers can quit. The numerical check behind Proposition 1 is reported alongside: with the Hosios condition, no poaching, contractible training and flexible wages, market and planner agree on every reported quantity to a relative error of 2e-14.</w:t>
      </w:r>
    </w:p>
    <w:p>
      <w:pPr>
        <w:keepNext/>
        <w:spacing w:before="160" w:after="40"/>
      </w:pPr>
      <w:r>
        <w:rPr>
          <w:rFonts w:ascii="Palatino Linotype" w:hAnsi="Palatino Linotype" w:eastAsia="Palatino Linotype"/>
          <w:b/>
          <w:i w:val="0"/>
          <w:sz w:val="17"/>
        </w:rPr>
        <w:t xml:space="preserve">Table 4. </w:t>
      </w:r>
      <w:r>
        <w:rPr>
          <w:rFonts w:ascii="Palatino Linotype" w:hAnsi="Palatino Linotype" w:eastAsia="Palatino Linotype"/>
          <w:b w:val="0"/>
          <w:i w:val="0"/>
          <w:sz w:val="17"/>
        </w:rPr>
        <w:t>The estimated equilibrium and the constrained optimum.</w:t>
      </w:r>
    </w:p>
    <w:tbl>
      <w:tblPr>
        <w:tblW w:w="0" w:type="auto"/>
        <w:jc w:val="center"/>
        <w:tblLayout w:type="fixed"/>
        <w:tblCellMar>
          <w:top w:w="0" w:type="dxa"/>
          <w:left w:w="40" w:type="dxa"/>
          <w:bottom w:w="0" w:type="dxa"/>
          <w:right w:w="40" w:type="dxa"/>
        </w:tblCellMar>
      </w:tblPr>
      <w:tblGrid>
        <w:gridCol w:w="3600"/>
        <w:gridCol w:w="1900"/>
        <w:gridCol w:w="2240"/>
        <w:gridCol w:w="1900"/>
      </w:tblGrid>
      <w:tr>
        <w:trPr>
          <w:tblHeader/>
          <w:jc w:val="center"/>
        </w:trPr>
        <w:tc>
          <w:tcPr>
            <w:tcW w:w="36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Quantity</w:t>
            </w:r>
          </w:p>
        </w:tc>
        <w:tc>
          <w:tcPr>
            <w:tcW w:w="1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Market</w:t>
            </w:r>
          </w:p>
        </w:tc>
        <w:tc>
          <w:tcPr>
            <w:tcW w:w="22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Constrained optimum</w:t>
            </w:r>
          </w:p>
        </w:tc>
        <w:tc>
          <w:tcPr>
            <w:tcW w:w="1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Gap</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Entry-level market tightness</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6.013</w:t>
            </w:r>
          </w:p>
        </w:tc>
        <w:tc>
          <w:tcPr>
            <w:tcW w:w="2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6.790</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+12.9%</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Experienced market tightness</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3.485</w:t>
            </w:r>
          </w:p>
        </w:tc>
        <w:tc>
          <w:tcPr>
            <w:tcW w:w="2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3.665</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+5.2%</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Mentoring per entrant</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0.0113</w:t>
            </w:r>
          </w:p>
        </w:tc>
        <w:tc>
          <w:tcPr>
            <w:tcW w:w="2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0.2771</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+2348.9%</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Aggregate mentoring time</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0.00089</w:t>
            </w:r>
          </w:p>
        </w:tc>
        <w:tc>
          <w:tcPr>
            <w:tcW w:w="2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0.00650</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+627.5%</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Promotion hazard</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0.286</w:t>
            </w:r>
          </w:p>
        </w:tc>
        <w:tc>
          <w:tcPr>
            <w:tcW w:w="2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1.028</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+259.4%</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Years to first promotion</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3.50</w:t>
            </w:r>
          </w:p>
        </w:tc>
        <w:tc>
          <w:tcPr>
            <w:tcW w:w="2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0.97</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−2.52</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Promotion flow</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0.02260</w:t>
            </w:r>
          </w:p>
        </w:tc>
        <w:tc>
          <w:tcPr>
            <w:tcW w:w="2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0.02413</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+6.8%</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Entry-level employed</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0.0790</w:t>
            </w:r>
          </w:p>
        </w:tc>
        <w:tc>
          <w:tcPr>
            <w:tcW w:w="2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0.0235</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−70.3%</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Experienced employed</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0.8650</w:t>
            </w:r>
          </w:p>
        </w:tc>
        <w:tc>
          <w:tcPr>
            <w:tcW w:w="2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0.9245</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+6.9%</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Total unemployment</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0.0560</w:t>
            </w:r>
          </w:p>
        </w:tc>
        <w:tc>
          <w:tcPr>
            <w:tcW w:w="2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0.0520</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−7.1%</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Output</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1.0000</w:t>
            </w:r>
          </w:p>
        </w:tc>
        <w:tc>
          <w:tcPr>
            <w:tcW w:w="2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1.0358</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+3.6%</w:t>
            </w:r>
          </w:p>
        </w:tc>
      </w:tr>
      <w:tr>
        <w:trPr>
          <w:jc w:val="center"/>
        </w:trPr>
        <w:tc>
          <w:tcPr>
            <w:tcW w:w="36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Welfare</w:t>
            </w:r>
          </w:p>
        </w:tc>
        <w:tc>
          <w:tcPr>
            <w:tcW w:w="1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0.9805</w:t>
            </w:r>
          </w:p>
        </w:tc>
        <w:tc>
          <w:tcPr>
            <w:tcW w:w="22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0.9941</w:t>
            </w:r>
          </w:p>
        </w:tc>
        <w:tc>
          <w:tcPr>
            <w:tcW w:w="1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+1.4%</w:t>
            </w:r>
          </w:p>
        </w:tc>
      </w:tr>
    </w:tbl>
    <w:p>
      <w:pPr>
        <w:spacing w:after="120"/>
        <w:jc w:val="both"/>
      </w:pPr>
      <w:r>
        <w:rPr>
          <w:rFonts w:ascii="Palatino Linotype" w:hAnsi="Palatino Linotype" w:eastAsia="Palatino Linotype"/>
          <w:b w:val="0"/>
          <w:i w:val="0"/>
          <w:sz w:val="20"/>
        </w:rPr>
        <w:t>One aggregate deserves comment because it recurs below. Entry-level employment measured as a stock is a poor welfare indicator in this economy. The planner holds 70 per cent fewer entry-level workers than the market does, not because it wants fewer people to have first jobs but because it moves them out of the entry tier 3.6 times faster. With an exogenous flow of entrants, the entry-level stock confounds inflow with duration. We therefore report entry-level access as the entry-level employment rate and the ladder’s output as the promotion flow.</w:t>
      </w:r>
    </w:p>
    <w:p>
      <w:pPr>
        <w:keepNext/>
        <w:spacing w:before="140" w:after="80"/>
      </w:pPr>
      <w:r>
        <w:rPr>
          <w:rFonts w:ascii="Palatino Linotype" w:hAnsi="Palatino Linotype" w:eastAsia="Palatino Linotype"/>
          <w:b/>
          <w:i w:val="0"/>
          <w:sz w:val="20"/>
        </w:rPr>
        <w:t>5.2. The Artificial-Intelligence Shock</w:t>
      </w:r>
    </w:p>
    <w:p>
      <w:pPr>
        <w:spacing w:after="120"/>
        <w:jc w:val="both"/>
      </w:pPr>
      <w:r>
        <w:rPr>
          <w:rFonts w:ascii="Palatino Linotype" w:hAnsi="Palatino Linotype" w:eastAsia="Palatino Linotype"/>
          <w:b w:val="0"/>
          <w:i w:val="0"/>
          <w:sz w:val="20"/>
        </w:rPr>
        <w:t>We now lower the price of one efficiency unit of artificial intelligence and trace the equilibrium and the optimum along the path. Figure 3 shows the whole trajectory; Table 5 reports the point at which artificial intelligence performs 50 per cent of the entry-level task bundle, twice its estimated share, which requires the price to fall by 7.2 per cent.</w:t>
      </w:r>
    </w:p>
    <w:p>
      <w:pPr>
        <w:spacing w:after="40"/>
        <w:jc w:val="center"/>
      </w:pPr>
      <w:r>
        <w:drawing>
          <wp:inline distT="0" distB="0" distL="114300" distR="114300">
            <wp:extent cx="5669280" cy="42583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2"/>
                    <a:stretch>
                      <a:fillRect/>
                    </a:stretch>
                  </pic:blipFill>
                  <pic:spPr>
                    <a:xfrm>
                      <a:off x="0" y="0"/>
                      <a:ext cx="5669280" cy="4258347"/>
                    </a:xfrm>
                    <a:prstGeom prst="rect">
                      <a:avLst/>
                    </a:prstGeom>
                  </pic:spPr>
                </pic:pic>
              </a:graphicData>
            </a:graphic>
          </wp:inline>
        </w:drawing>
      </w:r>
    </w:p>
    <w:p>
      <w:pPr>
        <w:spacing w:after="160"/>
        <w:jc w:val="both"/>
      </w:pPr>
      <w:r>
        <w:rPr>
          <w:rFonts w:ascii="Palatino Linotype" w:hAnsi="Palatino Linotype" w:eastAsia="Palatino Linotype"/>
          <w:b/>
          <w:i w:val="0"/>
          <w:sz w:val="17"/>
        </w:rPr>
        <w:t xml:space="preserve">Figure 3. </w:t>
      </w:r>
      <w:r>
        <w:rPr>
          <w:rFonts w:ascii="Palatino Linotype" w:hAnsi="Palatino Linotype" w:eastAsia="Palatino Linotype"/>
          <w:b w:val="0"/>
          <w:i w:val="0"/>
          <w:sz w:val="17"/>
        </w:rPr>
        <w:t>The economy as artificial intelligence becomes cheaper. Panel (a): the entry-level employment rate and the entry wage, indexed to the estimated baseline. Panel (b): mentoring per entrant and the expected time to promotion. Panel (c): the ladder’s output—the promotion flow and the stock of experienced workers. Panel (d): the training wedge, measured as the excess of efficient over market mentoring, and the welfare gap. The horizontal axis is the share of the entry-level task bundle performed by artificial intelligence; the estimated economy sits at 25 per cent.</w:t>
      </w:r>
    </w:p>
    <w:p>
      <w:pPr>
        <w:keepNext/>
        <w:spacing w:before="160" w:after="40"/>
      </w:pPr>
      <w:r>
        <w:rPr>
          <w:rFonts w:ascii="Palatino Linotype" w:hAnsi="Palatino Linotype" w:eastAsia="Palatino Linotype"/>
          <w:b/>
          <w:i w:val="0"/>
          <w:sz w:val="17"/>
        </w:rPr>
        <w:t xml:space="preserve">Table 5. </w:t>
      </w:r>
      <w:r>
        <w:rPr>
          <w:rFonts w:ascii="Palatino Linotype" w:hAnsi="Palatino Linotype" w:eastAsia="Palatino Linotype"/>
          <w:b w:val="0"/>
          <w:i w:val="0"/>
          <w:sz w:val="17"/>
        </w:rPr>
        <w:t>The artificial-intelligence shock: the entry-level task share doubles.</w:t>
      </w:r>
    </w:p>
    <w:tbl>
      <w:tblPr>
        <w:tblW w:w="0" w:type="auto"/>
        <w:jc w:val="center"/>
        <w:tblLayout w:type="fixed"/>
        <w:tblCellMar>
          <w:top w:w="0" w:type="dxa"/>
          <w:left w:w="40" w:type="dxa"/>
          <w:bottom w:w="0" w:type="dxa"/>
          <w:right w:w="40" w:type="dxa"/>
        </w:tblCellMar>
      </w:tblPr>
      <w:tblGrid>
        <w:gridCol w:w="3800"/>
        <w:gridCol w:w="1800"/>
        <w:gridCol w:w="2140"/>
        <w:gridCol w:w="1900"/>
      </w:tblGrid>
      <w:tr>
        <w:trPr>
          <w:tblHeader/>
          <w:jc w:val="center"/>
        </w:trPr>
        <w:tc>
          <w:tcPr>
            <w:tcW w:w="38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Outcome</w:t>
            </w:r>
          </w:p>
        </w:tc>
        <w:tc>
          <w:tcPr>
            <w:tcW w:w="18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Baseline</w:t>
            </w:r>
          </w:p>
        </w:tc>
        <w:tc>
          <w:tcPr>
            <w:tcW w:w="21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After the shock</w:t>
            </w:r>
          </w:p>
        </w:tc>
        <w:tc>
          <w:tcPr>
            <w:tcW w:w="1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Change</w:t>
            </w:r>
          </w:p>
        </w:tc>
      </w:tr>
      <w:tr>
        <w:trPr>
          <w:jc w:val="center"/>
        </w:trPr>
        <w:tc>
          <w:tcPr>
            <w:tcW w:w="3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AI share of the entry-level task bundle</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0.2500</w:t>
            </w:r>
          </w:p>
        </w:tc>
        <w:tc>
          <w:tcPr>
            <w:tcW w:w="21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0.5000</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+0.25</w:t>
            </w:r>
          </w:p>
        </w:tc>
      </w:tr>
      <w:tr>
        <w:trPr>
          <w:jc w:val="center"/>
        </w:trPr>
        <w:tc>
          <w:tcPr>
            <w:tcW w:w="3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Entry-level employment rate</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0.8220</w:t>
            </w:r>
          </w:p>
        </w:tc>
        <w:tc>
          <w:tcPr>
            <w:tcW w:w="21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0.7627</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−7.2%</w:t>
            </w:r>
          </w:p>
        </w:tc>
      </w:tr>
      <w:tr>
        <w:trPr>
          <w:jc w:val="center"/>
        </w:trPr>
        <w:tc>
          <w:tcPr>
            <w:tcW w:w="3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Entry wage</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0.3549</w:t>
            </w:r>
          </w:p>
        </w:tc>
        <w:tc>
          <w:tcPr>
            <w:tcW w:w="21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0.3444</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−3.0%</w:t>
            </w:r>
          </w:p>
        </w:tc>
      </w:tr>
      <w:tr>
        <w:trPr>
          <w:jc w:val="center"/>
        </w:trPr>
        <w:tc>
          <w:tcPr>
            <w:tcW w:w="3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Experienced wage</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0.6034</w:t>
            </w:r>
          </w:p>
        </w:tc>
        <w:tc>
          <w:tcPr>
            <w:tcW w:w="21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0.6004</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w:t>
            </w:r>
          </w:p>
        </w:tc>
      </w:tr>
      <w:tr>
        <w:trPr>
          <w:jc w:val="center"/>
        </w:trPr>
        <w:tc>
          <w:tcPr>
            <w:tcW w:w="3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Mentoring per entrant</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0.0113</w:t>
            </w:r>
          </w:p>
        </w:tc>
        <w:tc>
          <w:tcPr>
            <w:tcW w:w="21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0.0202</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79%</w:t>
            </w:r>
          </w:p>
        </w:tc>
      </w:tr>
      <w:tr>
        <w:trPr>
          <w:jc w:val="center"/>
        </w:trPr>
        <w:tc>
          <w:tcPr>
            <w:tcW w:w="3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Aggregate mentoring time</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0.0009</w:t>
            </w:r>
          </w:p>
        </w:tc>
        <w:tc>
          <w:tcPr>
            <w:tcW w:w="21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0.0013</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44%</w:t>
            </w:r>
          </w:p>
        </w:tc>
      </w:tr>
      <w:tr>
        <w:trPr>
          <w:jc w:val="center"/>
        </w:trPr>
        <w:tc>
          <w:tcPr>
            <w:tcW w:w="3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Years to first promotion</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3.4965</w:t>
            </w:r>
          </w:p>
        </w:tc>
        <w:tc>
          <w:tcPr>
            <w:tcW w:w="21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2.7706</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−0.73 yr</w:t>
            </w:r>
          </w:p>
        </w:tc>
      </w:tr>
      <w:tr>
        <w:trPr>
          <w:jc w:val="center"/>
        </w:trPr>
        <w:tc>
          <w:tcPr>
            <w:tcW w:w="3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Promotion flow</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0.0226</w:t>
            </w:r>
          </w:p>
        </w:tc>
        <w:tc>
          <w:tcPr>
            <w:tcW w:w="21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0.0229</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w:t>
            </w:r>
          </w:p>
        </w:tc>
      </w:tr>
      <w:tr>
        <w:trPr>
          <w:jc w:val="center"/>
        </w:trPr>
        <w:tc>
          <w:tcPr>
            <w:tcW w:w="3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Experienced employed</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0.8650</w:t>
            </w:r>
          </w:p>
        </w:tc>
        <w:tc>
          <w:tcPr>
            <w:tcW w:w="21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0.8772</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w:t>
            </w:r>
          </w:p>
        </w:tc>
      </w:tr>
      <w:tr>
        <w:trPr>
          <w:jc w:val="center"/>
        </w:trPr>
        <w:tc>
          <w:tcPr>
            <w:tcW w:w="3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Output</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1.0000</w:t>
            </w:r>
          </w:p>
        </w:tc>
        <w:tc>
          <w:tcPr>
            <w:tcW w:w="21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1.0159</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+1.59%</w:t>
            </w:r>
          </w:p>
        </w:tc>
      </w:tr>
      <w:tr>
        <w:trPr>
          <w:jc w:val="center"/>
        </w:trPr>
        <w:tc>
          <w:tcPr>
            <w:tcW w:w="3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Welfare</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0.9805</w:t>
            </w:r>
          </w:p>
        </w:tc>
        <w:tc>
          <w:tcPr>
            <w:tcW w:w="21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0.9859</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+0.55%</w:t>
            </w:r>
          </w:p>
        </w:tc>
      </w:tr>
      <w:tr>
        <w:trPr>
          <w:jc w:val="center"/>
        </w:trPr>
        <w:tc>
          <w:tcPr>
            <w:tcW w:w="3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Value of being a new entrant</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8.1382</w:t>
            </w:r>
          </w:p>
        </w:tc>
        <w:tc>
          <w:tcPr>
            <w:tcW w:w="21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8.1515</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+0.16%</w:t>
            </w:r>
          </w:p>
        </w:tc>
      </w:tr>
      <w:tr>
        <w:trPr>
          <w:jc w:val="center"/>
        </w:trPr>
        <w:tc>
          <w:tcPr>
            <w:tcW w:w="3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Efficient / market mentoring</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7.2748</w:t>
            </w:r>
          </w:p>
        </w:tc>
        <w:tc>
          <w:tcPr>
            <w:tcW w:w="21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5.3457</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−1.93</w:t>
            </w:r>
          </w:p>
        </w:tc>
      </w:tr>
      <w:tr>
        <w:trPr>
          <w:jc w:val="center"/>
        </w:trPr>
        <w:tc>
          <w:tcPr>
            <w:tcW w:w="38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Welfare gap to the optimum (%)</w:t>
            </w:r>
          </w:p>
        </w:tc>
        <w:tc>
          <w:tcPr>
            <w:tcW w:w="18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1.3948</w:t>
            </w:r>
          </w:p>
        </w:tc>
        <w:tc>
          <w:tcPr>
            <w:tcW w:w="21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1.0966</w:t>
            </w:r>
          </w:p>
        </w:tc>
        <w:tc>
          <w:tcPr>
            <w:tcW w:w="1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−0.30 pp</w:t>
            </w:r>
          </w:p>
        </w:tc>
      </w:tr>
    </w:tbl>
    <w:p>
      <w:pPr>
        <w:spacing w:after="120"/>
        <w:jc w:val="both"/>
      </w:pPr>
      <w:r>
        <w:rPr>
          <w:rFonts w:ascii="Palatino Linotype" w:hAnsi="Palatino Linotype" w:eastAsia="Palatino Linotype"/>
          <w:b w:val="0"/>
          <w:i w:val="0"/>
          <w:sz w:val="20"/>
        </w:rPr>
        <w:t>The first finding is that the burden falls on access rather than on pay. The entry-level employment rate falls by 7.2 per cent while the entry wage falls by only 3.0 per cent, a ratio of 2.5 to one, and the entry-level unemployment rate rises by 5.9 percentage points against 0.02 for experienced workers. This matches what the payroll evidence reports for the United States, where adjustment appears in headcount rather than in compensation [3], and it explains why studies that look for wage effects find little [6]. Section 5.4 shows that this pattern is not a property of the technology.</w:t>
      </w:r>
    </w:p>
    <w:p>
      <w:pPr>
        <w:spacing w:after="120"/>
        <w:jc w:val="both"/>
      </w:pPr>
      <w:r>
        <w:rPr>
          <w:rFonts w:ascii="Palatino Linotype" w:hAnsi="Palatino Linotype" w:eastAsia="Palatino Linotype"/>
          <w:b w:val="0"/>
          <w:i w:val="0"/>
          <w:sz w:val="20"/>
        </w:rPr>
        <w:t>The second finding is the one we did not expect, and it is the paper’s main substantive result. The ladder does not break. Mentoring per entrant rises by 79 per cent, aggregate mentoring by 44 per cent, the expected time to first promotion falls from 3.50 to 2.77 years, the flow of promotions rises by 1.4 per cent and the stock of experienced workers rises by 1.4 per cent. Firms respond to a smaller intake by training it far more intensively. The mechanism is a general-equilibrium one that a partial-equilibrium account would miss: fewer entrants means more experienced time available per entrant and a lower opportunity cost of the mentor’s hour, while the promotion option itself is unaffected by a technology that cannot mentor. What artificial intelligence does to the career ladder is narrow the gate, not dismantle the staircase behind it.</w:t>
      </w:r>
    </w:p>
    <w:p>
      <w:pPr>
        <w:spacing w:after="120"/>
        <w:jc w:val="both"/>
      </w:pPr>
      <w:r>
        <w:rPr>
          <w:rFonts w:ascii="Palatino Linotype" w:hAnsi="Palatino Linotype" w:eastAsia="Palatino Linotype"/>
          <w:b w:val="0"/>
          <w:i w:val="0"/>
          <w:sz w:val="20"/>
        </w:rPr>
        <w:t>The third finding follows from the second and reverses a natural prior. Panel (d) shows that the training wedge does not widen as artificial intelligence spreads; it narrows, from 7.3 to 5.3 times the market level, and the welfare gap falls from 1.39 to 1.10 per cent. Because scarcer entrants are individually more worth training, the private return to mentoring moves towards the social return. The training externality is large, but it is a pre-existing feature of the contracting environment, not something the technology creates or aggravates. Aggregate output rises by 1.6 per cent and aggregate welfare by 0.55 per cent, while the value of being a new entrant rises by 0.16 per cent. What the shock produces is a distributional problem sitting on top of an efficiency problem that was already there, and the two require different instruments.</w:t>
      </w:r>
    </w:p>
    <w:p>
      <w:pPr>
        <w:keepNext/>
        <w:spacing w:before="140" w:after="80"/>
      </w:pPr>
      <w:r>
        <w:rPr>
          <w:rFonts w:ascii="Palatino Linotype" w:hAnsi="Palatino Linotype" w:eastAsia="Palatino Linotype"/>
          <w:b/>
          <w:i w:val="0"/>
          <w:sz w:val="20"/>
        </w:rPr>
        <w:t>5.3. Decomposing the Response</w:t>
      </w:r>
    </w:p>
    <w:p>
      <w:pPr>
        <w:spacing w:after="120"/>
        <w:jc w:val="both"/>
      </w:pPr>
      <w:r>
        <w:rPr>
          <w:rFonts w:ascii="Palatino Linotype" w:hAnsi="Palatino Linotype" w:eastAsia="Palatino Linotype"/>
          <w:b w:val="0"/>
          <w:i w:val="0"/>
          <w:sz w:val="20"/>
        </w:rPr>
        <w:t>To identify what the employment response is made of we deactivate individual channels by holding the relevant object at its baseline value and re-solving, attributing the total by the Shapley value over all deactivation orders, which makes the decomposition exact and order-independent. Three channels are considered beyond direct substitution: the training margin, meaning the response of mentoring intensity; the promotion-value margin, meaning the revaluation of the experienced job that the entry-level match delivers on promotion; and the senior-scarcity margin, meaning the general-equilibrium response of the price of experienced time.</w:t>
      </w:r>
    </w:p>
    <w:p>
      <w:pPr>
        <w:spacing w:after="40"/>
        <w:jc w:val="center"/>
      </w:pPr>
      <w:r>
        <w:drawing>
          <wp:inline distT="0" distB="0" distL="114300" distR="114300">
            <wp:extent cx="4023360" cy="26222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3"/>
                    <a:stretch>
                      <a:fillRect/>
                    </a:stretch>
                  </pic:blipFill>
                  <pic:spPr>
                    <a:xfrm>
                      <a:off x="0" y="0"/>
                      <a:ext cx="4023360" cy="2622213"/>
                    </a:xfrm>
                    <a:prstGeom prst="rect">
                      <a:avLst/>
                    </a:prstGeom>
                  </pic:spPr>
                </pic:pic>
              </a:graphicData>
            </a:graphic>
          </wp:inline>
        </w:drawing>
      </w:r>
    </w:p>
    <w:p>
      <w:pPr>
        <w:spacing w:after="160"/>
        <w:jc w:val="both"/>
      </w:pPr>
      <w:r>
        <w:rPr>
          <w:rFonts w:ascii="Palatino Linotype" w:hAnsi="Palatino Linotype" w:eastAsia="Palatino Linotype"/>
          <w:b/>
          <w:i w:val="0"/>
          <w:sz w:val="17"/>
        </w:rPr>
        <w:t xml:space="preserve">Figure 4. </w:t>
      </w:r>
      <w:r>
        <w:rPr>
          <w:rFonts w:ascii="Palatino Linotype" w:hAnsi="Palatino Linotype" w:eastAsia="Palatino Linotype"/>
          <w:b w:val="0"/>
          <w:i w:val="0"/>
          <w:sz w:val="17"/>
        </w:rPr>
        <w:t>Shapley decomposition of the change in the entry-level employment rate when artificial intelligence doubles its share of the entry-level task bundle. Contributions are in log points multiplied by one hundred and sum exactly to the total; shares in parentheses are of the total response.</w:t>
      </w:r>
    </w:p>
    <w:p>
      <w:pPr>
        <w:spacing w:after="120"/>
        <w:jc w:val="both"/>
      </w:pPr>
      <w:r>
        <w:rPr>
          <w:rFonts w:ascii="Palatino Linotype" w:hAnsi="Palatino Linotype" w:eastAsia="Palatino Linotype"/>
          <w:b w:val="0"/>
          <w:i w:val="0"/>
          <w:sz w:val="20"/>
        </w:rPr>
        <w:t>Direct task substitution accounts for 68 per cent of the fall in the entry-level employment rate and the training margin for 31 per cent, while the promotion-value and senior-scarcity margins together account for under 1 per cent. The decomposition is exact to 0e+00 log points. The training margin therefore does double duty: it is what saves the ladder, and it is also what deepens the fall in entry-level access, because a firm that intends to mentor an entrant intensively is more selective about opening the position in the first place. A reduced-form estimate of the displacement elasticity, however well identified, recovers only the first of these terms.</w:t>
      </w:r>
    </w:p>
    <w:p>
      <w:pPr>
        <w:keepNext/>
        <w:spacing w:before="140" w:after="80"/>
      </w:pPr>
      <w:r>
        <w:rPr>
          <w:rFonts w:ascii="Palatino Linotype" w:hAnsi="Palatino Linotype" w:eastAsia="Palatino Linotype"/>
          <w:b/>
          <w:i w:val="0"/>
          <w:sz w:val="20"/>
        </w:rPr>
        <w:t>5.4. Who Bears the Shock: Wage Rigidity and Incidence</w:t>
      </w:r>
    </w:p>
    <w:p>
      <w:pPr>
        <w:spacing w:after="120"/>
        <w:jc w:val="both"/>
      </w:pPr>
      <w:r>
        <w:rPr>
          <w:rFonts w:ascii="Palatino Linotype" w:hAnsi="Palatino Linotype" w:eastAsia="Palatino Linotype"/>
          <w:b w:val="0"/>
          <w:i w:val="0"/>
          <w:sz w:val="20"/>
        </w:rPr>
        <w:t xml:space="preserve">Proposition 2 says that the split of the shock between pay and employment is governed by the wage rule rather than by the technology. Table 6 and panel (a) of Figure 7 quantify it. In the flexible-wage economy </w:t>
      </w:r>
      <m:oMath>
        <m:r>
          <m:rPr/>
          <m:t xml:space="preserve">(γ_{w} = 0)</m:t>
        </m:r>
      </m:oMath>
      <w:r>
        <w:rPr>
          <w:rFonts w:ascii="Palatino Linotype" w:hAnsi="Palatino Linotype" w:eastAsia="Palatino Linotype"/>
          <w:b w:val="0"/>
          <w:i w:val="0"/>
          <w:sz w:val="20"/>
        </w:rPr>
        <w:t xml:space="preserve"> the same shock lowers the entry wage by 7.6 per cent and the entry-level employment rate by only 0.21 per cent. With a fixed entry wage </w:t>
      </w:r>
      <m:oMath>
        <m:r>
          <m:rPr/>
          <m:t xml:space="preserve">(γ_{w} = 1)</m:t>
        </m:r>
      </m:oMath>
      <w:r>
        <w:rPr>
          <w:rFonts w:ascii="Palatino Linotype" w:hAnsi="Palatino Linotype" w:eastAsia="Palatino Linotype"/>
          <w:b w:val="0"/>
          <w:i w:val="0"/>
          <w:sz w:val="20"/>
        </w:rPr>
        <w:t xml:space="preserve"> the wage does not move at all and the employment rate falls by 12.4 per cent. The ratio of the employment response to the wage response rises monotonically from 0.03 to infinity across that range, passing through 2.5 at our baseline value of 0.8.</w:t>
      </w:r>
    </w:p>
    <w:p>
      <w:pPr>
        <w:keepNext/>
        <w:spacing w:before="160" w:after="40"/>
      </w:pPr>
      <w:r>
        <w:rPr>
          <w:rFonts w:ascii="Palatino Linotype" w:hAnsi="Palatino Linotype" w:eastAsia="Palatino Linotype"/>
          <w:b/>
          <w:i w:val="0"/>
          <w:sz w:val="17"/>
        </w:rPr>
        <w:t xml:space="preserve">Table 6. </w:t>
      </w:r>
      <w:r>
        <w:rPr>
          <w:rFonts w:ascii="Palatino Linotype" w:hAnsi="Palatino Linotype" w:eastAsia="Palatino Linotype"/>
          <w:b w:val="0"/>
          <w:i w:val="0"/>
          <w:sz w:val="17"/>
        </w:rPr>
        <w:t>Incidence of the same shock as a function of the real rigidity of the entry wage.</w:t>
      </w:r>
    </w:p>
    <w:tbl>
      <w:tblPr>
        <w:tblW w:w="0" w:type="auto"/>
        <w:jc w:val="center"/>
        <w:tblLayout w:type="fixed"/>
        <w:tblCellMar>
          <w:top w:w="0" w:type="dxa"/>
          <w:left w:w="40" w:type="dxa"/>
          <w:bottom w:w="0" w:type="dxa"/>
          <w:right w:w="40" w:type="dxa"/>
        </w:tblCellMar>
      </w:tblPr>
      <w:tblGrid>
        <w:gridCol w:w="1100"/>
        <w:gridCol w:w="2100"/>
        <w:gridCol w:w="2800"/>
        <w:gridCol w:w="1340"/>
        <w:gridCol w:w="2300"/>
      </w:tblGrid>
      <w:tr>
        <w:trPr>
          <w:tblHeader/>
          <w:jc w:val="center"/>
        </w:trPr>
        <w:tc>
          <w:tcPr>
            <w:tcW w:w="1100" w:type="dxa"/>
            <w:tcBorders>
              <w:top w:val="single" w:color="000000" w:sz="8" w:space="0"/>
              <w:left w:val="nil"/>
              <w:bottom w:val="single" w:color="000000" w:sz="6" w:space="0"/>
              <w:right w:val="nil"/>
            </w:tcBorders>
          </w:tcPr>
          <w:p>
            <w:pPr>
              <w:spacing w:before="0" w:after="0" w:line="240" w:lineRule="auto"/>
              <w:ind w:left="0"/>
              <w:jc w:val="left"/>
              <w:rPr>
                <w:sz w:val="19"/>
              </w:rPr>
            </w:pPr>
            <m:oMath>
              <m:sSub>
                <m:sSubPr/>
                <m:e>
                  <m:r>
                    <m:rPr/>
                    <m:t>γ</m:t>
                  </m:r>
                </m:e>
                <m:sub>
                  <m:r>
                    <m:rPr/>
                    <m:t>w</m:t>
                  </m:r>
                </m:sub>
              </m:sSub>
            </m:oMath>
          </w:p>
        </w:tc>
        <w:tc>
          <w:tcPr>
            <w:tcW w:w="2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Entry wage (%)</w:t>
            </w:r>
          </w:p>
        </w:tc>
        <w:tc>
          <w:tcPr>
            <w:tcW w:w="28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Entry-level employment rate (%)</w:t>
            </w:r>
          </w:p>
        </w:tc>
        <w:tc>
          <w:tcPr>
            <w:tcW w:w="13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Ratio</w:t>
            </w:r>
          </w:p>
        </w:tc>
        <w:tc>
          <w:tcPr>
            <w:tcW w:w="2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Aggregate mentoring (%)</w:t>
            </w:r>
          </w:p>
        </w:tc>
      </w:tr>
      <w:tr>
        <w:trPr>
          <w:jc w:val="center"/>
        </w:trPr>
        <w:tc>
          <w:tcPr>
            <w:tcW w:w="1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0.0</w:t>
            </w:r>
          </w:p>
        </w:tc>
        <w:tc>
          <w:tcPr>
            <w:tcW w:w="2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−7.58</w:t>
            </w:r>
          </w:p>
        </w:tc>
        <w:tc>
          <w:tcPr>
            <w:tcW w:w="2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−0.21</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w:t>
            </w:r>
          </w:p>
        </w:tc>
        <w:tc>
          <w:tcPr>
            <w:tcW w:w="2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w:t>
            </w:r>
          </w:p>
        </w:tc>
      </w:tr>
      <w:tr>
        <w:trPr>
          <w:jc w:val="center"/>
        </w:trPr>
        <w:tc>
          <w:tcPr>
            <w:tcW w:w="1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0.2</w:t>
            </w:r>
          </w:p>
        </w:tc>
        <w:tc>
          <w:tcPr>
            <w:tcW w:w="2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−6.81</w:t>
            </w:r>
          </w:p>
        </w:tc>
        <w:tc>
          <w:tcPr>
            <w:tcW w:w="2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−1.32</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0.19</w:t>
            </w:r>
          </w:p>
        </w:tc>
        <w:tc>
          <w:tcPr>
            <w:tcW w:w="2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8.9</w:t>
            </w:r>
          </w:p>
        </w:tc>
      </w:tr>
      <w:tr>
        <w:trPr>
          <w:jc w:val="center"/>
        </w:trPr>
        <w:tc>
          <w:tcPr>
            <w:tcW w:w="1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0.4</w:t>
            </w:r>
          </w:p>
        </w:tc>
        <w:tc>
          <w:tcPr>
            <w:tcW w:w="2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−5.88</w:t>
            </w:r>
          </w:p>
        </w:tc>
        <w:tc>
          <w:tcPr>
            <w:tcW w:w="2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−2.69</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0.45</w:t>
            </w:r>
          </w:p>
        </w:tc>
        <w:tc>
          <w:tcPr>
            <w:tcW w:w="2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17.7</w:t>
            </w:r>
          </w:p>
        </w:tc>
      </w:tr>
      <w:tr>
        <w:trPr>
          <w:jc w:val="center"/>
        </w:trPr>
        <w:tc>
          <w:tcPr>
            <w:tcW w:w="1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0.6</w:t>
            </w:r>
          </w:p>
        </w:tc>
        <w:tc>
          <w:tcPr>
            <w:tcW w:w="2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−4.68</w:t>
            </w:r>
          </w:p>
        </w:tc>
        <w:tc>
          <w:tcPr>
            <w:tcW w:w="2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−4.52</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0.97</w:t>
            </w:r>
          </w:p>
        </w:tc>
        <w:tc>
          <w:tcPr>
            <w:tcW w:w="2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28.7</w:t>
            </w:r>
          </w:p>
        </w:tc>
      </w:tr>
      <w:tr>
        <w:trPr>
          <w:jc w:val="center"/>
        </w:trPr>
        <w:tc>
          <w:tcPr>
            <w:tcW w:w="1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0.8</w:t>
            </w:r>
          </w:p>
        </w:tc>
        <w:tc>
          <w:tcPr>
            <w:tcW w:w="2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−2.98</w:t>
            </w:r>
          </w:p>
        </w:tc>
        <w:tc>
          <w:tcPr>
            <w:tcW w:w="2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−7.21</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2.47</w:t>
            </w:r>
          </w:p>
        </w:tc>
        <w:tc>
          <w:tcPr>
            <w:tcW w:w="2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43.8</w:t>
            </w:r>
          </w:p>
        </w:tc>
      </w:tr>
      <w:tr>
        <w:trPr>
          <w:jc w:val="center"/>
        </w:trPr>
        <w:tc>
          <w:tcPr>
            <w:tcW w:w="1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0.9</w:t>
            </w:r>
          </w:p>
        </w:tc>
        <w:tc>
          <w:tcPr>
            <w:tcW w:w="2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−1.77</w:t>
            </w:r>
          </w:p>
        </w:tc>
        <w:tc>
          <w:tcPr>
            <w:tcW w:w="2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−9.26</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5.44</w:t>
            </w:r>
          </w:p>
        </w:tc>
        <w:tc>
          <w:tcPr>
            <w:tcW w:w="2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54.2</w:t>
            </w:r>
          </w:p>
        </w:tc>
      </w:tr>
      <w:tr>
        <w:trPr>
          <w:jc w:val="center"/>
        </w:trPr>
        <w:tc>
          <w:tcPr>
            <w:tcW w:w="11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1.0</w:t>
            </w:r>
          </w:p>
        </w:tc>
        <w:tc>
          <w:tcPr>
            <w:tcW w:w="21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w:t>
            </w:r>
          </w:p>
        </w:tc>
        <w:tc>
          <w:tcPr>
            <w:tcW w:w="28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−12.42</w:t>
            </w:r>
          </w:p>
        </w:tc>
        <w:tc>
          <w:tcPr>
            <w:tcW w:w="13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2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68.9</w:t>
            </w:r>
          </w:p>
        </w:tc>
      </w:tr>
    </w:tbl>
    <w:p>
      <w:pPr>
        <w:spacing w:after="120"/>
        <w:jc w:val="both"/>
      </w:pPr>
      <w:r>
        <w:rPr>
          <w:rFonts w:ascii="Palatino Linotype" w:hAnsi="Palatino Linotype" w:eastAsia="Palatino Linotype"/>
          <w:b w:val="0"/>
          <w:i w:val="0"/>
          <w:sz w:val="20"/>
        </w:rPr>
        <w:t>This has an empirical payoff. The stylised fact that motivates the literature—large employment effects for young workers, negligible effects on their pay—is not evidence about artificial intelligence at all. It is evidence that entry wages are rigid. A flexible-wage economy hit by exactly the same technology shock would show the opposite pattern, and would generate the precise nulls on employment that the Danish evidence reports [6]. The apparent conflict between studies finding large employment effects and studies finding none is therefore not necessarily a conflict about the technology; it is consistent with a difference in wage-setting institutions between the settings studied. In China, where provincial minimum wages bind for entry-level urban positions [9] and graduate pay scales are compressed, the model places the economy towards the rigid end of that range.</w:t>
      </w:r>
    </w:p>
    <w:p>
      <w:pPr>
        <w:keepNext/>
        <w:spacing w:before="140" w:after="80"/>
      </w:pPr>
      <w:r>
        <w:rPr>
          <w:rFonts w:ascii="Palatino Linotype" w:hAnsi="Palatino Linotype" w:eastAsia="Palatino Linotype"/>
          <w:b/>
          <w:i w:val="0"/>
          <w:sz w:val="20"/>
        </w:rPr>
        <w:t>5.5. Held-Out Validation: The Exposure Gradient</w:t>
      </w:r>
    </w:p>
    <w:p>
      <w:pPr>
        <w:spacing w:after="120"/>
        <w:jc w:val="both"/>
      </w:pPr>
      <w:r>
        <w:rPr>
          <w:rFonts w:ascii="Palatino Linotype" w:hAnsi="Palatino Linotype" w:eastAsia="Palatino Linotype"/>
          <w:b w:val="0"/>
          <w:i w:val="0"/>
          <w:sz w:val="20"/>
        </w:rPr>
        <w:t>No information about employment by exposure entered the calibration, so we can ask the model a question it was not fitted to answer. Consider occupation groups differing only in how much of their entry-level task content artificial intelligence can perform, spanning shares from 5 to 55 per cent, and compute for each the change in entry-level and experienced employment relative to a pre-artificial-intelligence benchmark. The difference between the most and the least exposed group, of entry-level relative to experienced employment, is the model analogue of a difference-in-differences estimate.</w:t>
      </w:r>
    </w:p>
    <w:p>
      <w:pPr>
        <w:spacing w:after="40"/>
        <w:jc w:val="center"/>
      </w:pPr>
      <w:r>
        <w:drawing>
          <wp:inline distT="0" distB="0" distL="114300" distR="114300">
            <wp:extent cx="5486400" cy="23022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4"/>
                    <a:stretch>
                      <a:fillRect/>
                    </a:stretch>
                  </pic:blipFill>
                  <pic:spPr>
                    <a:xfrm>
                      <a:off x="0" y="0"/>
                      <a:ext cx="5486400" cy="2302277"/>
                    </a:xfrm>
                    <a:prstGeom prst="rect">
                      <a:avLst/>
                    </a:prstGeom>
                  </pic:spPr>
                </pic:pic>
              </a:graphicData>
            </a:graphic>
          </wp:inline>
        </w:drawing>
      </w:r>
    </w:p>
    <w:p>
      <w:pPr>
        <w:spacing w:after="160"/>
        <w:jc w:val="both"/>
      </w:pPr>
      <w:r>
        <w:rPr>
          <w:rFonts w:ascii="Palatino Linotype" w:hAnsi="Palatino Linotype" w:eastAsia="Palatino Linotype"/>
          <w:b/>
          <w:i w:val="0"/>
          <w:sz w:val="17"/>
        </w:rPr>
        <w:t xml:space="preserve">Figure 5. </w:t>
      </w:r>
      <w:r>
        <w:rPr>
          <w:rFonts w:ascii="Palatino Linotype" w:hAnsi="Palatino Linotype" w:eastAsia="Palatino Linotype"/>
          <w:b w:val="0"/>
          <w:i w:val="0"/>
          <w:sz w:val="17"/>
        </w:rPr>
        <w:t>Held-out validation. Panel (a): the predicted change in entry-level and experienced employment, relative to a pre-artificial-intelligence benchmark, across occupation groups differing in the share of entry-level task content that artificial intelligence performs. Panel (b): the implied difference between the most and least exposed groups against the payroll-data estimate for United States workers aged 22 to 25 reported by Brynjolfsson, Chandar and Chen. Neither that estimate nor any employment-by-exposure information was used in the calibration.</w:t>
      </w:r>
    </w:p>
    <w:p>
      <w:pPr>
        <w:spacing w:after="120"/>
        <w:jc w:val="both"/>
      </w:pPr>
      <w:r>
        <w:rPr>
          <w:rFonts w:ascii="Palatino Linotype" w:hAnsi="Palatino Linotype" w:eastAsia="Palatino Linotype"/>
          <w:b w:val="0"/>
          <w:i w:val="0"/>
          <w:sz w:val="20"/>
        </w:rPr>
        <w:t>The model predicts −14.8 per cent against a payroll estimate of −16.0 per cent [3]. It also reproduces two features of that study that were not targeted: the gradient is monotone in exposure, and the corresponding difference in entry wages is only −5.1 per cent, so the model delivers the employment-not-pay pattern at roughly the observed relative magnitude. We read this as corroboration rather than confirmation, for two reasons. The calibration targets are Chinese and the validation estimate American, so the comparison presumes that technology and contracting, rather than national institutions, dominate this margin—a presumption that Section 5.4 shows to be only partly warranted, since the wage rule matters a great deal. And the model compares steady states whereas the estimate is a medium-run difference, so the two objects coincide only if adjustment is substantially complete.</w:t>
      </w:r>
    </w:p>
    <w:p>
      <w:pPr>
        <w:keepNext/>
        <w:spacing w:before="140" w:after="80"/>
      </w:pPr>
      <w:r>
        <w:rPr>
          <w:rFonts w:ascii="Palatino Linotype" w:hAnsi="Palatino Linotype" w:eastAsia="Palatino Linotype"/>
          <w:b/>
          <w:i w:val="0"/>
          <w:sz w:val="20"/>
        </w:rPr>
        <w:t>5.6. Implementing the Optimum, and the Tax That Should Not Be Levied</w:t>
      </w:r>
    </w:p>
    <w:p>
      <w:pPr>
        <w:spacing w:after="120"/>
        <w:jc w:val="both"/>
      </w:pPr>
      <w:r>
        <w:rPr>
          <w:rFonts w:ascii="Palatino Linotype" w:hAnsi="Palatino Linotype" w:eastAsia="Palatino Linotype"/>
          <w:b w:val="0"/>
          <w:i w:val="0"/>
          <w:sz w:val="20"/>
        </w:rPr>
        <w:t>Because the wedges are known they can be priced. Table 7 reports the combination of an entry-level vacancy subsidy, a mentoring credit and an experienced-tier vacancy subsidy that reproduces the planner’s allocation exactly. At the baseline the required rates are −7.4 per cent of the entry-level vacancy cost, 91.7 per cent of the mentoring cost and 7.5 per cent of the experienced vacancy cost, at a fiscal cost of 0.46 per cent of output. They raise welfare by 1.39 per cent, raise aggregate mentoring by 627 per cent and cut time to first promotion to 0.97 years. After the shock the required mentoring credit is 87.5 per cent, lower than before, which is the policy counterpart of the narrowing wedge documented in Section 5.2.</w:t>
      </w:r>
    </w:p>
    <w:p>
      <w:pPr>
        <w:keepNext/>
        <w:spacing w:before="160" w:after="40"/>
      </w:pPr>
      <w:r>
        <w:rPr>
          <w:rFonts w:ascii="Palatino Linotype" w:hAnsi="Palatino Linotype" w:eastAsia="Palatino Linotype"/>
          <w:b/>
          <w:i w:val="0"/>
          <w:sz w:val="17"/>
        </w:rPr>
        <w:t xml:space="preserve">Table 7. </w:t>
      </w:r>
      <w:r>
        <w:rPr>
          <w:rFonts w:ascii="Palatino Linotype" w:hAnsi="Palatino Linotype" w:eastAsia="Palatino Linotype"/>
          <w:b w:val="0"/>
          <w:i w:val="0"/>
          <w:sz w:val="17"/>
        </w:rPr>
        <w:t>Subsidies that decentralise the constrained optimum.</w:t>
      </w:r>
    </w:p>
    <w:tbl>
      <w:tblPr>
        <w:tblW w:w="0" w:type="auto"/>
        <w:jc w:val="center"/>
        <w:tblLayout w:type="fixed"/>
        <w:tblCellMar>
          <w:top w:w="0" w:type="dxa"/>
          <w:left w:w="40" w:type="dxa"/>
          <w:bottom w:w="0" w:type="dxa"/>
          <w:right w:w="40" w:type="dxa"/>
        </w:tblCellMar>
      </w:tblPr>
      <w:tblGrid>
        <w:gridCol w:w="4700"/>
        <w:gridCol w:w="2470"/>
        <w:gridCol w:w="2470"/>
      </w:tblGrid>
      <w:tr>
        <w:trPr>
          <w:tblHeader/>
          <w:jc w:val="center"/>
        </w:trPr>
        <w:tc>
          <w:tcPr>
            <w:tcW w:w="47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Instrument</w:t>
            </w:r>
          </w:p>
        </w:tc>
        <w:tc>
          <w:tcPr>
            <w:tcW w:w="247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Baseline</w:t>
            </w:r>
          </w:p>
        </w:tc>
        <w:tc>
          <w:tcPr>
            <w:tcW w:w="247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After the shock</w:t>
            </w:r>
          </w:p>
        </w:tc>
      </w:tr>
      <w:tr>
        <w:trPr>
          <w:jc w:val="center"/>
        </w:trPr>
        <w:tc>
          <w:tcPr>
            <w:tcW w:w="47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Entry-level vacancy subsidy (% of the vacancy cost)</w:t>
            </w:r>
          </w:p>
        </w:tc>
        <w:tc>
          <w:tcPr>
            <w:tcW w:w="24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−7.4</w:t>
            </w:r>
          </w:p>
        </w:tc>
        <w:tc>
          <w:tcPr>
            <w:tcW w:w="24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7.2</w:t>
            </w:r>
          </w:p>
        </w:tc>
      </w:tr>
      <w:tr>
        <w:trPr>
          <w:jc w:val="center"/>
        </w:trPr>
        <w:tc>
          <w:tcPr>
            <w:tcW w:w="47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Mentoring credit (% of the mentoring cost)</w:t>
            </w:r>
          </w:p>
        </w:tc>
        <w:tc>
          <w:tcPr>
            <w:tcW w:w="24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91.7</w:t>
            </w:r>
          </w:p>
        </w:tc>
        <w:tc>
          <w:tcPr>
            <w:tcW w:w="24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87.5</w:t>
            </w:r>
          </w:p>
        </w:tc>
      </w:tr>
      <w:tr>
        <w:trPr>
          <w:jc w:val="center"/>
        </w:trPr>
        <w:tc>
          <w:tcPr>
            <w:tcW w:w="47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Experienced vacancy subsidy (% of the vacancy cost)</w:t>
            </w:r>
          </w:p>
        </w:tc>
        <w:tc>
          <w:tcPr>
            <w:tcW w:w="24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7.5</w:t>
            </w:r>
          </w:p>
        </w:tc>
        <w:tc>
          <w:tcPr>
            <w:tcW w:w="24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7.5</w:t>
            </w:r>
          </w:p>
        </w:tc>
      </w:tr>
      <w:tr>
        <w:trPr>
          <w:jc w:val="center"/>
        </w:trPr>
        <w:tc>
          <w:tcPr>
            <w:tcW w:w="47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Tax on artificial intelligence</w:t>
            </w:r>
          </w:p>
        </w:tc>
        <w:tc>
          <w:tcPr>
            <w:tcW w:w="24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24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r>
      <w:tr>
        <w:trPr>
          <w:jc w:val="center"/>
        </w:trPr>
        <w:tc>
          <w:tcPr>
            <w:tcW w:w="47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Fiscal cost (% of output)</w:t>
            </w:r>
          </w:p>
        </w:tc>
        <w:tc>
          <w:tcPr>
            <w:tcW w:w="24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0.46</w:t>
            </w:r>
          </w:p>
        </w:tc>
        <w:tc>
          <w:tcPr>
            <w:tcW w:w="24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0.52</w:t>
            </w:r>
          </w:p>
        </w:tc>
      </w:tr>
      <w:tr>
        <w:trPr>
          <w:jc w:val="center"/>
        </w:trPr>
        <w:tc>
          <w:tcPr>
            <w:tcW w:w="47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Welfare gain (%)</w:t>
            </w:r>
          </w:p>
        </w:tc>
        <w:tc>
          <w:tcPr>
            <w:tcW w:w="24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1.39</w:t>
            </w:r>
          </w:p>
        </w:tc>
        <w:tc>
          <w:tcPr>
            <w:tcW w:w="24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1.10</w:t>
            </w:r>
          </w:p>
        </w:tc>
      </w:tr>
      <w:tr>
        <w:trPr>
          <w:jc w:val="center"/>
        </w:trPr>
        <w:tc>
          <w:tcPr>
            <w:tcW w:w="47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Aggregate mentoring (%)</w:t>
            </w:r>
          </w:p>
        </w:tc>
        <w:tc>
          <w:tcPr>
            <w:tcW w:w="24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627</w:t>
            </w:r>
          </w:p>
        </w:tc>
        <w:tc>
          <w:tcPr>
            <w:tcW w:w="24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435</w:t>
            </w:r>
          </w:p>
        </w:tc>
      </w:tr>
      <w:tr>
        <w:trPr>
          <w:jc w:val="center"/>
        </w:trPr>
        <w:tc>
          <w:tcPr>
            <w:tcW w:w="47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Years to first promotion</w:t>
            </w:r>
          </w:p>
        </w:tc>
        <w:tc>
          <w:tcPr>
            <w:tcW w:w="247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0.97</w:t>
            </w:r>
          </w:p>
        </w:tc>
        <w:tc>
          <w:tcPr>
            <w:tcW w:w="247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0.94</w:t>
            </w:r>
          </w:p>
        </w:tc>
      </w:tr>
    </w:tbl>
    <w:p>
      <w:pPr>
        <w:spacing w:after="120"/>
        <w:jc w:val="both"/>
      </w:pPr>
      <w:r>
        <w:rPr>
          <w:rFonts w:ascii="Palatino Linotype" w:hAnsi="Palatino Linotype" w:eastAsia="Palatino Linotype"/>
          <w:b w:val="0"/>
          <w:i w:val="0"/>
          <w:sz w:val="20"/>
        </w:rPr>
        <w:t>One entry in that table is a zero, and it is the most interesting number in the paper. The welfare-maximising tax on artificial intelligence, once the ladder subsidies are in place, is 0.000. Conditional on the allocation of labour, firms hire artificial intelligence until its marginal product equals its price, and the planner’s condition for the input is identical, so the input is efficiently priced. The distortion in this economy is not in the market for artificial intelligence; it is in the market for training. Taxing the technology to protect entry-level jobs treats a symptom at the cost of output, and once the ladder is correctly subsidised there is nothing left for the tax to correct.</w:t>
      </w:r>
    </w:p>
    <w:p>
      <w:pPr>
        <w:keepNext/>
        <w:spacing w:before="140" w:after="80"/>
      </w:pPr>
      <w:r>
        <w:rPr>
          <w:rFonts w:ascii="Palatino Linotype" w:hAnsi="Palatino Linotype" w:eastAsia="Palatino Linotype"/>
          <w:b/>
          <w:i w:val="0"/>
          <w:sz w:val="20"/>
        </w:rPr>
        <w:t>5.7. Instruments at a Common Budget</w:t>
      </w:r>
    </w:p>
    <w:p>
      <w:pPr>
        <w:spacing w:after="120"/>
        <w:jc w:val="both"/>
      </w:pPr>
      <w:r>
        <w:rPr>
          <w:rFonts w:ascii="Palatino Linotype" w:hAnsi="Palatino Linotype" w:eastAsia="Palatino Linotype"/>
          <w:b w:val="0"/>
          <w:i w:val="0"/>
          <w:sz w:val="20"/>
        </w:rPr>
        <w:t>Governments do not implement first-best packages; they choose an instrument and a budget. We therefore fix a common fiscal cost of 0.05 per cent of output—of the order of a national youth-employment programme—and ask what each of four instruments buys. Welfare is output net of recruiting and technology costs plus the flow value of non-employment, so transfers net out and only efficiency gains appear. The marginal value of public funds is aggregate willingness to pay over net government cost, which in this accounting is</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MVPF</m:t>
        </m:r>
        <m:r>
          <m:rPr/>
          <m:t xml:space="preserve"> </m:t>
        </m:r>
        <m:r>
          <m:rPr>
            <m:sty m:val="p"/>
          </m:rPr>
          <m:t>=</m:t>
        </m:r>
        <m:r>
          <m:rPr/>
          <m:t xml:space="preserve"> </m:t>
        </m:r>
        <m:f>
          <m:fPr/>
          <m:num>
            <m:r>
              <m:rPr/>
              <m:t>Δ</m:t>
            </m:r>
            <m:r>
              <m:rPr/>
              <m:t>𝒲</m:t>
            </m:r>
            <m:r>
              <m:rPr/>
              <m:t xml:space="preserve"> </m:t>
            </m:r>
            <m:r>
              <m:rPr>
                <m:sty m:val="p"/>
              </m:rPr>
              <m:t>+</m:t>
            </m:r>
            <m:r>
              <m:rPr/>
              <m:t xml:space="preserve"> </m:t>
            </m:r>
            <m:r>
              <m:rPr/>
              <m:t>G</m:t>
            </m:r>
          </m:num>
          <m:den>
            <m:r>
              <m:rPr/>
              <m:t>G</m:t>
            </m:r>
          </m:den>
        </m:f>
        <m:r>
          <m:rPr/>
          <m:t xml:space="preserve"> </m:t>
        </m:r>
        <m:r>
          <m:rPr>
            <m:sty m:val="p"/>
          </m:rPr>
          <m:t>=</m:t>
        </m:r>
        <m:r>
          <m:rPr/>
          <m:t xml:space="preserve"> </m:t>
        </m:r>
        <m:r>
          <m:rPr/>
          <m:t>1</m:t>
        </m:r>
        <m:r>
          <m:rPr/>
          <m:t xml:space="preserve"> </m:t>
        </m:r>
        <m:r>
          <m:rPr>
            <m:sty m:val="p"/>
          </m:rPr>
          <m:t>+</m:t>
        </m:r>
        <m:r>
          <m:rPr/>
          <m:t xml:space="preserve"> </m:t>
        </m:r>
        <m:f>
          <m:fPr/>
          <m:num>
            <m:r>
              <m:rPr/>
              <m:t>Δ</m:t>
            </m:r>
            <m:r>
              <m:rPr/>
              <m:t>𝒲</m:t>
            </m:r>
          </m:num>
          <m:den>
            <m:r>
              <m:rPr/>
              <m:t>G</m:t>
            </m:r>
          </m:den>
        </m:f>
      </m:oMath>
      <w:r>
        <w:rPr>
          <w:rFonts w:ascii="Palatino Linotype" w:hAnsi="Palatino Linotype" w:eastAsia="Palatino Linotype"/>
          <w:b w:val="0"/>
          <w:i w:val="0"/>
          <w:sz w:val="20"/>
        </w:rPr>
        <w:tab/>
      </w:r>
      <w:r>
        <w:rPr>
          <w:rFonts w:ascii="Palatino Linotype" w:hAnsi="Palatino Linotype" w:eastAsia="Palatino Linotype"/>
          <w:b w:val="0"/>
          <w:i w:val="0"/>
          <w:sz w:val="20"/>
        </w:rPr>
        <w:t>(24)</w:t>
      </w:r>
    </w:p>
    <w:p>
      <w:pPr>
        <w:spacing w:after="120"/>
        <w:jc w:val="both"/>
      </w:pPr>
      <w:r>
        <w:rPr>
          <w:rFonts w:ascii="Palatino Linotype" w:hAnsi="Palatino Linotype" w:eastAsia="Palatino Linotype"/>
          <w:b w:val="0"/>
          <w:i w:val="0"/>
          <w:sz w:val="20"/>
        </w:rPr>
        <w:t>so that a value above one identifies an instrument that returns more than it costs. Figure 6 and Table 8 report the comparison at the baseline and after the shock.</w:t>
      </w:r>
    </w:p>
    <w:p>
      <w:pPr>
        <w:spacing w:after="40"/>
        <w:jc w:val="center"/>
      </w:pPr>
      <w:r>
        <w:drawing>
          <wp:inline distT="0" distB="0" distL="114300" distR="114300">
            <wp:extent cx="5760720" cy="22630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5"/>
                    <a:stretch>
                      <a:fillRect/>
                    </a:stretch>
                  </pic:blipFill>
                  <pic:spPr>
                    <a:xfrm>
                      <a:off x="0" y="0"/>
                      <a:ext cx="5760720" cy="2263039"/>
                    </a:xfrm>
                    <a:prstGeom prst="rect">
                      <a:avLst/>
                    </a:prstGeom>
                  </pic:spPr>
                </pic:pic>
              </a:graphicData>
            </a:graphic>
          </wp:inline>
        </w:drawing>
      </w:r>
    </w:p>
    <w:p>
      <w:pPr>
        <w:spacing w:after="160"/>
        <w:jc w:val="both"/>
      </w:pPr>
      <w:r>
        <w:rPr>
          <w:rFonts w:ascii="Palatino Linotype" w:hAnsi="Palatino Linotype" w:eastAsia="Palatino Linotype"/>
          <w:b/>
          <w:i w:val="0"/>
          <w:sz w:val="17"/>
        </w:rPr>
        <w:t xml:space="preserve">Figure 6. </w:t>
      </w:r>
      <w:r>
        <w:rPr>
          <w:rFonts w:ascii="Palatino Linotype" w:hAnsi="Palatino Linotype" w:eastAsia="Palatino Linotype"/>
          <w:b w:val="0"/>
          <w:i w:val="0"/>
          <w:sz w:val="17"/>
        </w:rPr>
        <w:t>Four instruments at a common fiscal cost, evaluated at the estimated baseline and after artificial intelligence doubles its share of the entry-level task bundle. Panel (a): welfare gain. Panel (b): change in the value of being a new entrant. Panel (c): marginal value of public funds; the dotted line marks unity. The tax on artificial intelligence is absent from the baseline panels because its base is too elastic to raise the required revenue at any rate.</w:t>
      </w:r>
    </w:p>
    <w:p>
      <w:pPr>
        <w:spacing w:after="120"/>
        <w:jc w:val="both"/>
      </w:pPr>
      <w:r>
        <w:rPr>
          <w:rFonts w:ascii="Palatino Linotype" w:hAnsi="Palatino Linotype" w:eastAsia="Palatino Linotype"/>
          <w:b w:val="0"/>
          <w:i w:val="0"/>
          <w:sz w:val="20"/>
        </w:rPr>
        <w:t>The ranking is unambiguous and the spread is large. The mentoring credit delivers a welfare gain of 0.678 per cent, raises aggregate mentoring by 76 per cent, raises the value of being a new entrant by 1.49 per cent and shortens time to promotion by 1.06 years, with a marginal value of public funds of 14.3. The entry-level vacancy subsidy is a distant second at 0.043 per cent and a marginal value of 1.85. The entry-level wage subsidy is worse than doing nothing: it lowers welfare by 0.170 per cent and has a marginal value of −2.34, because by raising the entry wage it raises the cost of the very matches whose training content is under-provided and crowds mentoring out by 11 per cent.</w:t>
      </w:r>
    </w:p>
    <w:p>
      <w:pPr>
        <w:spacing w:after="120"/>
        <w:jc w:val="both"/>
      </w:pPr>
      <w:r>
        <w:rPr>
          <w:rFonts w:ascii="Palatino Linotype" w:hAnsi="Palatino Linotype" w:eastAsia="Palatino Linotype"/>
          <w:b w:val="0"/>
          <w:i w:val="0"/>
          <w:sz w:val="20"/>
        </w:rPr>
        <w:t>The tax on artificial intelligence cannot be assessed at the common budget in the baseline economy for an instructive reason: its base is too elastic. The largest revenue any rate can raise is 0.010 per cent of output, below the envelope we set, so the instrument is infeasible at that scale before its welfare properties are even considered. After the shock the base is larger and the tax becomes feasible, at which point it lowers welfare by 0.114 per cent with a marginal value of public funds of −1.22—the worst of the four. The ordering after the shock is otherwise preserved, with the mentoring credit delivering 0.471 per cent at a marginal value of 10.1.</w:t>
      </w:r>
    </w:p>
    <w:p>
      <w:pPr>
        <w:keepNext/>
        <w:spacing w:before="160" w:after="40"/>
      </w:pPr>
      <w:r>
        <w:rPr>
          <w:rFonts w:ascii="Palatino Linotype" w:hAnsi="Palatino Linotype" w:eastAsia="Palatino Linotype"/>
          <w:b/>
          <w:i w:val="0"/>
          <w:sz w:val="17"/>
        </w:rPr>
        <w:t xml:space="preserve">Table 8. </w:t>
      </w:r>
      <w:r>
        <w:rPr>
          <w:rFonts w:ascii="Palatino Linotype" w:hAnsi="Palatino Linotype" w:eastAsia="Palatino Linotype"/>
          <w:b w:val="0"/>
          <w:i w:val="0"/>
          <w:sz w:val="17"/>
        </w:rPr>
        <w:t>Four instruments at a common fiscal cost. The upper block is the estimated baseline, the lower block the economy after the artificial-intelligence shock.</w:t>
      </w:r>
    </w:p>
    <w:tbl>
      <w:tblPr>
        <w:tblW w:w="0" w:type="auto"/>
        <w:jc w:val="center"/>
        <w:tblLayout w:type="fixed"/>
        <w:tblCellMar>
          <w:top w:w="0" w:type="dxa"/>
          <w:left w:w="40" w:type="dxa"/>
          <w:bottom w:w="0" w:type="dxa"/>
          <w:right w:w="40" w:type="dxa"/>
        </w:tblCellMar>
      </w:tblPr>
      <w:tblGrid>
        <w:gridCol w:w="2560"/>
        <w:gridCol w:w="1080"/>
        <w:gridCol w:w="1300"/>
        <w:gridCol w:w="1400"/>
        <w:gridCol w:w="1300"/>
        <w:gridCol w:w="1400"/>
        <w:gridCol w:w="600"/>
      </w:tblGrid>
      <w:tr>
        <w:trPr>
          <w:tblHeader/>
          <w:jc w:val="center"/>
        </w:trPr>
        <w:tc>
          <w:tcPr>
            <w:tcW w:w="256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Instrument</w:t>
            </w:r>
          </w:p>
        </w:tc>
        <w:tc>
          <w:tcPr>
            <w:tcW w:w="108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Rate</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Welfare (%)</w:t>
            </w:r>
          </w:p>
        </w:tc>
        <w:tc>
          <w:tcPr>
            <w:tcW w:w="14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Entrant value (%)</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Mentoring (%)</w:t>
            </w:r>
          </w:p>
        </w:tc>
        <w:tc>
          <w:tcPr>
            <w:tcW w:w="14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Promotion flow (%)</w:t>
            </w:r>
          </w:p>
        </w:tc>
        <w:tc>
          <w:tcPr>
            <w:tcW w:w="6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MVPF</w:t>
            </w:r>
          </w:p>
        </w:tc>
      </w:tr>
      <w:tr>
        <w:trPr>
          <w:jc w:val="center"/>
        </w:trPr>
        <w:tc>
          <w:tcPr>
            <w:tcW w:w="2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Mentoring / training credit</w:t>
            </w:r>
          </w:p>
        </w:tc>
        <w:tc>
          <w:tcPr>
            <w:tcW w:w="1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0.478</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0.678</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1.49</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76.4</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2.76</w:t>
            </w:r>
          </w:p>
        </w:tc>
        <w:tc>
          <w:tcPr>
            <w:tcW w:w="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14.30</w:t>
            </w:r>
          </w:p>
        </w:tc>
      </w:tr>
      <w:tr>
        <w:trPr>
          <w:jc w:val="center"/>
        </w:trPr>
        <w:tc>
          <w:tcPr>
            <w:tcW w:w="2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Entry-level vacancy subsidy</w:t>
            </w:r>
          </w:p>
        </w:tc>
        <w:tc>
          <w:tcPr>
            <w:tcW w:w="1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0.082</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0.043</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0.25</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2.8</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0.26</w:t>
            </w:r>
          </w:p>
        </w:tc>
        <w:tc>
          <w:tcPr>
            <w:tcW w:w="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1.85</w:t>
            </w:r>
          </w:p>
        </w:tc>
      </w:tr>
      <w:tr>
        <w:trPr>
          <w:jc w:val="center"/>
        </w:trPr>
        <w:tc>
          <w:tcPr>
            <w:tcW w:w="2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Entry-level wage subsidy</w:t>
            </w:r>
          </w:p>
        </w:tc>
        <w:tc>
          <w:tcPr>
            <w:tcW w:w="1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0.017</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−0.170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−0.15</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−11.1</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−0.58</w:t>
            </w:r>
          </w:p>
        </w:tc>
        <w:tc>
          <w:tcPr>
            <w:tcW w:w="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−2.34</w:t>
            </w:r>
          </w:p>
        </w:tc>
      </w:tr>
      <w:tr>
        <w:trPr>
          <w:jc w:val="center"/>
        </w:trPr>
        <w:tc>
          <w:tcPr>
            <w:tcW w:w="2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Tax on the AI input</w:t>
            </w:r>
          </w:p>
        </w:tc>
        <w:tc>
          <w:tcPr>
            <w:tcW w:w="1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infeasible</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r>
        <w:trPr>
          <w:jc w:val="center"/>
        </w:trPr>
        <w:tc>
          <w:tcPr>
            <w:tcW w:w="2560" w:type="dxa"/>
            <w:tcBorders>
              <w:top w:val="nil"/>
              <w:left w:val="nil"/>
              <w:bottom w:val="nil"/>
              <w:right w:val="nil"/>
            </w:tcBorders>
          </w:tcPr>
          <w:p>
            <w:pPr>
              <w:spacing w:before="0" w:after="0" w:line="240" w:lineRule="auto"/>
              <w:ind w:left="0"/>
              <w:jc w:val="left"/>
              <w:rPr>
                <w:sz w:val="19"/>
              </w:rPr>
            </w:pPr>
          </w:p>
        </w:tc>
        <w:tc>
          <w:tcPr>
            <w:tcW w:w="1080" w:type="dxa"/>
            <w:tcBorders>
              <w:top w:val="nil"/>
              <w:left w:val="nil"/>
              <w:bottom w:val="nil"/>
              <w:right w:val="nil"/>
            </w:tcBorders>
          </w:tcPr>
          <w:p>
            <w:pPr>
              <w:spacing w:before="0" w:after="0" w:line="240" w:lineRule="auto"/>
              <w:ind w:left="0"/>
              <w:jc w:val="center"/>
              <w:rPr>
                <w:sz w:val="19"/>
              </w:rPr>
            </w:pPr>
          </w:p>
        </w:tc>
        <w:tc>
          <w:tcPr>
            <w:tcW w:w="1300" w:type="dxa"/>
            <w:tcBorders>
              <w:top w:val="nil"/>
              <w:left w:val="nil"/>
              <w:bottom w:val="nil"/>
              <w:right w:val="nil"/>
            </w:tcBorders>
          </w:tcPr>
          <w:p>
            <w:pPr>
              <w:spacing w:before="0" w:after="0" w:line="240" w:lineRule="auto"/>
              <w:ind w:left="0"/>
              <w:jc w:val="center"/>
              <w:rPr>
                <w:sz w:val="19"/>
              </w:rPr>
            </w:pPr>
          </w:p>
        </w:tc>
        <w:tc>
          <w:tcPr>
            <w:tcW w:w="1400" w:type="dxa"/>
            <w:tcBorders>
              <w:top w:val="nil"/>
              <w:left w:val="nil"/>
              <w:bottom w:val="nil"/>
              <w:right w:val="nil"/>
            </w:tcBorders>
          </w:tcPr>
          <w:p>
            <w:pPr>
              <w:spacing w:before="0" w:after="0" w:line="240" w:lineRule="auto"/>
              <w:ind w:left="0"/>
              <w:jc w:val="center"/>
              <w:rPr>
                <w:sz w:val="19"/>
              </w:rPr>
            </w:pPr>
          </w:p>
        </w:tc>
        <w:tc>
          <w:tcPr>
            <w:tcW w:w="1300" w:type="dxa"/>
            <w:tcBorders>
              <w:top w:val="nil"/>
              <w:left w:val="nil"/>
              <w:bottom w:val="nil"/>
              <w:right w:val="nil"/>
            </w:tcBorders>
          </w:tcPr>
          <w:p>
            <w:pPr>
              <w:spacing w:before="0" w:after="0" w:line="240" w:lineRule="auto"/>
              <w:ind w:left="0"/>
              <w:jc w:val="center"/>
              <w:rPr>
                <w:sz w:val="19"/>
              </w:rPr>
            </w:pPr>
          </w:p>
        </w:tc>
        <w:tc>
          <w:tcPr>
            <w:tcW w:w="1400" w:type="dxa"/>
            <w:tcBorders>
              <w:top w:val="nil"/>
              <w:left w:val="nil"/>
              <w:bottom w:val="nil"/>
              <w:right w:val="nil"/>
            </w:tcBorders>
          </w:tcPr>
          <w:p>
            <w:pPr>
              <w:spacing w:before="0" w:after="0" w:line="240" w:lineRule="auto"/>
              <w:ind w:left="0"/>
              <w:jc w:val="center"/>
              <w:rPr>
                <w:sz w:val="19"/>
              </w:rPr>
            </w:pPr>
          </w:p>
        </w:tc>
        <w:tc>
          <w:tcPr>
            <w:tcW w:w="600" w:type="dxa"/>
            <w:tcBorders>
              <w:top w:val="nil"/>
              <w:left w:val="nil"/>
              <w:bottom w:val="nil"/>
              <w:right w:val="nil"/>
            </w:tcBorders>
          </w:tcPr>
          <w:p>
            <w:pPr>
              <w:spacing w:before="0" w:after="0" w:line="240" w:lineRule="auto"/>
              <w:ind w:left="0"/>
              <w:jc w:val="center"/>
              <w:rPr>
                <w:sz w:val="19"/>
              </w:rPr>
            </w:pPr>
          </w:p>
        </w:tc>
      </w:tr>
      <w:tr>
        <w:trPr>
          <w:jc w:val="center"/>
        </w:trPr>
        <w:tc>
          <w:tcPr>
            <w:tcW w:w="2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Mentoring / training credit</w:t>
            </w:r>
          </w:p>
        </w:tc>
        <w:tc>
          <w:tcPr>
            <w:tcW w:w="1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0.391</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0.471</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1.18</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52.3</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1.84</w:t>
            </w:r>
          </w:p>
        </w:tc>
        <w:tc>
          <w:tcPr>
            <w:tcW w:w="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10.14</w:t>
            </w:r>
          </w:p>
        </w:tc>
      </w:tr>
      <w:tr>
        <w:trPr>
          <w:jc w:val="center"/>
        </w:trPr>
        <w:tc>
          <w:tcPr>
            <w:tcW w:w="2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Entry-level vacancy subsidy</w:t>
            </w:r>
          </w:p>
        </w:tc>
        <w:tc>
          <w:tcPr>
            <w:tcW w:w="1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0.112</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0.068</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0.34</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3.4</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0.31</w:t>
            </w:r>
          </w:p>
        </w:tc>
        <w:tc>
          <w:tcPr>
            <w:tcW w:w="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2.33</w:t>
            </w:r>
          </w:p>
        </w:tc>
      </w:tr>
      <w:tr>
        <w:trPr>
          <w:jc w:val="center"/>
        </w:trPr>
        <w:tc>
          <w:tcPr>
            <w:tcW w:w="2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Entry-level wage subsidy</w:t>
            </w:r>
          </w:p>
        </w:tc>
        <w:tc>
          <w:tcPr>
            <w:tcW w:w="1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0.022</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−0.081</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−7.8</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−0.26</w:t>
            </w:r>
          </w:p>
        </w:tc>
        <w:tc>
          <w:tcPr>
            <w:tcW w:w="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−0.58</w:t>
            </w:r>
          </w:p>
        </w:tc>
      </w:tr>
      <w:tr>
        <w:trPr>
          <w:jc w:val="center"/>
        </w:trPr>
        <w:tc>
          <w:tcPr>
            <w:tcW w:w="256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Tax on the AI input</w:t>
            </w:r>
          </w:p>
        </w:tc>
        <w:tc>
          <w:tcPr>
            <w:tcW w:w="108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0.028</w:t>
            </w: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−0.114</w:t>
            </w:r>
          </w:p>
        </w:tc>
        <w:tc>
          <w:tcPr>
            <w:tcW w:w="14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0.02</w:t>
            </w: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−10.1</w:t>
            </w:r>
          </w:p>
        </w:tc>
        <w:tc>
          <w:tcPr>
            <w:tcW w:w="14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−0.35</w:t>
            </w:r>
          </w:p>
        </w:tc>
        <w:tc>
          <w:tcPr>
            <w:tcW w:w="6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−1.22</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A marginal value of public funds above one identifies an instrument that returns more than it costs. The tax on artificial intelligence is infeasible at this budget in the baseline economy because its base is too elastic; the maximum revenue any rate can raise is reported in Section 5.7.</w:t>
      </w:r>
    </w:p>
    <w:p>
      <w:pPr>
        <w:spacing w:after="120"/>
        <w:jc w:val="both"/>
      </w:pPr>
      <w:r>
        <w:rPr>
          <w:rFonts w:ascii="Palatino Linotype" w:hAnsi="Palatino Linotype" w:eastAsia="Palatino Linotype"/>
          <w:b w:val="0"/>
          <w:i w:val="0"/>
          <w:sz w:val="20"/>
        </w:rPr>
        <w:t>The economics behind the ordering is transparent. The mentoring credit is the only instrument that pays for the activity whose private return falls short of its social return. The vacancy subsidy pays for entry-level matches without paying for what those matches are supposed to produce, so it buys quantity where the distortion is smallest. The wage subsidy is actively counter-productive because it raises the price of the input whose complementary investment is under-supplied. And the technology tax raises the cost of an efficiently priced input in order to shift demand back towards labour that remains under-trained. The policy conclusion is not that more should be spent on youth employment but that the same money should be spent on a different margin.</w:t>
      </w:r>
    </w:p>
    <w:p>
      <w:pPr>
        <w:keepNext/>
        <w:spacing w:before="140" w:after="80"/>
      </w:pPr>
      <w:r>
        <w:rPr>
          <w:rFonts w:ascii="Palatino Linotype" w:hAnsi="Palatino Linotype" w:eastAsia="Palatino Linotype"/>
          <w:b/>
          <w:i w:val="0"/>
          <w:sz w:val="20"/>
        </w:rPr>
        <w:t>5.8. Robustness</w:t>
      </w:r>
    </w:p>
    <w:p>
      <w:pPr>
        <w:spacing w:after="120"/>
        <w:jc w:val="both"/>
      </w:pPr>
      <w:r>
        <w:rPr>
          <w:rFonts w:ascii="Palatino Linotype" w:hAnsi="Palatino Linotype" w:eastAsia="Palatino Linotype"/>
          <w:b w:val="0"/>
          <w:i w:val="0"/>
          <w:sz w:val="20"/>
        </w:rPr>
        <w:t xml:space="preserve">Two dimensions of robustness matter here. The first is the elasticity of substitution between the entry-level and the experienced task bundle, which is set outside the estimation. Table 9 reports the baseline, the shock response and the training wedge across values of </w:t>
      </w:r>
      <m:oMath>
        <m:r>
          <m:rPr/>
          <m:t>\sigma</m:t>
        </m:r>
      </m:oMath>
      <w:r>
        <w:rPr>
          <w:rFonts w:ascii="Palatino Linotype" w:hAnsi="Palatino Linotype" w:eastAsia="Palatino Linotype"/>
          <w:b w:val="0"/>
          <w:i w:val="0"/>
          <w:sz w:val="20"/>
        </w:rPr>
        <w:t xml:space="preserve"> from 1.5 to 5.0, with the price of artificial intelligence re-targeted in each economy so that all of them start from the same estimated task share. The employment response to the shock is monotone in </w:t>
      </w:r>
      <m:oMath>
        <m:r>
          <m:rPr/>
          <m:t>\sigma</m:t>
        </m:r>
      </m:oMath>
      <w:r>
        <w:rPr>
          <w:rFonts w:ascii="Palatino Linotype" w:hAnsi="Palatino Linotype" w:eastAsia="Palatino Linotype"/>
          <w:b w:val="0"/>
          <w:i w:val="0"/>
          <w:sz w:val="20"/>
        </w:rPr>
        <w:t>, as one would expect, while the wedge is generated by the contracting structure and moves far less.</w:t>
      </w:r>
    </w:p>
    <w:p>
      <w:pPr>
        <w:keepNext/>
        <w:spacing w:before="160" w:after="40"/>
      </w:pPr>
      <w:r>
        <w:rPr>
          <w:rFonts w:ascii="Palatino Linotype" w:hAnsi="Palatino Linotype" w:eastAsia="Palatino Linotype"/>
          <w:b/>
          <w:i w:val="0"/>
          <w:sz w:val="17"/>
        </w:rPr>
        <w:t xml:space="preserve">Table 9. </w:t>
      </w:r>
      <w:r>
        <w:rPr>
          <w:rFonts w:ascii="Palatino Linotype" w:hAnsi="Palatino Linotype" w:eastAsia="Palatino Linotype"/>
          <w:b w:val="0"/>
          <w:i w:val="0"/>
          <w:sz w:val="17"/>
        </w:rPr>
        <w:t>Sensitivity to the elasticity of substitution between the two task bundles.</w:t>
      </w:r>
    </w:p>
    <w:tbl>
      <w:tblPr>
        <w:tblW w:w="0" w:type="auto"/>
        <w:jc w:val="center"/>
        <w:tblLayout w:type="fixed"/>
        <w:tblCellMar>
          <w:top w:w="0" w:type="dxa"/>
          <w:left w:w="40" w:type="dxa"/>
          <w:bottom w:w="0" w:type="dxa"/>
          <w:right w:w="40" w:type="dxa"/>
        </w:tblCellMar>
      </w:tblPr>
      <w:tblGrid>
        <w:gridCol w:w="1100"/>
        <w:gridCol w:w="2700"/>
        <w:gridCol w:w="2200"/>
        <w:gridCol w:w="2340"/>
        <w:gridCol w:w="1300"/>
      </w:tblGrid>
      <w:tr>
        <w:trPr>
          <w:tblHeader/>
          <w:jc w:val="center"/>
        </w:trPr>
        <w:tc>
          <w:tcPr>
            <w:tcW w:w="1100" w:type="dxa"/>
            <w:tcBorders>
              <w:top w:val="single" w:color="000000" w:sz="8" w:space="0"/>
              <w:left w:val="nil"/>
              <w:bottom w:val="single" w:color="000000" w:sz="6" w:space="0"/>
              <w:right w:val="nil"/>
            </w:tcBorders>
          </w:tcPr>
          <w:p>
            <w:pPr>
              <w:spacing w:before="0" w:after="0" w:line="240" w:lineRule="auto"/>
              <w:ind w:left="0"/>
              <w:jc w:val="left"/>
              <w:rPr>
                <w:sz w:val="19"/>
              </w:rPr>
            </w:pPr>
            <m:oMath>
              <m:r>
                <m:rPr/>
                <m:t>\sigma</m:t>
              </m:r>
            </m:oMath>
          </w:p>
        </w:tc>
        <w:tc>
          <w:tcPr>
            <w:tcW w:w="27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Entry-level employment rate (%)</w:t>
            </w:r>
          </w:p>
        </w:tc>
        <w:tc>
          <w:tcPr>
            <w:tcW w:w="22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Aggregate mentoring (%)</w:t>
            </w:r>
          </w:p>
        </w:tc>
        <w:tc>
          <w:tcPr>
            <w:tcW w:w="23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Efficient / market mentoring</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Welfare gap (%)</w:t>
            </w:r>
          </w:p>
        </w:tc>
      </w:tr>
      <w:tr>
        <w:trPr>
          <w:jc w:val="center"/>
        </w:trPr>
        <w:tc>
          <w:tcPr>
            <w:tcW w:w="1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1.5</w:t>
            </w:r>
          </w:p>
        </w:tc>
        <w:tc>
          <w:tcPr>
            <w:tcW w:w="2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−8.43</w:t>
            </w:r>
          </w:p>
        </w:tc>
        <w:tc>
          <w:tcPr>
            <w:tcW w:w="2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205.4</w:t>
            </w:r>
          </w:p>
        </w:tc>
        <w:tc>
          <w:tcPr>
            <w:tcW w:w="2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19.41</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2.88</w:t>
            </w:r>
          </w:p>
        </w:tc>
      </w:tr>
      <w:tr>
        <w:trPr>
          <w:jc w:val="center"/>
        </w:trPr>
        <w:tc>
          <w:tcPr>
            <w:tcW w:w="1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2.0</w:t>
            </w:r>
          </w:p>
        </w:tc>
        <w:tc>
          <w:tcPr>
            <w:tcW w:w="2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−7.67</w:t>
            </w:r>
          </w:p>
        </w:tc>
        <w:tc>
          <w:tcPr>
            <w:tcW w:w="2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91.5</w:t>
            </w:r>
          </w:p>
        </w:tc>
        <w:tc>
          <w:tcPr>
            <w:tcW w:w="2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11.04</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1.94</w:t>
            </w:r>
          </w:p>
        </w:tc>
      </w:tr>
      <w:tr>
        <w:trPr>
          <w:jc w:val="center"/>
        </w:trPr>
        <w:tc>
          <w:tcPr>
            <w:tcW w:w="1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2.5</w:t>
            </w:r>
          </w:p>
        </w:tc>
        <w:tc>
          <w:tcPr>
            <w:tcW w:w="2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−7.21</w:t>
            </w:r>
          </w:p>
        </w:tc>
        <w:tc>
          <w:tcPr>
            <w:tcW w:w="2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43.8</w:t>
            </w:r>
          </w:p>
        </w:tc>
        <w:tc>
          <w:tcPr>
            <w:tcW w:w="2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7.27</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1.39</w:t>
            </w:r>
          </w:p>
        </w:tc>
      </w:tr>
      <w:tr>
        <w:trPr>
          <w:jc w:val="center"/>
        </w:trPr>
        <w:tc>
          <w:tcPr>
            <w:tcW w:w="1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3.0</w:t>
            </w:r>
          </w:p>
        </w:tc>
        <w:tc>
          <w:tcPr>
            <w:tcW w:w="2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−6.87</w:t>
            </w:r>
          </w:p>
        </w:tc>
        <w:tc>
          <w:tcPr>
            <w:tcW w:w="2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23.3</w:t>
            </w:r>
          </w:p>
        </w:tc>
        <w:tc>
          <w:tcPr>
            <w:tcW w:w="2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5.63</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1.16</w:t>
            </w:r>
          </w:p>
        </w:tc>
      </w:tr>
      <w:tr>
        <w:trPr>
          <w:jc w:val="center"/>
        </w:trPr>
        <w:tc>
          <w:tcPr>
            <w:tcW w:w="1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4.0</w:t>
            </w:r>
          </w:p>
        </w:tc>
        <w:tc>
          <w:tcPr>
            <w:tcW w:w="2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−5.58</w:t>
            </w:r>
          </w:p>
        </w:tc>
        <w:tc>
          <w:tcPr>
            <w:tcW w:w="2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8.9</w:t>
            </w:r>
          </w:p>
        </w:tc>
        <w:tc>
          <w:tcPr>
            <w:tcW w:w="2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4.57</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1.14</w:t>
            </w:r>
          </w:p>
        </w:tc>
      </w:tr>
      <w:tr>
        <w:trPr>
          <w:jc w:val="center"/>
        </w:trPr>
        <w:tc>
          <w:tcPr>
            <w:tcW w:w="11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5.0</w:t>
            </w:r>
          </w:p>
        </w:tc>
        <w:tc>
          <w:tcPr>
            <w:tcW w:w="27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−4.01</w:t>
            </w:r>
          </w:p>
        </w:tc>
        <w:tc>
          <w:tcPr>
            <w:tcW w:w="22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4.4</w:t>
            </w:r>
          </w:p>
        </w:tc>
        <w:tc>
          <w:tcPr>
            <w:tcW w:w="23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4.34</w:t>
            </w: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1.26</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The price of artificial intelligence is re-targeted in each economy so that all of them start from the same estimated task share, and the same proportional price fall is then applied.</w:t>
      </w:r>
    </w:p>
    <w:p>
      <w:pPr>
        <w:spacing w:after="120"/>
        <w:jc w:val="both"/>
      </w:pPr>
      <w:r>
        <w:rPr>
          <w:rFonts w:ascii="Palatino Linotype" w:hAnsi="Palatino Linotype" w:eastAsia="Palatino Linotype"/>
          <w:b w:val="0"/>
          <w:i w:val="0"/>
          <w:sz w:val="20"/>
        </w:rPr>
        <w:t>The second is the eight parameters set outside the estimation, which are the ones most open to dispute. We draw 192 Latin-hypercube samples over plausible ranges for the discount rate, the exit rate, both separation rates, the poaching rate, the matching elasticity, the elasticity of substitution and the elasticity of promotion to mentoring, imposing the Hosios condition on every draw. Crucially, the model is re-estimated on every draw, so each economy in the sample reproduces the eight targeted moments exactly and differs only in what was not estimated. Of the draws, 91 re-estimated and solved and 91 permitted the full policy comparison.</w:t>
      </w:r>
    </w:p>
    <w:p>
      <w:pPr>
        <w:spacing w:after="40"/>
        <w:jc w:val="center"/>
      </w:pPr>
      <w:r>
        <w:drawing>
          <wp:inline distT="0" distB="0" distL="114300" distR="114300">
            <wp:extent cx="5760720" cy="20068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6"/>
                    <a:stretch>
                      <a:fillRect/>
                    </a:stretch>
                  </pic:blipFill>
                  <pic:spPr>
                    <a:xfrm>
                      <a:off x="0" y="0"/>
                      <a:ext cx="5760720" cy="2006814"/>
                    </a:xfrm>
                    <a:prstGeom prst="rect">
                      <a:avLst/>
                    </a:prstGeom>
                  </pic:spPr>
                </pic:pic>
              </a:graphicData>
            </a:graphic>
          </wp:inline>
        </w:drawing>
      </w:r>
    </w:p>
    <w:p>
      <w:pPr>
        <w:spacing w:after="160"/>
        <w:jc w:val="both"/>
      </w:pPr>
      <w:r>
        <w:rPr>
          <w:rFonts w:ascii="Palatino Linotype" w:hAnsi="Palatino Linotype" w:eastAsia="Palatino Linotype"/>
          <w:b/>
          <w:i w:val="0"/>
          <w:sz w:val="17"/>
        </w:rPr>
        <w:t xml:space="preserve">Figure 7. </w:t>
      </w:r>
      <w:r>
        <w:rPr>
          <w:rFonts w:ascii="Palatino Linotype" w:hAnsi="Palatino Linotype" w:eastAsia="Palatino Linotype"/>
          <w:b w:val="0"/>
          <w:i w:val="0"/>
          <w:sz w:val="17"/>
        </w:rPr>
        <w:t>Robustness. Panel (a): the incidence of the shock between the entry wage and the entry-level employment rate as a function of the real rigidity of the entry wage. Panel (b): the distribution of the training wedge across Latin-hypercube draws over the externally set parameters, with the estimated value marked. Panel (c): the welfare gain of each instrument at a common budget across the same draws.</w:t>
      </w:r>
    </w:p>
    <w:p>
      <w:pPr>
        <w:spacing w:after="120"/>
        <w:jc w:val="both"/>
      </w:pPr>
      <w:r>
        <w:rPr>
          <w:rFonts w:ascii="Palatino Linotype" w:hAnsi="Palatino Linotype" w:eastAsia="Palatino Linotype"/>
          <w:b w:val="0"/>
          <w:i w:val="0"/>
          <w:sz w:val="20"/>
        </w:rPr>
        <w:t>The wedge is not an artefact of a particular parameterisation. Its mean across draws is 9.0 times the market level, with a fifth-to-ninety-fifth-percentile range of 4.9 to 17.4, and it is positive in 100 per cent of draws. Welfare at the optimum exceeds welfare at the market allocation by a mean of 1.35 per cent, with a range of 0.91 to 1.76 per cent. The instrument ranking is equally stable: the mentoring credit is the best of the four in 99 per cent of draws, and the tax on artificial intelligence is infeasible at this budget in 100 per cent of them. What survives the sampling is not a point estimate of the wedge but its sign, its order of magnitude and the identity of the instrument that addresses it.</w:t>
      </w:r>
    </w:p>
    <w:p>
      <w:pPr>
        <w:keepNext/>
        <w:spacing w:before="200" w:after="80"/>
      </w:pPr>
      <w:r>
        <w:rPr>
          <w:rFonts w:ascii="Palatino Linotype" w:hAnsi="Palatino Linotype" w:eastAsia="Palatino Linotype"/>
          <w:b/>
          <w:i w:val="0"/>
          <w:sz w:val="24"/>
        </w:rPr>
        <w:t>6. Discussion</w:t>
      </w:r>
    </w:p>
    <w:p>
      <w:pPr>
        <w:keepNext/>
        <w:spacing w:before="140" w:after="80"/>
      </w:pPr>
      <w:r>
        <w:rPr>
          <w:rFonts w:ascii="Palatino Linotype" w:hAnsi="Palatino Linotype" w:eastAsia="Palatino Linotype"/>
          <w:b/>
          <w:i w:val="0"/>
          <w:sz w:val="20"/>
        </w:rPr>
        <w:t>6.1. Why the Ladder Does Not Break</w:t>
      </w:r>
    </w:p>
    <w:p>
      <w:pPr>
        <w:spacing w:after="120"/>
        <w:jc w:val="both"/>
      </w:pPr>
      <w:r>
        <w:rPr>
          <w:rFonts w:ascii="Palatino Linotype" w:hAnsi="Palatino Linotype" w:eastAsia="Palatino Linotype"/>
          <w:b w:val="0"/>
          <w:i w:val="0"/>
          <w:sz w:val="20"/>
        </w:rPr>
        <w:t>The intuition that automating entry-level work must eventually starve the economy of experienced workers is a partial-equilibrium intuition. It treats training intensity per entrant as fixed and therefore reads a fall in entry-level hiring straight through into a fall in promotions. In general equilibrium training intensity is a choice, and it is a choice that moves in the opposite direction to hiring. When entrants become scarce, experienced time per entrant becomes abundant, the opportunity cost of mentoring falls, and the promotion option—untouched by a technology that cannot mentor—becomes a larger share of what an entry-level match is worth. The two effects nearly cancel at the aggregate level: in our estimated economy a doubling of the artificial-intelligence task share leaves the flow of promotions and the stock of experienced workers within 1.4 per cent of where they started.</w:t>
      </w:r>
    </w:p>
    <w:p>
      <w:pPr>
        <w:spacing w:after="120"/>
        <w:jc w:val="both"/>
      </w:pPr>
      <w:r>
        <w:rPr>
          <w:rFonts w:ascii="Palatino Linotype" w:hAnsi="Palatino Linotype" w:eastAsia="Palatino Linotype"/>
          <w:b w:val="0"/>
          <w:i w:val="0"/>
          <w:sz w:val="20"/>
        </w:rPr>
        <w:t>This is a testable implication, and it is the sharpest one the paper offers. It predicts that firms in the most exposed occupations should shorten time to promotion and raise supervision intensity per junior hire even as they cut the number of junior hires. Linked employer–employee data with promotion records would settle it. If the prediction fails—if exposed firms cut hiring and mentoring together—then the joint product is more complementary than we have modelled it, and the pessimistic reading of the evidence would be the right one.</w:t>
      </w:r>
    </w:p>
    <w:p>
      <w:pPr>
        <w:keepNext/>
        <w:spacing w:before="140" w:after="80"/>
      </w:pPr>
      <w:r>
        <w:rPr>
          <w:rFonts w:ascii="Palatino Linotype" w:hAnsi="Palatino Linotype" w:eastAsia="Palatino Linotype"/>
          <w:b/>
          <w:i w:val="0"/>
          <w:sz w:val="20"/>
        </w:rPr>
        <w:t>6.2. Incidence Is Institutional, Not Technological</w:t>
      </w:r>
    </w:p>
    <w:p>
      <w:pPr>
        <w:spacing w:after="120"/>
        <w:jc w:val="both"/>
      </w:pPr>
      <w:r>
        <w:rPr>
          <w:rFonts w:ascii="Palatino Linotype" w:hAnsi="Palatino Linotype" w:eastAsia="Palatino Linotype"/>
          <w:b w:val="0"/>
          <w:i w:val="0"/>
          <w:sz w:val="20"/>
        </w:rPr>
        <w:t>The result that the pay-versus-employment split is governed by the wage rule rather than by the technology reframes a live empirical debate. Studies that find sizeable employment effects for young workers and studies that find precise nulls are often read as contradicting one another about what artificial intelligence does. Our model says they can both be right about their own settings and that the difference between them is informative in its own right: it is a measurement of how much of a shock entry wages are permitted to absorb. That reading suggests a research design—comparing the incidence of the same exposure measure across labour markets that differ in minimum-wage bite or in the compression of graduate pay—which would identify the wage rule from cross-country variation rather than assuming it, in the spirit of the cross-country work linking digitalisation to youth unemployment [59,60].</w:t>
      </w:r>
    </w:p>
    <w:p>
      <w:pPr>
        <w:spacing w:after="120"/>
        <w:jc w:val="both"/>
      </w:pPr>
      <w:r>
        <w:rPr>
          <w:rFonts w:ascii="Palatino Linotype" w:hAnsi="Palatino Linotype" w:eastAsia="Palatino Linotype"/>
          <w:b w:val="0"/>
          <w:i w:val="0"/>
          <w:sz w:val="20"/>
        </w:rPr>
        <w:t>It also carries an uncomfortable policy corollary. The institutions that protect the pay of young workers who are employed are the same institutions that concentrate the burden of a technology shock on those who are not yet employed. We do not read this as an argument for lower entry wages: the flexible-wage economy delivers the shock as a large pay cut to a cohort that is already at the bottom of the distribution, and our welfare accounting is not equipped to rank those two outcomes. We read it as a reason to attach the compensating instrument to the margin that the rigidity displaces, which is entry.</w:t>
      </w:r>
    </w:p>
    <w:p>
      <w:pPr>
        <w:keepNext/>
        <w:spacing w:before="140" w:after="80"/>
      </w:pPr>
      <w:r>
        <w:rPr>
          <w:rFonts w:ascii="Palatino Linotype" w:hAnsi="Palatino Linotype" w:eastAsia="Palatino Linotype"/>
          <w:b/>
          <w:i w:val="0"/>
          <w:sz w:val="20"/>
        </w:rPr>
        <w:t>6.3. Why the Standard Instruments Misfire</w:t>
      </w:r>
    </w:p>
    <w:p>
      <w:pPr>
        <w:spacing w:after="120"/>
        <w:jc w:val="both"/>
      </w:pPr>
      <w:r>
        <w:rPr>
          <w:rFonts w:ascii="Palatino Linotype" w:hAnsi="Palatino Linotype" w:eastAsia="Palatino Linotype"/>
          <w:b w:val="0"/>
          <w:i w:val="0"/>
          <w:sz w:val="20"/>
        </w:rPr>
        <w:t>Youth employment policy is built on the premise that the problem is the price or the availability of a young worker. In a model without a ladder that premise would be right and a wage or hiring subsidy would be the appropriate answer. The analysis here says that the binding problem is different in kind. An entry-level job is a production process with two outputs, and the market has a mechanism for pricing one of them and no mechanism for pricing the other. Subsidising the wage lowers the cost of an input to a process whose output is mispriced; it buys more of the process without correcting the mispricing, and in our estimates it does active harm by crowding out the under-provided investment. Paying directly for mentoring corrects the mispricing, which is why at equal cost it does an order of magnitude more work. The point generalises beyond artificial intelligence: any shock that shifts the balance between the two outputs of an entry-level job—offshoring of routine junior work, outsourcing of junior functions, the flattening of hierarchies—has the same implication for which instrument to reach for. It also cautions against reading improvements in the measured quality of the jobs that survive as evidence that the transition is benign [70–72], since the workers the model identifies as bearing the cost are those who never enter.</w:t>
      </w:r>
    </w:p>
    <w:p>
      <w:pPr>
        <w:keepNext/>
        <w:spacing w:before="140" w:after="80"/>
      </w:pPr>
      <w:r>
        <w:rPr>
          <w:rFonts w:ascii="Palatino Linotype" w:hAnsi="Palatino Linotype" w:eastAsia="Palatino Linotype"/>
          <w:b/>
          <w:i w:val="0"/>
          <w:sz w:val="20"/>
        </w:rPr>
        <w:t>6.4. Should Artificial Intelligence Be Taxed?</w:t>
      </w:r>
    </w:p>
    <w:p>
      <w:pPr>
        <w:spacing w:after="120"/>
        <w:jc w:val="both"/>
      </w:pPr>
      <w:r>
        <w:rPr>
          <w:rFonts w:ascii="Palatino Linotype" w:hAnsi="Palatino Linotype" w:eastAsia="Palatino Linotype"/>
          <w:b w:val="0"/>
          <w:i w:val="0"/>
          <w:sz w:val="20"/>
        </w:rPr>
        <w:t>Proposals to tax automation have intuitive appeal and a weak analytical foundation, and this model shows why. Artificial intelligence is hired until its marginal product equals its price, and the planner’s condition for the input is the same, so at any given allocation of labour there is no wedge in this market to correct. A tax reduces output and reduces the resources available for everything else, including for training the workers it is meant to protect. In our comparison it is the worst-performing instrument wherever it is feasible at all, and once the ladder subsidies are in place its optimal rate is zero to three decimal places. The correct reading of the shock is not that the technology should be slowed but that the institution it stresses—the mechanism by which an economy produces its next generation of experienced workers—was under-funded before the technology arrived and is more visibly under-funded now.</w:t>
      </w:r>
    </w:p>
    <w:p>
      <w:pPr>
        <w:spacing w:after="120"/>
        <w:jc w:val="both"/>
      </w:pPr>
      <w:r>
        <w:rPr>
          <w:rFonts w:ascii="Palatino Linotype" w:hAnsi="Palatino Linotype" w:eastAsia="Palatino Linotype"/>
          <w:b w:val="0"/>
          <w:i w:val="0"/>
          <w:sz w:val="20"/>
        </w:rPr>
        <w:t>This conclusion is conditional on the model’s scope, and the condition is worth stating. We assume artificial intelligence cannot mentor. If a future technology genuinely substitutes for the transmission of tacit know-how, the second component of the joint product is automatable too, the reproduction loop no longer requires entry-level jobs, and the case for subsidising them weakens rather than strengthens. Nothing in the current evidence suggests that point has been reached, but the model is explicit about where the argument would break.</w:t>
      </w:r>
    </w:p>
    <w:p>
      <w:pPr>
        <w:keepNext/>
        <w:spacing w:before="140" w:after="80"/>
      </w:pPr>
      <w:r>
        <w:rPr>
          <w:rFonts w:ascii="Palatino Linotype" w:hAnsi="Palatino Linotype" w:eastAsia="Palatino Linotype"/>
          <w:b/>
          <w:i w:val="0"/>
          <w:sz w:val="20"/>
        </w:rPr>
        <w:t>6.5. Implications for China</w:t>
      </w:r>
    </w:p>
    <w:p>
      <w:pPr>
        <w:spacing w:after="120"/>
        <w:jc w:val="both"/>
      </w:pPr>
      <w:r>
        <w:rPr>
          <w:rFonts w:ascii="Palatino Linotype" w:hAnsi="Palatino Linotype" w:eastAsia="Palatino Linotype"/>
          <w:b w:val="0"/>
          <w:i w:val="0"/>
          <w:sz w:val="20"/>
        </w:rPr>
        <w:t>Three features of the Chinese setting make the mechanism more acute rather than less. The cohort is large: 12.22 million graduates entered the labour market in 2025 and 12.7 million are expected in 2026, so the flow through the entry-level gate is enormous relative to the stock of experienced workers who must mentor them [5]. Adoption is fast, which compresses into months an adjustment that elsewhere is spread over years [4,73]. And entry wages are rigid, because provincial minimum wages bind for entry-level urban positions [9], which by Section 5.4 places China at the end of the range where the shock is borne almost entirely by access.</w:t>
      </w:r>
    </w:p>
    <w:p>
      <w:pPr>
        <w:spacing w:after="120"/>
        <w:jc w:val="both"/>
      </w:pPr>
      <w:r>
        <w:rPr>
          <w:rFonts w:ascii="Palatino Linotype" w:hAnsi="Palatino Linotype" w:eastAsia="Palatino Linotype"/>
          <w:b w:val="0"/>
          <w:i w:val="0"/>
          <w:sz w:val="20"/>
        </w:rPr>
        <w:t>The instruments in use are the ones this analysis ranks last: expanded public-sector and state-owned-enterprise recruitment quotas, one-off hiring and wage subsidies, and enlarged postgraduate places, all of which act on the quantity of entry-level positions or postpone entry, and none of which pays for mentoring. The model’s recommendation is specific and implementable within existing administrative machinery: convert part of the hiring subsidy into a credit conditional on documented supervision and on promotion outcomes, and make the existing employee-education deduction contingent on training entrants rather than on training in general. The general lesson is that youth employment policy should be evaluated by what it does to the flow of promotions, not by what it does to the stock of entry-level hires—a criterion that sits naturally alongside the common-prosperity agenda’s emphasis on the quality rather than the quantity of employment [74].</w:t>
      </w:r>
    </w:p>
    <w:p>
      <w:pPr>
        <w:keepNext/>
        <w:spacing w:before="140" w:after="80"/>
      </w:pPr>
      <w:r>
        <w:rPr>
          <w:rFonts w:ascii="Palatino Linotype" w:hAnsi="Palatino Linotype" w:eastAsia="Palatino Linotype"/>
          <w:b/>
          <w:i w:val="0"/>
          <w:sz w:val="20"/>
        </w:rPr>
        <w:t>6.6. Limitations</w:t>
      </w:r>
    </w:p>
    <w:p>
      <w:pPr>
        <w:spacing w:after="120"/>
        <w:jc w:val="both"/>
      </w:pPr>
      <w:r>
        <w:rPr>
          <w:rFonts w:ascii="Palatino Linotype" w:hAnsi="Palatino Linotype" w:eastAsia="Palatino Linotype"/>
          <w:b w:val="0"/>
          <w:i w:val="0"/>
          <w:sz w:val="20"/>
        </w:rPr>
        <w:t>Six limitations bound the claims. First, the analysis compares steady states. It is silent on transition dynamics, which matter here because the stock of experienced workers adjusts with a lag of several times the average time to promotion; the comparisons we report are the destination, not the path, and a cohort passing through the transition can be much worse off than either steady state. Second, the labour force and the flow of entrants are exogenous, so the model cannot represent discouragement, delayed entry into postgraduate study or withdrawal from the labour force, all of which are prominent in the Chinese data; the entry-level employment rate is the right outcome variable in this model but it maps only imperfectly on to measured youth employment. Third, the economy is representative-agent within each tier, so it cannot address heterogeneity by field of study, institution, gender or region [54,55]. Fourth, poaching is a reduced-form flow: the poaching firm pays no recruiting cost, which is why the flow is a pure private loss; an explicit raiding market would attenuate the poaching wedge, though the hold-up wedge, the larger of the two, would remain. Fifth, the artificial-intelligence task share is the least well measured of the eight targets, which is why Section 5.2 reports a path rather than a point. Sixth, the model under-predicts observed enterprise training expenditure by an order of magnitude, as Section 4.3 records; if part of that gap reflects training margins the model omits rather than definitional differences, the estimated wedge is an upper bound.</w:t>
      </w:r>
    </w:p>
    <w:p>
      <w:pPr>
        <w:spacing w:after="120"/>
        <w:jc w:val="both"/>
      </w:pPr>
      <w:r>
        <w:rPr>
          <w:rFonts w:ascii="Palatino Linotype" w:hAnsi="Palatino Linotype" w:eastAsia="Palatino Linotype"/>
          <w:b w:val="0"/>
          <w:i w:val="0"/>
          <w:sz w:val="20"/>
        </w:rPr>
        <w:t>Three extensions follow naturally. Endogenous participation would let the model speak to discouragement and to the measured youth employment rate directly. Allowing artificial intelligence to substitute partially for mentoring, with an estimated rather than assumed degree of substitutability, would let the data speak to the condition under which the paper’s central conclusion reverses. And embedding the ladder in a multi-sector economy would allow entry-level tasks automated in one sector to reappear in another, which is the reinstatement margin the task-based literature has shown to be decisive over long horizons [11].</w:t>
      </w:r>
    </w:p>
    <w:p>
      <w:pPr>
        <w:keepNext/>
        <w:spacing w:before="200" w:after="80"/>
      </w:pPr>
      <w:r>
        <w:rPr>
          <w:rFonts w:ascii="Palatino Linotype" w:hAnsi="Palatino Linotype" w:eastAsia="Palatino Linotype"/>
          <w:b/>
          <w:i w:val="0"/>
          <w:sz w:val="24"/>
        </w:rPr>
        <w:t>7. Conclusions</w:t>
      </w:r>
    </w:p>
    <w:p>
      <w:pPr>
        <w:spacing w:after="120"/>
        <w:jc w:val="both"/>
      </w:pPr>
      <w:r>
        <w:rPr>
          <w:rFonts w:ascii="Palatino Linotype" w:hAnsi="Palatino Linotype" w:eastAsia="Palatino Linotype"/>
          <w:b w:val="0"/>
          <w:i w:val="0"/>
          <w:sz w:val="20"/>
        </w:rPr>
        <w:t>An entry-level job produces two things: output today and an experienced worker tomorrow. Artificial intelligence is good at the first and useless at the second, and the natural inference is that the career ladder is in danger. This paper formalised that inference in a two-tier search economy with endogenous mentoring, estimated it to reproduce eight Chinese labour-market moments exactly, validated it against an employment gradient it was never shown, and found the inference to be wrong in an instructive way.</w:t>
      </w:r>
    </w:p>
    <w:p>
      <w:pPr>
        <w:spacing w:after="120"/>
        <w:jc w:val="both"/>
      </w:pPr>
      <w:r>
        <w:rPr>
          <w:rFonts w:ascii="Palatino Linotype" w:hAnsi="Palatino Linotype" w:eastAsia="Palatino Linotype"/>
          <w:b w:val="0"/>
          <w:i w:val="0"/>
          <w:sz w:val="20"/>
        </w:rPr>
        <w:t>Four findings stand. The market provides about one seventh of the efficient amount of on-the-job training, so first promotion takes 3.5 years rather than 1.0, even though the Hosios condition holds exactly; hold-up accounts for 96 per cent of the gap and poaching for the rest. Cheaper artificial intelligence is borne by entry-level access rather than entry-level pay, in a ratio of 2.5 to one—but only because entry wages are rigid, and a flexible-wage economy would show the opposite. The ladder itself does not break: firms mentor a smaller intake 79 per cent more intensively, promotions and the stock of experienced workers barely move, and the training wedge narrows rather than widens. And at a common budget the mentoring credit dominates the vacancy subsidy, the wage subsidy and the technology tax, on welfare, on the value of being a new entrant and on the marginal value of public funds, in the estimated economy and in 99 per cent of draws over the parameters we did not estimate.</w:t>
      </w:r>
    </w:p>
    <w:p>
      <w:pPr>
        <w:spacing w:after="120"/>
        <w:jc w:val="both"/>
      </w:pPr>
      <w:r>
        <w:rPr>
          <w:rFonts w:ascii="Palatino Linotype" w:hAnsi="Palatino Linotype" w:eastAsia="Palatino Linotype"/>
          <w:b w:val="0"/>
          <w:i w:val="0"/>
          <w:sz w:val="20"/>
        </w:rPr>
        <w:t>The policy implication is uncomfortable for both sides of the current debate. It does not support slowing the technology: the optimal tax on artificial intelligence is zero once the ladder is priced correctly, and where the tax is feasible at all it is the worst instrument we examine. Nor does it support the reassurance that markets will handle the transition, because the margin under pressure is one the market has never priced properly and the burden falls on a cohort with no standing in the transaction. What it supports is paying explicitly for the thing that entry-level jobs were quietly producing all along. Economies have been getting their supply of experienced workers as a by-product of a transaction undertaken for other reasons. The by-product turns out to be more robust than we feared, and more under-supplied than we assumed.</w:t>
      </w:r>
    </w:p>
    <w:p>
      <w:pPr>
        <w:keepNext/>
        <w:spacing w:before="200" w:after="80"/>
      </w:pPr>
      <w:r>
        <w:rPr>
          <w:rFonts w:ascii="Palatino Linotype" w:hAnsi="Palatino Linotype" w:eastAsia="Palatino Linotype"/>
          <w:b/>
          <w:i w:val="0"/>
          <w:sz w:val="24"/>
        </w:rPr>
        <w:t>References</w:t>
      </w:r>
    </w:p>
    <w:p>
      <w:pPr>
        <w:spacing w:after="20"/>
        <w:ind w:left="2920" w:hanging="312"/>
        <w:jc w:val="both"/>
      </w:pPr>
      <w:r>
        <w:rPr>
          <w:rFonts w:ascii="Palatino Linotype" w:hAnsi="Palatino Linotype" w:eastAsia="Palatino Linotype"/>
          <w:b w:val="0"/>
          <w:i w:val="0"/>
          <w:sz w:val="16"/>
        </w:rPr>
        <w:t xml:space="preserve">1. Eloundou, T.; Manning, S.; Mishkin, P.; Rock, D. GPTs are GPTs: Labor Market Impact Potential of LLMs. </w:t>
      </w:r>
      <w:r>
        <w:rPr>
          <w:rFonts w:ascii="Palatino Linotype" w:hAnsi="Palatino Linotype" w:eastAsia="Palatino Linotype"/>
          <w:b w:val="0"/>
          <w:i/>
          <w:sz w:val="16"/>
        </w:rPr>
        <w:t xml:space="preserve">Science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384</w:t>
      </w:r>
      <w:r>
        <w:rPr>
          <w:rFonts w:ascii="Palatino Linotype" w:hAnsi="Palatino Linotype" w:eastAsia="Palatino Linotype"/>
          <w:b w:val="0"/>
          <w:i w:val="0"/>
          <w:sz w:val="16"/>
        </w:rPr>
        <w:t>, 1306–1308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 Acemoglu, D. The Simple Macroeconomics of AI. </w:t>
      </w:r>
      <w:r>
        <w:rPr>
          <w:rFonts w:ascii="Palatino Linotype" w:hAnsi="Palatino Linotype" w:eastAsia="Palatino Linotype"/>
          <w:b w:val="0"/>
          <w:i/>
          <w:sz w:val="16"/>
        </w:rPr>
        <w:t xml:space="preserve">Economic Policy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40</w:t>
      </w:r>
      <w:r>
        <w:rPr>
          <w:rFonts w:ascii="Palatino Linotype" w:hAnsi="Palatino Linotype" w:eastAsia="Palatino Linotype"/>
          <w:b w:val="0"/>
          <w:i w:val="0"/>
          <w:sz w:val="16"/>
        </w:rPr>
        <w:t>, 13–58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 Brynjolfsson, E.; Chandar, B.; Chen, R. Canaries in the Coal Mine? Six Facts about the Recent Employment Effects of Artificial Intelligence. </w:t>
      </w:r>
      <w:r>
        <w:rPr>
          <w:rFonts w:ascii="Palatino Linotype" w:hAnsi="Palatino Linotype" w:eastAsia="Palatino Linotype"/>
          <w:b w:val="0"/>
          <w:i/>
          <w:sz w:val="16"/>
        </w:rPr>
        <w:t xml:space="preserve">Stanford Digital Economy Lab Working Paper: Stanford, CA, USA </w:t>
      </w:r>
      <w:r>
        <w:rPr>
          <w:rFonts w:ascii="Palatino Linotype" w:hAnsi="Palatino Linotype" w:eastAsia="Palatino Linotype"/>
          <w:b/>
          <w:i w:val="0"/>
          <w:sz w:val="16"/>
        </w:rPr>
        <w:t>2025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4. National Bureau of Statistics of China (NBS). Surveyed Urban Unemployment Rate of the Population Aged 16–24 Excluding Students; NBS: Beijing, China, 2026.</w:t>
      </w:r>
    </w:p>
    <w:p>
      <w:pPr>
        <w:spacing w:after="20"/>
        <w:ind w:left="2920" w:hanging="312"/>
        <w:jc w:val="both"/>
      </w:pPr>
      <w:r>
        <w:rPr>
          <w:rFonts w:ascii="Palatino Linotype" w:hAnsi="Palatino Linotype" w:eastAsia="Palatino Linotype"/>
          <w:b w:val="0"/>
          <w:i w:val="0"/>
          <w:sz w:val="16"/>
        </w:rPr>
        <w:t>5. Ministry of Education of China. Notice on the Employment and Entrepreneurship of 2026 National College Graduates; Ministry of Education: Beijing, China, 2025.</w:t>
      </w:r>
    </w:p>
    <w:p>
      <w:pPr>
        <w:spacing w:after="20"/>
        <w:ind w:left="2920" w:hanging="312"/>
        <w:jc w:val="both"/>
      </w:pPr>
      <w:r>
        <w:rPr>
          <w:rFonts w:ascii="Palatino Linotype" w:hAnsi="Palatino Linotype" w:eastAsia="Palatino Linotype"/>
          <w:b w:val="0"/>
          <w:i w:val="0"/>
          <w:sz w:val="16"/>
        </w:rPr>
        <w:t xml:space="preserve">6. Humlum, A.; Vestergaard, E. Large Language Models, Small Labor Market Effects. </w:t>
      </w:r>
      <w:r>
        <w:rPr>
          <w:rFonts w:ascii="Palatino Linotype" w:hAnsi="Palatino Linotype" w:eastAsia="Palatino Linotype"/>
          <w:b w:val="0"/>
          <w:i/>
          <w:sz w:val="16"/>
        </w:rPr>
        <w:t xml:space="preserve">Becker Friedman Institute Working Paper 2025-56: Chicago, IL, USA </w:t>
      </w:r>
      <w:r>
        <w:rPr>
          <w:rFonts w:ascii="Palatino Linotype" w:hAnsi="Palatino Linotype" w:eastAsia="Palatino Linotype"/>
          <w:b/>
          <w:i w:val="0"/>
          <w:sz w:val="16"/>
        </w:rPr>
        <w:t>2025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 Acemoglu, D.; Pischke, J.-S. Beyond Becker: Training in Imperfect Labour Markets. </w:t>
      </w:r>
      <w:r>
        <w:rPr>
          <w:rFonts w:ascii="Palatino Linotype" w:hAnsi="Palatino Linotype" w:eastAsia="Palatino Linotype"/>
          <w:b w:val="0"/>
          <w:i/>
          <w:sz w:val="16"/>
        </w:rPr>
        <w:t xml:space="preserve">The Economic Journal </w:t>
      </w:r>
      <w:r>
        <w:rPr>
          <w:rFonts w:ascii="Palatino Linotype" w:hAnsi="Palatino Linotype" w:eastAsia="Palatino Linotype"/>
          <w:b/>
          <w:i w:val="0"/>
          <w:sz w:val="16"/>
        </w:rPr>
        <w:t>1999</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109</w:t>
      </w:r>
      <w:r>
        <w:rPr>
          <w:rFonts w:ascii="Palatino Linotype" w:hAnsi="Palatino Linotype" w:eastAsia="Palatino Linotype"/>
          <w:b w:val="0"/>
          <w:i w:val="0"/>
          <w:sz w:val="16"/>
        </w:rPr>
        <w:t>, F112–F142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8. Stevens, M. A Theoretical Model of On-the-Job Training with Imperfect Competition. </w:t>
      </w:r>
      <w:r>
        <w:rPr>
          <w:rFonts w:ascii="Palatino Linotype" w:hAnsi="Palatino Linotype" w:eastAsia="Palatino Linotype"/>
          <w:b w:val="0"/>
          <w:i/>
          <w:sz w:val="16"/>
        </w:rPr>
        <w:t xml:space="preserve">Oxford Economic Papers </w:t>
      </w:r>
      <w:r>
        <w:rPr>
          <w:rFonts w:ascii="Palatino Linotype" w:hAnsi="Palatino Linotype" w:eastAsia="Palatino Linotype"/>
          <w:b/>
          <w:i w:val="0"/>
          <w:sz w:val="16"/>
        </w:rPr>
        <w:t>1994</w:t>
      </w:r>
      <w:r>
        <w:rPr>
          <w:rFonts w:ascii="Palatino Linotype" w:hAnsi="Palatino Linotype" w:eastAsia="Palatino Linotype"/>
          <w:b w:val="0"/>
          <w:i w:val="0"/>
          <w:sz w:val="16"/>
        </w:rPr>
        <w:t xml:space="preserve">, </w:t>
      </w:r>
      <w:r>
        <w:rPr>
          <w:rFonts w:ascii="Palatino Linotype" w:hAnsi="Palatino Linotype" w:eastAsia="Palatino Linotype"/>
          <w:b w:val="0"/>
          <w:i/>
          <w:sz w:val="16"/>
        </w:rPr>
        <w:t>46</w:t>
      </w:r>
      <w:r>
        <w:rPr>
          <w:rFonts w:ascii="Palatino Linotype" w:hAnsi="Palatino Linotype" w:eastAsia="Palatino Linotype"/>
          <w:b w:val="0"/>
          <w:i w:val="0"/>
          <w:sz w:val="16"/>
        </w:rPr>
        <w:t>, 537–562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9. Mayneris, F.; Poncet, S.; Zhang, T. Improving or Disappearing: Firm-Level Adjustments to Minimum Wages in China. </w:t>
      </w:r>
      <w:r>
        <w:rPr>
          <w:rFonts w:ascii="Palatino Linotype" w:hAnsi="Palatino Linotype" w:eastAsia="Palatino Linotype"/>
          <w:b w:val="0"/>
          <w:i/>
          <w:sz w:val="16"/>
        </w:rPr>
        <w:t xml:space="preserve">Journal of Development Economics </w:t>
      </w:r>
      <w:r>
        <w:rPr>
          <w:rFonts w:ascii="Palatino Linotype" w:hAnsi="Palatino Linotype" w:eastAsia="Palatino Linotype"/>
          <w:b/>
          <w:i w:val="0"/>
          <w:sz w:val="16"/>
        </w:rPr>
        <w:t>2018</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135</w:t>
      </w:r>
      <w:r>
        <w:rPr>
          <w:rFonts w:ascii="Palatino Linotype" w:hAnsi="Palatino Linotype" w:eastAsia="Palatino Linotype"/>
          <w:b w:val="0"/>
          <w:i w:val="0"/>
          <w:sz w:val="16"/>
        </w:rPr>
        <w:t>, 20-42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10. Acemoglu, D.; Restrepo, P. The Race between Man and Machine: Implications of Technology for Growth, Factor Shares, and Employment. </w:t>
      </w:r>
      <w:r>
        <w:rPr>
          <w:rFonts w:ascii="Palatino Linotype" w:hAnsi="Palatino Linotype" w:eastAsia="Palatino Linotype"/>
          <w:b w:val="0"/>
          <w:i/>
          <w:sz w:val="16"/>
        </w:rPr>
        <w:t xml:space="preserve">American Economic Review </w:t>
      </w:r>
      <w:r>
        <w:rPr>
          <w:rFonts w:ascii="Palatino Linotype" w:hAnsi="Palatino Linotype" w:eastAsia="Palatino Linotype"/>
          <w:b/>
          <w:i w:val="0"/>
          <w:sz w:val="16"/>
        </w:rPr>
        <w:t>2018</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108</w:t>
      </w:r>
      <w:r>
        <w:rPr>
          <w:rFonts w:ascii="Palatino Linotype" w:hAnsi="Palatino Linotype" w:eastAsia="Palatino Linotype"/>
          <w:b w:val="0"/>
          <w:i w:val="0"/>
          <w:sz w:val="16"/>
        </w:rPr>
        <w:t>, 1488–1542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11. Acemoglu, D.; Restrepo, P. Automation and New Tasks: How Technology Displaces and Reinstates Labor. </w:t>
      </w:r>
      <w:r>
        <w:rPr>
          <w:rFonts w:ascii="Palatino Linotype" w:hAnsi="Palatino Linotype" w:eastAsia="Palatino Linotype"/>
          <w:b w:val="0"/>
          <w:i/>
          <w:sz w:val="16"/>
        </w:rPr>
        <w:t xml:space="preserve">J. Econ. Perspect. </w:t>
      </w:r>
      <w:r>
        <w:rPr>
          <w:rFonts w:ascii="Palatino Linotype" w:hAnsi="Palatino Linotype" w:eastAsia="Palatino Linotype"/>
          <w:b/>
          <w:i w:val="0"/>
          <w:sz w:val="16"/>
        </w:rPr>
        <w:t>2019</w:t>
      </w:r>
      <w:r>
        <w:rPr>
          <w:rFonts w:ascii="Palatino Linotype" w:hAnsi="Palatino Linotype" w:eastAsia="Palatino Linotype"/>
          <w:b w:val="0"/>
          <w:i w:val="0"/>
          <w:sz w:val="16"/>
        </w:rPr>
        <w:t xml:space="preserve">, </w:t>
      </w:r>
      <w:r>
        <w:rPr>
          <w:rFonts w:ascii="Palatino Linotype" w:hAnsi="Palatino Linotype" w:eastAsia="Palatino Linotype"/>
          <w:b w:val="0"/>
          <w:i/>
          <w:sz w:val="16"/>
        </w:rPr>
        <w:t>33</w:t>
      </w:r>
      <w:r>
        <w:rPr>
          <w:rFonts w:ascii="Palatino Linotype" w:hAnsi="Palatino Linotype" w:eastAsia="Palatino Linotype"/>
          <w:b w:val="0"/>
          <w:i w:val="0"/>
          <w:sz w:val="16"/>
        </w:rPr>
        <w:t>, 3–30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12. Acemoglu, D.; Restrepo, P. Tasks, Automation, and the Rise in U.S. Wage Inequality. </w:t>
      </w:r>
      <w:r>
        <w:rPr>
          <w:rFonts w:ascii="Palatino Linotype" w:hAnsi="Palatino Linotype" w:eastAsia="Palatino Linotype"/>
          <w:b w:val="0"/>
          <w:i/>
          <w:sz w:val="16"/>
        </w:rPr>
        <w:t xml:space="preserve">Econometrica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90</w:t>
      </w:r>
      <w:r>
        <w:rPr>
          <w:rFonts w:ascii="Palatino Linotype" w:hAnsi="Palatino Linotype" w:eastAsia="Palatino Linotype"/>
          <w:b w:val="0"/>
          <w:i w:val="0"/>
          <w:sz w:val="16"/>
        </w:rPr>
        <w:t>, 1973–2016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13. Becker, G.S. Human Capital: A Theoretical and Empirical Analysis, with Special Reference to Education. </w:t>
      </w:r>
      <w:r>
        <w:rPr>
          <w:rFonts w:ascii="Palatino Linotype" w:hAnsi="Palatino Linotype" w:eastAsia="Palatino Linotype"/>
          <w:b w:val="0"/>
          <w:i/>
          <w:sz w:val="16"/>
        </w:rPr>
        <w:t xml:space="preserve">Columbia University Press: New York, NY, USA </w:t>
      </w:r>
      <w:r>
        <w:rPr>
          <w:rFonts w:ascii="Palatino Linotype" w:hAnsi="Palatino Linotype" w:eastAsia="Palatino Linotype"/>
          <w:b/>
          <w:i w:val="0"/>
          <w:sz w:val="16"/>
        </w:rPr>
        <w:t>1964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14. Acemoglu, D.; Pischke, J.-S. Why Do Firms Train? Theory and Evidence. </w:t>
      </w:r>
      <w:r>
        <w:rPr>
          <w:rFonts w:ascii="Palatino Linotype" w:hAnsi="Palatino Linotype" w:eastAsia="Palatino Linotype"/>
          <w:b w:val="0"/>
          <w:i/>
          <w:sz w:val="16"/>
        </w:rPr>
        <w:t xml:space="preserve">The Quarterly Journal of Economics </w:t>
      </w:r>
      <w:r>
        <w:rPr>
          <w:rFonts w:ascii="Palatino Linotype" w:hAnsi="Palatino Linotype" w:eastAsia="Palatino Linotype"/>
          <w:b/>
          <w:i w:val="0"/>
          <w:sz w:val="16"/>
        </w:rPr>
        <w:t>1998</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113</w:t>
      </w:r>
      <w:r>
        <w:rPr>
          <w:rFonts w:ascii="Palatino Linotype" w:hAnsi="Palatino Linotype" w:eastAsia="Palatino Linotype"/>
          <w:b w:val="0"/>
          <w:i w:val="0"/>
          <w:sz w:val="16"/>
        </w:rPr>
        <w:t>, 79–119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15. Brynjolfsson, E.; Li, D.; Raymond, L. Generative AI at Work. </w:t>
      </w:r>
      <w:r>
        <w:rPr>
          <w:rFonts w:ascii="Palatino Linotype" w:hAnsi="Palatino Linotype" w:eastAsia="Palatino Linotype"/>
          <w:b w:val="0"/>
          <w:i/>
          <w:sz w:val="16"/>
        </w:rPr>
        <w:t xml:space="preserve">Q. J. Econ.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140</w:t>
      </w:r>
      <w:r>
        <w:rPr>
          <w:rFonts w:ascii="Palatino Linotype" w:hAnsi="Palatino Linotype" w:eastAsia="Palatino Linotype"/>
          <w:b w:val="0"/>
          <w:i w:val="0"/>
          <w:sz w:val="16"/>
        </w:rPr>
        <w:t>, 889–942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16. Acemoglu, D.; Restrepo, P. Robots and Jobs: Evidence from US Labor Markets. </w:t>
      </w:r>
      <w:r>
        <w:rPr>
          <w:rFonts w:ascii="Palatino Linotype" w:hAnsi="Palatino Linotype" w:eastAsia="Palatino Linotype"/>
          <w:b w:val="0"/>
          <w:i/>
          <w:sz w:val="16"/>
        </w:rPr>
        <w:t xml:space="preserve">J. Polit. Econ. </w:t>
      </w:r>
      <w:r>
        <w:rPr>
          <w:rFonts w:ascii="Palatino Linotype" w:hAnsi="Palatino Linotype" w:eastAsia="Palatino Linotype"/>
          <w:b/>
          <w:i w:val="0"/>
          <w:sz w:val="16"/>
        </w:rPr>
        <w:t>2020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128</w:t>
      </w:r>
      <w:r>
        <w:rPr>
          <w:rFonts w:ascii="Palatino Linotype" w:hAnsi="Palatino Linotype" w:eastAsia="Palatino Linotype"/>
          <w:b w:val="0"/>
          <w:i w:val="0"/>
          <w:sz w:val="16"/>
        </w:rPr>
        <w:t>, 2188–2244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17. Adachi, D.; Kawaguchi, D.; Saito, Y.U. Robots and Employment: Evidence from Japan, 1978–2017. </w:t>
      </w:r>
      <w:r>
        <w:rPr>
          <w:rFonts w:ascii="Palatino Linotype" w:hAnsi="Palatino Linotype" w:eastAsia="Palatino Linotype"/>
          <w:b w:val="0"/>
          <w:i/>
          <w:sz w:val="16"/>
        </w:rPr>
        <w:t xml:space="preserve">J. Labor Econ.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42</w:t>
      </w:r>
      <w:r>
        <w:rPr>
          <w:rFonts w:ascii="Palatino Linotype" w:hAnsi="Palatino Linotype" w:eastAsia="Palatino Linotype"/>
          <w:b w:val="0"/>
          <w:i w:val="0"/>
          <w:sz w:val="16"/>
        </w:rPr>
        <w:t>, 591–634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18. Huang, K.; Liu, Q.; Tang, C. Which firms benefit from robot adoption? Evidence from China. </w:t>
      </w:r>
      <w:r>
        <w:rPr>
          <w:rFonts w:ascii="Palatino Linotype" w:hAnsi="Palatino Linotype" w:eastAsia="Palatino Linotype"/>
          <w:b w:val="0"/>
          <w:i/>
          <w:sz w:val="16"/>
        </w:rPr>
        <w:t xml:space="preserve">J. Asian Econ.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86</w:t>
      </w:r>
      <w:r>
        <w:rPr>
          <w:rFonts w:ascii="Palatino Linotype" w:hAnsi="Palatino Linotype" w:eastAsia="Palatino Linotype"/>
          <w:b w:val="0"/>
          <w:i w:val="0"/>
          <w:sz w:val="16"/>
        </w:rPr>
        <w:t>, 101612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19. Wang, T.; Zhang, Y.; Liu, C. Robot adoption and employment adjustment: Firm-level evidence from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84</w:t>
      </w:r>
      <w:r>
        <w:rPr>
          <w:rFonts w:ascii="Palatino Linotype" w:hAnsi="Palatino Linotype" w:eastAsia="Palatino Linotype"/>
          <w:b w:val="0"/>
          <w:i w:val="0"/>
          <w:sz w:val="16"/>
        </w:rPr>
        <w:t>, 102137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20. Zhu, G.; Nie, A. How industrial robots affect employment: firm-level evidence from China. </w:t>
      </w:r>
      <w:r>
        <w:rPr>
          <w:rFonts w:ascii="Palatino Linotype" w:hAnsi="Palatino Linotype" w:eastAsia="Palatino Linotype"/>
          <w:b w:val="0"/>
          <w:i/>
          <w:sz w:val="16"/>
        </w:rPr>
        <w:t xml:space="preserve">J. Asia Pac. Econ.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31</w:t>
      </w:r>
      <w:r>
        <w:rPr>
          <w:rFonts w:ascii="Palatino Linotype" w:hAnsi="Palatino Linotype" w:eastAsia="Palatino Linotype"/>
          <w:b w:val="0"/>
          <w:i w:val="0"/>
          <w:sz w:val="16"/>
        </w:rPr>
        <w:t>, 31–61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21. Cheng, H.; Jia, R.; Li, D.; Li, H. The Rise of Robots in China. </w:t>
      </w:r>
      <w:r>
        <w:rPr>
          <w:rFonts w:ascii="Palatino Linotype" w:hAnsi="Palatino Linotype" w:eastAsia="Palatino Linotype"/>
          <w:b w:val="0"/>
          <w:i/>
          <w:sz w:val="16"/>
        </w:rPr>
        <w:t xml:space="preserve">J. Econ. Perspect. </w:t>
      </w:r>
      <w:r>
        <w:rPr>
          <w:rFonts w:ascii="Palatino Linotype" w:hAnsi="Palatino Linotype" w:eastAsia="Palatino Linotype"/>
          <w:b/>
          <w:i w:val="0"/>
          <w:sz w:val="16"/>
        </w:rPr>
        <w:t>2019</w:t>
      </w:r>
      <w:r>
        <w:rPr>
          <w:rFonts w:ascii="Palatino Linotype" w:hAnsi="Palatino Linotype" w:eastAsia="Palatino Linotype"/>
          <w:b w:val="0"/>
          <w:i w:val="0"/>
          <w:sz w:val="16"/>
        </w:rPr>
        <w:t xml:space="preserve">, </w:t>
      </w:r>
      <w:r>
        <w:rPr>
          <w:rFonts w:ascii="Palatino Linotype" w:hAnsi="Palatino Linotype" w:eastAsia="Palatino Linotype"/>
          <w:b w:val="0"/>
          <w:i/>
          <w:sz w:val="16"/>
        </w:rPr>
        <w:t>33</w:t>
      </w:r>
      <w:r>
        <w:rPr>
          <w:rFonts w:ascii="Palatino Linotype" w:hAnsi="Palatino Linotype" w:eastAsia="Palatino Linotype"/>
          <w:b w:val="0"/>
          <w:i w:val="0"/>
          <w:sz w:val="16"/>
        </w:rPr>
        <w:t>, 71–88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22. Deng, L.; Müller, S.; Plümpe, V.; Stegmaier, J. Robots, occupations, and worker age: A production-unit analysis of employment. </w:t>
      </w:r>
      <w:r>
        <w:rPr>
          <w:rFonts w:ascii="Palatino Linotype" w:hAnsi="Palatino Linotype" w:eastAsia="Palatino Linotype"/>
          <w:b w:val="0"/>
          <w:i/>
          <w:sz w:val="16"/>
        </w:rPr>
        <w:t xml:space="preserve">Eur. Econ. Rev.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170</w:t>
      </w:r>
      <w:r>
        <w:rPr>
          <w:rFonts w:ascii="Palatino Linotype" w:hAnsi="Palatino Linotype" w:eastAsia="Palatino Linotype"/>
          <w:b w:val="0"/>
          <w:i w:val="0"/>
          <w:sz w:val="16"/>
        </w:rPr>
        <w:t>, 104881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23. Liang, F.; Liu, Y. Sustainable youth employment quality management: The impact of robotization in China. </w:t>
      </w:r>
      <w:r>
        <w:rPr>
          <w:rFonts w:ascii="Palatino Linotype" w:hAnsi="Palatino Linotype" w:eastAsia="Palatino Linotype"/>
          <w:b w:val="0"/>
          <w:i/>
          <w:sz w:val="16"/>
        </w:rPr>
        <w:t xml:space="preserve">PLoS ONE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19</w:t>
      </w:r>
      <w:r>
        <w:rPr>
          <w:rFonts w:ascii="Palatino Linotype" w:hAnsi="Palatino Linotype" w:eastAsia="Palatino Linotype"/>
          <w:b w:val="0"/>
          <w:i w:val="0"/>
          <w:sz w:val="16"/>
        </w:rPr>
        <w:t>, e0298081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24. Battisti, M.; Dustmann, C.; Schönberg, U. Technological and Organizational Change and the Careers of Workers. </w:t>
      </w:r>
      <w:r>
        <w:rPr>
          <w:rFonts w:ascii="Palatino Linotype" w:hAnsi="Palatino Linotype" w:eastAsia="Palatino Linotype"/>
          <w:b w:val="0"/>
          <w:i/>
          <w:sz w:val="16"/>
        </w:rPr>
        <w:t xml:space="preserve">J. Eur. Econ. Assoc.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21</w:t>
      </w:r>
      <w:r>
        <w:rPr>
          <w:rFonts w:ascii="Palatino Linotype" w:hAnsi="Palatino Linotype" w:eastAsia="Palatino Linotype"/>
          <w:b w:val="0"/>
          <w:i w:val="0"/>
          <w:sz w:val="16"/>
        </w:rPr>
        <w:t>, 1551–1594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25. Li, X.; Wang, Q.; Kong, D.; Tao, Y. Intelligent Manufacturing and Corporate Human Capital Upgrade in China. </w:t>
      </w:r>
      <w:r>
        <w:rPr>
          <w:rFonts w:ascii="Palatino Linotype" w:hAnsi="Palatino Linotype" w:eastAsia="Palatino Linotype"/>
          <w:b w:val="0"/>
          <w:i/>
          <w:sz w:val="16"/>
        </w:rPr>
        <w:t xml:space="preserve">J. Asian Econ.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97</w:t>
      </w:r>
      <w:r>
        <w:rPr>
          <w:rFonts w:ascii="Palatino Linotype" w:hAnsi="Palatino Linotype" w:eastAsia="Palatino Linotype"/>
          <w:b w:val="0"/>
          <w:i w:val="0"/>
          <w:sz w:val="16"/>
        </w:rPr>
        <w:t>, 101886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26. Xu, Y.; Wei, Y.; Zeng, X.; Yu, H.; Chen, H. Big data development and labor income share: Evidence from China’s national big data comprehensive pilot zones. </w:t>
      </w:r>
      <w:r>
        <w:rPr>
          <w:rFonts w:ascii="Palatino Linotype" w:hAnsi="Palatino Linotype" w:eastAsia="Palatino Linotype"/>
          <w:b w:val="0"/>
          <w:i/>
          <w:sz w:val="16"/>
        </w:rPr>
        <w:t xml:space="preserve">Econ. Anal. Policy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84</w:t>
      </w:r>
      <w:r>
        <w:rPr>
          <w:rFonts w:ascii="Palatino Linotype" w:hAnsi="Palatino Linotype" w:eastAsia="Palatino Linotype"/>
          <w:b w:val="0"/>
          <w:i w:val="0"/>
          <w:sz w:val="16"/>
        </w:rPr>
        <w:t>, 1415–1437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27. Frey, C.B.; Osborne, M.A. The future of employment: How susceptible are jobs to computerisation?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2017</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114</w:t>
      </w:r>
      <w:r>
        <w:rPr>
          <w:rFonts w:ascii="Palatino Linotype" w:hAnsi="Palatino Linotype" w:eastAsia="Palatino Linotype"/>
          <w:b w:val="0"/>
          <w:i w:val="0"/>
          <w:sz w:val="16"/>
        </w:rPr>
        <w:t>, 254–280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28. Noy, S.; Zhang, W. Experimental evidence on the productivity effects of generative artificial intelligence. </w:t>
      </w:r>
      <w:r>
        <w:rPr>
          <w:rFonts w:ascii="Palatino Linotype" w:hAnsi="Palatino Linotype" w:eastAsia="Palatino Linotype"/>
          <w:b w:val="0"/>
          <w:i/>
          <w:sz w:val="16"/>
        </w:rPr>
        <w:t xml:space="preserve">Science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381</w:t>
      </w:r>
      <w:r>
        <w:rPr>
          <w:rFonts w:ascii="Palatino Linotype" w:hAnsi="Palatino Linotype" w:eastAsia="Palatino Linotype"/>
          <w:b w:val="0"/>
          <w:i w:val="0"/>
          <w:sz w:val="16"/>
        </w:rPr>
        <w:t>, 187–192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29. Cheng, C.; Luo, J.; Zhu, C.; Zhang, S. Artificial intelligence and the skill premium: A numerical analysis of theoretical models.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200</w:t>
      </w:r>
      <w:r>
        <w:rPr>
          <w:rFonts w:ascii="Palatino Linotype" w:hAnsi="Palatino Linotype" w:eastAsia="Palatino Linotype"/>
          <w:b w:val="0"/>
          <w:i w:val="0"/>
          <w:sz w:val="16"/>
        </w:rPr>
        <w:t>, 123140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30. Konings, J.; Vanormelingen, S. The Impact of Training on Productivity and Wages: Firm-Level Evidence. </w:t>
      </w:r>
      <w:r>
        <w:rPr>
          <w:rFonts w:ascii="Palatino Linotype" w:hAnsi="Palatino Linotype" w:eastAsia="Palatino Linotype"/>
          <w:b w:val="0"/>
          <w:i/>
          <w:sz w:val="16"/>
        </w:rPr>
        <w:t xml:space="preserve">Rev. Econ. Stat. </w:t>
      </w:r>
      <w:r>
        <w:rPr>
          <w:rFonts w:ascii="Palatino Linotype" w:hAnsi="Palatino Linotype" w:eastAsia="Palatino Linotype"/>
          <w:b/>
          <w:i w:val="0"/>
          <w:sz w:val="16"/>
        </w:rPr>
        <w:t>2015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97</w:t>
      </w:r>
      <w:r>
        <w:rPr>
          <w:rFonts w:ascii="Palatino Linotype" w:hAnsi="Palatino Linotype" w:eastAsia="Palatino Linotype"/>
          <w:b w:val="0"/>
          <w:i w:val="0"/>
          <w:sz w:val="16"/>
        </w:rPr>
        <w:t>, 485–497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31. Heß, P.; Janssen, S.; Leber, U. The effect of automation technology on workers’ training participation. </w:t>
      </w:r>
      <w:r>
        <w:rPr>
          <w:rFonts w:ascii="Palatino Linotype" w:hAnsi="Palatino Linotype" w:eastAsia="Palatino Linotype"/>
          <w:b w:val="0"/>
          <w:i/>
          <w:sz w:val="16"/>
        </w:rPr>
        <w:t xml:space="preserve">Econ. Educ. Rev.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96</w:t>
      </w:r>
      <w:r>
        <w:rPr>
          <w:rFonts w:ascii="Palatino Linotype" w:hAnsi="Palatino Linotype" w:eastAsia="Palatino Linotype"/>
          <w:b w:val="0"/>
          <w:i w:val="0"/>
          <w:sz w:val="16"/>
        </w:rPr>
        <w:t>, 102438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32. Gibbons, R.; Waldman, M. A Theory of Wage and Promotion Dynamics inside Firms. </w:t>
      </w:r>
      <w:r>
        <w:rPr>
          <w:rFonts w:ascii="Palatino Linotype" w:hAnsi="Palatino Linotype" w:eastAsia="Palatino Linotype"/>
          <w:b w:val="0"/>
          <w:i/>
          <w:sz w:val="16"/>
        </w:rPr>
        <w:t xml:space="preserve">The Quarterly Journal of Economics </w:t>
      </w:r>
      <w:r>
        <w:rPr>
          <w:rFonts w:ascii="Palatino Linotype" w:hAnsi="Palatino Linotype" w:eastAsia="Palatino Linotype"/>
          <w:b/>
          <w:i w:val="0"/>
          <w:sz w:val="16"/>
        </w:rPr>
        <w:t>1999</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114</w:t>
      </w:r>
      <w:r>
        <w:rPr>
          <w:rFonts w:ascii="Palatino Linotype" w:hAnsi="Palatino Linotype" w:eastAsia="Palatino Linotype"/>
          <w:b w:val="0"/>
          <w:i w:val="0"/>
          <w:sz w:val="16"/>
        </w:rPr>
        <w:t>, 1321–1358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33. Topel, R.H.; Ward, M.P. Job Mobility and the Careers of Young Men. </w:t>
      </w:r>
      <w:r>
        <w:rPr>
          <w:rFonts w:ascii="Palatino Linotype" w:hAnsi="Palatino Linotype" w:eastAsia="Palatino Linotype"/>
          <w:b w:val="0"/>
          <w:i/>
          <w:sz w:val="16"/>
        </w:rPr>
        <w:t xml:space="preserve">The Quarterly Journal of Economics </w:t>
      </w:r>
      <w:r>
        <w:rPr>
          <w:rFonts w:ascii="Palatino Linotype" w:hAnsi="Palatino Linotype" w:eastAsia="Palatino Linotype"/>
          <w:b/>
          <w:i w:val="0"/>
          <w:sz w:val="16"/>
        </w:rPr>
        <w:t>1992</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107</w:t>
      </w:r>
      <w:r>
        <w:rPr>
          <w:rFonts w:ascii="Palatino Linotype" w:hAnsi="Palatino Linotype" w:eastAsia="Palatino Linotype"/>
          <w:b w:val="0"/>
          <w:i w:val="0"/>
          <w:sz w:val="16"/>
        </w:rPr>
        <w:t>, 439–479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34. Kambourov, G.; Manovskii, I. Occupational Specificity of Human Capital. </w:t>
      </w:r>
      <w:r>
        <w:rPr>
          <w:rFonts w:ascii="Palatino Linotype" w:hAnsi="Palatino Linotype" w:eastAsia="Palatino Linotype"/>
          <w:b w:val="0"/>
          <w:i/>
          <w:sz w:val="16"/>
        </w:rPr>
        <w:t xml:space="preserve">International Economic Review </w:t>
      </w:r>
      <w:r>
        <w:rPr>
          <w:rFonts w:ascii="Palatino Linotype" w:hAnsi="Palatino Linotype" w:eastAsia="Palatino Linotype"/>
          <w:b/>
          <w:i w:val="0"/>
          <w:sz w:val="16"/>
        </w:rPr>
        <w:t>2009</w:t>
      </w:r>
      <w:r>
        <w:rPr>
          <w:rFonts w:ascii="Palatino Linotype" w:hAnsi="Palatino Linotype" w:eastAsia="Palatino Linotype"/>
          <w:b w:val="0"/>
          <w:i w:val="0"/>
          <w:sz w:val="16"/>
        </w:rPr>
        <w:t xml:space="preserve">, </w:t>
      </w:r>
      <w:r>
        <w:rPr>
          <w:rFonts w:ascii="Palatino Linotype" w:hAnsi="Palatino Linotype" w:eastAsia="Palatino Linotype"/>
          <w:b w:val="0"/>
          <w:i/>
          <w:sz w:val="16"/>
        </w:rPr>
        <w:t>50</w:t>
      </w:r>
      <w:r>
        <w:rPr>
          <w:rFonts w:ascii="Palatino Linotype" w:hAnsi="Palatino Linotype" w:eastAsia="Palatino Linotype"/>
          <w:b w:val="0"/>
          <w:i w:val="0"/>
          <w:sz w:val="16"/>
        </w:rPr>
        <w:t>, 63–115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35. Rikala, P.; Braun, G.; Järvinen, M.; Stahre, J.; Hämäläinen, R. Understanding and measuring skill gaps in Industry 4.0—A review.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201</w:t>
      </w:r>
      <w:r>
        <w:rPr>
          <w:rFonts w:ascii="Palatino Linotype" w:hAnsi="Palatino Linotype" w:eastAsia="Palatino Linotype"/>
          <w:b w:val="0"/>
          <w:i w:val="0"/>
          <w:sz w:val="16"/>
        </w:rPr>
        <w:t>, 123206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36. Li, L. Reskilling and upskilling the future-ready workforce for Industry 4.0 and beyond. </w:t>
      </w:r>
      <w:r>
        <w:rPr>
          <w:rFonts w:ascii="Palatino Linotype" w:hAnsi="Palatino Linotype" w:eastAsia="Palatino Linotype"/>
          <w:b w:val="0"/>
          <w:i/>
          <w:sz w:val="16"/>
        </w:rPr>
        <w:t xml:space="preserve">Inf. Syst. Front.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26</w:t>
      </w:r>
      <w:r>
        <w:rPr>
          <w:rFonts w:ascii="Palatino Linotype" w:hAnsi="Palatino Linotype" w:eastAsia="Palatino Linotype"/>
          <w:b w:val="0"/>
          <w:i w:val="0"/>
          <w:sz w:val="16"/>
        </w:rPr>
        <w:t>, 1697–1712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37. Dai, L.; Martins, P.S. Does vocational education pay off in China? Evidence from city-level education supply shocks. </w:t>
      </w:r>
      <w:r>
        <w:rPr>
          <w:rFonts w:ascii="Palatino Linotype" w:hAnsi="Palatino Linotype" w:eastAsia="Palatino Linotype"/>
          <w:b w:val="0"/>
          <w:i/>
          <w:sz w:val="16"/>
        </w:rPr>
        <w:t xml:space="preserve">Econ. Model.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140</w:t>
      </w:r>
      <w:r>
        <w:rPr>
          <w:rFonts w:ascii="Palatino Linotype" w:hAnsi="Palatino Linotype" w:eastAsia="Palatino Linotype"/>
          <w:b w:val="0"/>
          <w:i w:val="0"/>
          <w:sz w:val="16"/>
        </w:rPr>
        <w:t>, 106863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38. Zhao, K.; Wu, Y.; Kuang, Z. Dynamic evolution and impact mechanism of human capital mismatch in strategic emerging industries: Evidence from the Yangtze River Delta region of China. </w:t>
      </w:r>
      <w:r>
        <w:rPr>
          <w:rFonts w:ascii="Palatino Linotype" w:hAnsi="Palatino Linotype" w:eastAsia="Palatino Linotype"/>
          <w:b w:val="0"/>
          <w:i/>
          <w:sz w:val="16"/>
        </w:rPr>
        <w:t xml:space="preserve">Heliyon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9</w:t>
      </w:r>
      <w:r>
        <w:rPr>
          <w:rFonts w:ascii="Palatino Linotype" w:hAnsi="Palatino Linotype" w:eastAsia="Palatino Linotype"/>
          <w:b w:val="0"/>
          <w:i w:val="0"/>
          <w:sz w:val="16"/>
        </w:rPr>
        <w:t>, e21684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39. Diamond, P.A. Aggregate Demand Management in Search Equilibrium. </w:t>
      </w:r>
      <w:r>
        <w:rPr>
          <w:rFonts w:ascii="Palatino Linotype" w:hAnsi="Palatino Linotype" w:eastAsia="Palatino Linotype"/>
          <w:b w:val="0"/>
          <w:i/>
          <w:sz w:val="16"/>
        </w:rPr>
        <w:t xml:space="preserve">Journal of Political Economy </w:t>
      </w:r>
      <w:r>
        <w:rPr>
          <w:rFonts w:ascii="Palatino Linotype" w:hAnsi="Palatino Linotype" w:eastAsia="Palatino Linotype"/>
          <w:b/>
          <w:i w:val="0"/>
          <w:sz w:val="16"/>
        </w:rPr>
        <w:t>1982</w:t>
      </w:r>
      <w:r>
        <w:rPr>
          <w:rFonts w:ascii="Palatino Linotype" w:hAnsi="Palatino Linotype" w:eastAsia="Palatino Linotype"/>
          <w:b w:val="0"/>
          <w:i w:val="0"/>
          <w:sz w:val="16"/>
        </w:rPr>
        <w:t xml:space="preserve">, </w:t>
      </w:r>
      <w:r>
        <w:rPr>
          <w:rFonts w:ascii="Palatino Linotype" w:hAnsi="Palatino Linotype" w:eastAsia="Palatino Linotype"/>
          <w:b w:val="0"/>
          <w:i/>
          <w:sz w:val="16"/>
        </w:rPr>
        <w:t>90</w:t>
      </w:r>
      <w:r>
        <w:rPr>
          <w:rFonts w:ascii="Palatino Linotype" w:hAnsi="Palatino Linotype" w:eastAsia="Palatino Linotype"/>
          <w:b w:val="0"/>
          <w:i w:val="0"/>
          <w:sz w:val="16"/>
        </w:rPr>
        <w:t>, 881–894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40. Mortensen, D.T.; Pissarides, C.A. Job Creation and Job Destruction in the Theory of Unemployment. </w:t>
      </w:r>
      <w:r>
        <w:rPr>
          <w:rFonts w:ascii="Palatino Linotype" w:hAnsi="Palatino Linotype" w:eastAsia="Palatino Linotype"/>
          <w:b w:val="0"/>
          <w:i/>
          <w:sz w:val="16"/>
        </w:rPr>
        <w:t xml:space="preserve">The Review of Economic Studies </w:t>
      </w:r>
      <w:r>
        <w:rPr>
          <w:rFonts w:ascii="Palatino Linotype" w:hAnsi="Palatino Linotype" w:eastAsia="Palatino Linotype"/>
          <w:b/>
          <w:i w:val="0"/>
          <w:sz w:val="16"/>
        </w:rPr>
        <w:t>1994</w:t>
      </w:r>
      <w:r>
        <w:rPr>
          <w:rFonts w:ascii="Palatino Linotype" w:hAnsi="Palatino Linotype" w:eastAsia="Palatino Linotype"/>
          <w:b w:val="0"/>
          <w:i w:val="0"/>
          <w:sz w:val="16"/>
        </w:rPr>
        <w:t xml:space="preserve">, </w:t>
      </w:r>
      <w:r>
        <w:rPr>
          <w:rFonts w:ascii="Palatino Linotype" w:hAnsi="Palatino Linotype" w:eastAsia="Palatino Linotype"/>
          <w:b w:val="0"/>
          <w:i/>
          <w:sz w:val="16"/>
        </w:rPr>
        <w:t>61</w:t>
      </w:r>
      <w:r>
        <w:rPr>
          <w:rFonts w:ascii="Palatino Linotype" w:hAnsi="Palatino Linotype" w:eastAsia="Palatino Linotype"/>
          <w:b w:val="0"/>
          <w:i w:val="0"/>
          <w:sz w:val="16"/>
        </w:rPr>
        <w:t>, 397–415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41. Pissarides, C.A. Equilibrium Unemployment Theory, 2nd ed.. </w:t>
      </w:r>
      <w:r>
        <w:rPr>
          <w:rFonts w:ascii="Palatino Linotype" w:hAnsi="Palatino Linotype" w:eastAsia="Palatino Linotype"/>
          <w:b w:val="0"/>
          <w:i/>
          <w:sz w:val="16"/>
        </w:rPr>
        <w:t xml:space="preserve">MIT Press: Cambridge, MA, USA </w:t>
      </w:r>
      <w:r>
        <w:rPr>
          <w:rFonts w:ascii="Palatino Linotype" w:hAnsi="Palatino Linotype" w:eastAsia="Palatino Linotype"/>
          <w:b/>
          <w:i w:val="0"/>
          <w:sz w:val="16"/>
        </w:rPr>
        <w:t>2000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42. Petrongolo, B.; Pissarides, C.A. Looking into the black box: A survey of the matching function. </w:t>
      </w:r>
      <w:r>
        <w:rPr>
          <w:rFonts w:ascii="Palatino Linotype" w:hAnsi="Palatino Linotype" w:eastAsia="Palatino Linotype"/>
          <w:b w:val="0"/>
          <w:i/>
          <w:sz w:val="16"/>
        </w:rPr>
        <w:t xml:space="preserve">J. Econ. Lit. </w:t>
      </w:r>
      <w:r>
        <w:rPr>
          <w:rFonts w:ascii="Palatino Linotype" w:hAnsi="Palatino Linotype" w:eastAsia="Palatino Linotype"/>
          <w:b/>
          <w:i w:val="0"/>
          <w:sz w:val="16"/>
        </w:rPr>
        <w:t>2001</w:t>
      </w:r>
      <w:r>
        <w:rPr>
          <w:rFonts w:ascii="Palatino Linotype" w:hAnsi="Palatino Linotype" w:eastAsia="Palatino Linotype"/>
          <w:b w:val="0"/>
          <w:i w:val="0"/>
          <w:sz w:val="16"/>
        </w:rPr>
        <w:t xml:space="preserve">, </w:t>
      </w:r>
      <w:r>
        <w:rPr>
          <w:rFonts w:ascii="Palatino Linotype" w:hAnsi="Palatino Linotype" w:eastAsia="Palatino Linotype"/>
          <w:b w:val="0"/>
          <w:i/>
          <w:sz w:val="16"/>
        </w:rPr>
        <w:t>39</w:t>
      </w:r>
      <w:r>
        <w:rPr>
          <w:rFonts w:ascii="Palatino Linotype" w:hAnsi="Palatino Linotype" w:eastAsia="Palatino Linotype"/>
          <w:b w:val="0"/>
          <w:i w:val="0"/>
          <w:sz w:val="16"/>
        </w:rPr>
        <w:t>, 390–431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43. Hosios, A.J. On the Efficiency of Matching and Related Models of Search and Unemployment. </w:t>
      </w:r>
      <w:r>
        <w:rPr>
          <w:rFonts w:ascii="Palatino Linotype" w:hAnsi="Palatino Linotype" w:eastAsia="Palatino Linotype"/>
          <w:b w:val="0"/>
          <w:i/>
          <w:sz w:val="16"/>
        </w:rPr>
        <w:t xml:space="preserve">The Review of Economic Studies </w:t>
      </w:r>
      <w:r>
        <w:rPr>
          <w:rFonts w:ascii="Palatino Linotype" w:hAnsi="Palatino Linotype" w:eastAsia="Palatino Linotype"/>
          <w:b/>
          <w:i w:val="0"/>
          <w:sz w:val="16"/>
        </w:rPr>
        <w:t>1990</w:t>
      </w:r>
      <w:r>
        <w:rPr>
          <w:rFonts w:ascii="Palatino Linotype" w:hAnsi="Palatino Linotype" w:eastAsia="Palatino Linotype"/>
          <w:b w:val="0"/>
          <w:i w:val="0"/>
          <w:sz w:val="16"/>
        </w:rPr>
        <w:t xml:space="preserve">, </w:t>
      </w:r>
      <w:r>
        <w:rPr>
          <w:rFonts w:ascii="Palatino Linotype" w:hAnsi="Palatino Linotype" w:eastAsia="Palatino Linotype"/>
          <w:b w:val="0"/>
          <w:i/>
          <w:sz w:val="16"/>
        </w:rPr>
        <w:t>57</w:t>
      </w:r>
      <w:r>
        <w:rPr>
          <w:rFonts w:ascii="Palatino Linotype" w:hAnsi="Palatino Linotype" w:eastAsia="Palatino Linotype"/>
          <w:b w:val="0"/>
          <w:i w:val="0"/>
          <w:sz w:val="16"/>
        </w:rPr>
        <w:t>, 279–298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44. Burdett, K.; Mortensen, D.T. Wage Differentials, Employer Size, and Unemployment. </w:t>
      </w:r>
      <w:r>
        <w:rPr>
          <w:rFonts w:ascii="Palatino Linotype" w:hAnsi="Palatino Linotype" w:eastAsia="Palatino Linotype"/>
          <w:b w:val="0"/>
          <w:i/>
          <w:sz w:val="16"/>
        </w:rPr>
        <w:t xml:space="preserve">International Economic Review </w:t>
      </w:r>
      <w:r>
        <w:rPr>
          <w:rFonts w:ascii="Palatino Linotype" w:hAnsi="Palatino Linotype" w:eastAsia="Palatino Linotype"/>
          <w:b/>
          <w:i w:val="0"/>
          <w:sz w:val="16"/>
        </w:rPr>
        <w:t>1998</w:t>
      </w:r>
      <w:r>
        <w:rPr>
          <w:rFonts w:ascii="Palatino Linotype" w:hAnsi="Palatino Linotype" w:eastAsia="Palatino Linotype"/>
          <w:b w:val="0"/>
          <w:i w:val="0"/>
          <w:sz w:val="16"/>
        </w:rPr>
        <w:t xml:space="preserve">, </w:t>
      </w:r>
      <w:r>
        <w:rPr>
          <w:rFonts w:ascii="Palatino Linotype" w:hAnsi="Palatino Linotype" w:eastAsia="Palatino Linotype"/>
          <w:b w:val="0"/>
          <w:i/>
          <w:sz w:val="16"/>
        </w:rPr>
        <w:t>39</w:t>
      </w:r>
      <w:r>
        <w:rPr>
          <w:rFonts w:ascii="Palatino Linotype" w:hAnsi="Palatino Linotype" w:eastAsia="Palatino Linotype"/>
          <w:b w:val="0"/>
          <w:i w:val="0"/>
          <w:sz w:val="16"/>
        </w:rPr>
        <w:t>, 257–273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45. Postel-Vinay, F.; Robin, J.-M. Equilibrium Wage Dispersion with Worker and Employer Heterogeneity. </w:t>
      </w:r>
      <w:r>
        <w:rPr>
          <w:rFonts w:ascii="Palatino Linotype" w:hAnsi="Palatino Linotype" w:eastAsia="Palatino Linotype"/>
          <w:b w:val="0"/>
          <w:i/>
          <w:sz w:val="16"/>
        </w:rPr>
        <w:t xml:space="preserve">Econometrica </w:t>
      </w:r>
      <w:r>
        <w:rPr>
          <w:rFonts w:ascii="Palatino Linotype" w:hAnsi="Palatino Linotype" w:eastAsia="Palatino Linotype"/>
          <w:b/>
          <w:i w:val="0"/>
          <w:sz w:val="16"/>
        </w:rPr>
        <w:t>2002</w:t>
      </w:r>
      <w:r>
        <w:rPr>
          <w:rFonts w:ascii="Palatino Linotype" w:hAnsi="Palatino Linotype" w:eastAsia="Palatino Linotype"/>
          <w:b w:val="0"/>
          <w:i w:val="0"/>
          <w:sz w:val="16"/>
        </w:rPr>
        <w:t xml:space="preserve">, </w:t>
      </w:r>
      <w:r>
        <w:rPr>
          <w:rFonts w:ascii="Palatino Linotype" w:hAnsi="Palatino Linotype" w:eastAsia="Palatino Linotype"/>
          <w:b w:val="0"/>
          <w:i/>
          <w:sz w:val="16"/>
        </w:rPr>
        <w:t>70</w:t>
      </w:r>
      <w:r>
        <w:rPr>
          <w:rFonts w:ascii="Palatino Linotype" w:hAnsi="Palatino Linotype" w:eastAsia="Palatino Linotype"/>
          <w:b w:val="0"/>
          <w:i w:val="0"/>
          <w:sz w:val="16"/>
        </w:rPr>
        <w:t>, 2295–2350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46. Cahuc, P.; Postel-Vinay, F.; Robin, J.-M. Wage Bargaining with On-the-Job Search: Theory and Evidence. </w:t>
      </w:r>
      <w:r>
        <w:rPr>
          <w:rFonts w:ascii="Palatino Linotype" w:hAnsi="Palatino Linotype" w:eastAsia="Palatino Linotype"/>
          <w:b w:val="0"/>
          <w:i/>
          <w:sz w:val="16"/>
        </w:rPr>
        <w:t xml:space="preserve">Econometrica </w:t>
      </w:r>
      <w:r>
        <w:rPr>
          <w:rFonts w:ascii="Palatino Linotype" w:hAnsi="Palatino Linotype" w:eastAsia="Palatino Linotype"/>
          <w:b/>
          <w:i w:val="0"/>
          <w:sz w:val="16"/>
        </w:rPr>
        <w:t>2006</w:t>
      </w:r>
      <w:r>
        <w:rPr>
          <w:rFonts w:ascii="Palatino Linotype" w:hAnsi="Palatino Linotype" w:eastAsia="Palatino Linotype"/>
          <w:b w:val="0"/>
          <w:i w:val="0"/>
          <w:sz w:val="16"/>
        </w:rPr>
        <w:t xml:space="preserve">, </w:t>
      </w:r>
      <w:r>
        <w:rPr>
          <w:rFonts w:ascii="Palatino Linotype" w:hAnsi="Palatino Linotype" w:eastAsia="Palatino Linotype"/>
          <w:b w:val="0"/>
          <w:i/>
          <w:sz w:val="16"/>
        </w:rPr>
        <w:t>74</w:t>
      </w:r>
      <w:r>
        <w:rPr>
          <w:rFonts w:ascii="Palatino Linotype" w:hAnsi="Palatino Linotype" w:eastAsia="Palatino Linotype"/>
          <w:b w:val="0"/>
          <w:i w:val="0"/>
          <w:sz w:val="16"/>
        </w:rPr>
        <w:t>, 323–364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47. Shimer, R. The Cyclical Behavior of Equilibrium Unemployment and Vacancies. </w:t>
      </w:r>
      <w:r>
        <w:rPr>
          <w:rFonts w:ascii="Palatino Linotype" w:hAnsi="Palatino Linotype" w:eastAsia="Palatino Linotype"/>
          <w:b w:val="0"/>
          <w:i/>
          <w:sz w:val="16"/>
        </w:rPr>
        <w:t xml:space="preserve">American Economic Review </w:t>
      </w:r>
      <w:r>
        <w:rPr>
          <w:rFonts w:ascii="Palatino Linotype" w:hAnsi="Palatino Linotype" w:eastAsia="Palatino Linotype"/>
          <w:b/>
          <w:i w:val="0"/>
          <w:sz w:val="16"/>
        </w:rPr>
        <w:t>2005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95</w:t>
      </w:r>
      <w:r>
        <w:rPr>
          <w:rFonts w:ascii="Palatino Linotype" w:hAnsi="Palatino Linotype" w:eastAsia="Palatino Linotype"/>
          <w:b w:val="0"/>
          <w:i w:val="0"/>
          <w:sz w:val="16"/>
        </w:rPr>
        <w:t>, 25–49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48. Hall, R.E.; Milgrom, P.R. The Limited Influence of Unemployment on the Wage Bargain. </w:t>
      </w:r>
      <w:r>
        <w:rPr>
          <w:rFonts w:ascii="Palatino Linotype" w:hAnsi="Palatino Linotype" w:eastAsia="Palatino Linotype"/>
          <w:b w:val="0"/>
          <w:i/>
          <w:sz w:val="16"/>
        </w:rPr>
        <w:t xml:space="preserve">American Economic Review </w:t>
      </w:r>
      <w:r>
        <w:rPr>
          <w:rFonts w:ascii="Palatino Linotype" w:hAnsi="Palatino Linotype" w:eastAsia="Palatino Linotype"/>
          <w:b/>
          <w:i w:val="0"/>
          <w:sz w:val="16"/>
        </w:rPr>
        <w:t>2008</w:t>
      </w:r>
      <w:r>
        <w:rPr>
          <w:rFonts w:ascii="Palatino Linotype" w:hAnsi="Palatino Linotype" w:eastAsia="Palatino Linotype"/>
          <w:b w:val="0"/>
          <w:i w:val="0"/>
          <w:sz w:val="16"/>
        </w:rPr>
        <w:t xml:space="preserve">, </w:t>
      </w:r>
      <w:r>
        <w:rPr>
          <w:rFonts w:ascii="Palatino Linotype" w:hAnsi="Palatino Linotype" w:eastAsia="Palatino Linotype"/>
          <w:b w:val="0"/>
          <w:i/>
          <w:sz w:val="16"/>
        </w:rPr>
        <w:t>98</w:t>
      </w:r>
      <w:r>
        <w:rPr>
          <w:rFonts w:ascii="Palatino Linotype" w:hAnsi="Palatino Linotype" w:eastAsia="Palatino Linotype"/>
          <w:b w:val="0"/>
          <w:i w:val="0"/>
          <w:sz w:val="16"/>
        </w:rPr>
        <w:t>, 1653–1674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49. Hagedorn, M.; Manovskii, I. The Cyclical Behavior of Equilibrium Unemployment and Vacancies Revisited. </w:t>
      </w:r>
      <w:r>
        <w:rPr>
          <w:rFonts w:ascii="Palatino Linotype" w:hAnsi="Palatino Linotype" w:eastAsia="Palatino Linotype"/>
          <w:b w:val="0"/>
          <w:i/>
          <w:sz w:val="16"/>
        </w:rPr>
        <w:t xml:space="preserve">American Economic Review </w:t>
      </w:r>
      <w:r>
        <w:rPr>
          <w:rFonts w:ascii="Palatino Linotype" w:hAnsi="Palatino Linotype" w:eastAsia="Palatino Linotype"/>
          <w:b/>
          <w:i w:val="0"/>
          <w:sz w:val="16"/>
        </w:rPr>
        <w:t>2008</w:t>
      </w:r>
      <w:r>
        <w:rPr>
          <w:rFonts w:ascii="Palatino Linotype" w:hAnsi="Palatino Linotype" w:eastAsia="Palatino Linotype"/>
          <w:b w:val="0"/>
          <w:i w:val="0"/>
          <w:sz w:val="16"/>
        </w:rPr>
        <w:t xml:space="preserve">, </w:t>
      </w:r>
      <w:r>
        <w:rPr>
          <w:rFonts w:ascii="Palatino Linotype" w:hAnsi="Palatino Linotype" w:eastAsia="Palatino Linotype"/>
          <w:b w:val="0"/>
          <w:i/>
          <w:sz w:val="16"/>
        </w:rPr>
        <w:t>98</w:t>
      </w:r>
      <w:r>
        <w:rPr>
          <w:rFonts w:ascii="Palatino Linotype" w:hAnsi="Palatino Linotype" w:eastAsia="Palatino Linotype"/>
          <w:b w:val="0"/>
          <w:i w:val="0"/>
          <w:sz w:val="16"/>
        </w:rPr>
        <w:t>, 1692-1706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50. Pissarides, C.A. The Unemployment Volatility Puzzle: Is Wage Stickiness the Answer? </w:t>
      </w:r>
      <w:r>
        <w:rPr>
          <w:rFonts w:ascii="Palatino Linotype" w:hAnsi="Palatino Linotype" w:eastAsia="Palatino Linotype"/>
          <w:b w:val="0"/>
          <w:i/>
          <w:sz w:val="16"/>
        </w:rPr>
        <w:t xml:space="preserve">Econometrica </w:t>
      </w:r>
      <w:r>
        <w:rPr>
          <w:rFonts w:ascii="Palatino Linotype" w:hAnsi="Palatino Linotype" w:eastAsia="Palatino Linotype"/>
          <w:b/>
          <w:i w:val="0"/>
          <w:sz w:val="16"/>
        </w:rPr>
        <w:t>2009</w:t>
      </w:r>
      <w:r>
        <w:rPr>
          <w:rFonts w:ascii="Palatino Linotype" w:hAnsi="Palatino Linotype" w:eastAsia="Palatino Linotype"/>
          <w:b w:val="0"/>
          <w:i w:val="0"/>
          <w:sz w:val="16"/>
        </w:rPr>
        <w:t xml:space="preserve">, </w:t>
      </w:r>
      <w:r>
        <w:rPr>
          <w:rFonts w:ascii="Palatino Linotype" w:hAnsi="Palatino Linotype" w:eastAsia="Palatino Linotype"/>
          <w:b w:val="0"/>
          <w:i/>
          <w:sz w:val="16"/>
        </w:rPr>
        <w:t>77</w:t>
      </w:r>
      <w:r>
        <w:rPr>
          <w:rFonts w:ascii="Palatino Linotype" w:hAnsi="Palatino Linotype" w:eastAsia="Palatino Linotype"/>
          <w:b w:val="0"/>
          <w:i w:val="0"/>
          <w:sz w:val="16"/>
        </w:rPr>
        <w:t>, 1339-1369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51. Blanchard, O.; Gali, J. Real Wage Rigidities and the New Keynesian Model. </w:t>
      </w:r>
      <w:r>
        <w:rPr>
          <w:rFonts w:ascii="Palatino Linotype" w:hAnsi="Palatino Linotype" w:eastAsia="Palatino Linotype"/>
          <w:b w:val="0"/>
          <w:i/>
          <w:sz w:val="16"/>
        </w:rPr>
        <w:t xml:space="preserve">Journal of Money, Credit and Banking </w:t>
      </w:r>
      <w:r>
        <w:rPr>
          <w:rFonts w:ascii="Palatino Linotype" w:hAnsi="Palatino Linotype" w:eastAsia="Palatino Linotype"/>
          <w:b/>
          <w:i w:val="0"/>
          <w:sz w:val="16"/>
        </w:rPr>
        <w:t>2007</w:t>
      </w:r>
      <w:r>
        <w:rPr>
          <w:rFonts w:ascii="Palatino Linotype" w:hAnsi="Palatino Linotype" w:eastAsia="Palatino Linotype"/>
          <w:b w:val="0"/>
          <w:i w:val="0"/>
          <w:sz w:val="16"/>
        </w:rPr>
        <w:t xml:space="preserve">, </w:t>
      </w:r>
      <w:r>
        <w:rPr>
          <w:rFonts w:ascii="Palatino Linotype" w:hAnsi="Palatino Linotype" w:eastAsia="Palatino Linotype"/>
          <w:b w:val="0"/>
          <w:i/>
          <w:sz w:val="16"/>
        </w:rPr>
        <w:t>39</w:t>
      </w:r>
      <w:r>
        <w:rPr>
          <w:rFonts w:ascii="Palatino Linotype" w:hAnsi="Palatino Linotype" w:eastAsia="Palatino Linotype"/>
          <w:b w:val="0"/>
          <w:i w:val="0"/>
          <w:sz w:val="16"/>
        </w:rPr>
        <w:t>, 35-65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52. Ou, D.; Zhao, Z. Higher Education Expansion in China, 1999–2003: Impact on Graduate Employability. </w:t>
      </w:r>
      <w:r>
        <w:rPr>
          <w:rFonts w:ascii="Palatino Linotype" w:hAnsi="Palatino Linotype" w:eastAsia="Palatino Linotype"/>
          <w:b w:val="0"/>
          <w:i/>
          <w:sz w:val="16"/>
        </w:rPr>
        <w:t xml:space="preserve">China World Econ.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30</w:t>
      </w:r>
      <w:r>
        <w:rPr>
          <w:rFonts w:ascii="Palatino Linotype" w:hAnsi="Palatino Linotype" w:eastAsia="Palatino Linotype"/>
          <w:b w:val="0"/>
          <w:i w:val="0"/>
          <w:sz w:val="16"/>
        </w:rPr>
        <w:t>, 117–141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53. Xiong, B.; Yu, B. The Impact of Internet Development on Youth’s Job Quality in the Digital Economy Era: Transmission Mechanism and Empirical Test. </w:t>
      </w:r>
      <w:r>
        <w:rPr>
          <w:rFonts w:ascii="Palatino Linotype" w:hAnsi="Palatino Linotype" w:eastAsia="Palatino Linotype"/>
          <w:b w:val="0"/>
          <w:i/>
          <w:sz w:val="16"/>
        </w:rPr>
        <w:t xml:space="preserve">Soc. Indic. Res.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175</w:t>
      </w:r>
      <w:r>
        <w:rPr>
          <w:rFonts w:ascii="Palatino Linotype" w:hAnsi="Palatino Linotype" w:eastAsia="Palatino Linotype"/>
          <w:b w:val="0"/>
          <w:i w:val="0"/>
          <w:sz w:val="16"/>
        </w:rPr>
        <w:t>, 269–294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54. Jiang, S.; Guo, Y. Reasons for college major-job mismatch and labor market outcomes: Evidence from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74</w:t>
      </w:r>
      <w:r>
        <w:rPr>
          <w:rFonts w:ascii="Palatino Linotype" w:hAnsi="Palatino Linotype" w:eastAsia="Palatino Linotype"/>
          <w:b w:val="0"/>
          <w:i w:val="0"/>
          <w:sz w:val="16"/>
        </w:rPr>
        <w:t>, 101822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55. Pan, Z.; Wang, Y.; Liu, Z. Over-education, job satisfaction, and intention to quit: Evidence from China. </w:t>
      </w:r>
      <w:r>
        <w:rPr>
          <w:rFonts w:ascii="Palatino Linotype" w:hAnsi="Palatino Linotype" w:eastAsia="Palatino Linotype"/>
          <w:b w:val="0"/>
          <w:i/>
          <w:sz w:val="16"/>
        </w:rPr>
        <w:t xml:space="preserve">Soc. Indic. Res.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176</w:t>
      </w:r>
      <w:r>
        <w:rPr>
          <w:rFonts w:ascii="Palatino Linotype" w:hAnsi="Palatino Linotype" w:eastAsia="Palatino Linotype"/>
          <w:b w:val="0"/>
          <w:i w:val="0"/>
          <w:sz w:val="16"/>
        </w:rPr>
        <w:t>, 287–307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56. Jones, M.K.; Kaya, E.; Nan, J. Overeducation, earnings and job satisfaction among graduates in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93</w:t>
      </w:r>
      <w:r>
        <w:rPr>
          <w:rFonts w:ascii="Palatino Linotype" w:hAnsi="Palatino Linotype" w:eastAsia="Palatino Linotype"/>
          <w:b w:val="0"/>
          <w:i w:val="0"/>
          <w:sz w:val="16"/>
        </w:rPr>
        <w:t>, 102448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57. International Labour Organization (ILO). Global Employment Trends for Youth 2024: Decent Work, Brighter Futures; ILO: Geneva, Switzerland, 2024.</w:t>
      </w:r>
    </w:p>
    <w:p>
      <w:pPr>
        <w:spacing w:after="20"/>
        <w:ind w:left="2920" w:hanging="312"/>
        <w:jc w:val="both"/>
      </w:pPr>
      <w:r>
        <w:rPr>
          <w:rFonts w:ascii="Palatino Linotype" w:hAnsi="Palatino Linotype" w:eastAsia="Palatino Linotype"/>
          <w:b w:val="0"/>
          <w:i w:val="0"/>
          <w:sz w:val="16"/>
        </w:rPr>
        <w:t>58. Organisation for Economic Co-operation and Development (OECD). Education at a Glance 2025: OECD Indicators; OECD Publishing: Paris, France, 2025.</w:t>
      </w:r>
    </w:p>
    <w:p>
      <w:pPr>
        <w:spacing w:after="20"/>
        <w:ind w:left="2920" w:hanging="312"/>
        <w:jc w:val="both"/>
      </w:pPr>
      <w:r>
        <w:rPr>
          <w:rFonts w:ascii="Palatino Linotype" w:hAnsi="Palatino Linotype" w:eastAsia="Palatino Linotype"/>
          <w:b w:val="0"/>
          <w:i w:val="0"/>
          <w:sz w:val="16"/>
        </w:rPr>
        <w:t xml:space="preserve">59. Başol, O.; Sevgi, H.; Yalçın, E.C. The Effect of Digitalization on Youth Unemployment for EU Countries: Treat or Threat? </w:t>
      </w:r>
      <w:r>
        <w:rPr>
          <w:rFonts w:ascii="Palatino Linotype" w:hAnsi="Palatino Linotype" w:eastAsia="Palatino Linotype"/>
          <w:b w:val="0"/>
          <w:i/>
          <w:sz w:val="16"/>
        </w:rPr>
        <w:t xml:space="preserve">Sustainability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w:t>
      </w:r>
      <w:r>
        <w:rPr>
          <w:rFonts w:ascii="Palatino Linotype" w:hAnsi="Palatino Linotype" w:eastAsia="Palatino Linotype"/>
          <w:b w:val="0"/>
          <w:i w:val="0"/>
          <w:sz w:val="16"/>
        </w:rPr>
        <w:t>, 11080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60. Ogbonna, A.E.; Adediran, I.A.; Oloko, T.F.; Isah, K.O. Information and Communication Technology (ICT) and youth unemployment in Africa. </w:t>
      </w:r>
      <w:r>
        <w:rPr>
          <w:rFonts w:ascii="Palatino Linotype" w:hAnsi="Palatino Linotype" w:eastAsia="Palatino Linotype"/>
          <w:b w:val="0"/>
          <w:i/>
          <w:sz w:val="16"/>
        </w:rPr>
        <w:t xml:space="preserve">Qual. Quant.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57</w:t>
      </w:r>
      <w:r>
        <w:rPr>
          <w:rFonts w:ascii="Palatino Linotype" w:hAnsi="Palatino Linotype" w:eastAsia="Palatino Linotype"/>
          <w:b w:val="0"/>
          <w:i w:val="0"/>
          <w:sz w:val="16"/>
        </w:rPr>
        <w:t>, 5055–5077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61. Tleppayev, A.; Zeinolla, S. Forecasting Youth Unemployment Through Educational and Demographic Indicators: A Panel Time-Series Approach. </w:t>
      </w:r>
      <w:r>
        <w:rPr>
          <w:rFonts w:ascii="Palatino Linotype" w:hAnsi="Palatino Linotype" w:eastAsia="Palatino Linotype"/>
          <w:b w:val="0"/>
          <w:i/>
          <w:sz w:val="16"/>
        </w:rPr>
        <w:t xml:space="preserve">Forecasting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7</w:t>
      </w:r>
      <w:r>
        <w:rPr>
          <w:rFonts w:ascii="Palatino Linotype" w:hAnsi="Palatino Linotype" w:eastAsia="Palatino Linotype"/>
          <w:b w:val="0"/>
          <w:i w:val="0"/>
          <w:sz w:val="16"/>
        </w:rPr>
        <w:t>, 37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62. Grigorescu, A.; Alistar, T.V.; Lincaru, C. Digital Skills, Ethics, and Integrity—The Impact of Risky Internet Use, a Multivariate and Spatial Approach to Understanding NEET Vulnerability.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649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63. Chacón-Cuberos, R.; Rodríguez-Sabiote, C.; Expósito-López, J.; Olmedo-Moreno, E.; Serrano-García, J.; Hortas-Aliaga, O. Development of an Employability Thinking Scale for Use with Young People in Training: Exploratory and Confirmatory Factor Analysis.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479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64. Chen, C.; Zhu, J.; Sun, H. Mechanisms and Pathways of Promoting High-Quality Full Employment Under the Dual Circulation Paradigm: An Evolutionary Simulation Approach Based on System Dynamics.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w:t>
      </w:r>
      <w:r>
        <w:rPr>
          <w:rFonts w:ascii="Palatino Linotype" w:hAnsi="Palatino Linotype" w:eastAsia="Palatino Linotype"/>
          <w:b w:val="0"/>
          <w:i w:val="0"/>
          <w:sz w:val="16"/>
        </w:rPr>
        <w:t>, 737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65. Marczuk, A. Literature review of comparative school-to-work research: How institutional settings shape individual labour market outcomes. </w:t>
      </w:r>
      <w:r>
        <w:rPr>
          <w:rFonts w:ascii="Palatino Linotype" w:hAnsi="Palatino Linotype" w:eastAsia="Palatino Linotype"/>
          <w:b w:val="0"/>
          <w:i/>
          <w:sz w:val="16"/>
        </w:rPr>
        <w:t xml:space="preserve">J. Labour Mark. Res.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58</w:t>
      </w:r>
      <w:r>
        <w:rPr>
          <w:rFonts w:ascii="Palatino Linotype" w:hAnsi="Palatino Linotype" w:eastAsia="Palatino Linotype"/>
          <w:b w:val="0"/>
          <w:i w:val="0"/>
          <w:sz w:val="16"/>
        </w:rPr>
        <w:t>, 19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66. Song, Y.; Qiu, X.; Liu, J. The Impact of Artificial Intelligence Adoption on Organizational Decision-Making: An Empirical Study Based on the Technology Acceptance Model in Business Management.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683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67. Bankins, S.; Jooss, S.; Restubog, S.L.D.; Marrone, M.; Ocampo, A.C.; Shoss, M. Navigating career stages in the age of artificial intelligence: A systematic interdisciplinary review and agenda for future research. </w:t>
      </w:r>
      <w:r>
        <w:rPr>
          <w:rFonts w:ascii="Palatino Linotype" w:hAnsi="Palatino Linotype" w:eastAsia="Palatino Linotype"/>
          <w:b w:val="0"/>
          <w:i/>
          <w:sz w:val="16"/>
        </w:rPr>
        <w:t xml:space="preserve">J. Vocat. Behav.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153</w:t>
      </w:r>
      <w:r>
        <w:rPr>
          <w:rFonts w:ascii="Palatino Linotype" w:hAnsi="Palatino Linotype" w:eastAsia="Palatino Linotype"/>
          <w:b w:val="0"/>
          <w:i w:val="0"/>
          <w:sz w:val="16"/>
        </w:rPr>
        <w:t>, 104011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68. Herrmann, T.; Pfeiffer, S. Keeping the organization in the loop: A socio-technical extension of human-centered artificial intelligence. </w:t>
      </w:r>
      <w:r>
        <w:rPr>
          <w:rFonts w:ascii="Palatino Linotype" w:hAnsi="Palatino Linotype" w:eastAsia="Palatino Linotype"/>
          <w:b w:val="0"/>
          <w:i/>
          <w:sz w:val="16"/>
        </w:rPr>
        <w:t xml:space="preserve">AI Soc.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38</w:t>
      </w:r>
      <w:r>
        <w:rPr>
          <w:rFonts w:ascii="Palatino Linotype" w:hAnsi="Palatino Linotype" w:eastAsia="Palatino Linotype"/>
          <w:b w:val="0"/>
          <w:i w:val="0"/>
          <w:sz w:val="16"/>
        </w:rPr>
        <w:t>, 1523–1542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69. Makarius, E.E.; Mukherjee, D.; Fox, J.D.; Fox, A.K. Rising with the machines: A sociotechnical framework for bringing artificial intelligence into the organization.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2020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120</w:t>
      </w:r>
      <w:r>
        <w:rPr>
          <w:rFonts w:ascii="Palatino Linotype" w:hAnsi="Palatino Linotype" w:eastAsia="Palatino Linotype"/>
          <w:b w:val="0"/>
          <w:i w:val="0"/>
          <w:sz w:val="16"/>
        </w:rPr>
        <w:t>, 262–273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70. Wang, X.; Jiang, Y.; Yi, F. Digital Revolution and Job Quality of Lower Class Workers: Quasi-experimental Evidence from the Broadband China Program. </w:t>
      </w:r>
      <w:r>
        <w:rPr>
          <w:rFonts w:ascii="Palatino Linotype" w:hAnsi="Palatino Linotype" w:eastAsia="Palatino Linotype"/>
          <w:b w:val="0"/>
          <w:i/>
          <w:sz w:val="16"/>
        </w:rPr>
        <w:t xml:space="preserve">China World Econ.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32</w:t>
      </w:r>
      <w:r>
        <w:rPr>
          <w:rFonts w:ascii="Palatino Linotype" w:hAnsi="Palatino Linotype" w:eastAsia="Palatino Linotype"/>
          <w:b w:val="0"/>
          <w:i w:val="0"/>
          <w:sz w:val="16"/>
        </w:rPr>
        <w:t>, 146–178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71. Jin, X.; Ma, B.; Zhang, H. Impact of fast internet access on employment: Evidence from a broadband expansion in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81</w:t>
      </w:r>
      <w:r>
        <w:rPr>
          <w:rFonts w:ascii="Palatino Linotype" w:hAnsi="Palatino Linotype" w:eastAsia="Palatino Linotype"/>
          <w:b w:val="0"/>
          <w:i w:val="0"/>
          <w:sz w:val="16"/>
        </w:rPr>
        <w:t>, 102038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72. Wang, H.; Wang, H.; Guan, R. Digitalization of industries and labor mobility in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87</w:t>
      </w:r>
      <w:r>
        <w:rPr>
          <w:rFonts w:ascii="Palatino Linotype" w:hAnsi="Palatino Linotype" w:eastAsia="Palatino Linotype"/>
          <w:b w:val="0"/>
          <w:i w:val="0"/>
          <w:sz w:val="16"/>
        </w:rPr>
        <w:t>, 102248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73. Zhong, S.; Zhang, X.; Zhang, L.; Zhao, C. How does digital economy influence urban common prosperity? Evidence from China’s demonstration area for common prosperity. </w:t>
      </w:r>
      <w:r>
        <w:rPr>
          <w:rFonts w:ascii="Palatino Linotype" w:hAnsi="Palatino Linotype" w:eastAsia="Palatino Linotype"/>
          <w:b w:val="0"/>
          <w:i/>
          <w:sz w:val="16"/>
        </w:rPr>
        <w:t xml:space="preserve">Int. Rev. Econ. Financ.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104</w:t>
      </w:r>
      <w:r>
        <w:rPr>
          <w:rFonts w:ascii="Palatino Linotype" w:hAnsi="Palatino Linotype" w:eastAsia="Palatino Linotype"/>
          <w:b w:val="0"/>
          <w:i w:val="0"/>
          <w:sz w:val="16"/>
        </w:rPr>
        <w:t>, 104629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74. Tong, W.; Guo, J.; Lo, K.; Xu, W. Bridging the gap to common prosperity: Rural development and urban–rural income disparities in Zhejiang Province, China. </w:t>
      </w:r>
      <w:r>
        <w:rPr>
          <w:rFonts w:ascii="Palatino Linotype" w:hAnsi="Palatino Linotype" w:eastAsia="Palatino Linotype"/>
          <w:b w:val="0"/>
          <w:i/>
          <w:sz w:val="16"/>
        </w:rPr>
        <w:t xml:space="preserve">Chin. Geogr. Sci.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36</w:t>
      </w:r>
      <w:r>
        <w:rPr>
          <w:rFonts w:ascii="Palatino Linotype" w:hAnsi="Palatino Linotype" w:eastAsia="Palatino Linotype"/>
          <w:b w:val="0"/>
          <w:i w:val="0"/>
          <w:sz w:val="16"/>
        </w:rPr>
        <w:t>, 207–221</w:t>
      </w:r>
      <w:r>
        <w:rPr>
          <w:rFonts w:ascii="Palatino Linotype" w:hAnsi="Palatino Linotype" w:eastAsia="Palatino Linotype"/>
          <w:b w:val="0"/>
          <w:i w:val="0"/>
          <w:sz w:val="16"/>
        </w:rPr>
        <w:t>.</w:t>
      </w:r>
    </w:p>
    <w:p>
      <w:pPr>
        <w:spacing w:before="40" w:after="60"/>
        <w:jc w:val="both"/>
      </w:pPr>
      <w:r>
        <w:rPr>
          <w:rFonts w:ascii="Palatino Linotype" w:hAnsi="Palatino Linotype" w:eastAsia="Palatino Linotype"/>
          <w:b/>
          <w:i/>
          <w:sz w:val="17"/>
        </w:rPr>
        <w:t>Disclaimer/Publisher’s Note:</w:t>
      </w:r>
      <w:r>
        <w:rPr>
          <w:rFonts w:ascii="Palatino Linotype" w:hAnsi="Palatino Linotype" w:eastAsia="Palatino Linotype"/>
          <w:b w:val="0"/>
          <w:i w:val="0"/>
          <w:sz w:val="17"/>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r:id="rId7" w:type="first"/>
      <w:footerReference r:id="rId9" w:type="first"/>
      <w:headerReference r:id="rId5" w:type="default"/>
      <w:footerReference r:id="rId8" w:type="default"/>
      <w:headerReference r:id="rId6" w:type="even"/>
      <w:pgSz w:w="11906" w:h="16838"/>
      <w:pgMar w:top="1417" w:right="720" w:bottom="907" w:left="720" w:header="720" w:footer="612" w:gutter="0"/>
      <w:lnNumType w:countBy="1" w:distance="255" w:restart="continuous"/>
      <w:pgNumType w:start="1"/>
      <w:cols w:space="425"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rdia Ne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ＭＳ 明朝">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723B7">
    <w:pPr>
      <w:pStyle w:val="24"/>
      <w:spacing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C9B57">
    <w:pPr>
      <w:pBdr>
        <w:top w:val="single" w:color="000000" w:sz="4" w:space="0"/>
      </w:pBdr>
      <w:tabs>
        <w:tab w:val="right" w:pos="8844"/>
      </w:tabs>
      <w:adjustRightInd w:val="0"/>
      <w:snapToGrid w:val="0"/>
      <w:spacing w:before="480" w:line="100" w:lineRule="exact"/>
      <w:ind w:left="0" w:leftChars="0" w:firstLine="0" w:firstLineChars="0"/>
      <w:jc w:val="left"/>
      <w:rPr>
        <w:i/>
        <w:sz w:val="16"/>
        <w:szCs w:val="16"/>
      </w:rPr>
    </w:pPr>
  </w:p>
  <w:p w14:paraId="2F5022B6">
    <w:pPr>
      <w:tabs>
        <w:tab w:val="right" w:pos="10466"/>
      </w:tabs>
      <w:adjustRightInd w:val="0"/>
      <w:snapToGrid w:val="0"/>
      <w:spacing w:line="240" w:lineRule="auto"/>
      <w:ind w:left="0" w:leftChars="0" w:firstLine="0" w:firstLineChars="0"/>
      <w:rPr>
        <w:sz w:val="16"/>
        <w:szCs w:val="16"/>
      </w:rPr>
    </w:pPr>
    <w:r>
      <w:rPr>
        <w:i/>
        <w:sz w:val="16"/>
        <w:szCs w:val="16"/>
      </w:rPr>
      <w:t xml:space="preserve">Systems </w:t>
    </w:r>
    <w:r>
      <w:rPr>
        <w:b/>
        <w:bCs/>
        <w:iCs/>
        <w:sz w:val="16"/>
        <w:szCs w:val="16"/>
      </w:rPr>
      <w:t>2026</w:t>
    </w:r>
    <w:r>
      <w:rPr>
        <w:bCs/>
        <w:iCs/>
        <w:sz w:val="16"/>
        <w:szCs w:val="16"/>
      </w:rPr>
      <w:t>,</w:t>
    </w:r>
    <w:r>
      <w:rPr>
        <w:bCs/>
        <w:i/>
        <w:iCs/>
        <w:sz w:val="16"/>
        <w:szCs w:val="16"/>
      </w:rPr>
      <w:t xml:space="preserve"> 14</w:t>
    </w:r>
    <w:r>
      <w:rPr>
        <w:bCs/>
        <w:iCs/>
        <w:sz w:val="16"/>
        <w:szCs w:val="16"/>
      </w:rPr>
      <w:t>, x</w:t>
    </w:r>
    <w:r>
      <w:rPr>
        <w:sz w:val="16"/>
        <w:szCs w:val="16"/>
      </w:rPr>
      <w:tab/>
    </w:r>
    <w:r>
      <w:rPr>
        <w:sz w:val="16"/>
        <w:szCs w:val="16"/>
      </w:rPr>
      <w:t>https://doi.org/10.3390/xxxxx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740F5">
    <w:pPr>
      <w:tabs>
        <w:tab w:val="right" w:pos="10466"/>
      </w:tabs>
      <w:adjustRightInd w:val="0"/>
      <w:snapToGrid w:val="0"/>
      <w:spacing w:line="240" w:lineRule="auto"/>
      <w:ind w:left="0" w:leftChars="0" w:firstLine="0" w:firstLineChars="0"/>
      <w:rPr>
        <w:sz w:val="16"/>
      </w:rPr>
    </w:pPr>
    <w:r>
      <w:rPr>
        <w:i/>
        <w:sz w:val="16"/>
      </w:rPr>
      <w:t xml:space="preserve">Systems </w:t>
    </w:r>
    <w:r>
      <w:rPr>
        <w:b/>
        <w:sz w:val="16"/>
      </w:rPr>
      <w:t>2026</w:t>
    </w:r>
    <w:r>
      <w:rPr>
        <w:sz w:val="16"/>
      </w:rPr>
      <w:t>,</w:t>
    </w:r>
    <w:r>
      <w:rPr>
        <w:i/>
        <w:sz w:val="16"/>
      </w:rPr>
      <w:t xml:space="preserve"> 14</w:t>
    </w:r>
    <w:r>
      <w:rPr>
        <w:sz w:val="16"/>
      </w:rPr>
      <w:t>, x FOR PEER REVIEW</w:t>
    </w:r>
    <w:r>
      <w:rPr>
        <w:sz w:val="16"/>
      </w:rPr>
      <w:ptab w:relativeTo="margin" w:alignment="right" w:leader="none"/>
    </w:r>
    <w:r>
      <w:rPr>
        <w:sz w:val="16"/>
      </w:rPr>
      <w:fldChar w:fldCharType="begin"/>
    </w:r>
    <w:r>
      <w:rPr>
        <w:sz w:val="16"/>
      </w:rPr>
      <w:instrText xml:space="preserve"> PAGE   \* MERGEFORMAT </w:instrText>
    </w:r>
    <w:r>
      <w:rPr>
        <w:sz w:val="16"/>
      </w:rPr>
      <w:fldChar w:fldCharType="separate"/>
    </w:r>
    <w:r>
      <w:rPr>
        <w:sz w:val="16"/>
      </w:rPr>
      <w:t>2</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8</w:t>
    </w:r>
    <w:r>
      <w:rPr>
        <w:sz w:val="16"/>
      </w:rPr>
      <w:fldChar w:fldCharType="end"/>
    </w:r>
  </w:p>
  <w:p w14:paraId="2153CD40">
    <w:pPr>
      <w:pBdr>
        <w:bottom w:val="single" w:color="000000" w:sz="4" w:space="1"/>
      </w:pBdr>
      <w:tabs>
        <w:tab w:val="right" w:pos="8844"/>
      </w:tabs>
      <w:adjustRightInd w:val="0"/>
      <w:snapToGrid w:val="0"/>
      <w:spacing w:after="480" w:line="100" w:lineRule="exact"/>
      <w:ind w:left="0" w:leftChars="0" w:firstLine="0" w:firstLineChars="0"/>
      <w:jc w:val="left"/>
      <w:rPr>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89A58">
    <w:pPr>
      <w:pStyle w:val="2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2"/>
      <w:tblW w:w="10487" w:type="dxa"/>
      <w:tblInd w:w="0" w:type="dxa"/>
      <w:tblLayout w:type="autofit"/>
      <w:tblCellMar>
        <w:top w:w="0" w:type="dxa"/>
        <w:left w:w="0" w:type="dxa"/>
        <w:bottom w:w="0" w:type="dxa"/>
        <w:right w:w="0" w:type="dxa"/>
      </w:tblCellMar>
    </w:tblPr>
    <w:tblGrid>
      <w:gridCol w:w="3348"/>
      <w:gridCol w:w="3681"/>
      <w:gridCol w:w="3458"/>
    </w:tblGrid>
    <w:tr w14:paraId="4226598C">
      <w:tblPrEx>
        <w:tblCellMar>
          <w:top w:w="0" w:type="dxa"/>
          <w:left w:w="0" w:type="dxa"/>
          <w:bottom w:w="0" w:type="dxa"/>
          <w:right w:w="0" w:type="dxa"/>
        </w:tblCellMar>
      </w:tblPrEx>
      <w:trPr>
        <w:trHeight w:val="686" w:hRule="atLeast"/>
      </w:trPr>
      <w:tc>
        <w:tcPr>
          <w:tcW w:w="3679" w:type="dxa"/>
          <w:shd w:val="clear" w:color="auto" w:fill="auto"/>
          <w:vAlign w:val="center"/>
        </w:tcPr>
        <w:p w14:paraId="423ABCDF">
          <w:pPr>
            <w:pBdr>
              <w:bottom w:val="none" w:color="auto" w:sz="0" w:space="0"/>
            </w:pBdr>
            <w:tabs>
              <w:tab w:val="center" w:pos="4153"/>
              <w:tab w:val="right" w:pos="8306"/>
            </w:tabs>
            <w:snapToGrid w:val="0"/>
            <w:spacing w:line="240" w:lineRule="atLeast"/>
            <w:ind w:left="0" w:leftChars="0" w:firstLine="0" w:firstLineChars="0"/>
            <w:jc w:val="left"/>
            <w:rPr>
              <w:rFonts w:ascii="Palatino Linotype" w:hAnsi="Palatino Linotype" w:eastAsia="等线" w:cs="Times New Roman"/>
              <w:b/>
              <w:bCs/>
              <w:color w:val="000000"/>
              <w:szCs w:val="18"/>
              <w:lang w:val="en-US" w:eastAsia="zh-CN" w:bidi="ar-SA"/>
            </w:rPr>
          </w:pPr>
          <w:bookmarkStart w:id="0" w:name="_GoBack"/>
          <w:bookmarkEnd w:id="0"/>
          <w:r>
            <w:rPr>
              <w:rFonts w:ascii="Palatino Linotype" w:hAnsi="Palatino Linotype" w:eastAsia="等线" w:cs="Times New Roman"/>
              <w:b/>
              <w:bCs/>
              <w:color w:val="000000"/>
              <w:szCs w:val="18"/>
              <w:lang w:val="en-US" w:eastAsia="zh-CN" w:bidi="ar-SA"/>
            </w:rPr>
            <w:drawing>
              <wp:inline distT="0" distB="0" distL="0" distR="0">
                <wp:extent cx="1210310" cy="431800"/>
                <wp:effectExtent l="0" t="0" r="8890" b="6350"/>
                <wp:docPr id="1563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446" name="Picture 1"/>
                        <pic:cNvPicPr>
                          <a:picLocks noChangeAspect="1"/>
                        </pic:cNvPicPr>
                      </pic:nvPicPr>
                      <pic:blipFill>
                        <a:blip r:embed="rId1"/>
                        <a:stretch>
                          <a:fillRect/>
                        </a:stretch>
                      </pic:blipFill>
                      <pic:spPr>
                        <a:xfrm>
                          <a:off x="0" y="0"/>
                          <a:ext cx="1210817" cy="432000"/>
                        </a:xfrm>
                        <a:prstGeom prst="rect">
                          <a:avLst/>
                        </a:prstGeom>
                      </pic:spPr>
                    </pic:pic>
                  </a:graphicData>
                </a:graphic>
              </wp:inline>
            </w:drawing>
          </w:r>
        </w:p>
      </w:tc>
      <w:tc>
        <w:tcPr>
          <w:tcW w:w="4535" w:type="dxa"/>
          <w:shd w:val="clear" w:color="auto" w:fill="auto"/>
          <w:vAlign w:val="center"/>
        </w:tcPr>
        <w:p w14:paraId="25CBB318">
          <w:pPr>
            <w:pBdr>
              <w:bottom w:val="none" w:color="auto" w:sz="0" w:space="0"/>
            </w:pBdr>
            <w:tabs>
              <w:tab w:val="center" w:pos="4153"/>
              <w:tab w:val="right" w:pos="8306"/>
            </w:tabs>
            <w:snapToGrid w:val="0"/>
            <w:spacing w:line="240" w:lineRule="atLeast"/>
            <w:jc w:val="center"/>
            <w:rPr>
              <w:rFonts w:ascii="Palatino Linotype" w:hAnsi="Palatino Linotype" w:eastAsia="等线" w:cs="Times New Roman"/>
              <w:b/>
              <w:bCs/>
              <w:color w:val="000000"/>
              <w:szCs w:val="18"/>
              <w:lang w:val="en-US" w:eastAsia="zh-CN" w:bidi="ar-SA"/>
            </w:rPr>
          </w:pPr>
        </w:p>
      </w:tc>
      <w:tc>
        <w:tcPr>
          <w:tcW w:w="2273" w:type="dxa"/>
          <w:shd w:val="clear" w:color="auto" w:fill="auto"/>
          <w:vAlign w:val="center"/>
        </w:tcPr>
        <w:p w14:paraId="6FB1F5E1">
          <w:pPr>
            <w:pBdr>
              <w:bottom w:val="none" w:color="auto" w:sz="0" w:space="0"/>
            </w:pBdr>
            <w:tabs>
              <w:tab w:val="center" w:pos="4153"/>
              <w:tab w:val="right" w:pos="8306"/>
            </w:tabs>
            <w:snapToGrid w:val="0"/>
            <w:spacing w:line="240" w:lineRule="atLeast"/>
            <w:jc w:val="right"/>
            <w:rPr>
              <w:rFonts w:ascii="Palatino Linotype" w:hAnsi="Palatino Linotype" w:eastAsia="等线" w:cs="Times New Roman"/>
              <w:b/>
              <w:bCs/>
              <w:color w:val="000000"/>
              <w:szCs w:val="18"/>
              <w:lang w:val="en-US" w:eastAsia="zh-CN" w:bidi="ar-SA"/>
            </w:rPr>
          </w:pPr>
          <w:r>
            <w:rPr>
              <w:rFonts w:ascii="Palatino Linotype" w:hAnsi="Palatino Linotype" w:eastAsia="等线" w:cs="Times New Roman"/>
              <w:b/>
              <w:bCs/>
              <w:color w:val="000000"/>
              <w:szCs w:val="18"/>
              <w:lang w:val="en-US" w:eastAsia="zh-CN" w:bidi="ar-SA"/>
            </w:rPr>
            <w:drawing>
              <wp:inline distT="0" distB="0" distL="0" distR="0">
                <wp:extent cx="539750" cy="359410"/>
                <wp:effectExtent l="0" t="0" r="0" b="2540"/>
                <wp:docPr id="815455501" name="Picture 1"/>
                <wp:cNvGraphicFramePr/>
                <a:graphic xmlns:a="http://schemas.openxmlformats.org/drawingml/2006/main">
                  <a:graphicData uri="http://schemas.openxmlformats.org/drawingml/2006/picture">
                    <pic:pic xmlns:pic="http://schemas.openxmlformats.org/drawingml/2006/picture">
                      <pic:nvPicPr>
                        <pic:cNvPr id="815455501" name="Picture 1"/>
                        <pic:cNvPicPr/>
                      </pic:nvPicPr>
                      <pic:blipFill>
                        <a:blip r:embed="rId2"/>
                        <a:stretch>
                          <a:fillRect/>
                        </a:stretch>
                      </pic:blipFill>
                      <pic:spPr>
                        <a:xfrm>
                          <a:off x="0" y="0"/>
                          <a:ext cx="540000" cy="360000"/>
                        </a:xfrm>
                        <a:prstGeom prst="rect">
                          <a:avLst/>
                        </a:prstGeom>
                      </pic:spPr>
                    </pic:pic>
                  </a:graphicData>
                </a:graphic>
              </wp:inline>
            </w:drawing>
          </w:r>
        </w:p>
      </w:tc>
    </w:tr>
  </w:tbl>
  <w:p w14:paraId="3157C9B5">
    <w:pPr>
      <w:pBdr>
        <w:bottom w:val="single" w:color="000000" w:sz="4" w:space="1"/>
      </w:pBdr>
      <w:adjustRightInd w:val="0"/>
      <w:snapToGrid w:val="0"/>
      <w:spacing w:before="120" w:line="100" w:lineRule="exact"/>
      <w:ind w:left="2608" w:leftChars="0" w:hanging="2608" w:hangingChars="1304"/>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BF5A03"/>
    <w:rsid w:val="254231D3"/>
    <w:rsid w:val="26DA06A5"/>
    <w:rsid w:val="351249F2"/>
    <w:rsid w:val="3CFB752B"/>
    <w:rsid w:val="404C1D99"/>
    <w:rsid w:val="5E2667A2"/>
    <w:rsid w:val="5F3202A9"/>
    <w:rsid w:val="6E4A65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80" w:lineRule="atLeast"/>
      <w:ind w:left="2608"/>
      <w:jc w:val="both"/>
    </w:pPr>
    <w:rPr>
      <w:rFonts w:ascii="Palatino Linotype" w:hAnsi="Palatino Linotype" w:eastAsia="Palatino Linotype" w:cstheme="minorBidi"/>
      <w:sz w:val="20"/>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67"/>
    <w:qFormat/>
    <w:uiPriority w:val="99"/>
    <w:pPr>
      <w:tabs>
        <w:tab w:val="center" w:pos="4680"/>
        <w:tab w:val="right" w:pos="9360"/>
      </w:tabs>
      <w:snapToGrid w:val="0"/>
      <w:spacing w:line="240" w:lineRule="atLeast"/>
    </w:pPr>
    <w:rPr>
      <w:szCs w:val="18"/>
    </w:rPr>
  </w:style>
  <w:style w:type="paragraph" w:styleId="25">
    <w:name w:val="header"/>
    <w:basedOn w:val="1"/>
    <w:link w:val="168"/>
    <w:qFormat/>
    <w:uiPriority w:val="99"/>
    <w:pPr>
      <w:pBdr>
        <w:bottom w:val="single" w:color="auto" w:sz="6" w:space="1"/>
      </w:pBdr>
      <w:tabs>
        <w:tab w:val="center" w:pos="4680"/>
        <w:tab w:val="right" w:pos="9360"/>
      </w:tabs>
      <w:snapToGrid w:val="0"/>
      <w:spacing w:line="240" w:lineRule="atLeast"/>
      <w:jc w:val="center"/>
    </w:pPr>
    <w:rPr>
      <w:szCs w:val="18"/>
    </w:r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page number"/>
    <w:qFormat/>
    <w:uiPriority w:val="0"/>
  </w:style>
  <w:style w:type="character" w:styleId="135">
    <w:name w:val="Emphasis"/>
    <w:basedOn w:val="132"/>
    <w:qFormat/>
    <w:uiPriority w:val="20"/>
    <w:rPr>
      <w:i/>
      <w:iCs/>
    </w:rPr>
  </w:style>
  <w:style w:type="character" w:styleId="136">
    <w:name w:val="Hyperlink"/>
    <w:basedOn w:val="132"/>
    <w:semiHidden/>
    <w:unhideWhenUsed/>
    <w:qFormat/>
    <w:uiPriority w:val="99"/>
    <w:rPr>
      <w:color w:val="0000FF"/>
      <w:u w:val="single"/>
    </w:rPr>
  </w:style>
  <w:style w:type="character" w:customStyle="1" w:styleId="137">
    <w:name w:val="Header Char"/>
    <w:basedOn w:val="132"/>
    <w:link w:val="25"/>
    <w:qFormat/>
    <w:uiPriority w:val="99"/>
  </w:style>
  <w:style w:type="character" w:customStyle="1" w:styleId="138">
    <w:name w:val="Footer Char"/>
    <w:basedOn w:val="132"/>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2"/>
    <w:link w:val="19"/>
    <w:qFormat/>
    <w:uiPriority w:val="99"/>
  </w:style>
  <w:style w:type="character" w:customStyle="1" w:styleId="147">
    <w:name w:val="Body Text 2 Char"/>
    <w:basedOn w:val="132"/>
    <w:link w:val="28"/>
    <w:qFormat/>
    <w:uiPriority w:val="99"/>
  </w:style>
  <w:style w:type="character" w:customStyle="1" w:styleId="148">
    <w:name w:val="Body Text 3 Char"/>
    <w:basedOn w:val="132"/>
    <w:link w:val="17"/>
    <w:qFormat/>
    <w:uiPriority w:val="99"/>
    <w:rPr>
      <w:sz w:val="16"/>
      <w:szCs w:val="16"/>
    </w:rPr>
  </w:style>
  <w:style w:type="character" w:customStyle="1" w:styleId="149">
    <w:name w:val="Macro Text Char"/>
    <w:basedOn w:val="132"/>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2"/>
    <w:link w:val="150"/>
    <w:qFormat/>
    <w:uiPriority w:val="29"/>
    <w:rPr>
      <w:i/>
      <w:iCs/>
      <w:color w:val="000000" w:themeColor="text1"/>
      <w14:textFill>
        <w14:solidFill>
          <w14:schemeClr w14:val="tx1"/>
        </w14:solidFill>
      </w14:textFill>
    </w:rPr>
  </w:style>
  <w:style w:type="character" w:customStyle="1" w:styleId="152">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2"/>
    <w:link w:val="158"/>
    <w:qFormat/>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MDPINormalBase"/>
    <w:qFormat/>
    <w:uiPriority w:val="0"/>
    <w:pPr>
      <w:spacing w:line="280" w:lineRule="atLeast"/>
      <w:jc w:val="both"/>
    </w:pPr>
    <w:rPr>
      <w:rFonts w:ascii="Palatino Linotype" w:hAnsi="Palatino Linotype" w:eastAsiaTheme="minorEastAsia" w:cstheme="minorBidi"/>
      <w:color w:val="000000"/>
    </w:rPr>
  </w:style>
  <w:style w:type="character" w:customStyle="1" w:styleId="167">
    <w:name w:val="Footer Char1"/>
    <w:link w:val="24"/>
    <w:qFormat/>
    <w:uiPriority w:val="99"/>
    <w:rPr>
      <w:rFonts w:ascii="Palatino Linotype" w:hAnsi="Palatino Linotype"/>
      <w:color w:val="000000"/>
      <w:szCs w:val="18"/>
    </w:rPr>
  </w:style>
  <w:style w:type="character" w:customStyle="1" w:styleId="168">
    <w:name w:val="Header Char1"/>
    <w:link w:val="25"/>
    <w:qFormat/>
    <w:uiPriority w:val="99"/>
    <w:rPr>
      <w:rFonts w:ascii="Palatino Linotype" w:hAnsi="Palatino Linotype"/>
      <w:color w:val="000000"/>
      <w:szCs w:val="18"/>
    </w:rPr>
  </w:style>
  <w:style w:type="paragraph" w:customStyle="1" w:styleId="169">
    <w:name w:val="MDPI_1.1_article_type"/>
    <w:next w:val="166"/>
    <w:qFormat/>
    <w:uiPriority w:val="0"/>
    <w:pPr>
      <w:adjustRightInd w:val="0"/>
      <w:snapToGrid w:val="0"/>
      <w:spacing w:before="240"/>
    </w:pPr>
    <w:rPr>
      <w:rFonts w:ascii="Palatino Linotype" w:hAnsi="Palatino Linotype" w:eastAsia="Times New Roman" w:cstheme="minorBidi"/>
      <w:i/>
      <w:snapToGrid w:val="0"/>
      <w:color w:val="000000"/>
      <w:szCs w:val="22"/>
      <w:lang w:eastAsia="de-DE" w:bidi="en-US"/>
    </w:rPr>
  </w:style>
  <w:style w:type="paragraph" w:customStyle="1" w:styleId="170">
    <w:name w:val="MDPI_1.2_title"/>
    <w:next w:val="166"/>
    <w:qFormat/>
    <w:uiPriority w:val="0"/>
    <w:pPr>
      <w:adjustRightInd w:val="0"/>
      <w:snapToGrid w:val="0"/>
      <w:spacing w:after="240" w:line="240" w:lineRule="atLeast"/>
    </w:pPr>
    <w:rPr>
      <w:rFonts w:ascii="Palatino Linotype" w:hAnsi="Palatino Linotype" w:eastAsia="Times New Roman" w:cstheme="minorBidi"/>
      <w:b/>
      <w:snapToGrid w:val="0"/>
      <w:color w:val="000000"/>
      <w:sz w:val="36"/>
      <w:lang w:eastAsia="de-DE" w:bidi="en-US"/>
    </w:rPr>
  </w:style>
  <w:style w:type="paragraph" w:customStyle="1" w:styleId="171">
    <w:name w:val="MDPI_1.3_authornames"/>
    <w:next w:val="1"/>
    <w:qFormat/>
    <w:uiPriority w:val="0"/>
    <w:pPr>
      <w:adjustRightInd w:val="0"/>
      <w:snapToGrid w:val="0"/>
      <w:spacing w:after="360" w:line="260" w:lineRule="atLeast"/>
    </w:pPr>
    <w:rPr>
      <w:rFonts w:ascii="Palatino Linotype" w:hAnsi="Palatino Linotype" w:eastAsia="Times New Roman" w:cstheme="minorBidi"/>
      <w:b/>
      <w:color w:val="000000"/>
      <w:szCs w:val="22"/>
      <w:lang w:eastAsia="de-DE" w:bidi="en-US"/>
    </w:rPr>
  </w:style>
  <w:style w:type="paragraph" w:customStyle="1" w:styleId="172">
    <w:name w:val="MDPI_1.4_history"/>
    <w:basedOn w:val="166"/>
    <w:next w:val="1"/>
    <w:qFormat/>
    <w:uiPriority w:val="0"/>
    <w:pPr>
      <w:adjustRightInd w:val="0"/>
      <w:snapToGrid w:val="0"/>
      <w:spacing w:line="240" w:lineRule="atLeast"/>
      <w:ind w:right="113"/>
      <w:jc w:val="left"/>
    </w:pPr>
    <w:rPr>
      <w:rFonts w:eastAsia="Times New Roman"/>
      <w:sz w:val="14"/>
      <w:lang w:eastAsia="de-DE" w:bidi="en-US"/>
    </w:rPr>
  </w:style>
  <w:style w:type="paragraph" w:customStyle="1" w:styleId="173">
    <w:name w:val="MDPI_1.5_academic_editor"/>
    <w:qFormat/>
    <w:uiPriority w:val="0"/>
    <w:pPr>
      <w:adjustRightInd w:val="0"/>
      <w:snapToGrid w:val="0"/>
      <w:spacing w:before="120" w:line="240" w:lineRule="atLeast"/>
      <w:ind w:right="113"/>
    </w:pPr>
    <w:rPr>
      <w:rFonts w:ascii="Palatino Linotype" w:hAnsi="Palatino Linotype" w:eastAsia="Times New Roman" w:cstheme="minorBidi"/>
      <w:color w:val="000000"/>
      <w:sz w:val="14"/>
      <w:szCs w:val="22"/>
      <w:lang w:eastAsia="de-DE" w:bidi="en-US"/>
    </w:rPr>
  </w:style>
  <w:style w:type="paragraph" w:customStyle="1" w:styleId="174">
    <w:name w:val="MDPI_1.6_affiliation"/>
    <w:qFormat/>
    <w:uiPriority w:val="0"/>
    <w:pPr>
      <w:adjustRightInd w:val="0"/>
      <w:snapToGrid w:val="0"/>
      <w:spacing w:line="200" w:lineRule="atLeast"/>
      <w:ind w:left="2806" w:hanging="198"/>
    </w:pPr>
    <w:rPr>
      <w:rFonts w:ascii="Palatino Linotype" w:hAnsi="Palatino Linotype" w:eastAsia="Times New Roman" w:cstheme="minorBidi"/>
      <w:color w:val="000000"/>
      <w:sz w:val="16"/>
      <w:szCs w:val="18"/>
      <w:lang w:eastAsia="de-DE" w:bidi="en-US"/>
    </w:rPr>
  </w:style>
  <w:style w:type="paragraph" w:customStyle="1" w:styleId="175">
    <w:name w:val="MDPI_1.7_abstract"/>
    <w:next w:val="1"/>
    <w:qFormat/>
    <w:uiPriority w:val="0"/>
    <w:pPr>
      <w:adjustRightInd w:val="0"/>
      <w:snapToGrid w:val="0"/>
      <w:spacing w:before="240" w:after="120" w:line="280" w:lineRule="atLeast"/>
      <w:ind w:left="2608"/>
      <w:jc w:val="both"/>
    </w:pPr>
    <w:rPr>
      <w:rFonts w:ascii="Palatino Linotype" w:hAnsi="Palatino Linotype" w:eastAsia="Times New Roman" w:cstheme="minorBidi"/>
      <w:color w:val="000000"/>
      <w:szCs w:val="22"/>
      <w:lang w:eastAsia="de-DE" w:bidi="en-US"/>
    </w:rPr>
  </w:style>
  <w:style w:type="paragraph" w:customStyle="1" w:styleId="176">
    <w:name w:val="MDPI_1.8_keywords"/>
    <w:next w:val="1"/>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77">
    <w:name w:val="MDPI_1.9_line"/>
    <w:qFormat/>
    <w:uiPriority w:val="0"/>
    <w:pPr>
      <w:pBdr>
        <w:bottom w:val="single" w:color="auto" w:sz="6" w:space="1"/>
      </w:pBdr>
      <w:adjustRightInd w:val="0"/>
      <w:snapToGrid w:val="0"/>
      <w:spacing w:after="480" w:line="280" w:lineRule="atLeast"/>
      <w:ind w:left="2608"/>
      <w:jc w:val="both"/>
    </w:pPr>
    <w:rPr>
      <w:rFonts w:ascii="Palatino Linotype" w:hAnsi="Palatino Linotype" w:eastAsia="Times New Roman" w:cs="Cordia New"/>
      <w:color w:val="000000"/>
      <w:szCs w:val="24"/>
      <w:lang w:eastAsia="de-DE" w:bidi="en-US"/>
    </w:rPr>
  </w:style>
  <w:style w:type="paragraph" w:customStyle="1" w:styleId="178">
    <w:name w:val="MDPI_2.1_heading1"/>
    <w:qFormat/>
    <w:uiPriority w:val="0"/>
    <w:pPr>
      <w:adjustRightInd w:val="0"/>
      <w:snapToGrid w:val="0"/>
      <w:spacing w:before="240" w:after="60" w:line="280" w:lineRule="atLeast"/>
      <w:ind w:left="2608"/>
      <w:outlineLvl w:val="0"/>
    </w:pPr>
    <w:rPr>
      <w:rFonts w:ascii="Palatino Linotype" w:hAnsi="Palatino Linotype" w:eastAsia="Times New Roman" w:cstheme="minorBidi"/>
      <w:b/>
      <w:snapToGrid w:val="0"/>
      <w:color w:val="000000"/>
      <w:sz w:val="24"/>
      <w:szCs w:val="22"/>
      <w:lang w:eastAsia="de-DE" w:bidi="en-US"/>
    </w:rPr>
  </w:style>
  <w:style w:type="paragraph" w:customStyle="1" w:styleId="179">
    <w:name w:val="MDPI_2.2_heading2"/>
    <w:qFormat/>
    <w:uiPriority w:val="0"/>
    <w:pPr>
      <w:adjustRightInd w:val="0"/>
      <w:snapToGrid w:val="0"/>
      <w:spacing w:before="60" w:after="60" w:line="280" w:lineRule="atLeast"/>
      <w:ind w:left="2608"/>
      <w:outlineLvl w:val="1"/>
    </w:pPr>
    <w:rPr>
      <w:rFonts w:ascii="Palatino Linotype" w:hAnsi="Palatino Linotype" w:eastAsia="Times New Roman" w:cstheme="minorBidi"/>
      <w:i/>
      <w:snapToGrid w:val="0"/>
      <w:color w:val="000000"/>
      <w:szCs w:val="22"/>
      <w:lang w:eastAsia="de-DE" w:bidi="en-US"/>
    </w:rPr>
  </w:style>
  <w:style w:type="paragraph" w:customStyle="1" w:styleId="180">
    <w:name w:val="MDPI_2.3_heading3"/>
    <w:qFormat/>
    <w:uiPriority w:val="0"/>
    <w:pPr>
      <w:adjustRightInd w:val="0"/>
      <w:snapToGrid w:val="0"/>
      <w:spacing w:before="60" w:after="60" w:line="280" w:lineRule="atLeast"/>
      <w:ind w:left="2608"/>
      <w:outlineLvl w:val="2"/>
    </w:pPr>
    <w:rPr>
      <w:rFonts w:ascii="Palatino Linotype" w:hAnsi="Palatino Linotype" w:eastAsia="Times New Roman" w:cstheme="minorBidi"/>
      <w:snapToGrid w:val="0"/>
      <w:color w:val="000000"/>
      <w:szCs w:val="22"/>
      <w:lang w:eastAsia="de-DE" w:bidi="en-US"/>
    </w:rPr>
  </w:style>
  <w:style w:type="paragraph" w:customStyle="1" w:styleId="181">
    <w:name w:val="MDPI_3.1_tex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2">
    <w:name w:val="MDPI_3.2_text_no_indent"/>
    <w:basedOn w:val="181"/>
    <w:qFormat/>
    <w:uiPriority w:val="0"/>
    <w:pPr>
      <w:ind w:firstLine="0"/>
    </w:pPr>
  </w:style>
  <w:style w:type="paragraph" w:customStyle="1" w:styleId="183">
    <w:name w:val="MDPI_3.3_text_space_after"/>
    <w:qFormat/>
    <w:uiPriority w:val="0"/>
    <w:pPr>
      <w:adjustRightInd w:val="0"/>
      <w:snapToGrid w:val="0"/>
      <w:spacing w:after="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4">
    <w:name w:val="MDPI_3.4_text_space_before"/>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5">
    <w:name w:val="MDPI_3.5_text_before_lis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6">
    <w:name w:val="MDPI_3.6_text_after_list"/>
    <w:qFormat/>
    <w:uiPriority w:val="0"/>
    <w:pPr>
      <w:adjustRightInd w:val="0"/>
      <w:snapToGrid w:val="0"/>
      <w:spacing w:before="12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7">
    <w:name w:val="MDPI_3.7_itemize"/>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8">
    <w:name w:val="MDPI_3.8_bullet"/>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9">
    <w:name w:val="MDPI_3.9_equation"/>
    <w:qFormat/>
    <w:uiPriority w:val="0"/>
    <w:pPr>
      <w:adjustRightInd w:val="0"/>
      <w:snapToGrid w:val="0"/>
      <w:spacing w:before="120" w:after="120" w:line="280" w:lineRule="atLeast"/>
      <w:ind w:left="709"/>
      <w:jc w:val="center"/>
    </w:pPr>
    <w:rPr>
      <w:rFonts w:ascii="Palatino Linotype" w:hAnsi="Palatino Linotype" w:eastAsia="Times New Roman" w:cstheme="minorBidi"/>
      <w:snapToGrid w:val="0"/>
      <w:color w:val="000000"/>
      <w:szCs w:val="22"/>
      <w:lang w:eastAsia="de-DE" w:bidi="en-US"/>
    </w:rPr>
  </w:style>
  <w:style w:type="paragraph" w:customStyle="1" w:styleId="190">
    <w:name w:val="MDPI_3.a_equation_number"/>
    <w:qFormat/>
    <w:uiPriority w:val="0"/>
    <w:pPr>
      <w:spacing w:before="120" w:after="120" w:line="280" w:lineRule="atLeast"/>
      <w:jc w:val="right"/>
    </w:pPr>
    <w:rPr>
      <w:rFonts w:ascii="Palatino Linotype" w:hAnsi="Palatino Linotype" w:eastAsia="Times New Roman" w:cstheme="minorBidi"/>
      <w:snapToGrid w:val="0"/>
      <w:color w:val="000000"/>
      <w:szCs w:val="22"/>
      <w:lang w:eastAsia="de-DE" w:bidi="en-US"/>
    </w:rPr>
  </w:style>
  <w:style w:type="paragraph" w:customStyle="1" w:styleId="191">
    <w:name w:val="MDPI_4.1.1_one_table_caption"/>
    <w:qFormat/>
    <w:uiPriority w:val="0"/>
    <w:pPr>
      <w:adjustRightInd w:val="0"/>
      <w:snapToGrid w:val="0"/>
      <w:spacing w:before="240" w:after="120" w:line="280" w:lineRule="atLeast"/>
      <w:jc w:val="center"/>
    </w:pPr>
    <w:rPr>
      <w:rFonts w:ascii="Palatino Linotype" w:hAnsi="Palatino Linotype" w:cs="Cordia New" w:eastAsiaTheme="minorEastAsia"/>
      <w:color w:val="000000"/>
      <w:sz w:val="18"/>
      <w:szCs w:val="22"/>
      <w:lang w:bidi="en-US"/>
    </w:rPr>
  </w:style>
  <w:style w:type="paragraph" w:customStyle="1" w:styleId="192">
    <w:name w:val="MDPI_4.1_table_caption"/>
    <w:qFormat/>
    <w:uiPriority w:val="0"/>
    <w:pPr>
      <w:adjustRightInd w:val="0"/>
      <w:snapToGrid w:val="0"/>
      <w:spacing w:before="240" w:after="120" w:line="280" w:lineRule="atLeast"/>
      <w:ind w:left="2608"/>
      <w:jc w:val="both"/>
    </w:pPr>
    <w:rPr>
      <w:rFonts w:ascii="Palatino Linotype" w:hAnsi="Palatino Linotype" w:eastAsia="Times New Roman" w:cs="Cordia New"/>
      <w:color w:val="000000"/>
      <w:sz w:val="18"/>
      <w:szCs w:val="22"/>
      <w:lang w:eastAsia="de-DE" w:bidi="en-US"/>
    </w:rPr>
  </w:style>
  <w:style w:type="table" w:customStyle="1" w:styleId="193">
    <w:name w:val="MDPI_4.1_three_line_table"/>
    <w:qFormat/>
    <w:uiPriority w:val="99"/>
    <w:pPr>
      <w:adjustRightInd w:val="0"/>
      <w:snapToGrid w:val="0"/>
      <w:spacing w:line="280" w:lineRule="atLeast"/>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cPr>
        <w:tcBorders>
          <w:bottom w:val="single" w:color="auto" w:sz="4" w:space="0"/>
        </w:tcBorders>
      </w:tcPr>
    </w:tblStylePr>
  </w:style>
  <w:style w:type="paragraph" w:customStyle="1" w:styleId="194">
    <w:name w:val="MDPI_4.2_table_body"/>
    <w:qFormat/>
    <w:uiPriority w:val="0"/>
    <w:pPr>
      <w:adjustRightInd w:val="0"/>
      <w:snapToGrid w:val="0"/>
      <w:spacing w:line="260" w:lineRule="atLeast"/>
      <w:jc w:val="center"/>
    </w:pPr>
    <w:rPr>
      <w:rFonts w:ascii="Palatino Linotype" w:hAnsi="Palatino Linotype" w:eastAsia="Times New Roman" w:cstheme="minorBidi"/>
      <w:snapToGrid w:val="0"/>
      <w:color w:val="000000"/>
      <w:lang w:eastAsia="de-DE" w:bidi="en-US"/>
    </w:rPr>
  </w:style>
  <w:style w:type="paragraph" w:customStyle="1" w:styleId="195">
    <w:name w:val="MDPI_4.3_table_footer"/>
    <w:next w:val="181"/>
    <w:qFormat/>
    <w:uiPriority w:val="0"/>
    <w:pPr>
      <w:adjustRightInd w:val="0"/>
      <w:snapToGrid w:val="0"/>
      <w:spacing w:line="280" w:lineRule="atLeast"/>
      <w:ind w:left="2608"/>
      <w:jc w:val="both"/>
    </w:pPr>
    <w:rPr>
      <w:rFonts w:ascii="Palatino Linotype" w:hAnsi="Palatino Linotype" w:eastAsia="Times New Roman" w:cs="Cordia New"/>
      <w:color w:val="000000"/>
      <w:sz w:val="18"/>
      <w:szCs w:val="22"/>
      <w:lang w:eastAsia="de-DE" w:bidi="en-US"/>
    </w:rPr>
  </w:style>
  <w:style w:type="paragraph" w:customStyle="1" w:styleId="196">
    <w:name w:val="MDPI_5.1.1_one_figure_caption"/>
    <w:qFormat/>
    <w:uiPriority w:val="0"/>
    <w:pPr>
      <w:adjustRightInd w:val="0"/>
      <w:snapToGrid w:val="0"/>
      <w:spacing w:before="240" w:after="120" w:line="280" w:lineRule="atLeast"/>
      <w:jc w:val="center"/>
    </w:pPr>
    <w:rPr>
      <w:rFonts w:ascii="Palatino Linotype" w:hAnsi="Palatino Linotype" w:eastAsiaTheme="minorEastAsia" w:cstheme="minorBidi"/>
      <w:color w:val="000000"/>
      <w:sz w:val="18"/>
      <w:lang w:bidi="en-US"/>
    </w:rPr>
  </w:style>
  <w:style w:type="paragraph" w:customStyle="1" w:styleId="197">
    <w:name w:val="MDPI_5.1_figure_caption"/>
    <w:qFormat/>
    <w:uiPriority w:val="0"/>
    <w:pPr>
      <w:adjustRightInd w:val="0"/>
      <w:snapToGrid w:val="0"/>
      <w:spacing w:before="120" w:after="240" w:line="280" w:lineRule="atLeast"/>
      <w:ind w:left="2608"/>
      <w:jc w:val="both"/>
    </w:pPr>
    <w:rPr>
      <w:rFonts w:ascii="Palatino Linotype" w:hAnsi="Palatino Linotype" w:eastAsia="Times New Roman" w:cstheme="minorBidi"/>
      <w:color w:val="000000"/>
      <w:sz w:val="18"/>
      <w:lang w:eastAsia="de-DE" w:bidi="en-US"/>
    </w:rPr>
  </w:style>
  <w:style w:type="paragraph" w:customStyle="1" w:styleId="198">
    <w:name w:val="MDPI_5.2_figure"/>
    <w:qFormat/>
    <w:uiPriority w:val="0"/>
    <w:pPr>
      <w:adjustRightInd w:val="0"/>
      <w:snapToGrid w:val="0"/>
      <w:spacing w:before="240" w:after="120"/>
      <w:jc w:val="center"/>
    </w:pPr>
    <w:rPr>
      <w:rFonts w:ascii="Palatino Linotype" w:hAnsi="Palatino Linotype" w:eastAsia="Times New Roman" w:cstheme="minorBidi"/>
      <w:snapToGrid w:val="0"/>
      <w:color w:val="000000"/>
      <w:lang w:eastAsia="de-DE" w:bidi="en-US"/>
    </w:rPr>
  </w:style>
  <w:style w:type="paragraph" w:customStyle="1" w:styleId="199">
    <w:name w:val="MDPI_6.1_citation"/>
    <w:qFormat/>
    <w:uiPriority w:val="0"/>
    <w:pPr>
      <w:adjustRightInd w:val="0"/>
      <w:snapToGrid w:val="0"/>
      <w:spacing w:before="120" w:after="120" w:line="240" w:lineRule="atLeast"/>
      <w:ind w:right="113"/>
    </w:pPr>
    <w:rPr>
      <w:rFonts w:ascii="Palatino Linotype" w:hAnsi="Palatino Linotype" w:cs="Cordia New" w:eastAsiaTheme="minorEastAsia"/>
      <w:sz w:val="14"/>
      <w:szCs w:val="22"/>
    </w:rPr>
  </w:style>
  <w:style w:type="paragraph" w:customStyle="1" w:styleId="200">
    <w:name w:val="MDPI_6.2_back_matter"/>
    <w:qFormat/>
    <w:uiPriority w:val="0"/>
    <w:pPr>
      <w:adjustRightInd w:val="0"/>
      <w:snapToGrid w:val="0"/>
      <w:spacing w:after="120" w:line="280" w:lineRule="atLeast"/>
      <w:ind w:left="2608"/>
      <w:jc w:val="both"/>
    </w:pPr>
    <w:rPr>
      <w:rFonts w:ascii="Palatino Linotype" w:hAnsi="Palatino Linotype" w:eastAsia="Times New Roman" w:cstheme="minorBidi"/>
      <w:snapToGrid w:val="0"/>
      <w:color w:val="000000"/>
      <w:sz w:val="18"/>
      <w:lang w:eastAsia="en-US" w:bidi="en-US"/>
    </w:rPr>
  </w:style>
  <w:style w:type="paragraph" w:customStyle="1" w:styleId="201">
    <w:name w:val="MDPI_6.3_notes"/>
    <w:qFormat/>
    <w:uiPriority w:val="0"/>
    <w:pPr>
      <w:adjustRightInd w:val="0"/>
      <w:snapToGrid w:val="0"/>
      <w:spacing w:before="240" w:line="280" w:lineRule="atLeast"/>
      <w:jc w:val="both"/>
    </w:pPr>
    <w:rPr>
      <w:rFonts w:ascii="Palatino Linotype" w:hAnsi="Palatino Linotype" w:eastAsiaTheme="minorEastAsia" w:cstheme="minorBidi"/>
      <w:snapToGrid w:val="0"/>
      <w:color w:val="000000"/>
      <w:sz w:val="18"/>
      <w:lang w:eastAsia="en-US" w:bidi="en-US"/>
    </w:rPr>
  </w:style>
  <w:style w:type="paragraph" w:customStyle="1" w:styleId="202">
    <w:name w:val="MDPI_7.1_footnotes"/>
    <w:qFormat/>
    <w:uiPriority w:val="0"/>
    <w:pPr>
      <w:adjustRightInd w:val="0"/>
      <w:snapToGrid w:val="0"/>
      <w:spacing w:line="280" w:lineRule="atLeast"/>
    </w:pPr>
    <w:rPr>
      <w:rFonts w:ascii="Palatino Linotype" w:hAnsi="Palatino Linotype" w:eastAsiaTheme="minorEastAsia" w:cstheme="minorBidi"/>
      <w:color w:val="000000"/>
      <w:sz w:val="18"/>
    </w:rPr>
  </w:style>
  <w:style w:type="paragraph" w:customStyle="1" w:styleId="203">
    <w:name w:val="MDPI_7.2_copyright"/>
    <w:qFormat/>
    <w:uiPriority w:val="0"/>
    <w:pPr>
      <w:adjustRightInd w:val="0"/>
      <w:snapToGrid w:val="0"/>
      <w:spacing w:before="120" w:line="240" w:lineRule="atLeast"/>
      <w:ind w:right="113"/>
    </w:pPr>
    <w:rPr>
      <w:rFonts w:ascii="Palatino Linotype" w:hAnsi="Palatino Linotype" w:eastAsia="Times New Roman" w:cstheme="minorBidi"/>
      <w:snapToGrid w:val="0"/>
      <w:color w:val="000000"/>
      <w:sz w:val="14"/>
      <w:lang w:val="en-GB" w:eastAsia="en-GB"/>
    </w:rPr>
  </w:style>
  <w:style w:type="paragraph" w:customStyle="1" w:styleId="204">
    <w:name w:val="MDPI_8.1_references"/>
    <w:qFormat/>
    <w:uiPriority w:val="0"/>
    <w:pPr>
      <w:adjustRightInd w:val="0"/>
      <w:snapToGrid w:val="0"/>
      <w:spacing w:line="280" w:lineRule="atLeast"/>
      <w:jc w:val="both"/>
    </w:pPr>
    <w:rPr>
      <w:rFonts w:ascii="Palatino Linotype" w:hAnsi="Palatino Linotype" w:eastAsia="Times New Roman" w:cstheme="minorBidi"/>
      <w:color w:val="000000"/>
      <w:sz w:val="18"/>
      <w:lang w:eastAsia="de-DE" w:bidi="en-US"/>
    </w:rPr>
  </w:style>
  <w:style w:type="paragraph" w:customStyle="1" w:styleId="205">
    <w:name w:val="MDPI_8.2_theorem"/>
    <w:qFormat/>
    <w:uiPriority w:val="0"/>
    <w:pPr>
      <w:adjustRightInd w:val="0"/>
      <w:snapToGrid w:val="0"/>
      <w:spacing w:line="280" w:lineRule="atLeast"/>
      <w:ind w:left="2608"/>
      <w:jc w:val="both"/>
    </w:pPr>
    <w:rPr>
      <w:rFonts w:ascii="Palatino Linotype" w:hAnsi="Palatino Linotype" w:eastAsia="Times New Roman" w:cstheme="minorBidi"/>
      <w:i/>
      <w:snapToGrid w:val="0"/>
      <w:color w:val="000000"/>
      <w:szCs w:val="22"/>
      <w:lang w:eastAsia="de-DE" w:bidi="en-US"/>
    </w:rPr>
  </w:style>
  <w:style w:type="paragraph" w:customStyle="1" w:styleId="206">
    <w:name w:val="MDPI_8.3_proof"/>
    <w:qFormat/>
    <w:uiPriority w:val="0"/>
    <w:pPr>
      <w:adjustRightInd w:val="0"/>
      <w:snapToGrid w:val="0"/>
      <w:spacing w:line="280" w:lineRule="atLeast"/>
      <w:ind w:left="2608"/>
      <w:jc w:val="both"/>
    </w:pPr>
    <w:rPr>
      <w:rFonts w:ascii="Palatino Linotype" w:hAnsi="Palatino Linotype" w:eastAsia="Times New Roman" w:cstheme="minorBidi"/>
      <w:snapToGrid w:val="0"/>
      <w:color w:val="000000"/>
      <w:szCs w:val="22"/>
      <w:lang w:eastAsia="de-DE" w:bidi="en-US"/>
    </w:rPr>
  </w:style>
  <w:style w:type="table" w:customStyle="1" w:styleId="207">
    <w:name w:val="MDPI_table"/>
    <w:qFormat/>
    <w:uiPriority w:val="99"/>
    <w:rPr>
      <w:rFonts w:ascii="Palatino Linotype" w:hAnsi="Palatino Linotype"/>
      <w:color w:val="000000"/>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4.png"/><Relationship Id="rId12" Type="http://schemas.openxmlformats.org/officeDocument/2006/relationships/image" Target="media/image3.e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 Id="rId20" Type="http://schemas.openxmlformats.org/officeDocument/2006/relationships/image" Target="media/fig1_structure.png"/><Relationship Id="rId21" Type="http://schemas.openxmlformats.org/officeDocument/2006/relationships/image" Target="media/fig2_mechanism.png"/><Relationship Id="rId22" Type="http://schemas.openxmlformats.org/officeDocument/2006/relationships/image" Target="media/fig3_ai_path.png"/><Relationship Id="rId23" Type="http://schemas.openxmlformats.org/officeDocument/2006/relationships/image" Target="media/fig4_channels.png"/><Relationship Id="rId24" Type="http://schemas.openxmlformats.org/officeDocument/2006/relationships/image" Target="media/fig5_exposure.png"/><Relationship Id="rId25" Type="http://schemas.openxmlformats.org/officeDocument/2006/relationships/image" Target="media/fig6_policy.png"/><Relationship Id="rId26" Type="http://schemas.openxmlformats.org/officeDocument/2006/relationships/image" Target="media/fig7_uncertainty.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3227</Words>
  <Characters>20618</Characters>
  <Lines>0</Lines>
  <Paragraphs>0</Paragraphs>
  <TotalTime>0</TotalTime>
  <ScaleCrop>false</ScaleCrop>
  <LinksUpToDate>false</LinksUpToDate>
  <CharactersWithSpaces>23746</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蔡鑫宇</cp:lastModifiedBy>
  <dcterms:modified xsi:type="dcterms:W3CDTF">2026-07-07T10:43:54Z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eyJoZGlkIjoiYjkyZmNhZmMwYTRkMzdjNDc0ZDBiODA4ZTNmNjg2YzYiLCJ1c2VySWQiOiI0NTI1MjUxOTgifQ==</vt:lpwstr>
  </property>
  <property fmtid="{D5CDD505-2E9C-101B-9397-08002B2CF9AE}" pid="3" name="KSOProductBuildVer">
    <vt:lpwstr>2052-12.1.0.24031</vt:lpwstr>
  </property>
  <property fmtid="{D5CDD505-2E9C-101B-9397-08002B2CF9AE}" pid="4" name="ICV">
    <vt:lpwstr>FB325D914A584293B29E73A3B8E736C7_13</vt:lpwstr>
  </property>
</Properties>
</file>