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控烟优先前提下公共空间吸烟外部性的协同治理研究</w:t>
      </w:r>
    </w:p>
    <w:p>
      <w:pPr>
        <w:spacing w:before="0" w:after="0" w:line="360" w:lineRule="auto"/>
        <w:jc w:val="center"/>
      </w:pPr>
      <w:r>
        <w:rPr>
          <w:rFonts w:ascii="Times New Roman" w:hAnsi="Times New Roman" w:eastAsia="宋体"/>
          <w:b w:val="0"/>
          <w:sz w:val="21"/>
        </w:rPr>
        <w:t>（作者姓名、单位与联系方式请于投稿前补充）</w:t>
      </w:r>
    </w:p>
    <w:p>
      <w:pPr>
        <w:spacing w:before="0" w:after="160" w:line="360" w:lineRule="auto"/>
        <w:jc w:val="center"/>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公共空间吸烟行为的负外部性治理是控烟工作向精细化延伸的组成部分，但相关研究存在一个必须优先处理的前置问题：由烟草商业企业主导推动此类建设，与《世界卫生组织烟草控制框架公约》第 5.3 条、第 13 条存在潜在冲突，构成正当性风险。本文首先重构立论，把研究定位调整为“控烟优先前提下公共空间吸烟外部性的协同治理”，并明确政府与场所方主导、无品牌元素、回避未成年人聚集场所、以暴露与落地量为核心评价指标四条边界原则。在此基础上，本文引入外部性理论、多中心治理与助推理论作为分析框架，并针对既有研究只做定性描述的三个环节提供量化方法。选址方面，最大覆盖选址模型的求解显示覆盖率存在明显边际递减，4 个吸烟点覆盖 87.8% 的需求、第 5 个点起边际增量降至 7.7 个百分点以下；更值得注意的是，看似合理的均匀等间距布点与敏感点最小距离仅 15.8 米，低于 25 米的回避约束，而优化布点为 28.3 米。效果测算方面，改进助推设计带来的烟蒂削减增量（12.9 个百分点）高于再增设两个点位的增量（7.6 个百分点），且成本远低于后者。评估方面，功效分析显示要检出 20% 的削减效应需满足“干预点数×每点观测次数≥159”，而常见方案远低于这一门槛，这正是此类建设普遍“做了但说不清效果”的统计学根源。</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控烟；公共外部性；协同治理；助推；设施选址</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Governing the negative externalities of smoking in public space extends tobacco control toward finer-grained management, yet a prior issue must be settled: tobacco commercial enterprises leading such construction potentially conflicts with Articles 5.3 and 13 of the WHO Framework Convention on Tobacco Control. This paper first reframes the study as "collaborative governance of smoking externalities in public space under tobacco-control priority" and specifies four boundary principles. It then introduces externality theory, polycentric governance and nudge theory, and supplies quantitative methods for three links previously treated only qualitatively. A maximal covering location model shows diminishing marginal returns - four smoking points cover 87.8% of demand while the fifth adds under 7.7 percentage points - and reveals that uniform equidistant siting yields a minimum distance of only 15.8 m to sensitive receptors, violating a 25 m avoidance constraint, whereas optimized siting achieves 28.3 m. Improving nudge design yields a larger litter reduction (12.9 points) than adding two more points (7.6 points) at far lower cost. A power analysis shows that detecting a 20% reduction requires sites times observations of at least 159.</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Tobacco control; Public externality; Collaborative governance; Nudge; Facility location</w:t>
      </w:r>
    </w:p>
    <w:p>
      <w:r>
        <w:br w:type="page"/>
      </w:r>
    </w:p>
    <w:p>
      <w:pPr>
        <w:keepNext/>
        <w:spacing w:before="240" w:after="120" w:line="360" w:lineRule="auto"/>
        <w:jc w:val="left"/>
      </w:pPr>
      <w:r>
        <w:rPr>
          <w:rFonts w:ascii="Times New Roman" w:hAnsi="Times New Roman" w:eastAsia="黑体"/>
          <w:b/>
          <w:sz w:val="30"/>
        </w:rPr>
        <w:t>1  问题的重新界定</w:t>
      </w:r>
    </w:p>
    <w:p>
      <w:pPr>
        <w:keepNext/>
        <w:spacing w:before="160" w:after="80" w:line="360" w:lineRule="auto"/>
        <w:jc w:val="left"/>
      </w:pPr>
      <w:r>
        <w:rPr>
          <w:rFonts w:ascii="Times New Roman" w:hAnsi="Times New Roman" w:eastAsia="黑体"/>
          <w:b w:val="0"/>
          <w:sz w:val="28"/>
        </w:rPr>
        <w:t>1.1  吸烟行为的公共外部性</w:t>
      </w:r>
    </w:p>
    <w:p>
      <w:pPr>
        <w:spacing w:before="0" w:after="0" w:line="360" w:lineRule="auto"/>
        <w:ind w:firstLine="480"/>
        <w:jc w:val="both"/>
      </w:pPr>
      <w:r>
        <w:rPr>
          <w:rFonts w:ascii="Times New Roman" w:hAnsi="Times New Roman" w:eastAsia="宋体"/>
          <w:b w:val="0"/>
          <w:sz w:val="24"/>
        </w:rPr>
        <w:t>吸烟行为的影响溢出于行为主体自身，这一外部性特征决定了它必然进入公共治理议程。吸烟作为合法消费行为属个人自主选择范畴，但公共空间具有开放性与共享性，在人员密集场所，烟草烟雾与烟蒂不仅影响公共环境卫生与空间秩序，也降低非吸烟人群的公共环境体验，并增加公共场所保洁与管理成本[1]。从治理属性看，吸烟行为管理涉及公共卫生、城市管理、公共场所运营等多个领域，具有跨部门、跨主体的特点，仅依靠单一部门的行政监管难以满足治理需求[3]。</w:t>
      </w:r>
    </w:p>
    <w:p>
      <w:pPr>
        <w:spacing w:before="0" w:after="0" w:line="360" w:lineRule="auto"/>
        <w:ind w:firstLine="480"/>
        <w:jc w:val="both"/>
      </w:pPr>
      <w:r>
        <w:rPr>
          <w:rFonts w:ascii="Times New Roman" w:hAnsi="Times New Roman" w:eastAsia="宋体"/>
          <w:b w:val="0"/>
          <w:sz w:val="24"/>
        </w:rPr>
        <w:t>控烟政策的持续深化为这一议题设定了明确的方向前提。《健康中国行动（2019—2030 年）》把控烟行动列为专项行动，明确提出到 2030 年 15 岁以上人群吸烟率降至 20% 的目标[16]。这意味着任何涉及吸烟场所的治理措施，都必须置于控烟优先的政策框架之下，其正当性不能建立在“满足吸烟需求”之上，而只能建立在“降低对他人的影响”之上。</w:t>
      </w:r>
    </w:p>
    <w:p>
      <w:pPr>
        <w:keepNext/>
        <w:spacing w:before="160" w:after="80" w:line="360" w:lineRule="auto"/>
        <w:jc w:val="left"/>
      </w:pPr>
      <w:r>
        <w:rPr>
          <w:rFonts w:ascii="Times New Roman" w:hAnsi="Times New Roman" w:eastAsia="黑体"/>
          <w:b w:val="0"/>
          <w:sz w:val="28"/>
        </w:rPr>
        <w:t>1.2  立论边界：控烟优先</w:t>
      </w:r>
    </w:p>
    <w:p>
      <w:pPr>
        <w:spacing w:before="0" w:after="0" w:line="360" w:lineRule="auto"/>
        <w:ind w:firstLine="480"/>
        <w:jc w:val="both"/>
      </w:pPr>
      <w:r>
        <w:rPr>
          <w:rFonts w:ascii="Times New Roman" w:hAnsi="Times New Roman" w:eastAsia="宋体"/>
          <w:b w:val="0"/>
          <w:sz w:val="24"/>
        </w:rPr>
        <w:t>本文认为此类研究必须首先处理参与主体的正当性边界，否则学术结论与实践方案都难以成立。《世界卫生组织烟草控制框架公约》第 5.3 条要求缔约方在制定和实施公共卫生政策时防止烟草业的商业利益干预，第 13 条要求全面禁止烟草广告、促销和赞助[9]。若把研究框架设定为烟草商业企业主动推动“文明吸烟环境建设”，并把“合理满足规范吸烟需求”作为治理关键，则容易被解读为以公共治理之名行营销之实，既削弱研究的学术正当性，也给参与单位带来实际的舆情风险。</w:t>
      </w:r>
    </w:p>
    <w:p>
      <w:pPr>
        <w:spacing w:before="0" w:after="0" w:line="360" w:lineRule="auto"/>
        <w:ind w:firstLine="480"/>
        <w:jc w:val="both"/>
      </w:pPr>
      <w:r>
        <w:rPr>
          <w:rFonts w:ascii="Times New Roman" w:hAnsi="Times New Roman" w:eastAsia="宋体"/>
          <w:b w:val="0"/>
          <w:sz w:val="24"/>
        </w:rPr>
        <w:t>因此本文把研究定位重构为控烟优先前提下的公共空间吸烟外部性治理，并明确四条边界原则，如图 1 所示。第一，由政府部门与公共场所管理单位主导，烟草商业企业仅承担有限的支持性角色；第二，相关设施不得出现任何品牌标识、广告或冠名元素；第三，不得设于中小学、幼儿园、儿童活动区、母婴候车区等未成年人聚集场所周边；第四，成效评价以非吸烟者暴露下降与烟蒂落地量下降为核心指标，不得以吸烟便利度或吸烟者满意度作为绩效指标。边界清晰不是限制研究价值，恰恰相反——只有边界清晰，这一议题才能成为公共卫生界、城市管理部门与社会公众共同接受的议题，相关实践才具备可持续性。</w:t>
      </w:r>
    </w:p>
    <w:p>
      <w:pPr>
        <w:keepNext/>
        <w:spacing w:before="120" w:after="0" w:line="240" w:lineRule="auto"/>
        <w:jc w:val="center"/>
      </w:pPr>
      <w:r>
        <w:drawing>
          <wp:inline xmlns:a="http://schemas.openxmlformats.org/drawingml/2006/main" xmlns:pic="http://schemas.openxmlformats.org/drawingml/2006/picture">
            <wp:extent cx="5220000" cy="2864371"/>
            <wp:docPr id="1" name="Picture 1"/>
            <wp:cNvGraphicFramePr>
              <a:graphicFrameLocks noChangeAspect="1"/>
            </wp:cNvGraphicFramePr>
            <a:graphic>
              <a:graphicData uri="http://schemas.openxmlformats.org/drawingml/2006/picture">
                <pic:pic>
                  <pic:nvPicPr>
                    <pic:cNvPr id="0" name="p4_c2_boundary.png"/>
                    <pic:cNvPicPr/>
                  </pic:nvPicPr>
                  <pic:blipFill>
                    <a:blip r:embed="rId9"/>
                    <a:stretch>
                      <a:fillRect/>
                    </a:stretch>
                  </pic:blipFill>
                  <pic:spPr>
                    <a:xfrm>
                      <a:off x="0" y="0"/>
                      <a:ext cx="5220000" cy="2864371"/>
                    </a:xfrm>
                    <a:prstGeom prst="rect"/>
                  </pic:spPr>
                </pic:pic>
              </a:graphicData>
            </a:graphic>
          </wp:inline>
        </w:drawing>
      </w:r>
    </w:p>
    <w:p>
      <w:pPr>
        <w:spacing w:before="40" w:after="160" w:line="240" w:lineRule="auto"/>
        <w:jc w:val="center"/>
      </w:pPr>
      <w:r>
        <w:rPr>
          <w:rFonts w:ascii="Times New Roman" w:hAnsi="Times New Roman" w:eastAsia="黑体"/>
          <w:b w:val="0"/>
          <w:sz w:val="21"/>
        </w:rPr>
        <w:t>图 1  控烟优先前提下的参与主体角色边界</w:t>
      </w:r>
    </w:p>
    <w:p>
      <w:pPr>
        <w:keepNext/>
        <w:spacing w:before="160" w:after="80" w:line="360" w:lineRule="auto"/>
        <w:jc w:val="left"/>
      </w:pPr>
      <w:r>
        <w:rPr>
          <w:rFonts w:ascii="Times New Roman" w:hAnsi="Times New Roman" w:eastAsia="黑体"/>
          <w:b w:val="0"/>
          <w:sz w:val="28"/>
        </w:rPr>
        <w:t>1.3  研究思路与说明</w:t>
      </w:r>
    </w:p>
    <w:p>
      <w:pPr>
        <w:spacing w:before="0" w:after="0" w:line="360" w:lineRule="auto"/>
        <w:ind w:firstLine="480"/>
        <w:jc w:val="both"/>
      </w:pPr>
      <w:r>
        <w:rPr>
          <w:rFonts w:ascii="Times New Roman" w:hAnsi="Times New Roman" w:eastAsia="宋体"/>
          <w:b w:val="0"/>
          <w:sz w:val="24"/>
        </w:rPr>
        <w:t>在立论重构的基础上，本文针对既有研究的三个方法缺口提供量化工具。这三个缺口分别是：吸烟点选址只做定性描述而未使用选址模型；设施建设与行为引导的效果未做区分与测算；建设成效缺乏评估设计。本文分别以最大覆盖选址模型、行为响应模型与准实验功效分析予以回应。</w:t>
      </w:r>
      <w:r>
        <w:rPr>
          <w:rFonts w:ascii="Times New Roman" w:hAnsi="Times New Roman" w:eastAsia="宋体"/>
          <w:b/>
          <w:sz w:val="24"/>
        </w:rPr>
        <w:t>需要说明：第 4、6 章的数值结果为情景分析，由可复现代码实际运行产生，参数取值依据在正文中逐条说明，其作用是揭示方法可行性与量级关系，不代表对某一真实场所的实测观测值。</w:t>
      </w:r>
    </w:p>
    <w:p>
      <w:pPr>
        <w:keepNext/>
        <w:spacing w:before="240" w:after="120" w:line="360" w:lineRule="auto"/>
        <w:jc w:val="left"/>
      </w:pPr>
      <w:r>
        <w:rPr>
          <w:rFonts w:ascii="Times New Roman" w:hAnsi="Times New Roman" w:eastAsia="黑体"/>
          <w:b/>
          <w:sz w:val="30"/>
        </w:rPr>
        <w:t>2  理论基础与分析框架</w:t>
      </w:r>
    </w:p>
    <w:p>
      <w:pPr>
        <w:keepNext/>
        <w:spacing w:before="160" w:after="80" w:line="360" w:lineRule="auto"/>
        <w:jc w:val="left"/>
      </w:pPr>
      <w:r>
        <w:rPr>
          <w:rFonts w:ascii="Times New Roman" w:hAnsi="Times New Roman" w:eastAsia="黑体"/>
          <w:b w:val="0"/>
          <w:sz w:val="28"/>
        </w:rPr>
        <w:t>2.1  外部性视角下的治理路径</w:t>
      </w:r>
    </w:p>
    <w:p>
      <w:pPr>
        <w:spacing w:before="0" w:after="0" w:line="360" w:lineRule="auto"/>
        <w:ind w:firstLine="480"/>
        <w:jc w:val="both"/>
      </w:pPr>
      <w:r>
        <w:rPr>
          <w:rFonts w:ascii="Times New Roman" w:hAnsi="Times New Roman" w:eastAsia="宋体"/>
          <w:b w:val="0"/>
          <w:sz w:val="24"/>
        </w:rPr>
        <w:t>把问题界定为负外部性的内部化，可以清晰识别出治理的着力点落在“边”而非“结点”上，如图 2 所示。无序吸烟行为产生二手烟暴露与烟蒂散落等负外部性，进而造成公共环境品质损失；设施供给与科学选址、助推式环境设计两条路径均作用于“行为—外部性”这条边而非结点本身——它们不改变吸烟行为是否发生，而改变吸烟行为产生外部性的方式与程度[13]。此外，社会规范存在反馈效应：他人守规行为的可见性会提高个体的守规概率，这一回路使治理效果具有自我强化的可能。</w:t>
      </w:r>
    </w:p>
    <w:p>
      <w:pPr>
        <w:keepNext/>
        <w:spacing w:before="120" w:after="0" w:line="240" w:lineRule="auto"/>
        <w:jc w:val="center"/>
      </w:pPr>
      <w:r>
        <w:drawing>
          <wp:inline xmlns:a="http://schemas.openxmlformats.org/drawingml/2006/main" xmlns:pic="http://schemas.openxmlformats.org/drawingml/2006/picture">
            <wp:extent cx="5400000" cy="2963142"/>
            <wp:docPr id="2" name="Picture 2"/>
            <wp:cNvGraphicFramePr>
              <a:graphicFrameLocks noChangeAspect="1"/>
            </wp:cNvGraphicFramePr>
            <a:graphic>
              <a:graphicData uri="http://schemas.openxmlformats.org/drawingml/2006/picture">
                <pic:pic>
                  <pic:nvPicPr>
                    <pic:cNvPr id="0" name="p4_c1_externality.png"/>
                    <pic:cNvPicPr/>
                  </pic:nvPicPr>
                  <pic:blipFill>
                    <a:blip r:embed="rId10"/>
                    <a:stretch>
                      <a:fillRect/>
                    </a:stretch>
                  </pic:blipFill>
                  <pic:spPr>
                    <a:xfrm>
                      <a:off x="0" y="0"/>
                      <a:ext cx="5400000" cy="2963142"/>
                    </a:xfrm>
                    <a:prstGeom prst="rect"/>
                  </pic:spPr>
                </pic:pic>
              </a:graphicData>
            </a:graphic>
          </wp:inline>
        </w:drawing>
      </w:r>
    </w:p>
    <w:p>
      <w:pPr>
        <w:spacing w:before="40" w:after="160" w:line="240" w:lineRule="auto"/>
        <w:jc w:val="center"/>
      </w:pPr>
      <w:r>
        <w:rPr>
          <w:rFonts w:ascii="Times New Roman" w:hAnsi="Times New Roman" w:eastAsia="黑体"/>
          <w:b w:val="0"/>
          <w:sz w:val="21"/>
        </w:rPr>
        <w:t>图 2  吸烟外部性的形成机制与治理路径</w:t>
      </w:r>
    </w:p>
    <w:p>
      <w:pPr>
        <w:spacing w:before="0" w:after="0" w:line="360" w:lineRule="auto"/>
        <w:ind w:firstLine="480"/>
        <w:jc w:val="both"/>
      </w:pPr>
      <w:r>
        <w:rPr>
          <w:rFonts w:ascii="Times New Roman" w:hAnsi="Times New Roman" w:eastAsia="宋体"/>
          <w:b w:val="0"/>
          <w:sz w:val="24"/>
        </w:rPr>
        <w:t>这一框架带来一个对政策组合有直接意义的推论：禁止性措施与外部性削减措施是互补而非替代关系。单纯的禁止性措施只作用于结点（减少吸烟行为发生），在既有吸烟人群规模下其边际效果有限且执行成本高；作用于边的措施（改变外部性的产生方式）成本更低、见效更快，且与控烟目标并不冲突。换言之，在控烟率目标尚需长期努力的过渡期内，降低存量吸烟行为的外部性是一项独立成立的公共治理任务。</w:t>
      </w:r>
    </w:p>
    <w:p>
      <w:pPr>
        <w:keepNext/>
        <w:spacing w:before="160" w:after="80" w:line="360" w:lineRule="auto"/>
        <w:jc w:val="left"/>
      </w:pPr>
      <w:r>
        <w:rPr>
          <w:rFonts w:ascii="Times New Roman" w:hAnsi="Times New Roman" w:eastAsia="黑体"/>
          <w:b w:val="0"/>
          <w:sz w:val="28"/>
        </w:rPr>
        <w:t>2.2  多中心治理：协同的机制而非主体的叠加</w:t>
      </w:r>
    </w:p>
    <w:p>
      <w:pPr>
        <w:spacing w:before="0" w:after="0" w:line="360" w:lineRule="auto"/>
        <w:ind w:firstLine="480"/>
        <w:jc w:val="both"/>
      </w:pPr>
      <w:r>
        <w:rPr>
          <w:rFonts w:ascii="Times New Roman" w:hAnsi="Times New Roman" w:eastAsia="宋体"/>
          <w:b w:val="0"/>
          <w:sz w:val="24"/>
        </w:rPr>
        <w:t>既有研究的“协同治理”多停留在主体罗列，而协同的本质是规则设计，其结构如图 3 所示。多主体参与并不自动产生协同——政府、场所、企业、公众各做什么是清楚的，但谁来召集、成本怎么分担、信息怎么共享、不协同怎么办这四个问题往往无人回答。按多中心治理理论，需要明确议事平台、成本分担、信息共享与考核联动四类规则[10]。本文的协同结构以协同议事平台为枢纽：政府部门承担规划引领、标准制定与监督管理，公共场所管理单位承担日常管理、设施维护与秩序引导，烟草商业企业在第 1.2 节的边界内提供有限支持，社会组织与公众承担志愿服务、社会监督与自律共建。</w:t>
      </w:r>
    </w:p>
    <w:p>
      <w:pPr>
        <w:keepNext/>
        <w:spacing w:before="120" w:after="0" w:line="240" w:lineRule="auto"/>
        <w:jc w:val="center"/>
      </w:pPr>
      <w:r>
        <w:drawing>
          <wp:inline xmlns:a="http://schemas.openxmlformats.org/drawingml/2006/main" xmlns:pic="http://schemas.openxmlformats.org/drawingml/2006/picture">
            <wp:extent cx="3960000" cy="3960000"/>
            <wp:docPr id="3" name="Picture 3"/>
            <wp:cNvGraphicFramePr>
              <a:graphicFrameLocks noChangeAspect="1"/>
            </wp:cNvGraphicFramePr>
            <a:graphic>
              <a:graphicData uri="http://schemas.openxmlformats.org/drawingml/2006/picture">
                <pic:pic>
                  <pic:nvPicPr>
                    <pic:cNvPr id="0" name="p4_c3_polycentric.png"/>
                    <pic:cNvPicPr/>
                  </pic:nvPicPr>
                  <pic:blipFill>
                    <a:blip r:embed="rId11"/>
                    <a:stretch>
                      <a:fillRect/>
                    </a:stretch>
                  </pic:blipFill>
                  <pic:spPr>
                    <a:xfrm>
                      <a:off x="0" y="0"/>
                      <a:ext cx="3960000" cy="3960000"/>
                    </a:xfrm>
                    <a:prstGeom prst="rect"/>
                  </pic:spPr>
                </pic:pic>
              </a:graphicData>
            </a:graphic>
          </wp:inline>
        </w:drawing>
      </w:r>
    </w:p>
    <w:p>
      <w:pPr>
        <w:spacing w:before="40" w:after="160" w:line="240" w:lineRule="auto"/>
        <w:jc w:val="center"/>
      </w:pPr>
      <w:r>
        <w:rPr>
          <w:rFonts w:ascii="Times New Roman" w:hAnsi="Times New Roman" w:eastAsia="黑体"/>
          <w:b w:val="0"/>
          <w:sz w:val="21"/>
        </w:rPr>
        <w:t>图 3  多中心协同治理结构</w:t>
      </w:r>
    </w:p>
    <w:p>
      <w:pPr>
        <w:keepNext/>
        <w:spacing w:before="160" w:after="80" w:line="360" w:lineRule="auto"/>
        <w:jc w:val="left"/>
      </w:pPr>
      <w:r>
        <w:rPr>
          <w:rFonts w:ascii="Times New Roman" w:hAnsi="Times New Roman" w:eastAsia="黑体"/>
          <w:b w:val="0"/>
          <w:sz w:val="28"/>
        </w:rPr>
        <w:t>2.3  助推理论与环境设计</w:t>
      </w:r>
    </w:p>
    <w:p>
      <w:pPr>
        <w:spacing w:before="0" w:after="0" w:line="360" w:lineRule="auto"/>
        <w:ind w:firstLine="480"/>
        <w:jc w:val="both"/>
      </w:pPr>
      <w:r>
        <w:rPr>
          <w:rFonts w:ascii="Times New Roman" w:hAnsi="Times New Roman" w:eastAsia="宋体"/>
          <w:b w:val="0"/>
          <w:sz w:val="24"/>
        </w:rPr>
        <w:t>助推理论把“加强宣传引导”这一无法验收的要求转换为可现场丈量的设计参数，如图 4 所示。其核心洞见是：改变行为最有效的方式是降低期望行为的实施成本，而非提高非期望行为的道德压力[11]。应用到吸烟点设计上可得到五项要素：高识别度标识（视距 15 米内可辨）、烟蒂收集装置（距站立位不超过两步）、下风向布置（与人流通道错开）、与出入口及等候区间隔不小于 8 米、顶部半开敞以保证自然通风。其中“收集装置两步可及”是最关键的助推设计——行为研究一致表明，容器与使用者的距离每增加一步，规范投放率显著下降。这组参数的价值在于它可以逐项现场核验，从而使“宣传引导”从口号变为验收标准。</w:t>
      </w:r>
    </w:p>
    <w:p>
      <w:pPr>
        <w:keepNext/>
        <w:spacing w:before="120" w:after="0" w:line="240" w:lineRule="auto"/>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p4_c4_nudge.png"/>
                    <pic:cNvPicPr/>
                  </pic:nvPicPr>
                  <pic:blipFill>
                    <a:blip r:embed="rId12"/>
                    <a:stretch>
                      <a:fillRect/>
                    </a:stretch>
                  </pic:blipFill>
                  <pic:spPr>
                    <a:xfrm>
                      <a:off x="0" y="0"/>
                      <a:ext cx="5400000" cy="3600000"/>
                    </a:xfrm>
                    <a:prstGeom prst="rect"/>
                  </pic:spPr>
                </pic:pic>
              </a:graphicData>
            </a:graphic>
          </wp:inline>
        </w:drawing>
      </w:r>
    </w:p>
    <w:p>
      <w:pPr>
        <w:spacing w:before="40" w:after="160" w:line="240" w:lineRule="auto"/>
        <w:jc w:val="center"/>
      </w:pPr>
      <w:r>
        <w:rPr>
          <w:rFonts w:ascii="Times New Roman" w:hAnsi="Times New Roman" w:eastAsia="黑体"/>
          <w:b w:val="0"/>
          <w:sz w:val="21"/>
        </w:rPr>
        <w:t>图 4  助推式吸烟点的设计要素</w:t>
      </w:r>
    </w:p>
    <w:p>
      <w:pPr>
        <w:keepNext/>
        <w:spacing w:before="240" w:after="120" w:line="360" w:lineRule="auto"/>
        <w:jc w:val="left"/>
      </w:pPr>
      <w:r>
        <w:rPr>
          <w:rFonts w:ascii="Times New Roman" w:hAnsi="Times New Roman" w:eastAsia="黑体"/>
          <w:b/>
          <w:sz w:val="30"/>
        </w:rPr>
        <w:t>3  当前实践中的主要问题</w:t>
      </w:r>
    </w:p>
    <w:p>
      <w:pPr>
        <w:spacing w:before="0" w:after="0" w:line="360" w:lineRule="auto"/>
        <w:ind w:firstLine="480"/>
        <w:jc w:val="both"/>
      </w:pPr>
      <w:r>
        <w:rPr>
          <w:rFonts w:ascii="Times New Roman" w:hAnsi="Times New Roman" w:eastAsia="宋体"/>
          <w:b w:val="0"/>
          <w:sz w:val="24"/>
        </w:rPr>
        <w:t>第一类问题是选址缺乏方法、设施保障不足，这直接限制了治理效果的上限。部分公共场所虽已明确禁烟要求，但吸烟区域建设相对滞后；选址多凭经验判断，未充分考虑人流分布、空间环境与通风条件，有的吸烟点距离主要活动区域过近容易影响非吸烟人群，有的位置隐蔽、标识不醒目难以发挥引导作用[2]；配套设施方面，烟蒂收集装置、引导标识与消防安全设施配置不完善，维护管理不到位[8]。</w:t>
      </w:r>
    </w:p>
    <w:p>
      <w:pPr>
        <w:spacing w:before="0" w:after="0" w:line="360" w:lineRule="auto"/>
        <w:ind w:firstLine="480"/>
        <w:jc w:val="both"/>
      </w:pPr>
      <w:r>
        <w:rPr>
          <w:rFonts w:ascii="Times New Roman" w:hAnsi="Times New Roman" w:eastAsia="宋体"/>
          <w:b w:val="0"/>
          <w:sz w:val="24"/>
        </w:rPr>
        <w:t>第二类问题是文明行为养成滞后于设施建设，但其原因不全在于意识。部分吸烟者对吸烟行为的公共外部性认识不足，在人员密集区域、非指定区域吸烟的现象仍时有发生，随意丢弃烟蒂等行为尚未根本改变[5]。然而按第 2.3 节的助推视角，当收集装置距离站立位超过数步、或标识不可见时，不规范投放是行为成本约束下的理性选择；把行为问题全部归因于意识，会使治理措施错误地集中于宣传而忽视环境设计。</w:t>
      </w:r>
    </w:p>
    <w:p>
      <w:pPr>
        <w:spacing w:before="0" w:after="0" w:line="360" w:lineRule="auto"/>
        <w:ind w:firstLine="480"/>
        <w:jc w:val="both"/>
      </w:pPr>
      <w:r>
        <w:rPr>
          <w:rFonts w:ascii="Times New Roman" w:hAnsi="Times New Roman" w:eastAsia="宋体"/>
          <w:b w:val="0"/>
          <w:sz w:val="24"/>
        </w:rPr>
        <w:t>第三类问题是制度保障与协同机制不健全，其中成本分担规则的缺失最为关键。吸烟区域规划、设施配置、行为规范、日常管理等环节的标准与管理要求尚不够系统统一，不同地区、不同场所的建设标准与管理水平存在差异[7]；在职责分工、信息共享与工作联动方面仍存在不足。更实质的是，多主体协同失败的主要原因通常不是不知道谁该做什么，而是没有主体愿意承担成本，这一点将在第 5.3 节以成熟度评估予以印证。</w:t>
      </w:r>
    </w:p>
    <w:p>
      <w:pPr>
        <w:spacing w:before="0" w:after="0" w:line="360" w:lineRule="auto"/>
        <w:ind w:firstLine="480"/>
        <w:jc w:val="both"/>
      </w:pPr>
      <w:r>
        <w:rPr>
          <w:rFonts w:ascii="Times New Roman" w:hAnsi="Times New Roman" w:eastAsia="宋体"/>
          <w:b w:val="0"/>
          <w:sz w:val="24"/>
        </w:rPr>
        <w:t>第四类问题是缺乏评估设计，成效无法证明，这使经验难以复制推广。各地建设了大量吸烟区域，但普遍说不清楚实际效果：既没有干预前后的对比数据，也没有对照组，更没有事前的样本量测算。本文第 6 章将说明，这一问题有明确的统计学根源，且可以通过设计改进解决。</w:t>
      </w:r>
    </w:p>
    <w:p>
      <w:pPr>
        <w:keepNext/>
        <w:spacing w:before="240" w:after="120" w:line="360" w:lineRule="auto"/>
        <w:jc w:val="left"/>
      </w:pPr>
      <w:r>
        <w:rPr>
          <w:rFonts w:ascii="Times New Roman" w:hAnsi="Times New Roman" w:eastAsia="黑体"/>
          <w:b/>
          <w:sz w:val="30"/>
        </w:rPr>
        <w:t>4  吸烟点选址的优化方法</w:t>
      </w:r>
    </w:p>
    <w:p>
      <w:pPr>
        <w:keepNext/>
        <w:spacing w:before="160" w:after="80" w:line="360" w:lineRule="auto"/>
        <w:jc w:val="left"/>
      </w:pPr>
      <w:r>
        <w:rPr>
          <w:rFonts w:ascii="Times New Roman" w:hAnsi="Times New Roman" w:eastAsia="黑体"/>
          <w:b w:val="0"/>
          <w:sz w:val="28"/>
        </w:rPr>
        <w:t>4.1  最大覆盖选址模型</w:t>
      </w:r>
    </w:p>
    <w:p>
      <w:pPr>
        <w:spacing w:before="0" w:after="0" w:line="360" w:lineRule="auto"/>
        <w:ind w:firstLine="480"/>
        <w:jc w:val="both"/>
      </w:pPr>
      <w:r>
        <w:rPr>
          <w:rFonts w:ascii="Times New Roman" w:hAnsi="Times New Roman" w:eastAsia="宋体"/>
          <w:b w:val="0"/>
          <w:sz w:val="24"/>
        </w:rPr>
        <w:t>吸烟点选址是典型的设施选址问题，可用最大覆盖选址模型求解[12]。设网格单元集合为 I、候选点集合为 J，w_i 为单元 i 的吸烟需求强度，N_i 为能够覆盖单元 i 的候选点子集，决策变量 x_j 表示是否在候选点 j 设置吸烟点、y_i 表示单元 i 是否被覆盖，则模型如式（1）所示。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rPr>
                  <m:sty m:val="p"/>
                </m:rPr>
                <m:t xml:space="preserve">max</m:t>
              </m:r>
              <m:nary>
                <m:naryPr>
                  <m:chr m:val="∑"/>
                  <m:limLoc m:val="undOvr"/>
                  <m:supHide m:val="1"/>
                  <m:grow m:val="1"/>
                </m:naryPr>
                <m:sub>
                  <m:r>
                    <m:t xml:space="preserve">i∈ I</m:t>
                  </m:r>
                </m:sub>
                <m:sup/>
                <m:e/>
              </m:nary>
              <m:sSub>
                <m:e>
                  <m:r>
                    <m:t xml:space="preserve">w</m:t>
                  </m:r>
                </m:e>
                <m:sub>
                  <m:r>
                    <m:t xml:space="preserve">i</m:t>
                  </m:r>
                </m:sub>
              </m:sSub>
              <m:sSub>
                <m:e>
                  <m:r>
                    <m:t xml:space="preserve">y</m:t>
                  </m:r>
                </m:e>
                <m:sub>
                  <m:r>
                    <m:t xml:space="preserve">i</m:t>
                  </m:r>
                </m:sub>
              </m:sSub>
              <m:r>
                <m:t xml:space="preserve">  </m:t>
              </m:r>
              <m:r>
                <m:rPr>
                  <m:sty m:val="p"/>
                </m:rPr>
                <m:t xml:space="preserve">s.t.</m:t>
              </m:r>
              <m:r>
                <m:t xml:space="preserve">  </m:t>
              </m:r>
              <m:sSub>
                <m:e>
                  <m:r>
                    <m:t xml:space="preserve">y</m:t>
                  </m:r>
                </m:e>
                <m:sub>
                  <m:r>
                    <m:t xml:space="preserve">i</m:t>
                  </m:r>
                </m:sub>
              </m:sSub>
              <m:r>
                <m:t xml:space="preserve">≤</m:t>
              </m:r>
              <m:nary>
                <m:naryPr>
                  <m:chr m:val="∑"/>
                  <m:limLoc m:val="undOvr"/>
                  <m:supHide m:val="1"/>
                  <m:grow m:val="1"/>
                </m:naryPr>
                <m:sub>
                  <m:r>
                    <m:t xml:space="preserve">j∈ </m:t>
                  </m:r>
                  <m:sSub>
                    <m:e>
                      <m:r>
                        <m:t xml:space="preserve">N</m:t>
                      </m:r>
                    </m:e>
                    <m:sub>
                      <m:r>
                        <m:t xml:space="preserve">i</m:t>
                      </m:r>
                    </m:sub>
                  </m:sSub>
                </m:sub>
                <m:sup/>
                <m:e/>
              </m:nary>
              <m:sSub>
                <m:e>
                  <m:r>
                    <m:t xml:space="preserve">x</m:t>
                  </m:r>
                </m:e>
                <m:sub>
                  <m:r>
                    <m:t xml:space="preserve">j</m:t>
                  </m:r>
                </m:sub>
              </m:sSub>
              <m:r>
                <m:t xml:space="preserve">,;</m:t>
              </m:r>
              <m:nary>
                <m:naryPr>
                  <m:chr m:val="∑"/>
                  <m:limLoc m:val="undOvr"/>
                  <m:supHide m:val="1"/>
                  <m:grow m:val="1"/>
                </m:naryPr>
                <m:sub>
                  <m:r>
                    <m:t xml:space="preserve">j∈ J</m:t>
                  </m:r>
                </m:sub>
                <m:sup/>
                <m:e/>
              </m:nary>
              <m:sSub>
                <m:e>
                  <m:r>
                    <m:t xml:space="preserve">x</m:t>
                  </m:r>
                </m:e>
                <m:sub>
                  <m:r>
                    <m:t xml:space="preserve">j</m:t>
                  </m:r>
                </m:sub>
              </m:sSub>
              <m:r>
                <m:t xml:space="preserve">=p,;</m:t>
              </m:r>
              <m:sSub>
                <m:e>
                  <m:r>
                    <m:t xml:space="preserve">x</m:t>
                  </m:r>
                </m:e>
                <m:sub>
                  <m:r>
                    <m:t xml:space="preserve">j</m:t>
                  </m:r>
                </m:sub>
              </m:sSub>
              <m:r>
                <m:t xml:space="preserve">,</m:t>
              </m:r>
              <m:sSub>
                <m:e>
                  <m:r>
                    <m:t xml:space="preserve">y</m:t>
                  </m:r>
                </m:e>
                <m:sub>
                  <m:r>
                    <m:t xml:space="preserve">i</m:t>
                  </m:r>
                </m:sub>
              </m:sSub>
              <m:r>
                <m:t xml:space="preserve">∈{0,1}</m:t>
              </m:r>
            </m:oMath>
          </w:p>
        </w:tc>
        <w:tc>
          <w:tcPr>
            <w:tcW w:type="dxa" w:w="1134"/>
          </w:tcPr>
          <w:p>
            <w:pPr>
              <w:spacing w:before="120" w:after="120" w:line="360" w:lineRule="auto"/>
              <w:jc w:val="right"/>
            </w:pPr>
            <w:r>
              <w:rPr>
                <w:rFonts w:ascii="Times New Roman" w:hAnsi="Times New Roman" w:eastAsia="宋体"/>
                <w:b w:val="0"/>
                <w:sz w:val="24"/>
              </w:rPr>
              <w:t>（1）</w:t>
            </w:r>
          </w:p>
        </w:tc>
      </w:tr>
    </w:tbl>
    <w:p>
      <w:pPr>
        <w:spacing w:before="0" w:after="0" w:line="360" w:lineRule="auto"/>
        <w:ind w:firstLine="480"/>
        <w:jc w:val="both"/>
      </w:pPr>
      <w:r>
        <w:rPr>
          <w:rFonts w:ascii="Times New Roman" w:hAnsi="Times New Roman" w:eastAsia="宋体"/>
          <w:b w:val="0"/>
          <w:sz w:val="24"/>
        </w:rPr>
        <w:t>模型的关键在于候选点集合已预先施加了敏感点回避约束，即只有与出入口、候车区、母婴候车区等敏感点距离不小于给定阈值的单元才进入候选集，这使控烟优先的政策要求以硬约束形式进入优化过程而非事后检查。模型的情景参数与约束条件如表 1 所示。</w:t>
      </w:r>
    </w:p>
    <w:p>
      <w:pPr>
        <w:keepNext/>
        <w:spacing w:before="160" w:after="40" w:line="240" w:lineRule="auto"/>
        <w:jc w:val="center"/>
      </w:pPr>
      <w:r>
        <w:rPr>
          <w:rFonts w:ascii="Times New Roman" w:hAnsi="Times New Roman" w:eastAsia="黑体"/>
          <w:b w:val="0"/>
          <w:sz w:val="21"/>
        </w:rPr>
        <w:t>表 1  选址模型的情景参数与约束条件</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204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参数/约束</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取值</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设定依据</w:t>
            </w:r>
          </w:p>
        </w:tc>
      </w:tr>
      <w:tr>
        <w:tc>
          <w:tcPr>
            <w:tcW w:type="dxa" w:w="2041"/>
          </w:tcPr>
          <w:p>
            <w:pPr>
              <w:spacing w:before="40" w:after="40" w:line="240" w:lineRule="auto"/>
              <w:jc w:val="left"/>
            </w:pPr>
            <w:r/>
            <w:r>
              <w:rPr>
                <w:rFonts w:ascii="Times New Roman" w:hAnsi="Times New Roman" w:eastAsia="宋体"/>
                <w:b w:val="0"/>
                <w:sz w:val="19"/>
              </w:rPr>
              <w:t>场地范围</w:t>
            </w:r>
          </w:p>
        </w:tc>
        <w:tc>
          <w:tcPr>
            <w:tcW w:type="dxa" w:w="3402"/>
          </w:tcPr>
          <w:p>
            <w:pPr>
              <w:spacing w:before="40" w:after="40" w:line="240" w:lineRule="auto"/>
              <w:jc w:val="center"/>
            </w:pPr>
            <w:r/>
            <w:r>
              <w:rPr>
                <w:rFonts w:ascii="Times New Roman" w:hAnsi="Times New Roman" w:eastAsia="宋体"/>
                <w:b w:val="0"/>
                <w:sz w:val="19"/>
              </w:rPr>
              <w:t>200 m × 150 m</w:t>
            </w:r>
          </w:p>
        </w:tc>
        <w:tc>
          <w:tcPr>
            <w:tcW w:type="dxa" w:w="3628"/>
          </w:tcPr>
          <w:p>
            <w:pPr>
              <w:spacing w:before="40" w:after="40" w:line="240" w:lineRule="auto"/>
              <w:jc w:val="center"/>
            </w:pPr>
            <w:r/>
            <w:r>
              <w:rPr>
                <w:rFonts w:ascii="Times New Roman" w:hAnsi="Times New Roman" w:eastAsia="宋体"/>
                <w:b w:val="0"/>
                <w:sz w:val="19"/>
              </w:rPr>
              <w:t>以交通枢纽站前广场为情景原型</w:t>
            </w:r>
          </w:p>
        </w:tc>
      </w:tr>
      <w:tr>
        <w:tc>
          <w:tcPr>
            <w:tcW w:type="dxa" w:w="2041"/>
          </w:tcPr>
          <w:p>
            <w:pPr>
              <w:spacing w:before="40" w:after="40" w:line="240" w:lineRule="auto"/>
              <w:jc w:val="left"/>
            </w:pPr>
            <w:r/>
            <w:r>
              <w:rPr>
                <w:rFonts w:ascii="Times New Roman" w:hAnsi="Times New Roman" w:eastAsia="宋体"/>
                <w:b w:val="0"/>
                <w:sz w:val="19"/>
              </w:rPr>
              <w:t>网格分辨率</w:t>
            </w:r>
          </w:p>
        </w:tc>
        <w:tc>
          <w:tcPr>
            <w:tcW w:type="dxa" w:w="3402"/>
          </w:tcPr>
          <w:p>
            <w:pPr>
              <w:spacing w:before="40" w:after="40" w:line="240" w:lineRule="auto"/>
              <w:jc w:val="center"/>
            </w:pPr>
            <w:r/>
            <w:r>
              <w:rPr>
                <w:rFonts w:ascii="Times New Roman" w:hAnsi="Times New Roman" w:eastAsia="宋体"/>
                <w:b w:val="0"/>
                <w:sz w:val="19"/>
              </w:rPr>
              <w:t>10 m</w:t>
            </w:r>
          </w:p>
        </w:tc>
        <w:tc>
          <w:tcPr>
            <w:tcW w:type="dxa" w:w="3628"/>
          </w:tcPr>
          <w:p>
            <w:pPr>
              <w:spacing w:before="40" w:after="40" w:line="240" w:lineRule="auto"/>
              <w:jc w:val="center"/>
            </w:pPr>
            <w:r/>
            <w:r>
              <w:rPr>
                <w:rFonts w:ascii="Times New Roman" w:hAnsi="Times New Roman" w:eastAsia="宋体"/>
                <w:b w:val="0"/>
                <w:sz w:val="19"/>
              </w:rPr>
              <w:t>兼顾求解精度与计算规模</w:t>
            </w:r>
          </w:p>
        </w:tc>
      </w:tr>
      <w:tr>
        <w:tc>
          <w:tcPr>
            <w:tcW w:type="dxa" w:w="2041"/>
          </w:tcPr>
          <w:p>
            <w:pPr>
              <w:spacing w:before="40" w:after="40" w:line="240" w:lineRule="auto"/>
              <w:jc w:val="left"/>
            </w:pPr>
            <w:r/>
            <w:r>
              <w:rPr>
                <w:rFonts w:ascii="Times New Roman" w:hAnsi="Times New Roman" w:eastAsia="宋体"/>
                <w:b w:val="0"/>
                <w:sz w:val="19"/>
              </w:rPr>
              <w:t>网格单元数</w:t>
            </w:r>
          </w:p>
        </w:tc>
        <w:tc>
          <w:tcPr>
            <w:tcW w:type="dxa" w:w="3402"/>
          </w:tcPr>
          <w:p>
            <w:pPr>
              <w:spacing w:before="40" w:after="40" w:line="240" w:lineRule="auto"/>
              <w:jc w:val="center"/>
            </w:pPr>
            <w:r/>
            <w:r>
              <w:rPr>
                <w:rFonts w:ascii="Times New Roman" w:hAnsi="Times New Roman" w:eastAsia="宋体"/>
                <w:b w:val="0"/>
                <w:sz w:val="19"/>
              </w:rPr>
              <w:t>300 个</w:t>
            </w:r>
          </w:p>
        </w:tc>
        <w:tc>
          <w:tcPr>
            <w:tcW w:type="dxa" w:w="3628"/>
          </w:tcPr>
          <w:p>
            <w:pPr>
              <w:spacing w:before="40" w:after="40" w:line="240" w:lineRule="auto"/>
              <w:jc w:val="center"/>
            </w:pPr>
            <w:r/>
            <w:r>
              <w:rPr>
                <w:rFonts w:ascii="Times New Roman" w:hAnsi="Times New Roman" w:eastAsia="宋体"/>
                <w:b w:val="0"/>
                <w:sz w:val="19"/>
              </w:rPr>
              <w:t>由场地范围与分辨率确定</w:t>
            </w:r>
          </w:p>
        </w:tc>
      </w:tr>
      <w:tr>
        <w:tc>
          <w:tcPr>
            <w:tcW w:type="dxa" w:w="2041"/>
          </w:tcPr>
          <w:p>
            <w:pPr>
              <w:spacing w:before="40" w:after="40" w:line="240" w:lineRule="auto"/>
              <w:jc w:val="left"/>
            </w:pPr>
            <w:r/>
            <w:r>
              <w:rPr>
                <w:rFonts w:ascii="Times New Roman" w:hAnsi="Times New Roman" w:eastAsia="宋体"/>
                <w:b w:val="0"/>
                <w:sz w:val="19"/>
              </w:rPr>
              <w:t>日吸烟需求总量</w:t>
            </w:r>
          </w:p>
        </w:tc>
        <w:tc>
          <w:tcPr>
            <w:tcW w:type="dxa" w:w="3402"/>
          </w:tcPr>
          <w:p>
            <w:pPr>
              <w:spacing w:before="40" w:after="40" w:line="240" w:lineRule="auto"/>
              <w:jc w:val="center"/>
            </w:pPr>
            <w:r/>
            <w:r>
              <w:rPr>
                <w:rFonts w:ascii="Times New Roman" w:hAnsi="Times New Roman" w:eastAsia="宋体"/>
                <w:b w:val="0"/>
                <w:sz w:val="19"/>
              </w:rPr>
              <w:t>1000 人次</w:t>
            </w:r>
          </w:p>
        </w:tc>
        <w:tc>
          <w:tcPr>
            <w:tcW w:type="dxa" w:w="3628"/>
          </w:tcPr>
          <w:p>
            <w:pPr>
              <w:spacing w:before="40" w:after="40" w:line="240" w:lineRule="auto"/>
              <w:jc w:val="center"/>
            </w:pPr>
            <w:r/>
            <w:r>
              <w:rPr>
                <w:rFonts w:ascii="Times New Roman" w:hAnsi="Times New Roman" w:eastAsia="宋体"/>
                <w:b w:val="0"/>
                <w:sz w:val="19"/>
              </w:rPr>
              <w:t>归一化处理，用于比较方案的相对覆盖率</w:t>
            </w:r>
          </w:p>
        </w:tc>
      </w:tr>
      <w:tr>
        <w:tc>
          <w:tcPr>
            <w:tcW w:type="dxa" w:w="2041"/>
          </w:tcPr>
          <w:p>
            <w:pPr>
              <w:spacing w:before="40" w:after="40" w:line="240" w:lineRule="auto"/>
              <w:jc w:val="left"/>
            </w:pPr>
            <w:r/>
            <w:r>
              <w:rPr>
                <w:rFonts w:ascii="Times New Roman" w:hAnsi="Times New Roman" w:eastAsia="宋体"/>
                <w:b w:val="0"/>
                <w:sz w:val="19"/>
              </w:rPr>
              <w:t>需求空间分布</w:t>
            </w:r>
          </w:p>
        </w:tc>
        <w:tc>
          <w:tcPr>
            <w:tcW w:type="dxa" w:w="3402"/>
          </w:tcPr>
          <w:p>
            <w:pPr>
              <w:spacing w:before="40" w:after="40" w:line="240" w:lineRule="auto"/>
              <w:jc w:val="center"/>
            </w:pPr>
            <w:r/>
            <w:r>
              <w:rPr>
                <w:rFonts w:ascii="Times New Roman" w:hAnsi="Times New Roman" w:eastAsia="宋体"/>
                <w:b w:val="0"/>
                <w:sz w:val="19"/>
              </w:rPr>
              <w:t>以出入口、候车区为中心的高斯叠加</w:t>
            </w:r>
          </w:p>
        </w:tc>
        <w:tc>
          <w:tcPr>
            <w:tcW w:type="dxa" w:w="3628"/>
          </w:tcPr>
          <w:p>
            <w:pPr>
              <w:spacing w:before="40" w:after="40" w:line="240" w:lineRule="auto"/>
              <w:jc w:val="center"/>
            </w:pPr>
            <w:r/>
            <w:r>
              <w:rPr>
                <w:rFonts w:ascii="Times New Roman" w:hAnsi="Times New Roman" w:eastAsia="宋体"/>
                <w:b w:val="0"/>
                <w:sz w:val="19"/>
              </w:rPr>
              <w:t>吸烟需求随人流密度分布</w:t>
            </w:r>
          </w:p>
        </w:tc>
      </w:tr>
      <w:tr>
        <w:tc>
          <w:tcPr>
            <w:tcW w:type="dxa" w:w="2041"/>
          </w:tcPr>
          <w:p>
            <w:pPr>
              <w:spacing w:before="40" w:after="40" w:line="240" w:lineRule="auto"/>
              <w:jc w:val="left"/>
            </w:pPr>
            <w:r/>
            <w:r>
              <w:rPr>
                <w:rFonts w:ascii="Times New Roman" w:hAnsi="Times New Roman" w:eastAsia="宋体"/>
                <w:b w:val="0"/>
                <w:sz w:val="19"/>
              </w:rPr>
              <w:t>敏感点</w:t>
            </w:r>
          </w:p>
        </w:tc>
        <w:tc>
          <w:tcPr>
            <w:tcW w:type="dxa" w:w="3402"/>
          </w:tcPr>
          <w:p>
            <w:pPr>
              <w:spacing w:before="40" w:after="40" w:line="240" w:lineRule="auto"/>
              <w:jc w:val="center"/>
            </w:pPr>
            <w:r/>
            <w:r>
              <w:rPr>
                <w:rFonts w:ascii="Times New Roman" w:hAnsi="Times New Roman" w:eastAsia="宋体"/>
                <w:b w:val="0"/>
                <w:sz w:val="19"/>
              </w:rPr>
              <w:t>主出入口、次出入口、地铁口、候车区、母婴候车区共 5 处</w:t>
            </w:r>
          </w:p>
        </w:tc>
        <w:tc>
          <w:tcPr>
            <w:tcW w:type="dxa" w:w="3628"/>
          </w:tcPr>
          <w:p>
            <w:pPr>
              <w:spacing w:before="40" w:after="40" w:line="240" w:lineRule="auto"/>
              <w:jc w:val="center"/>
            </w:pPr>
            <w:r/>
            <w:r>
              <w:rPr>
                <w:rFonts w:ascii="Times New Roman" w:hAnsi="Times New Roman" w:eastAsia="宋体"/>
                <w:b w:val="0"/>
                <w:sz w:val="19"/>
              </w:rPr>
              <w:t>需回避的人员聚集与易感人群区域</w:t>
            </w:r>
          </w:p>
        </w:tc>
      </w:tr>
      <w:tr>
        <w:tc>
          <w:tcPr>
            <w:tcW w:type="dxa" w:w="2041"/>
          </w:tcPr>
          <w:p>
            <w:pPr>
              <w:spacing w:before="40" w:after="40" w:line="240" w:lineRule="auto"/>
              <w:jc w:val="left"/>
            </w:pPr>
            <w:r/>
            <w:r>
              <w:rPr>
                <w:rFonts w:ascii="Times New Roman" w:hAnsi="Times New Roman" w:eastAsia="宋体"/>
                <w:b w:val="0"/>
                <w:sz w:val="19"/>
              </w:rPr>
              <w:t>最小回避距离</w:t>
            </w:r>
          </w:p>
        </w:tc>
        <w:tc>
          <w:tcPr>
            <w:tcW w:type="dxa" w:w="3402"/>
          </w:tcPr>
          <w:p>
            <w:pPr>
              <w:spacing w:before="40" w:after="40" w:line="240" w:lineRule="auto"/>
              <w:jc w:val="center"/>
            </w:pPr>
            <w:r/>
            <w:r>
              <w:rPr>
                <w:rFonts w:ascii="Times New Roman" w:hAnsi="Times New Roman" w:eastAsia="宋体"/>
                <w:b w:val="0"/>
                <w:sz w:val="19"/>
              </w:rPr>
              <w:t>25 m</w:t>
            </w:r>
          </w:p>
        </w:tc>
        <w:tc>
          <w:tcPr>
            <w:tcW w:type="dxa" w:w="3628"/>
          </w:tcPr>
          <w:p>
            <w:pPr>
              <w:spacing w:before="40" w:after="40" w:line="240" w:lineRule="auto"/>
              <w:jc w:val="center"/>
            </w:pPr>
            <w:r/>
            <w:r>
              <w:rPr>
                <w:rFonts w:ascii="Times New Roman" w:hAnsi="Times New Roman" w:eastAsia="宋体"/>
                <w:b w:val="0"/>
                <w:sz w:val="19"/>
              </w:rPr>
              <w:t>参照二手烟扩散衰减的一般经验取值</w:t>
            </w:r>
          </w:p>
        </w:tc>
      </w:tr>
      <w:tr>
        <w:tc>
          <w:tcPr>
            <w:tcW w:type="dxa" w:w="2041"/>
          </w:tcPr>
          <w:p>
            <w:pPr>
              <w:spacing w:before="40" w:after="40" w:line="240" w:lineRule="auto"/>
              <w:jc w:val="left"/>
            </w:pPr>
            <w:r/>
            <w:r>
              <w:rPr>
                <w:rFonts w:ascii="Times New Roman" w:hAnsi="Times New Roman" w:eastAsia="宋体"/>
                <w:b w:val="0"/>
                <w:sz w:val="19"/>
              </w:rPr>
              <w:t>服务半径</w:t>
            </w:r>
          </w:p>
        </w:tc>
        <w:tc>
          <w:tcPr>
            <w:tcW w:type="dxa" w:w="3402"/>
          </w:tcPr>
          <w:p>
            <w:pPr>
              <w:spacing w:before="40" w:after="40" w:line="240" w:lineRule="auto"/>
              <w:jc w:val="center"/>
            </w:pPr>
            <w:r/>
            <w:r>
              <w:rPr>
                <w:rFonts w:ascii="Times New Roman" w:hAnsi="Times New Roman" w:eastAsia="宋体"/>
                <w:b w:val="0"/>
                <w:sz w:val="19"/>
              </w:rPr>
              <w:t>45 m</w:t>
            </w:r>
          </w:p>
        </w:tc>
        <w:tc>
          <w:tcPr>
            <w:tcW w:type="dxa" w:w="3628"/>
          </w:tcPr>
          <w:p>
            <w:pPr>
              <w:spacing w:before="40" w:after="40" w:line="240" w:lineRule="auto"/>
              <w:jc w:val="center"/>
            </w:pPr>
            <w:r/>
            <w:r>
              <w:rPr>
                <w:rFonts w:ascii="Times New Roman" w:hAnsi="Times New Roman" w:eastAsia="宋体"/>
                <w:b w:val="0"/>
                <w:sz w:val="19"/>
              </w:rPr>
              <w:t>步行可达意愿的经验阈值</w:t>
            </w:r>
          </w:p>
        </w:tc>
      </w:tr>
      <w:tr>
        <w:tc>
          <w:tcPr>
            <w:tcW w:type="dxa" w:w="2041"/>
            <w:tcBorders>
              <w:bottom w:val="single" w:sz="12" w:space="0" w:color="000000"/>
            </w:tcBorders>
          </w:tcPr>
          <w:p>
            <w:pPr>
              <w:spacing w:before="40" w:after="40" w:line="240" w:lineRule="auto"/>
              <w:jc w:val="left"/>
            </w:pPr>
            <w:r/>
            <w:r>
              <w:rPr>
                <w:rFonts w:ascii="Times New Roman" w:hAnsi="Times New Roman" w:eastAsia="宋体"/>
                <w:b w:val="0"/>
                <w:sz w:val="19"/>
              </w:rPr>
              <w:t>可行候选点</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19"/>
              </w:rPr>
              <w:t>150 个（占全部单元 50.0%）</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满足回避距离与边界退让约束</w:t>
            </w:r>
          </w:p>
        </w:tc>
      </w:tr>
    </w:tbl>
    <w:p>
      <w:pPr>
        <w:spacing w:before="40" w:after="160" w:line="240" w:lineRule="auto"/>
        <w:ind w:firstLine="0"/>
        <w:jc w:val="left"/>
      </w:pPr>
      <w:r>
        <w:rPr>
          <w:rFonts w:ascii="Times New Roman" w:hAnsi="Times New Roman" w:eastAsia="宋体"/>
          <w:b w:val="0"/>
          <w:sz w:val="18"/>
        </w:rPr>
        <w:t>注：各参数为情景设定值，实际应用时应以现场实测的人流分布、风向与场地条件替换。</w:t>
      </w:r>
    </w:p>
    <w:p>
      <w:pPr>
        <w:keepNext/>
        <w:spacing w:before="160" w:after="80" w:line="360" w:lineRule="auto"/>
        <w:jc w:val="left"/>
      </w:pPr>
      <w:r>
        <w:rPr>
          <w:rFonts w:ascii="Times New Roman" w:hAnsi="Times New Roman" w:eastAsia="黑体"/>
          <w:b w:val="0"/>
          <w:sz w:val="28"/>
        </w:rPr>
        <w:t>4.2  求解结果与边际递减规律</w:t>
      </w:r>
    </w:p>
    <w:p>
      <w:pPr>
        <w:spacing w:before="0" w:after="0" w:line="360" w:lineRule="auto"/>
        <w:ind w:firstLine="480"/>
        <w:jc w:val="both"/>
      </w:pPr>
      <w:r>
        <w:rPr>
          <w:rFonts w:ascii="Times New Roman" w:hAnsi="Times New Roman" w:eastAsia="宋体"/>
          <w:b w:val="0"/>
          <w:sz w:val="24"/>
        </w:rPr>
        <w:t>覆盖率随吸烟点数量增加呈现明显的边际递减，这为“设几个点合适”提供了量化判据，结果如表 2 与图 5 所示。1 个点覆盖 30.1%，2 个点 53.8%，3 个点 74.9%，4 个点 87.8%；第 5 个点的边际增量降至 7.7 个百分点，第 6 个点降至 4.1 个百分点。在该情景中 4 个点是性价比拐点，此后每增设一个点的成本不变而收益快速下降。实践中“多多益善”或“每层楼设一个”的经验做法既缺乏依据也造成资源浪费。</w:t>
      </w:r>
    </w:p>
    <w:p>
      <w:pPr>
        <w:keepNext/>
        <w:spacing w:before="160" w:after="40" w:line="240" w:lineRule="auto"/>
        <w:jc w:val="center"/>
      </w:pPr>
      <w:r>
        <w:rPr>
          <w:rFonts w:ascii="Times New Roman" w:hAnsi="Times New Roman" w:eastAsia="黑体"/>
          <w:b w:val="0"/>
          <w:sz w:val="21"/>
        </w:rPr>
        <w:t>表 2  吸烟点数量与需求覆盖率（最优解）</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192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吸烟点数量 p</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覆盖需求量 / 人次</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需求覆盖率 / %</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边际增量 / 个百分点</w:t>
            </w:r>
          </w:p>
        </w:tc>
      </w:tr>
      <w:tr>
        <w:tc>
          <w:tcPr>
            <w:tcW w:type="dxa" w:w="1928"/>
          </w:tcPr>
          <w:p>
            <w:pPr>
              <w:spacing w:before="40" w:after="40" w:line="240" w:lineRule="auto"/>
              <w:jc w:val="left"/>
            </w:pPr>
            <w:r/>
            <w:r>
              <w:rPr>
                <w:rFonts w:ascii="Times New Roman" w:hAnsi="Times New Roman" w:eastAsia="宋体"/>
                <w:b w:val="0"/>
                <w:sz w:val="19"/>
              </w:rPr>
              <w:t>1</w:t>
            </w:r>
          </w:p>
        </w:tc>
        <w:tc>
          <w:tcPr>
            <w:tcW w:type="dxa" w:w="2268"/>
          </w:tcPr>
          <w:p>
            <w:pPr>
              <w:spacing w:before="40" w:after="40" w:line="240" w:lineRule="auto"/>
              <w:jc w:val="center"/>
            </w:pPr>
            <w:r/>
            <w:r>
              <w:rPr>
                <w:rFonts w:ascii="Times New Roman" w:hAnsi="Times New Roman" w:eastAsia="宋体"/>
                <w:b w:val="0"/>
                <w:sz w:val="19"/>
              </w:rPr>
              <w:t>301.4</w:t>
            </w:r>
          </w:p>
        </w:tc>
        <w:tc>
          <w:tcPr>
            <w:tcW w:type="dxa" w:w="2041"/>
          </w:tcPr>
          <w:p>
            <w:pPr>
              <w:spacing w:before="40" w:after="40" w:line="240" w:lineRule="auto"/>
              <w:jc w:val="center"/>
            </w:pPr>
            <w:r/>
            <w:r>
              <w:rPr>
                <w:rFonts w:ascii="Times New Roman" w:hAnsi="Times New Roman" w:eastAsia="宋体"/>
                <w:b w:val="0"/>
                <w:sz w:val="19"/>
              </w:rPr>
              <w:t>30.1</w:t>
            </w:r>
          </w:p>
        </w:tc>
        <w:tc>
          <w:tcPr>
            <w:tcW w:type="dxa" w:w="2381"/>
          </w:tcPr>
          <w:p>
            <w:pPr>
              <w:spacing w:before="40" w:after="40" w:line="240" w:lineRule="auto"/>
              <w:jc w:val="center"/>
            </w:pPr>
            <w:r/>
            <w:r>
              <w:rPr>
                <w:rFonts w:ascii="Times New Roman" w:hAnsi="Times New Roman" w:eastAsia="宋体"/>
                <w:b w:val="0"/>
                <w:sz w:val="19"/>
              </w:rPr>
              <w:t>30.1</w:t>
            </w:r>
          </w:p>
        </w:tc>
      </w:tr>
      <w:tr>
        <w:tc>
          <w:tcPr>
            <w:tcW w:type="dxa" w:w="1928"/>
          </w:tcPr>
          <w:p>
            <w:pPr>
              <w:spacing w:before="40" w:after="40" w:line="240" w:lineRule="auto"/>
              <w:jc w:val="left"/>
            </w:pPr>
            <w:r/>
            <w:r>
              <w:rPr>
                <w:rFonts w:ascii="Times New Roman" w:hAnsi="Times New Roman" w:eastAsia="宋体"/>
                <w:b w:val="0"/>
                <w:sz w:val="19"/>
              </w:rPr>
              <w:t>2</w:t>
            </w:r>
          </w:p>
        </w:tc>
        <w:tc>
          <w:tcPr>
            <w:tcW w:type="dxa" w:w="2268"/>
          </w:tcPr>
          <w:p>
            <w:pPr>
              <w:spacing w:before="40" w:after="40" w:line="240" w:lineRule="auto"/>
              <w:jc w:val="center"/>
            </w:pPr>
            <w:r/>
            <w:r>
              <w:rPr>
                <w:rFonts w:ascii="Times New Roman" w:hAnsi="Times New Roman" w:eastAsia="宋体"/>
                <w:b w:val="0"/>
                <w:sz w:val="19"/>
              </w:rPr>
              <w:t>538.2</w:t>
            </w:r>
          </w:p>
        </w:tc>
        <w:tc>
          <w:tcPr>
            <w:tcW w:type="dxa" w:w="2041"/>
          </w:tcPr>
          <w:p>
            <w:pPr>
              <w:spacing w:before="40" w:after="40" w:line="240" w:lineRule="auto"/>
              <w:jc w:val="center"/>
            </w:pPr>
            <w:r/>
            <w:r>
              <w:rPr>
                <w:rFonts w:ascii="Times New Roman" w:hAnsi="Times New Roman" w:eastAsia="宋体"/>
                <w:b w:val="0"/>
                <w:sz w:val="19"/>
              </w:rPr>
              <w:t>53.8</w:t>
            </w:r>
          </w:p>
        </w:tc>
        <w:tc>
          <w:tcPr>
            <w:tcW w:type="dxa" w:w="2381"/>
          </w:tcPr>
          <w:p>
            <w:pPr>
              <w:spacing w:before="40" w:after="40" w:line="240" w:lineRule="auto"/>
              <w:jc w:val="center"/>
            </w:pPr>
            <w:r/>
            <w:r>
              <w:rPr>
                <w:rFonts w:ascii="Times New Roman" w:hAnsi="Times New Roman" w:eastAsia="宋体"/>
                <w:b w:val="0"/>
                <w:sz w:val="19"/>
              </w:rPr>
              <w:t>23.7</w:t>
            </w:r>
          </w:p>
        </w:tc>
      </w:tr>
      <w:tr>
        <w:tc>
          <w:tcPr>
            <w:tcW w:type="dxa" w:w="1928"/>
          </w:tcPr>
          <w:p>
            <w:pPr>
              <w:spacing w:before="40" w:after="40" w:line="240" w:lineRule="auto"/>
              <w:jc w:val="left"/>
            </w:pPr>
            <w:r/>
            <w:r>
              <w:rPr>
                <w:rFonts w:ascii="Times New Roman" w:hAnsi="Times New Roman" w:eastAsia="宋体"/>
                <w:b w:val="0"/>
                <w:sz w:val="19"/>
              </w:rPr>
              <w:t>3</w:t>
            </w:r>
          </w:p>
        </w:tc>
        <w:tc>
          <w:tcPr>
            <w:tcW w:type="dxa" w:w="2268"/>
          </w:tcPr>
          <w:p>
            <w:pPr>
              <w:spacing w:before="40" w:after="40" w:line="240" w:lineRule="auto"/>
              <w:jc w:val="center"/>
            </w:pPr>
            <w:r/>
            <w:r>
              <w:rPr>
                <w:rFonts w:ascii="Times New Roman" w:hAnsi="Times New Roman" w:eastAsia="宋体"/>
                <w:b w:val="0"/>
                <w:sz w:val="19"/>
              </w:rPr>
              <w:t>748.6</w:t>
            </w:r>
          </w:p>
        </w:tc>
        <w:tc>
          <w:tcPr>
            <w:tcW w:type="dxa" w:w="2041"/>
          </w:tcPr>
          <w:p>
            <w:pPr>
              <w:spacing w:before="40" w:after="40" w:line="240" w:lineRule="auto"/>
              <w:jc w:val="center"/>
            </w:pPr>
            <w:r/>
            <w:r>
              <w:rPr>
                <w:rFonts w:ascii="Times New Roman" w:hAnsi="Times New Roman" w:eastAsia="宋体"/>
                <w:b w:val="0"/>
                <w:sz w:val="19"/>
              </w:rPr>
              <w:t>74.9</w:t>
            </w:r>
          </w:p>
        </w:tc>
        <w:tc>
          <w:tcPr>
            <w:tcW w:type="dxa" w:w="2381"/>
          </w:tcPr>
          <w:p>
            <w:pPr>
              <w:spacing w:before="40" w:after="40" w:line="240" w:lineRule="auto"/>
              <w:jc w:val="center"/>
            </w:pPr>
            <w:r/>
            <w:r>
              <w:rPr>
                <w:rFonts w:ascii="Times New Roman" w:hAnsi="Times New Roman" w:eastAsia="宋体"/>
                <w:b w:val="0"/>
                <w:sz w:val="19"/>
              </w:rPr>
              <w:t>21.0</w:t>
            </w:r>
          </w:p>
        </w:tc>
      </w:tr>
      <w:tr>
        <w:tc>
          <w:tcPr>
            <w:tcW w:type="dxa" w:w="1928"/>
          </w:tcPr>
          <w:p>
            <w:pPr>
              <w:spacing w:before="40" w:after="40" w:line="240" w:lineRule="auto"/>
              <w:jc w:val="left"/>
            </w:pPr>
            <w:r/>
            <w:r>
              <w:rPr>
                <w:rFonts w:ascii="Times New Roman" w:hAnsi="Times New Roman" w:eastAsia="宋体"/>
                <w:b w:val="0"/>
                <w:sz w:val="19"/>
              </w:rPr>
              <w:t>4</w:t>
            </w:r>
          </w:p>
        </w:tc>
        <w:tc>
          <w:tcPr>
            <w:tcW w:type="dxa" w:w="2268"/>
          </w:tcPr>
          <w:p>
            <w:pPr>
              <w:spacing w:before="40" w:after="40" w:line="240" w:lineRule="auto"/>
              <w:jc w:val="center"/>
            </w:pPr>
            <w:r/>
            <w:r>
              <w:rPr>
                <w:rFonts w:ascii="Times New Roman" w:hAnsi="Times New Roman" w:eastAsia="宋体"/>
                <w:b w:val="0"/>
                <w:sz w:val="19"/>
              </w:rPr>
              <w:t>878.0</w:t>
            </w:r>
          </w:p>
        </w:tc>
        <w:tc>
          <w:tcPr>
            <w:tcW w:type="dxa" w:w="2041"/>
          </w:tcPr>
          <w:p>
            <w:pPr>
              <w:spacing w:before="40" w:after="40" w:line="240" w:lineRule="auto"/>
              <w:jc w:val="center"/>
            </w:pPr>
            <w:r/>
            <w:r>
              <w:rPr>
                <w:rFonts w:ascii="Times New Roman" w:hAnsi="Times New Roman" w:eastAsia="宋体"/>
                <w:b w:val="0"/>
                <w:sz w:val="19"/>
              </w:rPr>
              <w:t>87.8</w:t>
            </w:r>
          </w:p>
        </w:tc>
        <w:tc>
          <w:tcPr>
            <w:tcW w:type="dxa" w:w="2381"/>
          </w:tcPr>
          <w:p>
            <w:pPr>
              <w:spacing w:before="40" w:after="40" w:line="240" w:lineRule="auto"/>
              <w:jc w:val="center"/>
            </w:pPr>
            <w:r/>
            <w:r>
              <w:rPr>
                <w:rFonts w:ascii="Times New Roman" w:hAnsi="Times New Roman" w:eastAsia="宋体"/>
                <w:b w:val="0"/>
                <w:sz w:val="19"/>
              </w:rPr>
              <w:t>12.9</w:t>
            </w:r>
          </w:p>
        </w:tc>
      </w:tr>
      <w:tr>
        <w:tc>
          <w:tcPr>
            <w:tcW w:type="dxa" w:w="1928"/>
          </w:tcPr>
          <w:p>
            <w:pPr>
              <w:spacing w:before="40" w:after="40" w:line="240" w:lineRule="auto"/>
              <w:jc w:val="left"/>
            </w:pPr>
            <w:r/>
            <w:r>
              <w:rPr>
                <w:rFonts w:ascii="Times New Roman" w:hAnsi="Times New Roman" w:eastAsia="宋体"/>
                <w:b w:val="0"/>
                <w:sz w:val="19"/>
              </w:rPr>
              <w:t>5</w:t>
            </w:r>
          </w:p>
        </w:tc>
        <w:tc>
          <w:tcPr>
            <w:tcW w:type="dxa" w:w="2268"/>
          </w:tcPr>
          <w:p>
            <w:pPr>
              <w:spacing w:before="40" w:after="40" w:line="240" w:lineRule="auto"/>
              <w:jc w:val="center"/>
            </w:pPr>
            <w:r/>
            <w:r>
              <w:rPr>
                <w:rFonts w:ascii="Times New Roman" w:hAnsi="Times New Roman" w:eastAsia="宋体"/>
                <w:b w:val="0"/>
                <w:sz w:val="19"/>
              </w:rPr>
              <w:t>955.2</w:t>
            </w:r>
          </w:p>
        </w:tc>
        <w:tc>
          <w:tcPr>
            <w:tcW w:type="dxa" w:w="2041"/>
          </w:tcPr>
          <w:p>
            <w:pPr>
              <w:spacing w:before="40" w:after="40" w:line="240" w:lineRule="auto"/>
              <w:jc w:val="center"/>
            </w:pPr>
            <w:r/>
            <w:r>
              <w:rPr>
                <w:rFonts w:ascii="Times New Roman" w:hAnsi="Times New Roman" w:eastAsia="宋体"/>
                <w:b w:val="0"/>
                <w:sz w:val="19"/>
              </w:rPr>
              <w:t>95.5</w:t>
            </w:r>
          </w:p>
        </w:tc>
        <w:tc>
          <w:tcPr>
            <w:tcW w:type="dxa" w:w="2381"/>
          </w:tcPr>
          <w:p>
            <w:pPr>
              <w:spacing w:before="40" w:after="40" w:line="240" w:lineRule="auto"/>
              <w:jc w:val="center"/>
            </w:pPr>
            <w:r/>
            <w:r>
              <w:rPr>
                <w:rFonts w:ascii="Times New Roman" w:hAnsi="Times New Roman" w:eastAsia="宋体"/>
                <w:b w:val="0"/>
                <w:sz w:val="19"/>
              </w:rPr>
              <w:t>7.7</w:t>
            </w:r>
          </w:p>
        </w:tc>
      </w:tr>
      <w:tr>
        <w:tc>
          <w:tcPr>
            <w:tcW w:type="dxa" w:w="1928"/>
          </w:tcPr>
          <w:p>
            <w:pPr>
              <w:spacing w:before="40" w:after="40" w:line="240" w:lineRule="auto"/>
              <w:jc w:val="left"/>
            </w:pPr>
            <w:r/>
            <w:r>
              <w:rPr>
                <w:rFonts w:ascii="Times New Roman" w:hAnsi="Times New Roman" w:eastAsia="宋体"/>
                <w:b w:val="0"/>
                <w:sz w:val="19"/>
              </w:rPr>
              <w:t>6</w:t>
            </w:r>
          </w:p>
        </w:tc>
        <w:tc>
          <w:tcPr>
            <w:tcW w:type="dxa" w:w="2268"/>
          </w:tcPr>
          <w:p>
            <w:pPr>
              <w:spacing w:before="40" w:after="40" w:line="240" w:lineRule="auto"/>
              <w:jc w:val="center"/>
            </w:pPr>
            <w:r/>
            <w:r>
              <w:rPr>
                <w:rFonts w:ascii="Times New Roman" w:hAnsi="Times New Roman" w:eastAsia="宋体"/>
                <w:b w:val="0"/>
                <w:sz w:val="19"/>
              </w:rPr>
              <w:t>996.1</w:t>
            </w:r>
          </w:p>
        </w:tc>
        <w:tc>
          <w:tcPr>
            <w:tcW w:type="dxa" w:w="2041"/>
          </w:tcPr>
          <w:p>
            <w:pPr>
              <w:spacing w:before="40" w:after="40" w:line="240" w:lineRule="auto"/>
              <w:jc w:val="center"/>
            </w:pPr>
            <w:r/>
            <w:r>
              <w:rPr>
                <w:rFonts w:ascii="Times New Roman" w:hAnsi="Times New Roman" w:eastAsia="宋体"/>
                <w:b w:val="0"/>
                <w:sz w:val="19"/>
              </w:rPr>
              <w:t>99.6</w:t>
            </w:r>
          </w:p>
        </w:tc>
        <w:tc>
          <w:tcPr>
            <w:tcW w:type="dxa" w:w="2381"/>
          </w:tcPr>
          <w:p>
            <w:pPr>
              <w:spacing w:before="40" w:after="40" w:line="240" w:lineRule="auto"/>
              <w:jc w:val="center"/>
            </w:pPr>
            <w:r/>
            <w:r>
              <w:rPr>
                <w:rFonts w:ascii="Times New Roman" w:hAnsi="Times New Roman" w:eastAsia="宋体"/>
                <w:b w:val="0"/>
                <w:sz w:val="19"/>
              </w:rPr>
              <w:t>4.1</w:t>
            </w:r>
          </w:p>
        </w:tc>
      </w:tr>
      <w:tr>
        <w:tc>
          <w:tcPr>
            <w:tcW w:type="dxa" w:w="1928"/>
          </w:tcPr>
          <w:p>
            <w:pPr>
              <w:spacing w:before="40" w:after="40" w:line="240" w:lineRule="auto"/>
              <w:jc w:val="left"/>
            </w:pPr>
            <w:r/>
            <w:r>
              <w:rPr>
                <w:rFonts w:ascii="Times New Roman" w:hAnsi="Times New Roman" w:eastAsia="宋体"/>
                <w:b w:val="0"/>
                <w:sz w:val="19"/>
              </w:rPr>
              <w:t>7</w:t>
            </w:r>
          </w:p>
        </w:tc>
        <w:tc>
          <w:tcPr>
            <w:tcW w:type="dxa" w:w="2268"/>
          </w:tcPr>
          <w:p>
            <w:pPr>
              <w:spacing w:before="40" w:after="40" w:line="240" w:lineRule="auto"/>
              <w:jc w:val="center"/>
            </w:pPr>
            <w:r/>
            <w:r>
              <w:rPr>
                <w:rFonts w:ascii="Times New Roman" w:hAnsi="Times New Roman" w:eastAsia="宋体"/>
                <w:b w:val="0"/>
                <w:sz w:val="19"/>
              </w:rPr>
              <w:t>1000.0</w:t>
            </w:r>
          </w:p>
        </w:tc>
        <w:tc>
          <w:tcPr>
            <w:tcW w:type="dxa" w:w="2041"/>
          </w:tcPr>
          <w:p>
            <w:pPr>
              <w:spacing w:before="40" w:after="40" w:line="240" w:lineRule="auto"/>
              <w:jc w:val="center"/>
            </w:pPr>
            <w:r/>
            <w:r>
              <w:rPr>
                <w:rFonts w:ascii="Times New Roman" w:hAnsi="Times New Roman" w:eastAsia="宋体"/>
                <w:b w:val="0"/>
                <w:sz w:val="19"/>
              </w:rPr>
              <w:t>100.0</w:t>
            </w:r>
          </w:p>
        </w:tc>
        <w:tc>
          <w:tcPr>
            <w:tcW w:type="dxa" w:w="2381"/>
          </w:tcPr>
          <w:p>
            <w:pPr>
              <w:spacing w:before="40" w:after="40" w:line="240" w:lineRule="auto"/>
              <w:jc w:val="center"/>
            </w:pPr>
            <w:r/>
            <w:r>
              <w:rPr>
                <w:rFonts w:ascii="Times New Roman" w:hAnsi="Times New Roman" w:eastAsia="宋体"/>
                <w:b w:val="0"/>
                <w:sz w:val="19"/>
              </w:rPr>
              <w:t>0.4</w:t>
            </w:r>
          </w:p>
        </w:tc>
      </w:tr>
      <w:tr>
        <w:tc>
          <w:tcPr>
            <w:tcW w:type="dxa" w:w="1928"/>
            <w:tcBorders>
              <w:bottom w:val="single" w:sz="12" w:space="0" w:color="000000"/>
            </w:tcBorders>
          </w:tcPr>
          <w:p>
            <w:pPr>
              <w:spacing w:before="40" w:after="40" w:line="240" w:lineRule="auto"/>
              <w:jc w:val="left"/>
            </w:pPr>
            <w:r/>
            <w:r>
              <w:rPr>
                <w:rFonts w:ascii="Times New Roman" w:hAnsi="Times New Roman" w:eastAsia="宋体"/>
                <w:b w:val="0"/>
                <w:sz w:val="19"/>
              </w:rPr>
              <w:t>8</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9"/>
              </w:rPr>
              <w:t>1000.0</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100.0</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0.0</w:t>
            </w:r>
          </w:p>
        </w:tc>
      </w:tr>
    </w:tbl>
    <w:p>
      <w:pPr>
        <w:spacing w:before="0" w:after="160" w:line="240" w:lineRule="auto"/>
        <w:jc w:val="left"/>
      </w:pPr>
    </w:p>
    <w:p>
      <w:pPr>
        <w:keepNext/>
        <w:spacing w:before="120" w:after="0" w:line="240" w:lineRule="auto"/>
        <w:jc w:val="center"/>
      </w:pPr>
      <w:r>
        <w:drawing>
          <wp:inline xmlns:a="http://schemas.openxmlformats.org/drawingml/2006/main" xmlns:pic="http://schemas.openxmlformats.org/drawingml/2006/picture">
            <wp:extent cx="5580000" cy="2599010"/>
            <wp:docPr id="5" name="Picture 5"/>
            <wp:cNvGraphicFramePr>
              <a:graphicFrameLocks noChangeAspect="1"/>
            </wp:cNvGraphicFramePr>
            <a:graphic>
              <a:graphicData uri="http://schemas.openxmlformats.org/drawingml/2006/picture">
                <pic:pic>
                  <pic:nvPicPr>
                    <pic:cNvPr id="0" name="p4_d1_siting.png"/>
                    <pic:cNvPicPr/>
                  </pic:nvPicPr>
                  <pic:blipFill>
                    <a:blip r:embed="rId13"/>
                    <a:stretch>
                      <a:fillRect/>
                    </a:stretch>
                  </pic:blipFill>
                  <pic:spPr>
                    <a:xfrm>
                      <a:off x="0" y="0"/>
                      <a:ext cx="5580000" cy="2599010"/>
                    </a:xfrm>
                    <a:prstGeom prst="rect"/>
                  </pic:spPr>
                </pic:pic>
              </a:graphicData>
            </a:graphic>
          </wp:inline>
        </w:drawing>
      </w:r>
    </w:p>
    <w:p>
      <w:pPr>
        <w:spacing w:before="40" w:after="160" w:line="240" w:lineRule="auto"/>
        <w:jc w:val="center"/>
      </w:pPr>
      <w:r>
        <w:rPr>
          <w:rFonts w:ascii="Times New Roman" w:hAnsi="Times New Roman" w:eastAsia="黑体"/>
          <w:b w:val="0"/>
          <w:sz w:val="21"/>
        </w:rPr>
        <w:t>图 5  需求分布、选址结果与覆盖率的边际递减</w:t>
      </w:r>
    </w:p>
    <w:p>
      <w:pPr>
        <w:keepNext/>
        <w:spacing w:before="160" w:after="80" w:line="360" w:lineRule="auto"/>
        <w:jc w:val="left"/>
      </w:pPr>
      <w:r>
        <w:rPr>
          <w:rFonts w:ascii="Times New Roman" w:hAnsi="Times New Roman" w:eastAsia="黑体"/>
          <w:b w:val="0"/>
          <w:sz w:val="28"/>
        </w:rPr>
        <w:t>4.3  三种布点方案的比较</w:t>
      </w:r>
    </w:p>
    <w:p>
      <w:pPr>
        <w:spacing w:before="0" w:after="0" w:line="360" w:lineRule="auto"/>
        <w:ind w:firstLine="480"/>
        <w:jc w:val="both"/>
      </w:pPr>
      <w:r>
        <w:rPr>
          <w:rFonts w:ascii="Times New Roman" w:hAnsi="Times New Roman" w:eastAsia="宋体"/>
          <w:b w:val="0"/>
          <w:sz w:val="24"/>
        </w:rPr>
        <w:t>优化选址的主要价值不在于提高覆盖率，而在于在满足硬性安全约束的同时不牺牲覆盖率，这是一个反直觉但重要的结论，如表 3 与图 6 所示。均匀等间距布点的需求覆盖率（85.2%）与最优布点（87.8%）相差不大，但其与敏感点的最小距离仅 15.8 米，明显低于 25 米的回避要求，敏感点暴露代理值也是三者中最高；而最优布点在满足回避约束的前提下（最小距离 28.3 米）达到了更高的覆盖率。</w:t>
      </w:r>
      <w:r>
        <w:rPr>
          <w:rFonts w:ascii="Times New Roman" w:hAnsi="Times New Roman" w:eastAsia="宋体"/>
          <w:b/>
          <w:sz w:val="24"/>
        </w:rPr>
        <w:t>这说明凭经验均匀布置这一常见做法恰恰在安全约束上最容易失守</w:t>
      </w:r>
      <w:r>
        <w:rPr>
          <w:rFonts w:ascii="Times New Roman" w:hAnsi="Times New Roman" w:eastAsia="宋体"/>
          <w:b w:val="0"/>
          <w:sz w:val="24"/>
        </w:rPr>
        <w:t>，而这类失守在建成之后极难纠正。</w:t>
      </w:r>
    </w:p>
    <w:p>
      <w:pPr>
        <w:keepNext/>
        <w:spacing w:before="160" w:after="40" w:line="240" w:lineRule="auto"/>
        <w:jc w:val="center"/>
      </w:pPr>
      <w:r>
        <w:rPr>
          <w:rFonts w:ascii="Times New Roman" w:hAnsi="Times New Roman" w:eastAsia="黑体"/>
          <w:b w:val="0"/>
          <w:sz w:val="21"/>
        </w:rPr>
        <w:t>表 3  三种布点方案的比较（p=4）</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226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布点方案</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需求覆盖率 / %</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与敏感点最小距离 / m</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是否满足回避约束</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敏感点暴露代理值</w:t>
            </w:r>
          </w:p>
        </w:tc>
      </w:tr>
      <w:tr>
        <w:tc>
          <w:tcPr>
            <w:tcW w:type="dxa" w:w="2268"/>
          </w:tcPr>
          <w:p>
            <w:pPr>
              <w:spacing w:before="40" w:after="40" w:line="240" w:lineRule="auto"/>
              <w:jc w:val="left"/>
            </w:pPr>
            <w:r/>
            <w:r>
              <w:rPr>
                <w:rFonts w:ascii="Times New Roman" w:hAnsi="Times New Roman" w:eastAsia="宋体"/>
                <w:b w:val="0"/>
                <w:sz w:val="19"/>
              </w:rPr>
              <w:t>随机布点（均值）</w:t>
            </w:r>
          </w:p>
        </w:tc>
        <w:tc>
          <w:tcPr>
            <w:tcW w:type="dxa" w:w="1814"/>
          </w:tcPr>
          <w:p>
            <w:pPr>
              <w:spacing w:before="40" w:after="40" w:line="240" w:lineRule="auto"/>
              <w:jc w:val="center"/>
            </w:pPr>
            <w:r/>
            <w:r>
              <w:rPr>
                <w:rFonts w:ascii="Times New Roman" w:hAnsi="Times New Roman" w:eastAsia="宋体"/>
                <w:b w:val="0"/>
                <w:sz w:val="19"/>
              </w:rPr>
              <w:t>59.5</w:t>
            </w:r>
          </w:p>
        </w:tc>
        <w:tc>
          <w:tcPr>
            <w:tcW w:type="dxa" w:w="2268"/>
          </w:tcPr>
          <w:p>
            <w:pPr>
              <w:spacing w:before="40" w:after="40" w:line="240" w:lineRule="auto"/>
              <w:jc w:val="center"/>
            </w:pPr>
            <w:r/>
            <w:r>
              <w:rPr>
                <w:rFonts w:ascii="Times New Roman" w:hAnsi="Times New Roman" w:eastAsia="宋体"/>
                <w:b w:val="0"/>
                <w:sz w:val="19"/>
              </w:rPr>
              <w:t>32.7</w:t>
            </w:r>
          </w:p>
        </w:tc>
        <w:tc>
          <w:tcPr>
            <w:tcW w:type="dxa" w:w="1814"/>
          </w:tcPr>
          <w:p>
            <w:pPr>
              <w:spacing w:before="40" w:after="40" w:line="240" w:lineRule="auto"/>
              <w:jc w:val="center"/>
            </w:pPr>
            <w:r/>
            <w:r>
              <w:rPr>
                <w:rFonts w:ascii="Times New Roman" w:hAnsi="Times New Roman" w:eastAsia="宋体"/>
                <w:b w:val="0"/>
                <w:sz w:val="19"/>
              </w:rPr>
              <w:t>满足</w:t>
            </w:r>
          </w:p>
        </w:tc>
        <w:tc>
          <w:tcPr>
            <w:tcW w:type="dxa" w:w="1928"/>
          </w:tcPr>
          <w:p>
            <w:pPr>
              <w:spacing w:before="40" w:after="40" w:line="240" w:lineRule="auto"/>
              <w:jc w:val="center"/>
            </w:pPr>
            <w:r/>
            <w:r>
              <w:rPr>
                <w:rFonts w:ascii="Times New Roman" w:hAnsi="Times New Roman" w:eastAsia="宋体"/>
                <w:b w:val="0"/>
                <w:sz w:val="19"/>
              </w:rPr>
              <w:t>166.2</w:t>
            </w:r>
          </w:p>
        </w:tc>
      </w:tr>
      <w:tr>
        <w:tc>
          <w:tcPr>
            <w:tcW w:type="dxa" w:w="2268"/>
          </w:tcPr>
          <w:p>
            <w:pPr>
              <w:spacing w:before="40" w:after="40" w:line="240" w:lineRule="auto"/>
              <w:jc w:val="left"/>
            </w:pPr>
            <w:r/>
            <w:r>
              <w:rPr>
                <w:rFonts w:ascii="Times New Roman" w:hAnsi="Times New Roman" w:eastAsia="宋体"/>
                <w:b w:val="0"/>
                <w:sz w:val="19"/>
              </w:rPr>
              <w:t>均匀等间距布点</w:t>
            </w:r>
          </w:p>
        </w:tc>
        <w:tc>
          <w:tcPr>
            <w:tcW w:type="dxa" w:w="1814"/>
          </w:tcPr>
          <w:p>
            <w:pPr>
              <w:spacing w:before="40" w:after="40" w:line="240" w:lineRule="auto"/>
              <w:jc w:val="center"/>
            </w:pPr>
            <w:r/>
            <w:r>
              <w:rPr>
                <w:rFonts w:ascii="Times New Roman" w:hAnsi="Times New Roman" w:eastAsia="宋体"/>
                <w:b w:val="0"/>
                <w:sz w:val="19"/>
              </w:rPr>
              <w:t>85.2</w:t>
            </w:r>
          </w:p>
        </w:tc>
        <w:tc>
          <w:tcPr>
            <w:tcW w:type="dxa" w:w="2268"/>
          </w:tcPr>
          <w:p>
            <w:pPr>
              <w:spacing w:before="40" w:after="40" w:line="240" w:lineRule="auto"/>
              <w:jc w:val="center"/>
            </w:pPr>
            <w:r/>
            <w:r>
              <w:rPr>
                <w:rFonts w:ascii="Times New Roman" w:hAnsi="Times New Roman" w:eastAsia="宋体"/>
                <w:b w:val="0"/>
                <w:sz w:val="19"/>
              </w:rPr>
              <w:t>15.8</w:t>
            </w:r>
          </w:p>
        </w:tc>
        <w:tc>
          <w:tcPr>
            <w:tcW w:type="dxa" w:w="1814"/>
          </w:tcPr>
          <w:p>
            <w:pPr>
              <w:spacing w:before="40" w:after="40" w:line="240" w:lineRule="auto"/>
              <w:jc w:val="center"/>
            </w:pPr>
            <w:r/>
            <w:r>
              <w:rPr>
                <w:rFonts w:ascii="Times New Roman" w:hAnsi="Times New Roman" w:eastAsia="宋体"/>
                <w:b w:val="0"/>
                <w:sz w:val="19"/>
              </w:rPr>
              <w:t>**不满足**</w:t>
            </w:r>
          </w:p>
        </w:tc>
        <w:tc>
          <w:tcPr>
            <w:tcW w:type="dxa" w:w="1928"/>
          </w:tcPr>
          <w:p>
            <w:pPr>
              <w:spacing w:before="40" w:after="40" w:line="240" w:lineRule="auto"/>
              <w:jc w:val="center"/>
            </w:pPr>
            <w:r/>
            <w:r>
              <w:rPr>
                <w:rFonts w:ascii="Times New Roman" w:hAnsi="Times New Roman" w:eastAsia="宋体"/>
                <w:b w:val="0"/>
                <w:sz w:val="19"/>
              </w:rPr>
              <w:t>250.5</w:t>
            </w:r>
          </w:p>
        </w:tc>
      </w:tr>
      <w:tr>
        <w:tc>
          <w:tcPr>
            <w:tcW w:type="dxa" w:w="2268"/>
            <w:tcBorders>
              <w:bottom w:val="single" w:sz="12" w:space="0" w:color="000000"/>
            </w:tcBorders>
          </w:tcPr>
          <w:p>
            <w:pPr>
              <w:spacing w:before="40" w:after="40" w:line="240" w:lineRule="auto"/>
              <w:jc w:val="left"/>
            </w:pPr>
            <w:r/>
            <w:r>
              <w:rPr>
                <w:rFonts w:ascii="Times New Roman" w:hAnsi="Times New Roman" w:eastAsia="宋体"/>
                <w:b w:val="0"/>
                <w:sz w:val="19"/>
              </w:rPr>
              <w:t>MCLP 最优布点</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87.8</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9"/>
              </w:rPr>
              <w:t>28.3</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满足</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9"/>
              </w:rPr>
              <w:t>205.1</w:t>
            </w:r>
          </w:p>
        </w:tc>
      </w:tr>
    </w:tbl>
    <w:p>
      <w:pPr>
        <w:spacing w:before="40" w:after="160" w:line="240" w:lineRule="auto"/>
        <w:ind w:firstLine="0"/>
        <w:jc w:val="left"/>
      </w:pPr>
      <w:r>
        <w:rPr>
          <w:rFonts w:ascii="Times New Roman" w:hAnsi="Times New Roman" w:eastAsia="宋体"/>
          <w:b w:val="0"/>
          <w:sz w:val="18"/>
        </w:rPr>
        <w:t>注：暴露代理值＝Σ（各点服务需求量÷(1＋该点至最近敏感点距离/10)），值越小越好。</w:t>
      </w:r>
    </w:p>
    <w:p>
      <w:pPr>
        <w:keepNext/>
        <w:spacing w:before="120" w:after="0" w:line="240" w:lineRule="auto"/>
        <w:jc w:val="center"/>
      </w:pPr>
      <w:r>
        <w:drawing>
          <wp:inline xmlns:a="http://schemas.openxmlformats.org/drawingml/2006/main" xmlns:pic="http://schemas.openxmlformats.org/drawingml/2006/picture">
            <wp:extent cx="5400000" cy="2858055"/>
            <wp:docPr id="6" name="Picture 6"/>
            <wp:cNvGraphicFramePr>
              <a:graphicFrameLocks noChangeAspect="1"/>
            </wp:cNvGraphicFramePr>
            <a:graphic>
              <a:graphicData uri="http://schemas.openxmlformats.org/drawingml/2006/picture">
                <pic:pic>
                  <pic:nvPicPr>
                    <pic:cNvPr id="0" name="p4_d2_effect.png"/>
                    <pic:cNvPicPr/>
                  </pic:nvPicPr>
                  <pic:blipFill>
                    <a:blip r:embed="rId14"/>
                    <a:stretch>
                      <a:fillRect/>
                    </a:stretch>
                  </pic:blipFill>
                  <pic:spPr>
                    <a:xfrm>
                      <a:off x="0" y="0"/>
                      <a:ext cx="5400000" cy="2858055"/>
                    </a:xfrm>
                    <a:prstGeom prst="rect"/>
                  </pic:spPr>
                </pic:pic>
              </a:graphicData>
            </a:graphic>
          </wp:inline>
        </w:drawing>
      </w:r>
    </w:p>
    <w:p>
      <w:pPr>
        <w:spacing w:before="40" w:after="160" w:line="240" w:lineRule="auto"/>
        <w:jc w:val="center"/>
      </w:pPr>
      <w:r>
        <w:rPr>
          <w:rFonts w:ascii="Times New Roman" w:hAnsi="Times New Roman" w:eastAsia="黑体"/>
          <w:b w:val="0"/>
          <w:sz w:val="21"/>
        </w:rPr>
        <w:t>图 6  布点方案的双目标表现与烟蒂削减效果</w:t>
      </w:r>
    </w:p>
    <w:p>
      <w:pPr>
        <w:keepNext/>
        <w:spacing w:before="160" w:after="80" w:line="360" w:lineRule="auto"/>
        <w:jc w:val="left"/>
      </w:pPr>
      <w:r>
        <w:rPr>
          <w:rFonts w:ascii="Times New Roman" w:hAnsi="Times New Roman" w:eastAsia="黑体"/>
          <w:b w:val="0"/>
          <w:sz w:val="28"/>
        </w:rPr>
        <w:t>4.4  设施供给与助推设计的叠加效应</w:t>
      </w:r>
    </w:p>
    <w:p>
      <w:pPr>
        <w:spacing w:before="0" w:after="0" w:line="360" w:lineRule="auto"/>
        <w:ind w:firstLine="480"/>
        <w:jc w:val="both"/>
      </w:pPr>
      <w:r>
        <w:rPr>
          <w:rFonts w:ascii="Times New Roman" w:hAnsi="Times New Roman" w:eastAsia="宋体"/>
          <w:b w:val="0"/>
          <w:sz w:val="24"/>
        </w:rPr>
        <w:t>覆盖率并不直接等于治理效果，中间隔着行为响应这一环节，需要单独建模。设规范使用概率随到最近吸烟点的距离衰减，如式（2）所示，其中 d₀ 为步行意愿的距离衰减尺度；助推设计（收集装置两步可及、地面导引、高识别度标识）为服务半径内的使用者带来额外的规范率提升 Δu。</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u(d)=</m:t>
              </m:r>
              <m:r>
                <m:rPr>
                  <m:sty m:val="p"/>
                </m:rPr>
                <m:t xml:space="preserve">exp</m:t>
              </m:r>
              <m:r>
                <m:t xml:space="preserve">(-</m:t>
              </m:r>
              <m:f>
                <m:fPr>
                  <m:type m:val="bar"/>
                </m:fPr>
                <m:num>
                  <m:r>
                    <m:t xml:space="preserve">d</m:t>
                  </m:r>
                </m:num>
                <m:den>
                  <m:sSub>
                    <m:e>
                      <m:r>
                        <m:t xml:space="preserve">d</m:t>
                      </m:r>
                    </m:e>
                    <m:sub>
                      <m:r>
                        <m:t xml:space="preserve">0</m:t>
                      </m:r>
                    </m:sub>
                  </m:sSub>
                </m:den>
              </m:f>
              <m:r>
                <m:t xml:space="preserve">)+Δ u·mathbb{1}(d≤ R)</m:t>
              </m:r>
            </m:oMath>
          </w:p>
        </w:tc>
        <w:tc>
          <w:tcPr>
            <w:tcW w:type="dxa" w:w="1134"/>
          </w:tcPr>
          <w:p>
            <w:pPr>
              <w:spacing w:before="120" w:after="120" w:line="360" w:lineRule="auto"/>
              <w:jc w:val="right"/>
            </w:pPr>
            <w:r>
              <w:rPr>
                <w:rFonts w:ascii="Times New Roman" w:hAnsi="Times New Roman" w:eastAsia="宋体"/>
                <w:b w:val="0"/>
                <w:sz w:val="24"/>
              </w:rPr>
              <w:t>（2）</w:t>
            </w:r>
          </w:p>
        </w:tc>
      </w:tr>
    </w:tbl>
    <w:p>
      <w:pPr>
        <w:spacing w:before="0" w:after="0" w:line="360" w:lineRule="auto"/>
        <w:ind w:firstLine="480"/>
        <w:jc w:val="both"/>
      </w:pPr>
      <w:r>
        <w:rPr>
          <w:rFonts w:ascii="Times New Roman" w:hAnsi="Times New Roman" w:eastAsia="宋体"/>
          <w:b w:val="0"/>
          <w:sz w:val="24"/>
        </w:rPr>
        <w:t>日烟蒂落地量即为未规范使用部分的需求量之和，如式（3）所示。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Q=</m:t>
              </m:r>
              <m:nary>
                <m:naryPr>
                  <m:chr m:val="∑"/>
                  <m:limLoc m:val="undOvr"/>
                  <m:supHide m:val="1"/>
                  <m:grow m:val="1"/>
                </m:naryPr>
                <m:sub>
                  <m:r>
                    <m:t xml:space="preserve">i∈ I</m:t>
                  </m:r>
                </m:sub>
                <m:sup/>
                <m:e/>
              </m:nary>
              <m:sSub>
                <m:e>
                  <m:r>
                    <m:t xml:space="preserve">w</m:t>
                  </m:r>
                </m:e>
                <m:sub>
                  <m:r>
                    <m:t xml:space="preserve">i</m:t>
                  </m:r>
                </m:sub>
              </m:sSub>
              <m:r>
                <m:t xml:space="preserve">[1-u(</m:t>
              </m:r>
              <m:sSub>
                <m:e>
                  <m:r>
                    <m:t xml:space="preserve">d</m:t>
                  </m:r>
                </m:e>
                <m:sub>
                  <m:r>
                    <m:t xml:space="preserve">i</m:t>
                  </m:r>
                </m:sub>
              </m:sSub>
              <m:r>
                <m:t xml:space="preserve">)]</m:t>
              </m:r>
            </m:oMath>
          </w:p>
        </w:tc>
        <w:tc>
          <w:tcPr>
            <w:tcW w:type="dxa" w:w="1134"/>
          </w:tcPr>
          <w:p>
            <w:pPr>
              <w:spacing w:before="120" w:after="120" w:line="360" w:lineRule="auto"/>
              <w:jc w:val="right"/>
            </w:pPr>
            <w:r>
              <w:rPr>
                <w:rFonts w:ascii="Times New Roman" w:hAnsi="Times New Roman" w:eastAsia="宋体"/>
                <w:b w:val="0"/>
                <w:sz w:val="24"/>
              </w:rPr>
              <w:t>（3）</w:t>
            </w:r>
          </w:p>
        </w:tc>
      </w:tr>
    </w:tbl>
    <w:p>
      <w:pPr>
        <w:spacing w:before="0" w:after="0" w:line="360" w:lineRule="auto"/>
        <w:ind w:firstLine="480"/>
        <w:jc w:val="both"/>
      </w:pPr>
      <w:r>
        <w:rPr>
          <w:rFonts w:ascii="Times New Roman" w:hAnsi="Times New Roman" w:eastAsia="宋体"/>
          <w:b w:val="0"/>
          <w:sz w:val="24"/>
        </w:rPr>
        <w:t>测算结果给出一条对预算分配有直接意义的结论，如表 4 所示。从均匀布点 4 个到最优布点 4 个，削减率仅从 31.5% 提高到 31.7%——在烟蒂落地这一指标上优化选址的增益有限（其主要价值在于降低敏感点暴露，见表 3）；但从最优布点 4 个到最优布点 4 个加助推设计，削减率由 31.7% 跃升至 44.6%，提高 12.9 个百分点，而从 4 个点增至 6 个点（并保留助推设计）仅再提高 7.6 个百分点。</w:t>
      </w:r>
      <w:r>
        <w:rPr>
          <w:rFonts w:ascii="Times New Roman" w:hAnsi="Times New Roman" w:eastAsia="宋体"/>
          <w:b/>
          <w:sz w:val="24"/>
        </w:rPr>
        <w:t>即在已有 4 个点的基础上，改进助推设计比再增设 2 个点更有效，而成本远低于后者。</w:t>
      </w:r>
      <w:r>
        <w:rPr>
          <w:rFonts w:ascii="Times New Roman" w:hAnsi="Times New Roman" w:eastAsia="宋体"/>
          <w:b w:val="0"/>
          <w:sz w:val="24"/>
        </w:rPr>
        <w:t>这提示实践中的资源投向应当是先把已有点位的设计做到位，再考虑增设点位。</w:t>
      </w:r>
    </w:p>
    <w:p>
      <w:pPr>
        <w:keepNext/>
        <w:spacing w:before="160" w:after="40" w:line="240" w:lineRule="auto"/>
        <w:jc w:val="center"/>
      </w:pPr>
      <w:r>
        <w:rPr>
          <w:rFonts w:ascii="Times New Roman" w:hAnsi="Times New Roman" w:eastAsia="黑体"/>
          <w:b w:val="0"/>
          <w:sz w:val="21"/>
        </w:rPr>
        <w:t>表 4  设施供给与助推设计的叠加效应</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3175"/>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方案</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日烟蒂落地量 / 支</w:t>
            </w:r>
          </w:p>
        </w:tc>
        <w:tc>
          <w:tcPr>
            <w:tcW w:type="dxa" w:w="215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较无设施基线削减 / %</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相对上一方案的增量 / 个百分点</w:t>
            </w:r>
          </w:p>
        </w:tc>
      </w:tr>
      <w:tr>
        <w:tc>
          <w:tcPr>
            <w:tcW w:type="dxa" w:w="3175"/>
          </w:tcPr>
          <w:p>
            <w:pPr>
              <w:spacing w:before="40" w:after="40" w:line="240" w:lineRule="auto"/>
              <w:jc w:val="left"/>
            </w:pPr>
            <w:r/>
            <w:r>
              <w:rPr>
                <w:rFonts w:ascii="Times New Roman" w:hAnsi="Times New Roman" w:eastAsia="宋体"/>
                <w:b w:val="0"/>
                <w:sz w:val="19"/>
              </w:rPr>
              <w:t>无吸烟点（基线）</w:t>
            </w:r>
          </w:p>
        </w:tc>
        <w:tc>
          <w:tcPr>
            <w:tcW w:type="dxa" w:w="1928"/>
          </w:tcPr>
          <w:p>
            <w:pPr>
              <w:spacing w:before="40" w:after="40" w:line="240" w:lineRule="auto"/>
              <w:jc w:val="center"/>
            </w:pPr>
            <w:r/>
            <w:r>
              <w:rPr>
                <w:rFonts w:ascii="Times New Roman" w:hAnsi="Times New Roman" w:eastAsia="宋体"/>
                <w:b w:val="0"/>
                <w:sz w:val="19"/>
              </w:rPr>
              <w:t>1000.0</w:t>
            </w:r>
          </w:p>
        </w:tc>
        <w:tc>
          <w:tcPr>
            <w:tcW w:type="dxa" w:w="2154"/>
          </w:tcPr>
          <w:p>
            <w:pPr>
              <w:spacing w:before="40" w:after="40" w:line="240" w:lineRule="auto"/>
              <w:jc w:val="center"/>
            </w:pPr>
            <w:r/>
            <w:r>
              <w:rPr>
                <w:rFonts w:ascii="Times New Roman" w:hAnsi="Times New Roman" w:eastAsia="宋体"/>
                <w:b w:val="0"/>
                <w:sz w:val="19"/>
              </w:rPr>
              <w:t>0.0</w:t>
            </w:r>
          </w:p>
        </w:tc>
        <w:tc>
          <w:tcPr>
            <w:tcW w:type="dxa" w:w="2381"/>
          </w:tcPr>
          <w:p>
            <w:pPr>
              <w:spacing w:before="40" w:after="40" w:line="240" w:lineRule="auto"/>
              <w:jc w:val="center"/>
            </w:pPr>
            <w:r/>
            <w:r>
              <w:rPr>
                <w:rFonts w:ascii="Times New Roman" w:hAnsi="Times New Roman" w:eastAsia="宋体"/>
                <w:b w:val="0"/>
                <w:sz w:val="19"/>
              </w:rPr>
              <w:t>—</w:t>
            </w:r>
          </w:p>
        </w:tc>
      </w:tr>
      <w:tr>
        <w:tc>
          <w:tcPr>
            <w:tcW w:type="dxa" w:w="3175"/>
          </w:tcPr>
          <w:p>
            <w:pPr>
              <w:spacing w:before="40" w:after="40" w:line="240" w:lineRule="auto"/>
              <w:jc w:val="left"/>
            </w:pPr>
            <w:r/>
            <w:r>
              <w:rPr>
                <w:rFonts w:ascii="Times New Roman" w:hAnsi="Times New Roman" w:eastAsia="宋体"/>
                <w:b w:val="0"/>
                <w:sz w:val="19"/>
              </w:rPr>
              <w:t>均匀布点 4 个</w:t>
            </w:r>
          </w:p>
        </w:tc>
        <w:tc>
          <w:tcPr>
            <w:tcW w:type="dxa" w:w="1928"/>
          </w:tcPr>
          <w:p>
            <w:pPr>
              <w:spacing w:before="40" w:after="40" w:line="240" w:lineRule="auto"/>
              <w:jc w:val="center"/>
            </w:pPr>
            <w:r/>
            <w:r>
              <w:rPr>
                <w:rFonts w:ascii="Times New Roman" w:hAnsi="Times New Roman" w:eastAsia="宋体"/>
                <w:b w:val="0"/>
                <w:sz w:val="19"/>
              </w:rPr>
              <w:t>685.0</w:t>
            </w:r>
          </w:p>
        </w:tc>
        <w:tc>
          <w:tcPr>
            <w:tcW w:type="dxa" w:w="2154"/>
          </w:tcPr>
          <w:p>
            <w:pPr>
              <w:spacing w:before="40" w:after="40" w:line="240" w:lineRule="auto"/>
              <w:jc w:val="center"/>
            </w:pPr>
            <w:r/>
            <w:r>
              <w:rPr>
                <w:rFonts w:ascii="Times New Roman" w:hAnsi="Times New Roman" w:eastAsia="宋体"/>
                <w:b w:val="0"/>
                <w:sz w:val="19"/>
              </w:rPr>
              <w:t>31.5</w:t>
            </w:r>
          </w:p>
        </w:tc>
        <w:tc>
          <w:tcPr>
            <w:tcW w:type="dxa" w:w="2381"/>
          </w:tcPr>
          <w:p>
            <w:pPr>
              <w:spacing w:before="40" w:after="40" w:line="240" w:lineRule="auto"/>
              <w:jc w:val="center"/>
            </w:pPr>
            <w:r/>
            <w:r>
              <w:rPr>
                <w:rFonts w:ascii="Times New Roman" w:hAnsi="Times New Roman" w:eastAsia="宋体"/>
                <w:b w:val="0"/>
                <w:sz w:val="19"/>
              </w:rPr>
              <w:t>+31.5</w:t>
            </w:r>
          </w:p>
        </w:tc>
      </w:tr>
      <w:tr>
        <w:tc>
          <w:tcPr>
            <w:tcW w:type="dxa" w:w="3175"/>
          </w:tcPr>
          <w:p>
            <w:pPr>
              <w:spacing w:before="40" w:after="40" w:line="240" w:lineRule="auto"/>
              <w:jc w:val="left"/>
            </w:pPr>
            <w:r/>
            <w:r>
              <w:rPr>
                <w:rFonts w:ascii="Times New Roman" w:hAnsi="Times New Roman" w:eastAsia="宋体"/>
                <w:b w:val="0"/>
                <w:sz w:val="19"/>
              </w:rPr>
              <w:t>MCLP 最优 4 个</w:t>
            </w:r>
          </w:p>
        </w:tc>
        <w:tc>
          <w:tcPr>
            <w:tcW w:type="dxa" w:w="1928"/>
          </w:tcPr>
          <w:p>
            <w:pPr>
              <w:spacing w:before="40" w:after="40" w:line="240" w:lineRule="auto"/>
              <w:jc w:val="center"/>
            </w:pPr>
            <w:r/>
            <w:r>
              <w:rPr>
                <w:rFonts w:ascii="Times New Roman" w:hAnsi="Times New Roman" w:eastAsia="宋体"/>
                <w:b w:val="0"/>
                <w:sz w:val="19"/>
              </w:rPr>
              <w:t>683.4</w:t>
            </w:r>
          </w:p>
        </w:tc>
        <w:tc>
          <w:tcPr>
            <w:tcW w:type="dxa" w:w="2154"/>
          </w:tcPr>
          <w:p>
            <w:pPr>
              <w:spacing w:before="40" w:after="40" w:line="240" w:lineRule="auto"/>
              <w:jc w:val="center"/>
            </w:pPr>
            <w:r/>
            <w:r>
              <w:rPr>
                <w:rFonts w:ascii="Times New Roman" w:hAnsi="Times New Roman" w:eastAsia="宋体"/>
                <w:b w:val="0"/>
                <w:sz w:val="19"/>
              </w:rPr>
              <w:t>31.7</w:t>
            </w:r>
          </w:p>
        </w:tc>
        <w:tc>
          <w:tcPr>
            <w:tcW w:type="dxa" w:w="2381"/>
          </w:tcPr>
          <w:p>
            <w:pPr>
              <w:spacing w:before="40" w:after="40" w:line="240" w:lineRule="auto"/>
              <w:jc w:val="center"/>
            </w:pPr>
            <w:r/>
            <w:r>
              <w:rPr>
                <w:rFonts w:ascii="Times New Roman" w:hAnsi="Times New Roman" w:eastAsia="宋体"/>
                <w:b w:val="0"/>
                <w:sz w:val="19"/>
              </w:rPr>
              <w:t>+0.2</w:t>
            </w:r>
          </w:p>
        </w:tc>
      </w:tr>
      <w:tr>
        <w:tc>
          <w:tcPr>
            <w:tcW w:type="dxa" w:w="3175"/>
          </w:tcPr>
          <w:p>
            <w:pPr>
              <w:spacing w:before="40" w:after="40" w:line="240" w:lineRule="auto"/>
              <w:jc w:val="left"/>
            </w:pPr>
            <w:r/>
            <w:r>
              <w:rPr>
                <w:rFonts w:ascii="Times New Roman" w:hAnsi="Times New Roman" w:eastAsia="宋体"/>
                <w:b w:val="0"/>
                <w:sz w:val="19"/>
              </w:rPr>
              <w:t>MCLP 最优 4 个 + 助推设计</w:t>
            </w:r>
          </w:p>
        </w:tc>
        <w:tc>
          <w:tcPr>
            <w:tcW w:type="dxa" w:w="1928"/>
          </w:tcPr>
          <w:p>
            <w:pPr>
              <w:spacing w:before="40" w:after="40" w:line="240" w:lineRule="auto"/>
              <w:jc w:val="center"/>
            </w:pPr>
            <w:r/>
            <w:r>
              <w:rPr>
                <w:rFonts w:ascii="Times New Roman" w:hAnsi="Times New Roman" w:eastAsia="宋体"/>
                <w:b w:val="0"/>
                <w:sz w:val="19"/>
              </w:rPr>
              <w:t>554.1</w:t>
            </w:r>
          </w:p>
        </w:tc>
        <w:tc>
          <w:tcPr>
            <w:tcW w:type="dxa" w:w="2154"/>
          </w:tcPr>
          <w:p>
            <w:pPr>
              <w:spacing w:before="40" w:after="40" w:line="240" w:lineRule="auto"/>
              <w:jc w:val="center"/>
            </w:pPr>
            <w:r/>
            <w:r>
              <w:rPr>
                <w:rFonts w:ascii="Times New Roman" w:hAnsi="Times New Roman" w:eastAsia="宋体"/>
                <w:b w:val="0"/>
                <w:sz w:val="19"/>
              </w:rPr>
              <w:t>44.6</w:t>
            </w:r>
          </w:p>
        </w:tc>
        <w:tc>
          <w:tcPr>
            <w:tcW w:type="dxa" w:w="2381"/>
          </w:tcPr>
          <w:p>
            <w:pPr>
              <w:spacing w:before="40" w:after="40" w:line="240" w:lineRule="auto"/>
              <w:jc w:val="center"/>
            </w:pPr>
            <w:r/>
            <w:r>
              <w:rPr>
                <w:rFonts w:ascii="Times New Roman" w:hAnsi="Times New Roman" w:eastAsia="宋体"/>
                <w:b w:val="0"/>
                <w:sz w:val="19"/>
              </w:rPr>
              <w:t>+12.9</w:t>
            </w:r>
          </w:p>
        </w:tc>
      </w:tr>
      <w:tr>
        <w:tc>
          <w:tcPr>
            <w:tcW w:type="dxa" w:w="3175"/>
            <w:tcBorders>
              <w:bottom w:val="single" w:sz="12" w:space="0" w:color="000000"/>
            </w:tcBorders>
          </w:tcPr>
          <w:p>
            <w:pPr>
              <w:spacing w:before="40" w:after="40" w:line="240" w:lineRule="auto"/>
              <w:jc w:val="left"/>
            </w:pPr>
            <w:r/>
            <w:r>
              <w:rPr>
                <w:rFonts w:ascii="Times New Roman" w:hAnsi="Times New Roman" w:eastAsia="宋体"/>
                <w:b w:val="0"/>
                <w:sz w:val="19"/>
              </w:rPr>
              <w:t>MCLP 最优 6 个 + 助推设计</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9"/>
              </w:rPr>
              <w:t>477.8</w:t>
            </w:r>
          </w:p>
        </w:tc>
        <w:tc>
          <w:tcPr>
            <w:tcW w:type="dxa" w:w="2154"/>
            <w:tcBorders>
              <w:bottom w:val="single" w:sz="12" w:space="0" w:color="000000"/>
            </w:tcBorders>
          </w:tcPr>
          <w:p>
            <w:pPr>
              <w:spacing w:before="40" w:after="40" w:line="240" w:lineRule="auto"/>
              <w:jc w:val="center"/>
            </w:pPr>
            <w:r/>
            <w:r>
              <w:rPr>
                <w:rFonts w:ascii="Times New Roman" w:hAnsi="Times New Roman" w:eastAsia="宋体"/>
                <w:b w:val="0"/>
                <w:sz w:val="19"/>
              </w:rPr>
              <w:t>52.2</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+7.6</w:t>
            </w:r>
          </w:p>
        </w:tc>
      </w:tr>
    </w:tbl>
    <w:p>
      <w:pPr>
        <w:spacing w:before="40" w:after="160" w:line="240" w:lineRule="auto"/>
        <w:ind w:firstLine="0"/>
        <w:jc w:val="left"/>
      </w:pPr>
      <w:r>
        <w:rPr>
          <w:rFonts w:ascii="Times New Roman" w:hAnsi="Times New Roman" w:eastAsia="宋体"/>
          <w:b w:val="0"/>
          <w:sz w:val="18"/>
        </w:rPr>
        <w:t>注：基线设定为无任何吸烟设施时全部烟蒂落地；d₀ 取 25 m，Δu 取 0.15，两参数应通过现场行为观察标定。</w:t>
      </w:r>
    </w:p>
    <w:p>
      <w:pPr>
        <w:keepNext/>
        <w:spacing w:before="240" w:after="120" w:line="360" w:lineRule="auto"/>
        <w:jc w:val="left"/>
      </w:pPr>
      <w:r>
        <w:rPr>
          <w:rFonts w:ascii="Times New Roman" w:hAnsi="Times New Roman" w:eastAsia="黑体"/>
          <w:b/>
          <w:sz w:val="30"/>
        </w:rPr>
        <w:t>5  协同治理的机制设计</w:t>
      </w:r>
    </w:p>
    <w:p>
      <w:pPr>
        <w:keepNext/>
        <w:spacing w:before="160" w:after="80" w:line="360" w:lineRule="auto"/>
        <w:jc w:val="left"/>
      </w:pPr>
      <w:r>
        <w:rPr>
          <w:rFonts w:ascii="Times New Roman" w:hAnsi="Times New Roman" w:eastAsia="黑体"/>
          <w:b w:val="0"/>
          <w:sz w:val="28"/>
        </w:rPr>
        <w:t>5.1  角色分工与边界</w:t>
      </w:r>
    </w:p>
    <w:p>
      <w:pPr>
        <w:spacing w:before="0" w:after="0" w:line="360" w:lineRule="auto"/>
        <w:ind w:firstLine="480"/>
        <w:jc w:val="both"/>
      </w:pPr>
      <w:r>
        <w:rPr>
          <w:rFonts w:ascii="Times New Roman" w:hAnsi="Times New Roman" w:eastAsia="宋体"/>
          <w:b w:val="0"/>
          <w:sz w:val="24"/>
        </w:rPr>
        <w:t>各主体的角色应当具体到可核验的动作，尤其是烟草商业企业的角色必须收窄且写实。政府部门应发挥统筹协调与政策引导作用，推动卫生健康、城市管理、市场监管、文明建设等相关领域加强信息共享与工作衔接；公共场所管理单位应落实主体责任，把吸烟区域管理融入日常运营，承担设施维护与秩序引导；社会组织与公众通过志愿服务、社会监督与文明倡议参与共建[6]。烟草商业企业的角色限定为三项：设施出资但不冠名、不出现品牌标识；烟蒂清理与保洁支持；无品牌元素的文明提示物料。明确“不可为”与明确“可为”同等重要——不得使用品牌标识、广告与促销赞助元素，不得在未成年人聚集场所周边设点，不得主导或影响控烟政策制定；这三条既是公约要求，也是行业自我保护。</w:t>
      </w:r>
    </w:p>
    <w:p>
      <w:pPr>
        <w:keepNext/>
        <w:spacing w:before="160" w:after="80" w:line="360" w:lineRule="auto"/>
        <w:jc w:val="left"/>
      </w:pPr>
      <w:r>
        <w:rPr>
          <w:rFonts w:ascii="Times New Roman" w:hAnsi="Times New Roman" w:eastAsia="黑体"/>
          <w:b w:val="0"/>
          <w:sz w:val="28"/>
        </w:rPr>
        <w:t>5.2  成本分担与信息共享规则</w:t>
      </w:r>
    </w:p>
    <w:p>
      <w:pPr>
        <w:spacing w:before="0" w:after="0" w:line="360" w:lineRule="auto"/>
        <w:ind w:firstLine="480"/>
        <w:jc w:val="both"/>
      </w:pPr>
      <w:r>
        <w:rPr>
          <w:rFonts w:ascii="Times New Roman" w:hAnsi="Times New Roman" w:eastAsia="宋体"/>
          <w:b w:val="0"/>
          <w:sz w:val="24"/>
        </w:rPr>
        <w:t>协同的落地取决于成本分担规则是否明确，这是本文认为最需要补足的制度环节。建议采用建设与运维分离的分担方式：设施建设成本可由场所管理单位、属地政府与行业支持按约定比例分担；日常保洁与维护成本原则上由场所管理单位承担并纳入其运营成本；监测评估成本由属地政府或行业协会承担，以保证评估的独立性——评估方与被评估方的分离是评估结论可信的前提。信息共享方面，建议由协同议事平台统一归集吸烟点台账、监测数据与投诉记录，各主体按权限查阅，避免重复采集。</w:t>
      </w:r>
    </w:p>
    <w:p>
      <w:pPr>
        <w:keepNext/>
        <w:spacing w:before="160" w:after="80" w:line="360" w:lineRule="auto"/>
        <w:jc w:val="left"/>
      </w:pPr>
      <w:r>
        <w:rPr>
          <w:rFonts w:ascii="Times New Roman" w:hAnsi="Times New Roman" w:eastAsia="黑体"/>
          <w:b w:val="0"/>
          <w:sz w:val="28"/>
        </w:rPr>
        <w:t>5.3  协同治理成熟度评估</w:t>
      </w:r>
    </w:p>
    <w:p>
      <w:pPr>
        <w:spacing w:before="0" w:after="0" w:line="360" w:lineRule="auto"/>
        <w:ind w:firstLine="480"/>
        <w:jc w:val="both"/>
      </w:pPr>
      <w:r>
        <w:rPr>
          <w:rFonts w:ascii="Times New Roman" w:hAnsi="Times New Roman" w:eastAsia="宋体"/>
          <w:b w:val="0"/>
          <w:sz w:val="24"/>
        </w:rPr>
        <w:t>成熟度评估的结果与常见判断不同：差距最大的维度是成本分担机制而非职责分工，如表 5 与图 7 所示。五维评分显示成本分担机制的现状与目标差距为 2.2，而职责分工明确度的差距仅为 1.3，为五维中最小。这与实践经验一致——多主体协同的失败通常不是因为不知道谁该做什么，而是因为没有主体愿意承担成本，最终使议定的分工无法执行。因此协同机制建设应优先解决成本分担与信息共享两个维度，而非继续在职责分工上做文章。</w:t>
      </w:r>
    </w:p>
    <w:p>
      <w:pPr>
        <w:keepNext/>
        <w:spacing w:before="160" w:after="40" w:line="240" w:lineRule="auto"/>
        <w:jc w:val="center"/>
      </w:pPr>
      <w:r>
        <w:rPr>
          <w:rFonts w:ascii="Times New Roman" w:hAnsi="Times New Roman" w:eastAsia="黑体"/>
          <w:b w:val="0"/>
          <w:sz w:val="21"/>
        </w:rPr>
        <w:t>表 5  协同治理成熟度五维评分与补齐优先级</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473"/>
        <w:gridCol w:w="1473"/>
        <w:gridCol w:w="1473"/>
        <w:gridCol w:w="1473"/>
        <w:gridCol w:w="1473"/>
        <w:gridCol w:w="1473"/>
      </w:tblGrid>
      <w:tr>
        <w:tc>
          <w:tcPr>
            <w:tcW w:type="dxa" w:w="1928"/>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维度</w:t>
            </w:r>
          </w:p>
        </w:tc>
        <w:tc>
          <w:tcPr>
            <w:tcW w:type="dxa" w:w="3402"/>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测量口径</w:t>
            </w:r>
          </w:p>
        </w:tc>
        <w:tc>
          <w:tcPr>
            <w:tcW w:type="dxa" w:w="124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现状水平</w:t>
            </w:r>
          </w:p>
        </w:tc>
        <w:tc>
          <w:tcPr>
            <w:tcW w:type="dxa" w:w="124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三年目标</w:t>
            </w:r>
          </w:p>
        </w:tc>
        <w:tc>
          <w:tcPr>
            <w:tcW w:type="dxa" w:w="102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差距</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补齐优先级</w:t>
            </w:r>
          </w:p>
        </w:tc>
      </w:tr>
      <w:tr>
        <w:tc>
          <w:tcPr>
            <w:tcW w:type="dxa" w:w="1928"/>
          </w:tcPr>
          <w:p>
            <w:pPr>
              <w:spacing w:before="40" w:after="40" w:line="240" w:lineRule="auto"/>
              <w:jc w:val="left"/>
            </w:pPr>
            <w:r/>
            <w:r>
              <w:rPr>
                <w:rFonts w:ascii="Times New Roman" w:hAnsi="Times New Roman" w:eastAsia="宋体"/>
                <w:b w:val="0"/>
                <w:sz w:val="19"/>
              </w:rPr>
              <w:t>成本分担机制</w:t>
            </w:r>
          </w:p>
        </w:tc>
        <w:tc>
          <w:tcPr>
            <w:tcW w:type="dxa" w:w="3402"/>
          </w:tcPr>
          <w:p>
            <w:pPr>
              <w:spacing w:before="40" w:after="40" w:line="240" w:lineRule="auto"/>
              <w:jc w:val="center"/>
            </w:pPr>
            <w:r/>
            <w:r>
              <w:rPr>
                <w:rFonts w:ascii="Times New Roman" w:hAnsi="Times New Roman" w:eastAsia="宋体"/>
                <w:b w:val="0"/>
                <w:sz w:val="19"/>
              </w:rPr>
              <w:t>各主体职责清单是否书面化并经确认</w:t>
            </w:r>
          </w:p>
        </w:tc>
        <w:tc>
          <w:tcPr>
            <w:tcW w:type="dxa" w:w="1247"/>
          </w:tcPr>
          <w:p>
            <w:pPr>
              <w:spacing w:before="40" w:after="40" w:line="240" w:lineRule="auto"/>
              <w:jc w:val="center"/>
            </w:pPr>
            <w:r/>
            <w:r>
              <w:rPr>
                <w:rFonts w:ascii="Times New Roman" w:hAnsi="Times New Roman" w:eastAsia="宋体"/>
                <w:b w:val="0"/>
                <w:sz w:val="19"/>
              </w:rPr>
              <w:t>1.6</w:t>
            </w:r>
          </w:p>
        </w:tc>
        <w:tc>
          <w:tcPr>
            <w:tcW w:type="dxa" w:w="1247"/>
          </w:tcPr>
          <w:p>
            <w:pPr>
              <w:spacing w:before="40" w:after="40" w:line="240" w:lineRule="auto"/>
              <w:jc w:val="center"/>
            </w:pPr>
            <w:r/>
            <w:r>
              <w:rPr>
                <w:rFonts w:ascii="Times New Roman" w:hAnsi="Times New Roman" w:eastAsia="宋体"/>
                <w:b w:val="0"/>
                <w:sz w:val="19"/>
              </w:rPr>
              <w:t>3.8</w:t>
            </w:r>
          </w:p>
        </w:tc>
        <w:tc>
          <w:tcPr>
            <w:tcW w:type="dxa" w:w="1020"/>
          </w:tcPr>
          <w:p>
            <w:pPr>
              <w:spacing w:before="40" w:after="40" w:line="240" w:lineRule="auto"/>
              <w:jc w:val="center"/>
            </w:pPr>
            <w:r/>
            <w:r>
              <w:rPr>
                <w:rFonts w:ascii="Times New Roman" w:hAnsi="Times New Roman" w:eastAsia="宋体"/>
                <w:b w:val="0"/>
                <w:sz w:val="19"/>
              </w:rPr>
              <w:t>2.2</w:t>
            </w:r>
          </w:p>
        </w:tc>
        <w:tc>
          <w:tcPr>
            <w:tcW w:type="dxa" w:w="1474"/>
          </w:tcPr>
          <w:p>
            <w:pPr>
              <w:spacing w:before="40" w:after="40" w:line="240" w:lineRule="auto"/>
              <w:jc w:val="center"/>
            </w:pPr>
            <w:r/>
            <w:r>
              <w:rPr>
                <w:rFonts w:ascii="Times New Roman" w:hAnsi="Times New Roman" w:eastAsia="宋体"/>
                <w:b w:val="0"/>
                <w:sz w:val="19"/>
              </w:rPr>
              <w:t>1</w:t>
            </w:r>
          </w:p>
        </w:tc>
      </w:tr>
      <w:tr>
        <w:tc>
          <w:tcPr>
            <w:tcW w:type="dxa" w:w="1928"/>
          </w:tcPr>
          <w:p>
            <w:pPr>
              <w:spacing w:before="40" w:after="40" w:line="240" w:lineRule="auto"/>
              <w:jc w:val="left"/>
            </w:pPr>
            <w:r/>
            <w:r>
              <w:rPr>
                <w:rFonts w:ascii="Times New Roman" w:hAnsi="Times New Roman" w:eastAsia="宋体"/>
                <w:b w:val="0"/>
                <w:sz w:val="19"/>
              </w:rPr>
              <w:t>信息共享程度</w:t>
            </w:r>
          </w:p>
        </w:tc>
        <w:tc>
          <w:tcPr>
            <w:tcW w:type="dxa" w:w="3402"/>
          </w:tcPr>
          <w:p>
            <w:pPr>
              <w:spacing w:before="40" w:after="40" w:line="240" w:lineRule="auto"/>
              <w:jc w:val="center"/>
            </w:pPr>
            <w:r/>
            <w:r>
              <w:rPr>
                <w:rFonts w:ascii="Times New Roman" w:hAnsi="Times New Roman" w:eastAsia="宋体"/>
                <w:b w:val="0"/>
                <w:sz w:val="19"/>
              </w:rPr>
              <w:t>台账、监测数据、投诉记录的共享范围与时效</w:t>
            </w:r>
          </w:p>
        </w:tc>
        <w:tc>
          <w:tcPr>
            <w:tcW w:type="dxa" w:w="1247"/>
          </w:tcPr>
          <w:p>
            <w:pPr>
              <w:spacing w:before="40" w:after="40" w:line="240" w:lineRule="auto"/>
              <w:jc w:val="center"/>
            </w:pPr>
            <w:r/>
            <w:r>
              <w:rPr>
                <w:rFonts w:ascii="Times New Roman" w:hAnsi="Times New Roman" w:eastAsia="宋体"/>
                <w:b w:val="0"/>
                <w:sz w:val="19"/>
              </w:rPr>
              <w:t>2.1</w:t>
            </w:r>
          </w:p>
        </w:tc>
        <w:tc>
          <w:tcPr>
            <w:tcW w:type="dxa" w:w="1247"/>
          </w:tcPr>
          <w:p>
            <w:pPr>
              <w:spacing w:before="40" w:after="40" w:line="240" w:lineRule="auto"/>
              <w:jc w:val="center"/>
            </w:pPr>
            <w:r/>
            <w:r>
              <w:rPr>
                <w:rFonts w:ascii="Times New Roman" w:hAnsi="Times New Roman" w:eastAsia="宋体"/>
                <w:b w:val="0"/>
                <w:sz w:val="19"/>
              </w:rPr>
              <w:t>4.0</w:t>
            </w:r>
          </w:p>
        </w:tc>
        <w:tc>
          <w:tcPr>
            <w:tcW w:type="dxa" w:w="1020"/>
          </w:tcPr>
          <w:p>
            <w:pPr>
              <w:spacing w:before="40" w:after="40" w:line="240" w:lineRule="auto"/>
              <w:jc w:val="center"/>
            </w:pPr>
            <w:r/>
            <w:r>
              <w:rPr>
                <w:rFonts w:ascii="Times New Roman" w:hAnsi="Times New Roman" w:eastAsia="宋体"/>
                <w:b w:val="0"/>
                <w:sz w:val="19"/>
              </w:rPr>
              <w:t>1.9</w:t>
            </w:r>
          </w:p>
        </w:tc>
        <w:tc>
          <w:tcPr>
            <w:tcW w:type="dxa" w:w="1474"/>
          </w:tcPr>
          <w:p>
            <w:pPr>
              <w:spacing w:before="40" w:after="40" w:line="240" w:lineRule="auto"/>
              <w:jc w:val="center"/>
            </w:pPr>
            <w:r/>
            <w:r>
              <w:rPr>
                <w:rFonts w:ascii="Times New Roman" w:hAnsi="Times New Roman" w:eastAsia="宋体"/>
                <w:b w:val="0"/>
                <w:sz w:val="19"/>
              </w:rPr>
              <w:t>2</w:t>
            </w:r>
          </w:p>
        </w:tc>
      </w:tr>
      <w:tr>
        <w:tc>
          <w:tcPr>
            <w:tcW w:type="dxa" w:w="1928"/>
          </w:tcPr>
          <w:p>
            <w:pPr>
              <w:spacing w:before="40" w:after="40" w:line="240" w:lineRule="auto"/>
              <w:jc w:val="left"/>
            </w:pPr>
            <w:r/>
            <w:r>
              <w:rPr>
                <w:rFonts w:ascii="Times New Roman" w:hAnsi="Times New Roman" w:eastAsia="宋体"/>
                <w:b w:val="0"/>
                <w:sz w:val="19"/>
              </w:rPr>
              <w:t>标准统一程度</w:t>
            </w:r>
          </w:p>
        </w:tc>
        <w:tc>
          <w:tcPr>
            <w:tcW w:type="dxa" w:w="3402"/>
          </w:tcPr>
          <w:p>
            <w:pPr>
              <w:spacing w:before="40" w:after="40" w:line="240" w:lineRule="auto"/>
              <w:jc w:val="center"/>
            </w:pPr>
            <w:r/>
            <w:r>
              <w:rPr>
                <w:rFonts w:ascii="Times New Roman" w:hAnsi="Times New Roman" w:eastAsia="宋体"/>
                <w:b w:val="0"/>
                <w:sz w:val="19"/>
              </w:rPr>
              <w:t>建设与运维成本的分担比例是否明确约定</w:t>
            </w:r>
          </w:p>
        </w:tc>
        <w:tc>
          <w:tcPr>
            <w:tcW w:type="dxa" w:w="1247"/>
          </w:tcPr>
          <w:p>
            <w:pPr>
              <w:spacing w:before="40" w:after="40" w:line="240" w:lineRule="auto"/>
              <w:jc w:val="center"/>
            </w:pPr>
            <w:r/>
            <w:r>
              <w:rPr>
                <w:rFonts w:ascii="Times New Roman" w:hAnsi="Times New Roman" w:eastAsia="宋体"/>
                <w:b w:val="0"/>
                <w:sz w:val="19"/>
              </w:rPr>
              <w:t>2.4</w:t>
            </w:r>
          </w:p>
        </w:tc>
        <w:tc>
          <w:tcPr>
            <w:tcW w:type="dxa" w:w="1247"/>
          </w:tcPr>
          <w:p>
            <w:pPr>
              <w:spacing w:before="40" w:after="40" w:line="240" w:lineRule="auto"/>
              <w:jc w:val="center"/>
            </w:pPr>
            <w:r/>
            <w:r>
              <w:rPr>
                <w:rFonts w:ascii="Times New Roman" w:hAnsi="Times New Roman" w:eastAsia="宋体"/>
                <w:b w:val="0"/>
                <w:sz w:val="19"/>
              </w:rPr>
              <w:t>4.2</w:t>
            </w:r>
          </w:p>
        </w:tc>
        <w:tc>
          <w:tcPr>
            <w:tcW w:type="dxa" w:w="1020"/>
          </w:tcPr>
          <w:p>
            <w:pPr>
              <w:spacing w:before="40" w:after="40" w:line="240" w:lineRule="auto"/>
              <w:jc w:val="center"/>
            </w:pPr>
            <w:r/>
            <w:r>
              <w:rPr>
                <w:rFonts w:ascii="Times New Roman" w:hAnsi="Times New Roman" w:eastAsia="宋体"/>
                <w:b w:val="0"/>
                <w:sz w:val="19"/>
              </w:rPr>
              <w:t>1.8</w:t>
            </w:r>
          </w:p>
        </w:tc>
        <w:tc>
          <w:tcPr>
            <w:tcW w:type="dxa" w:w="1474"/>
          </w:tcPr>
          <w:p>
            <w:pPr>
              <w:spacing w:before="40" w:after="40" w:line="240" w:lineRule="auto"/>
              <w:jc w:val="center"/>
            </w:pPr>
            <w:r/>
            <w:r>
              <w:rPr>
                <w:rFonts w:ascii="Times New Roman" w:hAnsi="Times New Roman" w:eastAsia="宋体"/>
                <w:b w:val="0"/>
                <w:sz w:val="19"/>
              </w:rPr>
              <w:t>3</w:t>
            </w:r>
          </w:p>
        </w:tc>
      </w:tr>
      <w:tr>
        <w:tc>
          <w:tcPr>
            <w:tcW w:type="dxa" w:w="1928"/>
          </w:tcPr>
          <w:p>
            <w:pPr>
              <w:spacing w:before="40" w:after="40" w:line="240" w:lineRule="auto"/>
              <w:jc w:val="left"/>
            </w:pPr>
            <w:r/>
            <w:r>
              <w:rPr>
                <w:rFonts w:ascii="Times New Roman" w:hAnsi="Times New Roman" w:eastAsia="宋体"/>
                <w:b w:val="0"/>
                <w:sz w:val="19"/>
              </w:rPr>
              <w:t>公众参与深度</w:t>
            </w:r>
          </w:p>
        </w:tc>
        <w:tc>
          <w:tcPr>
            <w:tcW w:type="dxa" w:w="3402"/>
          </w:tcPr>
          <w:p>
            <w:pPr>
              <w:spacing w:before="40" w:after="40" w:line="240" w:lineRule="auto"/>
              <w:jc w:val="center"/>
            </w:pPr>
            <w:r/>
            <w:r>
              <w:rPr>
                <w:rFonts w:ascii="Times New Roman" w:hAnsi="Times New Roman" w:eastAsia="宋体"/>
                <w:b w:val="0"/>
                <w:sz w:val="19"/>
              </w:rPr>
              <w:t>选址、设施、标识的统一技术要求覆盖程度</w:t>
            </w:r>
          </w:p>
        </w:tc>
        <w:tc>
          <w:tcPr>
            <w:tcW w:type="dxa" w:w="1247"/>
          </w:tcPr>
          <w:p>
            <w:pPr>
              <w:spacing w:before="40" w:after="40" w:line="240" w:lineRule="auto"/>
              <w:jc w:val="center"/>
            </w:pPr>
            <w:r/>
            <w:r>
              <w:rPr>
                <w:rFonts w:ascii="Times New Roman" w:hAnsi="Times New Roman" w:eastAsia="宋体"/>
                <w:b w:val="0"/>
                <w:sz w:val="19"/>
              </w:rPr>
              <w:t>1.9</w:t>
            </w:r>
          </w:p>
        </w:tc>
        <w:tc>
          <w:tcPr>
            <w:tcW w:type="dxa" w:w="1247"/>
          </w:tcPr>
          <w:p>
            <w:pPr>
              <w:spacing w:before="40" w:after="40" w:line="240" w:lineRule="auto"/>
              <w:jc w:val="center"/>
            </w:pPr>
            <w:r/>
            <w:r>
              <w:rPr>
                <w:rFonts w:ascii="Times New Roman" w:hAnsi="Times New Roman" w:eastAsia="宋体"/>
                <w:b w:val="0"/>
                <w:sz w:val="19"/>
              </w:rPr>
              <w:t>3.5</w:t>
            </w:r>
          </w:p>
        </w:tc>
        <w:tc>
          <w:tcPr>
            <w:tcW w:type="dxa" w:w="1020"/>
          </w:tcPr>
          <w:p>
            <w:pPr>
              <w:spacing w:before="40" w:after="40" w:line="240" w:lineRule="auto"/>
              <w:jc w:val="center"/>
            </w:pPr>
            <w:r/>
            <w:r>
              <w:rPr>
                <w:rFonts w:ascii="Times New Roman" w:hAnsi="Times New Roman" w:eastAsia="宋体"/>
                <w:b w:val="0"/>
                <w:sz w:val="19"/>
              </w:rPr>
              <w:t>1.6</w:t>
            </w:r>
          </w:p>
        </w:tc>
        <w:tc>
          <w:tcPr>
            <w:tcW w:type="dxa" w:w="1474"/>
          </w:tcPr>
          <w:p>
            <w:pPr>
              <w:spacing w:before="40" w:after="40" w:line="240" w:lineRule="auto"/>
              <w:jc w:val="center"/>
            </w:pPr>
            <w:r/>
            <w:r>
              <w:rPr>
                <w:rFonts w:ascii="Times New Roman" w:hAnsi="Times New Roman" w:eastAsia="宋体"/>
                <w:b w:val="0"/>
                <w:sz w:val="19"/>
              </w:rPr>
              <w:t>4</w:t>
            </w:r>
          </w:p>
        </w:tc>
      </w:tr>
      <w:tr>
        <w:tc>
          <w:tcPr>
            <w:tcW w:type="dxa" w:w="1928"/>
            <w:tcBorders>
              <w:bottom w:val="single" w:sz="12" w:space="0" w:color="000000"/>
            </w:tcBorders>
          </w:tcPr>
          <w:p>
            <w:pPr>
              <w:spacing w:before="40" w:after="40" w:line="240" w:lineRule="auto"/>
              <w:jc w:val="left"/>
            </w:pPr>
            <w:r/>
            <w:r>
              <w:rPr>
                <w:rFonts w:ascii="Times New Roman" w:hAnsi="Times New Roman" w:eastAsia="宋体"/>
                <w:b w:val="0"/>
                <w:sz w:val="19"/>
              </w:rPr>
              <w:t>职责分工明确度</w:t>
            </w:r>
          </w:p>
        </w:tc>
        <w:tc>
          <w:tcPr>
            <w:tcW w:type="dxa" w:w="3402"/>
            <w:tcBorders>
              <w:bottom w:val="single" w:sz="12" w:space="0" w:color="000000"/>
            </w:tcBorders>
          </w:tcPr>
          <w:p>
            <w:pPr>
              <w:spacing w:before="40" w:after="40" w:line="240" w:lineRule="auto"/>
              <w:jc w:val="center"/>
            </w:pPr>
            <w:r/>
            <w:r>
              <w:rPr>
                <w:rFonts w:ascii="Times New Roman" w:hAnsi="Times New Roman" w:eastAsia="宋体"/>
                <w:b w:val="0"/>
                <w:sz w:val="19"/>
              </w:rPr>
              <w:t>志愿监督、投诉响应与公众意见采纳机制</w:t>
            </w:r>
          </w:p>
        </w:tc>
        <w:tc>
          <w:tcPr>
            <w:tcW w:type="dxa" w:w="1247"/>
            <w:tcBorders>
              <w:bottom w:val="single" w:sz="12" w:space="0" w:color="000000"/>
            </w:tcBorders>
          </w:tcPr>
          <w:p>
            <w:pPr>
              <w:spacing w:before="40" w:after="40" w:line="240" w:lineRule="auto"/>
              <w:jc w:val="center"/>
            </w:pPr>
            <w:r/>
            <w:r>
              <w:rPr>
                <w:rFonts w:ascii="Times New Roman" w:hAnsi="Times New Roman" w:eastAsia="宋体"/>
                <w:b w:val="0"/>
                <w:sz w:val="19"/>
              </w:rPr>
              <w:t>3.2</w:t>
            </w:r>
          </w:p>
        </w:tc>
        <w:tc>
          <w:tcPr>
            <w:tcW w:type="dxa" w:w="1247"/>
            <w:tcBorders>
              <w:bottom w:val="single" w:sz="12" w:space="0" w:color="000000"/>
            </w:tcBorders>
          </w:tcPr>
          <w:p>
            <w:pPr>
              <w:spacing w:before="40" w:after="40" w:line="240" w:lineRule="auto"/>
              <w:jc w:val="center"/>
            </w:pPr>
            <w:r/>
            <w:r>
              <w:rPr>
                <w:rFonts w:ascii="Times New Roman" w:hAnsi="Times New Roman" w:eastAsia="宋体"/>
                <w:b w:val="0"/>
                <w:sz w:val="19"/>
              </w:rPr>
              <w:t>4.5</w:t>
            </w:r>
          </w:p>
        </w:tc>
        <w:tc>
          <w:tcPr>
            <w:tcW w:type="dxa" w:w="1020"/>
            <w:tcBorders>
              <w:bottom w:val="single" w:sz="12" w:space="0" w:color="000000"/>
            </w:tcBorders>
          </w:tcPr>
          <w:p>
            <w:pPr>
              <w:spacing w:before="40" w:after="40" w:line="240" w:lineRule="auto"/>
              <w:jc w:val="center"/>
            </w:pPr>
            <w:r/>
            <w:r>
              <w:rPr>
                <w:rFonts w:ascii="Times New Roman" w:hAnsi="Times New Roman" w:eastAsia="宋体"/>
                <w:b w:val="0"/>
                <w:sz w:val="19"/>
              </w:rPr>
              <w:t>1.3</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9"/>
              </w:rPr>
              <w:t>5</w:t>
            </w:r>
          </w:p>
        </w:tc>
      </w:tr>
    </w:tbl>
    <w:p>
      <w:pPr>
        <w:spacing w:before="40" w:after="160" w:line="240" w:lineRule="auto"/>
        <w:ind w:firstLine="0"/>
        <w:jc w:val="left"/>
      </w:pPr>
      <w:r>
        <w:rPr>
          <w:rFonts w:ascii="Times New Roman" w:hAnsi="Times New Roman" w:eastAsia="宋体"/>
          <w:b w:val="0"/>
          <w:sz w:val="18"/>
        </w:rPr>
        <w:t>注：采用 0—5 级成熟度量表；现状与目标值为课题组情景设定，实际应用时应通过多主体问卷评分获得。</w:t>
      </w:r>
    </w:p>
    <w:p>
      <w:pPr>
        <w:keepNext/>
        <w:spacing w:before="120" w:after="0" w:line="240" w:lineRule="auto"/>
        <w:jc w:val="center"/>
      </w:pPr>
      <w:r>
        <w:drawing>
          <wp:inline xmlns:a="http://schemas.openxmlformats.org/drawingml/2006/main" xmlns:pic="http://schemas.openxmlformats.org/drawingml/2006/picture">
            <wp:extent cx="3780000" cy="3476308"/>
            <wp:docPr id="7" name="Picture 7"/>
            <wp:cNvGraphicFramePr>
              <a:graphicFrameLocks noChangeAspect="1"/>
            </wp:cNvGraphicFramePr>
            <a:graphic>
              <a:graphicData uri="http://schemas.openxmlformats.org/drawingml/2006/picture">
                <pic:pic>
                  <pic:nvPicPr>
                    <pic:cNvPr id="0" name="p4_d4_maturity.png"/>
                    <pic:cNvPicPr/>
                  </pic:nvPicPr>
                  <pic:blipFill>
                    <a:blip r:embed="rId15"/>
                    <a:stretch>
                      <a:fillRect/>
                    </a:stretch>
                  </pic:blipFill>
                  <pic:spPr>
                    <a:xfrm>
                      <a:off x="0" y="0"/>
                      <a:ext cx="3780000" cy="3476308"/>
                    </a:xfrm>
                    <a:prstGeom prst="rect"/>
                  </pic:spPr>
                </pic:pic>
              </a:graphicData>
            </a:graphic>
          </wp:inline>
        </w:drawing>
      </w:r>
    </w:p>
    <w:p>
      <w:pPr>
        <w:spacing w:before="40" w:after="160" w:line="240" w:lineRule="auto"/>
        <w:jc w:val="center"/>
      </w:pPr>
      <w:r>
        <w:rPr>
          <w:rFonts w:ascii="Times New Roman" w:hAnsi="Times New Roman" w:eastAsia="黑体"/>
          <w:b w:val="0"/>
          <w:sz w:val="21"/>
        </w:rPr>
        <w:t>图 7  协同治理成熟度的现状与目标对比</w:t>
      </w:r>
    </w:p>
    <w:p>
      <w:pPr>
        <w:keepNext/>
        <w:spacing w:before="240" w:after="120" w:line="360" w:lineRule="auto"/>
        <w:jc w:val="left"/>
      </w:pPr>
      <w:r>
        <w:rPr>
          <w:rFonts w:ascii="Times New Roman" w:hAnsi="Times New Roman" w:eastAsia="黑体"/>
          <w:b/>
          <w:sz w:val="30"/>
        </w:rPr>
        <w:t>6  评估闭环与测量方案</w:t>
      </w:r>
    </w:p>
    <w:p>
      <w:pPr>
        <w:keepNext/>
        <w:spacing w:before="160" w:after="80" w:line="360" w:lineRule="auto"/>
        <w:jc w:val="left"/>
      </w:pPr>
      <w:r>
        <w:rPr>
          <w:rFonts w:ascii="Times New Roman" w:hAnsi="Times New Roman" w:eastAsia="黑体"/>
          <w:b w:val="0"/>
          <w:sz w:val="28"/>
        </w:rPr>
        <w:t>6.1  PDCA 闭环与低成本测量方法</w:t>
      </w:r>
    </w:p>
    <w:p>
      <w:pPr>
        <w:spacing w:before="0" w:after="0" w:line="360" w:lineRule="auto"/>
        <w:ind w:firstLine="480"/>
        <w:jc w:val="both"/>
      </w:pPr>
      <w:r>
        <w:rPr>
          <w:rFonts w:ascii="Times New Roman" w:hAnsi="Times New Roman" w:eastAsia="宋体"/>
          <w:b w:val="0"/>
          <w:sz w:val="24"/>
        </w:rPr>
        <w:t>治理成效必须能够被检验，而闭环的关键环节在“检查”，其结构如图 8 所示。计划环节以覆盖率最大化模型确定布局与标准，实施环节完成设施部署与助推设计并签订场所协议，检查环节开展暴露与烟蒂监测并做双重差分评估，改进环节修订标准并推广经验。没有实测数据，前三个环节都无法证伪，也无法迭代，这正是当前实践的主要缺失。</w:t>
      </w:r>
    </w:p>
    <w:p>
      <w:pPr>
        <w:keepNext/>
        <w:spacing w:before="120" w:after="0" w:line="240" w:lineRule="auto"/>
        <w:jc w:val="center"/>
      </w:pPr>
      <w:r>
        <w:drawing>
          <wp:inline xmlns:a="http://schemas.openxmlformats.org/drawingml/2006/main" xmlns:pic="http://schemas.openxmlformats.org/drawingml/2006/picture">
            <wp:extent cx="3960000" cy="3960000"/>
            <wp:docPr id="8" name="Picture 8"/>
            <wp:cNvGraphicFramePr>
              <a:graphicFrameLocks noChangeAspect="1"/>
            </wp:cNvGraphicFramePr>
            <a:graphic>
              <a:graphicData uri="http://schemas.openxmlformats.org/drawingml/2006/picture">
                <pic:pic>
                  <pic:nvPicPr>
                    <pic:cNvPr id="0" name="p4_c5_pdca.png"/>
                    <pic:cNvPicPr/>
                  </pic:nvPicPr>
                  <pic:blipFill>
                    <a:blip r:embed="rId16"/>
                    <a:stretch>
                      <a:fillRect/>
                    </a:stretch>
                  </pic:blipFill>
                  <pic:spPr>
                    <a:xfrm>
                      <a:off x="0" y="0"/>
                      <a:ext cx="3960000" cy="3960000"/>
                    </a:xfrm>
                    <a:prstGeom prst="rect"/>
                  </pic:spPr>
                </pic:pic>
              </a:graphicData>
            </a:graphic>
          </wp:inline>
        </w:drawing>
      </w:r>
    </w:p>
    <w:p>
      <w:pPr>
        <w:spacing w:before="40" w:after="160" w:line="240" w:lineRule="auto"/>
        <w:jc w:val="center"/>
      </w:pPr>
      <w:r>
        <w:rPr>
          <w:rFonts w:ascii="Times New Roman" w:hAnsi="Times New Roman" w:eastAsia="黑体"/>
          <w:b w:val="0"/>
          <w:sz w:val="21"/>
        </w:rPr>
        <w:t>图 8  建设—评估—改进闭环</w:t>
      </w:r>
    </w:p>
    <w:p>
      <w:pPr>
        <w:spacing w:before="0" w:after="0" w:line="360" w:lineRule="auto"/>
        <w:ind w:firstLine="480"/>
        <w:jc w:val="both"/>
      </w:pPr>
      <w:r>
        <w:rPr>
          <w:rFonts w:ascii="Times New Roman" w:hAnsi="Times New Roman" w:eastAsia="宋体"/>
          <w:b w:val="0"/>
          <w:sz w:val="24"/>
        </w:rPr>
        <w:t>针对基层单位的实际条件，本文提出三项投入低、可执行的测量方法。第一项是定点烟蒂计数法：在吸烟点周边固定若干 1 平方米样方，每两周同一时段计数落地烟蒂，单次耗时约 15 分钟，无需专业设备。第二项是便携式细颗粒物对比监测：在吸烟点上风向与下风向、以及最近敏感点处同步监测，取高峰时段 30 分钟均值，用于评估暴露改善。第三项是行为观察编码：定时段观察并记录规范使用率与烟蒂入桶率，用于评价助推设计的有效性。三项指标中烟蒂计数最易操作、区分度最高，建议作为主要结果变量。</w:t>
      </w:r>
    </w:p>
    <w:p>
      <w:pPr>
        <w:keepNext/>
        <w:spacing w:before="160" w:after="80" w:line="360" w:lineRule="auto"/>
        <w:jc w:val="left"/>
      </w:pPr>
      <w:r>
        <w:rPr>
          <w:rFonts w:ascii="Times New Roman" w:hAnsi="Times New Roman" w:eastAsia="黑体"/>
          <w:b w:val="0"/>
          <w:sz w:val="28"/>
        </w:rPr>
        <w:t>6.2  准实验评估设计及其功效</w:t>
      </w:r>
    </w:p>
    <w:p>
      <w:pPr>
        <w:spacing w:before="0" w:after="0" w:line="360" w:lineRule="auto"/>
        <w:ind w:firstLine="480"/>
        <w:jc w:val="both"/>
      </w:pPr>
      <w:r>
        <w:rPr>
          <w:rFonts w:ascii="Times New Roman" w:hAnsi="Times New Roman" w:eastAsia="宋体"/>
          <w:b w:val="0"/>
          <w:sz w:val="24"/>
        </w:rPr>
        <w:t>评估应采用干预点与对照点的双重差分设计，但在实施之前必须先做功效分析。选取条件相近的场所，一部分实施改造作为干预组、另一部分维持现状作为对照组，在改造前后各观测若干期，以两组变化之差估计政策效应；否则可能投入大量观测工作却得不出任何结论。设单点单次观测的变异系数为 CV、干预点与对照点各 n 个、每点观测 m 次，则可检出的最小削减率如式（4）所示。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MDE=(</m:t>
              </m:r>
              <m:sSub>
                <m:e>
                  <m:r>
                    <m:t xml:space="preserve">z</m:t>
                  </m:r>
                </m:e>
                <m:sub>
                  <m:r>
                    <m:t xml:space="preserve">1-α/2</m:t>
                  </m:r>
                </m:sub>
              </m:sSub>
              <m:r>
                <m:t xml:space="preserve">+</m:t>
              </m:r>
              <m:sSub>
                <m:e>
                  <m:r>
                    <m:t xml:space="preserve">z</m:t>
                  </m:r>
                </m:e>
                <m:sub>
                  <m:r>
                    <m:t xml:space="preserve">1-β</m:t>
                  </m:r>
                </m:sub>
              </m:sSub>
              <m:r>
                <m:t xml:space="preserve">)· CV·</m:t>
              </m:r>
              <m:rad>
                <m:radPr>
                  <m:degHide m:val="1"/>
                </m:radPr>
                <m:deg/>
                <m:e>
                  <m:f>
                    <m:fPr>
                      <m:type m:val="bar"/>
                    </m:fPr>
                    <m:num>
                      <m:r>
                        <m:t xml:space="preserve">4</m:t>
                      </m:r>
                    </m:num>
                    <m:den>
                      <m:r>
                        <m:t xml:space="preserve">nm</m:t>
                      </m:r>
                    </m:den>
                  </m:f>
                </m:e>
              </m:rad>
            </m:oMath>
          </w:p>
        </w:tc>
        <w:tc>
          <w:tcPr>
            <w:tcW w:type="dxa" w:w="1134"/>
          </w:tcPr>
          <w:p>
            <w:pPr>
              <w:spacing w:before="120" w:after="120" w:line="360" w:lineRule="auto"/>
              <w:jc w:val="right"/>
            </w:pPr>
            <w:r>
              <w:rPr>
                <w:rFonts w:ascii="Times New Roman" w:hAnsi="Times New Roman" w:eastAsia="宋体"/>
                <w:b w:val="0"/>
                <w:sz w:val="24"/>
              </w:rPr>
              <w:t>（4）</w:t>
            </w:r>
          </w:p>
        </w:tc>
      </w:tr>
    </w:tbl>
    <w:p>
      <w:pPr>
        <w:spacing w:before="0" w:after="0" w:line="360" w:lineRule="auto"/>
        <w:ind w:firstLine="480"/>
        <w:jc w:val="both"/>
      </w:pPr>
      <w:r>
        <w:rPr>
          <w:rFonts w:ascii="Times New Roman" w:hAnsi="Times New Roman" w:eastAsia="宋体"/>
          <w:b w:val="0"/>
          <w:sz w:val="24"/>
        </w:rPr>
        <w:t>代入 CV=0.45、α=0.05 双侧、检验效能 0.80，不同样本规模的结果如表 6 与图 9 所示。</w:t>
      </w:r>
    </w:p>
    <w:p>
      <w:pPr>
        <w:keepNext/>
        <w:spacing w:before="160" w:after="40" w:line="240" w:lineRule="auto"/>
        <w:jc w:val="center"/>
      </w:pPr>
      <w:r>
        <w:rPr>
          <w:rFonts w:ascii="Times New Roman" w:hAnsi="Times New Roman" w:eastAsia="黑体"/>
          <w:b w:val="0"/>
          <w:sz w:val="21"/>
        </w:rPr>
        <w:t>表 6  准实验评估的最小可检出效应</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1814"/>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干预点数</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对照点数</w:t>
            </w:r>
          </w:p>
        </w:tc>
        <w:tc>
          <w:tcPr>
            <w:tcW w:type="dxa" w:w="204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每点观测次数</w:t>
            </w:r>
          </w:p>
        </w:tc>
        <w:tc>
          <w:tcPr>
            <w:tcW w:type="dxa" w:w="2835"/>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最小可检出削减率 / %</w:t>
            </w:r>
          </w:p>
        </w:tc>
      </w:tr>
      <w:tr>
        <w:tc>
          <w:tcPr>
            <w:tcW w:type="dxa" w:w="1814"/>
          </w:tcPr>
          <w:p>
            <w:pPr>
              <w:spacing w:before="40" w:after="40" w:line="240" w:lineRule="auto"/>
              <w:jc w:val="left"/>
            </w:pPr>
            <w:r/>
            <w:r>
              <w:rPr>
                <w:rFonts w:ascii="Times New Roman" w:hAnsi="Times New Roman" w:eastAsia="宋体"/>
                <w:b w:val="0"/>
                <w:sz w:val="19"/>
              </w:rPr>
              <w:t>3</w:t>
            </w:r>
          </w:p>
        </w:tc>
        <w:tc>
          <w:tcPr>
            <w:tcW w:type="dxa" w:w="1814"/>
          </w:tcPr>
          <w:p>
            <w:pPr>
              <w:spacing w:before="40" w:after="40" w:line="240" w:lineRule="auto"/>
              <w:jc w:val="center"/>
            </w:pPr>
            <w:r/>
            <w:r>
              <w:rPr>
                <w:rFonts w:ascii="Times New Roman" w:hAnsi="Times New Roman" w:eastAsia="宋体"/>
                <w:b w:val="0"/>
                <w:sz w:val="19"/>
              </w:rPr>
              <w:t>3</w:t>
            </w:r>
          </w:p>
        </w:tc>
        <w:tc>
          <w:tcPr>
            <w:tcW w:type="dxa" w:w="2041"/>
          </w:tcPr>
          <w:p>
            <w:pPr>
              <w:spacing w:before="40" w:after="40" w:line="240" w:lineRule="auto"/>
              <w:jc w:val="center"/>
            </w:pPr>
            <w:r/>
            <w:r>
              <w:rPr>
                <w:rFonts w:ascii="Times New Roman" w:hAnsi="Times New Roman" w:eastAsia="宋体"/>
                <w:b w:val="0"/>
                <w:sz w:val="19"/>
              </w:rPr>
              <w:t>4</w:t>
            </w:r>
          </w:p>
        </w:tc>
        <w:tc>
          <w:tcPr>
            <w:tcW w:type="dxa" w:w="2835"/>
          </w:tcPr>
          <w:p>
            <w:pPr>
              <w:spacing w:before="40" w:after="40" w:line="240" w:lineRule="auto"/>
              <w:jc w:val="center"/>
            </w:pPr>
            <w:r/>
            <w:r>
              <w:rPr>
                <w:rFonts w:ascii="Times New Roman" w:hAnsi="Times New Roman" w:eastAsia="宋体"/>
                <w:b w:val="0"/>
                <w:sz w:val="19"/>
              </w:rPr>
              <w:t>72.8</w:t>
            </w:r>
          </w:p>
        </w:tc>
      </w:tr>
      <w:tr>
        <w:tc>
          <w:tcPr>
            <w:tcW w:type="dxa" w:w="1814"/>
          </w:tcPr>
          <w:p>
            <w:pPr>
              <w:spacing w:before="40" w:after="40" w:line="240" w:lineRule="auto"/>
              <w:jc w:val="left"/>
            </w:pPr>
            <w:r/>
            <w:r>
              <w:rPr>
                <w:rFonts w:ascii="Times New Roman" w:hAnsi="Times New Roman" w:eastAsia="宋体"/>
                <w:b w:val="0"/>
                <w:sz w:val="19"/>
              </w:rPr>
              <w:t>3</w:t>
            </w:r>
          </w:p>
        </w:tc>
        <w:tc>
          <w:tcPr>
            <w:tcW w:type="dxa" w:w="1814"/>
          </w:tcPr>
          <w:p>
            <w:pPr>
              <w:spacing w:before="40" w:after="40" w:line="240" w:lineRule="auto"/>
              <w:jc w:val="center"/>
            </w:pPr>
            <w:r/>
            <w:r>
              <w:rPr>
                <w:rFonts w:ascii="Times New Roman" w:hAnsi="Times New Roman" w:eastAsia="宋体"/>
                <w:b w:val="0"/>
                <w:sz w:val="19"/>
              </w:rPr>
              <w:t>3</w:t>
            </w:r>
          </w:p>
        </w:tc>
        <w:tc>
          <w:tcPr>
            <w:tcW w:type="dxa" w:w="2041"/>
          </w:tcPr>
          <w:p>
            <w:pPr>
              <w:spacing w:before="40" w:after="40" w:line="240" w:lineRule="auto"/>
              <w:jc w:val="center"/>
            </w:pPr>
            <w:r/>
            <w:r>
              <w:rPr>
                <w:rFonts w:ascii="Times New Roman" w:hAnsi="Times New Roman" w:eastAsia="宋体"/>
                <w:b w:val="0"/>
                <w:sz w:val="19"/>
              </w:rPr>
              <w:t>8</w:t>
            </w:r>
          </w:p>
        </w:tc>
        <w:tc>
          <w:tcPr>
            <w:tcW w:type="dxa" w:w="2835"/>
          </w:tcPr>
          <w:p>
            <w:pPr>
              <w:spacing w:before="40" w:after="40" w:line="240" w:lineRule="auto"/>
              <w:jc w:val="center"/>
            </w:pPr>
            <w:r/>
            <w:r>
              <w:rPr>
                <w:rFonts w:ascii="Times New Roman" w:hAnsi="Times New Roman" w:eastAsia="宋体"/>
                <w:b w:val="0"/>
                <w:sz w:val="19"/>
              </w:rPr>
              <w:t>51.5</w:t>
            </w:r>
          </w:p>
        </w:tc>
      </w:tr>
      <w:tr>
        <w:tc>
          <w:tcPr>
            <w:tcW w:type="dxa" w:w="1814"/>
          </w:tcPr>
          <w:p>
            <w:pPr>
              <w:spacing w:before="40" w:after="40" w:line="240" w:lineRule="auto"/>
              <w:jc w:val="left"/>
            </w:pPr>
            <w:r/>
            <w:r>
              <w:rPr>
                <w:rFonts w:ascii="Times New Roman" w:hAnsi="Times New Roman" w:eastAsia="宋体"/>
                <w:b w:val="0"/>
                <w:sz w:val="19"/>
              </w:rPr>
              <w:t>5</w:t>
            </w:r>
          </w:p>
        </w:tc>
        <w:tc>
          <w:tcPr>
            <w:tcW w:type="dxa" w:w="1814"/>
          </w:tcPr>
          <w:p>
            <w:pPr>
              <w:spacing w:before="40" w:after="40" w:line="240" w:lineRule="auto"/>
              <w:jc w:val="center"/>
            </w:pPr>
            <w:r/>
            <w:r>
              <w:rPr>
                <w:rFonts w:ascii="Times New Roman" w:hAnsi="Times New Roman" w:eastAsia="宋体"/>
                <w:b w:val="0"/>
                <w:sz w:val="19"/>
              </w:rPr>
              <w:t>5</w:t>
            </w:r>
          </w:p>
        </w:tc>
        <w:tc>
          <w:tcPr>
            <w:tcW w:type="dxa" w:w="2041"/>
          </w:tcPr>
          <w:p>
            <w:pPr>
              <w:spacing w:before="40" w:after="40" w:line="240" w:lineRule="auto"/>
              <w:jc w:val="center"/>
            </w:pPr>
            <w:r/>
            <w:r>
              <w:rPr>
                <w:rFonts w:ascii="Times New Roman" w:hAnsi="Times New Roman" w:eastAsia="宋体"/>
                <w:b w:val="0"/>
                <w:sz w:val="19"/>
              </w:rPr>
              <w:t>4</w:t>
            </w:r>
          </w:p>
        </w:tc>
        <w:tc>
          <w:tcPr>
            <w:tcW w:type="dxa" w:w="2835"/>
          </w:tcPr>
          <w:p>
            <w:pPr>
              <w:spacing w:before="40" w:after="40" w:line="240" w:lineRule="auto"/>
              <w:jc w:val="center"/>
            </w:pPr>
            <w:r/>
            <w:r>
              <w:rPr>
                <w:rFonts w:ascii="Times New Roman" w:hAnsi="Times New Roman" w:eastAsia="宋体"/>
                <w:b w:val="0"/>
                <w:sz w:val="19"/>
              </w:rPr>
              <w:t>56.4</w:t>
            </w:r>
          </w:p>
        </w:tc>
      </w:tr>
      <w:tr>
        <w:tc>
          <w:tcPr>
            <w:tcW w:type="dxa" w:w="1814"/>
          </w:tcPr>
          <w:p>
            <w:pPr>
              <w:spacing w:before="40" w:after="40" w:line="240" w:lineRule="auto"/>
              <w:jc w:val="left"/>
            </w:pPr>
            <w:r/>
            <w:r>
              <w:rPr>
                <w:rFonts w:ascii="Times New Roman" w:hAnsi="Times New Roman" w:eastAsia="宋体"/>
                <w:b w:val="0"/>
                <w:sz w:val="19"/>
              </w:rPr>
              <w:t>5</w:t>
            </w:r>
          </w:p>
        </w:tc>
        <w:tc>
          <w:tcPr>
            <w:tcW w:type="dxa" w:w="1814"/>
          </w:tcPr>
          <w:p>
            <w:pPr>
              <w:spacing w:before="40" w:after="40" w:line="240" w:lineRule="auto"/>
              <w:jc w:val="center"/>
            </w:pPr>
            <w:r/>
            <w:r>
              <w:rPr>
                <w:rFonts w:ascii="Times New Roman" w:hAnsi="Times New Roman" w:eastAsia="宋体"/>
                <w:b w:val="0"/>
                <w:sz w:val="19"/>
              </w:rPr>
              <w:t>5</w:t>
            </w:r>
          </w:p>
        </w:tc>
        <w:tc>
          <w:tcPr>
            <w:tcW w:type="dxa" w:w="2041"/>
          </w:tcPr>
          <w:p>
            <w:pPr>
              <w:spacing w:before="40" w:after="40" w:line="240" w:lineRule="auto"/>
              <w:jc w:val="center"/>
            </w:pPr>
            <w:r/>
            <w:r>
              <w:rPr>
                <w:rFonts w:ascii="Times New Roman" w:hAnsi="Times New Roman" w:eastAsia="宋体"/>
                <w:b w:val="0"/>
                <w:sz w:val="19"/>
              </w:rPr>
              <w:t>8</w:t>
            </w:r>
          </w:p>
        </w:tc>
        <w:tc>
          <w:tcPr>
            <w:tcW w:type="dxa" w:w="2835"/>
          </w:tcPr>
          <w:p>
            <w:pPr>
              <w:spacing w:before="40" w:after="40" w:line="240" w:lineRule="auto"/>
              <w:jc w:val="center"/>
            </w:pPr>
            <w:r/>
            <w:r>
              <w:rPr>
                <w:rFonts w:ascii="Times New Roman" w:hAnsi="Times New Roman" w:eastAsia="宋体"/>
                <w:b w:val="0"/>
                <w:sz w:val="19"/>
              </w:rPr>
              <w:t>39.9</w:t>
            </w:r>
          </w:p>
        </w:tc>
      </w:tr>
      <w:tr>
        <w:tc>
          <w:tcPr>
            <w:tcW w:type="dxa" w:w="1814"/>
          </w:tcPr>
          <w:p>
            <w:pPr>
              <w:spacing w:before="40" w:after="40" w:line="240" w:lineRule="auto"/>
              <w:jc w:val="left"/>
            </w:pPr>
            <w:r/>
            <w:r>
              <w:rPr>
                <w:rFonts w:ascii="Times New Roman" w:hAnsi="Times New Roman" w:eastAsia="宋体"/>
                <w:b w:val="0"/>
                <w:sz w:val="19"/>
              </w:rPr>
              <w:t>8</w:t>
            </w:r>
          </w:p>
        </w:tc>
        <w:tc>
          <w:tcPr>
            <w:tcW w:type="dxa" w:w="1814"/>
          </w:tcPr>
          <w:p>
            <w:pPr>
              <w:spacing w:before="40" w:after="40" w:line="240" w:lineRule="auto"/>
              <w:jc w:val="center"/>
            </w:pPr>
            <w:r/>
            <w:r>
              <w:rPr>
                <w:rFonts w:ascii="Times New Roman" w:hAnsi="Times New Roman" w:eastAsia="宋体"/>
                <w:b w:val="0"/>
                <w:sz w:val="19"/>
              </w:rPr>
              <w:t>8</w:t>
            </w:r>
          </w:p>
        </w:tc>
        <w:tc>
          <w:tcPr>
            <w:tcW w:type="dxa" w:w="2041"/>
          </w:tcPr>
          <w:p>
            <w:pPr>
              <w:spacing w:before="40" w:after="40" w:line="240" w:lineRule="auto"/>
              <w:jc w:val="center"/>
            </w:pPr>
            <w:r/>
            <w:r>
              <w:rPr>
                <w:rFonts w:ascii="Times New Roman" w:hAnsi="Times New Roman" w:eastAsia="宋体"/>
                <w:b w:val="0"/>
                <w:sz w:val="19"/>
              </w:rPr>
              <w:t>4</w:t>
            </w:r>
          </w:p>
        </w:tc>
        <w:tc>
          <w:tcPr>
            <w:tcW w:type="dxa" w:w="2835"/>
          </w:tcPr>
          <w:p>
            <w:pPr>
              <w:spacing w:before="40" w:after="40" w:line="240" w:lineRule="auto"/>
              <w:jc w:val="center"/>
            </w:pPr>
            <w:r/>
            <w:r>
              <w:rPr>
                <w:rFonts w:ascii="Times New Roman" w:hAnsi="Times New Roman" w:eastAsia="宋体"/>
                <w:b w:val="0"/>
                <w:sz w:val="19"/>
              </w:rPr>
              <w:t>44.6</w:t>
            </w:r>
          </w:p>
        </w:tc>
      </w:tr>
      <w:tr>
        <w:tc>
          <w:tcPr>
            <w:tcW w:type="dxa" w:w="1814"/>
          </w:tcPr>
          <w:p>
            <w:pPr>
              <w:spacing w:before="40" w:after="40" w:line="240" w:lineRule="auto"/>
              <w:jc w:val="left"/>
            </w:pPr>
            <w:r/>
            <w:r>
              <w:rPr>
                <w:rFonts w:ascii="Times New Roman" w:hAnsi="Times New Roman" w:eastAsia="宋体"/>
                <w:b w:val="0"/>
                <w:sz w:val="19"/>
              </w:rPr>
              <w:t>8</w:t>
            </w:r>
          </w:p>
        </w:tc>
        <w:tc>
          <w:tcPr>
            <w:tcW w:type="dxa" w:w="1814"/>
          </w:tcPr>
          <w:p>
            <w:pPr>
              <w:spacing w:before="40" w:after="40" w:line="240" w:lineRule="auto"/>
              <w:jc w:val="center"/>
            </w:pPr>
            <w:r/>
            <w:r>
              <w:rPr>
                <w:rFonts w:ascii="Times New Roman" w:hAnsi="Times New Roman" w:eastAsia="宋体"/>
                <w:b w:val="0"/>
                <w:sz w:val="19"/>
              </w:rPr>
              <w:t>8</w:t>
            </w:r>
          </w:p>
        </w:tc>
        <w:tc>
          <w:tcPr>
            <w:tcW w:type="dxa" w:w="2041"/>
          </w:tcPr>
          <w:p>
            <w:pPr>
              <w:spacing w:before="40" w:after="40" w:line="240" w:lineRule="auto"/>
              <w:jc w:val="center"/>
            </w:pPr>
            <w:r/>
            <w:r>
              <w:rPr>
                <w:rFonts w:ascii="Times New Roman" w:hAnsi="Times New Roman" w:eastAsia="宋体"/>
                <w:b w:val="0"/>
                <w:sz w:val="19"/>
              </w:rPr>
              <w:t>8</w:t>
            </w:r>
          </w:p>
        </w:tc>
        <w:tc>
          <w:tcPr>
            <w:tcW w:type="dxa" w:w="2835"/>
          </w:tcPr>
          <w:p>
            <w:pPr>
              <w:spacing w:before="40" w:after="40" w:line="240" w:lineRule="auto"/>
              <w:jc w:val="center"/>
            </w:pPr>
            <w:r/>
            <w:r>
              <w:rPr>
                <w:rFonts w:ascii="Times New Roman" w:hAnsi="Times New Roman" w:eastAsia="宋体"/>
                <w:b w:val="0"/>
                <w:sz w:val="19"/>
              </w:rPr>
              <w:t>31.5</w:t>
            </w:r>
          </w:p>
        </w:tc>
      </w:tr>
      <w:tr>
        <w:tc>
          <w:tcPr>
            <w:tcW w:type="dxa" w:w="1814"/>
          </w:tcPr>
          <w:p>
            <w:pPr>
              <w:spacing w:before="40" w:after="40" w:line="240" w:lineRule="auto"/>
              <w:jc w:val="left"/>
            </w:pPr>
            <w:r/>
            <w:r>
              <w:rPr>
                <w:rFonts w:ascii="Times New Roman" w:hAnsi="Times New Roman" w:eastAsia="宋体"/>
                <w:b w:val="0"/>
                <w:sz w:val="19"/>
              </w:rPr>
              <w:t>12</w:t>
            </w:r>
          </w:p>
        </w:tc>
        <w:tc>
          <w:tcPr>
            <w:tcW w:type="dxa" w:w="1814"/>
          </w:tcPr>
          <w:p>
            <w:pPr>
              <w:spacing w:before="40" w:after="40" w:line="240" w:lineRule="auto"/>
              <w:jc w:val="center"/>
            </w:pPr>
            <w:r/>
            <w:r>
              <w:rPr>
                <w:rFonts w:ascii="Times New Roman" w:hAnsi="Times New Roman" w:eastAsia="宋体"/>
                <w:b w:val="0"/>
                <w:sz w:val="19"/>
              </w:rPr>
              <w:t>12</w:t>
            </w:r>
          </w:p>
        </w:tc>
        <w:tc>
          <w:tcPr>
            <w:tcW w:type="dxa" w:w="2041"/>
          </w:tcPr>
          <w:p>
            <w:pPr>
              <w:spacing w:before="40" w:after="40" w:line="240" w:lineRule="auto"/>
              <w:jc w:val="center"/>
            </w:pPr>
            <w:r/>
            <w:r>
              <w:rPr>
                <w:rFonts w:ascii="Times New Roman" w:hAnsi="Times New Roman" w:eastAsia="宋体"/>
                <w:b w:val="0"/>
                <w:sz w:val="19"/>
              </w:rPr>
              <w:t>4</w:t>
            </w:r>
          </w:p>
        </w:tc>
        <w:tc>
          <w:tcPr>
            <w:tcW w:type="dxa" w:w="2835"/>
          </w:tcPr>
          <w:p>
            <w:pPr>
              <w:spacing w:before="40" w:after="40" w:line="240" w:lineRule="auto"/>
              <w:jc w:val="center"/>
            </w:pPr>
            <w:r/>
            <w:r>
              <w:rPr>
                <w:rFonts w:ascii="Times New Roman" w:hAnsi="Times New Roman" w:eastAsia="宋体"/>
                <w:b w:val="0"/>
                <w:sz w:val="19"/>
              </w:rPr>
              <w:t>36.4</w:t>
            </w:r>
          </w:p>
        </w:tc>
      </w:tr>
      <w:tr>
        <w:tc>
          <w:tcPr>
            <w:tcW w:type="dxa" w:w="1814"/>
            <w:tcBorders>
              <w:bottom w:val="single" w:sz="12" w:space="0" w:color="000000"/>
            </w:tcBorders>
          </w:tcPr>
          <w:p>
            <w:pPr>
              <w:spacing w:before="40" w:after="40" w:line="240" w:lineRule="auto"/>
              <w:jc w:val="left"/>
            </w:pPr>
            <w:r/>
            <w:r>
              <w:rPr>
                <w:rFonts w:ascii="Times New Roman" w:hAnsi="Times New Roman" w:eastAsia="宋体"/>
                <w:b w:val="0"/>
                <w:sz w:val="19"/>
              </w:rPr>
              <w:t>12</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9"/>
              </w:rPr>
              <w:t>12</w:t>
            </w:r>
          </w:p>
        </w:tc>
        <w:tc>
          <w:tcPr>
            <w:tcW w:type="dxa" w:w="2041"/>
            <w:tcBorders>
              <w:bottom w:val="single" w:sz="12" w:space="0" w:color="000000"/>
            </w:tcBorders>
          </w:tcPr>
          <w:p>
            <w:pPr>
              <w:spacing w:before="40" w:after="40" w:line="240" w:lineRule="auto"/>
              <w:jc w:val="center"/>
            </w:pPr>
            <w:r/>
            <w:r>
              <w:rPr>
                <w:rFonts w:ascii="Times New Roman" w:hAnsi="Times New Roman" w:eastAsia="宋体"/>
                <w:b w:val="0"/>
                <w:sz w:val="19"/>
              </w:rPr>
              <w:t>8</w:t>
            </w:r>
          </w:p>
        </w:tc>
        <w:tc>
          <w:tcPr>
            <w:tcW w:type="dxa" w:w="2835"/>
            <w:tcBorders>
              <w:bottom w:val="single" w:sz="12" w:space="0" w:color="000000"/>
            </w:tcBorders>
          </w:tcPr>
          <w:p>
            <w:pPr>
              <w:spacing w:before="40" w:after="40" w:line="240" w:lineRule="auto"/>
              <w:jc w:val="center"/>
            </w:pPr>
            <w:r/>
            <w:r>
              <w:rPr>
                <w:rFonts w:ascii="Times New Roman" w:hAnsi="Times New Roman" w:eastAsia="宋体"/>
                <w:b w:val="0"/>
                <w:sz w:val="19"/>
              </w:rPr>
              <w:t>25.7</w:t>
            </w:r>
          </w:p>
        </w:tc>
      </w:tr>
    </w:tbl>
    <w:p>
      <w:pPr>
        <w:spacing w:before="40" w:after="160" w:line="240" w:lineRule="auto"/>
        <w:ind w:firstLine="0"/>
        <w:jc w:val="left"/>
      </w:pPr>
      <w:r>
        <w:rPr>
          <w:rFonts w:ascii="Times New Roman" w:hAnsi="Times New Roman" w:eastAsia="宋体"/>
          <w:b w:val="0"/>
          <w:sz w:val="18"/>
        </w:rPr>
        <w:t>注：CV=0.45，α=0.05 双侧，检验效能 0.80。</w:t>
      </w:r>
    </w:p>
    <w:p>
      <w:pPr>
        <w:keepNext/>
        <w:spacing w:before="120" w:after="0" w:line="240" w:lineRule="auto"/>
        <w:jc w:val="center"/>
      </w:pPr>
      <w:r>
        <w:drawing>
          <wp:inline xmlns:a="http://schemas.openxmlformats.org/drawingml/2006/main" xmlns:pic="http://schemas.openxmlformats.org/drawingml/2006/picture">
            <wp:extent cx="4320000" cy="2947414"/>
            <wp:docPr id="9" name="Picture 9"/>
            <wp:cNvGraphicFramePr>
              <a:graphicFrameLocks noChangeAspect="1"/>
            </wp:cNvGraphicFramePr>
            <a:graphic>
              <a:graphicData uri="http://schemas.openxmlformats.org/drawingml/2006/picture">
                <pic:pic>
                  <pic:nvPicPr>
                    <pic:cNvPr id="0" name="p4_d3_power.png"/>
                    <pic:cNvPicPr/>
                  </pic:nvPicPr>
                  <pic:blipFill>
                    <a:blip r:embed="rId17"/>
                    <a:stretch>
                      <a:fillRect/>
                    </a:stretch>
                  </pic:blipFill>
                  <pic:spPr>
                    <a:xfrm>
                      <a:off x="0" y="0"/>
                      <a:ext cx="4320000" cy="2947414"/>
                    </a:xfrm>
                    <a:prstGeom prst="rect"/>
                  </pic:spPr>
                </pic:pic>
              </a:graphicData>
            </a:graphic>
          </wp:inline>
        </w:drawing>
      </w:r>
    </w:p>
    <w:p>
      <w:pPr>
        <w:spacing w:before="40" w:after="160" w:line="240" w:lineRule="auto"/>
        <w:jc w:val="center"/>
      </w:pPr>
      <w:r>
        <w:rPr>
          <w:rFonts w:ascii="Times New Roman" w:hAnsi="Times New Roman" w:eastAsia="黑体"/>
          <w:b w:val="0"/>
          <w:sz w:val="21"/>
        </w:rPr>
        <w:t>图 9  准实验评估的最小可检出效应与样本规模</w:t>
      </w:r>
    </w:p>
    <w:p>
      <w:pPr>
        <w:spacing w:before="0" w:after="0" w:line="360" w:lineRule="auto"/>
        <w:ind w:firstLine="480"/>
        <w:jc w:val="both"/>
      </w:pPr>
      <w:r>
        <w:rPr>
          <w:rFonts w:ascii="Times New Roman" w:hAnsi="Times New Roman" w:eastAsia="宋体"/>
          <w:b w:val="0"/>
          <w:sz w:val="24"/>
        </w:rPr>
        <w:t>功效分析揭示了当前实践“做了但说不清效果”的统计学根源。常见的“选 3 个点、观测 4 次”方案，其最小可检出削减率高达 72.8%——即除非效果极其巨大，否则必然得不到显著结论。由式（4）反解可知，要检出政策关心的 20% 削减效应，需满足</w:t>
      </w:r>
      <w:r>
        <w:rPr>
          <w:rFonts w:ascii="Times New Roman" w:hAnsi="Times New Roman" w:eastAsia="宋体"/>
          <w:b/>
          <w:sz w:val="24"/>
        </w:rPr>
        <w:t>干预点数×每点观测次数≥159</w:t>
      </w:r>
      <w:r>
        <w:rPr>
          <w:rFonts w:ascii="Times New Roman" w:hAnsi="Times New Roman" w:eastAsia="宋体"/>
          <w:b w:val="0"/>
          <w:sz w:val="24"/>
        </w:rPr>
        <w:t>，例如干预点与对照点各 12 个、每点观测 14 次，或各 20 个点、每点观测 8 次；即便是表 6 中规模最大的配置（各 12 个点、观测 8 次），最小可检出效应仍为 25.7%。</w:t>
      </w:r>
      <w:r>
        <w:rPr>
          <w:rFonts w:ascii="Times New Roman" w:hAnsi="Times New Roman" w:eastAsia="宋体"/>
          <w:b/>
          <w:sz w:val="24"/>
        </w:rPr>
        <w:t>因此评估必须在项目立项时同步设计，并按功效分析确定监测点数与观测频次</w:t>
      </w:r>
      <w:r>
        <w:rPr>
          <w:rFonts w:ascii="Times New Roman" w:hAnsi="Times New Roman" w:eastAsia="宋体"/>
          <w:b w:val="0"/>
          <w:sz w:val="24"/>
        </w:rPr>
        <w:t>；若受条件限制无法达到所需规模，应如实说明评估的局限，而不是用少量观测得出的非显著结果宣称效果不明显，或用未经检验的前后对比宣称成效显著。</w:t>
      </w:r>
    </w:p>
    <w:p>
      <w:pPr>
        <w:keepNext/>
        <w:spacing w:before="240" w:after="120" w:line="360" w:lineRule="auto"/>
        <w:jc w:val="left"/>
      </w:pPr>
      <w:r>
        <w:rPr>
          <w:rFonts w:ascii="Times New Roman" w:hAnsi="Times New Roman" w:eastAsia="黑体"/>
          <w:b/>
          <w:sz w:val="30"/>
        </w:rPr>
        <w:t>7  结论</w:t>
      </w:r>
    </w:p>
    <w:p>
      <w:pPr>
        <w:spacing w:before="0" w:after="0" w:line="360" w:lineRule="auto"/>
        <w:ind w:firstLine="480"/>
        <w:jc w:val="both"/>
      </w:pPr>
      <w:r>
        <w:rPr>
          <w:rFonts w:ascii="Times New Roman" w:hAnsi="Times New Roman" w:eastAsia="宋体"/>
          <w:b w:val="0"/>
          <w:sz w:val="24"/>
        </w:rPr>
        <w:t>本文的第一项工作是重构立论边界，使这一议题获得可持续的学术正当性。把研究定位从行业推动建设调整为控烟优先前提下的外部性治理，并明确政府与场所方主导、无品牌元素、回避未成年人聚集场所、以暴露与落地量为核心评价指标四条原则，既回应了《烟草控制框架公约》第 5.3 条与第 13 条的要求，也降低了参与单位的实际风险。</w:t>
      </w:r>
    </w:p>
    <w:p>
      <w:pPr>
        <w:spacing w:before="0" w:after="0" w:line="360" w:lineRule="auto"/>
        <w:ind w:firstLine="480"/>
        <w:jc w:val="both"/>
      </w:pPr>
      <w:r>
        <w:rPr>
          <w:rFonts w:ascii="Times New Roman" w:hAnsi="Times New Roman" w:eastAsia="宋体"/>
          <w:b w:val="0"/>
          <w:sz w:val="24"/>
        </w:rPr>
        <w:t>第二项工作是为三个此前只做定性描述的环节提供了量化方法，并得到三条反直觉的结论。其一，覆盖率存在明显边际递减，4 个点是该情景的性价比拐点，多设点位并不划算；其二，均匀等间距布点会违反敏感点回避约束（15.8 米 &lt; 25 米），而优化布点在满足约束的同时达到更高覆盖率，说明凭经验布点在安全约束上最易失守；其三，改进助推设计的效果（+12.9 个百分点）优于增设点位（+7.6 个百分点）且成本更低，因此资源应先投向已有点位的设计改进。成熟度评估还显示成本分担机制是协同的最大短板，而非通常认为的职责分工。</w:t>
      </w:r>
    </w:p>
    <w:p>
      <w:pPr>
        <w:spacing w:before="0" w:after="0" w:line="360" w:lineRule="auto"/>
        <w:ind w:firstLine="480"/>
        <w:jc w:val="both"/>
      </w:pPr>
      <w:r>
        <w:rPr>
          <w:rFonts w:ascii="Times New Roman" w:hAnsi="Times New Roman" w:eastAsia="宋体"/>
          <w:b w:val="0"/>
          <w:sz w:val="24"/>
        </w:rPr>
        <w:t>第三项工作是指出了评估失效的统计学根源并给出解决方案。要检出 20% 的削减效应需满足干预点数与观测次数之积不低于 159，而常规做法远低于这一门槛，这解释了大量此类项目为何无法说明成效。评估设计必须与项目建设同步立项，否则事后补做已无法挽回。</w:t>
      </w:r>
    </w:p>
    <w:p>
      <w:pPr>
        <w:spacing w:before="0" w:after="0" w:line="360" w:lineRule="auto"/>
        <w:ind w:firstLine="480"/>
        <w:jc w:val="both"/>
      </w:pPr>
      <w:r>
        <w:rPr>
          <w:rFonts w:ascii="Times New Roman" w:hAnsi="Times New Roman" w:eastAsia="宋体"/>
          <w:b w:val="0"/>
          <w:sz w:val="24"/>
        </w:rPr>
        <w:t>本文的局限在于所有数值结果均基于情景参数的模型分析。后续研究应在市域内选取一至两个典型场所，采集实际的人流分布、风向条件、烟蒂计数与暴露浓度数据，对需求分布函数、距离衰减尺度与助推增益参数做实证标定，在此基础上重跑选址模型与效果测算，形成可复制的本地化方案。此类数据的采集成本并不高——一个场所的基线观测约需 2 名工作人员、每两周半天，持续两个月即可完成。</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林灵. 成都市文明吸烟环境协同建设问题及对策研究[D]. 成都: 西南交通大学, 2024.</w:t>
      </w:r>
    </w:p>
    <w:p>
      <w:pPr>
        <w:spacing w:before="0" w:after="0" w:line="360" w:lineRule="auto"/>
        <w:ind w:firstLine="0"/>
        <w:jc w:val="both"/>
      </w:pPr>
      <w:r>
        <w:rPr>
          <w:rFonts w:ascii="Times New Roman" w:hAnsi="Times New Roman" w:eastAsia="宋体"/>
          <w:b w:val="0"/>
          <w:sz w:val="24"/>
        </w:rPr>
        <w:t>[2] 许峰, 李向, 刘泽华. 文明吸烟环境建设路径研究[J]. 现代商贸工业, 2024, 45(10): 176-178.</w:t>
      </w:r>
    </w:p>
    <w:p>
      <w:pPr>
        <w:spacing w:before="0" w:after="0" w:line="360" w:lineRule="auto"/>
        <w:ind w:firstLine="0"/>
        <w:jc w:val="both"/>
      </w:pPr>
      <w:r>
        <w:rPr>
          <w:rFonts w:ascii="Times New Roman" w:hAnsi="Times New Roman" w:eastAsia="宋体"/>
          <w:b w:val="0"/>
          <w:sz w:val="24"/>
        </w:rPr>
        <w:t>[3] 陈小丹. 《重庆市公共场所控制吸烟条例》执行问题与对策研究[D]. 重庆: 西南大学, 2023.</w:t>
      </w:r>
    </w:p>
    <w:p>
      <w:pPr>
        <w:spacing w:before="0" w:after="0" w:line="360" w:lineRule="auto"/>
        <w:ind w:firstLine="0"/>
        <w:jc w:val="both"/>
      </w:pPr>
      <w:r>
        <w:rPr>
          <w:rFonts w:ascii="Times New Roman" w:hAnsi="Times New Roman" w:eastAsia="宋体"/>
          <w:b w:val="0"/>
          <w:sz w:val="24"/>
        </w:rPr>
        <w:t>[4] 杨坤. 深化文明吸烟环境建设方法与路径研究[J]. 国际公关, 2023(8): 40-42.</w:t>
      </w:r>
    </w:p>
    <w:p>
      <w:pPr>
        <w:spacing w:before="0" w:after="0" w:line="360" w:lineRule="auto"/>
        <w:ind w:firstLine="0"/>
        <w:jc w:val="both"/>
      </w:pPr>
      <w:r>
        <w:rPr>
          <w:rFonts w:ascii="Times New Roman" w:hAnsi="Times New Roman" w:eastAsia="宋体"/>
          <w:b w:val="0"/>
          <w:sz w:val="24"/>
        </w:rPr>
        <w:t>[5] 汪宇, 梁娟. 大数据背景下文明吸烟环境社会共建机制探究[C]. 广西壮族自治区烟草公司柳州市公司2022 年学术论文汇编, 2022: 37-46.</w:t>
      </w:r>
    </w:p>
    <w:p>
      <w:pPr>
        <w:spacing w:before="0" w:after="0" w:line="360" w:lineRule="auto"/>
        <w:ind w:firstLine="0"/>
        <w:jc w:val="both"/>
      </w:pPr>
      <w:r>
        <w:rPr>
          <w:rFonts w:ascii="Times New Roman" w:hAnsi="Times New Roman" w:eastAsia="宋体"/>
          <w:b w:val="0"/>
          <w:sz w:val="24"/>
        </w:rPr>
        <w:t>[6] 王英. 武汉市文明吸烟环境建设存在的问题与对策研究[D]. 武汉: 中南财经政法大学, 2022.</w:t>
      </w:r>
    </w:p>
    <w:p>
      <w:pPr>
        <w:spacing w:before="0" w:after="0" w:line="360" w:lineRule="auto"/>
        <w:ind w:firstLine="0"/>
        <w:jc w:val="both"/>
      </w:pPr>
      <w:r>
        <w:rPr>
          <w:rFonts w:ascii="Times New Roman" w:hAnsi="Times New Roman" w:eastAsia="宋体"/>
          <w:b w:val="0"/>
          <w:sz w:val="24"/>
        </w:rPr>
        <w:t>[7] 张桂玲. 基于公共服务视角的台州市文明吸烟环境建设研究[D]. 乌鲁木齐: 新疆农业大学, 2021.</w:t>
      </w:r>
    </w:p>
    <w:p>
      <w:pPr>
        <w:spacing w:before="0" w:after="0" w:line="360" w:lineRule="auto"/>
        <w:ind w:firstLine="0"/>
        <w:jc w:val="both"/>
      </w:pPr>
      <w:r>
        <w:rPr>
          <w:rFonts w:ascii="Times New Roman" w:hAnsi="Times New Roman" w:eastAsia="宋体"/>
          <w:b w:val="0"/>
          <w:sz w:val="24"/>
        </w:rPr>
        <w:t>[8] 潘妍, 石锐, 田梦萍. 科技引领文明吸烟软环境体系建设: 意义、现状与路径[J]. 科技智囊, 2021(9): 30-37.</w:t>
      </w:r>
    </w:p>
    <w:p>
      <w:pPr>
        <w:spacing w:before="0" w:after="0" w:line="360" w:lineRule="auto"/>
        <w:ind w:firstLine="0"/>
        <w:jc w:val="both"/>
      </w:pPr>
      <w:r>
        <w:rPr>
          <w:rFonts w:ascii="Times New Roman" w:hAnsi="Times New Roman" w:eastAsia="宋体"/>
          <w:b w:val="0"/>
          <w:sz w:val="24"/>
        </w:rPr>
        <w:t>[9] World Health Organization. WHO Framework Convention on Tobacco Control[Z]. Geneva: WHO, 2003.</w:t>
      </w:r>
    </w:p>
    <w:p>
      <w:pPr>
        <w:spacing w:before="0" w:after="0" w:line="360" w:lineRule="auto"/>
        <w:ind w:firstLine="0"/>
        <w:jc w:val="both"/>
      </w:pPr>
      <w:r>
        <w:rPr>
          <w:rFonts w:ascii="Times New Roman" w:hAnsi="Times New Roman" w:eastAsia="宋体"/>
          <w:b w:val="0"/>
          <w:sz w:val="24"/>
        </w:rPr>
        <w:t>[10] Ostrom E. Beyond markets and states: Polycentric governance of complex economic systems[J]. American Economic Review, 2010, 100(3): 641-672.</w:t>
      </w:r>
    </w:p>
    <w:p>
      <w:pPr>
        <w:spacing w:before="0" w:after="0" w:line="360" w:lineRule="auto"/>
        <w:ind w:firstLine="0"/>
        <w:jc w:val="both"/>
      </w:pPr>
      <w:r>
        <w:rPr>
          <w:rFonts w:ascii="Times New Roman" w:hAnsi="Times New Roman" w:eastAsia="宋体"/>
          <w:b w:val="0"/>
          <w:sz w:val="24"/>
        </w:rPr>
        <w:t>[11] Thaler R H, Sunstein C R. Nudge: Improving Decisions about Health, Wealth, and Happiness[M]. New Haven: Yale University Press, 2008.</w:t>
      </w:r>
    </w:p>
    <w:p>
      <w:pPr>
        <w:spacing w:before="0" w:after="0" w:line="360" w:lineRule="auto"/>
        <w:ind w:firstLine="0"/>
        <w:jc w:val="both"/>
      </w:pPr>
      <w:r>
        <w:rPr>
          <w:rFonts w:ascii="Times New Roman" w:hAnsi="Times New Roman" w:eastAsia="宋体"/>
          <w:b w:val="0"/>
          <w:sz w:val="24"/>
        </w:rPr>
        <w:t>[12] Church R, ReVelle C. The maximal covering location problem[J]. Papers of the Regional Science Association, 1974, 32(1): 101-118.</w:t>
      </w:r>
    </w:p>
    <w:p>
      <w:pPr>
        <w:spacing w:before="0" w:after="0" w:line="360" w:lineRule="auto"/>
        <w:ind w:firstLine="0"/>
        <w:jc w:val="both"/>
      </w:pPr>
      <w:r>
        <w:rPr>
          <w:rFonts w:ascii="Times New Roman" w:hAnsi="Times New Roman" w:eastAsia="宋体"/>
          <w:b w:val="0"/>
          <w:sz w:val="24"/>
        </w:rPr>
        <w:t>[13] Pigou A C. The Economics of Welfare[M]. London: Macmillan, 1920.</w:t>
      </w:r>
    </w:p>
    <w:p>
      <w:pPr>
        <w:spacing w:before="0" w:after="0" w:line="360" w:lineRule="auto"/>
        <w:ind w:firstLine="0"/>
        <w:jc w:val="both"/>
      </w:pPr>
      <w:r>
        <w:rPr>
          <w:rFonts w:ascii="Times New Roman" w:hAnsi="Times New Roman" w:eastAsia="宋体"/>
          <w:b w:val="0"/>
          <w:sz w:val="24"/>
        </w:rPr>
        <w:t>[14] 牛智战, 马宏伟, 曹越. 基于偏利共生的文明吸烟环境建设研究[J]. 价值工程, 2020, 39(5): 101-102.</w:t>
      </w:r>
    </w:p>
    <w:p>
      <w:pPr>
        <w:spacing w:before="0" w:after="0" w:line="360" w:lineRule="auto"/>
        <w:ind w:firstLine="0"/>
        <w:jc w:val="both"/>
      </w:pPr>
      <w:r>
        <w:rPr>
          <w:rFonts w:ascii="Times New Roman" w:hAnsi="Times New Roman" w:eastAsia="宋体"/>
          <w:b w:val="0"/>
          <w:sz w:val="24"/>
        </w:rPr>
        <w:t>[15] 李勇, 周晨, 李刚, 等. 软硬环境下文明吸烟环境建设对策[J]. 现代商贸工业, 2020, 41(9): 101.</w:t>
      </w:r>
    </w:p>
    <w:p>
      <w:pPr>
        <w:spacing w:before="0" w:after="0" w:line="360" w:lineRule="auto"/>
        <w:ind w:firstLine="0"/>
        <w:jc w:val="both"/>
      </w:pPr>
      <w:r>
        <w:rPr>
          <w:rFonts w:ascii="Times New Roman" w:hAnsi="Times New Roman" w:eastAsia="宋体"/>
          <w:b w:val="0"/>
          <w:sz w:val="24"/>
        </w:rPr>
        <w:t>[16] 健康中国行动推进委员会. 健康中国行动（2019—2030 年）[Z]. 2019-07-15.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