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b/>
          <w:sz w:val="36"/>
        </w:rPr>
        <w:t>基于机器学习的新型烟草制品高价值专利识别研究</w:t>
      </w:r>
    </w:p>
    <w:p>
      <w:pPr>
        <w:spacing w:before="0" w:after="0" w:line="360" w:lineRule="auto"/>
        <w:jc w:val="center"/>
      </w:pPr>
      <w:r>
        <w:rPr>
          <w:rFonts w:ascii="Times New Roman" w:hAnsi="Times New Roman" w:eastAsia="宋体"/>
          <w:b w:val="0"/>
          <w:sz w:val="24"/>
        </w:rPr>
        <w:t>张子扬¹，郭宾文²</w:t>
      </w:r>
    </w:p>
    <w:p>
      <w:pPr>
        <w:spacing w:before="0" w:after="0" w:line="360" w:lineRule="auto"/>
        <w:jc w:val="center"/>
      </w:pPr>
      <w:r>
        <w:rPr>
          <w:rFonts w:ascii="Times New Roman" w:hAnsi="Times New Roman" w:eastAsia="宋体"/>
          <w:b w:val="0"/>
          <w:sz w:val="21"/>
        </w:rPr>
        <w:t>1 海盐县烟草专卖局（分公司），浙江海盐  314399</w:t>
      </w:r>
    </w:p>
    <w:p>
      <w:pPr>
        <w:spacing w:before="0" w:after="0" w:line="360" w:lineRule="auto"/>
        <w:jc w:val="center"/>
      </w:pPr>
      <w:r>
        <w:rPr>
          <w:rFonts w:ascii="Times New Roman" w:hAnsi="Times New Roman" w:eastAsia="宋体"/>
          <w:b w:val="0"/>
          <w:sz w:val="21"/>
        </w:rPr>
        <w:t>2 海盐县烟草专卖局（分公司），浙江海盐  314399</w:t>
      </w:r>
    </w:p>
    <w:p>
      <w:pPr>
        <w:spacing w:before="0" w:after="160" w:line="360" w:lineRule="auto"/>
        <w:jc w:val="center"/>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摘  要：</w:t>
      </w:r>
      <w:r>
        <w:rPr>
          <w:rFonts w:ascii="Times New Roman" w:hAnsi="Times New Roman" w:eastAsia="宋体"/>
          <w:b w:val="0"/>
          <w:sz w:val="24"/>
        </w:rPr>
        <w:t>针对新型烟草领域高价值专利人工识别效率低、行业适配性不足的问题，本文以 2010—2024 年 4954 条新型烟草专利为样本，构建基于密度聚类剪枝随机森林的识别模型，结合聚类与文本挖掘解析高价值专利的技术特征。结果表明：优化后模型分类准确率达 95.92%，较传统随机森林提升 1.29 个百分点；高价值专利占比 5.87%，高度集中于烟草基质配方、核心加热元件等上游赛道，行业呈现“外围改良泛滥、核心专利稀缺”的分布特征。本文的主要推进在于对识别模型做了系统的效度检验，并发现三个足以改变结论表述的问题。其一，价值标签由四项指标经熵权法构造而模型特征集又包含这四项，构成循环论证；剔除同源特征后模型准确率下降 35.53 个百分点，仅比多数类基准高 1.96 个百分点。其二，在高价值专利仅占 5.87% 的极不平衡条件下，总体准确率的信息量严重不足——即便高价值类召回率为 0，总体准确率仍可达 94.13%。其三，引用与同族指标随专利年龄累积，未做年龄标准化会系统性低估近年专利，公开年与高价值占比的等级相关系数达 −0.986。本文据此提出三项外部效度检验设计，并把应用出口从研发立项建议调整为契合专卖管理职能的技术壁垒预警、侵权风险排查与非法制品特征溯源三条通路。</w:t>
      </w:r>
    </w:p>
    <w:p>
      <w:pPr>
        <w:spacing w:before="0" w:after="0" w:line="360" w:lineRule="auto"/>
        <w:ind w:firstLine="480"/>
        <w:jc w:val="both"/>
      </w:pPr>
      <w:r>
        <w:rPr>
          <w:rFonts w:ascii="Times New Roman" w:hAnsi="Times New Roman" w:eastAsia="宋体"/>
          <w:b/>
          <w:sz w:val="24"/>
        </w:rPr>
        <w:t>关键词：</w:t>
      </w:r>
      <w:r>
        <w:rPr>
          <w:rFonts w:ascii="Times New Roman" w:hAnsi="Times New Roman" w:eastAsia="宋体"/>
          <w:b w:val="0"/>
          <w:sz w:val="24"/>
        </w:rPr>
        <w:t>新型烟草；高价值专利；专利识别；随机森林；外部效度</w:t>
      </w:r>
    </w:p>
    <w:p>
      <w:pPr>
        <w:spacing w:before="0" w:after="0" w:line="360" w:lineRule="auto"/>
        <w:ind w:firstLine="480"/>
        <w:jc w:val="both"/>
      </w:pPr>
      <w:r>
        <w:rPr>
          <w:rFonts w:ascii="Times New Roman" w:hAnsi="Times New Roman" w:eastAsia="宋体"/>
          <w:b/>
          <w:sz w:val="24"/>
        </w:rPr>
        <w:t>Abstract:</w:t>
      </w:r>
      <w:r>
        <w:rPr>
          <w:rFonts w:ascii="Times New Roman" w:hAnsi="Times New Roman" w:eastAsia="宋体"/>
          <w:b w:val="0"/>
          <w:sz w:val="24"/>
        </w:rPr>
        <w:t xml:space="preserve"> Addressing the low efficiency and poor industry adaptability of manual identification for high-value patents in the novel tobacco sector, this study takes 4,954 patents from 2010 to 2024 as samples and builds an identification model based on a density-clustering-pruned random forest. The optimized model attains an accuracy of 95.92%, 1.29 percentage points above a conventional random forest; high-value patents account for 5.87% and concentrate in upstream fields such as substrate formulations and core heating components. The main advance is a systematic validity examination that uncovers three issues capable of changing how conclusions should be stated. First, the value label is built from four indicators via entropy weighting while the feature set also contains them, creating circularity; removing the shared indicators cuts accuracy by 35.53 percentage points, only 1.96 points above the majority baseline. Second, under severe class imbalance overall accuracy is uninformative: even with zero recall on the high-value class, overall accuracy can still reach 94.13%. Third, citation and family indicators accumulate with patent age, systematically undervaluing recent patents (rank correlation -0.986). Three external-validity tests are proposed and the application outlet is redirected to monopoly-administration functions.</w:t>
      </w:r>
    </w:p>
    <w:p>
      <w:pPr>
        <w:spacing w:before="0" w:after="0" w:line="360" w:lineRule="auto"/>
        <w:ind w:firstLine="480"/>
        <w:jc w:val="both"/>
      </w:pPr>
      <w:r>
        <w:rPr>
          <w:rFonts w:ascii="Times New Roman" w:hAnsi="Times New Roman" w:eastAsia="宋体"/>
          <w:b/>
          <w:sz w:val="24"/>
        </w:rPr>
        <w:t>Keywords:</w:t>
      </w:r>
      <w:r>
        <w:rPr>
          <w:rFonts w:ascii="Times New Roman" w:hAnsi="Times New Roman" w:eastAsia="宋体"/>
          <w:b w:val="0"/>
          <w:sz w:val="24"/>
        </w:rPr>
        <w:t xml:space="preserve"> Novel tobacco; High-value patent; Patent identification; Random forest; External validity</w:t>
      </w:r>
    </w:p>
    <w:p>
      <w:r>
        <w:br w:type="page"/>
      </w:r>
    </w:p>
    <w:p>
      <w:pPr>
        <w:keepNext/>
        <w:spacing w:before="240" w:after="120" w:line="360" w:lineRule="auto"/>
        <w:jc w:val="left"/>
      </w:pPr>
      <w:r>
        <w:rPr>
          <w:rFonts w:ascii="Times New Roman" w:hAnsi="Times New Roman" w:eastAsia="黑体"/>
          <w:b/>
          <w:sz w:val="30"/>
        </w:rPr>
        <w:t>1  引言</w:t>
      </w:r>
    </w:p>
    <w:p>
      <w:pPr>
        <w:spacing w:before="0" w:after="0" w:line="360" w:lineRule="auto"/>
        <w:ind w:firstLine="480"/>
        <w:jc w:val="both"/>
      </w:pPr>
      <w:r>
        <w:rPr>
          <w:rFonts w:ascii="Times New Roman" w:hAnsi="Times New Roman" w:eastAsia="宋体"/>
          <w:b w:val="0"/>
          <w:sz w:val="24"/>
        </w:rPr>
        <w:t>新型烟草已成为行业技术创新与知识产权布局的核心赛道，但国内专利质量的结构性问题日益突出。在全球控烟履约与产业减害转型背景下，国内相关专利申请量持续增长；然而海外烟草巨头已通过核心专利构建严密技术壁垒，国内行业专利整体质量参差不齐，大量外围结构改良专利与核心高价值专利混杂，既增加企业专利资产管理成本，也易导致研发立项陷入同质化并带来侵权风险[9]。需要说明的是，加热卷烟已纳入卷烟管理，电子烟实行专卖管制，国内新型烟草制品的经营与销售受到严格监管[17]，这一制度背景决定了相关研究的应用出口必须与专卖管理职能相衔接。</w:t>
      </w:r>
    </w:p>
    <w:p>
      <w:pPr>
        <w:spacing w:before="0" w:after="0" w:line="360" w:lineRule="auto"/>
        <w:ind w:firstLine="480"/>
        <w:jc w:val="both"/>
      </w:pPr>
      <w:r>
        <w:rPr>
          <w:rFonts w:ascii="Times New Roman" w:hAnsi="Times New Roman" w:eastAsia="宋体"/>
          <w:b w:val="0"/>
          <w:sz w:val="24"/>
        </w:rPr>
        <w:t>高价值专利的批量识别是一个方法学问题，而既有方法在效度上存在共同的结构性风险。当前筛选多依赖专家定性研判，主观性强、批量识别效率低；现有量化研究多聚焦专利申请态势的宏观计量分析，针对高价值专利的智能化识别方法较为匮乏，也缺乏对技术分布特征的细分拆解。更值得注意的是，此类研究普遍采用“以指标合成得分为标签、再用指标训练分类器”的范式，而这一范式存在目标泄漏的风险——若模型特征包含标签构造所用的指标，则高准确率可能只是模型重新学会了标签公式，而非识别出了标签之外的价值信息[10]。若不加检验，模型的实践价值将被严重高估。</w:t>
      </w:r>
    </w:p>
    <w:p>
      <w:pPr>
        <w:spacing w:before="0" w:after="0" w:line="360" w:lineRule="auto"/>
        <w:ind w:firstLine="480"/>
        <w:jc w:val="both"/>
      </w:pPr>
      <w:r>
        <w:rPr>
          <w:rFonts w:ascii="Times New Roman" w:hAnsi="Times New Roman" w:eastAsia="宋体"/>
          <w:b w:val="0"/>
          <w:sz w:val="24"/>
        </w:rPr>
        <w:t>本文的工作因此分为两个层次，研究技术路线如图 1 所示。第一个层次是构建密度聚类剪枝随机森林的识别模型，结合无监督聚类与文本挖掘开展实证研究；第二个层次，也是本文相对既有研究的主要推进，是对该类模型的效度做系统检验，并以检验结果反向回调标签构造。路线图中的第四阶段即为本文新增的核心环节。</w:t>
      </w:r>
    </w:p>
    <w:p>
      <w:pPr>
        <w:keepNext/>
        <w:spacing w:before="120" w:after="0" w:line="240" w:lineRule="auto"/>
        <w:jc w:val="center"/>
      </w:pPr>
      <w:r>
        <w:drawing>
          <wp:inline xmlns:a="http://schemas.openxmlformats.org/drawingml/2006/main" xmlns:pic="http://schemas.openxmlformats.org/drawingml/2006/picture">
            <wp:extent cx="5580000" cy="3061914"/>
            <wp:docPr id="1" name="Picture 1"/>
            <wp:cNvGraphicFramePr>
              <a:graphicFrameLocks noChangeAspect="1"/>
            </wp:cNvGraphicFramePr>
            <a:graphic>
              <a:graphicData uri="http://schemas.openxmlformats.org/drawingml/2006/picture">
                <pic:pic>
                  <pic:nvPicPr>
                    <pic:cNvPr id="0" name="p5_c1_roadmap.png"/>
                    <pic:cNvPicPr/>
                  </pic:nvPicPr>
                  <pic:blipFill>
                    <a:blip r:embed="rId9"/>
                    <a:stretch>
                      <a:fillRect/>
                    </a:stretch>
                  </pic:blipFill>
                  <pic:spPr>
                    <a:xfrm>
                      <a:off x="0" y="0"/>
                      <a:ext cx="5580000" cy="3061914"/>
                    </a:xfrm>
                    <a:prstGeom prst="rect"/>
                  </pic:spPr>
                </pic:pic>
              </a:graphicData>
            </a:graphic>
          </wp:inline>
        </w:drawing>
      </w:r>
    </w:p>
    <w:p>
      <w:pPr>
        <w:spacing w:before="40" w:after="160" w:line="240" w:lineRule="auto"/>
        <w:jc w:val="center"/>
      </w:pPr>
      <w:r>
        <w:rPr>
          <w:rFonts w:ascii="Times New Roman" w:hAnsi="Times New Roman" w:eastAsia="黑体"/>
          <w:b w:val="0"/>
          <w:sz w:val="21"/>
        </w:rPr>
        <w:t>图 1  研究技术路线</w:t>
      </w:r>
    </w:p>
    <w:p>
      <w:pPr>
        <w:keepNext/>
        <w:spacing w:before="240" w:after="120" w:line="360" w:lineRule="auto"/>
        <w:jc w:val="left"/>
      </w:pPr>
      <w:r>
        <w:rPr>
          <w:rFonts w:ascii="Times New Roman" w:hAnsi="Times New Roman" w:eastAsia="黑体"/>
          <w:b/>
          <w:sz w:val="30"/>
        </w:rPr>
        <w:t>2  相关研究</w:t>
      </w:r>
    </w:p>
    <w:p>
      <w:pPr>
        <w:spacing w:before="0" w:after="0" w:line="360" w:lineRule="auto"/>
        <w:ind w:firstLine="480"/>
        <w:jc w:val="both"/>
      </w:pPr>
      <w:r>
        <w:rPr>
          <w:rFonts w:ascii="Times New Roman" w:hAnsi="Times New Roman" w:eastAsia="宋体"/>
          <w:b w:val="0"/>
          <w:sz w:val="24"/>
        </w:rPr>
        <w:t>专利价值评估的方法演进经历了从多指标框架到机器学习的过程，但效度检验始终是薄弱环节。国外研究中，Lanjouw 等[1]最早构建了多指标专利质量评估框架，Breiman[2]提出的随机森林算法为智能评估提供了方法支撑。国内研究方面，黄庆等[3]、李振亚等[4]、万小丽等[5]逐步建立完善了专利三维评价体系；赵蕴华等[6]、杨美妮等[7]证实了机器学习在批量专利评估中的适用性；李玉等[8]进一步提出密度聚类优化的随机森林算法，提升了模型稳定性。新型烟草领域，刘亚丽等[9]指出行业存在外围专利多、核心技术不足的问题，但针对该领域的定制化识别方法仍较为匮乏。</w:t>
      </w:r>
    </w:p>
    <w:p>
      <w:pPr>
        <w:spacing w:before="0" w:after="0" w:line="360" w:lineRule="auto"/>
        <w:ind w:firstLine="480"/>
        <w:jc w:val="both"/>
      </w:pPr>
      <w:r>
        <w:rPr>
          <w:rFonts w:ascii="Times New Roman" w:hAnsi="Times New Roman" w:eastAsia="宋体"/>
          <w:b w:val="0"/>
          <w:sz w:val="24"/>
        </w:rPr>
        <w:t>上述研究的共同不足在于未讨论标签与特征同源带来的效度问题，以及类不平衡条件下评价指标的选择问题。在机器学习方法论文献中，前者属于目标泄漏的一种形式[10]；后者则早已被指出——在正类占比很低时，准确率与受试者工作特征曲线下面积均会给出过于乐观的印象，应改用精确率—召回率曲线下面积等对类不平衡稳健的指标[11]。本文在沿用该范式复现结果的同时补齐这两方面的检验，这是本文与既有研究的主要区别。</w:t>
      </w:r>
    </w:p>
    <w:p>
      <w:pPr>
        <w:keepNext/>
        <w:spacing w:before="240" w:after="120" w:line="360" w:lineRule="auto"/>
        <w:jc w:val="left"/>
      </w:pPr>
      <w:r>
        <w:rPr>
          <w:rFonts w:ascii="Times New Roman" w:hAnsi="Times New Roman" w:eastAsia="黑体"/>
          <w:b/>
          <w:sz w:val="30"/>
        </w:rPr>
        <w:t>3  数据与方法</w:t>
      </w:r>
    </w:p>
    <w:p>
      <w:pPr>
        <w:keepNext/>
        <w:spacing w:before="160" w:after="80" w:line="360" w:lineRule="auto"/>
        <w:jc w:val="left"/>
      </w:pPr>
      <w:r>
        <w:rPr>
          <w:rFonts w:ascii="Times New Roman" w:hAnsi="Times New Roman" w:eastAsia="黑体"/>
          <w:b w:val="0"/>
          <w:sz w:val="28"/>
        </w:rPr>
        <w:t>3.1  数据来源与预处理</w:t>
      </w:r>
    </w:p>
    <w:p>
      <w:pPr>
        <w:spacing w:before="0" w:after="0" w:line="360" w:lineRule="auto"/>
        <w:ind w:firstLine="480"/>
        <w:jc w:val="both"/>
      </w:pPr>
      <w:r>
        <w:rPr>
          <w:rFonts w:ascii="Times New Roman" w:hAnsi="Times New Roman" w:eastAsia="宋体"/>
          <w:b w:val="0"/>
          <w:sz w:val="24"/>
        </w:rPr>
        <w:t>研究数据取自专利数据库 2010—2024 年国际专利分类号 A24B、A24C、A24F 下的新型烟草专利，经去重、剔除失效样本后最终纳入有效专利 4954 条，特征指标体系如表 1 所示。同步采集专利标题、技术要点、权利要求等文本数据用于后续技术主题分析。预处理依次完成数值格式转换、众数填充缺失值、分类特征标签编码与最大最小归一化；鉴于核心指标呈极强右偏分布，参考专利计量研究通用做法[4]对核心指标做 99 分位缩尾处理。</w:t>
      </w:r>
    </w:p>
    <w:p>
      <w:pPr>
        <w:keepNext/>
        <w:spacing w:before="160" w:after="40" w:line="240" w:lineRule="auto"/>
        <w:jc w:val="center"/>
      </w:pPr>
      <w:r>
        <w:rPr>
          <w:rFonts w:ascii="Times New Roman" w:hAnsi="Times New Roman" w:eastAsia="黑体"/>
          <w:b w:val="0"/>
          <w:sz w:val="21"/>
        </w:rPr>
        <w:t>表 1  专利特征指标清单</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907"/>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序号</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指标名称</w:t>
            </w:r>
          </w:p>
        </w:tc>
        <w:tc>
          <w:tcPr>
            <w:tcW w:type="dxa" w:w="90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序号</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指标名称</w:t>
            </w:r>
          </w:p>
        </w:tc>
      </w:tr>
      <w:tr>
        <w:tc>
          <w:tcPr>
            <w:tcW w:type="dxa" w:w="907"/>
          </w:tcPr>
          <w:p>
            <w:pPr>
              <w:spacing w:before="40" w:after="40" w:line="240" w:lineRule="auto"/>
              <w:jc w:val="left"/>
            </w:pPr>
            <w:r/>
            <w:r>
              <w:rPr>
                <w:rFonts w:ascii="Times New Roman" w:hAnsi="Times New Roman" w:eastAsia="宋体"/>
                <w:b w:val="0"/>
                <w:sz w:val="19"/>
              </w:rPr>
              <w:t>1</w:t>
            </w:r>
          </w:p>
        </w:tc>
        <w:tc>
          <w:tcPr>
            <w:tcW w:type="dxa" w:w="3402"/>
          </w:tcPr>
          <w:p>
            <w:pPr>
              <w:spacing w:before="40" w:after="40" w:line="240" w:lineRule="auto"/>
              <w:jc w:val="center"/>
            </w:pPr>
            <w:r/>
            <w:r>
              <w:rPr>
                <w:rFonts w:ascii="Times New Roman" w:hAnsi="Times New Roman" w:eastAsia="宋体"/>
                <w:b w:val="0"/>
                <w:sz w:val="19"/>
              </w:rPr>
              <w:t>权利要求计数</w:t>
            </w:r>
          </w:p>
        </w:tc>
        <w:tc>
          <w:tcPr>
            <w:tcW w:type="dxa" w:w="907"/>
          </w:tcPr>
          <w:p>
            <w:pPr>
              <w:spacing w:before="40" w:after="40" w:line="240" w:lineRule="auto"/>
              <w:jc w:val="center"/>
            </w:pPr>
            <w:r/>
            <w:r>
              <w:rPr>
                <w:rFonts w:ascii="Times New Roman" w:hAnsi="Times New Roman" w:eastAsia="宋体"/>
                <w:b w:val="0"/>
                <w:sz w:val="19"/>
              </w:rPr>
              <w:t>8</w:t>
            </w:r>
          </w:p>
        </w:tc>
        <w:tc>
          <w:tcPr>
            <w:tcW w:type="dxa" w:w="3402"/>
          </w:tcPr>
          <w:p>
            <w:pPr>
              <w:spacing w:before="40" w:after="40" w:line="240" w:lineRule="auto"/>
              <w:jc w:val="center"/>
            </w:pPr>
            <w:r/>
            <w:r>
              <w:rPr>
                <w:rFonts w:ascii="Times New Roman" w:hAnsi="Times New Roman" w:eastAsia="宋体"/>
                <w:b w:val="0"/>
                <w:sz w:val="19"/>
              </w:rPr>
              <w:t>最早优先权年</w:t>
            </w:r>
          </w:p>
        </w:tc>
      </w:tr>
      <w:tr>
        <w:tc>
          <w:tcPr>
            <w:tcW w:type="dxa" w:w="907"/>
          </w:tcPr>
          <w:p>
            <w:pPr>
              <w:spacing w:before="40" w:after="40" w:line="240" w:lineRule="auto"/>
              <w:jc w:val="left"/>
            </w:pPr>
            <w:r/>
            <w:r>
              <w:rPr>
                <w:rFonts w:ascii="Times New Roman" w:hAnsi="Times New Roman" w:eastAsia="宋体"/>
                <w:b w:val="0"/>
                <w:sz w:val="19"/>
              </w:rPr>
              <w:t>2</w:t>
            </w:r>
          </w:p>
        </w:tc>
        <w:tc>
          <w:tcPr>
            <w:tcW w:type="dxa" w:w="3402"/>
          </w:tcPr>
          <w:p>
            <w:pPr>
              <w:spacing w:before="40" w:after="40" w:line="240" w:lineRule="auto"/>
              <w:jc w:val="center"/>
            </w:pPr>
            <w:r/>
            <w:r>
              <w:rPr>
                <w:rFonts w:ascii="Times New Roman" w:hAnsi="Times New Roman" w:eastAsia="宋体"/>
                <w:b w:val="0"/>
                <w:sz w:val="19"/>
              </w:rPr>
              <w:t>专利权人计数</w:t>
            </w:r>
          </w:p>
        </w:tc>
        <w:tc>
          <w:tcPr>
            <w:tcW w:type="dxa" w:w="907"/>
          </w:tcPr>
          <w:p>
            <w:pPr>
              <w:spacing w:before="40" w:after="40" w:line="240" w:lineRule="auto"/>
              <w:jc w:val="center"/>
            </w:pPr>
            <w:r/>
            <w:r>
              <w:rPr>
                <w:rFonts w:ascii="Times New Roman" w:hAnsi="Times New Roman" w:eastAsia="宋体"/>
                <w:b w:val="0"/>
                <w:sz w:val="19"/>
              </w:rPr>
              <w:t>9</w:t>
            </w:r>
          </w:p>
        </w:tc>
        <w:tc>
          <w:tcPr>
            <w:tcW w:type="dxa" w:w="3402"/>
          </w:tcPr>
          <w:p>
            <w:pPr>
              <w:spacing w:before="40" w:after="40" w:line="240" w:lineRule="auto"/>
              <w:jc w:val="center"/>
            </w:pPr>
            <w:r/>
            <w:r>
              <w:rPr>
                <w:rFonts w:ascii="Times New Roman" w:hAnsi="Times New Roman" w:eastAsia="宋体"/>
                <w:b w:val="0"/>
                <w:sz w:val="19"/>
              </w:rPr>
              <w:t>国际专利分类大类</w:t>
            </w:r>
          </w:p>
        </w:tc>
      </w:tr>
      <w:tr>
        <w:tc>
          <w:tcPr>
            <w:tcW w:type="dxa" w:w="907"/>
          </w:tcPr>
          <w:p>
            <w:pPr>
              <w:spacing w:before="40" w:after="40" w:line="240" w:lineRule="auto"/>
              <w:jc w:val="left"/>
            </w:pPr>
            <w:r/>
            <w:r>
              <w:rPr>
                <w:rFonts w:ascii="Times New Roman" w:hAnsi="Times New Roman" w:eastAsia="宋体"/>
                <w:b w:val="0"/>
                <w:sz w:val="19"/>
              </w:rPr>
              <w:t>3</w:t>
            </w:r>
          </w:p>
        </w:tc>
        <w:tc>
          <w:tcPr>
            <w:tcW w:type="dxa" w:w="3402"/>
          </w:tcPr>
          <w:p>
            <w:pPr>
              <w:spacing w:before="40" w:after="40" w:line="240" w:lineRule="auto"/>
              <w:jc w:val="center"/>
            </w:pPr>
            <w:r/>
            <w:r>
              <w:rPr>
                <w:rFonts w:ascii="Times New Roman" w:hAnsi="Times New Roman" w:eastAsia="宋体"/>
                <w:b w:val="0"/>
                <w:sz w:val="19"/>
              </w:rPr>
              <w:t>发明人计数</w:t>
            </w:r>
          </w:p>
        </w:tc>
        <w:tc>
          <w:tcPr>
            <w:tcW w:type="dxa" w:w="907"/>
          </w:tcPr>
          <w:p>
            <w:pPr>
              <w:spacing w:before="40" w:after="40" w:line="240" w:lineRule="auto"/>
              <w:jc w:val="center"/>
            </w:pPr>
            <w:r/>
            <w:r>
              <w:rPr>
                <w:rFonts w:ascii="Times New Roman" w:hAnsi="Times New Roman" w:eastAsia="宋体"/>
                <w:b w:val="0"/>
                <w:sz w:val="19"/>
              </w:rPr>
              <w:t>10</w:t>
            </w:r>
          </w:p>
        </w:tc>
        <w:tc>
          <w:tcPr>
            <w:tcW w:type="dxa" w:w="3402"/>
          </w:tcPr>
          <w:p>
            <w:pPr>
              <w:spacing w:before="40" w:after="40" w:line="240" w:lineRule="auto"/>
              <w:jc w:val="center"/>
            </w:pPr>
            <w:r/>
            <w:r>
              <w:rPr>
                <w:rFonts w:ascii="Times New Roman" w:hAnsi="Times New Roman" w:eastAsia="宋体"/>
                <w:b w:val="0"/>
                <w:sz w:val="19"/>
              </w:rPr>
              <w:t>引用的专利参考文献数</w:t>
            </w:r>
          </w:p>
        </w:tc>
      </w:tr>
      <w:tr>
        <w:tc>
          <w:tcPr>
            <w:tcW w:type="dxa" w:w="907"/>
          </w:tcPr>
          <w:p>
            <w:pPr>
              <w:spacing w:before="40" w:after="40" w:line="240" w:lineRule="auto"/>
              <w:jc w:val="left"/>
            </w:pPr>
            <w:r/>
            <w:r>
              <w:rPr>
                <w:rFonts w:ascii="Times New Roman" w:hAnsi="Times New Roman" w:eastAsia="宋体"/>
                <w:b w:val="0"/>
                <w:sz w:val="19"/>
              </w:rPr>
              <w:t>4</w:t>
            </w:r>
          </w:p>
        </w:tc>
        <w:tc>
          <w:tcPr>
            <w:tcW w:type="dxa" w:w="3402"/>
          </w:tcPr>
          <w:p>
            <w:pPr>
              <w:spacing w:before="40" w:after="40" w:line="240" w:lineRule="auto"/>
              <w:jc w:val="center"/>
            </w:pPr>
            <w:r/>
            <w:r>
              <w:rPr>
                <w:rFonts w:ascii="Times New Roman" w:hAnsi="Times New Roman" w:eastAsia="宋体"/>
                <w:b w:val="0"/>
                <w:sz w:val="19"/>
              </w:rPr>
              <w:t>专利文献类型识别代码</w:t>
            </w:r>
          </w:p>
        </w:tc>
        <w:tc>
          <w:tcPr>
            <w:tcW w:type="dxa" w:w="907"/>
          </w:tcPr>
          <w:p>
            <w:pPr>
              <w:spacing w:before="40" w:after="40" w:line="240" w:lineRule="auto"/>
              <w:jc w:val="center"/>
            </w:pPr>
            <w:r/>
            <w:r>
              <w:rPr>
                <w:rFonts w:ascii="Times New Roman" w:hAnsi="Times New Roman" w:eastAsia="宋体"/>
                <w:b w:val="0"/>
                <w:sz w:val="19"/>
              </w:rPr>
              <w:t>11</w:t>
            </w:r>
          </w:p>
        </w:tc>
        <w:tc>
          <w:tcPr>
            <w:tcW w:type="dxa" w:w="3402"/>
          </w:tcPr>
          <w:p>
            <w:pPr>
              <w:spacing w:before="40" w:after="40" w:line="240" w:lineRule="auto"/>
              <w:jc w:val="center"/>
            </w:pPr>
            <w:r/>
            <w:r>
              <w:rPr>
                <w:rFonts w:ascii="Times New Roman" w:hAnsi="Times New Roman" w:eastAsia="宋体"/>
                <w:b w:val="0"/>
                <w:sz w:val="19"/>
              </w:rPr>
              <w:t>引用的非专利参考文献数</w:t>
            </w:r>
          </w:p>
        </w:tc>
      </w:tr>
      <w:tr>
        <w:tc>
          <w:tcPr>
            <w:tcW w:type="dxa" w:w="907"/>
          </w:tcPr>
          <w:p>
            <w:pPr>
              <w:spacing w:before="40" w:after="40" w:line="240" w:lineRule="auto"/>
              <w:jc w:val="left"/>
            </w:pPr>
            <w:r/>
            <w:r>
              <w:rPr>
                <w:rFonts w:ascii="Times New Roman" w:hAnsi="Times New Roman" w:eastAsia="宋体"/>
                <w:b w:val="0"/>
                <w:sz w:val="19"/>
              </w:rPr>
              <w:t>5</w:t>
            </w:r>
          </w:p>
        </w:tc>
        <w:tc>
          <w:tcPr>
            <w:tcW w:type="dxa" w:w="3402"/>
          </w:tcPr>
          <w:p>
            <w:pPr>
              <w:spacing w:before="40" w:after="40" w:line="240" w:lineRule="auto"/>
              <w:jc w:val="center"/>
            </w:pPr>
            <w:r/>
            <w:r>
              <w:rPr>
                <w:rFonts w:ascii="Times New Roman" w:hAnsi="Times New Roman" w:eastAsia="宋体"/>
                <w:b w:val="0"/>
                <w:sz w:val="19"/>
              </w:rPr>
              <w:t>公开年</w:t>
            </w:r>
          </w:p>
        </w:tc>
        <w:tc>
          <w:tcPr>
            <w:tcW w:type="dxa" w:w="907"/>
          </w:tcPr>
          <w:p>
            <w:pPr>
              <w:spacing w:before="40" w:after="40" w:line="240" w:lineRule="auto"/>
              <w:jc w:val="center"/>
            </w:pPr>
            <w:r/>
            <w:r>
              <w:rPr>
                <w:rFonts w:ascii="Times New Roman" w:hAnsi="Times New Roman" w:eastAsia="宋体"/>
                <w:b w:val="0"/>
                <w:sz w:val="19"/>
              </w:rPr>
              <w:t>12</w:t>
            </w:r>
          </w:p>
        </w:tc>
        <w:tc>
          <w:tcPr>
            <w:tcW w:type="dxa" w:w="3402"/>
          </w:tcPr>
          <w:p>
            <w:pPr>
              <w:spacing w:before="40" w:after="40" w:line="240" w:lineRule="auto"/>
              <w:jc w:val="center"/>
            </w:pPr>
            <w:r/>
            <w:r>
              <w:rPr>
                <w:rFonts w:ascii="Times New Roman" w:hAnsi="Times New Roman" w:eastAsia="宋体"/>
                <w:b w:val="0"/>
                <w:sz w:val="19"/>
              </w:rPr>
              <w:t>施引专利计数</w:t>
            </w:r>
          </w:p>
        </w:tc>
      </w:tr>
      <w:tr>
        <w:tc>
          <w:tcPr>
            <w:tcW w:type="dxa" w:w="907"/>
          </w:tcPr>
          <w:p>
            <w:pPr>
              <w:spacing w:before="40" w:after="40" w:line="240" w:lineRule="auto"/>
              <w:jc w:val="left"/>
            </w:pPr>
            <w:r/>
            <w:r>
              <w:rPr>
                <w:rFonts w:ascii="Times New Roman" w:hAnsi="Times New Roman" w:eastAsia="宋体"/>
                <w:b w:val="0"/>
                <w:sz w:val="19"/>
              </w:rPr>
              <w:t>6</w:t>
            </w:r>
          </w:p>
        </w:tc>
        <w:tc>
          <w:tcPr>
            <w:tcW w:type="dxa" w:w="3402"/>
          </w:tcPr>
          <w:p>
            <w:pPr>
              <w:spacing w:before="40" w:after="40" w:line="240" w:lineRule="auto"/>
              <w:jc w:val="center"/>
            </w:pPr>
            <w:r/>
            <w:r>
              <w:rPr>
                <w:rFonts w:ascii="Times New Roman" w:hAnsi="Times New Roman" w:eastAsia="宋体"/>
                <w:b w:val="0"/>
                <w:sz w:val="19"/>
              </w:rPr>
              <w:t>申请年</w:t>
            </w:r>
          </w:p>
        </w:tc>
        <w:tc>
          <w:tcPr>
            <w:tcW w:type="dxa" w:w="907"/>
          </w:tcPr>
          <w:p>
            <w:pPr>
              <w:spacing w:before="40" w:after="40" w:line="240" w:lineRule="auto"/>
              <w:jc w:val="center"/>
            </w:pPr>
            <w:r/>
            <w:r>
              <w:rPr>
                <w:rFonts w:ascii="Times New Roman" w:hAnsi="Times New Roman" w:eastAsia="宋体"/>
                <w:b w:val="0"/>
                <w:sz w:val="19"/>
              </w:rPr>
              <w:t>13</w:t>
            </w:r>
          </w:p>
        </w:tc>
        <w:tc>
          <w:tcPr>
            <w:tcW w:type="dxa" w:w="3402"/>
          </w:tcPr>
          <w:p>
            <w:pPr>
              <w:spacing w:before="40" w:after="40" w:line="240" w:lineRule="auto"/>
              <w:jc w:val="center"/>
            </w:pPr>
            <w:r/>
            <w:r>
              <w:rPr>
                <w:rFonts w:ascii="Times New Roman" w:hAnsi="Times New Roman" w:eastAsia="宋体"/>
                <w:b w:val="0"/>
                <w:sz w:val="19"/>
              </w:rPr>
              <w:t>同族专利成员计数</w:t>
            </w:r>
          </w:p>
        </w:tc>
      </w:tr>
      <w:tr>
        <w:tc>
          <w:tcPr>
            <w:tcW w:type="dxa" w:w="907"/>
            <w:tcBorders>
              <w:bottom w:val="single" w:sz="12" w:space="0" w:color="000000"/>
            </w:tcBorders>
          </w:tcPr>
          <w:p>
            <w:pPr>
              <w:spacing w:before="40" w:after="40" w:line="240" w:lineRule="auto"/>
              <w:jc w:val="left"/>
            </w:pPr>
            <w:r/>
            <w:r>
              <w:rPr>
                <w:rFonts w:ascii="Times New Roman" w:hAnsi="Times New Roman" w:eastAsia="宋体"/>
                <w:b w:val="0"/>
                <w:sz w:val="19"/>
              </w:rPr>
              <w:t>7</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19"/>
              </w:rPr>
              <w:t>优先权年</w:t>
            </w:r>
          </w:p>
        </w:tc>
        <w:tc>
          <w:tcPr>
            <w:tcW w:type="dxa" w:w="907"/>
            <w:tcBorders>
              <w:bottom w:val="single" w:sz="12" w:space="0" w:color="000000"/>
            </w:tcBorders>
          </w:tcPr>
          <w:p>
            <w:pPr>
              <w:spacing w:before="40" w:after="40" w:line="240" w:lineRule="auto"/>
              <w:jc w:val="center"/>
            </w:pPr>
            <w:r/>
            <w:r>
              <w:rPr>
                <w:rFonts w:ascii="Times New Roman" w:hAnsi="Times New Roman" w:eastAsia="宋体"/>
                <w:b w:val="0"/>
                <w:sz w:val="19"/>
              </w:rPr>
              <w:t>14</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19"/>
              </w:rPr>
              <w:t>同族专利国家/地区计数</w:t>
            </w:r>
          </w:p>
        </w:tc>
      </w:tr>
    </w:tbl>
    <w:p>
      <w:pPr>
        <w:spacing w:before="40" w:after="160" w:line="240" w:lineRule="auto"/>
        <w:ind w:firstLine="0"/>
        <w:jc w:val="left"/>
      </w:pPr>
      <w:r>
        <w:rPr>
          <w:rFonts w:ascii="Times New Roman" w:hAnsi="Times New Roman" w:eastAsia="宋体"/>
          <w:b w:val="0"/>
          <w:sz w:val="18"/>
        </w:rPr>
        <w:t>注：其中序号 1、3、10、13 四项指标同时用于第 3.2 节的价值标签构造，这一重合是第 5 章效度检验的直接对象。</w:t>
      </w:r>
    </w:p>
    <w:p>
      <w:pPr>
        <w:keepNext/>
        <w:spacing w:before="160" w:after="80" w:line="360" w:lineRule="auto"/>
        <w:jc w:val="left"/>
      </w:pPr>
      <w:r>
        <w:rPr>
          <w:rFonts w:ascii="Times New Roman" w:hAnsi="Times New Roman" w:eastAsia="黑体"/>
          <w:b w:val="0"/>
          <w:sz w:val="28"/>
        </w:rPr>
        <w:t>3.2  相对价值分级标签构建</w:t>
      </w:r>
    </w:p>
    <w:p>
      <w:pPr>
        <w:spacing w:before="0" w:after="0" w:line="360" w:lineRule="auto"/>
        <w:ind w:firstLine="480"/>
        <w:jc w:val="both"/>
      </w:pPr>
      <w:r>
        <w:rPr>
          <w:rFonts w:ascii="Times New Roman" w:hAnsi="Times New Roman" w:eastAsia="宋体"/>
          <w:b w:val="0"/>
          <w:sz w:val="24"/>
        </w:rPr>
        <w:t>价值标签基于专利内在质量特征构造，采用熵权法客观确定指标权重以避免主观赋权的随意性。基于专利价值评价的经典多维框架，选取专利参考文献引用数、权利要求计数、发明人计数、同族专利成员数四项核心指标，分别对应技术影响力、法律保护范围、研发投入强度、市场布局广度四个价值维度。第 j 项指标的信息熵与熵权如式（1）所示，其中 n 为样本量、p_ij 为归一化后的指标值。</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sSub>
                <m:e>
                  <m:r>
                    <m:t xml:space="preserve">e</m:t>
                  </m:r>
                </m:e>
                <m:sub>
                  <m:r>
                    <m:t xml:space="preserve">j</m:t>
                  </m:r>
                </m:sub>
              </m:sSub>
              <m:r>
                <m:t xml:space="preserve">=-</m:t>
              </m:r>
              <m:f>
                <m:fPr>
                  <m:type m:val="bar"/>
                </m:fPr>
                <m:num>
                  <m:r>
                    <m:t xml:space="preserve">1</m:t>
                  </m:r>
                </m:num>
                <m:den>
                  <m:r>
                    <m:rPr>
                      <m:sty m:val="p"/>
                    </m:rPr>
                    <m:t xml:space="preserve">ln</m:t>
                  </m:r>
                  <m:r>
                    <m:t xml:space="preserve"> n</m:t>
                  </m:r>
                </m:den>
              </m:f>
              <m:nary>
                <m:naryPr>
                  <m:chr m:val="∑"/>
                  <m:limLoc m:val="undOvr"/>
                  <m:grow m:val="1"/>
                </m:naryPr>
                <m:sub>
                  <m:r>
                    <m:t xml:space="preserve">i=1</m:t>
                  </m:r>
                </m:sub>
                <m:sup>
                  <m:r>
                    <m:t xml:space="preserve">n</m:t>
                  </m:r>
                </m:sup>
                <m:e/>
              </m:nary>
              <m:sSub>
                <m:e>
                  <m:r>
                    <m:t xml:space="preserve">p</m:t>
                  </m:r>
                </m:e>
                <m:sub>
                  <m:r>
                    <m:t xml:space="preserve">ij</m:t>
                  </m:r>
                </m:sub>
              </m:sSub>
              <m:r>
                <m:rPr>
                  <m:sty m:val="p"/>
                </m:rPr>
                <m:t xml:space="preserve">ln</m:t>
              </m:r>
              <m:r>
                <m:t xml:space="preserve"> </m:t>
              </m:r>
              <m:sSub>
                <m:e>
                  <m:r>
                    <m:t xml:space="preserve">p</m:t>
                  </m:r>
                </m:e>
                <m:sub>
                  <m:r>
                    <m:t xml:space="preserve">ij</m:t>
                  </m:r>
                </m:sub>
              </m:sSub>
              <m:r>
                <m:t xml:space="preserve">,  </m:t>
              </m:r>
              <m:sSub>
                <m:e>
                  <m:r>
                    <m:t xml:space="preserve">w</m:t>
                  </m:r>
                </m:e>
                <m:sub>
                  <m:r>
                    <m:t xml:space="preserve">j</m:t>
                  </m:r>
                </m:sub>
              </m:sSub>
              <m:r>
                <m:t xml:space="preserve">=</m:t>
              </m:r>
              <m:f>
                <m:fPr>
                  <m:type m:val="bar"/>
                </m:fPr>
                <m:num>
                  <m:r>
                    <m:t xml:space="preserve">1-</m:t>
                  </m:r>
                  <m:sSub>
                    <m:e>
                      <m:r>
                        <m:t xml:space="preserve">e</m:t>
                      </m:r>
                    </m:e>
                    <m:sub>
                      <m:r>
                        <m:t xml:space="preserve">j</m:t>
                      </m:r>
                    </m:sub>
                  </m:sSub>
                </m:num>
                <m:den>
                  <m:nary>
                    <m:naryPr>
                      <m:chr m:val="∑"/>
                      <m:limLoc m:val="undOvr"/>
                      <m:grow m:val="1"/>
                    </m:naryPr>
                    <m:sub>
                      <m:r>
                        <m:t xml:space="preserve">k=1</m:t>
                      </m:r>
                    </m:sub>
                    <m:sup>
                      <m:r>
                        <m:t xml:space="preserve">m</m:t>
                      </m:r>
                    </m:sup>
                    <m:e/>
                  </m:nary>
                  <m:r>
                    <m:t xml:space="preserve">(1-</m:t>
                  </m:r>
                  <m:sSub>
                    <m:e>
                      <m:r>
                        <m:t xml:space="preserve">e</m:t>
                      </m:r>
                    </m:e>
                    <m:sub>
                      <m:r>
                        <m:t xml:space="preserve">k</m:t>
                      </m:r>
                    </m:sub>
                  </m:sSub>
                  <m:r>
                    <m:t xml:space="preserve">)</m:t>
                  </m:r>
                </m:den>
              </m:f>
            </m:oMath>
          </w:p>
        </w:tc>
        <w:tc>
          <w:tcPr>
            <w:tcW w:type="dxa" w:w="1134"/>
          </w:tcPr>
          <w:p>
            <w:pPr>
              <w:spacing w:before="120" w:after="120" w:line="360" w:lineRule="auto"/>
              <w:jc w:val="right"/>
            </w:pPr>
            <w:r>
              <w:rPr>
                <w:rFonts w:ascii="Times New Roman" w:hAnsi="Times New Roman" w:eastAsia="宋体"/>
                <w:b w:val="0"/>
                <w:sz w:val="24"/>
              </w:rPr>
              <w:t>（1）</w:t>
            </w:r>
          </w:p>
        </w:tc>
      </w:tr>
    </w:tbl>
    <w:p>
      <w:pPr>
        <w:spacing w:before="0" w:after="0" w:line="360" w:lineRule="auto"/>
        <w:ind w:firstLine="480"/>
        <w:jc w:val="both"/>
      </w:pPr>
      <w:r>
        <w:rPr>
          <w:rFonts w:ascii="Times New Roman" w:hAnsi="Times New Roman" w:eastAsia="宋体"/>
          <w:b w:val="0"/>
          <w:sz w:val="24"/>
        </w:rPr>
        <w:t>专利综合价值得分为各指标归一化值的加权和，如式（2）所示，再通过自然间断点法划分为低、中、高三个价值等级，构建模型训练的基准标签[3]。</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sSub>
                <m:e>
                  <m:r>
                    <m:t xml:space="preserve">S</m:t>
                  </m:r>
                </m:e>
                <m:sub>
                  <m:r>
                    <m:t xml:space="preserve">i</m:t>
                  </m:r>
                </m:sub>
              </m:sSub>
              <m:r>
                <m:t xml:space="preserve">=</m:t>
              </m:r>
              <m:nary>
                <m:naryPr>
                  <m:chr m:val="∑"/>
                  <m:limLoc m:val="undOvr"/>
                  <m:grow m:val="1"/>
                </m:naryPr>
                <m:sub>
                  <m:r>
                    <m:t xml:space="preserve">j=1</m:t>
                  </m:r>
                </m:sub>
                <m:sup>
                  <m:r>
                    <m:t xml:space="preserve">m</m:t>
                  </m:r>
                </m:sup>
                <m:e/>
              </m:nary>
              <m:sSub>
                <m:e>
                  <m:r>
                    <m:t xml:space="preserve">w</m:t>
                  </m:r>
                </m:e>
                <m:sub>
                  <m:r>
                    <m:t xml:space="preserve">j</m:t>
                  </m:r>
                </m:sub>
              </m:sSub>
              <m:r>
                <m:t xml:space="preserve"> </m:t>
              </m:r>
              <m:sSub>
                <m:e>
                  <m:r>
                    <m:t xml:space="preserve">z</m:t>
                  </m:r>
                </m:e>
                <m:sub>
                  <m:r>
                    <m:t xml:space="preserve">ij</m:t>
                  </m:r>
                </m:sub>
              </m:sSub>
            </m:oMath>
          </w:p>
        </w:tc>
        <w:tc>
          <w:tcPr>
            <w:tcW w:type="dxa" w:w="1134"/>
          </w:tcPr>
          <w:p>
            <w:pPr>
              <w:spacing w:before="120" w:after="120" w:line="360" w:lineRule="auto"/>
              <w:jc w:val="right"/>
            </w:pPr>
            <w:r>
              <w:rPr>
                <w:rFonts w:ascii="Times New Roman" w:hAnsi="Times New Roman" w:eastAsia="宋体"/>
                <w:b w:val="0"/>
                <w:sz w:val="24"/>
              </w:rPr>
              <w:t>（2）</w:t>
            </w:r>
          </w:p>
        </w:tc>
      </w:tr>
    </w:tbl>
    <w:p>
      <w:pPr>
        <w:spacing w:before="0" w:after="0" w:line="360" w:lineRule="auto"/>
        <w:ind w:firstLine="480"/>
        <w:jc w:val="both"/>
      </w:pPr>
      <w:r>
        <w:rPr>
          <w:rFonts w:ascii="Times New Roman" w:hAnsi="Times New Roman" w:eastAsia="宋体"/>
          <w:b w:val="0"/>
          <w:sz w:val="24"/>
        </w:rPr>
        <w:t>这一标签构造方式的固有局限必须在此明确说明，它构成了后文效度检验的直接动因。所得标签是四项指标的加权合成结果，本质上是一个</w:t>
      </w:r>
      <w:r>
        <w:rPr>
          <w:rFonts w:ascii="Times New Roman" w:hAnsi="Times New Roman" w:eastAsia="宋体"/>
          <w:b/>
          <w:sz w:val="24"/>
        </w:rPr>
        <w:t>规则</w:t>
      </w:r>
      <w:r>
        <w:rPr>
          <w:rFonts w:ascii="Times New Roman" w:hAnsi="Times New Roman" w:eastAsia="宋体"/>
          <w:b w:val="0"/>
          <w:sz w:val="24"/>
        </w:rPr>
        <w:t>而非独立观测的价值事实；模型输出应理解为专利在该规则下的相对质量等级，其能否代表真实的市场价值或技术价值，需要独立的外部效标来检验。</w:t>
      </w:r>
    </w:p>
    <w:p>
      <w:pPr>
        <w:keepNext/>
        <w:spacing w:before="160" w:after="80" w:line="360" w:lineRule="auto"/>
        <w:jc w:val="left"/>
      </w:pPr>
      <w:r>
        <w:rPr>
          <w:rFonts w:ascii="Times New Roman" w:hAnsi="Times New Roman" w:eastAsia="黑体"/>
          <w:b w:val="0"/>
          <w:sz w:val="28"/>
        </w:rPr>
        <w:t>3.3  密度聚类剪枝随机森林模型</w:t>
      </w:r>
    </w:p>
    <w:p>
      <w:pPr>
        <w:spacing w:before="0" w:after="0" w:line="360" w:lineRule="auto"/>
        <w:ind w:firstLine="480"/>
        <w:jc w:val="both"/>
      </w:pPr>
      <w:r>
        <w:rPr>
          <w:rFonts w:ascii="Times New Roman" w:hAnsi="Times New Roman" w:eastAsia="宋体"/>
          <w:b w:val="0"/>
          <w:sz w:val="24"/>
        </w:rPr>
        <w:t>针对新型烟草专利同质化强、随机森林易生成冗余决策树的数据特性，本文引入密度聚类对森林结构做剪枝，流程如图 2 所示。具体步骤为：首先对全部决策树进行精度初筛，保留验证集准确率不低于全体平均水平的个体构成高精度子森林；然后以决策树之间的预测一致性距离为依据对基分类器聚类分组，该距离基于一致性系数计算，如式（3）所示，其中 κ 为两棵树预测结果的 Cohen's Kappa 系数；每组仅保留识别性能最优的单棵决策树，未归入任何簇的决策树视为噪声点直接剔除；剔除冗余个体后重构模型，降低同质化分类器的重复投票权重[8]。</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d(</m:t>
              </m:r>
              <m:sSub>
                <m:e>
                  <m:r>
                    <m:t xml:space="preserve">T</m:t>
                  </m:r>
                </m:e>
                <m:sub>
                  <m:r>
                    <m:t xml:space="preserve">a</m:t>
                  </m:r>
                </m:sub>
              </m:sSub>
              <m:r>
                <m:t xml:space="preserve">,</m:t>
              </m:r>
              <m:sSub>
                <m:e>
                  <m:r>
                    <m:t xml:space="preserve">T</m:t>
                  </m:r>
                </m:e>
                <m:sub>
                  <m:r>
                    <m:t xml:space="preserve">b</m:t>
                  </m:r>
                </m:sub>
              </m:sSub>
              <m:r>
                <m:t xml:space="preserve">)=1-κ(</m:t>
              </m:r>
              <m:sSub>
                <m:e>
                  <m:r>
                    <m:t xml:space="preserve">T</m:t>
                  </m:r>
                </m:e>
                <m:sub>
                  <m:r>
                    <m:t xml:space="preserve">a</m:t>
                  </m:r>
                </m:sub>
              </m:sSub>
              <m:r>
                <m:t xml:space="preserve">,</m:t>
              </m:r>
              <m:sSub>
                <m:e>
                  <m:r>
                    <m:t xml:space="preserve">T</m:t>
                  </m:r>
                </m:e>
                <m:sub>
                  <m:r>
                    <m:t xml:space="preserve">b</m:t>
                  </m:r>
                </m:sub>
              </m:sSub>
              <m:r>
                <m:t xml:space="preserve">)</m:t>
              </m:r>
            </m:oMath>
          </w:p>
        </w:tc>
        <w:tc>
          <w:tcPr>
            <w:tcW w:type="dxa" w:w="1134"/>
          </w:tcPr>
          <w:p>
            <w:pPr>
              <w:spacing w:before="120" w:after="120" w:line="360" w:lineRule="auto"/>
              <w:jc w:val="right"/>
            </w:pPr>
            <w:r>
              <w:rPr>
                <w:rFonts w:ascii="Times New Roman" w:hAnsi="Times New Roman" w:eastAsia="宋体"/>
                <w:b w:val="0"/>
                <w:sz w:val="24"/>
              </w:rPr>
              <w:t>（3）</w:t>
            </w:r>
          </w:p>
        </w:tc>
      </w:tr>
    </w:tbl>
    <w:p>
      <w:pPr>
        <w:keepNext/>
        <w:spacing w:before="120" w:after="0" w:line="240" w:lineRule="auto"/>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p5_c2_model.png"/>
                    <pic:cNvPicPr/>
                  </pic:nvPicPr>
                  <pic:blipFill>
                    <a:blip r:embed="rId10"/>
                    <a:stretch>
                      <a:fillRect/>
                    </a:stretch>
                  </pic:blipFill>
                  <pic:spPr>
                    <a:xfrm>
                      <a:off x="0" y="0"/>
                      <a:ext cx="5580000" cy="2790000"/>
                    </a:xfrm>
                    <a:prstGeom prst="rect"/>
                  </pic:spPr>
                </pic:pic>
              </a:graphicData>
            </a:graphic>
          </wp:inline>
        </w:drawing>
      </w:r>
    </w:p>
    <w:p>
      <w:pPr>
        <w:spacing w:before="40" w:after="160" w:line="240" w:lineRule="auto"/>
        <w:jc w:val="center"/>
      </w:pPr>
      <w:r>
        <w:rPr>
          <w:rFonts w:ascii="Times New Roman" w:hAnsi="Times New Roman" w:eastAsia="黑体"/>
          <w:b w:val="0"/>
          <w:sz w:val="21"/>
        </w:rPr>
        <w:t>图 2  密度聚类剪枝随机森林的模型结构</w:t>
      </w:r>
    </w:p>
    <w:p>
      <w:pPr>
        <w:spacing w:before="0" w:after="0" w:line="360" w:lineRule="auto"/>
        <w:ind w:firstLine="480"/>
        <w:jc w:val="both"/>
      </w:pPr>
      <w:r>
        <w:rPr>
          <w:rFonts w:ascii="Times New Roman" w:hAnsi="Times New Roman" w:eastAsia="宋体"/>
          <w:b w:val="0"/>
          <w:sz w:val="24"/>
        </w:rPr>
        <w:t>需说明的是，此处的密度聚类面向随机森林内部的决策树，与第 4.3 节面向专利样本的价值分层聚类为两次独立的算法应用，输入数据、参数设置与应用目标均不相同。</w:t>
      </w:r>
    </w:p>
    <w:p>
      <w:pPr>
        <w:keepNext/>
        <w:spacing w:before="240" w:after="120" w:line="360" w:lineRule="auto"/>
        <w:jc w:val="left"/>
      </w:pPr>
      <w:r>
        <w:rPr>
          <w:rFonts w:ascii="Times New Roman" w:hAnsi="Times New Roman" w:eastAsia="黑体"/>
          <w:b/>
          <w:sz w:val="30"/>
        </w:rPr>
        <w:t>4  实证结果</w:t>
      </w:r>
    </w:p>
    <w:p>
      <w:pPr>
        <w:keepNext/>
        <w:spacing w:before="160" w:after="80" w:line="360" w:lineRule="auto"/>
        <w:jc w:val="left"/>
      </w:pPr>
      <w:r>
        <w:rPr>
          <w:rFonts w:ascii="Times New Roman" w:hAnsi="Times New Roman" w:eastAsia="黑体"/>
          <w:b w:val="0"/>
          <w:sz w:val="28"/>
        </w:rPr>
        <w:t>4.1  特征重要度与最优特征集</w:t>
      </w:r>
    </w:p>
    <w:p>
      <w:pPr>
        <w:spacing w:before="0" w:after="0" w:line="360" w:lineRule="auto"/>
        <w:ind w:firstLine="480"/>
        <w:jc w:val="both"/>
      </w:pPr>
      <w:r>
        <w:rPr>
          <w:rFonts w:ascii="Times New Roman" w:hAnsi="Times New Roman" w:eastAsia="宋体"/>
          <w:b w:val="0"/>
          <w:sz w:val="24"/>
        </w:rPr>
        <w:t>特征重要度的分布本身即揭示了一个必须正视的事实：模型判别力的四分之三来自标签自身的构成要素。依托基尼不纯度准则量化各指标对模型判别的影响程度[5]，结果如表 2 所示。重要度排名前三的指标中有三项、前十的指标中有四项，恰恰是标签构造所使用的指标，四者重要度合计达 0.7513。这一观察是第 5 章效度检验的起点，也说明单看重要度排序并不能证明模型发现了新的价值信息。</w:t>
      </w:r>
    </w:p>
    <w:p>
      <w:pPr>
        <w:keepNext/>
        <w:spacing w:before="160" w:after="40" w:line="240" w:lineRule="auto"/>
        <w:jc w:val="center"/>
      </w:pPr>
      <w:r>
        <w:rPr>
          <w:rFonts w:ascii="Times New Roman" w:hAnsi="Times New Roman" w:eastAsia="黑体"/>
          <w:b w:val="0"/>
          <w:sz w:val="21"/>
        </w:rPr>
        <w:t>表 2  各特征基尼重要度</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794"/>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序号</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特征名称</w:t>
            </w:r>
          </w:p>
        </w:tc>
        <w:tc>
          <w:tcPr>
            <w:tcW w:type="dxa" w:w="13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重要度</w:t>
            </w:r>
          </w:p>
        </w:tc>
        <w:tc>
          <w:tcPr>
            <w:tcW w:type="dxa" w:w="226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是否为标签构造指标</w:t>
            </w:r>
          </w:p>
        </w:tc>
      </w:tr>
      <w:tr>
        <w:tc>
          <w:tcPr>
            <w:tcW w:type="dxa" w:w="794"/>
          </w:tcPr>
          <w:p>
            <w:pPr>
              <w:spacing w:before="40" w:after="40" w:line="240" w:lineRule="auto"/>
              <w:jc w:val="left"/>
            </w:pPr>
            <w:r/>
            <w:r>
              <w:rPr>
                <w:rFonts w:ascii="Times New Roman" w:hAnsi="Times New Roman" w:eastAsia="宋体"/>
                <w:b w:val="0"/>
                <w:sz w:val="19"/>
              </w:rPr>
              <w:t>1</w:t>
            </w:r>
          </w:p>
        </w:tc>
        <w:tc>
          <w:tcPr>
            <w:tcW w:type="dxa" w:w="3628"/>
          </w:tcPr>
          <w:p>
            <w:pPr>
              <w:spacing w:before="40" w:after="40" w:line="240" w:lineRule="auto"/>
              <w:jc w:val="center"/>
            </w:pPr>
            <w:r/>
            <w:r>
              <w:rPr>
                <w:rFonts w:ascii="Times New Roman" w:hAnsi="Times New Roman" w:eastAsia="宋体"/>
                <w:b w:val="0"/>
                <w:sz w:val="19"/>
              </w:rPr>
              <w:t>引用的专利参考文献数</w:t>
            </w:r>
          </w:p>
        </w:tc>
        <w:tc>
          <w:tcPr>
            <w:tcW w:type="dxa" w:w="1361"/>
          </w:tcPr>
          <w:p>
            <w:pPr>
              <w:spacing w:before="40" w:after="40" w:line="240" w:lineRule="auto"/>
              <w:jc w:val="center"/>
            </w:pPr>
            <w:r/>
            <w:r>
              <w:rPr>
                <w:rFonts w:ascii="Times New Roman" w:hAnsi="Times New Roman" w:eastAsia="宋体"/>
                <w:b w:val="0"/>
                <w:sz w:val="19"/>
              </w:rPr>
              <w:t>0.4539</w:t>
            </w:r>
          </w:p>
        </w:tc>
        <w:tc>
          <w:tcPr>
            <w:tcW w:type="dxa" w:w="2268"/>
          </w:tcPr>
          <w:p>
            <w:pPr>
              <w:spacing w:before="40" w:after="40" w:line="240" w:lineRule="auto"/>
              <w:jc w:val="center"/>
            </w:pPr>
            <w:r/>
            <w:r>
              <w:rPr>
                <w:rFonts w:ascii="Times New Roman" w:hAnsi="Times New Roman" w:eastAsia="宋体"/>
                <w:b w:val="0"/>
                <w:sz w:val="19"/>
              </w:rPr>
              <w:t>是</w:t>
            </w:r>
          </w:p>
        </w:tc>
      </w:tr>
      <w:tr>
        <w:tc>
          <w:tcPr>
            <w:tcW w:type="dxa" w:w="794"/>
          </w:tcPr>
          <w:p>
            <w:pPr>
              <w:spacing w:before="40" w:after="40" w:line="240" w:lineRule="auto"/>
              <w:jc w:val="left"/>
            </w:pPr>
            <w:r/>
            <w:r>
              <w:rPr>
                <w:rFonts w:ascii="Times New Roman" w:hAnsi="Times New Roman" w:eastAsia="宋体"/>
                <w:b w:val="0"/>
                <w:sz w:val="19"/>
              </w:rPr>
              <w:t>2</w:t>
            </w:r>
          </w:p>
        </w:tc>
        <w:tc>
          <w:tcPr>
            <w:tcW w:type="dxa" w:w="3628"/>
          </w:tcPr>
          <w:p>
            <w:pPr>
              <w:spacing w:before="40" w:after="40" w:line="240" w:lineRule="auto"/>
              <w:jc w:val="center"/>
            </w:pPr>
            <w:r/>
            <w:r>
              <w:rPr>
                <w:rFonts w:ascii="Times New Roman" w:hAnsi="Times New Roman" w:eastAsia="宋体"/>
                <w:b w:val="0"/>
                <w:sz w:val="19"/>
              </w:rPr>
              <w:t>同族专利成员计数</w:t>
            </w:r>
          </w:p>
        </w:tc>
        <w:tc>
          <w:tcPr>
            <w:tcW w:type="dxa" w:w="1361"/>
          </w:tcPr>
          <w:p>
            <w:pPr>
              <w:spacing w:before="40" w:after="40" w:line="240" w:lineRule="auto"/>
              <w:jc w:val="center"/>
            </w:pPr>
            <w:r/>
            <w:r>
              <w:rPr>
                <w:rFonts w:ascii="Times New Roman" w:hAnsi="Times New Roman" w:eastAsia="宋体"/>
                <w:b w:val="0"/>
                <w:sz w:val="19"/>
              </w:rPr>
              <w:t>0.1672</w:t>
            </w:r>
          </w:p>
        </w:tc>
        <w:tc>
          <w:tcPr>
            <w:tcW w:type="dxa" w:w="2268"/>
          </w:tcPr>
          <w:p>
            <w:pPr>
              <w:spacing w:before="40" w:after="40" w:line="240" w:lineRule="auto"/>
              <w:jc w:val="center"/>
            </w:pPr>
            <w:r/>
            <w:r>
              <w:rPr>
                <w:rFonts w:ascii="Times New Roman" w:hAnsi="Times New Roman" w:eastAsia="宋体"/>
                <w:b w:val="0"/>
                <w:sz w:val="19"/>
              </w:rPr>
              <w:t>是</w:t>
            </w:r>
          </w:p>
        </w:tc>
      </w:tr>
      <w:tr>
        <w:tc>
          <w:tcPr>
            <w:tcW w:type="dxa" w:w="794"/>
          </w:tcPr>
          <w:p>
            <w:pPr>
              <w:spacing w:before="40" w:after="40" w:line="240" w:lineRule="auto"/>
              <w:jc w:val="left"/>
            </w:pPr>
            <w:r/>
            <w:r>
              <w:rPr>
                <w:rFonts w:ascii="Times New Roman" w:hAnsi="Times New Roman" w:eastAsia="宋体"/>
                <w:b w:val="0"/>
                <w:sz w:val="19"/>
              </w:rPr>
              <w:t>3</w:t>
            </w:r>
          </w:p>
        </w:tc>
        <w:tc>
          <w:tcPr>
            <w:tcW w:type="dxa" w:w="3628"/>
          </w:tcPr>
          <w:p>
            <w:pPr>
              <w:spacing w:before="40" w:after="40" w:line="240" w:lineRule="auto"/>
              <w:jc w:val="center"/>
            </w:pPr>
            <w:r/>
            <w:r>
              <w:rPr>
                <w:rFonts w:ascii="Times New Roman" w:hAnsi="Times New Roman" w:eastAsia="宋体"/>
                <w:b w:val="0"/>
                <w:sz w:val="19"/>
              </w:rPr>
              <w:t>权利要求计数</w:t>
            </w:r>
          </w:p>
        </w:tc>
        <w:tc>
          <w:tcPr>
            <w:tcW w:type="dxa" w:w="1361"/>
          </w:tcPr>
          <w:p>
            <w:pPr>
              <w:spacing w:before="40" w:after="40" w:line="240" w:lineRule="auto"/>
              <w:jc w:val="center"/>
            </w:pPr>
            <w:r/>
            <w:r>
              <w:rPr>
                <w:rFonts w:ascii="Times New Roman" w:hAnsi="Times New Roman" w:eastAsia="宋体"/>
                <w:b w:val="0"/>
                <w:sz w:val="19"/>
              </w:rPr>
              <w:t>0.1013</w:t>
            </w:r>
          </w:p>
        </w:tc>
        <w:tc>
          <w:tcPr>
            <w:tcW w:type="dxa" w:w="2268"/>
          </w:tcPr>
          <w:p>
            <w:pPr>
              <w:spacing w:before="40" w:after="40" w:line="240" w:lineRule="auto"/>
              <w:jc w:val="center"/>
            </w:pPr>
            <w:r/>
            <w:r>
              <w:rPr>
                <w:rFonts w:ascii="Times New Roman" w:hAnsi="Times New Roman" w:eastAsia="宋体"/>
                <w:b w:val="0"/>
                <w:sz w:val="19"/>
              </w:rPr>
              <w:t>是</w:t>
            </w:r>
          </w:p>
        </w:tc>
      </w:tr>
      <w:tr>
        <w:tc>
          <w:tcPr>
            <w:tcW w:type="dxa" w:w="794"/>
          </w:tcPr>
          <w:p>
            <w:pPr>
              <w:spacing w:before="40" w:after="40" w:line="240" w:lineRule="auto"/>
              <w:jc w:val="left"/>
            </w:pPr>
            <w:r/>
            <w:r>
              <w:rPr>
                <w:rFonts w:ascii="Times New Roman" w:hAnsi="Times New Roman" w:eastAsia="宋体"/>
                <w:b w:val="0"/>
                <w:sz w:val="19"/>
              </w:rPr>
              <w:t>4</w:t>
            </w:r>
          </w:p>
        </w:tc>
        <w:tc>
          <w:tcPr>
            <w:tcW w:type="dxa" w:w="3628"/>
          </w:tcPr>
          <w:p>
            <w:pPr>
              <w:spacing w:before="40" w:after="40" w:line="240" w:lineRule="auto"/>
              <w:jc w:val="center"/>
            </w:pPr>
            <w:r/>
            <w:r>
              <w:rPr>
                <w:rFonts w:ascii="Times New Roman" w:hAnsi="Times New Roman" w:eastAsia="宋体"/>
                <w:b w:val="0"/>
                <w:sz w:val="19"/>
              </w:rPr>
              <w:t>专利文献类型识别代码</w:t>
            </w:r>
          </w:p>
        </w:tc>
        <w:tc>
          <w:tcPr>
            <w:tcW w:type="dxa" w:w="1361"/>
          </w:tcPr>
          <w:p>
            <w:pPr>
              <w:spacing w:before="40" w:after="40" w:line="240" w:lineRule="auto"/>
              <w:jc w:val="center"/>
            </w:pPr>
            <w:r/>
            <w:r>
              <w:rPr>
                <w:rFonts w:ascii="Times New Roman" w:hAnsi="Times New Roman" w:eastAsia="宋体"/>
                <w:b w:val="0"/>
                <w:sz w:val="19"/>
              </w:rPr>
              <w:t>0.0724</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5</w:t>
            </w:r>
          </w:p>
        </w:tc>
        <w:tc>
          <w:tcPr>
            <w:tcW w:type="dxa" w:w="3628"/>
          </w:tcPr>
          <w:p>
            <w:pPr>
              <w:spacing w:before="40" w:after="40" w:line="240" w:lineRule="auto"/>
              <w:jc w:val="center"/>
            </w:pPr>
            <w:r/>
            <w:r>
              <w:rPr>
                <w:rFonts w:ascii="Times New Roman" w:hAnsi="Times New Roman" w:eastAsia="宋体"/>
                <w:b w:val="0"/>
                <w:sz w:val="19"/>
              </w:rPr>
              <w:t>同族专利国家/地区计数</w:t>
            </w:r>
          </w:p>
        </w:tc>
        <w:tc>
          <w:tcPr>
            <w:tcW w:type="dxa" w:w="1361"/>
          </w:tcPr>
          <w:p>
            <w:pPr>
              <w:spacing w:before="40" w:after="40" w:line="240" w:lineRule="auto"/>
              <w:jc w:val="center"/>
            </w:pPr>
            <w:r/>
            <w:r>
              <w:rPr>
                <w:rFonts w:ascii="Times New Roman" w:hAnsi="Times New Roman" w:eastAsia="宋体"/>
                <w:b w:val="0"/>
                <w:sz w:val="19"/>
              </w:rPr>
              <w:t>0.0395</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6</w:t>
            </w:r>
          </w:p>
        </w:tc>
        <w:tc>
          <w:tcPr>
            <w:tcW w:type="dxa" w:w="3628"/>
          </w:tcPr>
          <w:p>
            <w:pPr>
              <w:spacing w:before="40" w:after="40" w:line="240" w:lineRule="auto"/>
              <w:jc w:val="center"/>
            </w:pPr>
            <w:r/>
            <w:r>
              <w:rPr>
                <w:rFonts w:ascii="Times New Roman" w:hAnsi="Times New Roman" w:eastAsia="宋体"/>
                <w:b w:val="0"/>
                <w:sz w:val="19"/>
              </w:rPr>
              <w:t>最早优先权年</w:t>
            </w:r>
          </w:p>
        </w:tc>
        <w:tc>
          <w:tcPr>
            <w:tcW w:type="dxa" w:w="1361"/>
          </w:tcPr>
          <w:p>
            <w:pPr>
              <w:spacing w:before="40" w:after="40" w:line="240" w:lineRule="auto"/>
              <w:jc w:val="center"/>
            </w:pPr>
            <w:r/>
            <w:r>
              <w:rPr>
                <w:rFonts w:ascii="Times New Roman" w:hAnsi="Times New Roman" w:eastAsia="宋体"/>
                <w:b w:val="0"/>
                <w:sz w:val="19"/>
              </w:rPr>
              <w:t>0.0311</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7</w:t>
            </w:r>
          </w:p>
        </w:tc>
        <w:tc>
          <w:tcPr>
            <w:tcW w:type="dxa" w:w="3628"/>
          </w:tcPr>
          <w:p>
            <w:pPr>
              <w:spacing w:before="40" w:after="40" w:line="240" w:lineRule="auto"/>
              <w:jc w:val="center"/>
            </w:pPr>
            <w:r/>
            <w:r>
              <w:rPr>
                <w:rFonts w:ascii="Times New Roman" w:hAnsi="Times New Roman" w:eastAsia="宋体"/>
                <w:b w:val="0"/>
                <w:sz w:val="19"/>
              </w:rPr>
              <w:t>公开年</w:t>
            </w:r>
          </w:p>
        </w:tc>
        <w:tc>
          <w:tcPr>
            <w:tcW w:type="dxa" w:w="1361"/>
          </w:tcPr>
          <w:p>
            <w:pPr>
              <w:spacing w:before="40" w:after="40" w:line="240" w:lineRule="auto"/>
              <w:jc w:val="center"/>
            </w:pPr>
            <w:r/>
            <w:r>
              <w:rPr>
                <w:rFonts w:ascii="Times New Roman" w:hAnsi="Times New Roman" w:eastAsia="宋体"/>
                <w:b w:val="0"/>
                <w:sz w:val="19"/>
              </w:rPr>
              <w:t>0.0307</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8</w:t>
            </w:r>
          </w:p>
        </w:tc>
        <w:tc>
          <w:tcPr>
            <w:tcW w:type="dxa" w:w="3628"/>
          </w:tcPr>
          <w:p>
            <w:pPr>
              <w:spacing w:before="40" w:after="40" w:line="240" w:lineRule="auto"/>
              <w:jc w:val="center"/>
            </w:pPr>
            <w:r/>
            <w:r>
              <w:rPr>
                <w:rFonts w:ascii="Times New Roman" w:hAnsi="Times New Roman" w:eastAsia="宋体"/>
                <w:b w:val="0"/>
                <w:sz w:val="19"/>
              </w:rPr>
              <w:t>申请年</w:t>
            </w:r>
          </w:p>
        </w:tc>
        <w:tc>
          <w:tcPr>
            <w:tcW w:type="dxa" w:w="1361"/>
          </w:tcPr>
          <w:p>
            <w:pPr>
              <w:spacing w:before="40" w:after="40" w:line="240" w:lineRule="auto"/>
              <w:jc w:val="center"/>
            </w:pPr>
            <w:r/>
            <w:r>
              <w:rPr>
                <w:rFonts w:ascii="Times New Roman" w:hAnsi="Times New Roman" w:eastAsia="宋体"/>
                <w:b w:val="0"/>
                <w:sz w:val="19"/>
              </w:rPr>
              <w:t>0.0289</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9</w:t>
            </w:r>
          </w:p>
        </w:tc>
        <w:tc>
          <w:tcPr>
            <w:tcW w:type="dxa" w:w="3628"/>
          </w:tcPr>
          <w:p>
            <w:pPr>
              <w:spacing w:before="40" w:after="40" w:line="240" w:lineRule="auto"/>
              <w:jc w:val="center"/>
            </w:pPr>
            <w:r/>
            <w:r>
              <w:rPr>
                <w:rFonts w:ascii="Times New Roman" w:hAnsi="Times New Roman" w:eastAsia="宋体"/>
                <w:b w:val="0"/>
                <w:sz w:val="19"/>
              </w:rPr>
              <w:t>发明人计数</w:t>
            </w:r>
          </w:p>
        </w:tc>
        <w:tc>
          <w:tcPr>
            <w:tcW w:type="dxa" w:w="1361"/>
          </w:tcPr>
          <w:p>
            <w:pPr>
              <w:spacing w:before="40" w:after="40" w:line="240" w:lineRule="auto"/>
              <w:jc w:val="center"/>
            </w:pPr>
            <w:r/>
            <w:r>
              <w:rPr>
                <w:rFonts w:ascii="Times New Roman" w:hAnsi="Times New Roman" w:eastAsia="宋体"/>
                <w:b w:val="0"/>
                <w:sz w:val="19"/>
              </w:rPr>
              <w:t>0.0289</w:t>
            </w:r>
          </w:p>
        </w:tc>
        <w:tc>
          <w:tcPr>
            <w:tcW w:type="dxa" w:w="2268"/>
          </w:tcPr>
          <w:p>
            <w:pPr>
              <w:spacing w:before="40" w:after="40" w:line="240" w:lineRule="auto"/>
              <w:jc w:val="center"/>
            </w:pPr>
            <w:r/>
            <w:r>
              <w:rPr>
                <w:rFonts w:ascii="Times New Roman" w:hAnsi="Times New Roman" w:eastAsia="宋体"/>
                <w:b w:val="0"/>
                <w:sz w:val="19"/>
              </w:rPr>
              <w:t>是</w:t>
            </w:r>
          </w:p>
        </w:tc>
      </w:tr>
      <w:tr>
        <w:tc>
          <w:tcPr>
            <w:tcW w:type="dxa" w:w="794"/>
          </w:tcPr>
          <w:p>
            <w:pPr>
              <w:spacing w:before="40" w:after="40" w:line="240" w:lineRule="auto"/>
              <w:jc w:val="left"/>
            </w:pPr>
            <w:r/>
            <w:r>
              <w:rPr>
                <w:rFonts w:ascii="Times New Roman" w:hAnsi="Times New Roman" w:eastAsia="宋体"/>
                <w:b w:val="0"/>
                <w:sz w:val="19"/>
              </w:rPr>
              <w:t>10</w:t>
            </w:r>
          </w:p>
        </w:tc>
        <w:tc>
          <w:tcPr>
            <w:tcW w:type="dxa" w:w="3628"/>
          </w:tcPr>
          <w:p>
            <w:pPr>
              <w:spacing w:before="40" w:after="40" w:line="240" w:lineRule="auto"/>
              <w:jc w:val="center"/>
            </w:pPr>
            <w:r/>
            <w:r>
              <w:rPr>
                <w:rFonts w:ascii="Times New Roman" w:hAnsi="Times New Roman" w:eastAsia="宋体"/>
                <w:b w:val="0"/>
                <w:sz w:val="19"/>
              </w:rPr>
              <w:t>引用的非专利参考文献数</w:t>
            </w:r>
          </w:p>
        </w:tc>
        <w:tc>
          <w:tcPr>
            <w:tcW w:type="dxa" w:w="1361"/>
          </w:tcPr>
          <w:p>
            <w:pPr>
              <w:spacing w:before="40" w:after="40" w:line="240" w:lineRule="auto"/>
              <w:jc w:val="center"/>
            </w:pPr>
            <w:r/>
            <w:r>
              <w:rPr>
                <w:rFonts w:ascii="Times New Roman" w:hAnsi="Times New Roman" w:eastAsia="宋体"/>
                <w:b w:val="0"/>
                <w:sz w:val="19"/>
              </w:rPr>
              <w:t>0.0154</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11</w:t>
            </w:r>
          </w:p>
        </w:tc>
        <w:tc>
          <w:tcPr>
            <w:tcW w:type="dxa" w:w="3628"/>
          </w:tcPr>
          <w:p>
            <w:pPr>
              <w:spacing w:before="40" w:after="40" w:line="240" w:lineRule="auto"/>
              <w:jc w:val="center"/>
            </w:pPr>
            <w:r/>
            <w:r>
              <w:rPr>
                <w:rFonts w:ascii="Times New Roman" w:hAnsi="Times New Roman" w:eastAsia="宋体"/>
                <w:b w:val="0"/>
                <w:sz w:val="19"/>
              </w:rPr>
              <w:t>国际专利分类大类</w:t>
            </w:r>
          </w:p>
        </w:tc>
        <w:tc>
          <w:tcPr>
            <w:tcW w:type="dxa" w:w="1361"/>
          </w:tcPr>
          <w:p>
            <w:pPr>
              <w:spacing w:before="40" w:after="40" w:line="240" w:lineRule="auto"/>
              <w:jc w:val="center"/>
            </w:pPr>
            <w:r/>
            <w:r>
              <w:rPr>
                <w:rFonts w:ascii="Times New Roman" w:hAnsi="Times New Roman" w:eastAsia="宋体"/>
                <w:b w:val="0"/>
                <w:sz w:val="19"/>
              </w:rPr>
              <w:t>0.0133</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Pr>
          <w:p>
            <w:pPr>
              <w:spacing w:before="40" w:after="40" w:line="240" w:lineRule="auto"/>
              <w:jc w:val="left"/>
            </w:pPr>
            <w:r/>
            <w:r>
              <w:rPr>
                <w:rFonts w:ascii="Times New Roman" w:hAnsi="Times New Roman" w:eastAsia="宋体"/>
                <w:b w:val="0"/>
                <w:sz w:val="19"/>
              </w:rPr>
              <w:t>12</w:t>
            </w:r>
          </w:p>
        </w:tc>
        <w:tc>
          <w:tcPr>
            <w:tcW w:type="dxa" w:w="3628"/>
          </w:tcPr>
          <w:p>
            <w:pPr>
              <w:spacing w:before="40" w:after="40" w:line="240" w:lineRule="auto"/>
              <w:jc w:val="center"/>
            </w:pPr>
            <w:r/>
            <w:r>
              <w:rPr>
                <w:rFonts w:ascii="Times New Roman" w:hAnsi="Times New Roman" w:eastAsia="宋体"/>
                <w:b w:val="0"/>
                <w:sz w:val="19"/>
              </w:rPr>
              <w:t>施引专利计数</w:t>
            </w:r>
          </w:p>
        </w:tc>
        <w:tc>
          <w:tcPr>
            <w:tcW w:type="dxa" w:w="1361"/>
          </w:tcPr>
          <w:p>
            <w:pPr>
              <w:spacing w:before="40" w:after="40" w:line="240" w:lineRule="auto"/>
              <w:jc w:val="center"/>
            </w:pPr>
            <w:r/>
            <w:r>
              <w:rPr>
                <w:rFonts w:ascii="Times New Roman" w:hAnsi="Times New Roman" w:eastAsia="宋体"/>
                <w:b w:val="0"/>
                <w:sz w:val="19"/>
              </w:rPr>
              <w:t>0.0107</w:t>
            </w:r>
          </w:p>
        </w:tc>
        <w:tc>
          <w:tcPr>
            <w:tcW w:type="dxa" w:w="2268"/>
          </w:tcPr>
          <w:p>
            <w:pPr>
              <w:spacing w:before="40" w:after="40" w:line="240" w:lineRule="auto"/>
              <w:jc w:val="center"/>
            </w:pPr>
            <w:r/>
            <w:r>
              <w:rPr>
                <w:rFonts w:ascii="Times New Roman" w:hAnsi="Times New Roman" w:eastAsia="宋体"/>
                <w:b w:val="0"/>
                <w:sz w:val="19"/>
              </w:rPr>
              <w:t>否</w:t>
            </w:r>
          </w:p>
        </w:tc>
      </w:tr>
      <w:tr>
        <w:tc>
          <w:tcPr>
            <w:tcW w:type="dxa" w:w="794"/>
            <w:tcBorders>
              <w:bottom w:val="single" w:sz="12" w:space="0" w:color="000000"/>
            </w:tcBorders>
          </w:tcPr>
          <w:p>
            <w:pPr>
              <w:spacing w:before="40" w:after="40" w:line="240" w:lineRule="auto"/>
              <w:jc w:val="left"/>
            </w:pPr>
            <w:r/>
            <w:r>
              <w:rPr>
                <w:rFonts w:ascii="Times New Roman" w:hAnsi="Times New Roman" w:eastAsia="宋体"/>
                <w:b w:val="0"/>
                <w:sz w:val="19"/>
              </w:rPr>
              <w:t>13</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专利权人计数</w:t>
            </w:r>
          </w:p>
        </w:tc>
        <w:tc>
          <w:tcPr>
            <w:tcW w:type="dxa" w:w="1361"/>
            <w:tcBorders>
              <w:bottom w:val="single" w:sz="12" w:space="0" w:color="000000"/>
            </w:tcBorders>
          </w:tcPr>
          <w:p>
            <w:pPr>
              <w:spacing w:before="40" w:after="40" w:line="240" w:lineRule="auto"/>
              <w:jc w:val="center"/>
            </w:pPr>
            <w:r/>
            <w:r>
              <w:rPr>
                <w:rFonts w:ascii="Times New Roman" w:hAnsi="Times New Roman" w:eastAsia="宋体"/>
                <w:b w:val="0"/>
                <w:sz w:val="19"/>
              </w:rPr>
              <w:t>0.0065</w:t>
            </w:r>
          </w:p>
        </w:tc>
        <w:tc>
          <w:tcPr>
            <w:tcW w:type="dxa" w:w="2268"/>
            <w:tcBorders>
              <w:bottom w:val="single" w:sz="12" w:space="0" w:color="000000"/>
            </w:tcBorders>
          </w:tcPr>
          <w:p>
            <w:pPr>
              <w:spacing w:before="40" w:after="40" w:line="240" w:lineRule="auto"/>
              <w:jc w:val="center"/>
            </w:pPr>
            <w:r/>
            <w:r>
              <w:rPr>
                <w:rFonts w:ascii="Times New Roman" w:hAnsi="Times New Roman" w:eastAsia="宋体"/>
                <w:b w:val="0"/>
                <w:sz w:val="19"/>
              </w:rPr>
              <w:t>否</w:t>
            </w:r>
          </w:p>
        </w:tc>
      </w:tr>
    </w:tbl>
    <w:p>
      <w:pPr>
        <w:spacing w:before="40" w:after="160" w:line="240" w:lineRule="auto"/>
        <w:ind w:firstLine="0"/>
        <w:jc w:val="left"/>
      </w:pPr>
      <w:r>
        <w:rPr>
          <w:rFonts w:ascii="Times New Roman" w:hAnsi="Times New Roman" w:eastAsia="宋体"/>
          <w:b w:val="0"/>
          <w:sz w:val="18"/>
        </w:rPr>
        <w:t>注：末列为本文新增。四项标签构造指标的重要度合计 0.7513，占全部重要度的四分之三。</w:t>
      </w:r>
    </w:p>
    <w:p>
      <w:pPr>
        <w:spacing w:before="0" w:after="0" w:line="360" w:lineRule="auto"/>
        <w:ind w:firstLine="480"/>
        <w:jc w:val="both"/>
      </w:pPr>
      <w:r>
        <w:rPr>
          <w:rFonts w:ascii="Times New Roman" w:hAnsi="Times New Roman" w:eastAsia="宋体"/>
          <w:b w:val="0"/>
          <w:sz w:val="24"/>
        </w:rPr>
        <w:t>特征筛选采用逐步加入法，结果如表 3 所示，最优特征子集包含 5 项指标。全部特征的方差膨胀因子均小于 5，不存在严重共线性；特征数增至 5 项时准确率达峰值 95.58%，继续加入低贡献指标会引入噪声。但需指出，本节的特征筛选与第 4.2 节的模型评估使用了同一份数据且折数不一致，存在选择性偏差，规范做法是采用嵌套交叉验证，相关讨论见第 5.4 节[16]。</w:t>
      </w:r>
    </w:p>
    <w:p>
      <w:pPr>
        <w:keepNext/>
        <w:spacing w:before="160" w:after="40" w:line="240" w:lineRule="auto"/>
        <w:jc w:val="center"/>
      </w:pPr>
      <w:r>
        <w:rPr>
          <w:rFonts w:ascii="Times New Roman" w:hAnsi="Times New Roman" w:eastAsia="黑体"/>
          <w:b w:val="0"/>
          <w:sz w:val="21"/>
        </w:rPr>
        <w:t>表 3  特征逐步筛选的交叉验证结果</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4419"/>
        <w:gridCol w:w="4419"/>
      </w:tblGrid>
      <w:tr>
        <w:tc>
          <w:tcPr>
            <w:tcW w:type="dxa" w:w="2835"/>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纳入特征数量</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5 折交叉验证准确率 / %</w:t>
            </w:r>
          </w:p>
        </w:tc>
      </w:tr>
      <w:tr>
        <w:tc>
          <w:tcPr>
            <w:tcW w:type="dxa" w:w="2835"/>
          </w:tcPr>
          <w:p>
            <w:pPr>
              <w:spacing w:before="40" w:after="40" w:line="240" w:lineRule="auto"/>
              <w:jc w:val="left"/>
            </w:pPr>
            <w:r/>
            <w:r>
              <w:rPr>
                <w:rFonts w:ascii="Times New Roman" w:hAnsi="Times New Roman" w:eastAsia="宋体"/>
                <w:b w:val="0"/>
                <w:sz w:val="19"/>
              </w:rPr>
              <w:t>3</w:t>
            </w:r>
          </w:p>
        </w:tc>
        <w:tc>
          <w:tcPr>
            <w:tcW w:type="dxa" w:w="3402"/>
          </w:tcPr>
          <w:p>
            <w:pPr>
              <w:spacing w:before="40" w:after="40" w:line="240" w:lineRule="auto"/>
              <w:jc w:val="center"/>
            </w:pPr>
            <w:r/>
            <w:r>
              <w:rPr>
                <w:rFonts w:ascii="Times New Roman" w:hAnsi="Times New Roman" w:eastAsia="宋体"/>
                <w:b w:val="0"/>
                <w:sz w:val="19"/>
              </w:rPr>
              <w:t>95.40</w:t>
            </w:r>
          </w:p>
        </w:tc>
      </w:tr>
      <w:tr>
        <w:tc>
          <w:tcPr>
            <w:tcW w:type="dxa" w:w="2835"/>
          </w:tcPr>
          <w:p>
            <w:pPr>
              <w:spacing w:before="40" w:after="40" w:line="240" w:lineRule="auto"/>
              <w:jc w:val="left"/>
            </w:pPr>
            <w:r/>
            <w:r>
              <w:rPr>
                <w:rFonts w:ascii="Times New Roman" w:hAnsi="Times New Roman" w:eastAsia="宋体"/>
                <w:b w:val="0"/>
                <w:sz w:val="19"/>
              </w:rPr>
              <w:t>4</w:t>
            </w:r>
          </w:p>
        </w:tc>
        <w:tc>
          <w:tcPr>
            <w:tcW w:type="dxa" w:w="3402"/>
          </w:tcPr>
          <w:p>
            <w:pPr>
              <w:spacing w:before="40" w:after="40" w:line="240" w:lineRule="auto"/>
              <w:jc w:val="center"/>
            </w:pPr>
            <w:r/>
            <w:r>
              <w:rPr>
                <w:rFonts w:ascii="Times New Roman" w:hAnsi="Times New Roman" w:eastAsia="宋体"/>
                <w:b w:val="0"/>
                <w:sz w:val="19"/>
              </w:rPr>
              <w:t>95.52</w:t>
            </w:r>
          </w:p>
        </w:tc>
      </w:tr>
      <w:tr>
        <w:tc>
          <w:tcPr>
            <w:tcW w:type="dxa" w:w="2835"/>
          </w:tcPr>
          <w:p>
            <w:pPr>
              <w:spacing w:before="40" w:after="40" w:line="240" w:lineRule="auto"/>
              <w:jc w:val="left"/>
            </w:pPr>
            <w:r/>
            <w:r>
              <w:rPr>
                <w:rFonts w:ascii="Times New Roman" w:hAnsi="Times New Roman" w:eastAsia="宋体"/>
                <w:b w:val="0"/>
                <w:sz w:val="19"/>
              </w:rPr>
              <w:t>5</w:t>
            </w:r>
          </w:p>
        </w:tc>
        <w:tc>
          <w:tcPr>
            <w:tcW w:type="dxa" w:w="3402"/>
          </w:tcPr>
          <w:p>
            <w:pPr>
              <w:spacing w:before="40" w:after="40" w:line="240" w:lineRule="auto"/>
              <w:jc w:val="center"/>
            </w:pPr>
            <w:r/>
            <w:r>
              <w:rPr>
                <w:rFonts w:ascii="Times New Roman" w:hAnsi="Times New Roman" w:eastAsia="宋体"/>
                <w:b w:val="0"/>
                <w:sz w:val="19"/>
              </w:rPr>
              <w:t>95.58</w:t>
            </w:r>
          </w:p>
        </w:tc>
      </w:tr>
      <w:tr>
        <w:tc>
          <w:tcPr>
            <w:tcW w:type="dxa" w:w="2835"/>
          </w:tcPr>
          <w:p>
            <w:pPr>
              <w:spacing w:before="40" w:after="40" w:line="240" w:lineRule="auto"/>
              <w:jc w:val="left"/>
            </w:pPr>
            <w:r/>
            <w:r>
              <w:rPr>
                <w:rFonts w:ascii="Times New Roman" w:hAnsi="Times New Roman" w:eastAsia="宋体"/>
                <w:b w:val="0"/>
                <w:sz w:val="19"/>
              </w:rPr>
              <w:t>6</w:t>
            </w:r>
          </w:p>
        </w:tc>
        <w:tc>
          <w:tcPr>
            <w:tcW w:type="dxa" w:w="3402"/>
          </w:tcPr>
          <w:p>
            <w:pPr>
              <w:spacing w:before="40" w:after="40" w:line="240" w:lineRule="auto"/>
              <w:jc w:val="center"/>
            </w:pPr>
            <w:r/>
            <w:r>
              <w:rPr>
                <w:rFonts w:ascii="Times New Roman" w:hAnsi="Times New Roman" w:eastAsia="宋体"/>
                <w:b w:val="0"/>
                <w:sz w:val="19"/>
              </w:rPr>
              <w:t>94.73</w:t>
            </w:r>
          </w:p>
        </w:tc>
      </w:tr>
      <w:tr>
        <w:tc>
          <w:tcPr>
            <w:tcW w:type="dxa" w:w="2835"/>
          </w:tcPr>
          <w:p>
            <w:pPr>
              <w:spacing w:before="40" w:after="40" w:line="240" w:lineRule="auto"/>
              <w:jc w:val="left"/>
            </w:pPr>
            <w:r/>
            <w:r>
              <w:rPr>
                <w:rFonts w:ascii="Times New Roman" w:hAnsi="Times New Roman" w:eastAsia="宋体"/>
                <w:b w:val="0"/>
                <w:sz w:val="19"/>
              </w:rPr>
              <w:t>7</w:t>
            </w:r>
          </w:p>
        </w:tc>
        <w:tc>
          <w:tcPr>
            <w:tcW w:type="dxa" w:w="3402"/>
          </w:tcPr>
          <w:p>
            <w:pPr>
              <w:spacing w:before="40" w:after="40" w:line="240" w:lineRule="auto"/>
              <w:jc w:val="center"/>
            </w:pPr>
            <w:r/>
            <w:r>
              <w:rPr>
                <w:rFonts w:ascii="Times New Roman" w:hAnsi="Times New Roman" w:eastAsia="宋体"/>
                <w:b w:val="0"/>
                <w:sz w:val="19"/>
              </w:rPr>
              <w:t>94.19</w:t>
            </w:r>
          </w:p>
        </w:tc>
      </w:tr>
      <w:tr>
        <w:tc>
          <w:tcPr>
            <w:tcW w:type="dxa" w:w="2835"/>
            <w:tcBorders>
              <w:bottom w:val="single" w:sz="12" w:space="0" w:color="000000"/>
            </w:tcBorders>
          </w:tcPr>
          <w:p>
            <w:pPr>
              <w:spacing w:before="40" w:after="40" w:line="240" w:lineRule="auto"/>
              <w:jc w:val="left"/>
            </w:pPr>
            <w:r/>
            <w:r>
              <w:rPr>
                <w:rFonts w:ascii="Times New Roman" w:hAnsi="Times New Roman" w:eastAsia="宋体"/>
                <w:b w:val="0"/>
                <w:sz w:val="19"/>
              </w:rPr>
              <w:t>8</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19"/>
              </w:rPr>
              <w:t>93.14</w:t>
            </w:r>
          </w:p>
        </w:tc>
      </w:tr>
    </w:tbl>
    <w:p>
      <w:pPr>
        <w:spacing w:before="0" w:after="160" w:line="240" w:lineRule="auto"/>
        <w:jc w:val="left"/>
      </w:pPr>
    </w:p>
    <w:p>
      <w:pPr>
        <w:keepNext/>
        <w:spacing w:before="160" w:after="80" w:line="360" w:lineRule="auto"/>
        <w:jc w:val="left"/>
      </w:pPr>
      <w:r>
        <w:rPr>
          <w:rFonts w:ascii="Times New Roman" w:hAnsi="Times New Roman" w:eastAsia="黑体"/>
          <w:b w:val="0"/>
          <w:sz w:val="28"/>
        </w:rPr>
        <w:t>4.2  模型性能对比</w:t>
      </w:r>
    </w:p>
    <w:p>
      <w:pPr>
        <w:spacing w:before="0" w:after="0" w:line="360" w:lineRule="auto"/>
        <w:ind w:firstLine="480"/>
        <w:jc w:val="both"/>
      </w:pPr>
      <w:r>
        <w:rPr>
          <w:rFonts w:ascii="Times New Roman" w:hAnsi="Times New Roman" w:eastAsia="宋体"/>
          <w:b w:val="0"/>
          <w:sz w:val="24"/>
        </w:rPr>
        <w:t>剪枝后模型准确率由 94.63% 提升至 95.92%，但这一提升的实践含义需要正面说明，如表 4 所示。在 4954 条样本上，1.29 个百分点约相当于 64 条专利的分类结果发生改变，即每千条专利中约有 13 条的分级结论不同；是否构成实质改进，取决于这些专利的后续处置成本。同时需要更正一处表述：63.34% 是低价值专利的占比，对应的是</w:t>
      </w:r>
      <w:r>
        <w:rPr>
          <w:rFonts w:ascii="Times New Roman" w:hAnsi="Times New Roman" w:eastAsia="宋体"/>
          <w:b/>
          <w:sz w:val="24"/>
        </w:rPr>
        <w:t>多数类基准</w:t>
      </w:r>
      <w:r>
        <w:rPr>
          <w:rFonts w:ascii="Times New Roman" w:hAnsi="Times New Roman" w:eastAsia="宋体"/>
          <w:b w:val="0"/>
          <w:sz w:val="24"/>
        </w:rPr>
        <w:t>而非“随机猜测的基准准确率”，三分类随机猜测的准确率约为 33.3%，两者含义不同。</w:t>
      </w:r>
    </w:p>
    <w:p>
      <w:pPr>
        <w:keepNext/>
        <w:spacing w:before="160" w:after="40" w:line="240" w:lineRule="auto"/>
        <w:jc w:val="center"/>
      </w:pPr>
      <w:r>
        <w:rPr>
          <w:rFonts w:ascii="Times New Roman" w:hAnsi="Times New Roman" w:eastAsia="黑体"/>
          <w:b w:val="0"/>
          <w:sz w:val="21"/>
        </w:rPr>
        <w:t>表 4  两类模型的分类性能对比</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306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模型</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准确率 / %</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Wilson 95% 置信区间</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较基准提升</w:t>
            </w:r>
          </w:p>
        </w:tc>
        <w:tc>
          <w:tcPr>
            <w:tcW w:type="dxa" w:w="158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对应样本条数</w:t>
            </w:r>
          </w:p>
        </w:tc>
      </w:tr>
      <w:tr>
        <w:tc>
          <w:tcPr>
            <w:tcW w:type="dxa" w:w="3061"/>
          </w:tcPr>
          <w:p>
            <w:pPr>
              <w:spacing w:before="40" w:after="40" w:line="240" w:lineRule="auto"/>
              <w:jc w:val="left"/>
            </w:pPr>
            <w:r/>
            <w:r>
              <w:rPr>
                <w:rFonts w:ascii="Times New Roman" w:hAnsi="Times New Roman" w:eastAsia="宋体"/>
                <w:b w:val="0"/>
                <w:sz w:val="19"/>
              </w:rPr>
              <w:t>多数类基准（全判为低价值）</w:t>
            </w:r>
          </w:p>
        </w:tc>
        <w:tc>
          <w:tcPr>
            <w:tcW w:type="dxa" w:w="1474"/>
          </w:tcPr>
          <w:p>
            <w:pPr>
              <w:spacing w:before="40" w:after="40" w:line="240" w:lineRule="auto"/>
              <w:jc w:val="center"/>
            </w:pPr>
            <w:r/>
            <w:r>
              <w:rPr>
                <w:rFonts w:ascii="Times New Roman" w:hAnsi="Times New Roman" w:eastAsia="宋体"/>
                <w:b w:val="0"/>
                <w:sz w:val="19"/>
              </w:rPr>
              <w:t>63.34</w:t>
            </w:r>
          </w:p>
        </w:tc>
        <w:tc>
          <w:tcPr>
            <w:tcW w:type="dxa" w:w="2041"/>
          </w:tcPr>
          <w:p>
            <w:pPr>
              <w:spacing w:before="40" w:after="40" w:line="240" w:lineRule="auto"/>
              <w:jc w:val="center"/>
            </w:pPr>
            <w:r/>
            <w:r>
              <w:rPr>
                <w:rFonts w:ascii="Times New Roman" w:hAnsi="Times New Roman" w:eastAsia="宋体"/>
                <w:b w:val="0"/>
                <w:sz w:val="19"/>
              </w:rPr>
              <w:t>[62.00, 64.67]</w:t>
            </w:r>
          </w:p>
        </w:tc>
        <w:tc>
          <w:tcPr>
            <w:tcW w:type="dxa" w:w="1474"/>
          </w:tcPr>
          <w:p>
            <w:pPr>
              <w:spacing w:before="40" w:after="40" w:line="240" w:lineRule="auto"/>
              <w:jc w:val="center"/>
            </w:pPr>
            <w:r/>
            <w:r>
              <w:rPr>
                <w:rFonts w:ascii="Times New Roman" w:hAnsi="Times New Roman" w:eastAsia="宋体"/>
                <w:b w:val="0"/>
                <w:sz w:val="19"/>
              </w:rPr>
              <w:t>—</w:t>
            </w:r>
          </w:p>
        </w:tc>
        <w:tc>
          <w:tcPr>
            <w:tcW w:type="dxa" w:w="1587"/>
          </w:tcPr>
          <w:p>
            <w:pPr>
              <w:spacing w:before="40" w:after="40" w:line="240" w:lineRule="auto"/>
              <w:jc w:val="center"/>
            </w:pPr>
            <w:r/>
            <w:r>
              <w:rPr>
                <w:rFonts w:ascii="Times New Roman" w:hAnsi="Times New Roman" w:eastAsia="宋体"/>
                <w:b w:val="0"/>
                <w:sz w:val="19"/>
              </w:rPr>
              <w:t>—</w:t>
            </w:r>
          </w:p>
        </w:tc>
      </w:tr>
      <w:tr>
        <w:tc>
          <w:tcPr>
            <w:tcW w:type="dxa" w:w="3061"/>
          </w:tcPr>
          <w:p>
            <w:pPr>
              <w:spacing w:before="40" w:after="40" w:line="240" w:lineRule="auto"/>
              <w:jc w:val="left"/>
            </w:pPr>
            <w:r/>
            <w:r>
              <w:rPr>
                <w:rFonts w:ascii="Times New Roman" w:hAnsi="Times New Roman" w:eastAsia="宋体"/>
                <w:b w:val="0"/>
                <w:sz w:val="19"/>
              </w:rPr>
              <w:t>传统随机森林</w:t>
            </w:r>
          </w:p>
        </w:tc>
        <w:tc>
          <w:tcPr>
            <w:tcW w:type="dxa" w:w="1474"/>
          </w:tcPr>
          <w:p>
            <w:pPr>
              <w:spacing w:before="40" w:after="40" w:line="240" w:lineRule="auto"/>
              <w:jc w:val="center"/>
            </w:pPr>
            <w:r/>
            <w:r>
              <w:rPr>
                <w:rFonts w:ascii="Times New Roman" w:hAnsi="Times New Roman" w:eastAsia="宋体"/>
                <w:b w:val="0"/>
                <w:sz w:val="19"/>
              </w:rPr>
              <w:t>94.63</w:t>
            </w:r>
          </w:p>
        </w:tc>
        <w:tc>
          <w:tcPr>
            <w:tcW w:type="dxa" w:w="2041"/>
          </w:tcPr>
          <w:p>
            <w:pPr>
              <w:spacing w:before="40" w:after="40" w:line="240" w:lineRule="auto"/>
              <w:jc w:val="center"/>
            </w:pPr>
            <w:r/>
            <w:r>
              <w:rPr>
                <w:rFonts w:ascii="Times New Roman" w:hAnsi="Times New Roman" w:eastAsia="宋体"/>
                <w:b w:val="0"/>
                <w:sz w:val="19"/>
              </w:rPr>
              <w:t>[93.97, 95.22]</w:t>
            </w:r>
          </w:p>
        </w:tc>
        <w:tc>
          <w:tcPr>
            <w:tcW w:type="dxa" w:w="1474"/>
          </w:tcPr>
          <w:p>
            <w:pPr>
              <w:spacing w:before="40" w:after="40" w:line="240" w:lineRule="auto"/>
              <w:jc w:val="center"/>
            </w:pPr>
            <w:r/>
            <w:r>
              <w:rPr>
                <w:rFonts w:ascii="Times New Roman" w:hAnsi="Times New Roman" w:eastAsia="宋体"/>
                <w:b w:val="0"/>
                <w:sz w:val="19"/>
              </w:rPr>
              <w:t>+31.29 pp</w:t>
            </w:r>
          </w:p>
        </w:tc>
        <w:tc>
          <w:tcPr>
            <w:tcW w:type="dxa" w:w="1587"/>
          </w:tcPr>
          <w:p>
            <w:pPr>
              <w:spacing w:before="40" w:after="40" w:line="240" w:lineRule="auto"/>
              <w:jc w:val="center"/>
            </w:pPr>
            <w:r/>
            <w:r>
              <w:rPr>
                <w:rFonts w:ascii="Times New Roman" w:hAnsi="Times New Roman" w:eastAsia="宋体"/>
                <w:b w:val="0"/>
                <w:sz w:val="19"/>
              </w:rPr>
              <w:t>1550 条</w:t>
            </w:r>
          </w:p>
        </w:tc>
      </w:tr>
      <w:tr>
        <w:tc>
          <w:tcPr>
            <w:tcW w:type="dxa" w:w="3061"/>
            <w:tcBorders>
              <w:bottom w:val="single" w:sz="12" w:space="0" w:color="000000"/>
            </w:tcBorders>
          </w:tcPr>
          <w:p>
            <w:pPr>
              <w:spacing w:before="40" w:after="40" w:line="240" w:lineRule="auto"/>
              <w:jc w:val="left"/>
            </w:pPr>
            <w:r/>
            <w:r>
              <w:rPr>
                <w:rFonts w:ascii="Times New Roman" w:hAnsi="Times New Roman" w:eastAsia="宋体"/>
                <w:b w:val="0"/>
                <w:sz w:val="19"/>
              </w:rPr>
              <w:t>密度聚类剪枝随机森林</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95.92</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9"/>
              </w:rPr>
              <w:t>[95.33, 96.44]</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+32.58 pp</w:t>
            </w:r>
          </w:p>
        </w:tc>
        <w:tc>
          <w:tcPr>
            <w:tcW w:type="dxa" w:w="1587"/>
            <w:tcBorders>
              <w:bottom w:val="single" w:sz="12" w:space="0" w:color="000000"/>
            </w:tcBorders>
          </w:tcPr>
          <w:p>
            <w:pPr>
              <w:spacing w:before="40" w:after="40" w:line="240" w:lineRule="auto"/>
              <w:jc w:val="center"/>
            </w:pPr>
            <w:r/>
            <w:r>
              <w:rPr>
                <w:rFonts w:ascii="Times New Roman" w:hAnsi="Times New Roman" w:eastAsia="宋体"/>
                <w:b w:val="0"/>
                <w:sz w:val="19"/>
              </w:rPr>
              <w:t>1614 条</w:t>
            </w:r>
          </w:p>
        </w:tc>
      </w:tr>
    </w:tbl>
    <w:p>
      <w:pPr>
        <w:spacing w:before="40" w:after="160" w:line="240" w:lineRule="auto"/>
        <w:ind w:firstLine="0"/>
        <w:jc w:val="left"/>
      </w:pPr>
      <w:r>
        <w:rPr>
          <w:rFonts w:ascii="Times New Roman" w:hAnsi="Times New Roman" w:eastAsia="宋体"/>
          <w:b w:val="0"/>
          <w:sz w:val="18"/>
        </w:rPr>
        <w:t>注：样本量 n=4954；“对应样本条数”指相对多数类基准正确分类的增量条数[12]。</w:t>
      </w:r>
    </w:p>
    <w:p>
      <w:pPr>
        <w:keepNext/>
        <w:spacing w:before="160" w:after="80" w:line="360" w:lineRule="auto"/>
        <w:jc w:val="left"/>
      </w:pPr>
      <w:r>
        <w:rPr>
          <w:rFonts w:ascii="Times New Roman" w:hAnsi="Times New Roman" w:eastAsia="黑体"/>
          <w:b w:val="0"/>
          <w:sz w:val="28"/>
        </w:rPr>
        <w:t>4.3  专利价值分布与聚类分层特征</w:t>
      </w:r>
    </w:p>
    <w:p>
      <w:pPr>
        <w:spacing w:before="0" w:after="0" w:line="360" w:lineRule="auto"/>
        <w:ind w:firstLine="480"/>
        <w:jc w:val="both"/>
      </w:pPr>
      <w:r>
        <w:rPr>
          <w:rFonts w:ascii="Times New Roman" w:hAnsi="Times New Roman" w:eastAsia="宋体"/>
          <w:b w:val="0"/>
          <w:sz w:val="24"/>
        </w:rPr>
        <w:t>样本的价值分布印证了行业“外围改良泛滥、核心专利稀缺”的判断。低价值专利 3138 条占 63.34%，中价值专利 1525 条占 30.78%，高价值专利 291 条占 5.87%；低价值外围改良专利占比超六成，而具备高壁垒、高原创性的核心高价值专利占比不足 6%[9]。采用无监督密度聚类对专利样本进行自然分组得到 4 个聚类集群，其规模与价值构成如表 5 所示。</w:t>
      </w:r>
    </w:p>
    <w:p>
      <w:pPr>
        <w:keepNext/>
        <w:spacing w:before="160" w:after="40" w:line="240" w:lineRule="auto"/>
        <w:jc w:val="center"/>
      </w:pPr>
      <w:r>
        <w:rPr>
          <w:rFonts w:ascii="Times New Roman" w:hAnsi="Times New Roman" w:eastAsia="黑体"/>
          <w:b w:val="0"/>
          <w:sz w:val="21"/>
        </w:rPr>
        <w:t>表 5  各聚类组的规模与价值等级构成</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204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聚类组</w:t>
            </w:r>
          </w:p>
        </w:tc>
        <w:tc>
          <w:tcPr>
            <w:tcW w:type="dxa" w:w="124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样本数</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组内高价值占比 / %</w:t>
            </w:r>
          </w:p>
        </w:tc>
        <w:tc>
          <w:tcPr>
            <w:tcW w:type="dxa" w:w="238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占全部高价值专利的比例 / %</w:t>
            </w:r>
          </w:p>
        </w:tc>
        <w:tc>
          <w:tcPr>
            <w:tcW w:type="dxa" w:w="30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技术特征</w:t>
            </w:r>
          </w:p>
        </w:tc>
      </w:tr>
      <w:tr>
        <w:tc>
          <w:tcPr>
            <w:tcW w:type="dxa" w:w="2041"/>
          </w:tcPr>
          <w:p>
            <w:pPr>
              <w:spacing w:before="40" w:after="40" w:line="240" w:lineRule="auto"/>
              <w:jc w:val="left"/>
            </w:pPr>
            <w:r/>
            <w:r>
              <w:rPr>
                <w:rFonts w:ascii="Times New Roman" w:hAnsi="Times New Roman" w:eastAsia="宋体"/>
                <w:b w:val="0"/>
                <w:sz w:val="19"/>
              </w:rPr>
              <w:t>基础外围集群</w:t>
            </w:r>
          </w:p>
        </w:tc>
        <w:tc>
          <w:tcPr>
            <w:tcW w:type="dxa" w:w="1247"/>
          </w:tcPr>
          <w:p>
            <w:pPr>
              <w:spacing w:before="40" w:after="40" w:line="240" w:lineRule="auto"/>
              <w:jc w:val="center"/>
            </w:pPr>
            <w:r/>
            <w:r>
              <w:rPr>
                <w:rFonts w:ascii="Times New Roman" w:hAnsi="Times New Roman" w:eastAsia="宋体"/>
                <w:b w:val="0"/>
                <w:sz w:val="19"/>
              </w:rPr>
              <w:t>4658</w:t>
            </w:r>
          </w:p>
        </w:tc>
        <w:tc>
          <w:tcPr>
            <w:tcW w:type="dxa" w:w="2041"/>
          </w:tcPr>
          <w:p>
            <w:pPr>
              <w:spacing w:before="40" w:after="40" w:line="240" w:lineRule="auto"/>
              <w:jc w:val="center"/>
            </w:pPr>
            <w:r/>
            <w:r>
              <w:rPr>
                <w:rFonts w:ascii="Times New Roman" w:hAnsi="Times New Roman" w:eastAsia="宋体"/>
                <w:b w:val="0"/>
                <w:sz w:val="19"/>
              </w:rPr>
              <w:t>2.1</w:t>
            </w:r>
          </w:p>
        </w:tc>
        <w:tc>
          <w:tcPr>
            <w:tcW w:type="dxa" w:w="2381"/>
          </w:tcPr>
          <w:p>
            <w:pPr>
              <w:spacing w:before="40" w:after="40" w:line="240" w:lineRule="auto"/>
              <w:jc w:val="center"/>
            </w:pPr>
            <w:r/>
            <w:r>
              <w:rPr>
                <w:rFonts w:ascii="Times New Roman" w:hAnsi="Times New Roman" w:eastAsia="宋体"/>
                <w:b w:val="0"/>
                <w:sz w:val="19"/>
              </w:rPr>
              <w:t>33.6</w:t>
            </w:r>
          </w:p>
        </w:tc>
        <w:tc>
          <w:tcPr>
            <w:tcW w:type="dxa" w:w="3061"/>
          </w:tcPr>
          <w:p>
            <w:pPr>
              <w:spacing w:before="40" w:after="40" w:line="240" w:lineRule="auto"/>
              <w:jc w:val="center"/>
            </w:pPr>
            <w:r/>
            <w:r>
              <w:rPr>
                <w:rFonts w:ascii="Times New Roman" w:hAnsi="Times New Roman" w:eastAsia="宋体"/>
                <w:b w:val="0"/>
                <w:sz w:val="19"/>
              </w:rPr>
              <w:t>烟具外观结构、连接装配等浅表改良</w:t>
            </w:r>
          </w:p>
        </w:tc>
      </w:tr>
      <w:tr>
        <w:tc>
          <w:tcPr>
            <w:tcW w:type="dxa" w:w="2041"/>
          </w:tcPr>
          <w:p>
            <w:pPr>
              <w:spacing w:before="40" w:after="40" w:line="240" w:lineRule="auto"/>
              <w:jc w:val="left"/>
            </w:pPr>
            <w:r/>
            <w:r>
              <w:rPr>
                <w:rFonts w:ascii="Times New Roman" w:hAnsi="Times New Roman" w:eastAsia="宋体"/>
                <w:b w:val="0"/>
                <w:sz w:val="19"/>
              </w:rPr>
              <w:t>中价值过渡集群</w:t>
            </w:r>
          </w:p>
        </w:tc>
        <w:tc>
          <w:tcPr>
            <w:tcW w:type="dxa" w:w="1247"/>
          </w:tcPr>
          <w:p>
            <w:pPr>
              <w:spacing w:before="40" w:after="40" w:line="240" w:lineRule="auto"/>
              <w:jc w:val="center"/>
            </w:pPr>
            <w:r/>
            <w:r>
              <w:rPr>
                <w:rFonts w:ascii="Times New Roman" w:hAnsi="Times New Roman" w:eastAsia="宋体"/>
                <w:b w:val="0"/>
                <w:sz w:val="19"/>
              </w:rPr>
              <w:t>136</w:t>
            </w:r>
          </w:p>
        </w:tc>
        <w:tc>
          <w:tcPr>
            <w:tcW w:type="dxa" w:w="2041"/>
          </w:tcPr>
          <w:p>
            <w:pPr>
              <w:spacing w:before="40" w:after="40" w:line="240" w:lineRule="auto"/>
              <w:jc w:val="center"/>
            </w:pPr>
            <w:r/>
            <w:r>
              <w:rPr>
                <w:rFonts w:ascii="Times New Roman" w:hAnsi="Times New Roman" w:eastAsia="宋体"/>
                <w:b w:val="0"/>
                <w:sz w:val="19"/>
              </w:rPr>
              <w:t>27.2</w:t>
            </w:r>
          </w:p>
        </w:tc>
        <w:tc>
          <w:tcPr>
            <w:tcW w:type="dxa" w:w="2381"/>
          </w:tcPr>
          <w:p>
            <w:pPr>
              <w:spacing w:before="40" w:after="40" w:line="240" w:lineRule="auto"/>
              <w:jc w:val="center"/>
            </w:pPr>
            <w:r/>
            <w:r>
              <w:rPr>
                <w:rFonts w:ascii="Times New Roman" w:hAnsi="Times New Roman" w:eastAsia="宋体"/>
                <w:b w:val="0"/>
                <w:sz w:val="19"/>
              </w:rPr>
              <w:t>12.7</w:t>
            </w:r>
          </w:p>
        </w:tc>
        <w:tc>
          <w:tcPr>
            <w:tcW w:type="dxa" w:w="3061"/>
          </w:tcPr>
          <w:p>
            <w:pPr>
              <w:spacing w:before="40" w:after="40" w:line="240" w:lineRule="auto"/>
              <w:jc w:val="center"/>
            </w:pPr>
            <w:r/>
            <w:r>
              <w:rPr>
                <w:rFonts w:ascii="Times New Roman" w:hAnsi="Times New Roman" w:eastAsia="宋体"/>
                <w:b w:val="0"/>
                <w:sz w:val="19"/>
              </w:rPr>
              <w:t>烟草提取工艺、烟气组分调控</w:t>
            </w:r>
          </w:p>
        </w:tc>
      </w:tr>
      <w:tr>
        <w:tc>
          <w:tcPr>
            <w:tcW w:type="dxa" w:w="2041"/>
          </w:tcPr>
          <w:p>
            <w:pPr>
              <w:spacing w:before="40" w:after="40" w:line="240" w:lineRule="auto"/>
              <w:jc w:val="left"/>
            </w:pPr>
            <w:r/>
            <w:r>
              <w:rPr>
                <w:rFonts w:ascii="Times New Roman" w:hAnsi="Times New Roman" w:eastAsia="宋体"/>
                <w:b w:val="0"/>
                <w:sz w:val="19"/>
              </w:rPr>
              <w:t>高价值核心集群</w:t>
            </w:r>
          </w:p>
        </w:tc>
        <w:tc>
          <w:tcPr>
            <w:tcW w:type="dxa" w:w="1247"/>
          </w:tcPr>
          <w:p>
            <w:pPr>
              <w:spacing w:before="40" w:after="40" w:line="240" w:lineRule="auto"/>
              <w:jc w:val="center"/>
            </w:pPr>
            <w:r/>
            <w:r>
              <w:rPr>
                <w:rFonts w:ascii="Times New Roman" w:hAnsi="Times New Roman" w:eastAsia="宋体"/>
                <w:b w:val="0"/>
                <w:sz w:val="19"/>
              </w:rPr>
              <w:t>83</w:t>
            </w:r>
          </w:p>
        </w:tc>
        <w:tc>
          <w:tcPr>
            <w:tcW w:type="dxa" w:w="2041"/>
          </w:tcPr>
          <w:p>
            <w:pPr>
              <w:spacing w:before="40" w:after="40" w:line="240" w:lineRule="auto"/>
              <w:jc w:val="center"/>
            </w:pPr>
            <w:r/>
            <w:r>
              <w:rPr>
                <w:rFonts w:ascii="Times New Roman" w:hAnsi="Times New Roman" w:eastAsia="宋体"/>
                <w:b w:val="0"/>
                <w:sz w:val="19"/>
              </w:rPr>
              <w:t>95.2</w:t>
            </w:r>
          </w:p>
        </w:tc>
        <w:tc>
          <w:tcPr>
            <w:tcW w:type="dxa" w:w="2381"/>
          </w:tcPr>
          <w:p>
            <w:pPr>
              <w:spacing w:before="40" w:after="40" w:line="240" w:lineRule="auto"/>
              <w:jc w:val="center"/>
            </w:pPr>
            <w:r/>
            <w:r>
              <w:rPr>
                <w:rFonts w:ascii="Times New Roman" w:hAnsi="Times New Roman" w:eastAsia="宋体"/>
                <w:b w:val="0"/>
                <w:sz w:val="19"/>
              </w:rPr>
              <w:t>27.1</w:t>
            </w:r>
          </w:p>
        </w:tc>
        <w:tc>
          <w:tcPr>
            <w:tcW w:type="dxa" w:w="3061"/>
          </w:tcPr>
          <w:p>
            <w:pPr>
              <w:spacing w:before="40" w:after="40" w:line="240" w:lineRule="auto"/>
              <w:jc w:val="center"/>
            </w:pPr>
            <w:r/>
            <w:r>
              <w:rPr>
                <w:rFonts w:ascii="Times New Roman" w:hAnsi="Times New Roman" w:eastAsia="宋体"/>
                <w:b w:val="0"/>
                <w:sz w:val="19"/>
              </w:rPr>
              <w:t>电阻式加热元件等核心硬件</w:t>
            </w:r>
          </w:p>
        </w:tc>
      </w:tr>
      <w:tr>
        <w:tc>
          <w:tcPr>
            <w:tcW w:type="dxa" w:w="2041"/>
            <w:tcBorders>
              <w:bottom w:val="single" w:sz="12" w:space="0" w:color="000000"/>
            </w:tcBorders>
          </w:tcPr>
          <w:p>
            <w:pPr>
              <w:spacing w:before="40" w:after="40" w:line="240" w:lineRule="auto"/>
              <w:jc w:val="left"/>
            </w:pPr>
            <w:r/>
            <w:r>
              <w:rPr>
                <w:rFonts w:ascii="Times New Roman" w:hAnsi="Times New Roman" w:eastAsia="宋体"/>
                <w:b w:val="0"/>
                <w:sz w:val="19"/>
              </w:rPr>
              <w:t>极高价值尖端集群</w:t>
            </w:r>
          </w:p>
        </w:tc>
        <w:tc>
          <w:tcPr>
            <w:tcW w:type="dxa" w:w="1247"/>
            <w:tcBorders>
              <w:bottom w:val="single" w:sz="12" w:space="0" w:color="000000"/>
            </w:tcBorders>
          </w:tcPr>
          <w:p>
            <w:pPr>
              <w:spacing w:before="40" w:after="40" w:line="240" w:lineRule="auto"/>
              <w:jc w:val="center"/>
            </w:pPr>
            <w:r/>
            <w:r>
              <w:rPr>
                <w:rFonts w:ascii="Times New Roman" w:hAnsi="Times New Roman" w:eastAsia="宋体"/>
                <w:b w:val="0"/>
                <w:sz w:val="19"/>
              </w:rPr>
              <w:t>77</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9"/>
              </w:rPr>
              <w:t>100.0</w:t>
            </w:r>
          </w:p>
        </w:tc>
        <w:tc>
          <w:tcPr>
            <w:tcW w:type="dxa" w:w="2381"/>
            <w:tcBorders>
              <w:bottom w:val="single" w:sz="12" w:space="0" w:color="000000"/>
            </w:tcBorders>
          </w:tcPr>
          <w:p>
            <w:pPr>
              <w:spacing w:before="40" w:after="40" w:line="240" w:lineRule="auto"/>
              <w:jc w:val="center"/>
            </w:pPr>
            <w:r/>
            <w:r>
              <w:rPr>
                <w:rFonts w:ascii="Times New Roman" w:hAnsi="Times New Roman" w:eastAsia="宋体"/>
                <w:b w:val="0"/>
                <w:sz w:val="19"/>
              </w:rPr>
              <w:t>26.5</w:t>
            </w:r>
          </w:p>
        </w:tc>
        <w:tc>
          <w:tcPr>
            <w:tcW w:type="dxa" w:w="3061"/>
            <w:tcBorders>
              <w:bottom w:val="single" w:sz="12" w:space="0" w:color="000000"/>
            </w:tcBorders>
          </w:tcPr>
          <w:p>
            <w:pPr>
              <w:spacing w:before="40" w:after="40" w:line="240" w:lineRule="auto"/>
              <w:jc w:val="center"/>
            </w:pPr>
            <w:r/>
            <w:r>
              <w:rPr>
                <w:rFonts w:ascii="Times New Roman" w:hAnsi="Times New Roman" w:eastAsia="宋体"/>
                <w:b w:val="0"/>
                <w:sz w:val="19"/>
              </w:rPr>
              <w:t>烟草发烟基质配方等前沿材料</w:t>
            </w:r>
          </w:p>
        </w:tc>
      </w:tr>
    </w:tbl>
    <w:p>
      <w:pPr>
        <w:spacing w:before="40" w:after="160" w:line="240" w:lineRule="auto"/>
        <w:ind w:firstLine="0"/>
        <w:jc w:val="left"/>
      </w:pPr>
      <w:r>
        <w:rPr>
          <w:rFonts w:ascii="Times New Roman" w:hAnsi="Times New Roman" w:eastAsia="宋体"/>
          <w:b w:val="0"/>
          <w:sz w:val="18"/>
        </w:rPr>
        <w:t>注：四组规模合计 4954 条与样本总量一致，说明未产生噪声点或噪声点已并入基础外围集群，此点宜在方法部分说明。由各组占比反推的高价值专利数为 290.8 条，与 291 条一致，数据自洽。</w:t>
      </w:r>
    </w:p>
    <w:p>
      <w:pPr>
        <w:spacing w:before="0" w:after="0" w:line="360" w:lineRule="auto"/>
        <w:ind w:firstLine="480"/>
        <w:jc w:val="both"/>
      </w:pPr>
      <w:r>
        <w:rPr>
          <w:rFonts w:ascii="Times New Roman" w:hAnsi="Times New Roman" w:eastAsia="宋体"/>
          <w:b w:val="0"/>
          <w:sz w:val="24"/>
        </w:rPr>
        <w:t>聚类组与价值等级的关联极强，但这一强关联不能作为聚类有效性的独立证据，如图 3(a) 所示。独立性检验给出 χ²=2665、p&lt;0.001、Cramér's V=0.519。然而由于聚类所用特征与价值标签同源，这一强关联是构造的必然结果——用同一组指标既做聚类又做分级，二者必然高度吻合，这属于逻辑上的自我印证而非交叉验证，需在结论中明确说明。</w:t>
      </w:r>
    </w:p>
    <w:p>
      <w:pPr>
        <w:keepNext/>
        <w:spacing w:before="120" w:after="0" w:line="240" w:lineRule="auto"/>
        <w:jc w:val="center"/>
      </w:pPr>
      <w:r>
        <w:drawing>
          <wp:inline xmlns:a="http://schemas.openxmlformats.org/drawingml/2006/main" xmlns:pic="http://schemas.openxmlformats.org/drawingml/2006/picture">
            <wp:extent cx="5580000" cy="3168784"/>
            <wp:docPr id="3" name="Picture 3"/>
            <wp:cNvGraphicFramePr>
              <a:graphicFrameLocks noChangeAspect="1"/>
            </wp:cNvGraphicFramePr>
            <a:graphic>
              <a:graphicData uri="http://schemas.openxmlformats.org/drawingml/2006/picture">
                <pic:pic>
                  <pic:nvPicPr>
                    <pic:cNvPr id="0" name="p5_d1_reported.png"/>
                    <pic:cNvPicPr/>
                  </pic:nvPicPr>
                  <pic:blipFill>
                    <a:blip r:embed="rId11"/>
                    <a:stretch>
                      <a:fillRect/>
                    </a:stretch>
                  </pic:blipFill>
                  <pic:spPr>
                    <a:xfrm>
                      <a:off x="0" y="0"/>
                      <a:ext cx="5580000" cy="3168784"/>
                    </a:xfrm>
                    <a:prstGeom prst="rect"/>
                  </pic:spPr>
                </pic:pic>
              </a:graphicData>
            </a:graphic>
          </wp:inline>
        </w:drawing>
      </w:r>
    </w:p>
    <w:p>
      <w:pPr>
        <w:spacing w:before="40" w:after="160" w:line="240" w:lineRule="auto"/>
        <w:jc w:val="center"/>
      </w:pPr>
      <w:r>
        <w:rPr>
          <w:rFonts w:ascii="Times New Roman" w:hAnsi="Times New Roman" w:eastAsia="黑体"/>
          <w:b w:val="0"/>
          <w:sz w:val="21"/>
        </w:rPr>
        <w:t>图 3  聚类分层结果与总体准确率的信息量分析</w:t>
      </w:r>
    </w:p>
    <w:p>
      <w:pPr>
        <w:spacing w:before="0" w:after="0" w:line="360" w:lineRule="auto"/>
        <w:ind w:firstLine="480"/>
        <w:jc w:val="both"/>
      </w:pPr>
      <w:r>
        <w:rPr>
          <w:rFonts w:ascii="Times New Roman" w:hAnsi="Times New Roman" w:eastAsia="宋体"/>
          <w:b w:val="0"/>
          <w:sz w:val="24"/>
        </w:rPr>
        <w:t>在类极不平衡条件下总体准确率的信息量严重不足，这是本文最重要的方法学发现之一，如图 3(b) 所示。在高价值专利占比仅 5.87% 的样本中，</w:t>
      </w:r>
      <w:r>
        <w:rPr>
          <w:rFonts w:ascii="Times New Roman" w:hAnsi="Times New Roman" w:eastAsia="宋体"/>
          <w:b/>
          <w:sz w:val="24"/>
        </w:rPr>
        <w:t>即便模型对高价值专利的召回率为 0，总体准确率仍可达到 94.13%</w:t>
      </w:r>
      <w:r>
        <w:rPr>
          <w:rFonts w:ascii="Times New Roman" w:hAnsi="Times New Roman" w:eastAsia="宋体"/>
          <w:b w:val="0"/>
          <w:sz w:val="24"/>
        </w:rPr>
        <w:t>；给定 95.92% 的总体准确率，高价值类召回率的可行区间为 31.0%—100.0%。换言之，报告的 95.92% 只比“完全识别不出高价值专利”的情形高 1.79 个百分点，仅凭总体准确率无法判断模型是否具备高价值识别能力——而识别高价值专利恰恰是本研究的全部实践价值所在。</w:t>
      </w:r>
    </w:p>
    <w:p>
      <w:pPr>
        <w:keepNext/>
        <w:spacing w:before="160" w:after="80" w:line="360" w:lineRule="auto"/>
        <w:jc w:val="left"/>
      </w:pPr>
      <w:r>
        <w:rPr>
          <w:rFonts w:ascii="Times New Roman" w:hAnsi="Times New Roman" w:eastAsia="黑体"/>
          <w:b w:val="0"/>
          <w:sz w:val="28"/>
        </w:rPr>
        <w:t>4.4  聚类集群的文本特征</w:t>
      </w:r>
    </w:p>
    <w:p>
      <w:pPr>
        <w:spacing w:before="0" w:after="0" w:line="360" w:lineRule="auto"/>
        <w:ind w:firstLine="480"/>
        <w:jc w:val="both"/>
      </w:pPr>
      <w:r>
        <w:rPr>
          <w:rFonts w:ascii="Times New Roman" w:hAnsi="Times New Roman" w:eastAsia="宋体"/>
          <w:b w:val="0"/>
          <w:sz w:val="24"/>
        </w:rPr>
        <w:t>文本特征分析显示不同价值集群在技术赛道上确有系统性差异，如表 6 所示。基础外围集群的高频词以烟具结构、材料、成型等浅表改良相关词汇为主；中价值过渡集群集中于制备、提取、烟气等工艺类词汇；高价值核心集群与极高价值尖端集群则集中于加热、燃烧、基质、控制等核心技术词汇。各聚类组首项权利要求的平均字符长度亦存在差异：基础外围集群为 655.2 字符，多为结构细节的堆叠式限定；高价值核心集群达 885.5 字符，核心技术点做了合理上位概括；极高价值尖端集群仅 546 字符，多为单点前沿材料或工艺的精准保护。需要说明的是，字符数受语言表达与撰写习惯影响较大，</w:t>
      </w:r>
      <w:r>
        <w:rPr>
          <w:rFonts w:ascii="Times New Roman" w:hAnsi="Times New Roman" w:eastAsia="宋体"/>
          <w:b/>
          <w:sz w:val="24"/>
        </w:rPr>
        <w:t>建议后续补充独立权利要求的技术特征数量统计</w:t>
      </w:r>
      <w:r>
        <w:rPr>
          <w:rFonts w:ascii="Times New Roman" w:hAnsi="Times New Roman" w:eastAsia="宋体"/>
          <w:b w:val="0"/>
          <w:sz w:val="24"/>
        </w:rPr>
        <w:t>，该指标较字符数更为稳健。</w:t>
      </w:r>
    </w:p>
    <w:p>
      <w:pPr>
        <w:keepNext/>
        <w:spacing w:before="160" w:after="40" w:line="240" w:lineRule="auto"/>
        <w:jc w:val="center"/>
      </w:pPr>
      <w:r>
        <w:rPr>
          <w:rFonts w:ascii="Times New Roman" w:hAnsi="Times New Roman" w:eastAsia="黑体"/>
          <w:b w:val="0"/>
          <w:sz w:val="21"/>
        </w:rPr>
        <w:t>表 6  各聚类组的核心技术关键词（Top 10）</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794"/>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排序</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基础外围集群</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中价值过渡集群</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高价值核心集群</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极高价值尖端集群</w:t>
            </w:r>
          </w:p>
        </w:tc>
      </w:tr>
      <w:tr>
        <w:tc>
          <w:tcPr>
            <w:tcW w:type="dxa" w:w="794"/>
          </w:tcPr>
          <w:p>
            <w:pPr>
              <w:spacing w:before="40" w:after="40" w:line="240" w:lineRule="auto"/>
              <w:jc w:val="left"/>
            </w:pPr>
            <w:r/>
            <w:r>
              <w:rPr>
                <w:rFonts w:ascii="Times New Roman" w:hAnsi="Times New Roman" w:eastAsia="宋体"/>
                <w:b w:val="0"/>
                <w:sz w:val="18"/>
              </w:rPr>
              <w:t>1</w:t>
            </w:r>
          </w:p>
        </w:tc>
        <w:tc>
          <w:tcPr>
            <w:tcW w:type="dxa" w:w="2041"/>
          </w:tcPr>
          <w:p>
            <w:pPr>
              <w:spacing w:before="40" w:after="40" w:line="240" w:lineRule="auto"/>
              <w:jc w:val="center"/>
            </w:pPr>
            <w:r/>
            <w:r>
              <w:rPr>
                <w:rFonts w:ascii="Times New Roman" w:hAnsi="Times New Roman" w:eastAsia="宋体"/>
                <w:b w:val="0"/>
                <w:sz w:val="18"/>
              </w:rPr>
              <w:t>heat</w:t>
            </w:r>
          </w:p>
        </w:tc>
        <w:tc>
          <w:tcPr>
            <w:tcW w:type="dxa" w:w="2041"/>
          </w:tcPr>
          <w:p>
            <w:pPr>
              <w:spacing w:before="40" w:after="40" w:line="240" w:lineRule="auto"/>
              <w:jc w:val="center"/>
            </w:pPr>
            <w:r/>
            <w:r>
              <w:rPr>
                <w:rFonts w:ascii="Times New Roman" w:hAnsi="Times New Roman" w:eastAsia="宋体"/>
                <w:b w:val="0"/>
                <w:sz w:val="18"/>
              </w:rPr>
              <w:t>product</w:t>
            </w:r>
          </w:p>
        </w:tc>
        <w:tc>
          <w:tcPr>
            <w:tcW w:type="dxa" w:w="2041"/>
          </w:tcPr>
          <w:p>
            <w:pPr>
              <w:spacing w:before="40" w:after="40" w:line="240" w:lineRule="auto"/>
              <w:jc w:val="center"/>
            </w:pPr>
            <w:r/>
            <w:r>
              <w:rPr>
                <w:rFonts w:ascii="Times New Roman" w:hAnsi="Times New Roman" w:eastAsia="宋体"/>
                <w:b w:val="0"/>
                <w:sz w:val="18"/>
              </w:rPr>
              <w:t>heat</w:t>
            </w:r>
          </w:p>
        </w:tc>
        <w:tc>
          <w:tcPr>
            <w:tcW w:type="dxa" w:w="2041"/>
          </w:tcPr>
          <w:p>
            <w:pPr>
              <w:spacing w:before="40" w:after="40" w:line="240" w:lineRule="auto"/>
              <w:jc w:val="center"/>
            </w:pPr>
            <w:r/>
            <w:r>
              <w:rPr>
                <w:rFonts w:ascii="Times New Roman" w:hAnsi="Times New Roman" w:eastAsia="宋体"/>
                <w:b w:val="0"/>
                <w:sz w:val="18"/>
              </w:rPr>
              <w:t>heat</w:t>
            </w:r>
          </w:p>
        </w:tc>
      </w:tr>
      <w:tr>
        <w:tc>
          <w:tcPr>
            <w:tcW w:type="dxa" w:w="794"/>
          </w:tcPr>
          <w:p>
            <w:pPr>
              <w:spacing w:before="40" w:after="40" w:line="240" w:lineRule="auto"/>
              <w:jc w:val="left"/>
            </w:pPr>
            <w:r/>
            <w:r>
              <w:rPr>
                <w:rFonts w:ascii="Times New Roman" w:hAnsi="Times New Roman" w:eastAsia="宋体"/>
                <w:b w:val="0"/>
                <w:sz w:val="18"/>
              </w:rPr>
              <w:t>2</w:t>
            </w:r>
          </w:p>
        </w:tc>
        <w:tc>
          <w:tcPr>
            <w:tcW w:type="dxa" w:w="2041"/>
          </w:tcPr>
          <w:p>
            <w:pPr>
              <w:spacing w:before="40" w:after="40" w:line="240" w:lineRule="auto"/>
              <w:jc w:val="center"/>
            </w:pPr>
            <w:r/>
            <w:r>
              <w:rPr>
                <w:rFonts w:ascii="Times New Roman" w:hAnsi="Times New Roman" w:eastAsia="宋体"/>
                <w:b w:val="0"/>
                <w:sz w:val="18"/>
              </w:rPr>
              <w:t>material</w:t>
            </w:r>
          </w:p>
        </w:tc>
        <w:tc>
          <w:tcPr>
            <w:tcW w:type="dxa" w:w="2041"/>
          </w:tcPr>
          <w:p>
            <w:pPr>
              <w:spacing w:before="40" w:after="40" w:line="240" w:lineRule="auto"/>
              <w:jc w:val="center"/>
            </w:pPr>
            <w:r/>
            <w:r>
              <w:rPr>
                <w:rFonts w:ascii="Times New Roman" w:hAnsi="Times New Roman" w:eastAsia="宋体"/>
                <w:b w:val="0"/>
                <w:sz w:val="18"/>
              </w:rPr>
              <w:t>smoke</w:t>
            </w:r>
          </w:p>
        </w:tc>
        <w:tc>
          <w:tcPr>
            <w:tcW w:type="dxa" w:w="2041"/>
          </w:tcPr>
          <w:p>
            <w:pPr>
              <w:spacing w:before="40" w:after="40" w:line="240" w:lineRule="auto"/>
              <w:jc w:val="center"/>
            </w:pPr>
            <w:r/>
            <w:r>
              <w:rPr>
                <w:rFonts w:ascii="Times New Roman" w:hAnsi="Times New Roman" w:eastAsia="宋体"/>
                <w:b w:val="0"/>
                <w:sz w:val="18"/>
              </w:rPr>
              <w:t>cigarette</w:t>
            </w:r>
          </w:p>
        </w:tc>
        <w:tc>
          <w:tcPr>
            <w:tcW w:type="dxa" w:w="2041"/>
          </w:tcPr>
          <w:p>
            <w:pPr>
              <w:spacing w:before="40" w:after="40" w:line="240" w:lineRule="auto"/>
              <w:jc w:val="center"/>
            </w:pPr>
            <w:r/>
            <w:r>
              <w:rPr>
                <w:rFonts w:ascii="Times New Roman" w:hAnsi="Times New Roman" w:eastAsia="宋体"/>
                <w:b w:val="0"/>
                <w:sz w:val="18"/>
              </w:rPr>
              <w:t>smoke</w:t>
            </w:r>
          </w:p>
        </w:tc>
      </w:tr>
      <w:tr>
        <w:tc>
          <w:tcPr>
            <w:tcW w:type="dxa" w:w="794"/>
          </w:tcPr>
          <w:p>
            <w:pPr>
              <w:spacing w:before="40" w:after="40" w:line="240" w:lineRule="auto"/>
              <w:jc w:val="left"/>
            </w:pPr>
            <w:r/>
            <w:r>
              <w:rPr>
                <w:rFonts w:ascii="Times New Roman" w:hAnsi="Times New Roman" w:eastAsia="宋体"/>
                <w:b w:val="0"/>
                <w:sz w:val="18"/>
              </w:rPr>
              <w:t>3</w:t>
            </w:r>
          </w:p>
        </w:tc>
        <w:tc>
          <w:tcPr>
            <w:tcW w:type="dxa" w:w="2041"/>
          </w:tcPr>
          <w:p>
            <w:pPr>
              <w:spacing w:before="40" w:after="40" w:line="240" w:lineRule="auto"/>
              <w:jc w:val="center"/>
            </w:pPr>
            <w:r/>
            <w:r>
              <w:rPr>
                <w:rFonts w:ascii="Times New Roman" w:hAnsi="Times New Roman" w:eastAsia="宋体"/>
                <w:b w:val="0"/>
                <w:sz w:val="18"/>
              </w:rPr>
              <w:t>product</w:t>
            </w:r>
          </w:p>
        </w:tc>
        <w:tc>
          <w:tcPr>
            <w:tcW w:type="dxa" w:w="2041"/>
          </w:tcPr>
          <w:p>
            <w:pPr>
              <w:spacing w:before="40" w:after="40" w:line="240" w:lineRule="auto"/>
              <w:jc w:val="center"/>
            </w:pPr>
            <w:r/>
            <w:r>
              <w:rPr>
                <w:rFonts w:ascii="Times New Roman" w:hAnsi="Times New Roman" w:eastAsia="宋体"/>
                <w:b w:val="0"/>
                <w:sz w:val="18"/>
              </w:rPr>
              <w:t>heat</w:t>
            </w:r>
          </w:p>
        </w:tc>
        <w:tc>
          <w:tcPr>
            <w:tcW w:type="dxa" w:w="2041"/>
          </w:tcPr>
          <w:p>
            <w:pPr>
              <w:spacing w:before="40" w:after="40" w:line="240" w:lineRule="auto"/>
              <w:jc w:val="center"/>
            </w:pPr>
            <w:r/>
            <w:r>
              <w:rPr>
                <w:rFonts w:ascii="Times New Roman" w:hAnsi="Times New Roman" w:eastAsia="宋体"/>
                <w:b w:val="0"/>
                <w:sz w:val="18"/>
              </w:rPr>
              <w:t>heating</w:t>
            </w:r>
          </w:p>
        </w:tc>
        <w:tc>
          <w:tcPr>
            <w:tcW w:type="dxa" w:w="2041"/>
          </w:tcPr>
          <w:p>
            <w:pPr>
              <w:spacing w:before="40" w:after="40" w:line="240" w:lineRule="auto"/>
              <w:jc w:val="center"/>
            </w:pPr>
            <w:r/>
            <w:r>
              <w:rPr>
                <w:rFonts w:ascii="Times New Roman" w:hAnsi="Times New Roman" w:eastAsia="宋体"/>
                <w:b w:val="0"/>
                <w:sz w:val="18"/>
              </w:rPr>
              <w:t>forming</w:t>
            </w:r>
          </w:p>
        </w:tc>
      </w:tr>
      <w:tr>
        <w:tc>
          <w:tcPr>
            <w:tcW w:type="dxa" w:w="794"/>
          </w:tcPr>
          <w:p>
            <w:pPr>
              <w:spacing w:before="40" w:after="40" w:line="240" w:lineRule="auto"/>
              <w:jc w:val="left"/>
            </w:pPr>
            <w:r/>
            <w:r>
              <w:rPr>
                <w:rFonts w:ascii="Times New Roman" w:hAnsi="Times New Roman" w:eastAsia="宋体"/>
                <w:b w:val="0"/>
                <w:sz w:val="18"/>
              </w:rPr>
              <w:t>4</w:t>
            </w:r>
          </w:p>
        </w:tc>
        <w:tc>
          <w:tcPr>
            <w:tcW w:type="dxa" w:w="2041"/>
          </w:tcPr>
          <w:p>
            <w:pPr>
              <w:spacing w:before="40" w:after="40" w:line="240" w:lineRule="auto"/>
              <w:jc w:val="center"/>
            </w:pPr>
            <w:r/>
            <w:r>
              <w:rPr>
                <w:rFonts w:ascii="Times New Roman" w:hAnsi="Times New Roman" w:eastAsia="宋体"/>
                <w:b w:val="0"/>
                <w:sz w:val="18"/>
              </w:rPr>
              <w:t>substrate</w:t>
            </w:r>
          </w:p>
        </w:tc>
        <w:tc>
          <w:tcPr>
            <w:tcW w:type="dxa" w:w="2041"/>
          </w:tcPr>
          <w:p>
            <w:pPr>
              <w:spacing w:before="40" w:after="40" w:line="240" w:lineRule="auto"/>
              <w:jc w:val="center"/>
            </w:pPr>
            <w:r/>
            <w:r>
              <w:rPr>
                <w:rFonts w:ascii="Times New Roman" w:hAnsi="Times New Roman" w:eastAsia="宋体"/>
                <w:b w:val="0"/>
                <w:sz w:val="18"/>
              </w:rPr>
              <w:t>preparation</w:t>
            </w:r>
          </w:p>
        </w:tc>
        <w:tc>
          <w:tcPr>
            <w:tcW w:type="dxa" w:w="2041"/>
          </w:tcPr>
          <w:p>
            <w:pPr>
              <w:spacing w:before="40" w:after="40" w:line="240" w:lineRule="auto"/>
              <w:jc w:val="center"/>
            </w:pPr>
            <w:r/>
            <w:r>
              <w:rPr>
                <w:rFonts w:ascii="Times New Roman" w:hAnsi="Times New Roman" w:eastAsia="宋体"/>
                <w:b w:val="0"/>
                <w:sz w:val="18"/>
              </w:rPr>
              <w:t>product</w:t>
            </w:r>
          </w:p>
        </w:tc>
        <w:tc>
          <w:tcPr>
            <w:tcW w:type="dxa" w:w="2041"/>
          </w:tcPr>
          <w:p>
            <w:pPr>
              <w:spacing w:before="40" w:after="40" w:line="240" w:lineRule="auto"/>
              <w:jc w:val="center"/>
            </w:pPr>
            <w:r/>
            <w:r>
              <w:rPr>
                <w:rFonts w:ascii="Times New Roman" w:hAnsi="Times New Roman" w:eastAsia="宋体"/>
                <w:b w:val="0"/>
                <w:sz w:val="18"/>
              </w:rPr>
              <w:t>burn</w:t>
            </w:r>
          </w:p>
        </w:tc>
      </w:tr>
      <w:tr>
        <w:tc>
          <w:tcPr>
            <w:tcW w:type="dxa" w:w="794"/>
          </w:tcPr>
          <w:p>
            <w:pPr>
              <w:spacing w:before="40" w:after="40" w:line="240" w:lineRule="auto"/>
              <w:jc w:val="left"/>
            </w:pPr>
            <w:r/>
            <w:r>
              <w:rPr>
                <w:rFonts w:ascii="Times New Roman" w:hAnsi="Times New Roman" w:eastAsia="宋体"/>
                <w:b w:val="0"/>
                <w:sz w:val="18"/>
              </w:rPr>
              <w:t>5</w:t>
            </w:r>
          </w:p>
        </w:tc>
        <w:tc>
          <w:tcPr>
            <w:tcW w:type="dxa" w:w="2041"/>
          </w:tcPr>
          <w:p>
            <w:pPr>
              <w:spacing w:before="40" w:after="40" w:line="240" w:lineRule="auto"/>
              <w:jc w:val="center"/>
            </w:pPr>
            <w:r/>
            <w:r>
              <w:rPr>
                <w:rFonts w:ascii="Times New Roman" w:hAnsi="Times New Roman" w:eastAsia="宋体"/>
                <w:b w:val="0"/>
                <w:sz w:val="18"/>
              </w:rPr>
              <w:t>element</w:t>
            </w:r>
          </w:p>
        </w:tc>
        <w:tc>
          <w:tcPr>
            <w:tcW w:type="dxa" w:w="2041"/>
          </w:tcPr>
          <w:p>
            <w:pPr>
              <w:spacing w:before="40" w:after="40" w:line="240" w:lineRule="auto"/>
              <w:jc w:val="center"/>
            </w:pPr>
            <w:r/>
            <w:r>
              <w:rPr>
                <w:rFonts w:ascii="Times New Roman" w:hAnsi="Times New Roman" w:eastAsia="宋体"/>
                <w:b w:val="0"/>
                <w:sz w:val="18"/>
              </w:rPr>
              <w:t>cigarette</w:t>
            </w:r>
          </w:p>
        </w:tc>
        <w:tc>
          <w:tcPr>
            <w:tcW w:type="dxa" w:w="2041"/>
          </w:tcPr>
          <w:p>
            <w:pPr>
              <w:spacing w:before="40" w:after="40" w:line="240" w:lineRule="auto"/>
              <w:jc w:val="center"/>
            </w:pPr>
            <w:r/>
            <w:r>
              <w:rPr>
                <w:rFonts w:ascii="Times New Roman" w:hAnsi="Times New Roman" w:eastAsia="宋体"/>
                <w:b w:val="0"/>
                <w:sz w:val="18"/>
              </w:rPr>
              <w:t>smoke</w:t>
            </w:r>
          </w:p>
        </w:tc>
        <w:tc>
          <w:tcPr>
            <w:tcW w:type="dxa" w:w="2041"/>
          </w:tcPr>
          <w:p>
            <w:pPr>
              <w:spacing w:before="40" w:after="40" w:line="240" w:lineRule="auto"/>
              <w:jc w:val="center"/>
            </w:pPr>
            <w:r/>
            <w:r>
              <w:rPr>
                <w:rFonts w:ascii="Times New Roman" w:hAnsi="Times New Roman" w:eastAsia="宋体"/>
                <w:b w:val="0"/>
                <w:sz w:val="18"/>
              </w:rPr>
              <w:t>element</w:t>
            </w:r>
          </w:p>
        </w:tc>
      </w:tr>
      <w:tr>
        <w:tc>
          <w:tcPr>
            <w:tcW w:type="dxa" w:w="794"/>
          </w:tcPr>
          <w:p>
            <w:pPr>
              <w:spacing w:before="40" w:after="40" w:line="240" w:lineRule="auto"/>
              <w:jc w:val="left"/>
            </w:pPr>
            <w:r/>
            <w:r>
              <w:rPr>
                <w:rFonts w:ascii="Times New Roman" w:hAnsi="Times New Roman" w:eastAsia="宋体"/>
                <w:b w:val="0"/>
                <w:sz w:val="18"/>
              </w:rPr>
              <w:t>6</w:t>
            </w:r>
          </w:p>
        </w:tc>
        <w:tc>
          <w:tcPr>
            <w:tcW w:type="dxa" w:w="2041"/>
          </w:tcPr>
          <w:p>
            <w:pPr>
              <w:spacing w:before="40" w:after="40" w:line="240" w:lineRule="auto"/>
              <w:jc w:val="center"/>
            </w:pPr>
            <w:r/>
            <w:r>
              <w:rPr>
                <w:rFonts w:ascii="Times New Roman" w:hAnsi="Times New Roman" w:eastAsia="宋体"/>
                <w:b w:val="0"/>
                <w:sz w:val="18"/>
              </w:rPr>
              <w:t>cigarette</w:t>
            </w:r>
          </w:p>
        </w:tc>
        <w:tc>
          <w:tcPr>
            <w:tcW w:type="dxa" w:w="2041"/>
          </w:tcPr>
          <w:p>
            <w:pPr>
              <w:spacing w:before="40" w:after="40" w:line="240" w:lineRule="auto"/>
              <w:jc w:val="center"/>
            </w:pPr>
            <w:r/>
            <w:r>
              <w:rPr>
                <w:rFonts w:ascii="Times New Roman" w:hAnsi="Times New Roman" w:eastAsia="宋体"/>
                <w:b w:val="0"/>
                <w:sz w:val="18"/>
              </w:rPr>
              <w:t>material</w:t>
            </w:r>
          </w:p>
        </w:tc>
        <w:tc>
          <w:tcPr>
            <w:tcW w:type="dxa" w:w="2041"/>
          </w:tcPr>
          <w:p>
            <w:pPr>
              <w:spacing w:before="40" w:after="40" w:line="240" w:lineRule="auto"/>
              <w:jc w:val="center"/>
            </w:pPr>
            <w:r/>
            <w:r>
              <w:rPr>
                <w:rFonts w:ascii="Times New Roman" w:hAnsi="Times New Roman" w:eastAsia="宋体"/>
                <w:b w:val="0"/>
                <w:sz w:val="18"/>
              </w:rPr>
              <w:t>connect</w:t>
            </w:r>
          </w:p>
        </w:tc>
        <w:tc>
          <w:tcPr>
            <w:tcW w:type="dxa" w:w="2041"/>
          </w:tcPr>
          <w:p>
            <w:pPr>
              <w:spacing w:before="40" w:after="40" w:line="240" w:lineRule="auto"/>
              <w:jc w:val="center"/>
            </w:pPr>
            <w:r/>
            <w:r>
              <w:rPr>
                <w:rFonts w:ascii="Times New Roman" w:hAnsi="Times New Roman" w:eastAsia="宋体"/>
                <w:b w:val="0"/>
                <w:sz w:val="18"/>
              </w:rPr>
              <w:t>cigarette</w:t>
            </w:r>
          </w:p>
        </w:tc>
      </w:tr>
      <w:tr>
        <w:tc>
          <w:tcPr>
            <w:tcW w:type="dxa" w:w="794"/>
          </w:tcPr>
          <w:p>
            <w:pPr>
              <w:spacing w:before="40" w:after="40" w:line="240" w:lineRule="auto"/>
              <w:jc w:val="left"/>
            </w:pPr>
            <w:r/>
            <w:r>
              <w:rPr>
                <w:rFonts w:ascii="Times New Roman" w:hAnsi="Times New Roman" w:eastAsia="宋体"/>
                <w:b w:val="0"/>
                <w:sz w:val="18"/>
              </w:rPr>
              <w:t>7</w:t>
            </w:r>
          </w:p>
        </w:tc>
        <w:tc>
          <w:tcPr>
            <w:tcW w:type="dxa" w:w="2041"/>
          </w:tcPr>
          <w:p>
            <w:pPr>
              <w:spacing w:before="40" w:after="40" w:line="240" w:lineRule="auto"/>
              <w:jc w:val="center"/>
            </w:pPr>
            <w:r/>
            <w:r>
              <w:rPr>
                <w:rFonts w:ascii="Times New Roman" w:hAnsi="Times New Roman" w:eastAsia="宋体"/>
                <w:b w:val="0"/>
                <w:sz w:val="18"/>
              </w:rPr>
              <w:t>forming</w:t>
            </w:r>
          </w:p>
        </w:tc>
        <w:tc>
          <w:tcPr>
            <w:tcW w:type="dxa" w:w="2041"/>
          </w:tcPr>
          <w:p>
            <w:pPr>
              <w:spacing w:before="40" w:after="40" w:line="240" w:lineRule="auto"/>
              <w:jc w:val="center"/>
            </w:pPr>
            <w:r/>
            <w:r>
              <w:rPr>
                <w:rFonts w:ascii="Times New Roman" w:hAnsi="Times New Roman" w:eastAsia="宋体"/>
                <w:b w:val="0"/>
                <w:sz w:val="18"/>
              </w:rPr>
              <w:t>heating</w:t>
            </w:r>
          </w:p>
        </w:tc>
        <w:tc>
          <w:tcPr>
            <w:tcW w:type="dxa" w:w="2041"/>
          </w:tcPr>
          <w:p>
            <w:pPr>
              <w:spacing w:before="40" w:after="40" w:line="240" w:lineRule="auto"/>
              <w:jc w:val="center"/>
            </w:pPr>
            <w:r/>
            <w:r>
              <w:rPr>
                <w:rFonts w:ascii="Times New Roman" w:hAnsi="Times New Roman" w:eastAsia="宋体"/>
                <w:b w:val="0"/>
                <w:sz w:val="18"/>
              </w:rPr>
              <w:t>burn</w:t>
            </w:r>
          </w:p>
        </w:tc>
        <w:tc>
          <w:tcPr>
            <w:tcW w:type="dxa" w:w="2041"/>
          </w:tcPr>
          <w:p>
            <w:pPr>
              <w:spacing w:before="40" w:after="40" w:line="240" w:lineRule="auto"/>
              <w:jc w:val="center"/>
            </w:pPr>
            <w:r/>
            <w:r>
              <w:rPr>
                <w:rFonts w:ascii="Times New Roman" w:hAnsi="Times New Roman" w:eastAsia="宋体"/>
                <w:b w:val="0"/>
                <w:sz w:val="18"/>
              </w:rPr>
              <w:t>substrate</w:t>
            </w:r>
          </w:p>
        </w:tc>
      </w:tr>
      <w:tr>
        <w:tc>
          <w:tcPr>
            <w:tcW w:type="dxa" w:w="794"/>
          </w:tcPr>
          <w:p>
            <w:pPr>
              <w:spacing w:before="40" w:after="40" w:line="240" w:lineRule="auto"/>
              <w:jc w:val="left"/>
            </w:pPr>
            <w:r/>
            <w:r>
              <w:rPr>
                <w:rFonts w:ascii="Times New Roman" w:hAnsi="Times New Roman" w:eastAsia="宋体"/>
                <w:b w:val="0"/>
                <w:sz w:val="18"/>
              </w:rPr>
              <w:t>8</w:t>
            </w:r>
          </w:p>
        </w:tc>
        <w:tc>
          <w:tcPr>
            <w:tcW w:type="dxa" w:w="2041"/>
          </w:tcPr>
          <w:p>
            <w:pPr>
              <w:spacing w:before="40" w:after="40" w:line="240" w:lineRule="auto"/>
              <w:jc w:val="center"/>
            </w:pPr>
            <w:r/>
            <w:r>
              <w:rPr>
                <w:rFonts w:ascii="Times New Roman" w:hAnsi="Times New Roman" w:eastAsia="宋体"/>
                <w:b w:val="0"/>
                <w:sz w:val="18"/>
              </w:rPr>
              <w:t>smoke</w:t>
            </w:r>
          </w:p>
        </w:tc>
        <w:tc>
          <w:tcPr>
            <w:tcW w:type="dxa" w:w="2041"/>
          </w:tcPr>
          <w:p>
            <w:pPr>
              <w:spacing w:before="40" w:after="40" w:line="240" w:lineRule="auto"/>
              <w:jc w:val="center"/>
            </w:pPr>
            <w:r/>
            <w:r>
              <w:rPr>
                <w:rFonts w:ascii="Times New Roman" w:hAnsi="Times New Roman" w:eastAsia="宋体"/>
                <w:b w:val="0"/>
                <w:sz w:val="18"/>
              </w:rPr>
              <w:t>production</w:t>
            </w:r>
          </w:p>
        </w:tc>
        <w:tc>
          <w:tcPr>
            <w:tcW w:type="dxa" w:w="2041"/>
          </w:tcPr>
          <w:p>
            <w:pPr>
              <w:spacing w:before="40" w:after="40" w:line="240" w:lineRule="auto"/>
              <w:jc w:val="center"/>
            </w:pPr>
            <w:r/>
            <w:r>
              <w:rPr>
                <w:rFonts w:ascii="Times New Roman" w:hAnsi="Times New Roman" w:eastAsia="宋体"/>
                <w:b w:val="0"/>
                <w:sz w:val="18"/>
              </w:rPr>
              <w:t>type</w:t>
            </w:r>
          </w:p>
        </w:tc>
        <w:tc>
          <w:tcPr>
            <w:tcW w:type="dxa" w:w="2041"/>
          </w:tcPr>
          <w:p>
            <w:pPr>
              <w:spacing w:before="40" w:after="40" w:line="240" w:lineRule="auto"/>
              <w:jc w:val="center"/>
            </w:pPr>
            <w:r/>
            <w:r>
              <w:rPr>
                <w:rFonts w:ascii="Times New Roman" w:hAnsi="Times New Roman" w:eastAsia="宋体"/>
                <w:b w:val="0"/>
                <w:sz w:val="18"/>
              </w:rPr>
              <w:t>control</w:t>
            </w:r>
          </w:p>
        </w:tc>
      </w:tr>
      <w:tr>
        <w:tc>
          <w:tcPr>
            <w:tcW w:type="dxa" w:w="794"/>
          </w:tcPr>
          <w:p>
            <w:pPr>
              <w:spacing w:before="40" w:after="40" w:line="240" w:lineRule="auto"/>
              <w:jc w:val="left"/>
            </w:pPr>
            <w:r/>
            <w:r>
              <w:rPr>
                <w:rFonts w:ascii="Times New Roman" w:hAnsi="Times New Roman" w:eastAsia="宋体"/>
                <w:b w:val="0"/>
                <w:sz w:val="18"/>
              </w:rPr>
              <w:t>9</w:t>
            </w:r>
          </w:p>
        </w:tc>
        <w:tc>
          <w:tcPr>
            <w:tcW w:type="dxa" w:w="2041"/>
          </w:tcPr>
          <w:p>
            <w:pPr>
              <w:spacing w:before="40" w:after="40" w:line="240" w:lineRule="auto"/>
              <w:jc w:val="center"/>
            </w:pPr>
            <w:r/>
            <w:r>
              <w:rPr>
                <w:rFonts w:ascii="Times New Roman" w:hAnsi="Times New Roman" w:eastAsia="宋体"/>
                <w:b w:val="0"/>
                <w:sz w:val="18"/>
              </w:rPr>
              <w:t>control</w:t>
            </w:r>
          </w:p>
        </w:tc>
        <w:tc>
          <w:tcPr>
            <w:tcW w:type="dxa" w:w="2041"/>
          </w:tcPr>
          <w:p>
            <w:pPr>
              <w:spacing w:before="40" w:after="40" w:line="240" w:lineRule="auto"/>
              <w:jc w:val="center"/>
            </w:pPr>
            <w:r/>
            <w:r>
              <w:rPr>
                <w:rFonts w:ascii="Times New Roman" w:hAnsi="Times New Roman" w:eastAsia="宋体"/>
                <w:b w:val="0"/>
                <w:sz w:val="18"/>
              </w:rPr>
              <w:t>component</w:t>
            </w:r>
          </w:p>
        </w:tc>
        <w:tc>
          <w:tcPr>
            <w:tcW w:type="dxa" w:w="2041"/>
          </w:tcPr>
          <w:p>
            <w:pPr>
              <w:spacing w:before="40" w:after="40" w:line="240" w:lineRule="auto"/>
              <w:jc w:val="center"/>
            </w:pPr>
            <w:r/>
            <w:r>
              <w:rPr>
                <w:rFonts w:ascii="Times New Roman" w:hAnsi="Times New Roman" w:eastAsia="宋体"/>
                <w:b w:val="0"/>
                <w:sz w:val="18"/>
              </w:rPr>
              <w:t>combust</w:t>
            </w:r>
          </w:p>
        </w:tc>
        <w:tc>
          <w:tcPr>
            <w:tcW w:type="dxa" w:w="2041"/>
          </w:tcPr>
          <w:p>
            <w:pPr>
              <w:spacing w:before="40" w:after="40" w:line="240" w:lineRule="auto"/>
              <w:jc w:val="center"/>
            </w:pPr>
            <w:r/>
            <w:r>
              <w:rPr>
                <w:rFonts w:ascii="Times New Roman" w:hAnsi="Times New Roman" w:eastAsia="宋体"/>
                <w:b w:val="0"/>
                <w:sz w:val="18"/>
              </w:rPr>
              <w:t>product</w:t>
            </w:r>
          </w:p>
        </w:tc>
      </w:tr>
      <w:tr>
        <w:tc>
          <w:tcPr>
            <w:tcW w:type="dxa" w:w="794"/>
            <w:tcBorders>
              <w:bottom w:val="single" w:sz="12" w:space="0" w:color="000000"/>
            </w:tcBorders>
          </w:tcPr>
          <w:p>
            <w:pPr>
              <w:spacing w:before="40" w:after="40" w:line="240" w:lineRule="auto"/>
              <w:jc w:val="left"/>
            </w:pPr>
            <w:r/>
            <w:r>
              <w:rPr>
                <w:rFonts w:ascii="Times New Roman" w:hAnsi="Times New Roman" w:eastAsia="宋体"/>
                <w:b w:val="0"/>
                <w:sz w:val="18"/>
              </w:rPr>
              <w:t>10</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8"/>
              </w:rPr>
              <w:t>burn</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8"/>
              </w:rPr>
              <w:t>extract</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8"/>
              </w:rPr>
              <w:t>body</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8"/>
              </w:rPr>
              <w:t>substitute</w:t>
            </w:r>
          </w:p>
        </w:tc>
      </w:tr>
    </w:tbl>
    <w:p>
      <w:pPr>
        <w:spacing w:before="40" w:after="160" w:line="240" w:lineRule="auto"/>
        <w:ind w:firstLine="0"/>
        <w:jc w:val="left"/>
      </w:pPr>
      <w:r>
        <w:rPr>
          <w:rFonts w:ascii="Times New Roman" w:hAnsi="Times New Roman" w:eastAsia="宋体"/>
          <w:b w:val="0"/>
          <w:sz w:val="18"/>
        </w:rPr>
        <w:t>注：关键词经词形还原与停用词过滤后统计。</w:t>
      </w:r>
    </w:p>
    <w:p>
      <w:pPr>
        <w:keepNext/>
        <w:spacing w:before="240" w:after="120" w:line="360" w:lineRule="auto"/>
        <w:jc w:val="left"/>
      </w:pPr>
      <w:r>
        <w:rPr>
          <w:rFonts w:ascii="Times New Roman" w:hAnsi="Times New Roman" w:eastAsia="黑体"/>
          <w:b/>
          <w:sz w:val="30"/>
        </w:rPr>
        <w:t>5  识别模型的效度检验</w:t>
      </w:r>
    </w:p>
    <w:p>
      <w:pPr>
        <w:spacing w:before="0" w:after="0" w:line="360" w:lineRule="auto"/>
        <w:ind w:firstLine="480"/>
        <w:jc w:val="both"/>
      </w:pPr>
      <w:r>
        <w:rPr>
          <w:rFonts w:ascii="Times New Roman" w:hAnsi="Times New Roman" w:eastAsia="宋体"/>
          <w:b w:val="0"/>
          <w:sz w:val="24"/>
        </w:rPr>
        <w:t>本章是对第 4 章结果的效度检验，也是本文相对既有研究的主要推进。检验分为两部分：一部分基于原样本的已报告统计量直接计算，结论直接有效；另一部分在一个与原样本边际统计接近的</w:t>
      </w:r>
      <w:r>
        <w:rPr>
          <w:rFonts w:ascii="Times New Roman" w:hAnsi="Times New Roman" w:eastAsia="宋体"/>
          <w:b/>
          <w:sz w:val="24"/>
        </w:rPr>
        <w:t>合成数据集</w:t>
      </w:r>
      <w:r>
        <w:rPr>
          <w:rFonts w:ascii="Times New Roman" w:hAnsi="Times New Roman" w:eastAsia="宋体"/>
          <w:b w:val="0"/>
          <w:sz w:val="24"/>
        </w:rPr>
        <w:t>上复现全流程，用以演示相应检验会得到什么结果。</w:t>
      </w:r>
      <w:r>
        <w:rPr>
          <w:rFonts w:ascii="Times New Roman" w:hAnsi="Times New Roman" w:eastAsia="宋体"/>
          <w:b/>
          <w:sz w:val="24"/>
        </w:rPr>
        <w:t>合成数据集实验的具体数值仅具方法学演示意义，必须在原始专利数据上重跑后方可写入正式结论</w:t>
      </w:r>
      <w:r>
        <w:rPr>
          <w:rFonts w:ascii="Times New Roman" w:hAnsi="Times New Roman" w:eastAsia="宋体"/>
          <w:b w:val="0"/>
          <w:sz w:val="24"/>
        </w:rPr>
        <w:t>，本章相应位置均已标注。</w:t>
      </w:r>
    </w:p>
    <w:p>
      <w:pPr>
        <w:keepNext/>
        <w:spacing w:before="160" w:after="80" w:line="360" w:lineRule="auto"/>
        <w:jc w:val="left"/>
      </w:pPr>
      <w:r>
        <w:rPr>
          <w:rFonts w:ascii="Times New Roman" w:hAnsi="Times New Roman" w:eastAsia="黑体"/>
          <w:b w:val="0"/>
          <w:sz w:val="28"/>
        </w:rPr>
        <w:t>5.1  循环论证问题的识别与修补设计</w:t>
      </w:r>
    </w:p>
    <w:p>
      <w:pPr>
        <w:spacing w:before="0" w:after="0" w:line="360" w:lineRule="auto"/>
        <w:ind w:firstLine="480"/>
        <w:jc w:val="both"/>
      </w:pPr>
      <w:r>
        <w:rPr>
          <w:rFonts w:ascii="Times New Roman" w:hAnsi="Times New Roman" w:eastAsia="宋体"/>
          <w:b w:val="0"/>
          <w:sz w:val="24"/>
        </w:rPr>
        <w:t>标签与特征同源构成一个闭合回路，使模型的高准确率成为同义反复，如图 4 左侧所示。四项价值指标经熵权法合成标签，而模型特征集又包含这四项，模型所做的是用四项指标去预测由这四项指标算出的结果。图 4 右侧给出三项互补且缺一不可的修补设计。其一是剔除同源特征后重训，把四项标签构造指标从特征集中移除并观察准确率跌幅；其二是引入独立价值代理变量，包括专利维持年限或缴费年限、是否发生转让或许可、是否被质押、是否被提起无效宣告、是否涉诉——这些变量不参与标签构造，反映的是市场主体对专利价值的实际判断，可作为外部效标[15]；其三是专家标注留出集，请两名以上知识产权专家对 100～200 条专利独立标注价值等级，计算专家之间以及专家与模型之间的一致性系数。</w:t>
      </w:r>
    </w:p>
    <w:p>
      <w:pPr>
        <w:keepNext/>
        <w:spacing w:before="120" w:after="0" w:line="240" w:lineRule="auto"/>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p5_c3_circularity.png"/>
                    <pic:cNvPicPr/>
                  </pic:nvPicPr>
                  <pic:blipFill>
                    <a:blip r:embed="rId12"/>
                    <a:stretch>
                      <a:fillRect/>
                    </a:stretch>
                  </pic:blipFill>
                  <pic:spPr>
                    <a:xfrm>
                      <a:off x="0" y="0"/>
                      <a:ext cx="5580000" cy="3720000"/>
                    </a:xfrm>
                    <a:prstGeom prst="rect"/>
                  </pic:spPr>
                </pic:pic>
              </a:graphicData>
            </a:graphic>
          </wp:inline>
        </w:drawing>
      </w:r>
    </w:p>
    <w:p>
      <w:pPr>
        <w:spacing w:before="40" w:after="160" w:line="240" w:lineRule="auto"/>
        <w:jc w:val="center"/>
      </w:pPr>
      <w:r>
        <w:rPr>
          <w:rFonts w:ascii="Times New Roman" w:hAnsi="Times New Roman" w:eastAsia="黑体"/>
          <w:b w:val="0"/>
          <w:sz w:val="21"/>
        </w:rPr>
        <w:t>图 4  循环论证问题与外部效度检验设计</w:t>
      </w:r>
    </w:p>
    <w:p>
      <w:pPr>
        <w:keepNext/>
        <w:spacing w:before="160" w:after="80" w:line="360" w:lineRule="auto"/>
        <w:jc w:val="left"/>
      </w:pPr>
      <w:r>
        <w:rPr>
          <w:rFonts w:ascii="Times New Roman" w:hAnsi="Times New Roman" w:eastAsia="黑体"/>
          <w:b w:val="0"/>
          <w:sz w:val="28"/>
        </w:rPr>
        <w:t>5.2  剔除同源特征的消融实验</w:t>
      </w:r>
    </w:p>
    <w:p>
      <w:pPr>
        <w:spacing w:before="0" w:after="0" w:line="360" w:lineRule="auto"/>
        <w:ind w:firstLine="480"/>
        <w:jc w:val="both"/>
      </w:pPr>
      <w:r>
        <w:rPr>
          <w:rFonts w:ascii="Times New Roman" w:hAnsi="Times New Roman" w:eastAsia="宋体"/>
          <w:b w:val="0"/>
          <w:sz w:val="24"/>
        </w:rPr>
        <w:t>消融实验量化了循环论证的程度，其结果足以改变结论的表述方式，如表 7 与图 5 所示。本节在合成数据集上演示第一项检验，数据集按与原样本一致的方式生成：13 个特征、右偏分布、99 分位缩尾、熵权法构造标签、自然间断点分级，所得价值等级分布为低 59.14%、中 31.61%、高 9.25%，与原样本的 63.34%、30.78%、5.87% 接近。全特征集的准确率为 96.63%；剔除四项标签构造指标后降至 61.10%，</w:t>
      </w:r>
      <w:r>
        <w:rPr>
          <w:rFonts w:ascii="Times New Roman" w:hAnsi="Times New Roman" w:eastAsia="宋体"/>
          <w:b/>
          <w:sz w:val="24"/>
        </w:rPr>
        <w:t>下降 35.53 个百分点，仅比多数类基准 59.14% 高 1.96 个百分点</w:t>
      </w:r>
      <w:r>
        <w:rPr>
          <w:rFonts w:ascii="Times New Roman" w:hAnsi="Times New Roman" w:eastAsia="宋体"/>
          <w:b w:val="0"/>
          <w:sz w:val="24"/>
        </w:rPr>
        <w:t>。</w:t>
      </w:r>
    </w:p>
    <w:p>
      <w:pPr>
        <w:keepNext/>
        <w:spacing w:before="160" w:after="40" w:line="240" w:lineRule="auto"/>
        <w:jc w:val="center"/>
      </w:pPr>
      <w:r>
        <w:rPr>
          <w:rFonts w:ascii="Times New Roman" w:hAnsi="Times New Roman" w:eastAsia="黑体"/>
          <w:b w:val="0"/>
          <w:sz w:val="21"/>
        </w:rPr>
        <w:t>表 7  剔除标签同源特征的消融实验（合成数据集，方法学演示）</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362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特征集设定</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10 折交叉验证准确率 / %</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较全特征集变化 / pp</w:t>
            </w:r>
          </w:p>
        </w:tc>
        <w:tc>
          <w:tcPr>
            <w:tcW w:type="dxa" w:w="215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相对多数类基准的净增益 / pp</w:t>
            </w:r>
          </w:p>
        </w:tc>
      </w:tr>
      <w:tr>
        <w:tc>
          <w:tcPr>
            <w:tcW w:type="dxa" w:w="3628"/>
          </w:tcPr>
          <w:p>
            <w:pPr>
              <w:spacing w:before="40" w:after="40" w:line="240" w:lineRule="auto"/>
              <w:jc w:val="left"/>
            </w:pPr>
            <w:r/>
            <w:r>
              <w:rPr>
                <w:rFonts w:ascii="Times New Roman" w:hAnsi="Times New Roman" w:eastAsia="宋体"/>
                <w:b w:val="0"/>
                <w:sz w:val="19"/>
              </w:rPr>
              <w:t>全部 13 个特征（含四项标签构造指标）</w:t>
            </w:r>
          </w:p>
        </w:tc>
        <w:tc>
          <w:tcPr>
            <w:tcW w:type="dxa" w:w="2041"/>
          </w:tcPr>
          <w:p>
            <w:pPr>
              <w:spacing w:before="40" w:after="40" w:line="240" w:lineRule="auto"/>
              <w:jc w:val="center"/>
            </w:pPr>
            <w:r/>
            <w:r>
              <w:rPr>
                <w:rFonts w:ascii="Times New Roman" w:hAnsi="Times New Roman" w:eastAsia="宋体"/>
                <w:b w:val="0"/>
                <w:sz w:val="19"/>
              </w:rPr>
              <w:t>96.63</w:t>
            </w:r>
          </w:p>
        </w:tc>
        <w:tc>
          <w:tcPr>
            <w:tcW w:type="dxa" w:w="1814"/>
          </w:tcPr>
          <w:p>
            <w:pPr>
              <w:spacing w:before="40" w:after="40" w:line="240" w:lineRule="auto"/>
              <w:jc w:val="center"/>
            </w:pPr>
            <w:r/>
            <w:r>
              <w:rPr>
                <w:rFonts w:ascii="Times New Roman" w:hAnsi="Times New Roman" w:eastAsia="宋体"/>
                <w:b w:val="0"/>
                <w:sz w:val="19"/>
              </w:rPr>
              <w:t>—</w:t>
            </w:r>
          </w:p>
        </w:tc>
        <w:tc>
          <w:tcPr>
            <w:tcW w:type="dxa" w:w="2154"/>
          </w:tcPr>
          <w:p>
            <w:pPr>
              <w:spacing w:before="40" w:after="40" w:line="240" w:lineRule="auto"/>
              <w:jc w:val="center"/>
            </w:pPr>
            <w:r/>
            <w:r>
              <w:rPr>
                <w:rFonts w:ascii="Times New Roman" w:hAnsi="Times New Roman" w:eastAsia="宋体"/>
                <w:b w:val="0"/>
                <w:sz w:val="19"/>
              </w:rPr>
              <w:t>+37.49</w:t>
            </w:r>
          </w:p>
        </w:tc>
      </w:tr>
      <w:tr>
        <w:tc>
          <w:tcPr>
            <w:tcW w:type="dxa" w:w="3628"/>
          </w:tcPr>
          <w:p>
            <w:pPr>
              <w:spacing w:before="40" w:after="40" w:line="240" w:lineRule="auto"/>
              <w:jc w:val="left"/>
            </w:pPr>
            <w:r/>
            <w:r>
              <w:rPr>
                <w:rFonts w:ascii="Times New Roman" w:hAnsi="Times New Roman" w:eastAsia="宋体"/>
                <w:b w:val="0"/>
                <w:sz w:val="19"/>
              </w:rPr>
              <w:t>剔除四项标签构造指标（9 个特征）</w:t>
            </w:r>
          </w:p>
        </w:tc>
        <w:tc>
          <w:tcPr>
            <w:tcW w:type="dxa" w:w="2041"/>
          </w:tcPr>
          <w:p>
            <w:pPr>
              <w:spacing w:before="40" w:after="40" w:line="240" w:lineRule="auto"/>
              <w:jc w:val="center"/>
            </w:pPr>
            <w:r/>
            <w:r>
              <w:rPr>
                <w:rFonts w:ascii="Times New Roman" w:hAnsi="Times New Roman" w:eastAsia="宋体"/>
                <w:b w:val="0"/>
                <w:sz w:val="19"/>
              </w:rPr>
              <w:t>61.10</w:t>
            </w:r>
          </w:p>
        </w:tc>
        <w:tc>
          <w:tcPr>
            <w:tcW w:type="dxa" w:w="1814"/>
          </w:tcPr>
          <w:p>
            <w:pPr>
              <w:spacing w:before="40" w:after="40" w:line="240" w:lineRule="auto"/>
              <w:jc w:val="center"/>
            </w:pPr>
            <w:r/>
            <w:r>
              <w:rPr>
                <w:rFonts w:ascii="Times New Roman" w:hAnsi="Times New Roman" w:eastAsia="宋体"/>
                <w:b w:val="0"/>
                <w:sz w:val="19"/>
              </w:rPr>
              <w:t>−35.53</w:t>
            </w:r>
          </w:p>
        </w:tc>
        <w:tc>
          <w:tcPr>
            <w:tcW w:type="dxa" w:w="2154"/>
          </w:tcPr>
          <w:p>
            <w:pPr>
              <w:spacing w:before="40" w:after="40" w:line="240" w:lineRule="auto"/>
              <w:jc w:val="center"/>
            </w:pPr>
            <w:r/>
            <w:r>
              <w:rPr>
                <w:rFonts w:ascii="Times New Roman" w:hAnsi="Times New Roman" w:eastAsia="宋体"/>
                <w:b w:val="0"/>
                <w:sz w:val="19"/>
              </w:rPr>
              <w:t>+1.96</w:t>
            </w:r>
          </w:p>
        </w:tc>
      </w:tr>
      <w:tr>
        <w:tc>
          <w:tcPr>
            <w:tcW w:type="dxa" w:w="3628"/>
            <w:tcBorders>
              <w:bottom w:val="single" w:sz="12" w:space="0" w:color="000000"/>
            </w:tcBorders>
          </w:tcPr>
          <w:p>
            <w:pPr>
              <w:spacing w:before="40" w:after="40" w:line="240" w:lineRule="auto"/>
              <w:jc w:val="left"/>
            </w:pPr>
            <w:r/>
            <w:r>
              <w:rPr>
                <w:rFonts w:ascii="Times New Roman" w:hAnsi="Times New Roman" w:eastAsia="宋体"/>
                <w:b w:val="0"/>
                <w:sz w:val="19"/>
              </w:rPr>
              <w:t>多数类基准</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9"/>
              </w:rPr>
              <w:t>59.14</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w:t>
            </w:r>
          </w:p>
        </w:tc>
        <w:tc>
          <w:tcPr>
            <w:tcW w:type="dxa" w:w="2154"/>
            <w:tcBorders>
              <w:bottom w:val="single" w:sz="12" w:space="0" w:color="000000"/>
            </w:tcBorders>
          </w:tcPr>
          <w:p>
            <w:pPr>
              <w:spacing w:before="40" w:after="40" w:line="240" w:lineRule="auto"/>
              <w:jc w:val="center"/>
            </w:pPr>
            <w:r/>
            <w:r>
              <w:rPr>
                <w:rFonts w:ascii="Times New Roman" w:hAnsi="Times New Roman" w:eastAsia="宋体"/>
                <w:b w:val="0"/>
                <w:sz w:val="19"/>
              </w:rPr>
              <w:t>0.00</w:t>
            </w:r>
          </w:p>
        </w:tc>
      </w:tr>
    </w:tbl>
    <w:p>
      <w:pPr>
        <w:spacing w:before="40" w:after="160" w:line="240" w:lineRule="auto"/>
        <w:ind w:firstLine="0"/>
        <w:jc w:val="left"/>
      </w:pPr>
      <w:r>
        <w:rPr>
          <w:rFonts w:ascii="Times New Roman" w:hAnsi="Times New Roman" w:eastAsia="宋体"/>
          <w:b w:val="0"/>
          <w:sz w:val="18"/>
        </w:rPr>
        <w:t>注：本表数值来自合成数据集，仅用于演示该检验的判别逻辑与结果形态，不可直接引用为原样本的结论，请在原始专利数据上重跑本实验。</w:t>
      </w:r>
    </w:p>
    <w:p>
      <w:pPr>
        <w:keepNext/>
        <w:spacing w:before="120" w:after="0" w:line="240" w:lineRule="auto"/>
        <w:jc w:val="center"/>
      </w:pPr>
      <w:r>
        <w:drawing>
          <wp:inline xmlns:a="http://schemas.openxmlformats.org/drawingml/2006/main" xmlns:pic="http://schemas.openxmlformats.org/drawingml/2006/picture">
            <wp:extent cx="4320000" cy="2657288"/>
            <wp:docPr id="5" name="Picture 5"/>
            <wp:cNvGraphicFramePr>
              <a:graphicFrameLocks noChangeAspect="1"/>
            </wp:cNvGraphicFramePr>
            <a:graphic>
              <a:graphicData uri="http://schemas.openxmlformats.org/drawingml/2006/picture">
                <pic:pic>
                  <pic:nvPicPr>
                    <pic:cNvPr id="0" name="p5_d2_ablation.png"/>
                    <pic:cNvPicPr/>
                  </pic:nvPicPr>
                  <pic:blipFill>
                    <a:blip r:embed="rId13"/>
                    <a:stretch>
                      <a:fillRect/>
                    </a:stretch>
                  </pic:blipFill>
                  <pic:spPr>
                    <a:xfrm>
                      <a:off x="0" y="0"/>
                      <a:ext cx="4320000" cy="2657288"/>
                    </a:xfrm>
                    <a:prstGeom prst="rect"/>
                  </pic:spPr>
                </pic:pic>
              </a:graphicData>
            </a:graphic>
          </wp:inline>
        </w:drawing>
      </w:r>
    </w:p>
    <w:p>
      <w:pPr>
        <w:spacing w:before="40" w:after="160" w:line="240" w:lineRule="auto"/>
        <w:jc w:val="center"/>
      </w:pPr>
      <w:r>
        <w:rPr>
          <w:rFonts w:ascii="Times New Roman" w:hAnsi="Times New Roman" w:eastAsia="黑体"/>
          <w:b w:val="0"/>
          <w:sz w:val="21"/>
        </w:rPr>
        <w:t>图 5  剔除标签同源特征前后的模型性能对比</w:t>
      </w:r>
    </w:p>
    <w:p>
      <w:pPr>
        <w:spacing w:before="0" w:after="0" w:line="360" w:lineRule="auto"/>
        <w:ind w:firstLine="480"/>
        <w:jc w:val="both"/>
      </w:pPr>
      <w:r>
        <w:rPr>
          <w:rFonts w:ascii="Times New Roman" w:hAnsi="Times New Roman" w:eastAsia="宋体"/>
          <w:b w:val="0"/>
          <w:sz w:val="24"/>
        </w:rPr>
        <w:t>这一结果并不意味着研究没有价值，但它要求把结论从“发现”改述为“复现”。模型的适用场景是把已有指标规则批量应用到新专利上，即替代人工按规则打分的重复劳动，这本身有明确的效率价值；但它不能被表述为“识别出了人工难以发现的高价值专利”。两种表述的实践含义完全不同：前者可以直接落地，后者需要外部效标支持。</w:t>
      </w:r>
      <w:r>
        <w:rPr>
          <w:rFonts w:ascii="Times New Roman" w:hAnsi="Times New Roman" w:eastAsia="宋体"/>
          <w:b/>
          <w:sz w:val="24"/>
        </w:rPr>
        <w:t>因此建议在正式结论中采用前一种表述</w:t>
      </w:r>
      <w:r>
        <w:rPr>
          <w:rFonts w:ascii="Times New Roman" w:hAnsi="Times New Roman" w:eastAsia="宋体"/>
          <w:b w:val="0"/>
          <w:sz w:val="24"/>
        </w:rPr>
        <w:t>，并按第 5.1 节的其余两项设计补做检验。</w:t>
      </w:r>
    </w:p>
    <w:p>
      <w:pPr>
        <w:keepNext/>
        <w:spacing w:before="160" w:after="80" w:line="360" w:lineRule="auto"/>
        <w:jc w:val="left"/>
      </w:pPr>
      <w:r>
        <w:rPr>
          <w:rFonts w:ascii="Times New Roman" w:hAnsi="Times New Roman" w:eastAsia="黑体"/>
          <w:b w:val="0"/>
          <w:sz w:val="28"/>
        </w:rPr>
        <w:t>5.3  类不平衡条件下应报告的完整指标</w:t>
      </w:r>
    </w:p>
    <w:p>
      <w:pPr>
        <w:spacing w:before="0" w:after="0" w:line="360" w:lineRule="auto"/>
        <w:ind w:firstLine="480"/>
        <w:jc w:val="both"/>
      </w:pPr>
      <w:r>
        <w:rPr>
          <w:rFonts w:ascii="Times New Roman" w:hAnsi="Times New Roman" w:eastAsia="宋体"/>
          <w:b w:val="0"/>
          <w:sz w:val="24"/>
        </w:rPr>
        <w:t>分类别指标揭示了一个在总体准确率中被完全掩盖的事实：模型对高价值类的召回明显偏低，如表 8 与图 6 所示。高价值类的召回率（81.44%）明显低于精确率（98.94%），即模型倾向于保守判定——判为高价值的基本正确，但有相当比例的高价值专利被漏判为中价值（混淆矩阵显示 85 条）。对专利筛查而言漏判的代价通常高于误判：漏掉一件核心专利可能导致技术壁垒失察，而误判一件只需多花一次人工复核。</w:t>
      </w:r>
      <w:r>
        <w:rPr>
          <w:rFonts w:ascii="Times New Roman" w:hAnsi="Times New Roman" w:eastAsia="宋体"/>
          <w:b/>
          <w:sz w:val="24"/>
        </w:rPr>
        <w:t>因此建议按代价不对称原则下调高价值类的判定阈值以召回率优先</w:t>
      </w:r>
      <w:r>
        <w:rPr>
          <w:rFonts w:ascii="Times New Roman" w:hAnsi="Times New Roman" w:eastAsia="宋体"/>
          <w:b w:val="0"/>
          <w:sz w:val="24"/>
        </w:rPr>
        <w:t>，并同步报告精确率—召回率曲线下面积与马修斯相关系数这两个对类不平衡稳健的指标[11]。</w:t>
      </w:r>
    </w:p>
    <w:p>
      <w:pPr>
        <w:keepNext/>
        <w:spacing w:before="160" w:after="40" w:line="240" w:lineRule="auto"/>
        <w:jc w:val="center"/>
      </w:pPr>
      <w:r>
        <w:rPr>
          <w:rFonts w:ascii="Times New Roman" w:hAnsi="Times New Roman" w:eastAsia="黑体"/>
          <w:b w:val="0"/>
          <w:sz w:val="21"/>
        </w:rPr>
        <w:t>表 8  类不平衡条件下应报告的完整指标（合成数据集，方法学演示）</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170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类别</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精确率 / %</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召回率 / %</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F1 / %</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样本数</w:t>
            </w:r>
          </w:p>
        </w:tc>
      </w:tr>
      <w:tr>
        <w:tc>
          <w:tcPr>
            <w:tcW w:type="dxa" w:w="1701"/>
          </w:tcPr>
          <w:p>
            <w:pPr>
              <w:spacing w:before="40" w:after="40" w:line="240" w:lineRule="auto"/>
              <w:jc w:val="left"/>
            </w:pPr>
            <w:r/>
            <w:r>
              <w:rPr>
                <w:rFonts w:ascii="Times New Roman" w:hAnsi="Times New Roman" w:eastAsia="宋体"/>
                <w:b w:val="0"/>
                <w:sz w:val="19"/>
              </w:rPr>
              <w:t>低价值</w:t>
            </w:r>
          </w:p>
        </w:tc>
        <w:tc>
          <w:tcPr>
            <w:tcW w:type="dxa" w:w="1814"/>
          </w:tcPr>
          <w:p>
            <w:pPr>
              <w:spacing w:before="40" w:after="40" w:line="240" w:lineRule="auto"/>
              <w:jc w:val="center"/>
            </w:pPr>
            <w:r/>
            <w:r>
              <w:rPr>
                <w:rFonts w:ascii="Times New Roman" w:hAnsi="Times New Roman" w:eastAsia="宋体"/>
                <w:b w:val="0"/>
                <w:sz w:val="19"/>
              </w:rPr>
              <w:t>99.31</w:t>
            </w:r>
          </w:p>
        </w:tc>
        <w:tc>
          <w:tcPr>
            <w:tcW w:type="dxa" w:w="1814"/>
          </w:tcPr>
          <w:p>
            <w:pPr>
              <w:spacing w:before="40" w:after="40" w:line="240" w:lineRule="auto"/>
              <w:jc w:val="center"/>
            </w:pPr>
            <w:r/>
            <w:r>
              <w:rPr>
                <w:rFonts w:ascii="Times New Roman" w:hAnsi="Times New Roman" w:eastAsia="宋体"/>
                <w:b w:val="0"/>
                <w:sz w:val="19"/>
              </w:rPr>
              <w:t>98.94</w:t>
            </w:r>
          </w:p>
        </w:tc>
        <w:tc>
          <w:tcPr>
            <w:tcW w:type="dxa" w:w="1701"/>
          </w:tcPr>
          <w:p>
            <w:pPr>
              <w:spacing w:before="40" w:after="40" w:line="240" w:lineRule="auto"/>
              <w:jc w:val="center"/>
            </w:pPr>
            <w:r/>
            <w:r>
              <w:rPr>
                <w:rFonts w:ascii="Times New Roman" w:hAnsi="Times New Roman" w:eastAsia="宋体"/>
                <w:b w:val="0"/>
                <w:sz w:val="19"/>
              </w:rPr>
              <w:t>99.13</w:t>
            </w:r>
          </w:p>
        </w:tc>
        <w:tc>
          <w:tcPr>
            <w:tcW w:type="dxa" w:w="1701"/>
          </w:tcPr>
          <w:p>
            <w:pPr>
              <w:spacing w:before="40" w:after="40" w:line="240" w:lineRule="auto"/>
              <w:jc w:val="center"/>
            </w:pPr>
            <w:r/>
            <w:r>
              <w:rPr>
                <w:rFonts w:ascii="Times New Roman" w:hAnsi="Times New Roman" w:eastAsia="宋体"/>
                <w:b w:val="0"/>
                <w:sz w:val="19"/>
              </w:rPr>
              <w:t>2930</w:t>
            </w:r>
          </w:p>
        </w:tc>
      </w:tr>
      <w:tr>
        <w:tc>
          <w:tcPr>
            <w:tcW w:type="dxa" w:w="1701"/>
          </w:tcPr>
          <w:p>
            <w:pPr>
              <w:spacing w:before="40" w:after="40" w:line="240" w:lineRule="auto"/>
              <w:jc w:val="left"/>
            </w:pPr>
            <w:r/>
            <w:r>
              <w:rPr>
                <w:rFonts w:ascii="Times New Roman" w:hAnsi="Times New Roman" w:eastAsia="宋体"/>
                <w:b w:val="0"/>
                <w:sz w:val="19"/>
              </w:rPr>
              <w:t>中价值</w:t>
            </w:r>
          </w:p>
        </w:tc>
        <w:tc>
          <w:tcPr>
            <w:tcW w:type="dxa" w:w="1814"/>
          </w:tcPr>
          <w:p>
            <w:pPr>
              <w:spacing w:before="40" w:after="40" w:line="240" w:lineRule="auto"/>
              <w:jc w:val="center"/>
            </w:pPr>
            <w:r/>
            <w:r>
              <w:rPr>
                <w:rFonts w:ascii="Times New Roman" w:hAnsi="Times New Roman" w:eastAsia="宋体"/>
                <w:b w:val="0"/>
                <w:sz w:val="19"/>
              </w:rPr>
              <w:t>93.00</w:t>
            </w:r>
          </w:p>
        </w:tc>
        <w:tc>
          <w:tcPr>
            <w:tcW w:type="dxa" w:w="1814"/>
          </w:tcPr>
          <w:p>
            <w:pPr>
              <w:spacing w:before="40" w:after="40" w:line="240" w:lineRule="auto"/>
              <w:jc w:val="center"/>
            </w:pPr>
            <w:r/>
            <w:r>
              <w:rPr>
                <w:rFonts w:ascii="Times New Roman" w:hAnsi="Times New Roman" w:eastAsia="宋体"/>
                <w:b w:val="0"/>
                <w:sz w:val="19"/>
              </w:rPr>
              <w:t>98.47</w:t>
            </w:r>
          </w:p>
        </w:tc>
        <w:tc>
          <w:tcPr>
            <w:tcW w:type="dxa" w:w="1701"/>
          </w:tcPr>
          <w:p>
            <w:pPr>
              <w:spacing w:before="40" w:after="40" w:line="240" w:lineRule="auto"/>
              <w:jc w:val="center"/>
            </w:pPr>
            <w:r/>
            <w:r>
              <w:rPr>
                <w:rFonts w:ascii="Times New Roman" w:hAnsi="Times New Roman" w:eastAsia="宋体"/>
                <w:b w:val="0"/>
                <w:sz w:val="19"/>
              </w:rPr>
              <w:t>95.66</w:t>
            </w:r>
          </w:p>
        </w:tc>
        <w:tc>
          <w:tcPr>
            <w:tcW w:type="dxa" w:w="1701"/>
          </w:tcPr>
          <w:p>
            <w:pPr>
              <w:spacing w:before="40" w:after="40" w:line="240" w:lineRule="auto"/>
              <w:jc w:val="center"/>
            </w:pPr>
            <w:r/>
            <w:r>
              <w:rPr>
                <w:rFonts w:ascii="Times New Roman" w:hAnsi="Times New Roman" w:eastAsia="宋体"/>
                <w:b w:val="0"/>
                <w:sz w:val="19"/>
              </w:rPr>
              <w:t>1566</w:t>
            </w:r>
          </w:p>
        </w:tc>
      </w:tr>
      <w:tr>
        <w:tc>
          <w:tcPr>
            <w:tcW w:type="dxa" w:w="1701"/>
            <w:tcBorders>
              <w:bottom w:val="single" w:sz="12" w:space="0" w:color="000000"/>
            </w:tcBorders>
          </w:tcPr>
          <w:p>
            <w:pPr>
              <w:spacing w:before="40" w:after="40" w:line="240" w:lineRule="auto"/>
              <w:jc w:val="left"/>
            </w:pPr>
            <w:r/>
            <w:r>
              <w:rPr>
                <w:rFonts w:ascii="Times New Roman" w:hAnsi="Times New Roman" w:eastAsia="宋体"/>
                <w:b w:val="0"/>
                <w:sz w:val="19"/>
              </w:rPr>
              <w:t>高价值</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98.94</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81.44</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89.34</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458</w:t>
            </w:r>
          </w:p>
        </w:tc>
      </w:tr>
    </w:tbl>
    <w:p>
      <w:pPr>
        <w:spacing w:before="40" w:after="160" w:line="240" w:lineRule="auto"/>
        <w:ind w:firstLine="0"/>
        <w:jc w:val="left"/>
      </w:pPr>
      <w:r>
        <w:rPr>
          <w:rFonts w:ascii="Times New Roman" w:hAnsi="Times New Roman" w:eastAsia="宋体"/>
          <w:b w:val="0"/>
          <w:sz w:val="18"/>
        </w:rPr>
        <w:t>注：高价值类 PR-AUC=0.9835，马修斯相关系数 MCC=0.9481。本表数值来自合成数据集，仅用于说明应报告的指标形态。</w:t>
      </w:r>
    </w:p>
    <w:p>
      <w:pPr>
        <w:keepNext/>
        <w:spacing w:before="120" w:after="0" w:line="240" w:lineRule="auto"/>
        <w:jc w:val="center"/>
      </w:pPr>
      <w:r>
        <w:drawing>
          <wp:inline xmlns:a="http://schemas.openxmlformats.org/drawingml/2006/main" xmlns:pic="http://schemas.openxmlformats.org/drawingml/2006/picture">
            <wp:extent cx="5400000" cy="3450647"/>
            <wp:docPr id="6" name="Picture 6"/>
            <wp:cNvGraphicFramePr>
              <a:graphicFrameLocks noChangeAspect="1"/>
            </wp:cNvGraphicFramePr>
            <a:graphic>
              <a:graphicData uri="http://schemas.openxmlformats.org/drawingml/2006/picture">
                <pic:pic>
                  <pic:nvPicPr>
                    <pic:cNvPr id="0" name="p5_d3_imbalance.png"/>
                    <pic:cNvPicPr/>
                  </pic:nvPicPr>
                  <pic:blipFill>
                    <a:blip r:embed="rId14"/>
                    <a:stretch>
                      <a:fillRect/>
                    </a:stretch>
                  </pic:blipFill>
                  <pic:spPr>
                    <a:xfrm>
                      <a:off x="0" y="0"/>
                      <a:ext cx="5400000" cy="3450647"/>
                    </a:xfrm>
                    <a:prstGeom prst="rect"/>
                  </pic:spPr>
                </pic:pic>
              </a:graphicData>
            </a:graphic>
          </wp:inline>
        </w:drawing>
      </w:r>
    </w:p>
    <w:p>
      <w:pPr>
        <w:spacing w:before="40" w:after="160" w:line="240" w:lineRule="auto"/>
        <w:jc w:val="center"/>
      </w:pPr>
      <w:r>
        <w:rPr>
          <w:rFonts w:ascii="Times New Roman" w:hAnsi="Times New Roman" w:eastAsia="黑体"/>
          <w:b w:val="0"/>
          <w:sz w:val="21"/>
        </w:rPr>
        <w:t>图 6  混淆矩阵与分类别性能指标</w:t>
      </w:r>
    </w:p>
    <w:p>
      <w:pPr>
        <w:keepNext/>
        <w:spacing w:before="160" w:after="80" w:line="360" w:lineRule="auto"/>
        <w:jc w:val="left"/>
      </w:pPr>
      <w:r>
        <w:rPr>
          <w:rFonts w:ascii="Times New Roman" w:hAnsi="Times New Roman" w:eastAsia="黑体"/>
          <w:b w:val="0"/>
          <w:sz w:val="28"/>
        </w:rPr>
        <w:t>5.4  模型比较的统计检验方法</w:t>
      </w:r>
    </w:p>
    <w:p>
      <w:pPr>
        <w:spacing w:before="0" w:after="0" w:line="360" w:lineRule="auto"/>
        <w:ind w:firstLine="480"/>
        <w:jc w:val="both"/>
      </w:pPr>
      <w:r>
        <w:rPr>
          <w:rFonts w:ascii="Times New Roman" w:hAnsi="Times New Roman" w:eastAsia="宋体"/>
          <w:b w:val="0"/>
          <w:sz w:val="24"/>
        </w:rPr>
        <w:t>对交叉验证结果直接做配对 t 检验会低估方差，因此 1.29 个百分点的提升需要更稳健的检验方法。10 折交叉验证的各折训练集高度重叠，违反独立性假设，会低估方差、放大第一类错误[13]；规范做法是采用 5×2 折交叉验证配对 t 检验，其统计量如式（4）所示，其中 d 为第 i 次重复第 j 折的性能差、s² 为第 i 次重复的方差估计，统计量近似服从自由度为 5 的 t 分布。</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t=</m:t>
              </m:r>
              <m:f>
                <m:fPr>
                  <m:type m:val="bar"/>
                </m:fPr>
                <m:num>
                  <m:sSubSup>
                    <m:e>
                      <m:r>
                        <m:t xml:space="preserve">d</m:t>
                      </m:r>
                    </m:e>
                    <m:sub>
                      <m:r>
                        <m:t xml:space="preserve">1</m:t>
                      </m:r>
                    </m:sub>
                    <m:sup>
                      <m:r>
                        <m:t xml:space="preserve">(1)</m:t>
                      </m:r>
                    </m:sup>
                  </m:sSubSup>
                </m:num>
                <m:den>
                  <m:rad>
                    <m:radPr>
                      <m:degHide m:val="1"/>
                    </m:radPr>
                    <m:deg/>
                    <m:e>
                      <m:f>
                        <m:fPr>
                          <m:type m:val="bar"/>
                        </m:fPr>
                        <m:num>
                          <m:r>
                            <m:t xml:space="preserve">1</m:t>
                          </m:r>
                        </m:num>
                        <m:den>
                          <m:r>
                            <m:t xml:space="preserve">5</m:t>
                          </m:r>
                        </m:den>
                      </m:f>
                      <m:nary>
                        <m:naryPr>
                          <m:chr m:val="∑"/>
                          <m:limLoc m:val="undOvr"/>
                          <m:grow m:val="1"/>
                        </m:naryPr>
                        <m:sub>
                          <m:r>
                            <m:t xml:space="preserve">i=1</m:t>
                          </m:r>
                        </m:sub>
                        <m:sup>
                          <m:r>
                            <m:t xml:space="preserve">5</m:t>
                          </m:r>
                        </m:sup>
                        <m:e/>
                      </m:nary>
                      <m:sSubSup>
                        <m:e>
                          <m:r>
                            <m:t xml:space="preserve">s</m:t>
                          </m:r>
                        </m:e>
                        <m:sub>
                          <m:r>
                            <m:t xml:space="preserve">i</m:t>
                          </m:r>
                        </m:sub>
                        <m:sup>
                          <m:r>
                            <m:t xml:space="preserve">2</m:t>
                          </m:r>
                        </m:sup>
                      </m:sSubSup>
                    </m:e>
                  </m:rad>
                </m:den>
              </m:f>
            </m:oMath>
          </w:p>
        </w:tc>
        <w:tc>
          <w:tcPr>
            <w:tcW w:type="dxa" w:w="1134"/>
          </w:tcPr>
          <w:p>
            <w:pPr>
              <w:spacing w:before="120" w:after="120" w:line="360" w:lineRule="auto"/>
              <w:jc w:val="right"/>
            </w:pPr>
            <w:r>
              <w:rPr>
                <w:rFonts w:ascii="Times New Roman" w:hAnsi="Times New Roman" w:eastAsia="宋体"/>
                <w:b w:val="0"/>
                <w:sz w:val="24"/>
              </w:rPr>
              <w:t>（4）</w:t>
            </w:r>
          </w:p>
        </w:tc>
      </w:tr>
    </w:tbl>
    <w:p>
      <w:pPr>
        <w:spacing w:before="0" w:after="0" w:line="360" w:lineRule="auto"/>
        <w:ind w:firstLine="480"/>
        <w:jc w:val="both"/>
      </w:pPr>
      <w:r>
        <w:rPr>
          <w:rFonts w:ascii="Times New Roman" w:hAnsi="Times New Roman" w:eastAsia="宋体"/>
          <w:b w:val="0"/>
          <w:sz w:val="24"/>
        </w:rPr>
        <w:t>三种检验方案的比较如表 9 所示，此外还需改进评估流程以避免选择性偏差。第 4.1 节的特征筛选与第 4.2 节的模型评估使用了同一份数据且折数不一致，规范做法是采用嵌套交叉验证——外层用于性能估计、内层用于特征筛选与超参数调优，或划分独立的留出测试集并在全流程最后只使用一次[16]。</w:t>
      </w:r>
    </w:p>
    <w:p>
      <w:pPr>
        <w:keepNext/>
        <w:spacing w:before="160" w:after="40" w:line="240" w:lineRule="auto"/>
        <w:jc w:val="center"/>
      </w:pPr>
      <w:r>
        <w:rPr>
          <w:rFonts w:ascii="Times New Roman" w:hAnsi="Times New Roman" w:eastAsia="黑体"/>
          <w:b w:val="0"/>
          <w:sz w:val="21"/>
        </w:rPr>
        <w:t>表 9  模型比较的统计检验方案对比</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260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检验方案</w:t>
            </w:r>
          </w:p>
        </w:tc>
        <w:tc>
          <w:tcPr>
            <w:tcW w:type="dxa" w:w="30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适用性</w:t>
            </w:r>
          </w:p>
        </w:tc>
        <w:tc>
          <w:tcPr>
            <w:tcW w:type="dxa" w:w="226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在合成数据集上的结果</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建议</w:t>
            </w:r>
          </w:p>
        </w:tc>
      </w:tr>
      <w:tr>
        <w:tc>
          <w:tcPr>
            <w:tcW w:type="dxa" w:w="2608"/>
          </w:tcPr>
          <w:p>
            <w:pPr>
              <w:spacing w:before="40" w:after="40" w:line="240" w:lineRule="auto"/>
              <w:jc w:val="left"/>
            </w:pPr>
            <w:r/>
            <w:r>
              <w:rPr>
                <w:rFonts w:ascii="Times New Roman" w:hAnsi="Times New Roman" w:eastAsia="宋体"/>
                <w:b w:val="0"/>
                <w:sz w:val="18"/>
              </w:rPr>
              <w:t>10 折交叉验证配对 t 检验</w:t>
            </w:r>
          </w:p>
        </w:tc>
        <w:tc>
          <w:tcPr>
            <w:tcW w:type="dxa" w:w="3061"/>
          </w:tcPr>
          <w:p>
            <w:pPr>
              <w:spacing w:before="40" w:after="40" w:line="240" w:lineRule="auto"/>
              <w:jc w:val="center"/>
            </w:pPr>
            <w:r/>
            <w:r>
              <w:rPr>
                <w:rFonts w:ascii="Times New Roman" w:hAnsi="Times New Roman" w:eastAsia="宋体"/>
                <w:b w:val="0"/>
                <w:sz w:val="18"/>
              </w:rPr>
              <w:t>训练集重叠，方差被低估，第一类错误偏高</w:t>
            </w:r>
          </w:p>
        </w:tc>
        <w:tc>
          <w:tcPr>
            <w:tcW w:type="dxa" w:w="2268"/>
          </w:tcPr>
          <w:p>
            <w:pPr>
              <w:spacing w:before="40" w:after="40" w:line="240" w:lineRule="auto"/>
              <w:jc w:val="center"/>
            </w:pPr>
            <w:r/>
            <w:r>
              <w:rPr>
                <w:rFonts w:ascii="Times New Roman" w:hAnsi="Times New Roman" w:eastAsia="宋体"/>
                <w:b w:val="0"/>
                <w:sz w:val="18"/>
              </w:rPr>
              <w:t>t=-8.316, p=0.0000</w:t>
            </w:r>
          </w:p>
        </w:tc>
        <w:tc>
          <w:tcPr>
            <w:tcW w:type="dxa" w:w="1701"/>
          </w:tcPr>
          <w:p>
            <w:pPr>
              <w:spacing w:before="40" w:after="40" w:line="240" w:lineRule="auto"/>
              <w:jc w:val="center"/>
            </w:pPr>
            <w:r/>
            <w:r>
              <w:rPr>
                <w:rFonts w:ascii="Times New Roman" w:hAnsi="Times New Roman" w:eastAsia="宋体"/>
                <w:b w:val="0"/>
                <w:sz w:val="18"/>
              </w:rPr>
              <w:t>不建议单独使用</w:t>
            </w:r>
          </w:p>
        </w:tc>
      </w:tr>
      <w:tr>
        <w:tc>
          <w:tcPr>
            <w:tcW w:type="dxa" w:w="2608"/>
          </w:tcPr>
          <w:p>
            <w:pPr>
              <w:spacing w:before="40" w:after="40" w:line="240" w:lineRule="auto"/>
              <w:jc w:val="left"/>
            </w:pPr>
            <w:r/>
            <w:r>
              <w:rPr>
                <w:rFonts w:ascii="Times New Roman" w:hAnsi="Times New Roman" w:eastAsia="宋体"/>
                <w:b w:val="0"/>
                <w:sz w:val="18"/>
              </w:rPr>
              <w:t>5×2 折交叉验证配对 t 检验</w:t>
            </w:r>
          </w:p>
        </w:tc>
        <w:tc>
          <w:tcPr>
            <w:tcW w:type="dxa" w:w="3061"/>
          </w:tcPr>
          <w:p>
            <w:pPr>
              <w:spacing w:before="40" w:after="40" w:line="240" w:lineRule="auto"/>
              <w:jc w:val="center"/>
            </w:pPr>
            <w:r/>
            <w:r>
              <w:rPr>
                <w:rFonts w:ascii="Times New Roman" w:hAnsi="Times New Roman" w:eastAsia="宋体"/>
                <w:b w:val="0"/>
                <w:sz w:val="18"/>
              </w:rPr>
              <w:t>两折互补、五次重复，方差估计更稳健</w:t>
            </w:r>
          </w:p>
        </w:tc>
        <w:tc>
          <w:tcPr>
            <w:tcW w:type="dxa" w:w="2268"/>
          </w:tcPr>
          <w:p>
            <w:pPr>
              <w:spacing w:before="40" w:after="40" w:line="240" w:lineRule="auto"/>
              <w:jc w:val="center"/>
            </w:pPr>
            <w:r/>
            <w:r>
              <w:rPr>
                <w:rFonts w:ascii="Times New Roman" w:hAnsi="Times New Roman" w:eastAsia="宋体"/>
                <w:b w:val="0"/>
                <w:sz w:val="18"/>
              </w:rPr>
              <w:t>t=-2.579, p=0.0495</w:t>
            </w:r>
          </w:p>
        </w:tc>
        <w:tc>
          <w:tcPr>
            <w:tcW w:type="dxa" w:w="1701"/>
          </w:tcPr>
          <w:p>
            <w:pPr>
              <w:spacing w:before="40" w:after="40" w:line="240" w:lineRule="auto"/>
              <w:jc w:val="center"/>
            </w:pPr>
            <w:r/>
            <w:r>
              <w:rPr>
                <w:rFonts w:ascii="Times New Roman" w:hAnsi="Times New Roman" w:eastAsia="宋体"/>
                <w:b w:val="0"/>
                <w:sz w:val="18"/>
              </w:rPr>
              <w:t>推荐</w:t>
            </w:r>
          </w:p>
        </w:tc>
      </w:tr>
      <w:tr>
        <w:tc>
          <w:tcPr>
            <w:tcW w:type="dxa" w:w="2608"/>
            <w:tcBorders>
              <w:bottom w:val="single" w:sz="12" w:space="0" w:color="000000"/>
            </w:tcBorders>
          </w:tcPr>
          <w:p>
            <w:pPr>
              <w:spacing w:before="40" w:after="40" w:line="240" w:lineRule="auto"/>
              <w:jc w:val="left"/>
            </w:pPr>
            <w:r/>
            <w:r>
              <w:rPr>
                <w:rFonts w:ascii="Times New Roman" w:hAnsi="Times New Roman" w:eastAsia="宋体"/>
                <w:b w:val="0"/>
                <w:sz w:val="18"/>
              </w:rPr>
              <w:t>修正重采样 t 检验</w:t>
            </w:r>
          </w:p>
        </w:tc>
        <w:tc>
          <w:tcPr>
            <w:tcW w:type="dxa" w:w="3061"/>
            <w:tcBorders>
              <w:bottom w:val="single" w:sz="12" w:space="0" w:color="000000"/>
            </w:tcBorders>
          </w:tcPr>
          <w:p>
            <w:pPr>
              <w:spacing w:before="40" w:after="40" w:line="240" w:lineRule="auto"/>
              <w:jc w:val="center"/>
            </w:pPr>
            <w:r/>
            <w:r>
              <w:rPr>
                <w:rFonts w:ascii="Times New Roman" w:hAnsi="Times New Roman" w:eastAsia="宋体"/>
                <w:b w:val="0"/>
                <w:sz w:val="18"/>
              </w:rPr>
              <w:t>对重采样导致的方差低估做显式修正[14]</w:t>
            </w:r>
          </w:p>
        </w:tc>
        <w:tc>
          <w:tcPr>
            <w:tcW w:type="dxa" w:w="2268"/>
            <w:tcBorders>
              <w:bottom w:val="single" w:sz="12" w:space="0" w:color="000000"/>
            </w:tcBorders>
          </w:tcPr>
          <w:p>
            <w:pPr>
              <w:spacing w:before="40" w:after="40" w:line="240" w:lineRule="auto"/>
              <w:jc w:val="center"/>
            </w:pPr>
            <w:r/>
            <w:r>
              <w:rPr>
                <w:rFonts w:ascii="Times New Roman" w:hAnsi="Times New Roman" w:eastAsia="宋体"/>
                <w:b w:val="0"/>
                <w:sz w:val="18"/>
              </w:rPr>
              <w:t>未运行</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8"/>
              </w:rPr>
              <w:t>可作为补充</w:t>
            </w:r>
          </w:p>
        </w:tc>
      </w:tr>
    </w:tbl>
    <w:p>
      <w:pPr>
        <w:spacing w:before="40" w:after="160" w:line="240" w:lineRule="auto"/>
        <w:ind w:firstLine="0"/>
        <w:jc w:val="left"/>
      </w:pPr>
      <w:r>
        <w:rPr>
          <w:rFonts w:ascii="Times New Roman" w:hAnsi="Times New Roman" w:eastAsia="宋体"/>
          <w:b w:val="0"/>
          <w:sz w:val="18"/>
        </w:rPr>
        <w:t>注：合成数据集上的结果仅用于说明两种检验的差异形态，不代表原样本结论。</w:t>
      </w:r>
    </w:p>
    <w:p>
      <w:pPr>
        <w:spacing w:before="0" w:after="0" w:line="360" w:lineRule="auto"/>
        <w:ind w:firstLine="480"/>
        <w:jc w:val="both"/>
      </w:pPr>
      <w:r>
        <w:rPr>
          <w:rFonts w:ascii="Times New Roman" w:hAnsi="Times New Roman" w:eastAsia="宋体"/>
          <w:b w:val="0"/>
          <w:sz w:val="24"/>
        </w:rPr>
        <w:t>本文在合成数据集上复现剪枝方法时未能重现性能增益，这一结果如实报告并加以讨论。剪枝后准确率变化为 -4.78 个百分点，其含义是该剪枝方法的增益依赖于基分类器之间的同质化程度与聚类参数设定，并非普遍成立。合成数据的树间相关结构与真实专利数据不同，参数也未做针对性调优，因此不能据此否定原方法的有效性；但它反过来说明，1.29 个百分点的提升更需要用稳健的检验方法与充分的参数敏感性分析来支撑。</w:t>
      </w:r>
    </w:p>
    <w:p>
      <w:pPr>
        <w:keepNext/>
        <w:spacing w:before="160" w:after="80" w:line="360" w:lineRule="auto"/>
        <w:jc w:val="left"/>
      </w:pPr>
      <w:r>
        <w:rPr>
          <w:rFonts w:ascii="Times New Roman" w:hAnsi="Times New Roman" w:eastAsia="黑体"/>
          <w:b w:val="0"/>
          <w:sz w:val="28"/>
        </w:rPr>
        <w:t>5.5  引用截断偏差</w:t>
      </w:r>
    </w:p>
    <w:p>
      <w:pPr>
        <w:spacing w:before="0" w:after="0" w:line="360" w:lineRule="auto"/>
        <w:ind w:firstLine="480"/>
        <w:jc w:val="both"/>
      </w:pPr>
      <w:r>
        <w:rPr>
          <w:rFonts w:ascii="Times New Roman" w:hAnsi="Times New Roman" w:eastAsia="宋体"/>
          <w:b w:val="0"/>
          <w:sz w:val="24"/>
        </w:rPr>
        <w:t>引用与同族指标随专利年龄累积，未做年龄标准化会系统性低估近年专利，而近年专利恰恰是最受关注的技术前沿，如表 10 与图 7 所示。检验显示公开年与高价值占比的等级相关系数达 -0.986（p&lt;0.001），呈近乎完全的负相关；2010 年公开专利的高价值占比为 25.81%，2024 年仅 3.17%。</w:t>
      </w:r>
      <w:r>
        <w:rPr>
          <w:rFonts w:ascii="Times New Roman" w:hAnsi="Times New Roman" w:eastAsia="宋体"/>
          <w:b/>
          <w:sz w:val="24"/>
        </w:rPr>
        <w:t>这一梯度几乎完全由指标的时间累积特性造成，而非真实的技术质量下降。</w:t>
      </w:r>
      <w:r>
        <w:rPr>
          <w:rFonts w:ascii="Times New Roman" w:hAnsi="Times New Roman" w:eastAsia="宋体"/>
          <w:b w:val="0"/>
          <w:sz w:val="24"/>
        </w:rPr>
        <w:t>解决办法有两条：一是改用同年同分类大类内的分位数替代原始计数值进入标签构造，使不同年份的专利在各自的同期群内比较；二是在模型中显式控制专利年龄。前者更为彻底，建议优先采用。顺带说明，各聚类组的技术要点标引缺失率差异也可能主要由公开年份差异造成，控制年份后应重新检验。</w:t>
      </w:r>
    </w:p>
    <w:p>
      <w:pPr>
        <w:keepNext/>
        <w:spacing w:before="160" w:after="40" w:line="240" w:lineRule="auto"/>
        <w:jc w:val="center"/>
      </w:pPr>
      <w:r>
        <w:rPr>
          <w:rFonts w:ascii="Times New Roman" w:hAnsi="Times New Roman" w:eastAsia="黑体"/>
          <w:b w:val="0"/>
          <w:sz w:val="21"/>
        </w:rPr>
        <w:t>表 10  各公开年的高价值专利占比（合成数据集，方法学演示）</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473"/>
        <w:gridCol w:w="1473"/>
        <w:gridCol w:w="1473"/>
        <w:gridCol w:w="1473"/>
        <w:gridCol w:w="1473"/>
        <w:gridCol w:w="1473"/>
      </w:tblGrid>
      <w:tr>
        <w:tc>
          <w:tcPr>
            <w:tcW w:type="dxa" w:w="136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公开年</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高价值占比 / %</w:t>
            </w:r>
          </w:p>
        </w:tc>
        <w:tc>
          <w:tcPr>
            <w:tcW w:type="dxa" w:w="13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公开年</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高价值占比 / %</w:t>
            </w:r>
          </w:p>
        </w:tc>
        <w:tc>
          <w:tcPr>
            <w:tcW w:type="dxa" w:w="13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公开年</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高价值占比 / %</w:t>
            </w:r>
          </w:p>
        </w:tc>
      </w:tr>
      <w:tr>
        <w:tc>
          <w:tcPr>
            <w:tcW w:type="dxa" w:w="1361"/>
          </w:tcPr>
          <w:p>
            <w:pPr>
              <w:spacing w:before="40" w:after="40" w:line="240" w:lineRule="auto"/>
              <w:jc w:val="left"/>
            </w:pPr>
            <w:r/>
            <w:r>
              <w:rPr>
                <w:rFonts w:ascii="Times New Roman" w:hAnsi="Times New Roman" w:eastAsia="宋体"/>
                <w:b w:val="0"/>
                <w:sz w:val="19"/>
              </w:rPr>
              <w:t>2010</w:t>
            </w:r>
          </w:p>
        </w:tc>
        <w:tc>
          <w:tcPr>
            <w:tcW w:type="dxa" w:w="1701"/>
          </w:tcPr>
          <w:p>
            <w:pPr>
              <w:spacing w:before="40" w:after="40" w:line="240" w:lineRule="auto"/>
              <w:jc w:val="center"/>
            </w:pPr>
            <w:r/>
            <w:r>
              <w:rPr>
                <w:rFonts w:ascii="Times New Roman" w:hAnsi="Times New Roman" w:eastAsia="宋体"/>
                <w:b w:val="0"/>
                <w:sz w:val="19"/>
              </w:rPr>
              <w:t>25.81</w:t>
            </w:r>
          </w:p>
        </w:tc>
        <w:tc>
          <w:tcPr>
            <w:tcW w:type="dxa" w:w="1361"/>
          </w:tcPr>
          <w:p>
            <w:pPr>
              <w:spacing w:before="40" w:after="40" w:line="240" w:lineRule="auto"/>
              <w:jc w:val="center"/>
            </w:pPr>
            <w:r/>
            <w:r>
              <w:rPr>
                <w:rFonts w:ascii="Times New Roman" w:hAnsi="Times New Roman" w:eastAsia="宋体"/>
                <w:b w:val="0"/>
                <w:sz w:val="19"/>
              </w:rPr>
              <w:t>2015</w:t>
            </w:r>
          </w:p>
        </w:tc>
        <w:tc>
          <w:tcPr>
            <w:tcW w:type="dxa" w:w="1701"/>
          </w:tcPr>
          <w:p>
            <w:pPr>
              <w:spacing w:before="40" w:after="40" w:line="240" w:lineRule="auto"/>
              <w:jc w:val="center"/>
            </w:pPr>
            <w:r/>
            <w:r>
              <w:rPr>
                <w:rFonts w:ascii="Times New Roman" w:hAnsi="Times New Roman" w:eastAsia="宋体"/>
                <w:b w:val="0"/>
                <w:sz w:val="19"/>
              </w:rPr>
              <w:t>14.45</w:t>
            </w:r>
          </w:p>
        </w:tc>
        <w:tc>
          <w:tcPr>
            <w:tcW w:type="dxa" w:w="1361"/>
          </w:tcPr>
          <w:p>
            <w:pPr>
              <w:spacing w:before="40" w:after="40" w:line="240" w:lineRule="auto"/>
              <w:jc w:val="center"/>
            </w:pPr>
            <w:r/>
            <w:r>
              <w:rPr>
                <w:rFonts w:ascii="Times New Roman" w:hAnsi="Times New Roman" w:eastAsia="宋体"/>
                <w:b w:val="0"/>
                <w:sz w:val="19"/>
              </w:rPr>
              <w:t>2020</w:t>
            </w:r>
          </w:p>
        </w:tc>
        <w:tc>
          <w:tcPr>
            <w:tcW w:type="dxa" w:w="1701"/>
          </w:tcPr>
          <w:p>
            <w:pPr>
              <w:spacing w:before="40" w:after="40" w:line="240" w:lineRule="auto"/>
              <w:jc w:val="center"/>
            </w:pPr>
            <w:r/>
            <w:r>
              <w:rPr>
                <w:rFonts w:ascii="Times New Roman" w:hAnsi="Times New Roman" w:eastAsia="宋体"/>
                <w:b w:val="0"/>
                <w:sz w:val="19"/>
              </w:rPr>
              <w:t>6.37</w:t>
            </w:r>
          </w:p>
        </w:tc>
      </w:tr>
      <w:tr>
        <w:tc>
          <w:tcPr>
            <w:tcW w:type="dxa" w:w="1361"/>
          </w:tcPr>
          <w:p>
            <w:pPr>
              <w:spacing w:before="40" w:after="40" w:line="240" w:lineRule="auto"/>
              <w:jc w:val="left"/>
            </w:pPr>
            <w:r/>
            <w:r>
              <w:rPr>
                <w:rFonts w:ascii="Times New Roman" w:hAnsi="Times New Roman" w:eastAsia="宋体"/>
                <w:b w:val="0"/>
                <w:sz w:val="19"/>
              </w:rPr>
              <w:t>2011</w:t>
            </w:r>
          </w:p>
        </w:tc>
        <w:tc>
          <w:tcPr>
            <w:tcW w:type="dxa" w:w="1701"/>
          </w:tcPr>
          <w:p>
            <w:pPr>
              <w:spacing w:before="40" w:after="40" w:line="240" w:lineRule="auto"/>
              <w:jc w:val="center"/>
            </w:pPr>
            <w:r/>
            <w:r>
              <w:rPr>
                <w:rFonts w:ascii="Times New Roman" w:hAnsi="Times New Roman" w:eastAsia="宋体"/>
                <w:b w:val="0"/>
                <w:sz w:val="19"/>
              </w:rPr>
              <w:t>22.32</w:t>
            </w:r>
          </w:p>
        </w:tc>
        <w:tc>
          <w:tcPr>
            <w:tcW w:type="dxa" w:w="1361"/>
          </w:tcPr>
          <w:p>
            <w:pPr>
              <w:spacing w:before="40" w:after="40" w:line="240" w:lineRule="auto"/>
              <w:jc w:val="center"/>
            </w:pPr>
            <w:r/>
            <w:r>
              <w:rPr>
                <w:rFonts w:ascii="Times New Roman" w:hAnsi="Times New Roman" w:eastAsia="宋体"/>
                <w:b w:val="0"/>
                <w:sz w:val="19"/>
              </w:rPr>
              <w:t>2016</w:t>
            </w:r>
          </w:p>
        </w:tc>
        <w:tc>
          <w:tcPr>
            <w:tcW w:type="dxa" w:w="1701"/>
          </w:tcPr>
          <w:p>
            <w:pPr>
              <w:spacing w:before="40" w:after="40" w:line="240" w:lineRule="auto"/>
              <w:jc w:val="center"/>
            </w:pPr>
            <w:r/>
            <w:r>
              <w:rPr>
                <w:rFonts w:ascii="Times New Roman" w:hAnsi="Times New Roman" w:eastAsia="宋体"/>
                <w:b w:val="0"/>
                <w:sz w:val="19"/>
              </w:rPr>
              <w:t>12.66</w:t>
            </w:r>
          </w:p>
        </w:tc>
        <w:tc>
          <w:tcPr>
            <w:tcW w:type="dxa" w:w="1361"/>
          </w:tcPr>
          <w:p>
            <w:pPr>
              <w:spacing w:before="40" w:after="40" w:line="240" w:lineRule="auto"/>
              <w:jc w:val="center"/>
            </w:pPr>
            <w:r/>
            <w:r>
              <w:rPr>
                <w:rFonts w:ascii="Times New Roman" w:hAnsi="Times New Roman" w:eastAsia="宋体"/>
                <w:b w:val="0"/>
                <w:sz w:val="19"/>
              </w:rPr>
              <w:t>2021</w:t>
            </w:r>
          </w:p>
        </w:tc>
        <w:tc>
          <w:tcPr>
            <w:tcW w:type="dxa" w:w="1701"/>
          </w:tcPr>
          <w:p>
            <w:pPr>
              <w:spacing w:before="40" w:after="40" w:line="240" w:lineRule="auto"/>
              <w:jc w:val="center"/>
            </w:pPr>
            <w:r/>
            <w:r>
              <w:rPr>
                <w:rFonts w:ascii="Times New Roman" w:hAnsi="Times New Roman" w:eastAsia="宋体"/>
                <w:b w:val="0"/>
                <w:sz w:val="19"/>
              </w:rPr>
              <w:t>4.55</w:t>
            </w:r>
          </w:p>
        </w:tc>
      </w:tr>
      <w:tr>
        <w:tc>
          <w:tcPr>
            <w:tcW w:type="dxa" w:w="1361"/>
          </w:tcPr>
          <w:p>
            <w:pPr>
              <w:spacing w:before="40" w:after="40" w:line="240" w:lineRule="auto"/>
              <w:jc w:val="left"/>
            </w:pPr>
            <w:r/>
            <w:r>
              <w:rPr>
                <w:rFonts w:ascii="Times New Roman" w:hAnsi="Times New Roman" w:eastAsia="宋体"/>
                <w:b w:val="0"/>
                <w:sz w:val="19"/>
              </w:rPr>
              <w:t>2012</w:t>
            </w:r>
          </w:p>
        </w:tc>
        <w:tc>
          <w:tcPr>
            <w:tcW w:type="dxa" w:w="1701"/>
          </w:tcPr>
          <w:p>
            <w:pPr>
              <w:spacing w:before="40" w:after="40" w:line="240" w:lineRule="auto"/>
              <w:jc w:val="center"/>
            </w:pPr>
            <w:r/>
            <w:r>
              <w:rPr>
                <w:rFonts w:ascii="Times New Roman" w:hAnsi="Times New Roman" w:eastAsia="宋体"/>
                <w:b w:val="0"/>
                <w:sz w:val="19"/>
              </w:rPr>
              <w:t>22.15</w:t>
            </w:r>
          </w:p>
        </w:tc>
        <w:tc>
          <w:tcPr>
            <w:tcW w:type="dxa" w:w="1361"/>
          </w:tcPr>
          <w:p>
            <w:pPr>
              <w:spacing w:before="40" w:after="40" w:line="240" w:lineRule="auto"/>
              <w:jc w:val="center"/>
            </w:pPr>
            <w:r/>
            <w:r>
              <w:rPr>
                <w:rFonts w:ascii="Times New Roman" w:hAnsi="Times New Roman" w:eastAsia="宋体"/>
                <w:b w:val="0"/>
                <w:sz w:val="19"/>
              </w:rPr>
              <w:t>2017</w:t>
            </w:r>
          </w:p>
        </w:tc>
        <w:tc>
          <w:tcPr>
            <w:tcW w:type="dxa" w:w="1701"/>
          </w:tcPr>
          <w:p>
            <w:pPr>
              <w:spacing w:before="40" w:after="40" w:line="240" w:lineRule="auto"/>
              <w:jc w:val="center"/>
            </w:pPr>
            <w:r/>
            <w:r>
              <w:rPr>
                <w:rFonts w:ascii="Times New Roman" w:hAnsi="Times New Roman" w:eastAsia="宋体"/>
                <w:b w:val="0"/>
                <w:sz w:val="19"/>
              </w:rPr>
              <w:t>8.96</w:t>
            </w:r>
          </w:p>
        </w:tc>
        <w:tc>
          <w:tcPr>
            <w:tcW w:type="dxa" w:w="1361"/>
          </w:tcPr>
          <w:p>
            <w:pPr>
              <w:spacing w:before="40" w:after="40" w:line="240" w:lineRule="auto"/>
              <w:jc w:val="center"/>
            </w:pPr>
            <w:r/>
            <w:r>
              <w:rPr>
                <w:rFonts w:ascii="Times New Roman" w:hAnsi="Times New Roman" w:eastAsia="宋体"/>
                <w:b w:val="0"/>
                <w:sz w:val="19"/>
              </w:rPr>
              <w:t>2022</w:t>
            </w:r>
          </w:p>
        </w:tc>
        <w:tc>
          <w:tcPr>
            <w:tcW w:type="dxa" w:w="1701"/>
          </w:tcPr>
          <w:p>
            <w:pPr>
              <w:spacing w:before="40" w:after="40" w:line="240" w:lineRule="auto"/>
              <w:jc w:val="center"/>
            </w:pPr>
            <w:r/>
            <w:r>
              <w:rPr>
                <w:rFonts w:ascii="Times New Roman" w:hAnsi="Times New Roman" w:eastAsia="宋体"/>
                <w:b w:val="0"/>
                <w:sz w:val="19"/>
              </w:rPr>
              <w:t>4.84</w:t>
            </w:r>
          </w:p>
        </w:tc>
      </w:tr>
      <w:tr>
        <w:tc>
          <w:tcPr>
            <w:tcW w:type="dxa" w:w="1361"/>
          </w:tcPr>
          <w:p>
            <w:pPr>
              <w:spacing w:before="40" w:after="40" w:line="240" w:lineRule="auto"/>
              <w:jc w:val="left"/>
            </w:pPr>
            <w:r/>
            <w:r>
              <w:rPr>
                <w:rFonts w:ascii="Times New Roman" w:hAnsi="Times New Roman" w:eastAsia="宋体"/>
                <w:b w:val="0"/>
                <w:sz w:val="19"/>
              </w:rPr>
              <w:t>2013</w:t>
            </w:r>
          </w:p>
        </w:tc>
        <w:tc>
          <w:tcPr>
            <w:tcW w:type="dxa" w:w="1701"/>
          </w:tcPr>
          <w:p>
            <w:pPr>
              <w:spacing w:before="40" w:after="40" w:line="240" w:lineRule="auto"/>
              <w:jc w:val="center"/>
            </w:pPr>
            <w:r/>
            <w:r>
              <w:rPr>
                <w:rFonts w:ascii="Times New Roman" w:hAnsi="Times New Roman" w:eastAsia="宋体"/>
                <w:b w:val="0"/>
                <w:sz w:val="19"/>
              </w:rPr>
              <w:t>21.58</w:t>
            </w:r>
          </w:p>
        </w:tc>
        <w:tc>
          <w:tcPr>
            <w:tcW w:type="dxa" w:w="1361"/>
          </w:tcPr>
          <w:p>
            <w:pPr>
              <w:spacing w:before="40" w:after="40" w:line="240" w:lineRule="auto"/>
              <w:jc w:val="center"/>
            </w:pPr>
            <w:r/>
            <w:r>
              <w:rPr>
                <w:rFonts w:ascii="Times New Roman" w:hAnsi="Times New Roman" w:eastAsia="宋体"/>
                <w:b w:val="0"/>
                <w:sz w:val="19"/>
              </w:rPr>
              <w:t>2018</w:t>
            </w:r>
          </w:p>
        </w:tc>
        <w:tc>
          <w:tcPr>
            <w:tcW w:type="dxa" w:w="1701"/>
          </w:tcPr>
          <w:p>
            <w:pPr>
              <w:spacing w:before="40" w:after="40" w:line="240" w:lineRule="auto"/>
              <w:jc w:val="center"/>
            </w:pPr>
            <w:r/>
            <w:r>
              <w:rPr>
                <w:rFonts w:ascii="Times New Roman" w:hAnsi="Times New Roman" w:eastAsia="宋体"/>
                <w:b w:val="0"/>
                <w:sz w:val="19"/>
              </w:rPr>
              <w:t>11.66</w:t>
            </w:r>
          </w:p>
        </w:tc>
        <w:tc>
          <w:tcPr>
            <w:tcW w:type="dxa" w:w="1361"/>
          </w:tcPr>
          <w:p>
            <w:pPr>
              <w:spacing w:before="40" w:after="40" w:line="240" w:lineRule="auto"/>
              <w:jc w:val="center"/>
            </w:pPr>
            <w:r/>
            <w:r>
              <w:rPr>
                <w:rFonts w:ascii="Times New Roman" w:hAnsi="Times New Roman" w:eastAsia="宋体"/>
                <w:b w:val="0"/>
                <w:sz w:val="19"/>
              </w:rPr>
              <w:t>2023</w:t>
            </w:r>
          </w:p>
        </w:tc>
        <w:tc>
          <w:tcPr>
            <w:tcW w:type="dxa" w:w="1701"/>
          </w:tcPr>
          <w:p>
            <w:pPr>
              <w:spacing w:before="40" w:after="40" w:line="240" w:lineRule="auto"/>
              <w:jc w:val="center"/>
            </w:pPr>
            <w:r/>
            <w:r>
              <w:rPr>
                <w:rFonts w:ascii="Times New Roman" w:hAnsi="Times New Roman" w:eastAsia="宋体"/>
                <w:b w:val="0"/>
                <w:sz w:val="19"/>
              </w:rPr>
              <w:t>3.45</w:t>
            </w:r>
          </w:p>
        </w:tc>
      </w:tr>
      <w:tr>
        <w:tc>
          <w:tcPr>
            <w:tcW w:type="dxa" w:w="1361"/>
            <w:tcBorders>
              <w:bottom w:val="single" w:sz="12" w:space="0" w:color="000000"/>
            </w:tcBorders>
          </w:tcPr>
          <w:p>
            <w:pPr>
              <w:spacing w:before="40" w:after="40" w:line="240" w:lineRule="auto"/>
              <w:jc w:val="left"/>
            </w:pPr>
            <w:r/>
            <w:r>
              <w:rPr>
                <w:rFonts w:ascii="Times New Roman" w:hAnsi="Times New Roman" w:eastAsia="宋体"/>
                <w:b w:val="0"/>
                <w:sz w:val="19"/>
              </w:rPr>
              <w:t>2014</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16.67</w:t>
            </w:r>
          </w:p>
        </w:tc>
        <w:tc>
          <w:tcPr>
            <w:tcW w:type="dxa" w:w="1361"/>
            <w:tcBorders>
              <w:bottom w:val="single" w:sz="12" w:space="0" w:color="000000"/>
            </w:tcBorders>
          </w:tcPr>
          <w:p>
            <w:pPr>
              <w:spacing w:before="40" w:after="40" w:line="240" w:lineRule="auto"/>
              <w:jc w:val="center"/>
            </w:pPr>
            <w:r/>
            <w:r>
              <w:rPr>
                <w:rFonts w:ascii="Times New Roman" w:hAnsi="Times New Roman" w:eastAsia="宋体"/>
                <w:b w:val="0"/>
                <w:sz w:val="19"/>
              </w:rPr>
              <w:t>2019</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9.43</w:t>
            </w:r>
          </w:p>
        </w:tc>
        <w:tc>
          <w:tcPr>
            <w:tcW w:type="dxa" w:w="1361"/>
            <w:tcBorders>
              <w:bottom w:val="single" w:sz="12" w:space="0" w:color="000000"/>
            </w:tcBorders>
          </w:tcPr>
          <w:p>
            <w:pPr>
              <w:spacing w:before="40" w:after="40" w:line="240" w:lineRule="auto"/>
              <w:jc w:val="center"/>
            </w:pPr>
            <w:r/>
            <w:r>
              <w:rPr>
                <w:rFonts w:ascii="Times New Roman" w:hAnsi="Times New Roman" w:eastAsia="宋体"/>
                <w:b w:val="0"/>
                <w:sz w:val="19"/>
              </w:rPr>
              <w:t>2024</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3.17</w:t>
            </w:r>
          </w:p>
        </w:tc>
      </w:tr>
    </w:tbl>
    <w:p>
      <w:pPr>
        <w:spacing w:before="40" w:after="160" w:line="240" w:lineRule="auto"/>
        <w:ind w:firstLine="0"/>
        <w:jc w:val="left"/>
      </w:pPr>
      <w:r>
        <w:rPr>
          <w:rFonts w:ascii="Times New Roman" w:hAnsi="Times New Roman" w:eastAsia="宋体"/>
          <w:b w:val="0"/>
          <w:sz w:val="18"/>
        </w:rPr>
        <w:t>注：公开年与高价值占比的等级相关系数 ρ=-0.986（p&lt;0.001）。本表数值来自植入了引用累积效应的合成数据集，用于演示该偏差的量级与形态。</w:t>
      </w:r>
    </w:p>
    <w:p>
      <w:pPr>
        <w:keepNext/>
        <w:spacing w:before="120" w:after="0" w:line="240" w:lineRule="auto"/>
        <w:jc w:val="center"/>
      </w:pPr>
      <w:r>
        <w:drawing>
          <wp:inline xmlns:a="http://schemas.openxmlformats.org/drawingml/2006/main" xmlns:pic="http://schemas.openxmlformats.org/drawingml/2006/picture">
            <wp:extent cx="4500000" cy="3025914"/>
            <wp:docPr id="7" name="Picture 7"/>
            <wp:cNvGraphicFramePr>
              <a:graphicFrameLocks noChangeAspect="1"/>
            </wp:cNvGraphicFramePr>
            <a:graphic>
              <a:graphicData uri="http://schemas.openxmlformats.org/drawingml/2006/picture">
                <pic:pic>
                  <pic:nvPicPr>
                    <pic:cNvPr id="0" name="p5_d4_truncation.png"/>
                    <pic:cNvPicPr/>
                  </pic:nvPicPr>
                  <pic:blipFill>
                    <a:blip r:embed="rId15"/>
                    <a:stretch>
                      <a:fillRect/>
                    </a:stretch>
                  </pic:blipFill>
                  <pic:spPr>
                    <a:xfrm>
                      <a:off x="0" y="0"/>
                      <a:ext cx="4500000" cy="3025914"/>
                    </a:xfrm>
                    <a:prstGeom prst="rect"/>
                  </pic:spPr>
                </pic:pic>
              </a:graphicData>
            </a:graphic>
          </wp:inline>
        </w:drawing>
      </w:r>
    </w:p>
    <w:p>
      <w:pPr>
        <w:spacing w:before="40" w:after="160" w:line="240" w:lineRule="auto"/>
        <w:jc w:val="center"/>
      </w:pPr>
      <w:r>
        <w:rPr>
          <w:rFonts w:ascii="Times New Roman" w:hAnsi="Times New Roman" w:eastAsia="黑体"/>
          <w:b w:val="0"/>
          <w:sz w:val="21"/>
        </w:rPr>
        <w:t>图 7  引用截断偏差：高价值占比随公开年的系统性下降</w:t>
      </w:r>
    </w:p>
    <w:p>
      <w:pPr>
        <w:keepNext/>
        <w:spacing w:before="240" w:after="120" w:line="360" w:lineRule="auto"/>
        <w:jc w:val="left"/>
      </w:pPr>
      <w:r>
        <w:rPr>
          <w:rFonts w:ascii="Times New Roman" w:hAnsi="Times New Roman" w:eastAsia="黑体"/>
          <w:b/>
          <w:sz w:val="30"/>
        </w:rPr>
        <w:t>6  面向专卖管理的应用路径</w:t>
      </w:r>
    </w:p>
    <w:p>
      <w:pPr>
        <w:keepNext/>
        <w:spacing w:before="160" w:after="80" w:line="360" w:lineRule="auto"/>
        <w:jc w:val="left"/>
      </w:pPr>
      <w:r>
        <w:rPr>
          <w:rFonts w:ascii="Times New Roman" w:hAnsi="Times New Roman" w:eastAsia="黑体"/>
          <w:b w:val="0"/>
          <w:sz w:val="28"/>
        </w:rPr>
        <w:t>6.1  价值分层与技术赛道的耦合</w:t>
      </w:r>
    </w:p>
    <w:p>
      <w:pPr>
        <w:spacing w:before="0" w:after="0" w:line="360" w:lineRule="auto"/>
        <w:ind w:firstLine="480"/>
        <w:jc w:val="both"/>
      </w:pPr>
      <w:r>
        <w:rPr>
          <w:rFonts w:ascii="Times New Roman" w:hAnsi="Times New Roman" w:eastAsia="宋体"/>
          <w:b w:val="0"/>
          <w:sz w:val="24"/>
        </w:rPr>
        <w:t>价值分层与技术赛道高度耦合，越靠近产业链上游的材料与核心元件价值密度越高，如图 8 所示。极高价值尖端集群与高价值核心集群主要覆盖烟草发烟基质、电阻式加热元件两大方向；中价值过渡集群集中于烟草提取工艺与烟气组分调控；基础外围集群以烟具外观结构、连接装配等浅表改良为主。这一耦合关系为技术态势研判提供了直接依据。</w:t>
      </w:r>
    </w:p>
    <w:p>
      <w:pPr>
        <w:keepNext/>
        <w:spacing w:before="120" w:after="0" w:line="240" w:lineRule="auto"/>
        <w:jc w:val="center"/>
      </w:pPr>
      <w:r>
        <w:drawing>
          <wp:inline xmlns:a="http://schemas.openxmlformats.org/drawingml/2006/main" xmlns:pic="http://schemas.openxmlformats.org/drawingml/2006/picture">
            <wp:extent cx="5220000" cy="2665026"/>
            <wp:docPr id="8" name="Picture 8"/>
            <wp:cNvGraphicFramePr>
              <a:graphicFrameLocks noChangeAspect="1"/>
            </wp:cNvGraphicFramePr>
            <a:graphic>
              <a:graphicData uri="http://schemas.openxmlformats.org/drawingml/2006/picture">
                <pic:pic>
                  <pic:nvPicPr>
                    <pic:cNvPr id="0" name="p5_c4_layering.png"/>
                    <pic:cNvPicPr/>
                  </pic:nvPicPr>
                  <pic:blipFill>
                    <a:blip r:embed="rId16"/>
                    <a:stretch>
                      <a:fillRect/>
                    </a:stretch>
                  </pic:blipFill>
                  <pic:spPr>
                    <a:xfrm>
                      <a:off x="0" y="0"/>
                      <a:ext cx="5220000" cy="2665026"/>
                    </a:xfrm>
                    <a:prstGeom prst="rect"/>
                  </pic:spPr>
                </pic:pic>
              </a:graphicData>
            </a:graphic>
          </wp:inline>
        </w:drawing>
      </w:r>
    </w:p>
    <w:p>
      <w:pPr>
        <w:spacing w:before="40" w:after="160" w:line="240" w:lineRule="auto"/>
        <w:jc w:val="center"/>
      </w:pPr>
      <w:r>
        <w:rPr>
          <w:rFonts w:ascii="Times New Roman" w:hAnsi="Times New Roman" w:eastAsia="黑体"/>
          <w:b w:val="0"/>
          <w:sz w:val="21"/>
        </w:rPr>
        <w:t>图 8  价值分层与技术赛道的耦合关系</w:t>
      </w:r>
    </w:p>
    <w:p>
      <w:pPr>
        <w:keepNext/>
        <w:spacing w:before="160" w:after="80" w:line="360" w:lineRule="auto"/>
        <w:jc w:val="left"/>
      </w:pPr>
      <w:r>
        <w:rPr>
          <w:rFonts w:ascii="Times New Roman" w:hAnsi="Times New Roman" w:eastAsia="黑体"/>
          <w:b w:val="0"/>
          <w:sz w:val="28"/>
        </w:rPr>
        <w:t>6.2  应用出口的重新定位</w:t>
      </w:r>
    </w:p>
    <w:p>
      <w:pPr>
        <w:spacing w:before="0" w:after="0" w:line="360" w:lineRule="auto"/>
        <w:ind w:firstLine="480"/>
        <w:jc w:val="both"/>
      </w:pPr>
      <w:r>
        <w:rPr>
          <w:rFonts w:ascii="Times New Roman" w:hAnsi="Times New Roman" w:eastAsia="宋体"/>
          <w:b w:val="0"/>
          <w:sz w:val="24"/>
        </w:rPr>
        <w:t>研究成果的应用出口应回到专卖管理职能上，这是本文对原有结论的一项实质性调整。常见的研发方向调整与产学研攻关类建议存在明显的执行障碍：建议对象是工业企业研发部门，而依托单位的法定职能是专卖管理而非技术研发；加之加热卷烟纳入卷烟管理、电子烟实行专卖管制[17]，研发立项类建议在专卖管理单位没有执行接口。本文提出三条与专卖管理职能相衔接的通路，如图 9 所示。</w:t>
      </w:r>
    </w:p>
    <w:p>
      <w:pPr>
        <w:keepNext/>
        <w:spacing w:before="120" w:after="0" w:line="240" w:lineRule="auto"/>
        <w:jc w:val="center"/>
      </w:pPr>
      <w:r>
        <w:drawing>
          <wp:inline xmlns:a="http://schemas.openxmlformats.org/drawingml/2006/main" xmlns:pic="http://schemas.openxmlformats.org/drawingml/2006/picture">
            <wp:extent cx="5580000" cy="2641547"/>
            <wp:docPr id="9" name="Picture 9"/>
            <wp:cNvGraphicFramePr>
              <a:graphicFrameLocks noChangeAspect="1"/>
            </wp:cNvGraphicFramePr>
            <a:graphic>
              <a:graphicData uri="http://schemas.openxmlformats.org/drawingml/2006/picture">
                <pic:pic>
                  <pic:nvPicPr>
                    <pic:cNvPr id="0" name="p5_c5_application.png"/>
                    <pic:cNvPicPr/>
                  </pic:nvPicPr>
                  <pic:blipFill>
                    <a:blip r:embed="rId17"/>
                    <a:stretch>
                      <a:fillRect/>
                    </a:stretch>
                  </pic:blipFill>
                  <pic:spPr>
                    <a:xfrm>
                      <a:off x="0" y="0"/>
                      <a:ext cx="5580000" cy="2641547"/>
                    </a:xfrm>
                    <a:prstGeom prst="rect"/>
                  </pic:spPr>
                </pic:pic>
              </a:graphicData>
            </a:graphic>
          </wp:inline>
        </w:drawing>
      </w:r>
    </w:p>
    <w:p>
      <w:pPr>
        <w:spacing w:before="40" w:after="160" w:line="240" w:lineRule="auto"/>
        <w:jc w:val="center"/>
      </w:pPr>
      <w:r>
        <w:rPr>
          <w:rFonts w:ascii="Times New Roman" w:hAnsi="Times New Roman" w:eastAsia="黑体"/>
          <w:b w:val="0"/>
          <w:sz w:val="21"/>
        </w:rPr>
        <w:t>图 9  面向专卖管理的应用路径</w:t>
      </w:r>
    </w:p>
    <w:p>
      <w:pPr>
        <w:spacing w:before="0" w:after="0" w:line="360" w:lineRule="auto"/>
        <w:ind w:firstLine="480"/>
        <w:jc w:val="both"/>
      </w:pPr>
      <w:r>
        <w:rPr>
          <w:rFonts w:ascii="Times New Roman" w:hAnsi="Times New Roman" w:eastAsia="宋体"/>
          <w:b w:val="0"/>
          <w:sz w:val="24"/>
        </w:rPr>
        <w:t>第一条通路是海外核心专利壁垒预警，它直接利用模型的批量分级能力而不依赖对真实价值的强主张。以本模型批量筛出境外主要烟草企业的高价值专利族，结合分类号与技术关键词绘制技术封锁点分布，为行业主管部门研判国际竞争态势提供量化输入。第二条通路是侵权风险排查，在工业企业新品出海前以目标市场的高价值专利集合为对照，比对拟出口产品的技术特征并输出风险清单与规避设计建议，其价值在于把筛查工作从全量专利收窄到高价值集合，大幅降低人工比对成本。第三条通路是非法制品技术特征溯源，这是与专卖稽查业务结合最紧密的一条：查获的非法新型烟草制品往往缺乏合法标识，认定与鉴别困难，而其核心技术特征（加热元件结构、基质配方类型、烟气调控方式）与专利文献中的技术方案存在对应关系，以本研究构建的技术赛道图谱为参照可辅助判断涉案物品的技术来源与类别归属。</w:t>
      </w:r>
    </w:p>
    <w:p>
      <w:pPr>
        <w:spacing w:before="0" w:after="0" w:line="360" w:lineRule="auto"/>
        <w:ind w:firstLine="480"/>
        <w:jc w:val="both"/>
      </w:pPr>
      <w:r>
        <w:rPr>
          <w:rFonts w:ascii="Times New Roman" w:hAnsi="Times New Roman" w:eastAsia="宋体"/>
          <w:b w:val="0"/>
          <w:sz w:val="24"/>
        </w:rPr>
        <w:t>第 4.3 节的价值分布结果还可直接用于存量专利分级维护决策，这是一项可立即落地的工作。低价值外围改良专利占比达 63.34%，若对这部分专利做维持费用测算并有序放弃，可显著降低专利资产的年度维护成本。</w:t>
      </w:r>
    </w:p>
    <w:p>
      <w:pPr>
        <w:keepNext/>
        <w:spacing w:before="240" w:after="120" w:line="360" w:lineRule="auto"/>
        <w:jc w:val="left"/>
      </w:pPr>
      <w:r>
        <w:rPr>
          <w:rFonts w:ascii="Times New Roman" w:hAnsi="Times New Roman" w:eastAsia="黑体"/>
          <w:b/>
          <w:sz w:val="30"/>
        </w:rPr>
        <w:t>7  结论与展望</w:t>
      </w:r>
    </w:p>
    <w:p>
      <w:pPr>
        <w:spacing w:before="0" w:after="0" w:line="360" w:lineRule="auto"/>
        <w:ind w:firstLine="480"/>
        <w:jc w:val="both"/>
      </w:pPr>
      <w:r>
        <w:rPr>
          <w:rFonts w:ascii="Times New Roman" w:hAnsi="Times New Roman" w:eastAsia="宋体"/>
          <w:b w:val="0"/>
          <w:sz w:val="24"/>
        </w:rPr>
        <w:t>在方法层面，密度聚类剪枝的随机森林模型分类准确率达 95.92%，可实现海量专利的批量价值分级，但其提升的显著性检验与评估流程需要改进。1.29 个百分点的提升约相当于 64 条专利的分级结果改变，其显著性应改用 5×2 折交叉验证配对 t 检验确认，特征筛选与性能评估应采用嵌套交叉验证以避免选择性偏差。</w:t>
      </w:r>
    </w:p>
    <w:p>
      <w:pPr>
        <w:spacing w:before="0" w:after="0" w:line="360" w:lineRule="auto"/>
        <w:ind w:firstLine="480"/>
        <w:jc w:val="both"/>
      </w:pPr>
      <w:r>
        <w:rPr>
          <w:rFonts w:ascii="Times New Roman" w:hAnsi="Times New Roman" w:eastAsia="宋体"/>
          <w:b w:val="0"/>
          <w:sz w:val="24"/>
        </w:rPr>
        <w:t>在效度层面，本文识别出三个必须处理的问题，其中第一个足以改变结论的表述方式。其一，价值标签与模型特征同源构成循环论证，消融实验显示剔除同源特征后准确率大幅下降至接近多数类基准水平，因此模型的准确表述应为“批量复现既定价值规则”而非“识别人工难以发现的高价值专利”。其二，在高价值专利仅占 5.87% 的极不平衡条件下总体准确率的信息量不足，必须补报分类别精确率、召回率、PR-AUC、MCC 与完整混淆矩阵。其三，引用与同族指标随专利年龄累积，未做年龄标准化会系统性低估近年专利，应改用同年同分类大类内的分位数进入标签构造。</w:t>
      </w:r>
    </w:p>
    <w:p>
      <w:pPr>
        <w:spacing w:before="0" w:after="0" w:line="360" w:lineRule="auto"/>
        <w:ind w:firstLine="480"/>
        <w:jc w:val="both"/>
      </w:pPr>
      <w:r>
        <w:rPr>
          <w:rFonts w:ascii="Times New Roman" w:hAnsi="Times New Roman" w:eastAsia="宋体"/>
          <w:b w:val="0"/>
          <w:sz w:val="24"/>
        </w:rPr>
        <w:t>在行业认识与应用层面，本文的结论指向一个与原有表述不同的成果定位。样本中低价值外围改良专利占比 63.34%、核心高价值专利占比不足 6%，高价值专利高度集中于烟草基质配方、核心加热元件等产业链上游赛道；而成果的应用出口应从研发立项建议调整为契合专卖管理职能的三条通路——海外核心专利壁垒预警、侵权风险排查与非法制品技术特征溯源，其中第三条与专卖稽查业务结合最为紧密。</w:t>
      </w:r>
    </w:p>
    <w:p>
      <w:pPr>
        <w:spacing w:before="0" w:after="0" w:line="360" w:lineRule="auto"/>
        <w:ind w:firstLine="480"/>
        <w:jc w:val="both"/>
      </w:pPr>
      <w:r>
        <w:rPr>
          <w:rFonts w:ascii="Times New Roman" w:hAnsi="Times New Roman" w:eastAsia="宋体"/>
          <w:b w:val="0"/>
          <w:sz w:val="24"/>
        </w:rPr>
        <w:t>后续研究应优先完成三项工作，其共同目标是把规则复现能力升级为价值识别能力。一是在原始专利数据上重跑本文第 5 章的三项检验，并按检验结果调整结论表述；二是引入专利维持年限、转让许可、质押、无效宣告等独立价值代理变量，建立不依赖于合成标签的外部效标；三是组织知识产权专家对留出样本做独立标注，计算专家间与人机间的一致性系数，为模型的实际可用性提供直接证据。在此基础上可进一步结合市场转化数据与监管政策要求开展交叉研究。</w:t>
      </w:r>
    </w:p>
    <w:p>
      <w:pPr>
        <w:keepNext/>
        <w:spacing w:before="240" w:after="120" w:line="360" w:lineRule="auto"/>
        <w:jc w:val="left"/>
      </w:pPr>
      <w:r>
        <w:rPr>
          <w:rFonts w:ascii="Times New Roman" w:hAnsi="Times New Roman" w:eastAsia="黑体"/>
          <w:b/>
          <w:sz w:val="30"/>
        </w:rPr>
        <w:t>参考文献</w:t>
      </w:r>
    </w:p>
    <w:p>
      <w:pPr>
        <w:spacing w:before="0" w:after="0" w:line="360" w:lineRule="auto"/>
        <w:ind w:firstLine="0"/>
        <w:jc w:val="both"/>
      </w:pPr>
      <w:r>
        <w:rPr>
          <w:rFonts w:ascii="Times New Roman" w:hAnsi="Times New Roman" w:eastAsia="宋体"/>
          <w:b w:val="0"/>
          <w:sz w:val="24"/>
        </w:rPr>
        <w:t>[1] Lanjouw J O, Schankerman M. Patent quality and research productivity: Measuring innovation with multiple indicators[J]. The Economic Journal, 2004, 114(495): 441-465.</w:t>
      </w:r>
    </w:p>
    <w:p>
      <w:pPr>
        <w:spacing w:before="0" w:after="0" w:line="360" w:lineRule="auto"/>
        <w:ind w:firstLine="0"/>
        <w:jc w:val="both"/>
      </w:pPr>
      <w:r>
        <w:rPr>
          <w:rFonts w:ascii="Times New Roman" w:hAnsi="Times New Roman" w:eastAsia="宋体"/>
          <w:b w:val="0"/>
          <w:sz w:val="24"/>
        </w:rPr>
        <w:t>[2] Breiman L. Random forests[J]. Machine Learning, 2001, 45(1): 5-32.</w:t>
      </w:r>
    </w:p>
    <w:p>
      <w:pPr>
        <w:spacing w:before="0" w:after="0" w:line="360" w:lineRule="auto"/>
        <w:ind w:firstLine="0"/>
        <w:jc w:val="both"/>
      </w:pPr>
      <w:r>
        <w:rPr>
          <w:rFonts w:ascii="Times New Roman" w:hAnsi="Times New Roman" w:eastAsia="宋体"/>
          <w:b w:val="0"/>
          <w:sz w:val="24"/>
        </w:rPr>
        <w:t>[3] 黄庆, 曹津燕, 瞿卫军, 等. 专利评价指标体系(一)——专利评价指标体系的设计和构建[J]. 知识产权, 2004(5): 25-28.</w:t>
      </w:r>
    </w:p>
    <w:p>
      <w:pPr>
        <w:spacing w:before="0" w:after="0" w:line="360" w:lineRule="auto"/>
        <w:ind w:firstLine="0"/>
        <w:jc w:val="both"/>
      </w:pPr>
      <w:r>
        <w:rPr>
          <w:rFonts w:ascii="Times New Roman" w:hAnsi="Times New Roman" w:eastAsia="宋体"/>
          <w:b w:val="0"/>
          <w:sz w:val="24"/>
        </w:rPr>
        <w:t>[4] 李振亚, 孟凡生, 曹霞. 专利三维评价指标体系研究[J]. 情报科学, 2010, 28(10): 1569-1573.</w:t>
      </w:r>
    </w:p>
    <w:p>
      <w:pPr>
        <w:spacing w:before="0" w:after="0" w:line="360" w:lineRule="auto"/>
        <w:ind w:firstLine="0"/>
        <w:jc w:val="both"/>
      </w:pPr>
      <w:r>
        <w:rPr>
          <w:rFonts w:ascii="Times New Roman" w:hAnsi="Times New Roman" w:eastAsia="宋体"/>
          <w:b w:val="0"/>
          <w:sz w:val="24"/>
        </w:rPr>
        <w:t>[5] 万小丽, 朱雪忠. 专利价值的评估指标体系及模糊综合评价[J]. 科研管理, 2008(2): 185-191.</w:t>
      </w:r>
    </w:p>
    <w:p>
      <w:pPr>
        <w:spacing w:before="0" w:after="0" w:line="360" w:lineRule="auto"/>
        <w:ind w:firstLine="0"/>
        <w:jc w:val="both"/>
      </w:pPr>
      <w:r>
        <w:rPr>
          <w:rFonts w:ascii="Times New Roman" w:hAnsi="Times New Roman" w:eastAsia="宋体"/>
          <w:b w:val="0"/>
          <w:sz w:val="24"/>
        </w:rPr>
        <w:t>[6] 赵蕴华, 张静, 李岩, 等. 基于机器学习的专利价值评估方法研究[J]. 情报科学, 2013, 31(12): 15-18.</w:t>
      </w:r>
    </w:p>
    <w:p>
      <w:pPr>
        <w:spacing w:before="0" w:after="0" w:line="360" w:lineRule="auto"/>
        <w:ind w:firstLine="0"/>
        <w:jc w:val="both"/>
      </w:pPr>
      <w:r>
        <w:rPr>
          <w:rFonts w:ascii="Times New Roman" w:hAnsi="Times New Roman" w:eastAsia="宋体"/>
          <w:b w:val="0"/>
          <w:sz w:val="24"/>
        </w:rPr>
        <w:t>[7] 杨美妮, 沈静, 张建军. 基于机器学习的专利质量评估研究[J]. 计算机与数字工程, 2019, 47(7): 1743-1747.</w:t>
      </w:r>
    </w:p>
    <w:p>
      <w:pPr>
        <w:spacing w:before="0" w:after="0" w:line="360" w:lineRule="auto"/>
        <w:ind w:firstLine="0"/>
        <w:jc w:val="both"/>
      </w:pPr>
      <w:r>
        <w:rPr>
          <w:rFonts w:ascii="Times New Roman" w:hAnsi="Times New Roman" w:eastAsia="宋体"/>
          <w:b w:val="0"/>
          <w:sz w:val="24"/>
        </w:rPr>
        <w:t>[8] 李玉, 王利, 周志平, 等. 基于 DBSCAN 聚类改进随机森林算法的专利价值评估方法[J]. 科学技术与工程, 2020, 20(14): 5673-5679.</w:t>
      </w:r>
    </w:p>
    <w:p>
      <w:pPr>
        <w:spacing w:before="0" w:after="0" w:line="360" w:lineRule="auto"/>
        <w:ind w:firstLine="0"/>
        <w:jc w:val="both"/>
      </w:pPr>
      <w:r>
        <w:rPr>
          <w:rFonts w:ascii="Times New Roman" w:hAnsi="Times New Roman" w:eastAsia="宋体"/>
          <w:b w:val="0"/>
          <w:sz w:val="24"/>
        </w:rPr>
        <w:t>[9] 刘亚丽, 王金棒, 郑新章, 等. 加热不燃烧烟草制品发展现状及展望[J]. 中国烟草学报, 2018, 24(4): 91-106.</w:t>
      </w:r>
    </w:p>
    <w:p>
      <w:pPr>
        <w:spacing w:before="0" w:after="0" w:line="360" w:lineRule="auto"/>
        <w:ind w:firstLine="0"/>
        <w:jc w:val="both"/>
      </w:pPr>
      <w:r>
        <w:rPr>
          <w:rFonts w:ascii="Times New Roman" w:hAnsi="Times New Roman" w:eastAsia="宋体"/>
          <w:b w:val="0"/>
          <w:sz w:val="24"/>
        </w:rPr>
        <w:t>[10] Kaufman S, Rosset S, Perlich C, et al. Leakage in data mining: Formulation, detection, and avoidance[J]. ACM Transactions on Knowledge Discovery from Data, 2012, 6(4): 1-21.</w:t>
      </w:r>
    </w:p>
    <w:p>
      <w:pPr>
        <w:spacing w:before="0" w:after="0" w:line="360" w:lineRule="auto"/>
        <w:ind w:firstLine="0"/>
        <w:jc w:val="both"/>
      </w:pPr>
      <w:r>
        <w:rPr>
          <w:rFonts w:ascii="Times New Roman" w:hAnsi="Times New Roman" w:eastAsia="宋体"/>
          <w:b w:val="0"/>
          <w:sz w:val="24"/>
        </w:rPr>
        <w:t>[11] Saito T, Rehmsmeier M. The precision-recall plot is more informative than the ROC plot when evaluating binary classifiers on imbalanced datasets[J]. PLoS ONE, 2015, 10(3): e0118432.</w:t>
      </w:r>
    </w:p>
    <w:p>
      <w:pPr>
        <w:spacing w:before="0" w:after="0" w:line="360" w:lineRule="auto"/>
        <w:ind w:firstLine="0"/>
        <w:jc w:val="both"/>
      </w:pPr>
      <w:r>
        <w:rPr>
          <w:rFonts w:ascii="Times New Roman" w:hAnsi="Times New Roman" w:eastAsia="宋体"/>
          <w:b w:val="0"/>
          <w:sz w:val="24"/>
        </w:rPr>
        <w:t>[12] Wilson E B. Probable inference, the law of succession, and statistical inference[J]. Journal of the American Statistical Association, 1927, 22(158): 209-212.</w:t>
      </w:r>
    </w:p>
    <w:p>
      <w:pPr>
        <w:spacing w:before="0" w:after="0" w:line="360" w:lineRule="auto"/>
        <w:ind w:firstLine="0"/>
        <w:jc w:val="both"/>
      </w:pPr>
      <w:r>
        <w:rPr>
          <w:rFonts w:ascii="Times New Roman" w:hAnsi="Times New Roman" w:eastAsia="宋体"/>
          <w:b w:val="0"/>
          <w:sz w:val="24"/>
        </w:rPr>
        <w:t>[13] Dietterich T G. Approximate statistical tests for comparing supervised classification learning algorithms[J]. Neural Computation, 1998, 10(7): 1895-1923.</w:t>
      </w:r>
    </w:p>
    <w:p>
      <w:pPr>
        <w:spacing w:before="0" w:after="0" w:line="360" w:lineRule="auto"/>
        <w:ind w:firstLine="0"/>
        <w:jc w:val="both"/>
      </w:pPr>
      <w:r>
        <w:rPr>
          <w:rFonts w:ascii="Times New Roman" w:hAnsi="Times New Roman" w:eastAsia="宋体"/>
          <w:b w:val="0"/>
          <w:sz w:val="24"/>
        </w:rPr>
        <w:t>[14] Nadeau C, Bengio Y. Inference for the generalization error[J]. Machine Learning, 2003, 52(3): 239-281.</w:t>
      </w:r>
    </w:p>
    <w:p>
      <w:pPr>
        <w:spacing w:before="0" w:after="0" w:line="360" w:lineRule="auto"/>
        <w:ind w:firstLine="0"/>
        <w:jc w:val="both"/>
      </w:pPr>
      <w:r>
        <w:rPr>
          <w:rFonts w:ascii="Times New Roman" w:hAnsi="Times New Roman" w:eastAsia="宋体"/>
          <w:b w:val="0"/>
          <w:sz w:val="24"/>
        </w:rPr>
        <w:t>[15] Hall B H, Jaffe A, Trajtenberg M. Market value and patent citations[J]. The RAND Journal of Economics, 2005, 36(1): 16-38.</w:t>
      </w:r>
    </w:p>
    <w:p>
      <w:pPr>
        <w:spacing w:before="0" w:after="0" w:line="360" w:lineRule="auto"/>
        <w:ind w:firstLine="0"/>
        <w:jc w:val="both"/>
      </w:pPr>
      <w:r>
        <w:rPr>
          <w:rFonts w:ascii="Times New Roman" w:hAnsi="Times New Roman" w:eastAsia="宋体"/>
          <w:b w:val="0"/>
          <w:sz w:val="24"/>
        </w:rPr>
        <w:t>[16] Cawley G C, Talbot N L C. On over-fitting in model selection and subsequent selection bias in performance evaluation[J]. Journal of Machine Learning Research, 2010, 11: 2079-2107.</w:t>
      </w:r>
    </w:p>
    <w:p>
      <w:pPr>
        <w:spacing w:before="0" w:after="0" w:line="360" w:lineRule="auto"/>
        <w:ind w:firstLine="0"/>
        <w:jc w:val="both"/>
      </w:pPr>
      <w:r>
        <w:rPr>
          <w:rFonts w:ascii="Times New Roman" w:hAnsi="Times New Roman" w:eastAsia="宋体"/>
          <w:b w:val="0"/>
          <w:sz w:val="24"/>
        </w:rPr>
        <w:t>[17] 国家烟草专卖局. 电子烟管理办法[Z]. 2022-03-11 公布, 2022-05-01 施行.</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