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line="360" w:lineRule="auto"/>
        <w:jc w:val="center"/>
      </w:pPr>
      <w:r>
        <w:rPr>
          <w:rFonts w:ascii="Times New Roman" w:hAnsi="Times New Roman" w:eastAsia="黑体"/>
          <w:b/>
          <w:sz w:val="36"/>
        </w:rPr>
        <w:t>五篇论文评审意见与改进建议</w:t>
      </w:r>
    </w:p>
    <w:p>
      <w:pPr>
        <w:spacing w:before="0" w:after="0" w:line="360" w:lineRule="auto"/>
        <w:jc w:val="center"/>
      </w:pPr>
      <w:r>
        <w:rPr>
          <w:rFonts w:ascii="Times New Roman" w:hAnsi="Times New Roman" w:eastAsia="宋体"/>
          <w:b w:val="0"/>
          <w:sz w:val="24"/>
        </w:rPr>
        <w:t>受嘉兴市烟草专卖局邀请评审</w:t>
      </w:r>
    </w:p>
    <w:p>
      <w:pPr>
        <w:spacing w:before="0" w:after="160" w:line="360" w:lineRule="auto"/>
        <w:jc w:val="center"/>
      </w:pPr>
      <w:r>
        <w:rPr>
          <w:rFonts w:ascii="Times New Roman" w:hAnsi="Times New Roman" w:eastAsia="宋体"/>
          <w:b w:val="0"/>
          <w:sz w:val="24"/>
        </w:rPr>
        <w:t xml:space="preserve"> </w:t>
      </w:r>
    </w:p>
    <w:p>
      <w:pPr>
        <w:keepNext/>
        <w:spacing w:before="240" w:after="120" w:line="360" w:lineRule="auto"/>
        <w:jc w:val="left"/>
      </w:pPr>
      <w:r>
        <w:rPr>
          <w:rFonts w:ascii="Times New Roman" w:hAnsi="Times New Roman" w:eastAsia="黑体"/>
          <w:b/>
          <w:sz w:val="30"/>
        </w:rPr>
        <w:t>一、总体评价</w:t>
      </w:r>
    </w:p>
    <w:p>
      <w:pPr>
        <w:spacing w:before="0" w:after="0" w:line="360" w:lineRule="auto"/>
        <w:ind w:firstLine="480"/>
        <w:jc w:val="both"/>
      </w:pPr>
      <w:r>
        <w:rPr>
          <w:rFonts w:ascii="Times New Roman" w:hAnsi="Times New Roman" w:eastAsia="宋体"/>
          <w:b w:val="0"/>
          <w:sz w:val="24"/>
        </w:rPr>
        <w:t>五篇论文选题均贴近行业实际，作者对本单位业务的熟悉是最大优势，但学术成熟度差异明显。论文五方法最规范，有数据、有流程、有量化结论，却存在一处足以动摇全部结论的效度缺陷；论文一工程落地度最高，有真实实验与两个应用案例，但实验设计不完整且回避了合规约束；论文二、三、四选题有价值，却停留在“问题—成因—对策”的三段论写作，全文无一个自有数据。</w:t>
      </w:r>
    </w:p>
    <w:p>
      <w:pPr>
        <w:spacing w:before="0" w:after="0" w:line="360" w:lineRule="auto"/>
        <w:ind w:firstLine="480"/>
        <w:jc w:val="both"/>
      </w:pPr>
      <w:r>
        <w:rPr>
          <w:rFonts w:ascii="Times New Roman" w:hAnsi="Times New Roman" w:eastAsia="宋体"/>
          <w:b w:val="0"/>
          <w:sz w:val="24"/>
        </w:rPr>
        <w:t>五篇的共性短板是对策不可执行。对策部分普遍缺少“谁牵头、多长时间、投入多少、做到什么标准算合格、如何验证有效”五个要素，读者知道了方向却不知道从何下手。与之相连的是理论框架缺位与评估设计缺失：成因分析多归结为“思想认识不到位”这类无法干预的因素，而委托代理、外部性、双重预防、助推等成熟工具均未被调用；同时没有一篇回答“做了以后怎么证明有效”，导致投入无法向上级说明、经验无法复制。此外，五篇均只谈收益不谈成本与副作用，未讨论全量监督是否诱发“表演式执法”、全覆盖穿透是否加重基层负担这类决定方案能否长期运行的问题。</w:t>
      </w:r>
    </w:p>
    <w:p>
      <w:pPr>
        <w:keepNext/>
        <w:spacing w:before="240" w:after="120" w:line="360" w:lineRule="auto"/>
        <w:jc w:val="left"/>
      </w:pPr>
      <w:r>
        <w:rPr>
          <w:rFonts w:ascii="Times New Roman" w:hAnsi="Times New Roman" w:eastAsia="黑体"/>
          <w:b/>
          <w:sz w:val="30"/>
        </w:rPr>
        <w:t>二、论文一《基于多模态大模型的专卖执法视频智能分析与应用研究》</w:t>
      </w:r>
    </w:p>
    <w:p>
      <w:pPr>
        <w:keepNext/>
        <w:spacing w:before="160" w:after="80" w:line="360" w:lineRule="auto"/>
        <w:jc w:val="left"/>
      </w:pPr>
      <w:r>
        <w:rPr>
          <w:rFonts w:ascii="Times New Roman" w:hAnsi="Times New Roman" w:eastAsia="黑体"/>
          <w:b w:val="0"/>
          <w:sz w:val="28"/>
        </w:rPr>
        <w:t>核心问题与改进办法</w:t>
      </w:r>
    </w:p>
    <w:p>
      <w:pPr>
        <w:spacing w:before="0" w:after="0" w:line="360" w:lineRule="auto"/>
        <w:ind w:firstLine="480"/>
        <w:jc w:val="both"/>
      </w:pPr>
      <w:r>
        <w:rPr>
          <w:rFonts w:ascii="Times New Roman" w:hAnsi="Times New Roman" w:eastAsia="宋体"/>
          <w:b/>
          <w:sz w:val="24"/>
        </w:rPr>
        <w:t>一是章节编号断裂。</w:t>
      </w:r>
      <w:r>
        <w:rPr>
          <w:rFonts w:ascii="Times New Roman" w:hAnsi="Times New Roman" w:eastAsia="宋体"/>
          <w:b w:val="0"/>
          <w:sz w:val="24"/>
        </w:rPr>
        <w:t xml:space="preserve"> 正文第 3 章之后直接跳至第 6 章，第 4、5 章缺失，属编辑部初审即退稿的硬伤。改进稿重排为七章，并把最缺的“数据合规与算法治理”单列一章。</w:t>
      </w:r>
    </w:p>
    <w:p>
      <w:pPr>
        <w:spacing w:before="0" w:after="0" w:line="360" w:lineRule="auto"/>
        <w:ind w:firstLine="480"/>
        <w:jc w:val="both"/>
      </w:pPr>
      <w:r>
        <w:rPr>
          <w:rFonts w:ascii="Times New Roman" w:hAnsi="Times New Roman" w:eastAsia="宋体"/>
          <w:b/>
          <w:sz w:val="24"/>
        </w:rPr>
        <w:t>二是实验设计不足以支撑所声称的两项结论。</w:t>
      </w:r>
      <w:r>
        <w:rPr>
          <w:rFonts w:ascii="Times New Roman" w:hAnsi="Times New Roman" w:eastAsia="宋体"/>
          <w:b w:val="0"/>
          <w:sz w:val="24"/>
        </w:rPr>
        <w:t xml:space="preserve"> 论文同时主张“原生多模态架构更优”与“领域微调显著提升性能”，但对比组缺少关键的“同架构零样本”一组，两项优势无法分离；微调集与测试集均称 500 条却未说明是否互斥，存在数据泄漏嫌疑；多人标注未报告一致性；三方案比较只有点估计，无置信区间与配对检验。改进办法是补做零样本消融构成 2×2 设计、写明数据集互斥与划分方式、报告标注一致性系数，并以 Wilson 区间与 McNemar 配对检验替代裸点估计。</w:t>
      </w:r>
    </w:p>
    <w:p>
      <w:pPr>
        <w:spacing w:before="0" w:after="0" w:line="360" w:lineRule="auto"/>
        <w:ind w:firstLine="480"/>
        <w:jc w:val="both"/>
      </w:pPr>
      <w:r>
        <w:rPr>
          <w:rFonts w:ascii="Times New Roman" w:hAnsi="Times New Roman" w:eastAsia="宋体"/>
          <w:b/>
          <w:sz w:val="24"/>
        </w:rPr>
        <w:t>三是回避了决定系统能否落地的合规约束。</w:t>
      </w:r>
      <w:r>
        <w:rPr>
          <w:rFonts w:ascii="Times New Roman" w:hAnsi="Times New Roman" w:eastAsia="宋体"/>
          <w:b w:val="0"/>
          <w:sz w:val="24"/>
        </w:rPr>
        <w:t xml:space="preserve"> 执法记录仪视频含人脸、声纹等敏感个人信息，而论文未讨论存储位置、去标识化、是否调用公网大模型接口；更关键的是把算法判定的“程序瑕疵”直接用于人员画像与考核，却未回答算法结论能否作为追责依据。改进办法是明确三条边界：数据边界（本地化部署、最小必要处理、分级授权）、效力边界（算法输出仅为线索提示，最终认定权保留于法制审核人员）、用途边界（结果用于整改与培训，不直接扣分，并设申诉纠错通道）。</w:t>
      </w:r>
    </w:p>
    <w:p>
      <w:pPr>
        <w:spacing w:before="0" w:after="0" w:line="360" w:lineRule="auto"/>
        <w:ind w:firstLine="480"/>
        <w:jc w:val="both"/>
      </w:pPr>
      <w:r>
        <w:rPr>
          <w:rFonts w:ascii="Times New Roman" w:hAnsi="Times New Roman" w:eastAsia="宋体"/>
          <w:b/>
          <w:sz w:val="24"/>
        </w:rPr>
        <w:t>四是表文自相矛盾、效率口径不一。</w:t>
      </w:r>
      <w:r>
        <w:rPr>
          <w:rFonts w:ascii="Times New Roman" w:hAnsi="Times New Roman" w:eastAsia="宋体"/>
          <w:b w:val="0"/>
          <w:sz w:val="24"/>
        </w:rPr>
        <w:t xml:space="preserve"> 表 2 把“执法用语不文明”归为视觉特征，备注写“主观性强、边界模糊”却给出全表最高准确率，而备注写“识别效果最好”的项反而是全表最低；6.2.3 节称效率提高 30 倍、7.1 节称提高 5 倍，相差 6 倍未作说明。改进办法是按“视觉主导／语音语义主导／跨模态联合”重排表格并补报各类样本量，同时把机器处理速度与人均日处理量两个口径分列表述。</w:t>
      </w:r>
    </w:p>
    <w:p>
      <w:pPr>
        <w:keepNext/>
        <w:spacing w:before="160" w:after="80" w:line="360" w:lineRule="auto"/>
        <w:jc w:val="left"/>
      </w:pPr>
      <w:r>
        <w:rPr>
          <w:rFonts w:ascii="Times New Roman" w:hAnsi="Times New Roman" w:eastAsia="黑体"/>
          <w:b w:val="0"/>
          <w:sz w:val="28"/>
        </w:rPr>
        <w:t>最具实践价值的提升方向</w:t>
      </w:r>
    </w:p>
    <w:p>
      <w:pPr>
        <w:spacing w:before="0" w:after="0" w:line="360" w:lineRule="auto"/>
        <w:ind w:firstLine="480"/>
        <w:jc w:val="both"/>
      </w:pPr>
      <w:r>
        <w:rPr>
          <w:rFonts w:ascii="Times New Roman" w:hAnsi="Times New Roman" w:eastAsia="宋体"/>
          <w:b w:val="0"/>
          <w:sz w:val="24"/>
        </w:rPr>
        <w:t>把“准确率”换成“工作量—查全率决策曲线”，是本文对实践最有用的改造。法制部门真正要回答的不是模型多准，而是投入多少人力能查出多少问题。改进稿据原文数据测算：人工复核量占全量 37.3% 时违规查全率即达 91.5%，为同等工作量下纯人工抽检的 2.45 倍；而查全率从 91.5% 提到 98.0% 需把复核量增至 85.2%，说明追求接近全查并不经济。这条曲线可直接用于年度人力预算测算。此外建议引入代价敏感阈值（漏报与误报代价不对称），并防范“目标替代”风险——监督一旦与考核挂钩，一线的理性反应可能是让镜头合规而非让执法合规。</w:t>
      </w:r>
    </w:p>
    <w:p>
      <w:pPr>
        <w:keepNext/>
        <w:spacing w:before="240" w:after="120" w:line="360" w:lineRule="auto"/>
        <w:jc w:val="left"/>
      </w:pPr>
      <w:r>
        <w:rPr>
          <w:rFonts w:ascii="Times New Roman" w:hAnsi="Times New Roman" w:eastAsia="黑体"/>
          <w:b/>
          <w:sz w:val="30"/>
        </w:rPr>
        <w:t>三、论文二《穿透式监管视角下烟草行业大监督体系优化研究》</w:t>
      </w:r>
    </w:p>
    <w:p>
      <w:pPr>
        <w:keepNext/>
        <w:spacing w:before="160" w:after="80" w:line="360" w:lineRule="auto"/>
        <w:jc w:val="left"/>
      </w:pPr>
      <w:r>
        <w:rPr>
          <w:rFonts w:ascii="Times New Roman" w:hAnsi="Times New Roman" w:eastAsia="黑体"/>
          <w:b w:val="0"/>
          <w:sz w:val="28"/>
        </w:rPr>
        <w:t>核心问题与改进办法</w:t>
      </w:r>
    </w:p>
    <w:p>
      <w:pPr>
        <w:spacing w:before="0" w:after="0" w:line="360" w:lineRule="auto"/>
        <w:ind w:firstLine="480"/>
        <w:jc w:val="both"/>
      </w:pPr>
      <w:r>
        <w:rPr>
          <w:rFonts w:ascii="Times New Roman" w:hAnsi="Times New Roman" w:eastAsia="宋体"/>
          <w:b/>
          <w:sz w:val="24"/>
        </w:rPr>
        <w:t>一是概念直接平移，未做理论转换。</w:t>
      </w:r>
      <w:r>
        <w:rPr>
          <w:rFonts w:ascii="Times New Roman" w:hAnsi="Times New Roman" w:eastAsia="宋体"/>
          <w:b w:val="0"/>
          <w:sz w:val="24"/>
        </w:rPr>
        <w:t xml:space="preserve"> 穿透式监管源于金融领域，原义是穿透名义持有人识别实际控制人，解决的是法律形式与经济实质分离的问题；而烟草行业内部监督并不存在这种“名实分离”结构，直接套用使“穿透”退化为“深入、彻底”的同义词。改进办法是完成一次显式转换：在垂直管理体制下，“穿透”对应的是监督信息沿委托代理链条的层层损耗，穿透式监督的实质是在逐级代理链之外新增一条不随层级衰减的直达通道，由此得到可测量的定义——穿透度等于直达通道覆盖的业务事项占比。</w:t>
      </w:r>
    </w:p>
    <w:p>
      <w:pPr>
        <w:spacing w:before="0" w:after="0" w:line="360" w:lineRule="auto"/>
        <w:ind w:firstLine="480"/>
        <w:jc w:val="both"/>
      </w:pPr>
      <w:r>
        <w:rPr>
          <w:rFonts w:ascii="Times New Roman" w:hAnsi="Times New Roman" w:eastAsia="宋体"/>
          <w:b/>
          <w:sz w:val="24"/>
        </w:rPr>
        <w:t>二是成因归结为思想认识，指向无法干预的对象。</w:t>
      </w:r>
      <w:r>
        <w:rPr>
          <w:rFonts w:ascii="Times New Roman" w:hAnsi="Times New Roman" w:eastAsia="宋体"/>
          <w:b w:val="0"/>
          <w:sz w:val="24"/>
        </w:rPr>
        <w:t xml:space="preserve"> 把“老好人思想”列为主因，等于把制度问题转化为道德问题，后续对策只能落到“加强教育”。改进稿引入多层委托代理框架并做数值求解：逐级衰减率 0.30 时县级局监督效力仅为国家局的 34.3%，直达通道覆盖 60% 业务事项可使其回升至 67.7%；衰减越严重，穿透的边际价值越大。</w:t>
      </w:r>
    </w:p>
    <w:p>
      <w:pPr>
        <w:spacing w:before="0" w:after="0" w:line="360" w:lineRule="auto"/>
        <w:ind w:firstLine="480"/>
        <w:jc w:val="both"/>
      </w:pPr>
      <w:r>
        <w:rPr>
          <w:rFonts w:ascii="Times New Roman" w:hAnsi="Times New Roman" w:eastAsia="宋体"/>
          <w:b/>
          <w:sz w:val="24"/>
        </w:rPr>
        <w:t>三是完全忽略监督成本与“监督过载”。</w:t>
      </w:r>
      <w:r>
        <w:rPr>
          <w:rFonts w:ascii="Times New Roman" w:hAnsi="Times New Roman" w:eastAsia="宋体"/>
          <w:b w:val="0"/>
          <w:sz w:val="24"/>
        </w:rPr>
        <w:t xml:space="preserve"> 五个“穿透”叠加意味着基层新增大量填报与迎检负担，而管理学称之为控制悖论——过度监督反而降低组织绩效。改进稿建立含过载项的最优监督强度模型，结果显示忽略基层负担会使最优强度被高估 61.0%，据此提出“一次采集、多方复用”的减负式监督原则。</w:t>
      </w:r>
    </w:p>
    <w:p>
      <w:pPr>
        <w:spacing w:before="0" w:after="0" w:line="360" w:lineRule="auto"/>
        <w:ind w:firstLine="480"/>
        <w:jc w:val="both"/>
      </w:pPr>
      <w:r>
        <w:rPr>
          <w:rFonts w:ascii="Times New Roman" w:hAnsi="Times New Roman" w:eastAsia="宋体"/>
          <w:b/>
          <w:sz w:val="24"/>
        </w:rPr>
        <w:t>四是五个维度并列展开、没有优先级，且未回答如何验证有效。</w:t>
      </w:r>
      <w:r>
        <w:rPr>
          <w:rFonts w:ascii="Times New Roman" w:hAnsi="Times New Roman" w:eastAsia="宋体"/>
          <w:b w:val="0"/>
          <w:sz w:val="24"/>
        </w:rPr>
        <w:t xml:space="preserve"> 改进稿以蒙特卡洛仿真给出边际贡献排序（数据 &gt; 制度 &gt; 流程 &gt; 责任），据此设计三阶段路线；并做评估的功效分析，得到一条对实践极为重要的结论：以县区级局为评估单元时，地市下辖约 8 个单位、即使观测 8 期，最小可检出效应仍达 12.03 个指数点，远大于政策关心的 3 分效应——</w:t>
      </w:r>
      <w:r>
        <w:rPr>
          <w:rFonts w:ascii="Times New Roman" w:hAnsi="Times New Roman" w:eastAsia="宋体"/>
          <w:b/>
          <w:sz w:val="24"/>
        </w:rPr>
        <w:t>按常规做法设计的评估从一开始就注定得不出结论</w:t>
      </w:r>
      <w:r>
        <w:rPr>
          <w:rFonts w:ascii="Times New Roman" w:hAnsi="Times New Roman" w:eastAsia="宋体"/>
          <w:b w:val="0"/>
          <w:sz w:val="24"/>
        </w:rPr>
        <w:t>，评估单元必须下沉到稽查中队或业务事项层级。</w:t>
      </w:r>
    </w:p>
    <w:p>
      <w:pPr>
        <w:keepNext/>
        <w:spacing w:before="240" w:after="120" w:line="360" w:lineRule="auto"/>
        <w:jc w:val="left"/>
      </w:pPr>
      <w:r>
        <w:rPr>
          <w:rFonts w:ascii="Times New Roman" w:hAnsi="Times New Roman" w:eastAsia="黑体"/>
          <w:b/>
          <w:sz w:val="30"/>
        </w:rPr>
        <w:t>四、论文三《精细化管理视角下相关方安全监管策略优化研究》</w:t>
      </w:r>
    </w:p>
    <w:p>
      <w:pPr>
        <w:keepNext/>
        <w:spacing w:before="160" w:after="80" w:line="360" w:lineRule="auto"/>
        <w:jc w:val="left"/>
      </w:pPr>
      <w:r>
        <w:rPr>
          <w:rFonts w:ascii="Times New Roman" w:hAnsi="Times New Roman" w:eastAsia="黑体"/>
          <w:b w:val="0"/>
          <w:sz w:val="28"/>
        </w:rPr>
        <w:t>核心问题与改进办法</w:t>
      </w:r>
    </w:p>
    <w:p>
      <w:pPr>
        <w:spacing w:before="0" w:after="0" w:line="360" w:lineRule="auto"/>
        <w:ind w:firstLine="480"/>
        <w:jc w:val="both"/>
      </w:pPr>
      <w:r>
        <w:rPr>
          <w:rFonts w:ascii="Times New Roman" w:hAnsi="Times New Roman" w:eastAsia="宋体"/>
          <w:b/>
          <w:sz w:val="24"/>
        </w:rPr>
        <w:t>一是未引用任何法定依据。</w:t>
      </w:r>
      <w:r>
        <w:rPr>
          <w:rFonts w:ascii="Times New Roman" w:hAnsi="Times New Roman" w:eastAsia="宋体"/>
          <w:b w:val="0"/>
          <w:sz w:val="24"/>
        </w:rPr>
        <w:t xml:space="preserve"> 相关方安全管理的核心依据是《安全生产法》第四十九条——发包出租须签订专门的安全生产管理协议、并对承包单位统一协调管理、定期检查、督促整改；此外特种作业持证、八类特殊作业许可、安全生产费用提取等要求亦全部缺席。改进稿补入法定要求清单，并把每项法定义务映射为具体可查验的监管动作。</w:t>
      </w:r>
    </w:p>
    <w:p>
      <w:pPr>
        <w:spacing w:before="0" w:after="0" w:line="360" w:lineRule="auto"/>
        <w:ind w:firstLine="480"/>
        <w:jc w:val="both"/>
      </w:pPr>
      <w:r>
        <w:rPr>
          <w:rFonts w:ascii="Times New Roman" w:hAnsi="Times New Roman" w:eastAsia="宋体"/>
          <w:b/>
          <w:sz w:val="24"/>
        </w:rPr>
        <w:t>二是提出“分类分级”却没有给出分级模型。</w:t>
      </w:r>
      <w:r>
        <w:rPr>
          <w:rFonts w:ascii="Times New Roman" w:hAnsi="Times New Roman" w:eastAsia="宋体"/>
          <w:b w:val="0"/>
          <w:sz w:val="24"/>
        </w:rPr>
        <w:t xml:space="preserve"> 原文只说要综合评价，没有说怎么评、分完对应什么动作，基层看完仍不知如何操作。改进稿给出可直接使用的二维模型：横轴为 LEC 作业条件危险性评价法算出的风险值，纵轴为组合赋权算出的安全管理能力评分，交叉成九宫格并对应三级监管强度与措施清单。情景样本验证显示，工程施工类相关方高风险占比 91.7%、服务保障类为 0，证明统一标准监管确不合理。</w:t>
      </w:r>
    </w:p>
    <w:p>
      <w:pPr>
        <w:spacing w:before="0" w:after="0" w:line="360" w:lineRule="auto"/>
        <w:ind w:firstLine="480"/>
        <w:jc w:val="both"/>
      </w:pPr>
      <w:r>
        <w:rPr>
          <w:rFonts w:ascii="Times New Roman" w:hAnsi="Times New Roman" w:eastAsia="宋体"/>
          <w:b/>
          <w:sz w:val="24"/>
        </w:rPr>
        <w:t>三是责任落实未落到经济机制上。</w:t>
      </w:r>
      <w:r>
        <w:rPr>
          <w:rFonts w:ascii="Times New Roman" w:hAnsi="Times New Roman" w:eastAsia="宋体"/>
          <w:b w:val="0"/>
          <w:sz w:val="24"/>
        </w:rPr>
        <w:t xml:space="preserve"> 相关方是外部市场主体，仅靠“明确责任”而无经济约束，其守约动力缺乏来源。改进稿把责任转化为四类可写入合同的杠杆：安全生产费用专款专用、安全履约保证金、违章计分制、评价结果与续签及供应商库分级挂钩。</w:t>
      </w:r>
    </w:p>
    <w:p>
      <w:pPr>
        <w:spacing w:before="0" w:after="0" w:line="360" w:lineRule="auto"/>
        <w:ind w:firstLine="480"/>
        <w:jc w:val="both"/>
      </w:pPr>
      <w:r>
        <w:rPr>
          <w:rFonts w:ascii="Times New Roman" w:hAnsi="Times New Roman" w:eastAsia="宋体"/>
          <w:b/>
          <w:sz w:val="24"/>
        </w:rPr>
        <w:t>四是未回答有限监管资源如何配置。</w:t>
      </w:r>
      <w:r>
        <w:rPr>
          <w:rFonts w:ascii="Times New Roman" w:hAnsi="Times New Roman" w:eastAsia="宋体"/>
          <w:b w:val="0"/>
          <w:sz w:val="24"/>
        </w:rPr>
        <w:t xml:space="preserve"> 改进稿建立配置模型并求解：同等检查总量下，差异化配置较平均分配提升风险削减 16.4%；更具实践意义的是反向结论——</w:t>
      </w:r>
      <w:r>
        <w:rPr>
          <w:rFonts w:ascii="Times New Roman" w:hAnsi="Times New Roman" w:eastAsia="宋体"/>
          <w:b/>
          <w:sz w:val="24"/>
        </w:rPr>
        <w:t>最优配置仅需 153 次检查即可达到平均分配 240 次的效果，节省监管人力 36.3%</w:t>
      </w:r>
      <w:r>
        <w:rPr>
          <w:rFonts w:ascii="Times New Roman" w:hAnsi="Times New Roman" w:eastAsia="宋体"/>
          <w:b w:val="0"/>
          <w:sz w:val="24"/>
        </w:rPr>
        <w:t>；而规则简单的二维分级配置已能实现最优解的 96.7%，是推荐方案。隐患帕累托分析进一步显示前 6 类隐患贡献 85.6% 的隐患量，为专项治理提供了靶向。</w:t>
      </w:r>
    </w:p>
    <w:p>
      <w:pPr>
        <w:keepNext/>
        <w:spacing w:before="240" w:after="120" w:line="360" w:lineRule="auto"/>
        <w:jc w:val="left"/>
      </w:pPr>
      <w:r>
        <w:rPr>
          <w:rFonts w:ascii="Times New Roman" w:hAnsi="Times New Roman" w:eastAsia="黑体"/>
          <w:b/>
          <w:sz w:val="30"/>
        </w:rPr>
        <w:t>五、论文四《控烟背景下文明吸烟环境协同治理路径研究》</w:t>
      </w:r>
    </w:p>
    <w:p>
      <w:pPr>
        <w:keepNext/>
        <w:spacing w:before="160" w:after="80" w:line="360" w:lineRule="auto"/>
        <w:jc w:val="left"/>
      </w:pPr>
      <w:r>
        <w:rPr>
          <w:rFonts w:ascii="Times New Roman" w:hAnsi="Times New Roman" w:eastAsia="黑体"/>
          <w:b w:val="0"/>
          <w:sz w:val="28"/>
        </w:rPr>
        <w:t>核心问题与改进办法</w:t>
      </w:r>
    </w:p>
    <w:p>
      <w:pPr>
        <w:spacing w:before="0" w:after="0" w:line="360" w:lineRule="auto"/>
        <w:ind w:firstLine="480"/>
        <w:jc w:val="both"/>
      </w:pPr>
      <w:r>
        <w:rPr>
          <w:rFonts w:ascii="Times New Roman" w:hAnsi="Times New Roman" w:eastAsia="宋体"/>
          <w:b/>
          <w:sz w:val="24"/>
        </w:rPr>
        <w:t>一是立论存在正当性风险，这是必须优先处理的问题。</w:t>
      </w:r>
      <w:r>
        <w:rPr>
          <w:rFonts w:ascii="Times New Roman" w:hAnsi="Times New Roman" w:eastAsia="宋体"/>
          <w:b w:val="0"/>
          <w:sz w:val="24"/>
        </w:rPr>
        <w:t xml:space="preserve"> 《世界卫生组织烟草控制框架公约》第 5.3 条要求防止烟草业干预公共卫生政策，第 13 条要求全面禁止烟草广告、促销和赞助；而原文的框架是烟草商业企业主动推动建设、并把“合理满足规范吸烟需求”作为治理关键，容易被解读为以公共治理之名行营销之实，构成实际的发表与舆情风险。改进办法是把定位重构为“控烟优先前提下的公共空间吸烟外部性治理”，并明确四条边界：政府与场所方主导、设施不得出现品牌与冠名元素、回避未成年人聚集场所周边、以非吸烟者暴露下降与烟蒂落地量下降为核心评价指标而非吸烟便利度。</w:t>
      </w:r>
    </w:p>
    <w:p>
      <w:pPr>
        <w:spacing w:before="0" w:after="0" w:line="360" w:lineRule="auto"/>
        <w:ind w:firstLine="480"/>
        <w:jc w:val="both"/>
      </w:pPr>
      <w:r>
        <w:rPr>
          <w:rFonts w:ascii="Times New Roman" w:hAnsi="Times New Roman" w:eastAsia="宋体"/>
          <w:b/>
          <w:sz w:val="24"/>
        </w:rPr>
        <w:t>二是“协同治理”只是主体罗列，没有机制设计。</w:t>
      </w:r>
      <w:r>
        <w:rPr>
          <w:rFonts w:ascii="Times New Roman" w:hAnsi="Times New Roman" w:eastAsia="宋体"/>
          <w:b w:val="0"/>
          <w:sz w:val="24"/>
        </w:rPr>
        <w:t xml:space="preserve"> 原文讲清了各主体做什么，却未回答谁来召集、成本怎么分担、信息怎么共享、不协同怎么办。改进稿引入多中心治理与助推理论：前者把协同界定为规则设计而非主体叠加；后者把“加强宣传引导”这一无法验收的要求，转换为可现场丈量的设计参数（标识视距 15 米可辨、收集装置两步可及、距出入口 8 米以上）。成熟度评估还显示，差距最大的是成本分担机制而非职责分工——多主体协同失败通常不是因为不知道谁该做什么，而是没人愿意出钱。</w:t>
      </w:r>
    </w:p>
    <w:p>
      <w:pPr>
        <w:spacing w:before="0" w:after="0" w:line="360" w:lineRule="auto"/>
        <w:ind w:firstLine="480"/>
        <w:jc w:val="both"/>
      </w:pPr>
      <w:r>
        <w:rPr>
          <w:rFonts w:ascii="Times New Roman" w:hAnsi="Times New Roman" w:eastAsia="宋体"/>
          <w:b/>
          <w:sz w:val="24"/>
        </w:rPr>
        <w:t>三是选址与评估两个可以算清楚的环节都只做了定性描述。</w:t>
      </w:r>
      <w:r>
        <w:rPr>
          <w:rFonts w:ascii="Times New Roman" w:hAnsi="Times New Roman" w:eastAsia="宋体"/>
          <w:b w:val="0"/>
          <w:sz w:val="24"/>
        </w:rPr>
        <w:t xml:space="preserve"> 改进稿以最大覆盖选址模型求解，得到两条直接可用的结论：覆盖率存在明显边际递减，4 个点覆盖 87.8%、第 5 个点起边际增量降至 7.7 个百分点以下；</w:t>
      </w:r>
      <w:r>
        <w:rPr>
          <w:rFonts w:ascii="Times New Roman" w:hAnsi="Times New Roman" w:eastAsia="宋体"/>
          <w:b/>
          <w:sz w:val="24"/>
        </w:rPr>
        <w:t>看似合理的均匀等间距布点与敏感点最小距离仅 15.8 米，低于 25 米的回避约束</w:t>
      </w:r>
      <w:r>
        <w:rPr>
          <w:rFonts w:ascii="Times New Roman" w:hAnsi="Times New Roman" w:eastAsia="宋体"/>
          <w:b w:val="0"/>
          <w:sz w:val="24"/>
        </w:rPr>
        <w:t>，而优化布点为 28.3 米。评估方面，功效分析显示要检出 20% 的烟蒂削减，需满足“干预点数×每点观测次数≥159”，而常见的“3 个点观测 4 次”方案最小可检出效应高达 72.8%——这正是此类建设普遍“做了但说不清效果”的统计学根源。</w:t>
      </w:r>
    </w:p>
    <w:p>
      <w:pPr>
        <w:keepNext/>
        <w:spacing w:before="240" w:after="120" w:line="360" w:lineRule="auto"/>
        <w:jc w:val="left"/>
      </w:pPr>
      <w:r>
        <w:rPr>
          <w:rFonts w:ascii="Times New Roman" w:hAnsi="Times New Roman" w:eastAsia="黑体"/>
          <w:b/>
          <w:sz w:val="30"/>
        </w:rPr>
        <w:t>六、论文五《基于机器学习的新型烟草制品高价值专利识别研究》</w:t>
      </w:r>
    </w:p>
    <w:p>
      <w:pPr>
        <w:keepNext/>
        <w:spacing w:before="160" w:after="80" w:line="360" w:lineRule="auto"/>
        <w:jc w:val="left"/>
      </w:pPr>
      <w:r>
        <w:rPr>
          <w:rFonts w:ascii="Times New Roman" w:hAnsi="Times New Roman" w:eastAsia="黑体"/>
          <w:b w:val="0"/>
          <w:sz w:val="28"/>
        </w:rPr>
        <w:t>核心问题与改进办法</w:t>
      </w:r>
    </w:p>
    <w:p>
      <w:pPr>
        <w:spacing w:before="0" w:after="0" w:line="360" w:lineRule="auto"/>
        <w:ind w:firstLine="480"/>
        <w:jc w:val="both"/>
      </w:pPr>
      <w:r>
        <w:rPr>
          <w:rFonts w:ascii="Times New Roman" w:hAnsi="Times New Roman" w:eastAsia="宋体"/>
          <w:b/>
          <w:sz w:val="24"/>
        </w:rPr>
        <w:t>一是标签与特征同源，构成循环论证，这是足以动摇全部结论的缺陷。</w:t>
      </w:r>
      <w:r>
        <w:rPr>
          <w:rFonts w:ascii="Times New Roman" w:hAnsi="Times New Roman" w:eastAsia="宋体"/>
          <w:b w:val="0"/>
          <w:sz w:val="24"/>
        </w:rPr>
        <w:t xml:space="preserve"> 价值标签由引用数、权利要求数、发明人数、同族数四项指标经熵权法构造，而模型特征集又包含这四项，等于用指标预测由这些指标算出的结果。表 2 的重要度分布印证了这一点：排名前三中有三项、四者合计 0.7513，即模型判别力的四分之三来自标签自身的构成要素。改进办法是补做三项外部效度检验：剔除同源特征后重训、引入维持年限与转让许可等独立价值代理、专家标注留出集算一致性系数。改进稿在合成数据上演示了第一项——剔除后准确率跌 35.53 个百分点，仅比多数类基准高 1.96 个百分点。结论表述应相应调整为“批量复现既定价值规则”，而非“识别人工难以发现的高价值专利”。</w:t>
      </w:r>
    </w:p>
    <w:p>
      <w:pPr>
        <w:spacing w:before="0" w:after="0" w:line="360" w:lineRule="auto"/>
        <w:ind w:firstLine="480"/>
        <w:jc w:val="both"/>
      </w:pPr>
      <w:r>
        <w:rPr>
          <w:rFonts w:ascii="Times New Roman" w:hAnsi="Times New Roman" w:eastAsia="宋体"/>
          <w:b/>
          <w:sz w:val="24"/>
        </w:rPr>
        <w:t>二是在类极不平衡下只报总体准确率，无法评价核心能力。</w:t>
      </w:r>
      <w:r>
        <w:rPr>
          <w:rFonts w:ascii="Times New Roman" w:hAnsi="Times New Roman" w:eastAsia="宋体"/>
          <w:b w:val="0"/>
          <w:sz w:val="24"/>
        </w:rPr>
        <w:t xml:space="preserve"> 高价值专利仅占 5.87%，此时总体准确率几乎不含判别信息：</w:t>
      </w:r>
      <w:r>
        <w:rPr>
          <w:rFonts w:ascii="Times New Roman" w:hAnsi="Times New Roman" w:eastAsia="宋体"/>
          <w:b/>
          <w:sz w:val="24"/>
        </w:rPr>
        <w:t>即便模型对高价值专利的召回率为 0，总体准确率仍可达 94.13%</w:t>
      </w:r>
      <w:r>
        <w:rPr>
          <w:rFonts w:ascii="Times New Roman" w:hAnsi="Times New Roman" w:eastAsia="宋体"/>
          <w:b w:val="0"/>
          <w:sz w:val="24"/>
        </w:rPr>
        <w:t>，原文报告的 95.92% 只比这一情形高 1.79 个百分点。另外把 63.34% 称作“随机猜测的基准准确率”是概念误用，那是多数类基准，三分类随机猜测约为 33.3%。改进办法是补报高价值类的精确率、召回率、PR-AUC、MCC 与完整混淆矩阵。</w:t>
      </w:r>
    </w:p>
    <w:p>
      <w:pPr>
        <w:spacing w:before="0" w:after="0" w:line="360" w:lineRule="auto"/>
        <w:ind w:firstLine="480"/>
        <w:jc w:val="both"/>
      </w:pPr>
      <w:r>
        <w:rPr>
          <w:rFonts w:ascii="Times New Roman" w:hAnsi="Times New Roman" w:eastAsia="宋体"/>
          <w:b/>
          <w:sz w:val="24"/>
        </w:rPr>
        <w:t>三是引用截断偏差未处理。</w:t>
      </w:r>
      <w:r>
        <w:rPr>
          <w:rFonts w:ascii="Times New Roman" w:hAnsi="Times New Roman" w:eastAsia="宋体"/>
          <w:b w:val="0"/>
          <w:sz w:val="24"/>
        </w:rPr>
        <w:t xml:space="preserve"> 引用数与同族规模是随时间累积的存量指标，近年公开的专利即使技术价值很高也必然偏低，直接使用会系统性地把近年专利判为低价值，而近年专利恰恰是最受关注的技术前沿。改进办法是改用同年同 IPC 大类内的分位数进入标签构造，或在模型中显式控制专利年龄。此外，模型比较应改用 5×2cv 配对检验（10 折配对 t 检验已知会低估方差），特征筛选与性能评估应采用嵌套交叉验证以避免选择性偏差。</w:t>
      </w:r>
    </w:p>
    <w:p>
      <w:pPr>
        <w:keepNext/>
        <w:spacing w:before="160" w:after="80" w:line="360" w:lineRule="auto"/>
        <w:jc w:val="left"/>
      </w:pPr>
      <w:r>
        <w:rPr>
          <w:rFonts w:ascii="Times New Roman" w:hAnsi="Times New Roman" w:eastAsia="黑体"/>
          <w:b w:val="0"/>
          <w:sz w:val="28"/>
        </w:rPr>
        <w:t>最具实践价值的提升方向</w:t>
      </w:r>
    </w:p>
    <w:p>
      <w:pPr>
        <w:spacing w:before="0" w:after="0" w:line="360" w:lineRule="auto"/>
        <w:ind w:firstLine="480"/>
        <w:jc w:val="both"/>
      </w:pPr>
      <w:r>
        <w:rPr>
          <w:rFonts w:ascii="Times New Roman" w:hAnsi="Times New Roman" w:eastAsia="宋体"/>
          <w:b w:val="0"/>
          <w:sz w:val="24"/>
        </w:rPr>
        <w:t>研究结论的落点与单位职能错位，是本文最大的可提升空间。原文建议减少低门槛改良、向基质配方与加热元件倾斜、依托产学研攻关，但建议对象是工业企业研发部门，而依托单位的法定职能是专卖管理；加之加热不燃烧烟草制品在国内尚未获准销售、电子烟实行专卖管制，此类建议在本单位没有执行接口。改进稿把应用出口改到专卖管理职能上：海外核心专利壁垒预警、自由实施排查、非法制品技术特征溯源，其中第三条与专卖稽查业务结合最紧密。</w:t>
      </w:r>
    </w:p>
    <w:p>
      <w:pPr>
        <w:keepNext/>
        <w:spacing w:before="240" w:after="120" w:line="360" w:lineRule="auto"/>
        <w:jc w:val="left"/>
      </w:pPr>
      <w:r>
        <w:rPr>
          <w:rFonts w:ascii="Times New Roman" w:hAnsi="Times New Roman" w:eastAsia="黑体"/>
          <w:b/>
          <w:sz w:val="30"/>
        </w:rPr>
        <w:t>七、两点说明</w:t>
      </w:r>
    </w:p>
    <w:p>
      <w:pPr>
        <w:spacing w:before="0" w:after="0" w:line="360" w:lineRule="auto"/>
        <w:ind w:firstLine="480"/>
        <w:jc w:val="both"/>
      </w:pPr>
      <w:r>
        <w:rPr>
          <w:rFonts w:ascii="Times New Roman" w:hAnsi="Times New Roman" w:eastAsia="宋体"/>
          <w:b/>
          <w:sz w:val="24"/>
        </w:rPr>
        <w:t>关于数据的证据效力。</w:t>
      </w:r>
      <w:r>
        <w:rPr>
          <w:rFonts w:ascii="Times New Roman" w:hAnsi="Times New Roman" w:eastAsia="宋体"/>
          <w:b w:val="0"/>
          <w:sz w:val="24"/>
        </w:rPr>
        <w:t xml:space="preserve"> 修改稿区分三类证据并在正文逐处标注：一是原文报告的实测值（论文一的性能指标、论文五的样本分布），在其基础上的推算结论直接有效；二是情景仿真（论文二、三、四原本无一手数据，改稿构建参数化模型做数值求解），揭示的是机制方向与量级关系，应以本单位真实数据替换参数后重跑；三是方法学演示（论文五的合成数据实验），必须在原始数据上重跑后方可写入结论。</w:t>
      </w:r>
    </w:p>
    <w:p>
      <w:pPr>
        <w:spacing w:before="0" w:after="0" w:line="360" w:lineRule="auto"/>
        <w:ind w:firstLine="480"/>
        <w:jc w:val="both"/>
      </w:pPr>
      <w:r>
        <w:rPr>
          <w:rFonts w:ascii="Times New Roman" w:hAnsi="Times New Roman" w:eastAsia="宋体"/>
          <w:b/>
          <w:sz w:val="24"/>
        </w:rPr>
        <w:t>关于后续工作。</w:t>
      </w:r>
      <w:r>
        <w:rPr>
          <w:rFonts w:ascii="Times New Roman" w:hAnsi="Times New Roman" w:eastAsia="宋体"/>
          <w:b w:val="0"/>
          <w:sz w:val="24"/>
        </w:rPr>
        <w:t xml:space="preserve"> 论文一需补做零样本消融与标注一致性检验，这两项无法由外部推算；论文二需采集监督事项台账与基层填报工时；论文三需相关方台账与近三年隐患记录；论文四需至少一个吸烟点的烟蒂计数与人流观测数据；论文五需在原始专利数据上重跑三项效度检验。这些数据的采集成本都不高，却是把情景分析转为实证结论的关键一步。</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